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74F" w:rsidRPr="008647E5" w:rsidRDefault="001B674F" w:rsidP="00E3608F">
      <w:pPr>
        <w:pStyle w:val="Heading1"/>
        <w:spacing w:before="0"/>
        <w:rPr>
          <w:rFonts w:ascii="Arial" w:hAnsi="Arial"/>
          <w:sz w:val="44"/>
        </w:rPr>
      </w:pPr>
      <w:bookmarkStart w:id="0" w:name="_Toc362368101"/>
      <w:bookmarkStart w:id="1" w:name="_Toc362434942"/>
      <w:bookmarkStart w:id="2" w:name="_Toc363047099"/>
      <w:bookmarkStart w:id="3" w:name="_Toc244509141"/>
      <w:bookmarkStart w:id="4" w:name="_Toc111173195"/>
      <w:bookmarkStart w:id="5" w:name="_Toc112306482"/>
      <w:bookmarkStart w:id="6" w:name="_Toc114287559"/>
      <w:bookmarkStart w:id="7" w:name="_Toc115188196"/>
      <w:bookmarkStart w:id="8" w:name="_Toc118514380"/>
      <w:bookmarkStart w:id="9" w:name="_Toc110071692"/>
      <w:bookmarkStart w:id="10" w:name="_Toc110072564"/>
      <w:bookmarkStart w:id="11" w:name="_Toc138735614"/>
      <w:bookmarkStart w:id="12" w:name="_Toc139335927"/>
      <w:bookmarkStart w:id="13" w:name="_Toc362526401"/>
      <w:r w:rsidRPr="008647E5">
        <w:rPr>
          <w:rFonts w:ascii="Arial" w:hAnsi="Arial"/>
          <w:sz w:val="44"/>
        </w:rPr>
        <w:t xml:space="preserve">Modernising Child, Youth and Family: </w:t>
      </w:r>
      <w:r w:rsidR="003940AB" w:rsidRPr="008647E5">
        <w:rPr>
          <w:rFonts w:ascii="Arial" w:hAnsi="Arial"/>
          <w:sz w:val="44"/>
        </w:rPr>
        <w:t>Vulnerable children w</w:t>
      </w:r>
      <w:r w:rsidR="006E75C6" w:rsidRPr="008647E5">
        <w:rPr>
          <w:rFonts w:ascii="Arial" w:hAnsi="Arial"/>
          <w:sz w:val="44"/>
        </w:rPr>
        <w:t>orkforce</w:t>
      </w:r>
      <w:r w:rsidR="00601BDE" w:rsidRPr="008647E5">
        <w:rPr>
          <w:rFonts w:ascii="Arial" w:hAnsi="Arial"/>
          <w:sz w:val="44"/>
        </w:rPr>
        <w:t xml:space="preserve"> settings</w:t>
      </w:r>
      <w:r w:rsidR="000203EF" w:rsidRPr="008647E5">
        <w:rPr>
          <w:rFonts w:ascii="Arial" w:hAnsi="Arial"/>
          <w:sz w:val="44"/>
        </w:rPr>
        <w:t xml:space="preserve"> </w:t>
      </w:r>
    </w:p>
    <w:p w:rsidR="003940AB" w:rsidRPr="008647E5" w:rsidRDefault="008D5CD9" w:rsidP="00E3608F">
      <w:pPr>
        <w:pStyle w:val="Heading1"/>
        <w:spacing w:before="0"/>
        <w:rPr>
          <w:rFonts w:ascii="Arial" w:hAnsi="Arial"/>
          <w:sz w:val="44"/>
        </w:rPr>
      </w:pPr>
      <w:bookmarkStart w:id="14" w:name="_GoBack"/>
      <w:r w:rsidRPr="008647E5">
        <w:rPr>
          <w:rFonts w:ascii="Arial" w:hAnsi="Arial"/>
          <w:sz w:val="44"/>
        </w:rPr>
        <w:t>Regulatory Impact Statement</w:t>
      </w:r>
      <w:bookmarkStart w:id="15" w:name="_Regulatory_Impact_Statement"/>
      <w:bookmarkStart w:id="16" w:name="_Toc362434943"/>
      <w:bookmarkStart w:id="17" w:name="_Toc362589329"/>
      <w:bookmarkStart w:id="18" w:name="_Toc362619029"/>
      <w:bookmarkStart w:id="19" w:name="_Toc362940593"/>
      <w:bookmarkStart w:id="20" w:name="_Toc363047101"/>
      <w:bookmarkStart w:id="21" w:name="_Toc362368104"/>
      <w:bookmarkStart w:id="22" w:name="_Toc362434945"/>
      <w:bookmarkStart w:id="23" w:name="_Toc362589331"/>
      <w:bookmarkStart w:id="24" w:name="_Toc362619031"/>
      <w:bookmarkStart w:id="25" w:name="_Toc362940595"/>
      <w:bookmarkStart w:id="26" w:name="_Toc363047103"/>
      <w:bookmarkEnd w:id="0"/>
      <w:bookmarkEnd w:id="1"/>
      <w:bookmarkEnd w:id="2"/>
      <w:bookmarkEnd w:id="3"/>
      <w:bookmarkEnd w:id="15"/>
    </w:p>
    <w:bookmarkEnd w:id="14"/>
    <w:p w:rsidR="00601BDE" w:rsidRPr="001B674F" w:rsidRDefault="00601BDE" w:rsidP="001B674F">
      <w:pPr>
        <w:pStyle w:val="Heading2"/>
        <w:rPr>
          <w:rFonts w:ascii="Arial" w:hAnsi="Arial" w:cs="Arial"/>
        </w:rPr>
      </w:pPr>
      <w:r w:rsidRPr="001B674F">
        <w:rPr>
          <w:rFonts w:ascii="Arial" w:hAnsi="Arial" w:cs="Arial"/>
        </w:rPr>
        <w:t>Agency Disclosure Statement</w:t>
      </w:r>
      <w:bookmarkEnd w:id="16"/>
      <w:bookmarkEnd w:id="17"/>
      <w:bookmarkEnd w:id="18"/>
      <w:bookmarkEnd w:id="19"/>
      <w:bookmarkEnd w:id="20"/>
      <w:r w:rsidRPr="001B674F">
        <w:rPr>
          <w:rFonts w:ascii="Arial" w:hAnsi="Arial" w:cs="Arial"/>
        </w:rPr>
        <w:t xml:space="preserve"> </w:t>
      </w:r>
    </w:p>
    <w:p w:rsidR="00601BDE" w:rsidRPr="001B674F" w:rsidRDefault="00601BDE" w:rsidP="00601BDE">
      <w:pPr>
        <w:ind w:right="170"/>
        <w:rPr>
          <w:rFonts w:ascii="Arial" w:hAnsi="Arial" w:cs="Arial"/>
        </w:rPr>
      </w:pPr>
      <w:r w:rsidRPr="001B674F">
        <w:rPr>
          <w:rFonts w:ascii="Arial" w:hAnsi="Arial" w:cs="Arial"/>
        </w:rPr>
        <w:t>This Regulatory Impact Statement has been prepared by the Ministry of Social Development. It provides an analysis of options for new</w:t>
      </w:r>
      <w:r w:rsidR="0006048A" w:rsidRPr="001B674F">
        <w:rPr>
          <w:rFonts w:ascii="Arial" w:hAnsi="Arial" w:cs="Arial"/>
        </w:rPr>
        <w:t xml:space="preserve"> workforce settings to enable more</w:t>
      </w:r>
      <w:r w:rsidRPr="001B674F">
        <w:rPr>
          <w:rFonts w:ascii="Arial" w:hAnsi="Arial" w:cs="Arial"/>
        </w:rPr>
        <w:t xml:space="preserve"> professionals to perform </w:t>
      </w:r>
      <w:r w:rsidR="001575C5" w:rsidRPr="001B674F">
        <w:rPr>
          <w:rFonts w:ascii="Arial" w:hAnsi="Arial" w:cs="Arial"/>
        </w:rPr>
        <w:t xml:space="preserve">a broader set of </w:t>
      </w:r>
      <w:r w:rsidRPr="001B674F">
        <w:rPr>
          <w:rFonts w:ascii="Arial" w:hAnsi="Arial" w:cs="Arial"/>
        </w:rPr>
        <w:t>functions in the</w:t>
      </w:r>
      <w:r w:rsidR="001B674F">
        <w:rPr>
          <w:rFonts w:ascii="Arial" w:hAnsi="Arial" w:cs="Arial"/>
        </w:rPr>
        <w:t xml:space="preserve"> Government’s proposed</w:t>
      </w:r>
      <w:r w:rsidRPr="001B674F">
        <w:rPr>
          <w:rFonts w:ascii="Arial" w:hAnsi="Arial" w:cs="Arial"/>
        </w:rPr>
        <w:t xml:space="preserve"> new operating model</w:t>
      </w:r>
      <w:r w:rsidR="001B674F">
        <w:rPr>
          <w:rFonts w:ascii="Arial" w:hAnsi="Arial" w:cs="Arial"/>
        </w:rPr>
        <w:t xml:space="preserve"> for vulnerable children and young people.</w:t>
      </w:r>
      <w:r w:rsidR="0060433F" w:rsidRPr="001B674F">
        <w:rPr>
          <w:rFonts w:ascii="Arial" w:hAnsi="Arial" w:cs="Arial"/>
        </w:rPr>
        <w:t xml:space="preserve"> </w:t>
      </w:r>
      <w:r w:rsidR="001B674F">
        <w:rPr>
          <w:rFonts w:ascii="Arial" w:hAnsi="Arial" w:cs="Arial"/>
        </w:rPr>
        <w:t>As well as,</w:t>
      </w:r>
      <w:r w:rsidR="0060433F" w:rsidRPr="001B674F">
        <w:rPr>
          <w:rFonts w:ascii="Arial" w:hAnsi="Arial" w:cs="Arial"/>
        </w:rPr>
        <w:t xml:space="preserve"> the connected objectives of providing appropriate flexibility for the agency to deliver services via strategic partners and supporting the Chief Executive as the single point of accountability for vulnerable children</w:t>
      </w:r>
      <w:r w:rsidR="001B674F">
        <w:rPr>
          <w:rFonts w:ascii="Arial" w:hAnsi="Arial" w:cs="Arial"/>
        </w:rPr>
        <w:t xml:space="preserve"> and young people</w:t>
      </w:r>
      <w:r w:rsidR="0060433F" w:rsidRPr="001B674F">
        <w:rPr>
          <w:rFonts w:ascii="Arial" w:hAnsi="Arial" w:cs="Arial"/>
        </w:rPr>
        <w:t>.</w:t>
      </w:r>
    </w:p>
    <w:p w:rsidR="00601BDE" w:rsidRPr="001B674F" w:rsidRDefault="00601BDE" w:rsidP="001C7929">
      <w:pPr>
        <w:spacing w:after="0"/>
        <w:ind w:right="170"/>
        <w:rPr>
          <w:rFonts w:ascii="Arial" w:hAnsi="Arial" w:cs="Arial"/>
        </w:rPr>
      </w:pPr>
      <w:r w:rsidRPr="001B674F">
        <w:rPr>
          <w:rFonts w:ascii="Arial" w:hAnsi="Arial" w:cs="Arial"/>
        </w:rPr>
        <w:t xml:space="preserve">The legislative changes </w:t>
      </w:r>
      <w:r w:rsidR="00477434" w:rsidRPr="001B674F">
        <w:rPr>
          <w:rFonts w:ascii="Arial" w:hAnsi="Arial" w:cs="Arial"/>
        </w:rPr>
        <w:t xml:space="preserve">proposed by the Government in response to the recommendations of the </w:t>
      </w:r>
      <w:r w:rsidR="001C7929" w:rsidRPr="001B674F">
        <w:rPr>
          <w:rFonts w:ascii="Arial" w:hAnsi="Arial" w:cs="Arial"/>
        </w:rPr>
        <w:t>Modernising Child, Youth and Family Expert Panel</w:t>
      </w:r>
      <w:r w:rsidRPr="001B674F">
        <w:rPr>
          <w:rFonts w:ascii="Arial" w:hAnsi="Arial" w:cs="Arial"/>
        </w:rPr>
        <w:t xml:space="preserve"> will be progressed in two stages:</w:t>
      </w:r>
    </w:p>
    <w:p w:rsidR="00B22943" w:rsidRPr="003E08DB" w:rsidRDefault="00B22943" w:rsidP="003E08DB">
      <w:pPr>
        <w:pStyle w:val="Bullet1"/>
        <w:rPr>
          <w:rFonts w:ascii="Arial" w:hAnsi="Arial" w:cs="Arial"/>
        </w:rPr>
      </w:pPr>
      <w:r w:rsidRPr="003E08DB">
        <w:rPr>
          <w:rFonts w:ascii="Arial" w:hAnsi="Arial" w:cs="Arial"/>
        </w:rPr>
        <w:t>Stage One is expected to consist of an initial bill, Bill No 1, comprising the proposals covered by this RIS, amendment to the upper age in the definition of a young person for the care and protection provisions of the Children, Young Persons, and Their Families Act 1989 (CYPF Act), and changes to enable a wider range of professionals to perform functions under the CYPF Act. Separate Regulatory Impact Statements have been prepared for the latter two proposals.</w:t>
      </w:r>
    </w:p>
    <w:p w:rsidR="00B22943" w:rsidRPr="003E08DB" w:rsidRDefault="00B22943" w:rsidP="003E08DB">
      <w:pPr>
        <w:pStyle w:val="Bullet1"/>
        <w:rPr>
          <w:rFonts w:ascii="Arial" w:hAnsi="Arial" w:cs="Arial"/>
        </w:rPr>
      </w:pPr>
      <w:r w:rsidRPr="003E08DB">
        <w:rPr>
          <w:rFonts w:ascii="Arial" w:hAnsi="Arial" w:cs="Arial"/>
        </w:rPr>
        <w:t>Stage Two will be a more complex and wide-ranging set of legislative reforms to give effect to the proposed new operating model, as part of a second bill (Modernising Child, Youth and Family Bill (No 2)</w:t>
      </w:r>
      <w:r w:rsidR="003E08DB">
        <w:rPr>
          <w:rFonts w:ascii="Arial" w:hAnsi="Arial" w:cs="Arial"/>
        </w:rPr>
        <w:t>.</w:t>
      </w:r>
    </w:p>
    <w:p w:rsidR="003940AB" w:rsidRPr="001B674F" w:rsidRDefault="003940AB" w:rsidP="003940AB">
      <w:pPr>
        <w:ind w:right="170"/>
        <w:rPr>
          <w:rFonts w:ascii="Arial" w:hAnsi="Arial" w:cs="Arial"/>
          <w:lang w:val="en-AU"/>
        </w:rPr>
      </w:pPr>
      <w:r w:rsidRPr="001B674F">
        <w:rPr>
          <w:rFonts w:ascii="Arial" w:hAnsi="Arial" w:cs="Arial"/>
          <w:lang w:val="en-AU"/>
        </w:rPr>
        <w:t xml:space="preserve">The Regulatory Impact Analysis has been undertaken on </w:t>
      </w:r>
      <w:r w:rsidR="000B111B" w:rsidRPr="001B674F">
        <w:rPr>
          <w:rFonts w:ascii="Arial" w:hAnsi="Arial" w:cs="Arial"/>
          <w:lang w:val="en-AU"/>
        </w:rPr>
        <w:t xml:space="preserve">the </w:t>
      </w:r>
      <w:r w:rsidRPr="001B674F">
        <w:rPr>
          <w:rFonts w:ascii="Arial" w:hAnsi="Arial" w:cs="Arial"/>
          <w:lang w:val="en-AU"/>
        </w:rPr>
        <w:t>basis that w</w:t>
      </w:r>
      <w:r w:rsidR="00601BDE" w:rsidRPr="001B674F">
        <w:rPr>
          <w:rFonts w:ascii="Arial" w:hAnsi="Arial" w:cs="Arial"/>
          <w:lang w:val="en-AU"/>
        </w:rPr>
        <w:t xml:space="preserve">orkforce settings are a small part of a proposed </w:t>
      </w:r>
      <w:r w:rsidRPr="001B674F">
        <w:rPr>
          <w:rFonts w:ascii="Arial" w:hAnsi="Arial" w:cs="Arial"/>
          <w:lang w:val="en-AU"/>
        </w:rPr>
        <w:t xml:space="preserve">system </w:t>
      </w:r>
      <w:r w:rsidR="00601BDE" w:rsidRPr="001B674F">
        <w:rPr>
          <w:rFonts w:ascii="Arial" w:hAnsi="Arial" w:cs="Arial"/>
          <w:lang w:val="en-AU"/>
        </w:rPr>
        <w:t>transformation. They will be accompanied by significant changes to the operating model for working with vulnerable children and families</w:t>
      </w:r>
      <w:r w:rsidRPr="001B674F">
        <w:rPr>
          <w:rFonts w:ascii="Arial" w:hAnsi="Arial" w:cs="Arial"/>
          <w:lang w:val="en-AU"/>
        </w:rPr>
        <w:t>,</w:t>
      </w:r>
      <w:r w:rsidR="00601BDE" w:rsidRPr="001B674F">
        <w:rPr>
          <w:rFonts w:ascii="Arial" w:hAnsi="Arial" w:cs="Arial"/>
          <w:lang w:val="en-AU"/>
        </w:rPr>
        <w:t xml:space="preserve"> which will have an impact on individuals and families. </w:t>
      </w:r>
      <w:r w:rsidRPr="001B674F">
        <w:rPr>
          <w:rFonts w:ascii="Arial" w:hAnsi="Arial" w:cs="Arial"/>
          <w:lang w:val="en-AU"/>
        </w:rPr>
        <w:t xml:space="preserve">The bulk of the legislative changes required to give effect to the proposed operating model are included in the second stage of reforms, and will be subject to </w:t>
      </w:r>
      <w:r w:rsidR="001575C5" w:rsidRPr="001B674F">
        <w:rPr>
          <w:rFonts w:ascii="Arial" w:hAnsi="Arial" w:cs="Arial"/>
          <w:lang w:val="en-AU"/>
        </w:rPr>
        <w:t xml:space="preserve">further </w:t>
      </w:r>
      <w:r w:rsidRPr="001B674F">
        <w:rPr>
          <w:rFonts w:ascii="Arial" w:hAnsi="Arial" w:cs="Arial"/>
          <w:lang w:val="en-AU"/>
        </w:rPr>
        <w:t xml:space="preserve">Regulatory Impact Analysis at that stage as </w:t>
      </w:r>
      <w:proofErr w:type="gramStart"/>
      <w:r w:rsidRPr="001B674F">
        <w:rPr>
          <w:rFonts w:ascii="Arial" w:hAnsi="Arial" w:cs="Arial"/>
          <w:lang w:val="en-AU"/>
        </w:rPr>
        <w:t>required</w:t>
      </w:r>
      <w:proofErr w:type="gramEnd"/>
      <w:r w:rsidRPr="001B674F">
        <w:rPr>
          <w:rFonts w:ascii="Arial" w:hAnsi="Arial" w:cs="Arial"/>
          <w:lang w:val="en-AU"/>
        </w:rPr>
        <w:t xml:space="preserve">. </w:t>
      </w:r>
    </w:p>
    <w:p w:rsidR="00601BDE" w:rsidRPr="001B674F" w:rsidRDefault="00601BDE" w:rsidP="001C7929">
      <w:pPr>
        <w:spacing w:after="0"/>
        <w:ind w:right="170"/>
        <w:rPr>
          <w:rFonts w:ascii="Arial" w:hAnsi="Arial" w:cs="Arial"/>
          <w:lang w:val="en-AU"/>
        </w:rPr>
      </w:pPr>
      <w:r w:rsidRPr="001B674F">
        <w:rPr>
          <w:rFonts w:ascii="Arial" w:hAnsi="Arial" w:cs="Arial"/>
          <w:lang w:val="en-AU"/>
        </w:rPr>
        <w:t>The key constraints around the analysis presented in this paper are:</w:t>
      </w:r>
    </w:p>
    <w:p w:rsidR="00072E26" w:rsidRPr="001B674F" w:rsidRDefault="00072E26" w:rsidP="00477434">
      <w:pPr>
        <w:pStyle w:val="Bullet1"/>
        <w:rPr>
          <w:rFonts w:ascii="Arial" w:hAnsi="Arial" w:cs="Arial"/>
        </w:rPr>
      </w:pPr>
      <w:proofErr w:type="gramStart"/>
      <w:r w:rsidRPr="001B674F">
        <w:rPr>
          <w:rFonts w:ascii="Arial" w:hAnsi="Arial" w:cs="Arial"/>
        </w:rPr>
        <w:t>the</w:t>
      </w:r>
      <w:proofErr w:type="gramEnd"/>
      <w:r w:rsidRPr="001B674F">
        <w:rPr>
          <w:rFonts w:ascii="Arial" w:hAnsi="Arial" w:cs="Arial"/>
        </w:rPr>
        <w:t xml:space="preserve"> analysis has been undertaken within </w:t>
      </w:r>
      <w:r w:rsidR="0060433F" w:rsidRPr="001B674F">
        <w:rPr>
          <w:rFonts w:ascii="Arial" w:hAnsi="Arial" w:cs="Arial"/>
        </w:rPr>
        <w:t xml:space="preserve">fairly tight timeframes ahead of detailed design work, thereby limiting the options </w:t>
      </w:r>
      <w:r w:rsidR="00924B0E" w:rsidRPr="001B674F">
        <w:rPr>
          <w:rFonts w:ascii="Arial" w:hAnsi="Arial" w:cs="Arial"/>
        </w:rPr>
        <w:t xml:space="preserve">that </w:t>
      </w:r>
      <w:r w:rsidR="002E4F72" w:rsidRPr="001B674F">
        <w:rPr>
          <w:rFonts w:ascii="Arial" w:hAnsi="Arial" w:cs="Arial"/>
        </w:rPr>
        <w:t xml:space="preserve">could </w:t>
      </w:r>
      <w:r w:rsidR="00E77F48" w:rsidRPr="001B674F">
        <w:rPr>
          <w:rFonts w:ascii="Arial" w:hAnsi="Arial" w:cs="Arial"/>
        </w:rPr>
        <w:t xml:space="preserve">be </w:t>
      </w:r>
      <w:r w:rsidR="002E4F72" w:rsidRPr="001B674F">
        <w:rPr>
          <w:rFonts w:ascii="Arial" w:hAnsi="Arial" w:cs="Arial"/>
        </w:rPr>
        <w:t>feasibly considered</w:t>
      </w:r>
      <w:r w:rsidR="0060433F" w:rsidRPr="001B674F">
        <w:rPr>
          <w:rFonts w:ascii="Arial" w:hAnsi="Arial" w:cs="Arial"/>
        </w:rPr>
        <w:t>. This increases the risk of creating unnecessary degrees of flexibility</w:t>
      </w:r>
      <w:r w:rsidR="003E08DB">
        <w:rPr>
          <w:rFonts w:ascii="Arial" w:hAnsi="Arial" w:cs="Arial"/>
        </w:rPr>
        <w:t>;</w:t>
      </w:r>
      <w:r w:rsidR="0060433F" w:rsidRPr="001B674F">
        <w:rPr>
          <w:rFonts w:ascii="Arial" w:hAnsi="Arial" w:cs="Arial"/>
        </w:rPr>
        <w:t xml:space="preserve"> however</w:t>
      </w:r>
      <w:r w:rsidR="003E08DB">
        <w:rPr>
          <w:rFonts w:ascii="Arial" w:hAnsi="Arial" w:cs="Arial"/>
        </w:rPr>
        <w:t>,</w:t>
      </w:r>
      <w:r w:rsidR="0060433F" w:rsidRPr="001B674F">
        <w:rPr>
          <w:rFonts w:ascii="Arial" w:hAnsi="Arial" w:cs="Arial"/>
        </w:rPr>
        <w:t xml:space="preserve"> the options considered are enabling provisions, which can respond to adaptions over time</w:t>
      </w:r>
    </w:p>
    <w:p w:rsidR="00601BDE" w:rsidRPr="001B674F" w:rsidRDefault="00601BDE" w:rsidP="00477434">
      <w:pPr>
        <w:pStyle w:val="Bullet1"/>
        <w:rPr>
          <w:rFonts w:ascii="Arial" w:hAnsi="Arial" w:cs="Arial"/>
        </w:rPr>
      </w:pPr>
      <w:proofErr w:type="gramStart"/>
      <w:r w:rsidRPr="001B674F">
        <w:rPr>
          <w:rFonts w:ascii="Arial" w:hAnsi="Arial" w:cs="Arial"/>
        </w:rPr>
        <w:t>the</w:t>
      </w:r>
      <w:proofErr w:type="gramEnd"/>
      <w:r w:rsidRPr="001B674F">
        <w:rPr>
          <w:rFonts w:ascii="Arial" w:hAnsi="Arial" w:cs="Arial"/>
        </w:rPr>
        <w:t xml:space="preserve"> </w:t>
      </w:r>
      <w:r w:rsidR="00477434" w:rsidRPr="001B674F">
        <w:rPr>
          <w:rFonts w:ascii="Arial" w:hAnsi="Arial" w:cs="Arial"/>
        </w:rPr>
        <w:t>recommendations</w:t>
      </w:r>
      <w:r w:rsidRPr="001B674F">
        <w:rPr>
          <w:rFonts w:ascii="Arial" w:hAnsi="Arial" w:cs="Arial"/>
        </w:rPr>
        <w:t xml:space="preserve"> of the Expert Panel were developed independently as part of a process that included broad consultation and expert input. However, </w:t>
      </w:r>
      <w:r w:rsidR="005225D5" w:rsidRPr="001B674F">
        <w:rPr>
          <w:rFonts w:ascii="Arial" w:hAnsi="Arial" w:cs="Arial"/>
        </w:rPr>
        <w:t xml:space="preserve">detailed consultation on this </w:t>
      </w:r>
      <w:r w:rsidRPr="001B674F">
        <w:rPr>
          <w:rFonts w:ascii="Arial" w:hAnsi="Arial" w:cs="Arial"/>
        </w:rPr>
        <w:t>specific</w:t>
      </w:r>
      <w:r w:rsidR="005225D5" w:rsidRPr="001B674F">
        <w:rPr>
          <w:rFonts w:ascii="Arial" w:hAnsi="Arial" w:cs="Arial"/>
        </w:rPr>
        <w:t xml:space="preserve"> </w:t>
      </w:r>
      <w:r w:rsidRPr="001B674F">
        <w:rPr>
          <w:rFonts w:ascii="Arial" w:hAnsi="Arial" w:cs="Arial"/>
        </w:rPr>
        <w:t>proposal</w:t>
      </w:r>
      <w:r w:rsidR="005225D5" w:rsidRPr="001B674F">
        <w:rPr>
          <w:rFonts w:ascii="Arial" w:hAnsi="Arial" w:cs="Arial"/>
        </w:rPr>
        <w:t xml:space="preserve"> </w:t>
      </w:r>
      <w:r w:rsidR="00F405F7" w:rsidRPr="001B674F">
        <w:rPr>
          <w:rFonts w:ascii="Arial" w:hAnsi="Arial" w:cs="Arial"/>
        </w:rPr>
        <w:t>could</w:t>
      </w:r>
      <w:r w:rsidR="005225D5" w:rsidRPr="001B674F">
        <w:rPr>
          <w:rFonts w:ascii="Arial" w:hAnsi="Arial" w:cs="Arial"/>
        </w:rPr>
        <w:t xml:space="preserve"> not be undertaken</w:t>
      </w:r>
      <w:r w:rsidRPr="001B674F">
        <w:rPr>
          <w:rFonts w:ascii="Arial" w:hAnsi="Arial" w:cs="Arial"/>
        </w:rPr>
        <w:t xml:space="preserve"> with affected</w:t>
      </w:r>
      <w:r w:rsidR="003E08DB">
        <w:rPr>
          <w:rFonts w:ascii="Arial" w:hAnsi="Arial" w:cs="Arial"/>
        </w:rPr>
        <w:t xml:space="preserve"> agencies and</w:t>
      </w:r>
      <w:r w:rsidRPr="001B674F">
        <w:rPr>
          <w:rFonts w:ascii="Arial" w:hAnsi="Arial" w:cs="Arial"/>
        </w:rPr>
        <w:t xml:space="preserve"> </w:t>
      </w:r>
      <w:r w:rsidR="00CE65CA" w:rsidRPr="001B674F">
        <w:rPr>
          <w:rFonts w:ascii="Arial" w:hAnsi="Arial" w:cs="Arial"/>
        </w:rPr>
        <w:t>individuals</w:t>
      </w:r>
    </w:p>
    <w:p w:rsidR="003E08DB" w:rsidRPr="001B674F" w:rsidRDefault="003E08DB" w:rsidP="003E08DB">
      <w:pPr>
        <w:pStyle w:val="Bullet1"/>
        <w:rPr>
          <w:rFonts w:ascii="Arial" w:hAnsi="Arial" w:cs="Arial"/>
        </w:rPr>
      </w:pPr>
      <w:r w:rsidRPr="001B674F">
        <w:rPr>
          <w:rFonts w:ascii="Arial" w:hAnsi="Arial" w:cs="Arial"/>
        </w:rPr>
        <w:t>the</w:t>
      </w:r>
      <w:r>
        <w:rPr>
          <w:rFonts w:ascii="Arial" w:hAnsi="Arial" w:cs="Arial"/>
        </w:rPr>
        <w:t xml:space="preserve"> limited consultation with affected agencies has meant that key affected stakeholders have not had an opportunity to shape the proposal, which presents an implementation</w:t>
      </w:r>
      <w:r w:rsidRPr="001B674F">
        <w:rPr>
          <w:rFonts w:ascii="Arial" w:hAnsi="Arial" w:cs="Arial"/>
        </w:rPr>
        <w:t xml:space="preserve"> risk that the proposal is perceived as undermining the role of Child, Youth and Family social workers, leading to an adverse reaction to the wider transformation programme</w:t>
      </w:r>
    </w:p>
    <w:p w:rsidR="00601BDE" w:rsidRPr="001B674F" w:rsidRDefault="00601BDE" w:rsidP="00477434">
      <w:pPr>
        <w:pStyle w:val="Bullet1"/>
        <w:rPr>
          <w:rFonts w:ascii="Arial" w:hAnsi="Arial" w:cs="Arial"/>
        </w:rPr>
      </w:pPr>
      <w:r w:rsidRPr="001B674F">
        <w:rPr>
          <w:rFonts w:ascii="Arial" w:hAnsi="Arial" w:cs="Arial"/>
        </w:rPr>
        <w:lastRenderedPageBreak/>
        <w:t xml:space="preserve">agency consultation has been undertaken on the impacts on </w:t>
      </w:r>
      <w:r w:rsidR="003E08DB">
        <w:rPr>
          <w:rFonts w:ascii="Arial" w:hAnsi="Arial" w:cs="Arial"/>
        </w:rPr>
        <w:t xml:space="preserve">Government </w:t>
      </w:r>
      <w:r w:rsidRPr="001B674F">
        <w:rPr>
          <w:rFonts w:ascii="Arial" w:hAnsi="Arial" w:cs="Arial"/>
        </w:rPr>
        <w:t xml:space="preserve">agencies as part of the </w:t>
      </w:r>
      <w:r w:rsidR="009502A4" w:rsidRPr="001B674F">
        <w:rPr>
          <w:rFonts w:ascii="Arial" w:hAnsi="Arial" w:cs="Arial"/>
        </w:rPr>
        <w:t>development</w:t>
      </w:r>
      <w:r w:rsidRPr="001B674F">
        <w:rPr>
          <w:rFonts w:ascii="Arial" w:hAnsi="Arial" w:cs="Arial"/>
        </w:rPr>
        <w:t xml:space="preserve"> </w:t>
      </w:r>
      <w:r w:rsidR="009502A4" w:rsidRPr="001B674F">
        <w:rPr>
          <w:rFonts w:ascii="Arial" w:hAnsi="Arial" w:cs="Arial"/>
        </w:rPr>
        <w:t>o</w:t>
      </w:r>
      <w:r w:rsidRPr="001B674F">
        <w:rPr>
          <w:rFonts w:ascii="Arial" w:hAnsi="Arial" w:cs="Arial"/>
        </w:rPr>
        <w:t>f this Regulatory Impact Statement, but within limited timeframes</w:t>
      </w:r>
    </w:p>
    <w:p w:rsidR="00601BDE" w:rsidRPr="001B674F" w:rsidRDefault="00601BDE" w:rsidP="00477434">
      <w:pPr>
        <w:pStyle w:val="Bullet1"/>
        <w:rPr>
          <w:rFonts w:ascii="Arial" w:hAnsi="Arial" w:cs="Arial"/>
        </w:rPr>
      </w:pPr>
      <w:r w:rsidRPr="001B674F">
        <w:rPr>
          <w:rFonts w:ascii="Arial" w:hAnsi="Arial" w:cs="Arial"/>
        </w:rPr>
        <w:t xml:space="preserve">a general indication </w:t>
      </w:r>
      <w:r w:rsidR="000B111B" w:rsidRPr="001B674F">
        <w:rPr>
          <w:rFonts w:ascii="Arial" w:hAnsi="Arial" w:cs="Arial"/>
        </w:rPr>
        <w:t xml:space="preserve">only </w:t>
      </w:r>
      <w:r w:rsidRPr="001B674F">
        <w:rPr>
          <w:rFonts w:ascii="Arial" w:hAnsi="Arial" w:cs="Arial"/>
        </w:rPr>
        <w:t>of the relative scope and magnitude of the opt</w:t>
      </w:r>
      <w:r w:rsidR="005225D5" w:rsidRPr="001B674F">
        <w:rPr>
          <w:rFonts w:ascii="Arial" w:hAnsi="Arial" w:cs="Arial"/>
        </w:rPr>
        <w:t xml:space="preserve">ions’ operational implications has been provided </w:t>
      </w:r>
      <w:r w:rsidRPr="001B674F">
        <w:rPr>
          <w:rFonts w:ascii="Arial" w:hAnsi="Arial" w:cs="Arial"/>
        </w:rPr>
        <w:t>as</w:t>
      </w:r>
      <w:r w:rsidR="00F405F7" w:rsidRPr="001B674F">
        <w:rPr>
          <w:rFonts w:ascii="Arial" w:hAnsi="Arial" w:cs="Arial"/>
        </w:rPr>
        <w:t xml:space="preserve"> this will depend on</w:t>
      </w:r>
      <w:r w:rsidRPr="001B674F">
        <w:rPr>
          <w:rFonts w:ascii="Arial" w:hAnsi="Arial" w:cs="Arial"/>
        </w:rPr>
        <w:t xml:space="preserve"> further detailed design work, being undertaken as part of the business case for the new operating model</w:t>
      </w:r>
    </w:p>
    <w:p w:rsidR="00601BDE" w:rsidRPr="001B674F" w:rsidRDefault="005225D5" w:rsidP="00477434">
      <w:pPr>
        <w:pStyle w:val="Bullet1"/>
        <w:rPr>
          <w:rFonts w:ascii="Arial" w:hAnsi="Arial" w:cs="Arial"/>
        </w:rPr>
      </w:pPr>
      <w:proofErr w:type="gramStart"/>
      <w:r w:rsidRPr="001B674F">
        <w:rPr>
          <w:rFonts w:ascii="Arial" w:hAnsi="Arial" w:cs="Arial"/>
        </w:rPr>
        <w:t>the</w:t>
      </w:r>
      <w:proofErr w:type="gramEnd"/>
      <w:r w:rsidR="00601BDE" w:rsidRPr="001B674F">
        <w:rPr>
          <w:rFonts w:ascii="Arial" w:hAnsi="Arial" w:cs="Arial"/>
        </w:rPr>
        <w:t xml:space="preserve"> cost implications of each option ha</w:t>
      </w:r>
      <w:r w:rsidR="00FB3C65" w:rsidRPr="001B674F">
        <w:rPr>
          <w:rFonts w:ascii="Arial" w:hAnsi="Arial" w:cs="Arial"/>
        </w:rPr>
        <w:t>ve</w:t>
      </w:r>
      <w:r w:rsidR="00601BDE" w:rsidRPr="001B674F">
        <w:rPr>
          <w:rFonts w:ascii="Arial" w:hAnsi="Arial" w:cs="Arial"/>
        </w:rPr>
        <w:t xml:space="preserve"> not been </w:t>
      </w:r>
      <w:r w:rsidR="00FB3C65" w:rsidRPr="001B674F">
        <w:rPr>
          <w:rFonts w:ascii="Arial" w:hAnsi="Arial" w:cs="Arial"/>
        </w:rPr>
        <w:t>analysed</w:t>
      </w:r>
      <w:r w:rsidR="00601BDE" w:rsidRPr="001B674F">
        <w:rPr>
          <w:rFonts w:ascii="Arial" w:hAnsi="Arial" w:cs="Arial"/>
        </w:rPr>
        <w:t xml:space="preserve"> as the change enables rather than pr</w:t>
      </w:r>
      <w:r w:rsidR="001575C5" w:rsidRPr="001B674F">
        <w:rPr>
          <w:rFonts w:ascii="Arial" w:hAnsi="Arial" w:cs="Arial"/>
        </w:rPr>
        <w:t>e</w:t>
      </w:r>
      <w:r w:rsidR="00601BDE" w:rsidRPr="001B674F">
        <w:rPr>
          <w:rFonts w:ascii="Arial" w:hAnsi="Arial" w:cs="Arial"/>
        </w:rPr>
        <w:t>scribes workforce changes</w:t>
      </w:r>
      <w:r w:rsidRPr="001B674F">
        <w:rPr>
          <w:rFonts w:ascii="Arial" w:hAnsi="Arial" w:cs="Arial"/>
        </w:rPr>
        <w:t xml:space="preserve"> and </w:t>
      </w:r>
      <w:r w:rsidR="00E77F48" w:rsidRPr="001B674F">
        <w:rPr>
          <w:rFonts w:ascii="Arial" w:hAnsi="Arial" w:cs="Arial"/>
        </w:rPr>
        <w:t>these</w:t>
      </w:r>
      <w:r w:rsidR="00601BDE" w:rsidRPr="001B674F">
        <w:rPr>
          <w:rFonts w:ascii="Arial" w:hAnsi="Arial" w:cs="Arial"/>
        </w:rPr>
        <w:t xml:space="preserve"> </w:t>
      </w:r>
      <w:r w:rsidR="00E77F48" w:rsidRPr="001B674F">
        <w:rPr>
          <w:rFonts w:ascii="Arial" w:hAnsi="Arial" w:cs="Arial"/>
        </w:rPr>
        <w:t>will depend on</w:t>
      </w:r>
      <w:r w:rsidR="00601BDE" w:rsidRPr="001B674F">
        <w:rPr>
          <w:rFonts w:ascii="Arial" w:hAnsi="Arial" w:cs="Arial"/>
        </w:rPr>
        <w:t xml:space="preserve"> future design proposals</w:t>
      </w:r>
      <w:r w:rsidR="001575C5" w:rsidRPr="001B674F">
        <w:rPr>
          <w:rFonts w:ascii="Arial" w:hAnsi="Arial" w:cs="Arial"/>
        </w:rPr>
        <w:t>.</w:t>
      </w:r>
    </w:p>
    <w:p w:rsidR="003E08DB" w:rsidRDefault="003E08DB" w:rsidP="0060433F">
      <w:pPr>
        <w:keepNext/>
        <w:spacing w:after="0"/>
        <w:ind w:right="170"/>
        <w:jc w:val="both"/>
        <w:rPr>
          <w:rFonts w:ascii="Arial" w:hAnsi="Arial" w:cs="Arial"/>
        </w:rPr>
      </w:pPr>
    </w:p>
    <w:tbl>
      <w:tblPr>
        <w:tblW w:w="0" w:type="auto"/>
        <w:tblInd w:w="108" w:type="dxa"/>
        <w:tblLook w:val="01E0" w:firstRow="1" w:lastRow="1" w:firstColumn="1" w:lastColumn="1" w:noHBand="0" w:noVBand="0"/>
      </w:tblPr>
      <w:tblGrid>
        <w:gridCol w:w="5039"/>
        <w:gridCol w:w="1198"/>
        <w:gridCol w:w="2694"/>
      </w:tblGrid>
      <w:tr w:rsidR="008647E5" w:rsidTr="00F577F4">
        <w:tc>
          <w:tcPr>
            <w:tcW w:w="5039" w:type="dxa"/>
            <w:tcBorders>
              <w:bottom w:val="single" w:sz="8" w:space="0" w:color="auto"/>
            </w:tcBorders>
            <w:shd w:val="clear" w:color="auto" w:fill="auto"/>
          </w:tcPr>
          <w:p w:rsidR="008647E5" w:rsidRDefault="008647E5" w:rsidP="00F577F4">
            <w:pPr>
              <w:jc w:val="both"/>
            </w:pPr>
          </w:p>
          <w:p w:rsidR="008647E5" w:rsidRDefault="008647E5" w:rsidP="00F577F4">
            <w:pPr>
              <w:jc w:val="both"/>
            </w:pPr>
          </w:p>
          <w:p w:rsidR="008647E5" w:rsidRDefault="008647E5" w:rsidP="00F577F4">
            <w:pPr>
              <w:jc w:val="both"/>
            </w:pPr>
          </w:p>
          <w:p w:rsidR="008647E5" w:rsidRDefault="008647E5" w:rsidP="00F577F4">
            <w:pPr>
              <w:jc w:val="both"/>
            </w:pPr>
          </w:p>
        </w:tc>
        <w:tc>
          <w:tcPr>
            <w:tcW w:w="1198" w:type="dxa"/>
            <w:shd w:val="clear" w:color="auto" w:fill="auto"/>
          </w:tcPr>
          <w:p w:rsidR="008647E5" w:rsidRDefault="008647E5" w:rsidP="00F577F4">
            <w:pPr>
              <w:tabs>
                <w:tab w:val="left" w:pos="5940"/>
              </w:tabs>
              <w:jc w:val="both"/>
            </w:pPr>
          </w:p>
        </w:tc>
        <w:tc>
          <w:tcPr>
            <w:tcW w:w="2694" w:type="dxa"/>
            <w:tcBorders>
              <w:bottom w:val="single" w:sz="8" w:space="0" w:color="auto"/>
            </w:tcBorders>
            <w:shd w:val="clear" w:color="auto" w:fill="auto"/>
          </w:tcPr>
          <w:p w:rsidR="008647E5" w:rsidRDefault="008647E5" w:rsidP="00F577F4">
            <w:pPr>
              <w:tabs>
                <w:tab w:val="left" w:pos="5940"/>
              </w:tabs>
              <w:jc w:val="both"/>
            </w:pPr>
          </w:p>
        </w:tc>
      </w:tr>
      <w:tr w:rsidR="008647E5" w:rsidRPr="003073E7" w:rsidTr="00F577F4">
        <w:tc>
          <w:tcPr>
            <w:tcW w:w="5039" w:type="dxa"/>
            <w:tcBorders>
              <w:top w:val="single" w:sz="8" w:space="0" w:color="auto"/>
            </w:tcBorders>
            <w:shd w:val="clear" w:color="auto" w:fill="auto"/>
          </w:tcPr>
          <w:p w:rsidR="008647E5" w:rsidRPr="0039190D" w:rsidRDefault="008647E5" w:rsidP="00F577F4">
            <w:pPr>
              <w:pStyle w:val="Text"/>
              <w:spacing w:before="0" w:after="0" w:line="280" w:lineRule="atLeast"/>
              <w:ind w:right="170"/>
              <w:rPr>
                <w:rFonts w:cs="Arial"/>
                <w:lang w:val="en-NZ"/>
              </w:rPr>
            </w:pPr>
            <w:r w:rsidRPr="0039190D">
              <w:rPr>
                <w:rFonts w:cs="Arial"/>
                <w:lang w:val="en-NZ"/>
              </w:rPr>
              <w:t>Nic Blakeley</w:t>
            </w:r>
          </w:p>
          <w:p w:rsidR="008647E5" w:rsidRPr="0039190D" w:rsidRDefault="008647E5" w:rsidP="00F577F4">
            <w:pPr>
              <w:pStyle w:val="Text"/>
              <w:spacing w:before="0" w:after="0" w:line="280" w:lineRule="atLeast"/>
              <w:ind w:right="170"/>
              <w:rPr>
                <w:rFonts w:cs="Arial"/>
                <w:lang w:val="en-NZ"/>
              </w:rPr>
            </w:pPr>
            <w:r w:rsidRPr="0039190D">
              <w:rPr>
                <w:rFonts w:cs="Arial"/>
                <w:lang w:val="en-NZ"/>
              </w:rPr>
              <w:t>Deputy Chief Executive Social Policy</w:t>
            </w:r>
          </w:p>
          <w:p w:rsidR="008647E5" w:rsidRPr="0039190D" w:rsidRDefault="008647E5" w:rsidP="00F577F4">
            <w:pPr>
              <w:pStyle w:val="Text"/>
              <w:spacing w:before="0" w:after="0" w:line="280" w:lineRule="atLeast"/>
              <w:ind w:right="170"/>
              <w:rPr>
                <w:rFonts w:cs="Arial"/>
                <w:lang w:val="en-NZ"/>
              </w:rPr>
            </w:pPr>
            <w:r w:rsidRPr="0039190D">
              <w:rPr>
                <w:rFonts w:cs="Arial"/>
                <w:lang w:val="en-NZ"/>
              </w:rPr>
              <w:t>Ministry of Social Development</w:t>
            </w:r>
          </w:p>
          <w:p w:rsidR="008647E5" w:rsidRPr="003073E7" w:rsidRDefault="008647E5" w:rsidP="00F577F4">
            <w:pPr>
              <w:pStyle w:val="SignatureText"/>
              <w:spacing w:before="0"/>
              <w:jc w:val="both"/>
            </w:pPr>
          </w:p>
        </w:tc>
        <w:tc>
          <w:tcPr>
            <w:tcW w:w="1198" w:type="dxa"/>
            <w:shd w:val="clear" w:color="auto" w:fill="auto"/>
          </w:tcPr>
          <w:p w:rsidR="008647E5" w:rsidRPr="0039190D" w:rsidRDefault="008647E5" w:rsidP="00F577F4">
            <w:pPr>
              <w:tabs>
                <w:tab w:val="left" w:pos="5940"/>
              </w:tabs>
              <w:spacing w:after="0"/>
              <w:jc w:val="both"/>
              <w:rPr>
                <w:rFonts w:ascii="Verdana" w:hAnsi="Verdana"/>
              </w:rPr>
            </w:pPr>
          </w:p>
        </w:tc>
        <w:tc>
          <w:tcPr>
            <w:tcW w:w="2694" w:type="dxa"/>
            <w:tcBorders>
              <w:top w:val="single" w:sz="8" w:space="0" w:color="auto"/>
            </w:tcBorders>
            <w:shd w:val="clear" w:color="auto" w:fill="auto"/>
          </w:tcPr>
          <w:p w:rsidR="008647E5" w:rsidRPr="003073E7" w:rsidRDefault="008647E5" w:rsidP="00F577F4">
            <w:pPr>
              <w:pStyle w:val="SignatureText"/>
              <w:spacing w:before="0"/>
              <w:jc w:val="both"/>
            </w:pPr>
            <w:r w:rsidRPr="003073E7">
              <w:t>Date</w:t>
            </w:r>
          </w:p>
        </w:tc>
      </w:tr>
    </w:tbl>
    <w:p w:rsidR="00414F43" w:rsidRPr="001B674F" w:rsidRDefault="00414F43" w:rsidP="0060433F">
      <w:pPr>
        <w:keepNext/>
        <w:spacing w:after="0"/>
        <w:ind w:right="170"/>
        <w:jc w:val="both"/>
        <w:rPr>
          <w:rFonts w:ascii="Arial" w:hAnsi="Arial" w:cs="Arial"/>
          <w:b/>
          <w:color w:val="335087"/>
          <w:spacing w:val="20"/>
          <w:w w:val="90"/>
          <w:sz w:val="32"/>
          <w:szCs w:val="24"/>
        </w:rPr>
      </w:pPr>
      <w:r w:rsidRPr="001B674F">
        <w:rPr>
          <w:rFonts w:ascii="Arial" w:hAnsi="Arial" w:cs="Arial"/>
        </w:rPr>
        <w:br w:type="page"/>
      </w:r>
    </w:p>
    <w:p w:rsidR="00601BDE" w:rsidRPr="001B674F" w:rsidRDefault="00601BDE" w:rsidP="00601BDE">
      <w:pPr>
        <w:pStyle w:val="Heading2"/>
        <w:rPr>
          <w:rFonts w:ascii="Arial" w:hAnsi="Arial" w:cs="Arial"/>
        </w:rPr>
      </w:pPr>
      <w:r w:rsidRPr="001B674F">
        <w:rPr>
          <w:rFonts w:ascii="Arial" w:hAnsi="Arial" w:cs="Arial"/>
        </w:rPr>
        <w:lastRenderedPageBreak/>
        <w:t>Executive summary</w:t>
      </w:r>
    </w:p>
    <w:p w:rsidR="00213B90" w:rsidRPr="001B674F" w:rsidRDefault="004C5733" w:rsidP="00213B90">
      <w:pPr>
        <w:pStyle w:val="Bullet1"/>
        <w:numPr>
          <w:ilvl w:val="0"/>
          <w:numId w:val="0"/>
        </w:numPr>
        <w:ind w:right="170"/>
        <w:rPr>
          <w:rFonts w:ascii="Arial" w:hAnsi="Arial" w:cs="Arial"/>
        </w:rPr>
      </w:pPr>
      <w:r w:rsidRPr="001B674F">
        <w:rPr>
          <w:rFonts w:ascii="Arial" w:hAnsi="Arial" w:cs="Arial"/>
        </w:rPr>
        <w:t>In response to the</w:t>
      </w:r>
      <w:r w:rsidR="00E014C6" w:rsidRPr="001B674F">
        <w:rPr>
          <w:rFonts w:ascii="Arial" w:hAnsi="Arial" w:cs="Arial"/>
        </w:rPr>
        <w:t xml:space="preserve"> final report </w:t>
      </w:r>
      <w:r w:rsidRPr="001B674F">
        <w:rPr>
          <w:rFonts w:ascii="Arial" w:hAnsi="Arial" w:cs="Arial"/>
        </w:rPr>
        <w:t>of the</w:t>
      </w:r>
      <w:r w:rsidR="00213B90" w:rsidRPr="001B674F">
        <w:rPr>
          <w:rFonts w:ascii="Arial" w:hAnsi="Arial" w:cs="Arial"/>
        </w:rPr>
        <w:t xml:space="preserve"> Modernising Child, Youth and Family Expert Panel</w:t>
      </w:r>
      <w:r w:rsidRPr="001B674F">
        <w:rPr>
          <w:rFonts w:ascii="Arial" w:hAnsi="Arial" w:cs="Arial"/>
        </w:rPr>
        <w:t>, the Government</w:t>
      </w:r>
      <w:r w:rsidR="00213B90" w:rsidRPr="001B674F">
        <w:rPr>
          <w:rFonts w:ascii="Arial" w:hAnsi="Arial" w:cs="Arial"/>
        </w:rPr>
        <w:t xml:space="preserve"> has proposed significant changes to how the State seeks to meet the needs of vulnerable children and young people. This Regulatory Impact Statement provides an analysis of options for new workforce settings to enable more professionals to perform a broader set of functions in the new operating model. </w:t>
      </w:r>
      <w:r w:rsidR="00601584" w:rsidRPr="001B674F">
        <w:rPr>
          <w:rFonts w:ascii="Arial" w:hAnsi="Arial" w:cs="Arial"/>
        </w:rPr>
        <w:t>It also considers the related objectives of providing appropriate flexibility for the agency to deliver services via strategic partners and supporting the Chief Executive</w:t>
      </w:r>
      <w:r w:rsidR="00B22943">
        <w:rPr>
          <w:rFonts w:ascii="Arial" w:hAnsi="Arial" w:cs="Arial"/>
        </w:rPr>
        <w:t xml:space="preserve"> of the children’s agency</w:t>
      </w:r>
      <w:r w:rsidR="00601584" w:rsidRPr="001B674F">
        <w:rPr>
          <w:rFonts w:ascii="Arial" w:hAnsi="Arial" w:cs="Arial"/>
        </w:rPr>
        <w:t xml:space="preserve"> as the single point of accountability for </w:t>
      </w:r>
      <w:r w:rsidR="001B674F">
        <w:rPr>
          <w:rFonts w:ascii="Arial" w:hAnsi="Arial" w:cs="Arial"/>
        </w:rPr>
        <w:t>vulnerable children and young people</w:t>
      </w:r>
      <w:r w:rsidR="00601584" w:rsidRPr="001B674F">
        <w:rPr>
          <w:rFonts w:ascii="Arial" w:hAnsi="Arial" w:cs="Arial"/>
        </w:rPr>
        <w:t>.</w:t>
      </w:r>
    </w:p>
    <w:p w:rsidR="00213B90" w:rsidRPr="001B674F" w:rsidRDefault="00213B90" w:rsidP="00213B90">
      <w:pPr>
        <w:rPr>
          <w:rFonts w:ascii="Arial" w:hAnsi="Arial" w:cs="Arial"/>
          <w:lang w:val="en-NZ"/>
        </w:rPr>
      </w:pPr>
      <w:r w:rsidRPr="001B674F">
        <w:rPr>
          <w:rFonts w:ascii="Arial" w:hAnsi="Arial" w:cs="Arial"/>
          <w:lang w:val="en-NZ"/>
        </w:rPr>
        <w:t xml:space="preserve">The current legislative framework allocates duties and powers of decision to a number of different actors, with certain key functions being the preserve of persons employed by the department as social workers and </w:t>
      </w:r>
      <w:r w:rsidR="00DE0BBD">
        <w:rPr>
          <w:rFonts w:ascii="Arial" w:hAnsi="Arial" w:cs="Arial"/>
          <w:lang w:val="en-NZ"/>
        </w:rPr>
        <w:t>Police</w:t>
      </w:r>
      <w:r w:rsidRPr="001B674F">
        <w:rPr>
          <w:rFonts w:ascii="Arial" w:hAnsi="Arial" w:cs="Arial"/>
          <w:lang w:val="en-NZ"/>
        </w:rPr>
        <w:t xml:space="preserve"> constables. In practice, although the </w:t>
      </w:r>
      <w:r w:rsidR="00DE0BBD">
        <w:rPr>
          <w:rFonts w:ascii="Arial" w:hAnsi="Arial" w:cs="Arial"/>
          <w:lang w:val="en-NZ"/>
        </w:rPr>
        <w:t>Police</w:t>
      </w:r>
      <w:r w:rsidRPr="001B674F">
        <w:rPr>
          <w:rFonts w:ascii="Arial" w:hAnsi="Arial" w:cs="Arial"/>
          <w:lang w:val="en-NZ"/>
        </w:rPr>
        <w:t xml:space="preserve"> have a</w:t>
      </w:r>
      <w:r w:rsidR="0060433F" w:rsidRPr="001B674F">
        <w:rPr>
          <w:rFonts w:ascii="Arial" w:hAnsi="Arial" w:cs="Arial"/>
          <w:lang w:val="en-NZ"/>
        </w:rPr>
        <w:t>n</w:t>
      </w:r>
      <w:r w:rsidRPr="001B674F">
        <w:rPr>
          <w:rFonts w:ascii="Arial" w:hAnsi="Arial" w:cs="Arial"/>
          <w:lang w:val="en-NZ"/>
        </w:rPr>
        <w:t xml:space="preserve"> important role to play in particular areas, the majority of child protection</w:t>
      </w:r>
      <w:r w:rsidR="00DE0BBD">
        <w:rPr>
          <w:rFonts w:ascii="Arial" w:hAnsi="Arial" w:cs="Arial"/>
          <w:lang w:val="en-NZ"/>
        </w:rPr>
        <w:t xml:space="preserve"> functions</w:t>
      </w:r>
      <w:r w:rsidRPr="001B674F">
        <w:rPr>
          <w:rFonts w:ascii="Arial" w:hAnsi="Arial" w:cs="Arial"/>
          <w:lang w:val="en-NZ"/>
        </w:rPr>
        <w:t xml:space="preserve"> and certain youth justice functions under </w:t>
      </w:r>
      <w:r w:rsidR="00DE0BBD" w:rsidRPr="001B674F">
        <w:rPr>
          <w:rFonts w:ascii="Arial" w:hAnsi="Arial" w:cs="Arial"/>
        </w:rPr>
        <w:t>the Children, Young Persons, and Their Families Act 1989 (CYPF Act)</w:t>
      </w:r>
      <w:r w:rsidRPr="001B674F">
        <w:rPr>
          <w:rFonts w:ascii="Arial" w:hAnsi="Arial" w:cs="Arial"/>
          <w:lang w:val="en-NZ"/>
        </w:rPr>
        <w:t xml:space="preserve"> are performed by social workers.</w:t>
      </w:r>
    </w:p>
    <w:p w:rsidR="00213B90" w:rsidRPr="001B674F" w:rsidRDefault="00213B90" w:rsidP="00213B90">
      <w:pPr>
        <w:rPr>
          <w:rFonts w:ascii="Arial" w:hAnsi="Arial" w:cs="Arial"/>
          <w:lang w:val="en-NZ"/>
        </w:rPr>
      </w:pPr>
      <w:r w:rsidRPr="001B674F">
        <w:rPr>
          <w:rFonts w:ascii="Arial" w:hAnsi="Arial" w:cs="Arial"/>
          <w:lang w:val="en-NZ"/>
        </w:rPr>
        <w:t xml:space="preserve">The allocation of key functions to social workers and </w:t>
      </w:r>
      <w:r w:rsidR="00DE0BBD">
        <w:rPr>
          <w:rFonts w:ascii="Arial" w:hAnsi="Arial" w:cs="Arial"/>
          <w:lang w:val="en-NZ"/>
        </w:rPr>
        <w:t>Police</w:t>
      </w:r>
      <w:r w:rsidRPr="001B674F">
        <w:rPr>
          <w:rFonts w:ascii="Arial" w:hAnsi="Arial" w:cs="Arial"/>
          <w:lang w:val="en-NZ"/>
        </w:rPr>
        <w:t xml:space="preserve"> constables serves as a protection for the public and seeks to ensure that only suitably qualified persons are able to wield the coercive statutory powers of the State. However, the explicit naming of social workers is not common to comparable jurisdictions such as England and Australia.</w:t>
      </w:r>
    </w:p>
    <w:p w:rsidR="00213B90" w:rsidRPr="001B674F" w:rsidRDefault="00213B90" w:rsidP="00213B90">
      <w:pPr>
        <w:rPr>
          <w:rFonts w:ascii="Arial" w:hAnsi="Arial" w:cs="Arial"/>
        </w:rPr>
      </w:pPr>
      <w:r w:rsidRPr="001B674F">
        <w:rPr>
          <w:rFonts w:ascii="Arial" w:hAnsi="Arial" w:cs="Arial"/>
        </w:rPr>
        <w:t xml:space="preserve">The new operating model for responding to vulnerable children and young people envisages that while social workers would remain the main professionals discharging functions under </w:t>
      </w:r>
      <w:r w:rsidR="00DE0BBD" w:rsidRPr="001B674F">
        <w:rPr>
          <w:rFonts w:ascii="Arial" w:hAnsi="Arial" w:cs="Arial"/>
          <w:lang w:val="en-NZ"/>
        </w:rPr>
        <w:t>the CYPF Act</w:t>
      </w:r>
      <w:r w:rsidR="00DE0BBD">
        <w:rPr>
          <w:rFonts w:ascii="Arial" w:hAnsi="Arial" w:cs="Arial"/>
          <w:lang w:val="en-NZ"/>
        </w:rPr>
        <w:t>,</w:t>
      </w:r>
      <w:r w:rsidR="00DE0BBD" w:rsidRPr="001B674F">
        <w:rPr>
          <w:rFonts w:ascii="Arial" w:hAnsi="Arial" w:cs="Arial"/>
          <w:lang w:val="en-NZ"/>
        </w:rPr>
        <w:t xml:space="preserve"> </w:t>
      </w:r>
      <w:r w:rsidRPr="001B674F">
        <w:rPr>
          <w:rFonts w:ascii="Arial" w:hAnsi="Arial" w:cs="Arial"/>
        </w:rPr>
        <w:t xml:space="preserve">there would be flexibility for other professionals to play core roles in helping to identify and meet the needs of </w:t>
      </w:r>
      <w:r w:rsidR="001B674F">
        <w:rPr>
          <w:rFonts w:ascii="Arial" w:hAnsi="Arial" w:cs="Arial"/>
        </w:rPr>
        <w:t>vulnerable children and young people</w:t>
      </w:r>
      <w:r w:rsidRPr="001B674F">
        <w:rPr>
          <w:rFonts w:ascii="Arial" w:hAnsi="Arial" w:cs="Arial"/>
        </w:rPr>
        <w:t>, where they are better or equally positioned to perform those functions.</w:t>
      </w:r>
    </w:p>
    <w:p w:rsidR="00213B90" w:rsidRPr="001B674F" w:rsidRDefault="00213B90" w:rsidP="00213B90">
      <w:pPr>
        <w:pStyle w:val="Bullet1"/>
        <w:numPr>
          <w:ilvl w:val="0"/>
          <w:numId w:val="0"/>
        </w:numPr>
        <w:ind w:right="170"/>
        <w:rPr>
          <w:rFonts w:ascii="Arial" w:hAnsi="Arial" w:cs="Arial"/>
        </w:rPr>
      </w:pPr>
      <w:r w:rsidRPr="001B674F">
        <w:rPr>
          <w:rFonts w:ascii="Arial" w:hAnsi="Arial" w:cs="Arial"/>
        </w:rPr>
        <w:t xml:space="preserve">Feasible regulatory and non-regulatory options to address these concerns were assessed against the extent to which </w:t>
      </w:r>
      <w:r w:rsidR="00CA0447" w:rsidRPr="001B674F">
        <w:rPr>
          <w:rFonts w:ascii="Arial" w:hAnsi="Arial" w:cs="Arial"/>
        </w:rPr>
        <w:t xml:space="preserve">they </w:t>
      </w:r>
      <w:r w:rsidRPr="001B674F">
        <w:rPr>
          <w:rFonts w:ascii="Arial" w:hAnsi="Arial" w:cs="Arial"/>
        </w:rPr>
        <w:t xml:space="preserve">enable other professionals to perform a broader range of functions under the Act, provide </w:t>
      </w:r>
      <w:r w:rsidR="0060433F" w:rsidRPr="001B674F">
        <w:rPr>
          <w:rFonts w:ascii="Arial" w:hAnsi="Arial" w:cs="Arial"/>
        </w:rPr>
        <w:t>appropriate</w:t>
      </w:r>
      <w:r w:rsidRPr="001B674F">
        <w:rPr>
          <w:rFonts w:ascii="Arial" w:hAnsi="Arial" w:cs="Arial"/>
        </w:rPr>
        <w:t xml:space="preserve"> flexibility for the agency to deliver services via strategic partners and support the Chief Executive as the single point of accountability. Options were also assessed against durability, risk management and safety, and</w:t>
      </w:r>
      <w:r w:rsidRPr="001B674F">
        <w:rPr>
          <w:rFonts w:ascii="Arial" w:hAnsi="Arial" w:cs="Arial"/>
          <w:lang w:val="en-US"/>
        </w:rPr>
        <w:t xml:space="preserve"> promotion of the professional competency of social workers.</w:t>
      </w:r>
    </w:p>
    <w:p w:rsidR="00522BC1" w:rsidRPr="001B674F" w:rsidRDefault="00213B90" w:rsidP="00CA0447">
      <w:pPr>
        <w:spacing w:after="0"/>
        <w:rPr>
          <w:rFonts w:ascii="Arial" w:hAnsi="Arial" w:cs="Arial"/>
        </w:rPr>
      </w:pPr>
      <w:r w:rsidRPr="001B674F">
        <w:rPr>
          <w:rFonts w:ascii="Arial" w:hAnsi="Arial" w:cs="Arial"/>
        </w:rPr>
        <w:t xml:space="preserve">The preferred option is to </w:t>
      </w:r>
      <w:r w:rsidR="00522BC1" w:rsidRPr="001B674F">
        <w:rPr>
          <w:rFonts w:ascii="Arial" w:hAnsi="Arial" w:cs="Arial"/>
        </w:rPr>
        <w:t xml:space="preserve">amend the CYPF Act to vest the functions currently residing with social workers instead in the </w:t>
      </w:r>
      <w:r w:rsidR="00E014C6" w:rsidRPr="001B674F">
        <w:rPr>
          <w:rFonts w:ascii="Arial" w:hAnsi="Arial" w:cs="Arial"/>
        </w:rPr>
        <w:t>Chief Executive</w:t>
      </w:r>
      <w:r w:rsidR="00522BC1" w:rsidRPr="001B674F">
        <w:rPr>
          <w:rFonts w:ascii="Arial" w:hAnsi="Arial" w:cs="Arial"/>
        </w:rPr>
        <w:t xml:space="preserve">. Under the provisions of the State Sector Act 1988 this will enable the </w:t>
      </w:r>
      <w:r w:rsidR="00E014C6" w:rsidRPr="001B674F">
        <w:rPr>
          <w:rFonts w:ascii="Arial" w:hAnsi="Arial" w:cs="Arial"/>
        </w:rPr>
        <w:t>Chief Executive</w:t>
      </w:r>
      <w:r w:rsidR="00522BC1" w:rsidRPr="001B674F">
        <w:rPr>
          <w:rFonts w:ascii="Arial" w:hAnsi="Arial" w:cs="Arial"/>
        </w:rPr>
        <w:t xml:space="preserve"> to delegate, in writing, </w:t>
      </w:r>
      <w:r w:rsidR="00CA0447" w:rsidRPr="001B674F">
        <w:rPr>
          <w:rFonts w:ascii="Arial" w:hAnsi="Arial" w:cs="Arial"/>
        </w:rPr>
        <w:t>their</w:t>
      </w:r>
      <w:r w:rsidR="00522BC1" w:rsidRPr="001B674F">
        <w:rPr>
          <w:rFonts w:ascii="Arial" w:hAnsi="Arial" w:cs="Arial"/>
        </w:rPr>
        <w:t xml:space="preserve"> functions to employees in the department and elsewhere in the public service who are not social workers, and persons outside the public service with the appropriate Minister’s prior written approval.</w:t>
      </w:r>
      <w:r w:rsidRPr="001B674F">
        <w:rPr>
          <w:rFonts w:ascii="Arial" w:hAnsi="Arial" w:cs="Arial"/>
        </w:rPr>
        <w:t xml:space="preserve"> In addition</w:t>
      </w:r>
      <w:r w:rsidR="00BC2008" w:rsidRPr="001B674F">
        <w:rPr>
          <w:rFonts w:ascii="Arial" w:hAnsi="Arial" w:cs="Arial"/>
        </w:rPr>
        <w:t>,</w:t>
      </w:r>
      <w:r w:rsidRPr="001B674F">
        <w:rPr>
          <w:rFonts w:ascii="Arial" w:hAnsi="Arial" w:cs="Arial"/>
        </w:rPr>
        <w:t xml:space="preserve"> further</w:t>
      </w:r>
      <w:r w:rsidR="00522BC1" w:rsidRPr="001B674F">
        <w:rPr>
          <w:rFonts w:ascii="Arial" w:hAnsi="Arial" w:cs="Arial"/>
        </w:rPr>
        <w:t xml:space="preserve"> constraints on these delegation powers </w:t>
      </w:r>
      <w:r w:rsidRPr="001B674F">
        <w:rPr>
          <w:rFonts w:ascii="Arial" w:hAnsi="Arial" w:cs="Arial"/>
        </w:rPr>
        <w:t xml:space="preserve">are recommended </w:t>
      </w:r>
      <w:r w:rsidR="00522BC1" w:rsidRPr="001B674F">
        <w:rPr>
          <w:rFonts w:ascii="Arial" w:hAnsi="Arial" w:cs="Arial"/>
        </w:rPr>
        <w:t>to ensure the appropriate transparency and limitations on the use of coercive powers:</w:t>
      </w:r>
    </w:p>
    <w:p w:rsidR="00522BC1" w:rsidRPr="001B674F" w:rsidRDefault="00522BC1" w:rsidP="00477434">
      <w:pPr>
        <w:pStyle w:val="Bullet1"/>
        <w:ind w:left="357" w:hanging="357"/>
        <w:rPr>
          <w:rFonts w:ascii="Arial" w:hAnsi="Arial" w:cs="Arial"/>
        </w:rPr>
      </w:pPr>
      <w:r w:rsidRPr="001B674F">
        <w:rPr>
          <w:rFonts w:ascii="Arial" w:hAnsi="Arial" w:cs="Arial"/>
        </w:rPr>
        <w:t xml:space="preserve">that the </w:t>
      </w:r>
      <w:r w:rsidR="00E014C6" w:rsidRPr="001B674F">
        <w:rPr>
          <w:rFonts w:ascii="Arial" w:hAnsi="Arial" w:cs="Arial"/>
        </w:rPr>
        <w:t>Chief Executive</w:t>
      </w:r>
      <w:r w:rsidRPr="001B674F">
        <w:rPr>
          <w:rFonts w:ascii="Arial" w:hAnsi="Arial" w:cs="Arial"/>
        </w:rPr>
        <w:t xml:space="preserve"> would only be able to delegate functions to people who </w:t>
      </w:r>
      <w:r w:rsidR="00CA0447" w:rsidRPr="001B674F">
        <w:rPr>
          <w:rFonts w:ascii="Arial" w:hAnsi="Arial" w:cs="Arial"/>
        </w:rPr>
        <w:t>have the</w:t>
      </w:r>
      <w:r w:rsidRPr="001B674F">
        <w:rPr>
          <w:rFonts w:ascii="Arial" w:hAnsi="Arial" w:cs="Arial"/>
        </w:rPr>
        <w:t xml:space="preserve"> interpersonal skills, training, and experience to be suitably qualified to perform those functions</w:t>
      </w:r>
    </w:p>
    <w:p w:rsidR="00601584" w:rsidRPr="001B674F" w:rsidRDefault="00601584" w:rsidP="00601584">
      <w:pPr>
        <w:pStyle w:val="Bullet1"/>
        <w:rPr>
          <w:rFonts w:ascii="Arial" w:hAnsi="Arial" w:cs="Arial"/>
        </w:rPr>
      </w:pPr>
      <w:r w:rsidRPr="001B674F">
        <w:rPr>
          <w:rFonts w:ascii="Arial" w:hAnsi="Arial" w:cs="Arial"/>
        </w:rPr>
        <w:t xml:space="preserve">that if delegating outside the State sector, the </w:t>
      </w:r>
      <w:r w:rsidR="00E014C6" w:rsidRPr="001B674F">
        <w:rPr>
          <w:rFonts w:ascii="Arial" w:hAnsi="Arial" w:cs="Arial"/>
        </w:rPr>
        <w:t>Chief Executive</w:t>
      </w:r>
      <w:r w:rsidRPr="001B674F">
        <w:rPr>
          <w:rFonts w:ascii="Arial" w:hAnsi="Arial" w:cs="Arial"/>
        </w:rPr>
        <w:t xml:space="preserve"> be required by the legislation to have contractual requirements in place to support the appropriate exercise of the delegation and to enable the person with delegated authority to be held to account</w:t>
      </w:r>
    </w:p>
    <w:p w:rsidR="00601584" w:rsidRPr="001B674F" w:rsidRDefault="00601584" w:rsidP="00601584">
      <w:pPr>
        <w:pStyle w:val="Bullet1"/>
        <w:rPr>
          <w:rFonts w:ascii="Arial" w:hAnsi="Arial" w:cs="Arial"/>
        </w:rPr>
      </w:pPr>
      <w:r w:rsidRPr="001B674F">
        <w:rPr>
          <w:rFonts w:ascii="Arial" w:hAnsi="Arial" w:cs="Arial"/>
        </w:rPr>
        <w:t xml:space="preserve">that the legislation require those exercising delegated authority to have regard to any guidance issued by the </w:t>
      </w:r>
      <w:r w:rsidR="00E014C6" w:rsidRPr="001B674F">
        <w:rPr>
          <w:rFonts w:ascii="Arial" w:hAnsi="Arial" w:cs="Arial"/>
        </w:rPr>
        <w:t>Chief Executive</w:t>
      </w:r>
    </w:p>
    <w:p w:rsidR="00522BC1" w:rsidRPr="001B674F" w:rsidRDefault="00522BC1" w:rsidP="00477434">
      <w:pPr>
        <w:pStyle w:val="Bullet1"/>
        <w:ind w:left="357" w:hanging="357"/>
        <w:rPr>
          <w:rFonts w:ascii="Arial" w:hAnsi="Arial" w:cs="Arial"/>
        </w:rPr>
      </w:pPr>
      <w:proofErr w:type="gramStart"/>
      <w:r w:rsidRPr="001B674F">
        <w:rPr>
          <w:rFonts w:ascii="Arial" w:hAnsi="Arial" w:cs="Arial"/>
        </w:rPr>
        <w:lastRenderedPageBreak/>
        <w:t>that</w:t>
      </w:r>
      <w:proofErr w:type="gramEnd"/>
      <w:r w:rsidRPr="001B674F">
        <w:rPr>
          <w:rFonts w:ascii="Arial" w:hAnsi="Arial" w:cs="Arial"/>
        </w:rPr>
        <w:t xml:space="preserve"> the </w:t>
      </w:r>
      <w:r w:rsidR="00E014C6" w:rsidRPr="001B674F">
        <w:rPr>
          <w:rFonts w:ascii="Arial" w:hAnsi="Arial" w:cs="Arial"/>
        </w:rPr>
        <w:t>Chief Executive</w:t>
      </w:r>
      <w:r w:rsidRPr="001B674F">
        <w:rPr>
          <w:rFonts w:ascii="Arial" w:hAnsi="Arial" w:cs="Arial"/>
        </w:rPr>
        <w:t xml:space="preserve"> be required to maintain a publicly accessible register of delegations to ensure transparency and clarity for the sector and the public.</w:t>
      </w:r>
    </w:p>
    <w:p w:rsidR="00522BC1" w:rsidRPr="001B674F" w:rsidRDefault="00213B90" w:rsidP="00522BC1">
      <w:pPr>
        <w:rPr>
          <w:rFonts w:ascii="Arial" w:hAnsi="Arial" w:cs="Arial"/>
        </w:rPr>
      </w:pPr>
      <w:r w:rsidRPr="001B674F">
        <w:rPr>
          <w:rFonts w:ascii="Arial" w:hAnsi="Arial" w:cs="Arial"/>
        </w:rPr>
        <w:t>To ensure that</w:t>
      </w:r>
      <w:r w:rsidR="00522BC1" w:rsidRPr="001B674F">
        <w:rPr>
          <w:rFonts w:ascii="Arial" w:hAnsi="Arial" w:cs="Arial"/>
        </w:rPr>
        <w:t xml:space="preserve"> the legislation continues to reflect the special nature of the contribution of social workers in the child protection system</w:t>
      </w:r>
      <w:r w:rsidRPr="001B674F">
        <w:rPr>
          <w:rFonts w:ascii="Arial" w:hAnsi="Arial" w:cs="Arial"/>
        </w:rPr>
        <w:t>, an</w:t>
      </w:r>
      <w:r w:rsidR="00522BC1" w:rsidRPr="001B674F">
        <w:rPr>
          <w:rFonts w:ascii="Arial" w:hAnsi="Arial" w:cs="Arial"/>
        </w:rPr>
        <w:t xml:space="preserve"> amendment</w:t>
      </w:r>
      <w:r w:rsidRPr="001B674F">
        <w:rPr>
          <w:rFonts w:ascii="Arial" w:hAnsi="Arial" w:cs="Arial"/>
        </w:rPr>
        <w:t xml:space="preserve"> is also proposed to</w:t>
      </w:r>
      <w:r w:rsidR="00522BC1" w:rsidRPr="001B674F">
        <w:rPr>
          <w:rFonts w:ascii="Arial" w:hAnsi="Arial" w:cs="Arial"/>
        </w:rPr>
        <w:t xml:space="preserve"> provide that the </w:t>
      </w:r>
      <w:r w:rsidR="00E014C6" w:rsidRPr="001B674F">
        <w:rPr>
          <w:rFonts w:ascii="Arial" w:hAnsi="Arial" w:cs="Arial"/>
        </w:rPr>
        <w:t>Chief Executive</w:t>
      </w:r>
      <w:r w:rsidR="00522BC1" w:rsidRPr="001B674F">
        <w:rPr>
          <w:rFonts w:ascii="Arial" w:hAnsi="Arial" w:cs="Arial"/>
        </w:rPr>
        <w:t xml:space="preserve"> be deemed to have delegated the relevant functions to social workers unless </w:t>
      </w:r>
      <w:r w:rsidR="00CA0447" w:rsidRPr="001B674F">
        <w:rPr>
          <w:rFonts w:ascii="Arial" w:hAnsi="Arial" w:cs="Arial"/>
        </w:rPr>
        <w:t>they</w:t>
      </w:r>
      <w:r w:rsidR="00522BC1" w:rsidRPr="001B674F">
        <w:rPr>
          <w:rFonts w:ascii="Arial" w:hAnsi="Arial" w:cs="Arial"/>
        </w:rPr>
        <w:t xml:space="preserve"> ha</w:t>
      </w:r>
      <w:r w:rsidR="00CA0447" w:rsidRPr="001B674F">
        <w:rPr>
          <w:rFonts w:ascii="Arial" w:hAnsi="Arial" w:cs="Arial"/>
        </w:rPr>
        <w:t>ve</w:t>
      </w:r>
      <w:r w:rsidR="00522BC1" w:rsidRPr="001B674F">
        <w:rPr>
          <w:rFonts w:ascii="Arial" w:hAnsi="Arial" w:cs="Arial"/>
        </w:rPr>
        <w:t xml:space="preserve"> specified otherwise in the publicly available register of delegations.</w:t>
      </w:r>
    </w:p>
    <w:p w:rsidR="00213B90" w:rsidRPr="001B674F" w:rsidRDefault="00CA0447" w:rsidP="00522BC1">
      <w:pPr>
        <w:rPr>
          <w:rFonts w:ascii="Arial" w:hAnsi="Arial" w:cs="Arial"/>
        </w:rPr>
      </w:pPr>
      <w:r w:rsidRPr="001B674F">
        <w:rPr>
          <w:rFonts w:ascii="Arial" w:hAnsi="Arial" w:cs="Arial"/>
        </w:rPr>
        <w:t xml:space="preserve">Further work on the detailed design of the new operating model will consider decisions on future roles, responsibilities, services and investment, in partnership with those to whom the functions may be delegated. Any delegations will take account of issues such as the availability of a particular class of professionals and the cost implications. The particular operational decisions taken will also influence the protective measures the </w:t>
      </w:r>
      <w:r w:rsidR="00E014C6" w:rsidRPr="001B674F">
        <w:rPr>
          <w:rFonts w:ascii="Arial" w:hAnsi="Arial" w:cs="Arial"/>
        </w:rPr>
        <w:t>Chief Executive</w:t>
      </w:r>
      <w:r w:rsidRPr="001B674F">
        <w:rPr>
          <w:rFonts w:ascii="Arial" w:hAnsi="Arial" w:cs="Arial"/>
        </w:rPr>
        <w:t xml:space="preserve"> will need to put in place around matters such as dispute resolution and complaints (ie for children</w:t>
      </w:r>
      <w:r w:rsidR="00DE0BBD">
        <w:rPr>
          <w:rFonts w:ascii="Arial" w:hAnsi="Arial" w:cs="Arial"/>
        </w:rPr>
        <w:t xml:space="preserve">, young people </w:t>
      </w:r>
      <w:r w:rsidRPr="001B674F">
        <w:rPr>
          <w:rFonts w:ascii="Arial" w:hAnsi="Arial" w:cs="Arial"/>
        </w:rPr>
        <w:t>and families)</w:t>
      </w:r>
      <w:r w:rsidR="00477434" w:rsidRPr="001B674F">
        <w:rPr>
          <w:rFonts w:ascii="Arial" w:hAnsi="Arial" w:cs="Arial"/>
        </w:rPr>
        <w:t>,</w:t>
      </w:r>
      <w:r w:rsidRPr="001B674F">
        <w:rPr>
          <w:rFonts w:ascii="Arial" w:hAnsi="Arial" w:cs="Arial"/>
        </w:rPr>
        <w:t xml:space="preserve"> and training and competency assessment. </w:t>
      </w:r>
    </w:p>
    <w:p w:rsidR="003940AB" w:rsidRPr="001B674F" w:rsidRDefault="003940AB" w:rsidP="003940AB">
      <w:pPr>
        <w:keepNext/>
        <w:tabs>
          <w:tab w:val="left" w:pos="567"/>
        </w:tabs>
        <w:spacing w:before="240" w:after="180" w:line="240" w:lineRule="auto"/>
        <w:ind w:left="567" w:hanging="567"/>
        <w:outlineLvl w:val="1"/>
        <w:rPr>
          <w:rFonts w:ascii="Arial" w:hAnsi="Arial" w:cs="Arial"/>
          <w:b/>
          <w:color w:val="335087"/>
          <w:spacing w:val="20"/>
          <w:w w:val="90"/>
          <w:sz w:val="32"/>
          <w:szCs w:val="24"/>
        </w:rPr>
      </w:pPr>
      <w:r w:rsidRPr="001B674F">
        <w:rPr>
          <w:rFonts w:ascii="Arial" w:hAnsi="Arial" w:cs="Arial"/>
          <w:b/>
          <w:color w:val="335087"/>
          <w:spacing w:val="20"/>
          <w:w w:val="90"/>
          <w:sz w:val="32"/>
          <w:szCs w:val="24"/>
        </w:rPr>
        <w:t>Policy context</w:t>
      </w:r>
    </w:p>
    <w:p w:rsidR="003940AB" w:rsidRPr="001B674F" w:rsidRDefault="003940AB" w:rsidP="000C7BFE">
      <w:pPr>
        <w:spacing w:after="0"/>
        <w:ind w:right="170"/>
        <w:rPr>
          <w:rFonts w:ascii="Arial" w:hAnsi="Arial" w:cs="Arial"/>
        </w:rPr>
      </w:pPr>
      <w:r w:rsidRPr="001B674F">
        <w:rPr>
          <w:rFonts w:ascii="Arial" w:hAnsi="Arial" w:cs="Arial"/>
        </w:rPr>
        <w:t xml:space="preserve">There are a significant number of children and young people in New Zealand whose basic safety, emotional, physical, social, </w:t>
      </w:r>
      <w:proofErr w:type="gramStart"/>
      <w:r w:rsidRPr="001B674F">
        <w:rPr>
          <w:rFonts w:ascii="Arial" w:hAnsi="Arial" w:cs="Arial"/>
        </w:rPr>
        <w:t>cultural</w:t>
      </w:r>
      <w:proofErr w:type="gramEnd"/>
      <w:r w:rsidRPr="001B674F">
        <w:rPr>
          <w:rFonts w:ascii="Arial" w:hAnsi="Arial" w:cs="Arial"/>
        </w:rPr>
        <w:t xml:space="preserve"> or development needs are not met at home or in the wider community.</w:t>
      </w:r>
      <w:r w:rsidR="001C7929" w:rsidRPr="001B674F">
        <w:rPr>
          <w:rFonts w:ascii="Arial" w:hAnsi="Arial" w:cs="Arial"/>
        </w:rPr>
        <w:t xml:space="preserve"> </w:t>
      </w:r>
      <w:r w:rsidRPr="001B674F">
        <w:rPr>
          <w:rFonts w:ascii="Arial" w:hAnsi="Arial" w:cs="Arial"/>
        </w:rPr>
        <w:t>For example:</w:t>
      </w:r>
    </w:p>
    <w:p w:rsidR="003940AB" w:rsidRPr="001B674F" w:rsidRDefault="003940AB" w:rsidP="003940AB">
      <w:pPr>
        <w:pStyle w:val="ListParagraph"/>
        <w:numPr>
          <w:ilvl w:val="0"/>
          <w:numId w:val="17"/>
        </w:numPr>
        <w:suppressAutoHyphens/>
        <w:autoSpaceDE w:val="0"/>
        <w:autoSpaceDN w:val="0"/>
        <w:adjustRightInd w:val="0"/>
        <w:spacing w:after="120" w:line="288" w:lineRule="auto"/>
        <w:ind w:left="567" w:hanging="567"/>
        <w:textAlignment w:val="center"/>
        <w:rPr>
          <w:rFonts w:ascii="Arial" w:hAnsi="Arial" w:cs="Arial"/>
          <w:kern w:val="28"/>
          <w:lang w:eastAsia="en-AU"/>
        </w:rPr>
      </w:pPr>
      <w:r w:rsidRPr="001B674F">
        <w:rPr>
          <w:rFonts w:ascii="Arial" w:hAnsi="Arial" w:cs="Arial"/>
          <w:kern w:val="28"/>
          <w:lang w:eastAsia="en-AU"/>
        </w:rPr>
        <w:t>it is estimated that around 230,000 children and young people currently under 18 may experience vulnerability at some point during their childhood</w:t>
      </w:r>
      <w:r w:rsidRPr="001B674F">
        <w:rPr>
          <w:rFonts w:ascii="Arial" w:hAnsi="Arial" w:cs="Arial"/>
          <w:kern w:val="28"/>
          <w:vertAlign w:val="superscript"/>
          <w:lang w:eastAsia="en-AU"/>
        </w:rPr>
        <w:footnoteReference w:id="2"/>
      </w:r>
    </w:p>
    <w:p w:rsidR="003940AB" w:rsidRPr="001B674F" w:rsidRDefault="003940AB" w:rsidP="003940AB">
      <w:pPr>
        <w:pStyle w:val="ListParagraph"/>
        <w:numPr>
          <w:ilvl w:val="0"/>
          <w:numId w:val="17"/>
        </w:numPr>
        <w:suppressAutoHyphens/>
        <w:autoSpaceDE w:val="0"/>
        <w:autoSpaceDN w:val="0"/>
        <w:adjustRightInd w:val="0"/>
        <w:spacing w:after="120" w:line="288" w:lineRule="auto"/>
        <w:ind w:left="567" w:hanging="567"/>
        <w:textAlignment w:val="center"/>
        <w:rPr>
          <w:rFonts w:ascii="Arial" w:hAnsi="Arial" w:cs="Arial"/>
          <w:kern w:val="28"/>
          <w:lang w:eastAsia="en-AU"/>
        </w:rPr>
      </w:pPr>
      <w:proofErr w:type="gramStart"/>
      <w:r w:rsidRPr="001B674F">
        <w:rPr>
          <w:rFonts w:ascii="Arial" w:hAnsi="Arial" w:cs="Arial"/>
          <w:kern w:val="28"/>
          <w:lang w:eastAsia="en-AU"/>
        </w:rPr>
        <w:t>data</w:t>
      </w:r>
      <w:proofErr w:type="gramEnd"/>
      <w:r w:rsidRPr="001B674F">
        <w:rPr>
          <w:rFonts w:ascii="Arial" w:hAnsi="Arial" w:cs="Arial"/>
          <w:kern w:val="28"/>
          <w:lang w:eastAsia="en-AU"/>
        </w:rPr>
        <w:t xml:space="preserve"> indicates that around 20 per cent of children and young people in any birth cohort are known to Child, Youth and Family by age 17.</w:t>
      </w:r>
      <w:r w:rsidRPr="001B674F">
        <w:rPr>
          <w:rFonts w:ascii="Arial" w:hAnsi="Arial" w:cs="Arial"/>
          <w:kern w:val="28"/>
          <w:vertAlign w:val="superscript"/>
          <w:lang w:eastAsia="en-AU"/>
        </w:rPr>
        <w:footnoteReference w:id="3"/>
      </w:r>
    </w:p>
    <w:p w:rsidR="003940AB" w:rsidRPr="001B674F" w:rsidRDefault="003940AB" w:rsidP="003940AB">
      <w:pPr>
        <w:ind w:right="170"/>
        <w:rPr>
          <w:rFonts w:ascii="Arial" w:hAnsi="Arial" w:cs="Arial"/>
        </w:rPr>
      </w:pPr>
      <w:r w:rsidRPr="001B674F">
        <w:rPr>
          <w:rFonts w:ascii="Arial" w:hAnsi="Arial" w:cs="Arial"/>
        </w:rPr>
        <w:t>Children and young people who have contact with Child, Youth and Family’s care and protection and youth justice systems are some of the most vulnerable, as reflected in their disproportionately high likelihood of experiencing certain poor long-term outcomes.</w:t>
      </w:r>
    </w:p>
    <w:p w:rsidR="003940AB" w:rsidRPr="001B674F" w:rsidRDefault="003940AB" w:rsidP="003940AB">
      <w:pPr>
        <w:ind w:right="170"/>
        <w:rPr>
          <w:rFonts w:ascii="Arial" w:hAnsi="Arial" w:cs="Arial"/>
        </w:rPr>
      </w:pPr>
      <w:r w:rsidRPr="001B674F">
        <w:rPr>
          <w:rFonts w:ascii="Arial" w:hAnsi="Arial" w:cs="Arial"/>
        </w:rPr>
        <w:t xml:space="preserve">While Government has sought to redesign the service landscape for vulnerable children and their families through the White Paper for Vulnerable Children and the Children’s Action Plan, ongoing and significant issues </w:t>
      </w:r>
      <w:r w:rsidR="000B111B" w:rsidRPr="001B674F">
        <w:rPr>
          <w:rFonts w:ascii="Arial" w:hAnsi="Arial" w:cs="Arial"/>
        </w:rPr>
        <w:t xml:space="preserve">have been </w:t>
      </w:r>
      <w:r w:rsidRPr="001B674F">
        <w:rPr>
          <w:rFonts w:ascii="Arial" w:hAnsi="Arial" w:cs="Arial"/>
        </w:rPr>
        <w:t>identified with how Child, Youth and Family operates.</w:t>
      </w:r>
    </w:p>
    <w:p w:rsidR="003940AB" w:rsidRPr="001B674F" w:rsidRDefault="003940AB" w:rsidP="003940AB">
      <w:pPr>
        <w:ind w:right="170"/>
        <w:rPr>
          <w:rFonts w:ascii="Arial" w:hAnsi="Arial" w:cs="Arial"/>
          <w:kern w:val="28"/>
          <w:lang w:eastAsia="en-AU"/>
        </w:rPr>
      </w:pPr>
      <w:r w:rsidRPr="001B674F">
        <w:rPr>
          <w:rFonts w:ascii="Arial" w:hAnsi="Arial" w:cs="Arial"/>
        </w:rPr>
        <w:t>In April 2015</w:t>
      </w:r>
      <w:r w:rsidR="00643368" w:rsidRPr="001B674F">
        <w:rPr>
          <w:rFonts w:ascii="Arial" w:hAnsi="Arial" w:cs="Arial"/>
        </w:rPr>
        <w:t>,</w:t>
      </w:r>
      <w:r w:rsidRPr="001B674F">
        <w:rPr>
          <w:rFonts w:ascii="Arial" w:hAnsi="Arial" w:cs="Arial"/>
        </w:rPr>
        <w:t xml:space="preserve"> the Minister for Social Development established the Modernising Child, Youth and Family Expert Panel (the Panel) to develop a plan for the modernisation of Child, Youth and Family [SOC Min (15) 2/2 refers]. </w:t>
      </w:r>
      <w:r w:rsidRPr="001B674F">
        <w:rPr>
          <w:rFonts w:ascii="Arial" w:hAnsi="Arial" w:cs="Arial"/>
          <w:kern w:val="28"/>
          <w:lang w:eastAsia="en-AU"/>
        </w:rPr>
        <w:t>The scope of the Expert Panel, as described in the Terms of Reference, included the interactions, alignments and responsibilities of Child, Youth and Family, Children’s Teams and other relevant services.</w:t>
      </w:r>
    </w:p>
    <w:p w:rsidR="003940AB" w:rsidRPr="001B674F" w:rsidRDefault="003940AB" w:rsidP="003940AB">
      <w:pPr>
        <w:suppressAutoHyphens/>
        <w:autoSpaceDE w:val="0"/>
        <w:autoSpaceDN w:val="0"/>
        <w:adjustRightInd w:val="0"/>
        <w:textAlignment w:val="center"/>
        <w:rPr>
          <w:rFonts w:ascii="Arial" w:hAnsi="Arial" w:cs="Arial"/>
          <w:kern w:val="28"/>
          <w:lang w:eastAsia="en-AU"/>
        </w:rPr>
      </w:pPr>
      <w:r w:rsidRPr="001B674F">
        <w:rPr>
          <w:rFonts w:ascii="Arial" w:hAnsi="Arial" w:cs="Arial"/>
          <w:kern w:val="28"/>
          <w:lang w:eastAsia="en-AU"/>
        </w:rPr>
        <w:t xml:space="preserve">On 14 September 2015, Cabinet noted the Panel’s Interim Report and noted that the Report signals the need for a substantial, multi-year programme of transformational, system-wide change in order to deliver on our aspirations for </w:t>
      </w:r>
      <w:r w:rsidR="001B674F">
        <w:rPr>
          <w:rFonts w:ascii="Arial" w:hAnsi="Arial" w:cs="Arial"/>
          <w:kern w:val="28"/>
          <w:lang w:eastAsia="en-AU"/>
        </w:rPr>
        <w:t>vulnerable children and young people</w:t>
      </w:r>
      <w:r w:rsidRPr="001B674F">
        <w:rPr>
          <w:rFonts w:ascii="Arial" w:hAnsi="Arial" w:cs="Arial"/>
          <w:kern w:val="28"/>
          <w:lang w:eastAsia="en-AU"/>
        </w:rPr>
        <w:t xml:space="preserve"> [CAB Min (15) 75 refers]. Cabinet also endorsed a child-centred system and an investment </w:t>
      </w:r>
      <w:r w:rsidRPr="001B674F">
        <w:rPr>
          <w:rFonts w:ascii="Arial" w:hAnsi="Arial" w:cs="Arial"/>
          <w:kern w:val="28"/>
          <w:lang w:eastAsia="en-AU"/>
        </w:rPr>
        <w:lastRenderedPageBreak/>
        <w:t xml:space="preserve">approach for </w:t>
      </w:r>
      <w:r w:rsidR="001B674F">
        <w:rPr>
          <w:rFonts w:ascii="Arial" w:hAnsi="Arial" w:cs="Arial"/>
          <w:kern w:val="28"/>
          <w:lang w:eastAsia="en-AU"/>
        </w:rPr>
        <w:t>vulnerable children and young people</w:t>
      </w:r>
      <w:r w:rsidRPr="001B674F">
        <w:rPr>
          <w:rFonts w:ascii="Arial" w:hAnsi="Arial" w:cs="Arial"/>
          <w:kern w:val="28"/>
          <w:lang w:eastAsia="en-AU"/>
        </w:rPr>
        <w:t xml:space="preserve"> as two of the building blocks for the new operating model [CAB Min (15) 75 refers].</w:t>
      </w:r>
    </w:p>
    <w:p w:rsidR="003940AB" w:rsidRPr="001B674F" w:rsidRDefault="003940AB" w:rsidP="003940AB">
      <w:pPr>
        <w:ind w:right="170"/>
        <w:rPr>
          <w:rFonts w:ascii="Arial" w:hAnsi="Arial" w:cs="Arial"/>
        </w:rPr>
      </w:pPr>
      <w:r w:rsidRPr="001B674F">
        <w:rPr>
          <w:rFonts w:ascii="Arial" w:hAnsi="Arial" w:cs="Arial"/>
        </w:rPr>
        <w:t>In its final report of December 2015, the Panel identified a number of issues with the performance of the current system, and proposed significant changes to how the State seeks to meet the needs of vulnerable children and young people.</w:t>
      </w:r>
    </w:p>
    <w:p w:rsidR="003940AB" w:rsidRPr="001B674F" w:rsidRDefault="003940AB" w:rsidP="003940AB">
      <w:pPr>
        <w:rPr>
          <w:rFonts w:ascii="Arial" w:hAnsi="Arial" w:cs="Arial"/>
        </w:rPr>
      </w:pPr>
      <w:r w:rsidRPr="001B674F">
        <w:rPr>
          <w:rFonts w:ascii="Arial" w:hAnsi="Arial" w:cs="Arial"/>
        </w:rPr>
        <w:t xml:space="preserve">The Expert Panel’s </w:t>
      </w:r>
      <w:r w:rsidR="0031105F" w:rsidRPr="001B674F">
        <w:rPr>
          <w:rFonts w:ascii="Arial" w:hAnsi="Arial" w:cs="Arial"/>
        </w:rPr>
        <w:t>recommendation</w:t>
      </w:r>
      <w:r w:rsidRPr="001B674F">
        <w:rPr>
          <w:rFonts w:ascii="Arial" w:hAnsi="Arial" w:cs="Arial"/>
        </w:rPr>
        <w:t xml:space="preserve">s involve the introduction of an investment approach to tilt the focus of the system towards children’s wellbeing and away from immediate minimisation of risk of harm; and strategic partnership with caregivers, providers and other agencies to agree and work towards shared goals for children. It would involve significant cultural shifts to put children at the centre of the system, legislative and policy change, enhancements to service provision, greater engagement of New Zealanders, significant new investment, as well as significant changes to the operating model of the core agency involved in the system. </w:t>
      </w:r>
    </w:p>
    <w:p w:rsidR="00F53B4C" w:rsidRPr="001B674F" w:rsidRDefault="00601584" w:rsidP="00F53B4C">
      <w:pPr>
        <w:rPr>
          <w:rFonts w:ascii="Arial" w:hAnsi="Arial" w:cs="Arial"/>
        </w:rPr>
      </w:pPr>
      <w:r w:rsidRPr="001B674F">
        <w:rPr>
          <w:rFonts w:ascii="Arial" w:hAnsi="Arial" w:cs="Arial"/>
        </w:rPr>
        <w:t>Workforce related e</w:t>
      </w:r>
      <w:r w:rsidR="00F53B4C" w:rsidRPr="001B674F">
        <w:rPr>
          <w:rFonts w:ascii="Arial" w:hAnsi="Arial" w:cs="Arial"/>
        </w:rPr>
        <w:t>lement</w:t>
      </w:r>
      <w:r w:rsidRPr="001B674F">
        <w:rPr>
          <w:rFonts w:ascii="Arial" w:hAnsi="Arial" w:cs="Arial"/>
        </w:rPr>
        <w:t>s</w:t>
      </w:r>
      <w:r w:rsidR="00F53B4C" w:rsidRPr="001B674F">
        <w:rPr>
          <w:rFonts w:ascii="Arial" w:hAnsi="Arial" w:cs="Arial"/>
        </w:rPr>
        <w:t xml:space="preserve"> of the proposals </w:t>
      </w:r>
      <w:r w:rsidR="000B111B" w:rsidRPr="001B674F">
        <w:rPr>
          <w:rFonts w:ascii="Arial" w:hAnsi="Arial" w:cs="Arial"/>
        </w:rPr>
        <w:t>in</w:t>
      </w:r>
      <w:r w:rsidRPr="001B674F">
        <w:rPr>
          <w:rFonts w:ascii="Arial" w:hAnsi="Arial" w:cs="Arial"/>
        </w:rPr>
        <w:t>cluded</w:t>
      </w:r>
      <w:r w:rsidR="000B111B" w:rsidRPr="001B674F">
        <w:rPr>
          <w:rFonts w:ascii="Arial" w:hAnsi="Arial" w:cs="Arial"/>
        </w:rPr>
        <w:t xml:space="preserve"> </w:t>
      </w:r>
      <w:r w:rsidR="00F23AD7" w:rsidRPr="001B674F">
        <w:rPr>
          <w:rFonts w:ascii="Arial" w:hAnsi="Arial" w:cs="Arial"/>
        </w:rPr>
        <w:t>creat</w:t>
      </w:r>
      <w:r w:rsidRPr="001B674F">
        <w:rPr>
          <w:rFonts w:ascii="Arial" w:hAnsi="Arial" w:cs="Arial"/>
        </w:rPr>
        <w:t>ing</w:t>
      </w:r>
      <w:r w:rsidR="00F53B4C" w:rsidRPr="001B674F">
        <w:rPr>
          <w:rFonts w:ascii="Arial" w:hAnsi="Arial" w:cs="Arial"/>
        </w:rPr>
        <w:t xml:space="preserve"> a single point of accountability for </w:t>
      </w:r>
      <w:r w:rsidR="001B674F">
        <w:rPr>
          <w:rFonts w:ascii="Arial" w:hAnsi="Arial" w:cs="Arial"/>
        </w:rPr>
        <w:t>vulnerable children and young people</w:t>
      </w:r>
      <w:r w:rsidRPr="001B674F">
        <w:rPr>
          <w:rFonts w:ascii="Arial" w:hAnsi="Arial" w:cs="Arial"/>
        </w:rPr>
        <w:t xml:space="preserve">, flexibility for the agency to deliver services via strategic partners </w:t>
      </w:r>
      <w:r w:rsidR="00F53B4C" w:rsidRPr="001B674F">
        <w:rPr>
          <w:rFonts w:ascii="Arial" w:hAnsi="Arial" w:cs="Arial"/>
        </w:rPr>
        <w:t xml:space="preserve">and enabling a broader set of professionals to perform key functions associated with the objectives of the </w:t>
      </w:r>
      <w:r w:rsidR="009F57B1" w:rsidRPr="001B674F">
        <w:rPr>
          <w:rFonts w:ascii="Arial" w:hAnsi="Arial" w:cs="Arial"/>
        </w:rPr>
        <w:t xml:space="preserve">CYPF </w:t>
      </w:r>
      <w:r w:rsidR="00F53B4C" w:rsidRPr="001B674F">
        <w:rPr>
          <w:rFonts w:ascii="Arial" w:hAnsi="Arial" w:cs="Arial"/>
        </w:rPr>
        <w:t>Act.</w:t>
      </w:r>
      <w:r w:rsidR="00695296" w:rsidRPr="001B674F">
        <w:rPr>
          <w:rFonts w:ascii="Arial" w:hAnsi="Arial" w:cs="Arial"/>
        </w:rPr>
        <w:t xml:space="preserve"> </w:t>
      </w:r>
    </w:p>
    <w:p w:rsidR="00F53B4C" w:rsidRPr="001B674F" w:rsidRDefault="00B80C59" w:rsidP="004D2E01">
      <w:pPr>
        <w:rPr>
          <w:rFonts w:ascii="Arial" w:hAnsi="Arial" w:cs="Arial"/>
          <w:szCs w:val="22"/>
        </w:rPr>
      </w:pPr>
      <w:r w:rsidRPr="001B674F">
        <w:rPr>
          <w:rFonts w:ascii="Arial" w:hAnsi="Arial" w:cs="Arial"/>
        </w:rPr>
        <w:t>On 30 March 2016, the Cabinet Social Policy Committee (SOC) considered the Expert Panel’s final report and agreed major reform is required to the CYPF Act and related legislation to give effect to a proposed new operating model [SOC-16-MIN-0024 refers].</w:t>
      </w:r>
      <w:r w:rsidR="00601584" w:rsidRPr="001B674F">
        <w:rPr>
          <w:rFonts w:ascii="Arial" w:hAnsi="Arial" w:cs="Arial"/>
        </w:rPr>
        <w:t xml:space="preserve"> </w:t>
      </w:r>
      <w:r w:rsidR="00601584" w:rsidRPr="001B674F">
        <w:rPr>
          <w:rFonts w:ascii="Arial" w:hAnsi="Arial" w:cs="Arial"/>
          <w:szCs w:val="22"/>
          <w:lang w:eastAsia="en-NZ"/>
        </w:rPr>
        <w:t>T</w:t>
      </w:r>
      <w:r w:rsidR="00F53B4C" w:rsidRPr="001B674F">
        <w:rPr>
          <w:rFonts w:ascii="Arial" w:hAnsi="Arial" w:cs="Arial"/>
          <w:szCs w:val="22"/>
          <w:lang w:eastAsia="en-NZ"/>
        </w:rPr>
        <w:t xml:space="preserve">he </w:t>
      </w:r>
      <w:r w:rsidR="00F53B4C" w:rsidRPr="001B674F">
        <w:rPr>
          <w:rFonts w:ascii="Arial" w:hAnsi="Arial" w:cs="Arial"/>
          <w:szCs w:val="22"/>
        </w:rPr>
        <w:t>Minister for Social Development</w:t>
      </w:r>
      <w:r w:rsidR="00601584" w:rsidRPr="001B674F">
        <w:rPr>
          <w:rFonts w:ascii="Arial" w:hAnsi="Arial" w:cs="Arial"/>
          <w:szCs w:val="22"/>
        </w:rPr>
        <w:t xml:space="preserve"> was invited</w:t>
      </w:r>
      <w:r w:rsidR="00F53B4C" w:rsidRPr="001B674F">
        <w:rPr>
          <w:rFonts w:ascii="Arial" w:hAnsi="Arial" w:cs="Arial"/>
          <w:szCs w:val="22"/>
        </w:rPr>
        <w:t xml:space="preserve"> to report to SOC </w:t>
      </w:r>
      <w:r w:rsidR="00F23AD7" w:rsidRPr="001B674F">
        <w:rPr>
          <w:rFonts w:ascii="Arial" w:hAnsi="Arial" w:cs="Arial"/>
          <w:szCs w:val="22"/>
        </w:rPr>
        <w:t xml:space="preserve">with recommendations for legislative change to enable a broader set of professionals to </w:t>
      </w:r>
      <w:r w:rsidR="00F53B4C" w:rsidRPr="001B674F">
        <w:rPr>
          <w:rFonts w:ascii="Arial" w:hAnsi="Arial" w:cs="Arial"/>
          <w:szCs w:val="22"/>
        </w:rPr>
        <w:t xml:space="preserve">perform functions under the </w:t>
      </w:r>
      <w:r w:rsidR="009F57B1" w:rsidRPr="001B674F">
        <w:rPr>
          <w:rFonts w:ascii="Arial" w:hAnsi="Arial" w:cs="Arial"/>
          <w:szCs w:val="22"/>
        </w:rPr>
        <w:t xml:space="preserve">CYPF </w:t>
      </w:r>
      <w:r w:rsidR="00F53B4C" w:rsidRPr="001B674F">
        <w:rPr>
          <w:rFonts w:ascii="Arial" w:hAnsi="Arial" w:cs="Arial"/>
          <w:szCs w:val="22"/>
        </w:rPr>
        <w:t xml:space="preserve">Act, with the intention that these reforms be introduced into the House in the first half of this year. </w:t>
      </w:r>
      <w:r w:rsidR="00DE0BBD">
        <w:rPr>
          <w:rFonts w:ascii="Arial" w:hAnsi="Arial" w:cs="Arial"/>
          <w:szCs w:val="22"/>
        </w:rPr>
        <w:t>It is intended that the</w:t>
      </w:r>
      <w:r w:rsidR="00F53B4C" w:rsidRPr="001B674F">
        <w:rPr>
          <w:rFonts w:ascii="Arial" w:hAnsi="Arial" w:cs="Arial"/>
          <w:szCs w:val="22"/>
        </w:rPr>
        <w:t xml:space="preserve"> Cabinet Legislation Committee consider the draft Bill at a meeting in early May. The options identified in this paper have been developed </w:t>
      </w:r>
      <w:r w:rsidR="00F23AD7" w:rsidRPr="001B674F">
        <w:rPr>
          <w:rFonts w:ascii="Arial" w:hAnsi="Arial" w:cs="Arial"/>
          <w:szCs w:val="22"/>
        </w:rPr>
        <w:t>and assessed against these</w:t>
      </w:r>
      <w:r w:rsidR="00F53B4C" w:rsidRPr="001B674F">
        <w:rPr>
          <w:rFonts w:ascii="Arial" w:hAnsi="Arial" w:cs="Arial"/>
          <w:szCs w:val="22"/>
        </w:rPr>
        <w:t xml:space="preserve"> timing </w:t>
      </w:r>
      <w:r w:rsidR="00F23AD7" w:rsidRPr="001B674F">
        <w:rPr>
          <w:rFonts w:ascii="Arial" w:hAnsi="Arial" w:cs="Arial"/>
          <w:szCs w:val="22"/>
        </w:rPr>
        <w:t>parameters.</w:t>
      </w:r>
      <w:r w:rsidR="00695296" w:rsidRPr="001B674F">
        <w:rPr>
          <w:rFonts w:ascii="Arial" w:hAnsi="Arial" w:cs="Arial"/>
          <w:szCs w:val="22"/>
        </w:rPr>
        <w:t xml:space="preserve"> </w:t>
      </w:r>
    </w:p>
    <w:p w:rsidR="00B472AC" w:rsidRPr="001B674F" w:rsidRDefault="00B472AC" w:rsidP="00A42AD7">
      <w:pPr>
        <w:pStyle w:val="Heading2"/>
        <w:rPr>
          <w:rFonts w:ascii="Arial" w:hAnsi="Arial" w:cs="Arial"/>
        </w:rPr>
      </w:pPr>
      <w:r w:rsidRPr="001B674F">
        <w:rPr>
          <w:rFonts w:ascii="Arial" w:hAnsi="Arial" w:cs="Arial"/>
        </w:rPr>
        <w:t xml:space="preserve">Status quo </w:t>
      </w:r>
    </w:p>
    <w:p w:rsidR="00B472AC" w:rsidRPr="001B674F" w:rsidRDefault="005C611D" w:rsidP="000A2B77">
      <w:pPr>
        <w:pStyle w:val="Heading2"/>
        <w:tabs>
          <w:tab w:val="clear" w:pos="567"/>
          <w:tab w:val="left" w:pos="0"/>
        </w:tabs>
        <w:ind w:left="0" w:firstLine="0"/>
        <w:rPr>
          <w:rFonts w:ascii="Arial" w:hAnsi="Arial" w:cs="Arial"/>
          <w:b w:val="0"/>
          <w:color w:val="auto"/>
          <w:spacing w:val="0"/>
          <w:w w:val="100"/>
          <w:sz w:val="22"/>
          <w:szCs w:val="20"/>
        </w:rPr>
      </w:pPr>
      <w:r w:rsidRPr="001B674F">
        <w:rPr>
          <w:rFonts w:ascii="Arial" w:hAnsi="Arial" w:cs="Arial"/>
          <w:b w:val="0"/>
          <w:color w:val="auto"/>
          <w:spacing w:val="0"/>
          <w:w w:val="100"/>
          <w:sz w:val="22"/>
          <w:szCs w:val="20"/>
        </w:rPr>
        <w:t>The current legislative framework allocates duties and powers of decision to</w:t>
      </w:r>
      <w:r w:rsidR="00F23363" w:rsidRPr="001B674F">
        <w:rPr>
          <w:rFonts w:ascii="Arial" w:hAnsi="Arial" w:cs="Arial"/>
          <w:b w:val="0"/>
          <w:color w:val="auto"/>
          <w:spacing w:val="0"/>
          <w:w w:val="100"/>
          <w:sz w:val="22"/>
          <w:szCs w:val="20"/>
        </w:rPr>
        <w:t xml:space="preserve"> a number of different actors, with certain key decisions being the preserve of persons employed by the department as social workers. Many of these key functions are also accorded to </w:t>
      </w:r>
      <w:r w:rsidR="00DE0BBD">
        <w:rPr>
          <w:rFonts w:ascii="Arial" w:hAnsi="Arial" w:cs="Arial"/>
          <w:b w:val="0"/>
          <w:color w:val="auto"/>
          <w:spacing w:val="0"/>
          <w:w w:val="100"/>
          <w:sz w:val="22"/>
          <w:szCs w:val="20"/>
        </w:rPr>
        <w:t>Police</w:t>
      </w:r>
      <w:r w:rsidR="00F23363" w:rsidRPr="001B674F">
        <w:rPr>
          <w:rFonts w:ascii="Arial" w:hAnsi="Arial" w:cs="Arial"/>
          <w:b w:val="0"/>
          <w:color w:val="auto"/>
          <w:spacing w:val="0"/>
          <w:w w:val="100"/>
          <w:sz w:val="22"/>
          <w:szCs w:val="20"/>
        </w:rPr>
        <w:t xml:space="preserve"> constables. Other functions are conferred directly on the </w:t>
      </w:r>
      <w:r w:rsidR="001616D8" w:rsidRPr="001B674F">
        <w:rPr>
          <w:rFonts w:ascii="Arial" w:hAnsi="Arial" w:cs="Arial"/>
          <w:b w:val="0"/>
          <w:color w:val="auto"/>
          <w:spacing w:val="0"/>
          <w:w w:val="100"/>
          <w:sz w:val="22"/>
          <w:szCs w:val="20"/>
        </w:rPr>
        <w:t>Chief Executive</w:t>
      </w:r>
      <w:r w:rsidR="00F23363" w:rsidRPr="001B674F">
        <w:rPr>
          <w:rFonts w:ascii="Arial" w:hAnsi="Arial" w:cs="Arial"/>
          <w:b w:val="0"/>
          <w:color w:val="auto"/>
          <w:spacing w:val="0"/>
          <w:w w:val="100"/>
          <w:sz w:val="22"/>
          <w:szCs w:val="20"/>
        </w:rPr>
        <w:t xml:space="preserve"> of t</w:t>
      </w:r>
      <w:r w:rsidR="0039299C" w:rsidRPr="001B674F">
        <w:rPr>
          <w:rFonts w:ascii="Arial" w:hAnsi="Arial" w:cs="Arial"/>
          <w:b w:val="0"/>
          <w:color w:val="auto"/>
          <w:spacing w:val="0"/>
          <w:w w:val="100"/>
          <w:sz w:val="22"/>
          <w:szCs w:val="20"/>
        </w:rPr>
        <w:t>he department, on Family Group C</w:t>
      </w:r>
      <w:r w:rsidR="00F23363" w:rsidRPr="001B674F">
        <w:rPr>
          <w:rFonts w:ascii="Arial" w:hAnsi="Arial" w:cs="Arial"/>
          <w:b w:val="0"/>
          <w:color w:val="auto"/>
          <w:spacing w:val="0"/>
          <w:w w:val="100"/>
          <w:sz w:val="22"/>
          <w:szCs w:val="20"/>
        </w:rPr>
        <w:t>onference</w:t>
      </w:r>
      <w:r w:rsidR="0039299C" w:rsidRPr="001B674F">
        <w:rPr>
          <w:rFonts w:ascii="Arial" w:hAnsi="Arial" w:cs="Arial"/>
          <w:b w:val="0"/>
          <w:color w:val="auto"/>
          <w:spacing w:val="0"/>
          <w:w w:val="100"/>
          <w:sz w:val="22"/>
          <w:szCs w:val="20"/>
        </w:rPr>
        <w:t xml:space="preserve"> (FGG)</w:t>
      </w:r>
      <w:r w:rsidR="00F23363" w:rsidRPr="001B674F">
        <w:rPr>
          <w:rFonts w:ascii="Arial" w:hAnsi="Arial" w:cs="Arial"/>
          <w:b w:val="0"/>
          <w:color w:val="auto"/>
          <w:spacing w:val="0"/>
          <w:w w:val="100"/>
          <w:sz w:val="22"/>
          <w:szCs w:val="20"/>
        </w:rPr>
        <w:t xml:space="preserve"> co</w:t>
      </w:r>
      <w:r w:rsidR="00CF6B00" w:rsidRPr="001B674F">
        <w:rPr>
          <w:rFonts w:ascii="Arial" w:hAnsi="Arial" w:cs="Arial"/>
          <w:b w:val="0"/>
          <w:color w:val="auto"/>
          <w:spacing w:val="0"/>
          <w:w w:val="100"/>
          <w:sz w:val="22"/>
          <w:szCs w:val="20"/>
        </w:rPr>
        <w:t>-</w:t>
      </w:r>
      <w:r w:rsidR="00F23363" w:rsidRPr="001B674F">
        <w:rPr>
          <w:rFonts w:ascii="Arial" w:hAnsi="Arial" w:cs="Arial"/>
          <w:b w:val="0"/>
          <w:color w:val="auto"/>
          <w:spacing w:val="0"/>
          <w:w w:val="100"/>
          <w:sz w:val="22"/>
          <w:szCs w:val="20"/>
        </w:rPr>
        <w:t xml:space="preserve">ordinators </w:t>
      </w:r>
      <w:r w:rsidR="0039299C" w:rsidRPr="001B674F">
        <w:rPr>
          <w:rFonts w:ascii="Arial" w:hAnsi="Arial" w:cs="Arial"/>
          <w:b w:val="0"/>
          <w:color w:val="auto"/>
          <w:spacing w:val="0"/>
          <w:w w:val="100"/>
          <w:sz w:val="22"/>
          <w:szCs w:val="20"/>
        </w:rPr>
        <w:t>(Care and Protection C</w:t>
      </w:r>
      <w:r w:rsidR="00177B8E" w:rsidRPr="001B674F">
        <w:rPr>
          <w:rFonts w:ascii="Arial" w:hAnsi="Arial" w:cs="Arial"/>
          <w:b w:val="0"/>
          <w:color w:val="auto"/>
          <w:spacing w:val="0"/>
          <w:w w:val="100"/>
          <w:sz w:val="22"/>
          <w:szCs w:val="20"/>
        </w:rPr>
        <w:t>o</w:t>
      </w:r>
      <w:r w:rsidR="00F25F98" w:rsidRPr="001B674F">
        <w:rPr>
          <w:rFonts w:ascii="Arial" w:hAnsi="Arial" w:cs="Arial"/>
          <w:b w:val="0"/>
          <w:color w:val="auto"/>
          <w:spacing w:val="0"/>
          <w:w w:val="100"/>
          <w:sz w:val="22"/>
          <w:szCs w:val="20"/>
        </w:rPr>
        <w:t>-</w:t>
      </w:r>
      <w:r w:rsidR="00177B8E" w:rsidRPr="001B674F">
        <w:rPr>
          <w:rFonts w:ascii="Arial" w:hAnsi="Arial" w:cs="Arial"/>
          <w:b w:val="0"/>
          <w:color w:val="auto"/>
          <w:spacing w:val="0"/>
          <w:w w:val="100"/>
          <w:sz w:val="22"/>
          <w:szCs w:val="20"/>
        </w:rPr>
        <w:t>o</w:t>
      </w:r>
      <w:r w:rsidR="0039299C" w:rsidRPr="001B674F">
        <w:rPr>
          <w:rFonts w:ascii="Arial" w:hAnsi="Arial" w:cs="Arial"/>
          <w:b w:val="0"/>
          <w:color w:val="auto"/>
          <w:spacing w:val="0"/>
          <w:w w:val="100"/>
          <w:sz w:val="22"/>
          <w:szCs w:val="20"/>
        </w:rPr>
        <w:t>rdinators and Youth Justice C</w:t>
      </w:r>
      <w:r w:rsidR="00177B8E" w:rsidRPr="001B674F">
        <w:rPr>
          <w:rFonts w:ascii="Arial" w:hAnsi="Arial" w:cs="Arial"/>
          <w:b w:val="0"/>
          <w:color w:val="auto"/>
          <w:spacing w:val="0"/>
          <w:w w:val="100"/>
          <w:sz w:val="22"/>
          <w:szCs w:val="20"/>
        </w:rPr>
        <w:t>o</w:t>
      </w:r>
      <w:r w:rsidR="00F25F98" w:rsidRPr="001B674F">
        <w:rPr>
          <w:rFonts w:ascii="Arial" w:hAnsi="Arial" w:cs="Arial"/>
          <w:b w:val="0"/>
          <w:color w:val="auto"/>
          <w:spacing w:val="0"/>
          <w:w w:val="100"/>
          <w:sz w:val="22"/>
          <w:szCs w:val="20"/>
        </w:rPr>
        <w:t>-</w:t>
      </w:r>
      <w:r w:rsidR="00177B8E" w:rsidRPr="001B674F">
        <w:rPr>
          <w:rFonts w:ascii="Arial" w:hAnsi="Arial" w:cs="Arial"/>
          <w:b w:val="0"/>
          <w:color w:val="auto"/>
          <w:spacing w:val="0"/>
          <w:w w:val="100"/>
          <w:sz w:val="22"/>
          <w:szCs w:val="20"/>
        </w:rPr>
        <w:t>o</w:t>
      </w:r>
      <w:r w:rsidR="0039299C" w:rsidRPr="001B674F">
        <w:rPr>
          <w:rFonts w:ascii="Arial" w:hAnsi="Arial" w:cs="Arial"/>
          <w:b w:val="0"/>
          <w:color w:val="auto"/>
          <w:spacing w:val="0"/>
          <w:w w:val="100"/>
          <w:sz w:val="22"/>
          <w:szCs w:val="20"/>
        </w:rPr>
        <w:t xml:space="preserve">rdinators) </w:t>
      </w:r>
      <w:r w:rsidR="00F23363" w:rsidRPr="001B674F">
        <w:rPr>
          <w:rFonts w:ascii="Arial" w:hAnsi="Arial" w:cs="Arial"/>
          <w:b w:val="0"/>
          <w:color w:val="auto"/>
          <w:spacing w:val="0"/>
          <w:w w:val="100"/>
          <w:sz w:val="22"/>
          <w:szCs w:val="20"/>
        </w:rPr>
        <w:t xml:space="preserve">and the courts. </w:t>
      </w:r>
    </w:p>
    <w:p w:rsidR="00F23363" w:rsidRPr="001B674F" w:rsidRDefault="00F23363" w:rsidP="000C7BFE">
      <w:pPr>
        <w:spacing w:after="0"/>
        <w:rPr>
          <w:rFonts w:ascii="Arial" w:hAnsi="Arial" w:cs="Arial"/>
        </w:rPr>
      </w:pPr>
      <w:r w:rsidRPr="001B674F">
        <w:rPr>
          <w:rFonts w:ascii="Arial" w:hAnsi="Arial" w:cs="Arial"/>
        </w:rPr>
        <w:t>The following summarises the key functions and the individuals upon whom the functions are conferred:</w:t>
      </w:r>
    </w:p>
    <w:p w:rsidR="00F23363" w:rsidRPr="001B674F" w:rsidRDefault="00F23363" w:rsidP="00477434">
      <w:pPr>
        <w:pStyle w:val="Bullet1"/>
        <w:rPr>
          <w:rFonts w:ascii="Arial" w:hAnsi="Arial" w:cs="Arial"/>
        </w:rPr>
      </w:pPr>
      <w:r w:rsidRPr="001B674F">
        <w:rPr>
          <w:rFonts w:ascii="Arial" w:hAnsi="Arial" w:cs="Arial"/>
        </w:rPr>
        <w:t xml:space="preserve">a number of general duties are conferred on the </w:t>
      </w:r>
      <w:r w:rsidR="001616D8" w:rsidRPr="001B674F">
        <w:rPr>
          <w:rFonts w:ascii="Arial" w:hAnsi="Arial" w:cs="Arial"/>
        </w:rPr>
        <w:t>Chief Executive</w:t>
      </w:r>
      <w:r w:rsidRPr="001B674F">
        <w:rPr>
          <w:rFonts w:ascii="Arial" w:hAnsi="Arial" w:cs="Arial"/>
        </w:rPr>
        <w:t xml:space="preserve"> of the department including to ensure the objects of the Act are attained</w:t>
      </w:r>
    </w:p>
    <w:p w:rsidR="00D71BA6" w:rsidRPr="001B674F" w:rsidRDefault="00D71BA6" w:rsidP="00477434">
      <w:pPr>
        <w:pStyle w:val="Bullet1"/>
        <w:rPr>
          <w:rFonts w:ascii="Arial" w:hAnsi="Arial" w:cs="Arial"/>
        </w:rPr>
      </w:pPr>
      <w:r w:rsidRPr="001B674F">
        <w:rPr>
          <w:rFonts w:ascii="Arial" w:hAnsi="Arial" w:cs="Arial"/>
        </w:rPr>
        <w:t xml:space="preserve">reports of child abuse and neglect may be made </w:t>
      </w:r>
      <w:r w:rsidR="00CF6B00" w:rsidRPr="001B674F">
        <w:rPr>
          <w:rFonts w:ascii="Arial" w:hAnsi="Arial" w:cs="Arial"/>
        </w:rPr>
        <w:t xml:space="preserve">only </w:t>
      </w:r>
      <w:r w:rsidRPr="001B674F">
        <w:rPr>
          <w:rFonts w:ascii="Arial" w:hAnsi="Arial" w:cs="Arial"/>
        </w:rPr>
        <w:t>to a social worker or constable</w:t>
      </w:r>
    </w:p>
    <w:p w:rsidR="00D71BA6" w:rsidRPr="001B674F" w:rsidRDefault="00D71BA6" w:rsidP="00477434">
      <w:pPr>
        <w:pStyle w:val="Bullet1"/>
        <w:rPr>
          <w:rFonts w:ascii="Arial" w:hAnsi="Arial" w:cs="Arial"/>
        </w:rPr>
      </w:pPr>
      <w:r w:rsidRPr="001B674F">
        <w:rPr>
          <w:rFonts w:ascii="Arial" w:hAnsi="Arial" w:cs="Arial"/>
        </w:rPr>
        <w:t>the social worker or constable who receives the report of abuse or neglect may investigate or arrange for the investigation of the report</w:t>
      </w:r>
    </w:p>
    <w:p w:rsidR="0039299C" w:rsidRPr="001B674F" w:rsidRDefault="0039299C" w:rsidP="00477434">
      <w:pPr>
        <w:pStyle w:val="Bullet1"/>
        <w:rPr>
          <w:rFonts w:ascii="Arial" w:hAnsi="Arial" w:cs="Arial"/>
        </w:rPr>
      </w:pPr>
      <w:r w:rsidRPr="001B674F">
        <w:rPr>
          <w:rFonts w:ascii="Arial" w:hAnsi="Arial" w:cs="Arial"/>
        </w:rPr>
        <w:t>Care and Protection Resource Panels (CPRPs)</w:t>
      </w:r>
      <w:r w:rsidR="000C7BFE" w:rsidRPr="001B674F">
        <w:rPr>
          <w:rFonts w:ascii="Arial" w:hAnsi="Arial" w:cs="Arial"/>
        </w:rPr>
        <w:t xml:space="preserve"> </w:t>
      </w:r>
      <w:r w:rsidRPr="001B674F">
        <w:rPr>
          <w:rFonts w:ascii="Arial" w:hAnsi="Arial" w:cs="Arial"/>
        </w:rPr>
        <w:t xml:space="preserve">must be consulted during care and protection investigations. CPRPs are advisory committees made up of persons from occupations and organisations (including voluntary and statutory organisations, cultural </w:t>
      </w:r>
      <w:r w:rsidRPr="001B674F">
        <w:rPr>
          <w:rFonts w:ascii="Arial" w:hAnsi="Arial" w:cs="Arial"/>
        </w:rPr>
        <w:lastRenderedPageBreak/>
        <w:t>groups, government departments, and government agencies) that are concerned with the care and protection of children and young persons</w:t>
      </w:r>
    </w:p>
    <w:p w:rsidR="00D71BA6" w:rsidRPr="001B674F" w:rsidRDefault="00D71BA6" w:rsidP="00477434">
      <w:pPr>
        <w:pStyle w:val="Bullet1"/>
        <w:rPr>
          <w:rFonts w:ascii="Arial" w:hAnsi="Arial" w:cs="Arial"/>
        </w:rPr>
      </w:pPr>
      <w:r w:rsidRPr="001B674F">
        <w:rPr>
          <w:rFonts w:ascii="Arial" w:hAnsi="Arial" w:cs="Arial"/>
        </w:rPr>
        <w:t>the social worker or constable may refer the matter for a</w:t>
      </w:r>
      <w:r w:rsidR="00DE0BBD">
        <w:rPr>
          <w:rFonts w:ascii="Arial" w:hAnsi="Arial" w:cs="Arial"/>
        </w:rPr>
        <w:t>n</w:t>
      </w:r>
      <w:r w:rsidRPr="001B674F">
        <w:rPr>
          <w:rFonts w:ascii="Arial" w:hAnsi="Arial" w:cs="Arial"/>
        </w:rPr>
        <w:t xml:space="preserve"> </w:t>
      </w:r>
      <w:r w:rsidR="004D2E01" w:rsidRPr="001B674F">
        <w:rPr>
          <w:rFonts w:ascii="Arial" w:hAnsi="Arial" w:cs="Arial"/>
        </w:rPr>
        <w:t>FGC</w:t>
      </w:r>
      <w:r w:rsidRPr="001B674F">
        <w:rPr>
          <w:rFonts w:ascii="Arial" w:hAnsi="Arial" w:cs="Arial"/>
        </w:rPr>
        <w:t xml:space="preserve"> if they believe the child or young person is in need of care or protection, and will be entitled members of the FGC</w:t>
      </w:r>
    </w:p>
    <w:p w:rsidR="00D71BA6" w:rsidRPr="001B674F" w:rsidRDefault="00D71BA6" w:rsidP="00477434">
      <w:pPr>
        <w:pStyle w:val="Bullet1"/>
        <w:rPr>
          <w:rFonts w:ascii="Arial" w:hAnsi="Arial" w:cs="Arial"/>
        </w:rPr>
      </w:pPr>
      <w:r w:rsidRPr="001B674F">
        <w:rPr>
          <w:rFonts w:ascii="Arial" w:hAnsi="Arial" w:cs="Arial"/>
        </w:rPr>
        <w:t>other agencies may also refer concerns directly to a</w:t>
      </w:r>
      <w:r w:rsidR="00DE0BBD">
        <w:rPr>
          <w:rFonts w:ascii="Arial" w:hAnsi="Arial" w:cs="Arial"/>
        </w:rPr>
        <w:t>n</w:t>
      </w:r>
      <w:r w:rsidRPr="001B674F">
        <w:rPr>
          <w:rFonts w:ascii="Arial" w:hAnsi="Arial" w:cs="Arial"/>
        </w:rPr>
        <w:t xml:space="preserve"> </w:t>
      </w:r>
      <w:r w:rsidR="004D2E01" w:rsidRPr="001B674F">
        <w:rPr>
          <w:rFonts w:ascii="Arial" w:hAnsi="Arial" w:cs="Arial"/>
        </w:rPr>
        <w:t>FGC</w:t>
      </w:r>
      <w:r w:rsidRPr="001B674F">
        <w:rPr>
          <w:rFonts w:ascii="Arial" w:hAnsi="Arial" w:cs="Arial"/>
        </w:rPr>
        <w:t>, and will be entitled members of the FGC</w:t>
      </w:r>
      <w:r w:rsidR="0039299C" w:rsidRPr="001B674F">
        <w:rPr>
          <w:rFonts w:ascii="Arial" w:hAnsi="Arial" w:cs="Arial"/>
        </w:rPr>
        <w:t xml:space="preserve"> if one is convened</w:t>
      </w:r>
    </w:p>
    <w:p w:rsidR="00D71BA6" w:rsidRPr="001B674F" w:rsidRDefault="00D71BA6" w:rsidP="00477434">
      <w:pPr>
        <w:pStyle w:val="Bullet1"/>
        <w:rPr>
          <w:rFonts w:ascii="Arial" w:hAnsi="Arial" w:cs="Arial"/>
        </w:rPr>
      </w:pPr>
      <w:r w:rsidRPr="001B674F">
        <w:rPr>
          <w:rFonts w:ascii="Arial" w:hAnsi="Arial" w:cs="Arial"/>
        </w:rPr>
        <w:t xml:space="preserve">FGC </w:t>
      </w:r>
      <w:r w:rsidR="001616D8" w:rsidRPr="001B674F">
        <w:rPr>
          <w:rFonts w:ascii="Arial" w:hAnsi="Arial" w:cs="Arial"/>
        </w:rPr>
        <w:t>co-ord</w:t>
      </w:r>
      <w:r w:rsidRPr="001B674F">
        <w:rPr>
          <w:rFonts w:ascii="Arial" w:hAnsi="Arial" w:cs="Arial"/>
        </w:rPr>
        <w:t>inators are conferred the obligation and powers to convene a</w:t>
      </w:r>
      <w:r w:rsidR="00DE0BBD">
        <w:rPr>
          <w:rFonts w:ascii="Arial" w:hAnsi="Arial" w:cs="Arial"/>
        </w:rPr>
        <w:t>n</w:t>
      </w:r>
      <w:r w:rsidRPr="001B674F">
        <w:rPr>
          <w:rFonts w:ascii="Arial" w:hAnsi="Arial" w:cs="Arial"/>
        </w:rPr>
        <w:t xml:space="preserve"> </w:t>
      </w:r>
      <w:r w:rsidR="004D2E01" w:rsidRPr="001B674F">
        <w:rPr>
          <w:rFonts w:ascii="Arial" w:hAnsi="Arial" w:cs="Arial"/>
        </w:rPr>
        <w:t>FGC</w:t>
      </w:r>
      <w:r w:rsidRPr="001B674F">
        <w:rPr>
          <w:rFonts w:ascii="Arial" w:hAnsi="Arial" w:cs="Arial"/>
        </w:rPr>
        <w:t xml:space="preserve"> </w:t>
      </w:r>
    </w:p>
    <w:p w:rsidR="00AA333D" w:rsidRPr="001B674F" w:rsidRDefault="00CF6B00" w:rsidP="00477434">
      <w:pPr>
        <w:pStyle w:val="Bullet1"/>
        <w:rPr>
          <w:rFonts w:ascii="Arial" w:hAnsi="Arial" w:cs="Arial"/>
        </w:rPr>
      </w:pPr>
      <w:r w:rsidRPr="001B674F">
        <w:rPr>
          <w:rFonts w:ascii="Arial" w:hAnsi="Arial" w:cs="Arial"/>
        </w:rPr>
        <w:t xml:space="preserve">the </w:t>
      </w:r>
      <w:r w:rsidR="001616D8" w:rsidRPr="001B674F">
        <w:rPr>
          <w:rFonts w:ascii="Arial" w:hAnsi="Arial" w:cs="Arial"/>
        </w:rPr>
        <w:t>Chief Executive</w:t>
      </w:r>
      <w:r w:rsidR="00C36D48" w:rsidRPr="001B674F">
        <w:rPr>
          <w:rFonts w:ascii="Arial" w:hAnsi="Arial" w:cs="Arial"/>
        </w:rPr>
        <w:t xml:space="preserve"> </w:t>
      </w:r>
      <w:r w:rsidR="00AA333D" w:rsidRPr="001B674F">
        <w:rPr>
          <w:rFonts w:ascii="Arial" w:hAnsi="Arial" w:cs="Arial"/>
        </w:rPr>
        <w:t>is</w:t>
      </w:r>
      <w:r w:rsidR="0039299C" w:rsidRPr="001B674F">
        <w:rPr>
          <w:rFonts w:ascii="Arial" w:hAnsi="Arial" w:cs="Arial"/>
        </w:rPr>
        <w:t xml:space="preserve"> generally </w:t>
      </w:r>
      <w:r w:rsidR="00AA333D" w:rsidRPr="001B674F">
        <w:rPr>
          <w:rFonts w:ascii="Arial" w:hAnsi="Arial" w:cs="Arial"/>
        </w:rPr>
        <w:t>required to implement FGC plans and decisions</w:t>
      </w:r>
    </w:p>
    <w:p w:rsidR="002E6030" w:rsidRPr="001B674F" w:rsidRDefault="00CF6B00" w:rsidP="00477434">
      <w:pPr>
        <w:pStyle w:val="Bullet1"/>
        <w:rPr>
          <w:rFonts w:ascii="Arial" w:hAnsi="Arial" w:cs="Arial"/>
        </w:rPr>
      </w:pPr>
      <w:proofErr w:type="gramStart"/>
      <w:r w:rsidRPr="001B674F">
        <w:rPr>
          <w:rFonts w:ascii="Arial" w:hAnsi="Arial" w:cs="Arial"/>
        </w:rPr>
        <w:t>powers</w:t>
      </w:r>
      <w:proofErr w:type="gramEnd"/>
      <w:r w:rsidRPr="001B674F">
        <w:rPr>
          <w:rFonts w:ascii="Arial" w:hAnsi="Arial" w:cs="Arial"/>
        </w:rPr>
        <w:t xml:space="preserve"> </w:t>
      </w:r>
      <w:r w:rsidR="002E6030" w:rsidRPr="001B674F">
        <w:rPr>
          <w:rFonts w:ascii="Arial" w:hAnsi="Arial" w:cs="Arial"/>
        </w:rPr>
        <w:t xml:space="preserve">to secure the safety of children and young people at risk by applying for warrants, </w:t>
      </w:r>
      <w:r w:rsidR="0039299C" w:rsidRPr="001B674F">
        <w:rPr>
          <w:rFonts w:ascii="Arial" w:hAnsi="Arial" w:cs="Arial"/>
        </w:rPr>
        <w:t xml:space="preserve">declarations that a child or young person is in need of care or protection, </w:t>
      </w:r>
      <w:r w:rsidR="002E6030" w:rsidRPr="001B674F">
        <w:rPr>
          <w:rFonts w:ascii="Arial" w:hAnsi="Arial" w:cs="Arial"/>
        </w:rPr>
        <w:t>and</w:t>
      </w:r>
      <w:r w:rsidR="0039299C" w:rsidRPr="001B674F">
        <w:rPr>
          <w:rFonts w:ascii="Arial" w:hAnsi="Arial" w:cs="Arial"/>
        </w:rPr>
        <w:t xml:space="preserve"> certain</w:t>
      </w:r>
      <w:r w:rsidR="002E6030" w:rsidRPr="001B674F">
        <w:rPr>
          <w:rFonts w:ascii="Arial" w:hAnsi="Arial" w:cs="Arial"/>
        </w:rPr>
        <w:t xml:space="preserve"> </w:t>
      </w:r>
      <w:r w:rsidR="0039299C" w:rsidRPr="001B674F">
        <w:rPr>
          <w:rFonts w:ascii="Arial" w:hAnsi="Arial" w:cs="Arial"/>
        </w:rPr>
        <w:t>court</w:t>
      </w:r>
      <w:r w:rsidR="00AA333D" w:rsidRPr="001B674F">
        <w:rPr>
          <w:rFonts w:ascii="Arial" w:hAnsi="Arial" w:cs="Arial"/>
        </w:rPr>
        <w:t xml:space="preserve"> </w:t>
      </w:r>
      <w:r w:rsidR="002E6030" w:rsidRPr="001B674F">
        <w:rPr>
          <w:rFonts w:ascii="Arial" w:hAnsi="Arial" w:cs="Arial"/>
        </w:rPr>
        <w:t>orders</w:t>
      </w:r>
      <w:r w:rsidR="00AA333D" w:rsidRPr="001B674F">
        <w:rPr>
          <w:rFonts w:ascii="Arial" w:hAnsi="Arial" w:cs="Arial"/>
        </w:rPr>
        <w:t xml:space="preserve"> are conferred on social workers and constables. Any other person may apply </w:t>
      </w:r>
      <w:r w:rsidR="00DE0BBD">
        <w:rPr>
          <w:rFonts w:ascii="Arial" w:hAnsi="Arial" w:cs="Arial"/>
        </w:rPr>
        <w:t xml:space="preserve">for </w:t>
      </w:r>
      <w:r w:rsidR="0039299C" w:rsidRPr="001B674F">
        <w:rPr>
          <w:rFonts w:ascii="Arial" w:hAnsi="Arial" w:cs="Arial"/>
        </w:rPr>
        <w:t xml:space="preserve">a declaration </w:t>
      </w:r>
      <w:r w:rsidR="00AA333D" w:rsidRPr="001B674F">
        <w:rPr>
          <w:rFonts w:ascii="Arial" w:hAnsi="Arial" w:cs="Arial"/>
        </w:rPr>
        <w:t>with the leave of the court</w:t>
      </w:r>
    </w:p>
    <w:p w:rsidR="00AA333D" w:rsidRPr="001B674F" w:rsidRDefault="00CF6B00" w:rsidP="00477434">
      <w:pPr>
        <w:pStyle w:val="Bullet1"/>
        <w:rPr>
          <w:rFonts w:ascii="Arial" w:hAnsi="Arial" w:cs="Arial"/>
        </w:rPr>
      </w:pPr>
      <w:r w:rsidRPr="001B674F">
        <w:rPr>
          <w:rFonts w:ascii="Arial" w:hAnsi="Arial" w:cs="Arial"/>
        </w:rPr>
        <w:t xml:space="preserve">certain </w:t>
      </w:r>
      <w:r w:rsidR="00AA333D" w:rsidRPr="001B674F">
        <w:rPr>
          <w:rFonts w:ascii="Arial" w:hAnsi="Arial" w:cs="Arial"/>
        </w:rPr>
        <w:t xml:space="preserve">powers to act to protect children </w:t>
      </w:r>
      <w:r w:rsidR="00DE0BBD">
        <w:rPr>
          <w:rFonts w:ascii="Arial" w:hAnsi="Arial" w:cs="Arial"/>
        </w:rPr>
        <w:t xml:space="preserve">and young people </w:t>
      </w:r>
      <w:r w:rsidR="00AA333D" w:rsidRPr="001B674F">
        <w:rPr>
          <w:rFonts w:ascii="Arial" w:hAnsi="Arial" w:cs="Arial"/>
        </w:rPr>
        <w:t>without warrant are reserved for constables</w:t>
      </w:r>
    </w:p>
    <w:p w:rsidR="00AA333D" w:rsidRPr="001B674F" w:rsidRDefault="00CF6B00" w:rsidP="00477434">
      <w:pPr>
        <w:pStyle w:val="Bullet1"/>
        <w:rPr>
          <w:rFonts w:ascii="Arial" w:hAnsi="Arial" w:cs="Arial"/>
        </w:rPr>
      </w:pPr>
      <w:r w:rsidRPr="001B674F">
        <w:rPr>
          <w:rFonts w:ascii="Arial" w:hAnsi="Arial" w:cs="Arial"/>
        </w:rPr>
        <w:t xml:space="preserve">the </w:t>
      </w:r>
      <w:r w:rsidR="001616D8" w:rsidRPr="001B674F">
        <w:rPr>
          <w:rFonts w:ascii="Arial" w:hAnsi="Arial" w:cs="Arial"/>
        </w:rPr>
        <w:t>Chief Executive</w:t>
      </w:r>
      <w:r w:rsidR="00C36D48" w:rsidRPr="001B674F">
        <w:rPr>
          <w:rFonts w:ascii="Arial" w:hAnsi="Arial" w:cs="Arial"/>
        </w:rPr>
        <w:t xml:space="preserve"> </w:t>
      </w:r>
      <w:r w:rsidR="00AA333D" w:rsidRPr="001B674F">
        <w:rPr>
          <w:rFonts w:ascii="Arial" w:hAnsi="Arial" w:cs="Arial"/>
        </w:rPr>
        <w:t xml:space="preserve">and certain approved organisations </w:t>
      </w:r>
      <w:r w:rsidR="0039299C" w:rsidRPr="001B674F">
        <w:rPr>
          <w:rFonts w:ascii="Arial" w:hAnsi="Arial" w:cs="Arial"/>
        </w:rPr>
        <w:t xml:space="preserve">may be appointed by court order under the Act </w:t>
      </w:r>
      <w:r w:rsidR="00AA333D" w:rsidRPr="001B674F">
        <w:rPr>
          <w:rFonts w:ascii="Arial" w:hAnsi="Arial" w:cs="Arial"/>
        </w:rPr>
        <w:t xml:space="preserve">to have custody </w:t>
      </w:r>
      <w:r w:rsidR="0039299C" w:rsidRPr="001B674F">
        <w:rPr>
          <w:rFonts w:ascii="Arial" w:hAnsi="Arial" w:cs="Arial"/>
        </w:rPr>
        <w:t xml:space="preserve">or guardianship </w:t>
      </w:r>
      <w:r w:rsidR="00AA333D" w:rsidRPr="001B674F">
        <w:rPr>
          <w:rFonts w:ascii="Arial" w:hAnsi="Arial" w:cs="Arial"/>
        </w:rPr>
        <w:t xml:space="preserve">of a child or young person, and that status </w:t>
      </w:r>
      <w:r w:rsidR="0039299C" w:rsidRPr="001B674F">
        <w:rPr>
          <w:rFonts w:ascii="Arial" w:hAnsi="Arial" w:cs="Arial"/>
        </w:rPr>
        <w:t xml:space="preserve">carries </w:t>
      </w:r>
      <w:r w:rsidR="00AA333D" w:rsidRPr="001B674F">
        <w:rPr>
          <w:rFonts w:ascii="Arial" w:hAnsi="Arial" w:cs="Arial"/>
        </w:rPr>
        <w:t>a number of powers and obligations</w:t>
      </w:r>
    </w:p>
    <w:p w:rsidR="00D443B3" w:rsidRPr="001B674F" w:rsidRDefault="00D443B3" w:rsidP="00477434">
      <w:pPr>
        <w:pStyle w:val="Bullet1"/>
        <w:rPr>
          <w:rFonts w:ascii="Arial" w:hAnsi="Arial" w:cs="Arial"/>
        </w:rPr>
      </w:pPr>
      <w:r w:rsidRPr="001B674F">
        <w:rPr>
          <w:rFonts w:ascii="Arial" w:hAnsi="Arial" w:cs="Arial"/>
        </w:rPr>
        <w:t>only social workers are able to prepare reports required to support the making of certain courts orders</w:t>
      </w:r>
      <w:r w:rsidR="00CF6B00" w:rsidRPr="001B674F">
        <w:rPr>
          <w:rFonts w:ascii="Arial" w:hAnsi="Arial" w:cs="Arial"/>
        </w:rPr>
        <w:t>,</w:t>
      </w:r>
      <w:r w:rsidRPr="001B674F">
        <w:rPr>
          <w:rFonts w:ascii="Arial" w:hAnsi="Arial" w:cs="Arial"/>
        </w:rPr>
        <w:t xml:space="preserve"> including custody orders</w:t>
      </w:r>
    </w:p>
    <w:p w:rsidR="00943A2D" w:rsidRPr="001B674F" w:rsidRDefault="00D443B3" w:rsidP="00477434">
      <w:pPr>
        <w:pStyle w:val="Bullet1"/>
        <w:rPr>
          <w:rFonts w:ascii="Arial" w:hAnsi="Arial" w:cs="Arial"/>
        </w:rPr>
      </w:pPr>
      <w:proofErr w:type="gramStart"/>
      <w:r w:rsidRPr="001B674F">
        <w:rPr>
          <w:rFonts w:ascii="Arial" w:hAnsi="Arial" w:cs="Arial"/>
        </w:rPr>
        <w:t>a</w:t>
      </w:r>
      <w:r w:rsidR="00AA333D" w:rsidRPr="001B674F">
        <w:rPr>
          <w:rFonts w:ascii="Arial" w:hAnsi="Arial" w:cs="Arial"/>
        </w:rPr>
        <w:t>ny</w:t>
      </w:r>
      <w:proofErr w:type="gramEnd"/>
      <w:r w:rsidR="00AA333D" w:rsidRPr="001B674F">
        <w:rPr>
          <w:rFonts w:ascii="Arial" w:hAnsi="Arial" w:cs="Arial"/>
        </w:rPr>
        <w:t xml:space="preserve"> person may be directed to prepare</w:t>
      </w:r>
      <w:r w:rsidR="0039299C" w:rsidRPr="001B674F">
        <w:rPr>
          <w:rFonts w:ascii="Arial" w:hAnsi="Arial" w:cs="Arial"/>
        </w:rPr>
        <w:t xml:space="preserve"> and review</w:t>
      </w:r>
      <w:r w:rsidR="00AA333D" w:rsidRPr="001B674F">
        <w:rPr>
          <w:rFonts w:ascii="Arial" w:hAnsi="Arial" w:cs="Arial"/>
        </w:rPr>
        <w:t xml:space="preserve"> court plans</w:t>
      </w:r>
      <w:r w:rsidRPr="001B674F">
        <w:rPr>
          <w:rFonts w:ascii="Arial" w:hAnsi="Arial" w:cs="Arial"/>
        </w:rPr>
        <w:t xml:space="preserve"> to support an order</w:t>
      </w:r>
      <w:r w:rsidR="00CF6B00" w:rsidRPr="001B674F">
        <w:rPr>
          <w:rFonts w:ascii="Arial" w:hAnsi="Arial" w:cs="Arial"/>
        </w:rPr>
        <w:t>.</w:t>
      </w:r>
    </w:p>
    <w:p w:rsidR="00072E26" w:rsidRPr="001B674F" w:rsidRDefault="00CF6B00" w:rsidP="006B034C">
      <w:pPr>
        <w:rPr>
          <w:rFonts w:ascii="Arial" w:hAnsi="Arial" w:cs="Arial"/>
        </w:rPr>
      </w:pPr>
      <w:r w:rsidRPr="001B674F">
        <w:rPr>
          <w:rFonts w:ascii="Arial" w:hAnsi="Arial" w:cs="Arial"/>
        </w:rPr>
        <w:t xml:space="preserve">There are </w:t>
      </w:r>
      <w:r w:rsidR="00F25F98" w:rsidRPr="001B674F">
        <w:rPr>
          <w:rFonts w:ascii="Arial" w:hAnsi="Arial" w:cs="Arial"/>
        </w:rPr>
        <w:t xml:space="preserve">also </w:t>
      </w:r>
      <w:r w:rsidR="00072E26" w:rsidRPr="001B674F">
        <w:rPr>
          <w:rFonts w:ascii="Arial" w:hAnsi="Arial" w:cs="Arial"/>
        </w:rPr>
        <w:t>a number of functions and powers under the youth justice provisions of the Act</w:t>
      </w:r>
      <w:r w:rsidR="001B4E21" w:rsidRPr="001B674F">
        <w:rPr>
          <w:rFonts w:ascii="Arial" w:hAnsi="Arial" w:cs="Arial"/>
        </w:rPr>
        <w:t>.</w:t>
      </w:r>
      <w:r w:rsidR="00E24F2F" w:rsidRPr="001B674F">
        <w:rPr>
          <w:rFonts w:ascii="Arial" w:hAnsi="Arial" w:cs="Arial"/>
        </w:rPr>
        <w:t xml:space="preserve"> The functions of Chief Executive of the department and social workers relate mainly to custody of young persons and supervision of Youth Court orders. The Police exercise a large number of the youth justice functions, including those relating to the prosecution of offending.</w:t>
      </w:r>
    </w:p>
    <w:p w:rsidR="002C1A46" w:rsidRPr="001B674F" w:rsidRDefault="002C1A46" w:rsidP="00F53B4C">
      <w:pPr>
        <w:rPr>
          <w:rFonts w:ascii="Arial" w:hAnsi="Arial" w:cs="Arial"/>
        </w:rPr>
      </w:pPr>
      <w:r w:rsidRPr="001B674F">
        <w:rPr>
          <w:rFonts w:ascii="Arial" w:hAnsi="Arial" w:cs="Arial"/>
        </w:rPr>
        <w:t>In practice, social workers are responsible for the majority of decision-making and case management: social workers receive reports of conc</w:t>
      </w:r>
      <w:r w:rsidR="0039299C" w:rsidRPr="001B674F">
        <w:rPr>
          <w:rFonts w:ascii="Arial" w:hAnsi="Arial" w:cs="Arial"/>
        </w:rPr>
        <w:t xml:space="preserve">ern, conduct investigations, manage cases, initiate court action and act as the </w:t>
      </w:r>
      <w:r w:rsidR="001616D8" w:rsidRPr="001B674F">
        <w:rPr>
          <w:rFonts w:ascii="Arial" w:hAnsi="Arial" w:cs="Arial"/>
        </w:rPr>
        <w:t>Chief Executive</w:t>
      </w:r>
      <w:r w:rsidR="0039299C" w:rsidRPr="001B674F">
        <w:rPr>
          <w:rFonts w:ascii="Arial" w:hAnsi="Arial" w:cs="Arial"/>
        </w:rPr>
        <w:t xml:space="preserve">’s delegate in the exercise of </w:t>
      </w:r>
      <w:r w:rsidR="00DE0BBD">
        <w:rPr>
          <w:rFonts w:ascii="Arial" w:hAnsi="Arial" w:cs="Arial"/>
        </w:rPr>
        <w:t xml:space="preserve">their </w:t>
      </w:r>
      <w:r w:rsidR="0039299C" w:rsidRPr="001B674F">
        <w:rPr>
          <w:rFonts w:ascii="Arial" w:hAnsi="Arial" w:cs="Arial"/>
        </w:rPr>
        <w:t>custody and guardianship duties.</w:t>
      </w:r>
    </w:p>
    <w:p w:rsidR="00BE5E57" w:rsidRPr="001B674F" w:rsidRDefault="00CA116D" w:rsidP="00F53B4C">
      <w:pPr>
        <w:rPr>
          <w:rFonts w:ascii="Arial" w:hAnsi="Arial" w:cs="Arial"/>
        </w:rPr>
      </w:pPr>
      <w:r w:rsidRPr="001B674F">
        <w:rPr>
          <w:rFonts w:ascii="Arial" w:hAnsi="Arial" w:cs="Arial"/>
        </w:rPr>
        <w:t xml:space="preserve">The </w:t>
      </w:r>
      <w:r w:rsidR="009F57B1" w:rsidRPr="001B674F">
        <w:rPr>
          <w:rFonts w:ascii="Arial" w:hAnsi="Arial" w:cs="Arial"/>
          <w:szCs w:val="22"/>
        </w:rPr>
        <w:t xml:space="preserve">CYPF </w:t>
      </w:r>
      <w:r w:rsidRPr="001B674F">
        <w:rPr>
          <w:rFonts w:ascii="Arial" w:hAnsi="Arial" w:cs="Arial"/>
        </w:rPr>
        <w:t>Act defines a socia</w:t>
      </w:r>
      <w:r w:rsidR="004F79B1" w:rsidRPr="001B674F">
        <w:rPr>
          <w:rFonts w:ascii="Arial" w:hAnsi="Arial" w:cs="Arial"/>
        </w:rPr>
        <w:t>l worker as a person employed under Part 5 of the State Sector Act</w:t>
      </w:r>
      <w:r w:rsidR="004D2E01" w:rsidRPr="001B674F">
        <w:rPr>
          <w:rFonts w:ascii="Arial" w:hAnsi="Arial" w:cs="Arial"/>
        </w:rPr>
        <w:t xml:space="preserve"> 1988</w:t>
      </w:r>
      <w:r w:rsidRPr="001B674F">
        <w:rPr>
          <w:rFonts w:ascii="Arial" w:hAnsi="Arial" w:cs="Arial"/>
        </w:rPr>
        <w:t xml:space="preserve"> </w:t>
      </w:r>
      <w:r w:rsidR="004F79B1" w:rsidRPr="001B674F">
        <w:rPr>
          <w:rFonts w:ascii="Arial" w:hAnsi="Arial" w:cs="Arial"/>
        </w:rPr>
        <w:t xml:space="preserve">in </w:t>
      </w:r>
      <w:r w:rsidRPr="001B674F">
        <w:rPr>
          <w:rFonts w:ascii="Arial" w:hAnsi="Arial" w:cs="Arial"/>
        </w:rPr>
        <w:t>the department as a social worker</w:t>
      </w:r>
      <w:r w:rsidR="004D2E01" w:rsidRPr="001B674F">
        <w:rPr>
          <w:rFonts w:ascii="Arial" w:hAnsi="Arial" w:cs="Arial"/>
        </w:rPr>
        <w:t xml:space="preserve">. </w:t>
      </w:r>
      <w:r w:rsidR="00F53B4C" w:rsidRPr="001B674F">
        <w:rPr>
          <w:rFonts w:ascii="Arial" w:hAnsi="Arial" w:cs="Arial"/>
        </w:rPr>
        <w:t xml:space="preserve">A person employed by the department as a social worker </w:t>
      </w:r>
      <w:r w:rsidR="00F23AD7" w:rsidRPr="001B674F">
        <w:rPr>
          <w:rFonts w:ascii="Arial" w:hAnsi="Arial" w:cs="Arial"/>
        </w:rPr>
        <w:t xml:space="preserve">is not required by legislation to be a </w:t>
      </w:r>
      <w:r w:rsidR="00F53B4C" w:rsidRPr="001B674F">
        <w:rPr>
          <w:rFonts w:ascii="Arial" w:hAnsi="Arial" w:cs="Arial"/>
        </w:rPr>
        <w:t>registered social worker under the Social Worker</w:t>
      </w:r>
      <w:r w:rsidR="00F23AD7" w:rsidRPr="001B674F">
        <w:rPr>
          <w:rFonts w:ascii="Arial" w:hAnsi="Arial" w:cs="Arial"/>
        </w:rPr>
        <w:t>s Registration Act</w:t>
      </w:r>
      <w:r w:rsidR="004D2E01" w:rsidRPr="001B674F">
        <w:rPr>
          <w:rFonts w:ascii="Arial" w:hAnsi="Arial" w:cs="Arial"/>
        </w:rPr>
        <w:t xml:space="preserve"> 2003</w:t>
      </w:r>
      <w:r w:rsidR="00F23AD7" w:rsidRPr="001B674F">
        <w:rPr>
          <w:rFonts w:ascii="Arial" w:hAnsi="Arial" w:cs="Arial"/>
        </w:rPr>
        <w:t>.</w:t>
      </w:r>
      <w:r w:rsidR="00695296" w:rsidRPr="001B674F">
        <w:rPr>
          <w:rFonts w:ascii="Arial" w:hAnsi="Arial" w:cs="Arial"/>
        </w:rPr>
        <w:t xml:space="preserve"> </w:t>
      </w:r>
      <w:r w:rsidR="00F23AD7" w:rsidRPr="001B674F">
        <w:rPr>
          <w:rFonts w:ascii="Arial" w:hAnsi="Arial" w:cs="Arial"/>
        </w:rPr>
        <w:t xml:space="preserve">However, in practice, </w:t>
      </w:r>
      <w:r w:rsidR="00241B79" w:rsidRPr="001B674F">
        <w:rPr>
          <w:rFonts w:ascii="Arial" w:hAnsi="Arial" w:cs="Arial"/>
        </w:rPr>
        <w:t>76</w:t>
      </w:r>
      <w:r w:rsidR="00F53B4C" w:rsidRPr="001B674F">
        <w:rPr>
          <w:rFonts w:ascii="Arial" w:hAnsi="Arial" w:cs="Arial"/>
        </w:rPr>
        <w:t xml:space="preserve"> percent of </w:t>
      </w:r>
      <w:r w:rsidR="00BE5E57" w:rsidRPr="001B674F">
        <w:rPr>
          <w:rFonts w:ascii="Arial" w:hAnsi="Arial" w:cs="Arial"/>
        </w:rPr>
        <w:t xml:space="preserve">the 1,400 </w:t>
      </w:r>
      <w:r w:rsidR="00F53B4C" w:rsidRPr="001B674F">
        <w:rPr>
          <w:rFonts w:ascii="Arial" w:hAnsi="Arial" w:cs="Arial"/>
        </w:rPr>
        <w:t xml:space="preserve">current </w:t>
      </w:r>
      <w:r w:rsidR="000B111B" w:rsidRPr="001B674F">
        <w:rPr>
          <w:rFonts w:ascii="Arial" w:hAnsi="Arial" w:cs="Arial"/>
        </w:rPr>
        <w:t>Child, Youth and Family</w:t>
      </w:r>
      <w:r w:rsidR="000B111B" w:rsidRPr="001B674F" w:rsidDel="000B111B">
        <w:rPr>
          <w:rFonts w:ascii="Arial" w:hAnsi="Arial" w:cs="Arial"/>
        </w:rPr>
        <w:t xml:space="preserve"> </w:t>
      </w:r>
      <w:r w:rsidR="00F23AD7" w:rsidRPr="001B674F">
        <w:rPr>
          <w:rFonts w:ascii="Arial" w:hAnsi="Arial" w:cs="Arial"/>
        </w:rPr>
        <w:t xml:space="preserve">frontline </w:t>
      </w:r>
      <w:r w:rsidR="00F53B4C" w:rsidRPr="001B674F">
        <w:rPr>
          <w:rFonts w:ascii="Arial" w:hAnsi="Arial" w:cs="Arial"/>
        </w:rPr>
        <w:t>social workers are registered, with the department’s policy</w:t>
      </w:r>
      <w:r w:rsidR="00DE0BBD">
        <w:rPr>
          <w:rFonts w:ascii="Arial" w:hAnsi="Arial" w:cs="Arial"/>
        </w:rPr>
        <w:t xml:space="preserve"> being</w:t>
      </w:r>
      <w:r w:rsidR="00F53B4C" w:rsidRPr="001B674F">
        <w:rPr>
          <w:rFonts w:ascii="Arial" w:hAnsi="Arial" w:cs="Arial"/>
        </w:rPr>
        <w:t xml:space="preserve"> to work towards full registration.</w:t>
      </w:r>
      <w:r w:rsidR="00241B79" w:rsidRPr="001B674F">
        <w:rPr>
          <w:rFonts w:ascii="Arial" w:hAnsi="Arial" w:cs="Arial"/>
          <w:kern w:val="28"/>
          <w:vertAlign w:val="superscript"/>
          <w:lang w:eastAsia="en-AU"/>
        </w:rPr>
        <w:footnoteReference w:id="4"/>
      </w:r>
      <w:r w:rsidR="00F53B4C" w:rsidRPr="001B674F">
        <w:rPr>
          <w:rFonts w:ascii="Arial" w:hAnsi="Arial" w:cs="Arial"/>
          <w:kern w:val="28"/>
          <w:vertAlign w:val="superscript"/>
          <w:lang w:eastAsia="en-AU"/>
        </w:rPr>
        <w:t xml:space="preserve"> </w:t>
      </w:r>
    </w:p>
    <w:p w:rsidR="00E31948" w:rsidRPr="001B674F" w:rsidRDefault="00E31948" w:rsidP="004F710D">
      <w:pPr>
        <w:rPr>
          <w:rFonts w:ascii="Arial" w:hAnsi="Arial" w:cs="Arial"/>
        </w:rPr>
      </w:pPr>
      <w:r w:rsidRPr="001B674F">
        <w:rPr>
          <w:rFonts w:ascii="Arial" w:hAnsi="Arial" w:cs="Arial"/>
        </w:rPr>
        <w:t xml:space="preserve">There are specific risks inherent in the </w:t>
      </w:r>
      <w:r w:rsidR="00CF6B00" w:rsidRPr="001B674F">
        <w:rPr>
          <w:rFonts w:ascii="Arial" w:hAnsi="Arial" w:cs="Arial"/>
        </w:rPr>
        <w:t xml:space="preserve">State </w:t>
      </w:r>
      <w:r w:rsidRPr="001B674F">
        <w:rPr>
          <w:rFonts w:ascii="Arial" w:hAnsi="Arial" w:cs="Arial"/>
        </w:rPr>
        <w:t xml:space="preserve">taking an active intervention role in working with </w:t>
      </w:r>
      <w:r w:rsidR="001B674F">
        <w:rPr>
          <w:rFonts w:ascii="Arial" w:hAnsi="Arial" w:cs="Arial"/>
        </w:rPr>
        <w:t>vulnerable children and young people</w:t>
      </w:r>
      <w:r w:rsidRPr="001B674F">
        <w:rPr>
          <w:rFonts w:ascii="Arial" w:hAnsi="Arial" w:cs="Arial"/>
        </w:rPr>
        <w:t>. On the one hand</w:t>
      </w:r>
      <w:r w:rsidR="00E37F83">
        <w:rPr>
          <w:rFonts w:ascii="Arial" w:hAnsi="Arial" w:cs="Arial"/>
        </w:rPr>
        <w:t>,</w:t>
      </w:r>
      <w:r w:rsidRPr="001B674F">
        <w:rPr>
          <w:rFonts w:ascii="Arial" w:hAnsi="Arial" w:cs="Arial"/>
        </w:rPr>
        <w:t xml:space="preserve"> failure to intervene can result in preventable harm to children; on the other hand</w:t>
      </w:r>
      <w:r w:rsidR="00E37F83">
        <w:rPr>
          <w:rFonts w:ascii="Arial" w:hAnsi="Arial" w:cs="Arial"/>
        </w:rPr>
        <w:t>,</w:t>
      </w:r>
      <w:r w:rsidRPr="001B674F">
        <w:rPr>
          <w:rFonts w:ascii="Arial" w:hAnsi="Arial" w:cs="Arial"/>
        </w:rPr>
        <w:t xml:space="preserve"> intervention can be highly disruptive for children and families and cause trauma and additional harm to already </w:t>
      </w:r>
      <w:r w:rsidR="001B674F">
        <w:rPr>
          <w:rFonts w:ascii="Arial" w:hAnsi="Arial" w:cs="Arial"/>
        </w:rPr>
        <w:t>vulnerable children and young people</w:t>
      </w:r>
      <w:r w:rsidRPr="001B674F">
        <w:rPr>
          <w:rFonts w:ascii="Arial" w:hAnsi="Arial" w:cs="Arial"/>
        </w:rPr>
        <w:t>.</w:t>
      </w:r>
      <w:r w:rsidRPr="001B674F" w:rsidDel="00072E26">
        <w:rPr>
          <w:rFonts w:ascii="Arial" w:hAnsi="Arial" w:cs="Arial"/>
        </w:rPr>
        <w:t xml:space="preserve"> </w:t>
      </w:r>
    </w:p>
    <w:p w:rsidR="00A44578" w:rsidRPr="001B674F" w:rsidRDefault="00924B0E" w:rsidP="004F710D">
      <w:pPr>
        <w:rPr>
          <w:rFonts w:ascii="Arial" w:hAnsi="Arial" w:cs="Arial"/>
        </w:rPr>
      </w:pPr>
      <w:r w:rsidRPr="001B674F">
        <w:rPr>
          <w:rFonts w:ascii="Arial" w:hAnsi="Arial" w:cs="Arial"/>
        </w:rPr>
        <w:lastRenderedPageBreak/>
        <w:t xml:space="preserve">There appear to be mainly historical reasons for the use of </w:t>
      </w:r>
      <w:r w:rsidR="00E37F83">
        <w:rPr>
          <w:rFonts w:ascii="Arial" w:hAnsi="Arial" w:cs="Arial"/>
        </w:rPr>
        <w:t>“</w:t>
      </w:r>
      <w:r w:rsidRPr="001B674F">
        <w:rPr>
          <w:rFonts w:ascii="Arial" w:hAnsi="Arial" w:cs="Arial"/>
        </w:rPr>
        <w:t>social worker</w:t>
      </w:r>
      <w:r w:rsidR="00E37F83">
        <w:rPr>
          <w:rFonts w:ascii="Arial" w:hAnsi="Arial" w:cs="Arial"/>
        </w:rPr>
        <w:t>”</w:t>
      </w:r>
      <w:r w:rsidRPr="001B674F">
        <w:rPr>
          <w:rFonts w:ascii="Arial" w:hAnsi="Arial" w:cs="Arial"/>
        </w:rPr>
        <w:t xml:space="preserve"> in the wording of the </w:t>
      </w:r>
      <w:r w:rsidR="00E37F83">
        <w:rPr>
          <w:rFonts w:ascii="Arial" w:hAnsi="Arial" w:cs="Arial"/>
        </w:rPr>
        <w:t xml:space="preserve">CYPF </w:t>
      </w:r>
      <w:r w:rsidRPr="001B674F">
        <w:rPr>
          <w:rFonts w:ascii="Arial" w:hAnsi="Arial" w:cs="Arial"/>
        </w:rPr>
        <w:t xml:space="preserve">Act. It was carried over from the previous 1971 Act which sought to distinguish the functions and roles of the new department from </w:t>
      </w:r>
      <w:r w:rsidR="00E37F83">
        <w:rPr>
          <w:rFonts w:ascii="Arial" w:hAnsi="Arial" w:cs="Arial"/>
        </w:rPr>
        <w:t>the</w:t>
      </w:r>
      <w:r w:rsidRPr="001B674F">
        <w:rPr>
          <w:rFonts w:ascii="Arial" w:hAnsi="Arial" w:cs="Arial"/>
        </w:rPr>
        <w:t xml:space="preserve"> former home</w:t>
      </w:r>
      <w:r w:rsidR="00E37F83">
        <w:rPr>
          <w:rFonts w:ascii="Arial" w:hAnsi="Arial" w:cs="Arial"/>
        </w:rPr>
        <w:t xml:space="preserve"> of these functions</w:t>
      </w:r>
      <w:r w:rsidRPr="001B674F">
        <w:rPr>
          <w:rFonts w:ascii="Arial" w:hAnsi="Arial" w:cs="Arial"/>
        </w:rPr>
        <w:t xml:space="preserve"> in the Department of Education. However, t</w:t>
      </w:r>
      <w:r w:rsidR="00A44578" w:rsidRPr="001B674F">
        <w:rPr>
          <w:rFonts w:ascii="Arial" w:hAnsi="Arial" w:cs="Arial"/>
        </w:rPr>
        <w:t xml:space="preserve">he allocation of key functions to </w:t>
      </w:r>
      <w:r w:rsidR="00BD4467" w:rsidRPr="001B674F">
        <w:rPr>
          <w:rFonts w:ascii="Arial" w:hAnsi="Arial" w:cs="Arial"/>
        </w:rPr>
        <w:t>specific classes of professional (</w:t>
      </w:r>
      <w:r w:rsidR="00A44578" w:rsidRPr="001B674F">
        <w:rPr>
          <w:rFonts w:ascii="Arial" w:hAnsi="Arial" w:cs="Arial"/>
        </w:rPr>
        <w:t xml:space="preserve">social workers and </w:t>
      </w:r>
      <w:r w:rsidR="00DE0BBD">
        <w:rPr>
          <w:rFonts w:ascii="Arial" w:hAnsi="Arial" w:cs="Arial"/>
        </w:rPr>
        <w:t>Police</w:t>
      </w:r>
      <w:r w:rsidR="00A44578" w:rsidRPr="001B674F">
        <w:rPr>
          <w:rFonts w:ascii="Arial" w:hAnsi="Arial" w:cs="Arial"/>
        </w:rPr>
        <w:t xml:space="preserve"> constables</w:t>
      </w:r>
      <w:r w:rsidR="00BD4467" w:rsidRPr="001B674F">
        <w:rPr>
          <w:rFonts w:ascii="Arial" w:hAnsi="Arial" w:cs="Arial"/>
        </w:rPr>
        <w:t>)</w:t>
      </w:r>
      <w:r w:rsidR="00A44578" w:rsidRPr="001B674F">
        <w:rPr>
          <w:rFonts w:ascii="Arial" w:hAnsi="Arial" w:cs="Arial"/>
        </w:rPr>
        <w:t xml:space="preserve"> serves as a protection for the public and seeks to ensure that only suitably qualified </w:t>
      </w:r>
      <w:r w:rsidR="008940D1" w:rsidRPr="001B674F">
        <w:rPr>
          <w:rFonts w:ascii="Arial" w:hAnsi="Arial" w:cs="Arial"/>
        </w:rPr>
        <w:t xml:space="preserve">and skilled </w:t>
      </w:r>
      <w:r w:rsidR="00A44578" w:rsidRPr="001B674F">
        <w:rPr>
          <w:rFonts w:ascii="Arial" w:hAnsi="Arial" w:cs="Arial"/>
        </w:rPr>
        <w:t xml:space="preserve">persons are able to wield the coercive statutory powers of the State. </w:t>
      </w:r>
      <w:r w:rsidR="00E31948" w:rsidRPr="001B674F">
        <w:rPr>
          <w:rFonts w:ascii="Arial" w:hAnsi="Arial" w:cs="Arial"/>
        </w:rPr>
        <w:t>This avoid</w:t>
      </w:r>
      <w:r w:rsidRPr="001B674F">
        <w:rPr>
          <w:rFonts w:ascii="Arial" w:hAnsi="Arial" w:cs="Arial"/>
        </w:rPr>
        <w:t>s</w:t>
      </w:r>
      <w:r w:rsidR="00E31948" w:rsidRPr="001B674F">
        <w:rPr>
          <w:rFonts w:ascii="Arial" w:hAnsi="Arial" w:cs="Arial"/>
        </w:rPr>
        <w:t xml:space="preserve"> incompetence and misuse of State powers</w:t>
      </w:r>
      <w:r w:rsidRPr="001B674F">
        <w:rPr>
          <w:rFonts w:ascii="Arial" w:hAnsi="Arial" w:cs="Arial"/>
        </w:rPr>
        <w:t xml:space="preserve"> and</w:t>
      </w:r>
      <w:r w:rsidR="00BD4467" w:rsidRPr="001B674F">
        <w:rPr>
          <w:rFonts w:ascii="Arial" w:hAnsi="Arial" w:cs="Arial"/>
        </w:rPr>
        <w:t xml:space="preserve"> has an added benefit of transparency for the public about who has these powers. </w:t>
      </w:r>
      <w:r w:rsidR="00A44578" w:rsidRPr="001B674F">
        <w:rPr>
          <w:rFonts w:ascii="Arial" w:hAnsi="Arial" w:cs="Arial"/>
        </w:rPr>
        <w:t xml:space="preserve">However, there are a number of other methods to ensure this protection, such as training, setting and enforcing standards, employment </w:t>
      </w:r>
      <w:r w:rsidR="00064319" w:rsidRPr="001B674F">
        <w:rPr>
          <w:rFonts w:ascii="Arial" w:hAnsi="Arial" w:cs="Arial"/>
        </w:rPr>
        <w:t xml:space="preserve">and contracting </w:t>
      </w:r>
      <w:r w:rsidR="00A44578" w:rsidRPr="001B674F">
        <w:rPr>
          <w:rFonts w:ascii="Arial" w:hAnsi="Arial" w:cs="Arial"/>
        </w:rPr>
        <w:t xml:space="preserve">powers and occupational regulation. </w:t>
      </w:r>
      <w:r w:rsidR="00BD4467" w:rsidRPr="001B674F">
        <w:rPr>
          <w:rFonts w:ascii="Arial" w:hAnsi="Arial" w:cs="Arial"/>
        </w:rPr>
        <w:t>There are also other methods for ensuring transparency for these functions.</w:t>
      </w:r>
    </w:p>
    <w:p w:rsidR="004F710D" w:rsidRPr="001B674F" w:rsidRDefault="00A44578" w:rsidP="004F710D">
      <w:pPr>
        <w:rPr>
          <w:rFonts w:ascii="Arial" w:hAnsi="Arial" w:cs="Arial"/>
        </w:rPr>
      </w:pPr>
      <w:r w:rsidRPr="001B674F">
        <w:rPr>
          <w:rFonts w:ascii="Arial" w:hAnsi="Arial" w:cs="Arial"/>
        </w:rPr>
        <w:t xml:space="preserve">The explicit </w:t>
      </w:r>
      <w:r w:rsidR="004F710D" w:rsidRPr="001B674F">
        <w:rPr>
          <w:rFonts w:ascii="Arial" w:hAnsi="Arial" w:cs="Arial"/>
        </w:rPr>
        <w:t xml:space="preserve">naming of social workers as professionals with responsibility for discharging functions under the Act, to the exclusion of other professionals or employees or agents of the agency, is </w:t>
      </w:r>
      <w:r w:rsidR="00B00190" w:rsidRPr="001B674F">
        <w:rPr>
          <w:rFonts w:ascii="Arial" w:hAnsi="Arial" w:cs="Arial"/>
        </w:rPr>
        <w:t>not</w:t>
      </w:r>
      <w:r w:rsidR="004F710D" w:rsidRPr="001B674F">
        <w:rPr>
          <w:rFonts w:ascii="Arial" w:hAnsi="Arial" w:cs="Arial"/>
        </w:rPr>
        <w:t xml:space="preserve"> </w:t>
      </w:r>
      <w:r w:rsidR="00B00190" w:rsidRPr="001B674F">
        <w:rPr>
          <w:rFonts w:ascii="Arial" w:hAnsi="Arial" w:cs="Arial"/>
        </w:rPr>
        <w:t xml:space="preserve">common to </w:t>
      </w:r>
      <w:r w:rsidR="004F710D" w:rsidRPr="001B674F">
        <w:rPr>
          <w:rFonts w:ascii="Arial" w:hAnsi="Arial" w:cs="Arial"/>
        </w:rPr>
        <w:t>comparable jurisdictions</w:t>
      </w:r>
      <w:r w:rsidR="00CF6B00" w:rsidRPr="001B674F">
        <w:rPr>
          <w:rFonts w:ascii="Arial" w:hAnsi="Arial" w:cs="Arial"/>
        </w:rPr>
        <w:t>,</w:t>
      </w:r>
      <w:r w:rsidR="004F710D" w:rsidRPr="001B674F">
        <w:rPr>
          <w:rFonts w:ascii="Arial" w:hAnsi="Arial" w:cs="Arial"/>
        </w:rPr>
        <w:t xml:space="preserve"> such as </w:t>
      </w:r>
      <w:r w:rsidR="00B00190" w:rsidRPr="001B674F">
        <w:rPr>
          <w:rFonts w:ascii="Arial" w:hAnsi="Arial" w:cs="Arial"/>
        </w:rPr>
        <w:t>England</w:t>
      </w:r>
      <w:r w:rsidR="004F710D" w:rsidRPr="001B674F">
        <w:rPr>
          <w:rFonts w:ascii="Arial" w:hAnsi="Arial" w:cs="Arial"/>
        </w:rPr>
        <w:t xml:space="preserve"> and Australia</w:t>
      </w:r>
      <w:r w:rsidR="00B00190" w:rsidRPr="001B674F">
        <w:rPr>
          <w:rFonts w:ascii="Arial" w:hAnsi="Arial" w:cs="Arial"/>
        </w:rPr>
        <w:t xml:space="preserve">. </w:t>
      </w:r>
      <w:r w:rsidR="008940D1" w:rsidRPr="001B674F">
        <w:rPr>
          <w:rFonts w:ascii="Arial" w:hAnsi="Arial" w:cs="Arial"/>
        </w:rPr>
        <w:t>In these jurisdictions responsibility</w:t>
      </w:r>
      <w:r w:rsidR="00F16DFF" w:rsidRPr="001B674F">
        <w:rPr>
          <w:rFonts w:ascii="Arial" w:hAnsi="Arial" w:cs="Arial"/>
        </w:rPr>
        <w:t xml:space="preserve"> tends to</w:t>
      </w:r>
      <w:r w:rsidR="008940D1" w:rsidRPr="001B674F">
        <w:rPr>
          <w:rFonts w:ascii="Arial" w:hAnsi="Arial" w:cs="Arial"/>
        </w:rPr>
        <w:t xml:space="preserve"> sit with the relevant </w:t>
      </w:r>
      <w:r w:rsidR="00E014C6" w:rsidRPr="001B674F">
        <w:rPr>
          <w:rFonts w:ascii="Arial" w:hAnsi="Arial" w:cs="Arial"/>
        </w:rPr>
        <w:t>Chief Executive</w:t>
      </w:r>
      <w:r w:rsidR="008940D1" w:rsidRPr="001B674F">
        <w:rPr>
          <w:rFonts w:ascii="Arial" w:hAnsi="Arial" w:cs="Arial"/>
        </w:rPr>
        <w:t>.</w:t>
      </w:r>
      <w:r w:rsidR="00F16DFF" w:rsidRPr="001B674F">
        <w:rPr>
          <w:rFonts w:ascii="Arial" w:hAnsi="Arial" w:cs="Arial"/>
          <w:kern w:val="28"/>
          <w:vertAlign w:val="superscript"/>
          <w:lang w:eastAsia="en-AU"/>
        </w:rPr>
        <w:footnoteReference w:id="5"/>
      </w:r>
    </w:p>
    <w:p w:rsidR="009F57B1" w:rsidRPr="001B674F" w:rsidRDefault="009F57B1" w:rsidP="00E31948">
      <w:pPr>
        <w:rPr>
          <w:rFonts w:ascii="Arial" w:hAnsi="Arial" w:cs="Arial"/>
        </w:rPr>
      </w:pPr>
      <w:r w:rsidRPr="001B674F">
        <w:rPr>
          <w:rFonts w:ascii="Arial" w:hAnsi="Arial" w:cs="Arial"/>
        </w:rPr>
        <w:t xml:space="preserve">The social work profession comes from a tradition that promotes pro-social change with individuals and families. Through principles of social justice, human rights, respect for the diversity and experience of individuals, groups and communities, the profession seeks to empower people to take greater control and improve their life circumstances. Within the statutory services, social work also requires specialist skills in undertaking assessment of risk and needs, in working with the individuals, their wider </w:t>
      </w:r>
      <w:r w:rsidR="00E37F83">
        <w:rPr>
          <w:rFonts w:ascii="Arial" w:hAnsi="Arial" w:cs="Arial"/>
        </w:rPr>
        <w:t xml:space="preserve">family and </w:t>
      </w:r>
      <w:proofErr w:type="spellStart"/>
      <w:r w:rsidRPr="001B674F">
        <w:rPr>
          <w:rFonts w:ascii="Arial" w:hAnsi="Arial" w:cs="Arial"/>
        </w:rPr>
        <w:t>whānau</w:t>
      </w:r>
      <w:proofErr w:type="spellEnd"/>
      <w:r w:rsidR="00E37F83">
        <w:rPr>
          <w:rFonts w:ascii="Arial" w:hAnsi="Arial" w:cs="Arial"/>
        </w:rPr>
        <w:t>,</w:t>
      </w:r>
      <w:r w:rsidRPr="001B674F">
        <w:rPr>
          <w:rFonts w:ascii="Arial" w:hAnsi="Arial" w:cs="Arial"/>
        </w:rPr>
        <w:t xml:space="preserve"> and other services to develop and implement robust plans to enable change and to recognise when and how the use of statutory power is in a child’s best interests.</w:t>
      </w:r>
    </w:p>
    <w:p w:rsidR="00072E26" w:rsidRPr="001B674F" w:rsidRDefault="00072E26" w:rsidP="00072E26">
      <w:pPr>
        <w:pStyle w:val="Heading2"/>
        <w:rPr>
          <w:rFonts w:ascii="Arial" w:hAnsi="Arial" w:cs="Arial"/>
        </w:rPr>
      </w:pPr>
      <w:r w:rsidRPr="001B674F">
        <w:rPr>
          <w:rFonts w:ascii="Arial" w:hAnsi="Arial" w:cs="Arial"/>
        </w:rPr>
        <w:t>Scope</w:t>
      </w:r>
    </w:p>
    <w:p w:rsidR="00072E26" w:rsidRPr="001B674F" w:rsidRDefault="00072E26" w:rsidP="00072E26">
      <w:pPr>
        <w:spacing w:after="0" w:line="240" w:lineRule="auto"/>
        <w:rPr>
          <w:rFonts w:ascii="Arial" w:hAnsi="Arial" w:cs="Arial"/>
        </w:rPr>
      </w:pPr>
      <w:r w:rsidRPr="001B674F">
        <w:rPr>
          <w:rFonts w:ascii="Arial" w:hAnsi="Arial" w:cs="Arial"/>
        </w:rPr>
        <w:t>Given the timeframes for this analysis, the following have been excluded from consideration:</w:t>
      </w:r>
    </w:p>
    <w:p w:rsidR="00072E26" w:rsidRPr="001B674F" w:rsidRDefault="00072E26" w:rsidP="00072E26">
      <w:pPr>
        <w:pStyle w:val="Bullet1"/>
        <w:rPr>
          <w:rFonts w:ascii="Arial" w:hAnsi="Arial" w:cs="Arial"/>
        </w:rPr>
      </w:pPr>
      <w:r w:rsidRPr="001B674F">
        <w:rPr>
          <w:rFonts w:ascii="Arial" w:hAnsi="Arial" w:cs="Arial"/>
        </w:rPr>
        <w:t>the role of the FGC Co</w:t>
      </w:r>
      <w:r w:rsidR="00E37F83">
        <w:rPr>
          <w:rFonts w:ascii="Arial" w:hAnsi="Arial" w:cs="Arial"/>
        </w:rPr>
        <w:t>-</w:t>
      </w:r>
      <w:r w:rsidRPr="001B674F">
        <w:rPr>
          <w:rFonts w:ascii="Arial" w:hAnsi="Arial" w:cs="Arial"/>
        </w:rPr>
        <w:t xml:space="preserve">ordinator as a distinct role within the Act </w:t>
      </w:r>
    </w:p>
    <w:p w:rsidR="00072E26" w:rsidRPr="001B674F" w:rsidRDefault="00072E26" w:rsidP="006B034C">
      <w:pPr>
        <w:pStyle w:val="Bullet1"/>
        <w:ind w:left="357" w:hanging="357"/>
        <w:rPr>
          <w:rFonts w:ascii="Arial" w:hAnsi="Arial" w:cs="Arial"/>
        </w:rPr>
      </w:pPr>
      <w:proofErr w:type="gramStart"/>
      <w:r w:rsidRPr="001B674F">
        <w:rPr>
          <w:rFonts w:ascii="Arial" w:hAnsi="Arial" w:cs="Arial"/>
        </w:rPr>
        <w:t>review</w:t>
      </w:r>
      <w:proofErr w:type="gramEnd"/>
      <w:r w:rsidRPr="001B674F">
        <w:rPr>
          <w:rFonts w:ascii="Arial" w:hAnsi="Arial" w:cs="Arial"/>
        </w:rPr>
        <w:t xml:space="preserve"> of references to ‘constables’ in the legislation – the future role for Police under the new operating model will be considered as part of the next stage of design work. This will include </w:t>
      </w:r>
      <w:r w:rsidR="00CF6B00" w:rsidRPr="001B674F">
        <w:rPr>
          <w:rFonts w:ascii="Arial" w:hAnsi="Arial" w:cs="Arial"/>
        </w:rPr>
        <w:t>considering</w:t>
      </w:r>
      <w:r w:rsidRPr="001B674F">
        <w:rPr>
          <w:rFonts w:ascii="Arial" w:hAnsi="Arial" w:cs="Arial"/>
        </w:rPr>
        <w:t xml:space="preserve"> the ongoing value of being able to draw on policing resources as an emergency backstop, particularly outside of usual operating hours (noting</w:t>
      </w:r>
      <w:r w:rsidR="00E37F83">
        <w:rPr>
          <w:rFonts w:ascii="Arial" w:hAnsi="Arial" w:cs="Arial"/>
        </w:rPr>
        <w:t>,</w:t>
      </w:r>
      <w:r w:rsidRPr="001B674F">
        <w:rPr>
          <w:rFonts w:ascii="Arial" w:hAnsi="Arial" w:cs="Arial"/>
        </w:rPr>
        <w:t xml:space="preserve"> however</w:t>
      </w:r>
      <w:r w:rsidR="00E37F83">
        <w:rPr>
          <w:rFonts w:ascii="Arial" w:hAnsi="Arial" w:cs="Arial"/>
        </w:rPr>
        <w:t>,</w:t>
      </w:r>
      <w:r w:rsidRPr="001B674F">
        <w:rPr>
          <w:rFonts w:ascii="Arial" w:hAnsi="Arial" w:cs="Arial"/>
        </w:rPr>
        <w:t xml:space="preserve"> the intention to move towards a 24/7 operating model). This work will also need to take account of the legal framework within which individual officers operate, whereby decision-making powers are conferred on individuals rather than at a system-level</w:t>
      </w:r>
      <w:r w:rsidR="00C77E18" w:rsidRPr="001B674F">
        <w:rPr>
          <w:rFonts w:ascii="Arial" w:hAnsi="Arial" w:cs="Arial"/>
        </w:rPr>
        <w:t>, and the constitutional standing of constables in common law</w:t>
      </w:r>
    </w:p>
    <w:p w:rsidR="00072E26" w:rsidRPr="001B674F" w:rsidRDefault="00072E26" w:rsidP="00072E26">
      <w:pPr>
        <w:pStyle w:val="Bullet1"/>
        <w:rPr>
          <w:rFonts w:ascii="Arial" w:hAnsi="Arial" w:cs="Arial"/>
        </w:rPr>
      </w:pPr>
      <w:proofErr w:type="gramStart"/>
      <w:r w:rsidRPr="001B674F">
        <w:rPr>
          <w:rFonts w:ascii="Arial" w:hAnsi="Arial" w:cs="Arial"/>
        </w:rPr>
        <w:t>provisions</w:t>
      </w:r>
      <w:proofErr w:type="gramEnd"/>
      <w:r w:rsidRPr="001B674F">
        <w:rPr>
          <w:rFonts w:ascii="Arial" w:hAnsi="Arial" w:cs="Arial"/>
        </w:rPr>
        <w:t xml:space="preserve"> that reference Court-directed social work reports, given </w:t>
      </w:r>
      <w:r w:rsidR="00CF6B00" w:rsidRPr="001B674F">
        <w:rPr>
          <w:rFonts w:ascii="Arial" w:hAnsi="Arial" w:cs="Arial"/>
        </w:rPr>
        <w:t xml:space="preserve">the </w:t>
      </w:r>
      <w:r w:rsidRPr="001B674F">
        <w:rPr>
          <w:rFonts w:ascii="Arial" w:hAnsi="Arial" w:cs="Arial"/>
        </w:rPr>
        <w:t xml:space="preserve">interaction with </w:t>
      </w:r>
      <w:r w:rsidR="00E37F83">
        <w:rPr>
          <w:rFonts w:ascii="Arial" w:hAnsi="Arial" w:cs="Arial"/>
        </w:rPr>
        <w:t xml:space="preserve">the </w:t>
      </w:r>
      <w:r w:rsidRPr="001B674F">
        <w:rPr>
          <w:rFonts w:ascii="Arial" w:hAnsi="Arial" w:cs="Arial"/>
        </w:rPr>
        <w:t>Care of Children Act 2004</w:t>
      </w:r>
      <w:r w:rsidR="00E37F83">
        <w:rPr>
          <w:rFonts w:ascii="Arial" w:hAnsi="Arial" w:cs="Arial"/>
        </w:rPr>
        <w:t>,</w:t>
      </w:r>
      <w:r w:rsidRPr="001B674F">
        <w:rPr>
          <w:rFonts w:ascii="Arial" w:hAnsi="Arial" w:cs="Arial"/>
        </w:rPr>
        <w:t xml:space="preserve"> which contains similar provisions.</w:t>
      </w:r>
      <w:r w:rsidR="00AB1D51" w:rsidRPr="001B674F">
        <w:rPr>
          <w:rFonts w:ascii="Arial" w:hAnsi="Arial" w:cs="Arial"/>
        </w:rPr>
        <w:t xml:space="preserve"> </w:t>
      </w:r>
    </w:p>
    <w:p w:rsidR="00C367E5" w:rsidRPr="001B674F" w:rsidRDefault="00C367E5" w:rsidP="00E3608F">
      <w:pPr>
        <w:rPr>
          <w:rFonts w:ascii="Arial" w:hAnsi="Arial" w:cs="Arial"/>
        </w:rPr>
      </w:pPr>
      <w:r w:rsidRPr="001B674F">
        <w:rPr>
          <w:rFonts w:ascii="Arial" w:hAnsi="Arial" w:cs="Arial"/>
          <w:lang w:val="en-NZ"/>
        </w:rPr>
        <w:t>Future policy work will review whether any amendments</w:t>
      </w:r>
      <w:r w:rsidR="004D7081" w:rsidRPr="001B674F">
        <w:rPr>
          <w:rFonts w:ascii="Arial" w:hAnsi="Arial" w:cs="Arial"/>
          <w:lang w:val="en-NZ"/>
        </w:rPr>
        <w:t xml:space="preserve"> to these </w:t>
      </w:r>
      <w:r w:rsidRPr="001B674F">
        <w:rPr>
          <w:rFonts w:ascii="Arial" w:hAnsi="Arial" w:cs="Arial"/>
          <w:lang w:val="en-NZ"/>
        </w:rPr>
        <w:t>are required.</w:t>
      </w:r>
    </w:p>
    <w:p w:rsidR="008D5CD9" w:rsidRPr="001B674F" w:rsidRDefault="005C611D" w:rsidP="00A42AD7">
      <w:pPr>
        <w:pStyle w:val="Heading2"/>
        <w:rPr>
          <w:rFonts w:ascii="Arial" w:hAnsi="Arial" w:cs="Arial"/>
        </w:rPr>
      </w:pPr>
      <w:r w:rsidRPr="001B674F">
        <w:rPr>
          <w:rFonts w:ascii="Arial" w:hAnsi="Arial" w:cs="Arial"/>
        </w:rPr>
        <w:lastRenderedPageBreak/>
        <w:t>P</w:t>
      </w:r>
      <w:r w:rsidR="008D5CD9" w:rsidRPr="001B674F">
        <w:rPr>
          <w:rFonts w:ascii="Arial" w:hAnsi="Arial" w:cs="Arial"/>
        </w:rPr>
        <w:t>roblem definition</w:t>
      </w:r>
      <w:bookmarkEnd w:id="21"/>
      <w:bookmarkEnd w:id="22"/>
      <w:bookmarkEnd w:id="23"/>
      <w:bookmarkEnd w:id="24"/>
      <w:bookmarkEnd w:id="25"/>
      <w:bookmarkEnd w:id="26"/>
    </w:p>
    <w:p w:rsidR="0039299C" w:rsidRPr="001B674F" w:rsidRDefault="00940A5A" w:rsidP="00E3608F">
      <w:pPr>
        <w:pStyle w:val="BodyText"/>
        <w:numPr>
          <w:ilvl w:val="0"/>
          <w:numId w:val="12"/>
        </w:numPr>
        <w:spacing w:after="240"/>
        <w:rPr>
          <w:rFonts w:ascii="Arial" w:hAnsi="Arial" w:cs="Arial"/>
          <w:b/>
        </w:rPr>
      </w:pPr>
      <w:r w:rsidRPr="001B674F">
        <w:rPr>
          <w:rFonts w:ascii="Arial" w:hAnsi="Arial" w:cs="Arial"/>
          <w:b/>
        </w:rPr>
        <w:t xml:space="preserve">The current Act assigns </w:t>
      </w:r>
      <w:r w:rsidR="00F53B4C" w:rsidRPr="001B674F">
        <w:rPr>
          <w:rFonts w:ascii="Arial" w:hAnsi="Arial" w:cs="Arial"/>
          <w:b/>
        </w:rPr>
        <w:t xml:space="preserve">some key </w:t>
      </w:r>
      <w:r w:rsidRPr="001B674F">
        <w:rPr>
          <w:rFonts w:ascii="Arial" w:hAnsi="Arial" w:cs="Arial"/>
          <w:b/>
        </w:rPr>
        <w:t>powers and duties to social workers</w:t>
      </w:r>
      <w:r w:rsidR="00F53B4C" w:rsidRPr="001B674F">
        <w:rPr>
          <w:rFonts w:ascii="Arial" w:hAnsi="Arial" w:cs="Arial"/>
          <w:b/>
        </w:rPr>
        <w:t xml:space="preserve"> and does not enable other professionals to </w:t>
      </w:r>
      <w:r w:rsidR="00EF5412" w:rsidRPr="001B674F">
        <w:rPr>
          <w:rFonts w:ascii="Arial" w:hAnsi="Arial" w:cs="Arial"/>
          <w:b/>
        </w:rPr>
        <w:t xml:space="preserve">discharge </w:t>
      </w:r>
      <w:r w:rsidR="00F53B4C" w:rsidRPr="001B674F">
        <w:rPr>
          <w:rFonts w:ascii="Arial" w:hAnsi="Arial" w:cs="Arial"/>
          <w:b/>
        </w:rPr>
        <w:t>those functions.</w:t>
      </w:r>
    </w:p>
    <w:p w:rsidR="00EF5412" w:rsidRPr="001B674F" w:rsidRDefault="00EF5412" w:rsidP="00940A5A">
      <w:pPr>
        <w:rPr>
          <w:rFonts w:ascii="Arial" w:hAnsi="Arial" w:cs="Arial"/>
        </w:rPr>
      </w:pPr>
      <w:r w:rsidRPr="001B674F">
        <w:rPr>
          <w:rFonts w:ascii="Arial" w:hAnsi="Arial" w:cs="Arial"/>
        </w:rPr>
        <w:t xml:space="preserve">The proposed new operating model envisages considerable flexibility </w:t>
      </w:r>
      <w:r w:rsidR="007A3BCB" w:rsidRPr="001B674F">
        <w:rPr>
          <w:rFonts w:ascii="Arial" w:hAnsi="Arial" w:cs="Arial"/>
        </w:rPr>
        <w:t>to be able</w:t>
      </w:r>
      <w:r w:rsidR="00F23AD7" w:rsidRPr="001B674F">
        <w:rPr>
          <w:rFonts w:ascii="Arial" w:hAnsi="Arial" w:cs="Arial"/>
        </w:rPr>
        <w:t xml:space="preserve"> </w:t>
      </w:r>
      <w:r w:rsidRPr="001B674F">
        <w:rPr>
          <w:rFonts w:ascii="Arial" w:hAnsi="Arial" w:cs="Arial"/>
        </w:rPr>
        <w:t>to provide a responsive, holistic and child-centred re</w:t>
      </w:r>
      <w:r w:rsidR="00CE65CA" w:rsidRPr="001B674F">
        <w:rPr>
          <w:rFonts w:ascii="Arial" w:hAnsi="Arial" w:cs="Arial"/>
        </w:rPr>
        <w:t xml:space="preserve">sponse to </w:t>
      </w:r>
      <w:r w:rsidR="001B674F">
        <w:rPr>
          <w:rFonts w:ascii="Arial" w:hAnsi="Arial" w:cs="Arial"/>
        </w:rPr>
        <w:t>vulnerable children</w:t>
      </w:r>
      <w:r w:rsidR="00E37F83">
        <w:rPr>
          <w:rFonts w:ascii="Arial" w:hAnsi="Arial" w:cs="Arial"/>
        </w:rPr>
        <w:t>,</w:t>
      </w:r>
      <w:r w:rsidR="001B674F">
        <w:rPr>
          <w:rFonts w:ascii="Arial" w:hAnsi="Arial" w:cs="Arial"/>
        </w:rPr>
        <w:t xml:space="preserve"> young people</w:t>
      </w:r>
      <w:r w:rsidR="00E37F83">
        <w:rPr>
          <w:rFonts w:ascii="Arial" w:hAnsi="Arial" w:cs="Arial"/>
        </w:rPr>
        <w:t xml:space="preserve"> and families</w:t>
      </w:r>
      <w:r w:rsidR="00CE65CA" w:rsidRPr="001B674F">
        <w:rPr>
          <w:rFonts w:ascii="Arial" w:hAnsi="Arial" w:cs="Arial"/>
        </w:rPr>
        <w:t>. T</w:t>
      </w:r>
      <w:r w:rsidRPr="001B674F">
        <w:rPr>
          <w:rFonts w:ascii="Arial" w:hAnsi="Arial" w:cs="Arial"/>
        </w:rPr>
        <w:t>his model envisages that social workers would remain the main professionals discharging function</w:t>
      </w:r>
      <w:r w:rsidR="00A0440C" w:rsidRPr="001B674F">
        <w:rPr>
          <w:rFonts w:ascii="Arial" w:hAnsi="Arial" w:cs="Arial"/>
        </w:rPr>
        <w:t>s</w:t>
      </w:r>
      <w:r w:rsidRPr="001B674F">
        <w:rPr>
          <w:rFonts w:ascii="Arial" w:hAnsi="Arial" w:cs="Arial"/>
        </w:rPr>
        <w:t xml:space="preserve"> under the CYPF Act, but that there would be flexibility for other professionals to play core roles in helping to identify and meet the needs of </w:t>
      </w:r>
      <w:r w:rsidR="001B674F">
        <w:rPr>
          <w:rFonts w:ascii="Arial" w:hAnsi="Arial" w:cs="Arial"/>
        </w:rPr>
        <w:t>vulnerable children and young people</w:t>
      </w:r>
      <w:r w:rsidR="003F4110" w:rsidRPr="001B674F">
        <w:rPr>
          <w:rFonts w:ascii="Arial" w:hAnsi="Arial" w:cs="Arial"/>
        </w:rPr>
        <w:t>, where they are better or equally positioned to perform those functions</w:t>
      </w:r>
      <w:r w:rsidR="001575C5" w:rsidRPr="001B674F">
        <w:rPr>
          <w:rFonts w:ascii="Arial" w:hAnsi="Arial" w:cs="Arial"/>
        </w:rPr>
        <w:t>.</w:t>
      </w:r>
      <w:r w:rsidR="00695296" w:rsidRPr="001B674F">
        <w:rPr>
          <w:rFonts w:ascii="Arial" w:hAnsi="Arial" w:cs="Arial"/>
        </w:rPr>
        <w:t xml:space="preserve"> </w:t>
      </w:r>
      <w:r w:rsidR="00CA116D" w:rsidRPr="001B674F">
        <w:rPr>
          <w:rFonts w:ascii="Arial" w:hAnsi="Arial" w:cs="Arial"/>
        </w:rPr>
        <w:t xml:space="preserve">This might be </w:t>
      </w:r>
      <w:r w:rsidR="003F4110" w:rsidRPr="001B674F">
        <w:rPr>
          <w:rFonts w:ascii="Arial" w:hAnsi="Arial" w:cs="Arial"/>
        </w:rPr>
        <w:t>because they have an established and trusted relationship with the child</w:t>
      </w:r>
      <w:r w:rsidR="00E37F83">
        <w:rPr>
          <w:rFonts w:ascii="Arial" w:hAnsi="Arial" w:cs="Arial"/>
        </w:rPr>
        <w:t>, young person</w:t>
      </w:r>
      <w:r w:rsidR="003F4110" w:rsidRPr="001B674F">
        <w:rPr>
          <w:rFonts w:ascii="Arial" w:hAnsi="Arial" w:cs="Arial"/>
        </w:rPr>
        <w:t xml:space="preserve"> and/or their family</w:t>
      </w:r>
      <w:r w:rsidR="00F91BA8" w:rsidRPr="001B674F">
        <w:rPr>
          <w:rFonts w:ascii="Arial" w:hAnsi="Arial" w:cs="Arial"/>
        </w:rPr>
        <w:t>,</w:t>
      </w:r>
      <w:r w:rsidR="003F4110" w:rsidRPr="001B674F">
        <w:rPr>
          <w:rFonts w:ascii="Arial" w:hAnsi="Arial" w:cs="Arial"/>
        </w:rPr>
        <w:t xml:space="preserve"> plus the appropriate skills</w:t>
      </w:r>
      <w:r w:rsidR="00F16DFF" w:rsidRPr="001B674F">
        <w:rPr>
          <w:rFonts w:ascii="Arial" w:hAnsi="Arial" w:cs="Arial"/>
        </w:rPr>
        <w:t>, knowledge</w:t>
      </w:r>
      <w:r w:rsidR="003F4110" w:rsidRPr="001B674F">
        <w:rPr>
          <w:rFonts w:ascii="Arial" w:hAnsi="Arial" w:cs="Arial"/>
        </w:rPr>
        <w:t xml:space="preserve"> and capabilities</w:t>
      </w:r>
      <w:r w:rsidRPr="001B674F">
        <w:rPr>
          <w:rFonts w:ascii="Arial" w:hAnsi="Arial" w:cs="Arial"/>
        </w:rPr>
        <w:t>.</w:t>
      </w:r>
      <w:r w:rsidR="00835E6B" w:rsidRPr="001B674F">
        <w:rPr>
          <w:rFonts w:ascii="Arial" w:hAnsi="Arial" w:cs="Arial"/>
        </w:rPr>
        <w:t xml:space="preserve"> </w:t>
      </w:r>
    </w:p>
    <w:p w:rsidR="001575C5" w:rsidRPr="001B674F" w:rsidRDefault="007A3BCB" w:rsidP="00940A5A">
      <w:pPr>
        <w:rPr>
          <w:rFonts w:ascii="Arial" w:hAnsi="Arial" w:cs="Arial"/>
        </w:rPr>
      </w:pPr>
      <w:r w:rsidRPr="001B674F">
        <w:rPr>
          <w:rFonts w:ascii="Arial" w:hAnsi="Arial" w:cs="Arial"/>
        </w:rPr>
        <w:t xml:space="preserve">The </w:t>
      </w:r>
      <w:r w:rsidR="001575C5" w:rsidRPr="001B674F">
        <w:rPr>
          <w:rFonts w:ascii="Arial" w:hAnsi="Arial" w:cs="Arial"/>
        </w:rPr>
        <w:t>need to utilise the skills of a broader range of professionals is expected to become more of an issue under the new operating model because of the new functions associated with prevention, and identifying and meeting the full range of needs for children, including remediation, growth and development.</w:t>
      </w:r>
      <w:r w:rsidR="00867800" w:rsidRPr="001B674F">
        <w:rPr>
          <w:rFonts w:ascii="Arial" w:hAnsi="Arial" w:cs="Arial"/>
        </w:rPr>
        <w:t xml:space="preserve"> </w:t>
      </w:r>
    </w:p>
    <w:p w:rsidR="00867800" w:rsidRPr="001B674F" w:rsidRDefault="00867800" w:rsidP="00940A5A">
      <w:pPr>
        <w:rPr>
          <w:rFonts w:ascii="Arial" w:hAnsi="Arial" w:cs="Arial"/>
        </w:rPr>
      </w:pPr>
      <w:r w:rsidRPr="001B674F">
        <w:rPr>
          <w:rFonts w:ascii="Arial" w:hAnsi="Arial" w:cs="Arial"/>
        </w:rPr>
        <w:t xml:space="preserve">Research and expert input that informed design work on the proposed operating model to date has emphasised the potential benefits of a multi-disciplinary approach to child protection work and decision-making. </w:t>
      </w:r>
      <w:r w:rsidR="00CA116D" w:rsidRPr="001B674F">
        <w:rPr>
          <w:rFonts w:ascii="Arial" w:hAnsi="Arial" w:cs="Arial"/>
        </w:rPr>
        <w:t xml:space="preserve">There is a growing body of evidence </w:t>
      </w:r>
      <w:r w:rsidR="007A3BCB" w:rsidRPr="001B674F">
        <w:rPr>
          <w:rFonts w:ascii="Arial" w:hAnsi="Arial" w:cs="Arial"/>
        </w:rPr>
        <w:t>recognising</w:t>
      </w:r>
      <w:r w:rsidR="00CA116D" w:rsidRPr="001B674F">
        <w:rPr>
          <w:rFonts w:ascii="Arial" w:hAnsi="Arial" w:cs="Arial"/>
        </w:rPr>
        <w:t xml:space="preserve"> the value of creating multi-disciplinary teams whose main task it is to undertake intensive assessments and then therapeutic work based on the findings </w:t>
      </w:r>
      <w:r w:rsidR="007A3BCB" w:rsidRPr="001B674F">
        <w:rPr>
          <w:rFonts w:ascii="Arial" w:hAnsi="Arial" w:cs="Arial"/>
        </w:rPr>
        <w:t xml:space="preserve">of </w:t>
      </w:r>
      <w:r w:rsidR="00CA116D" w:rsidRPr="001B674F">
        <w:rPr>
          <w:rFonts w:ascii="Arial" w:hAnsi="Arial" w:cs="Arial"/>
        </w:rPr>
        <w:t>their assessment.</w:t>
      </w:r>
      <w:r w:rsidR="00CA116D" w:rsidRPr="001B674F">
        <w:rPr>
          <w:rFonts w:ascii="Arial" w:hAnsi="Arial" w:cs="Arial"/>
          <w:kern w:val="28"/>
          <w:vertAlign w:val="superscript"/>
          <w:lang w:eastAsia="en-AU"/>
        </w:rPr>
        <w:footnoteReference w:id="6"/>
      </w:r>
      <w:r w:rsidR="00CA116D" w:rsidRPr="001B674F">
        <w:rPr>
          <w:rFonts w:ascii="Arial" w:hAnsi="Arial" w:cs="Arial"/>
          <w:kern w:val="28"/>
          <w:vertAlign w:val="superscript"/>
          <w:lang w:eastAsia="en-AU"/>
        </w:rPr>
        <w:t xml:space="preserve"> </w:t>
      </w:r>
      <w:r w:rsidRPr="001B674F">
        <w:rPr>
          <w:rFonts w:ascii="Arial" w:hAnsi="Arial" w:cs="Arial"/>
        </w:rPr>
        <w:t xml:space="preserve">These approaches are applied in comparable jurisdictions such as United Kingdom and in the operating model for the recent New Zealand development of Children’s Teams, which provide a specialist multi-agency response to highly </w:t>
      </w:r>
      <w:r w:rsidR="001B674F">
        <w:rPr>
          <w:rFonts w:ascii="Arial" w:hAnsi="Arial" w:cs="Arial"/>
        </w:rPr>
        <w:t>vulnerable children and young people</w:t>
      </w:r>
      <w:r w:rsidRPr="001B674F">
        <w:rPr>
          <w:rFonts w:ascii="Arial" w:hAnsi="Arial" w:cs="Arial"/>
        </w:rPr>
        <w:t xml:space="preserve"> below </w:t>
      </w:r>
      <w:r w:rsidR="000B111B" w:rsidRPr="001B674F">
        <w:rPr>
          <w:rFonts w:ascii="Arial" w:hAnsi="Arial" w:cs="Arial"/>
        </w:rPr>
        <w:t xml:space="preserve">Child, Youth and </w:t>
      </w:r>
      <w:r w:rsidR="001616D8" w:rsidRPr="001B674F">
        <w:rPr>
          <w:rFonts w:ascii="Arial" w:hAnsi="Arial" w:cs="Arial"/>
        </w:rPr>
        <w:t>Family’s intervention</w:t>
      </w:r>
      <w:r w:rsidRPr="001B674F">
        <w:rPr>
          <w:rFonts w:ascii="Arial" w:hAnsi="Arial" w:cs="Arial"/>
        </w:rPr>
        <w:t xml:space="preserve"> thresholds. </w:t>
      </w:r>
    </w:p>
    <w:p w:rsidR="00D255C3" w:rsidRPr="001B674F" w:rsidRDefault="00D255C3" w:rsidP="00940A5A">
      <w:pPr>
        <w:rPr>
          <w:rFonts w:ascii="Arial" w:hAnsi="Arial" w:cs="Arial"/>
        </w:rPr>
      </w:pPr>
      <w:r w:rsidRPr="001B674F">
        <w:rPr>
          <w:rFonts w:ascii="Arial" w:hAnsi="Arial" w:cs="Arial"/>
        </w:rPr>
        <w:t>The Act enables more flexibility than is currently utilised for other professionals and persons to perform certain functions. For example, better use could be made of Care and Protection Resource Panels to enable</w:t>
      </w:r>
      <w:r w:rsidR="00E8780D" w:rsidRPr="001B674F">
        <w:rPr>
          <w:rFonts w:ascii="Arial" w:hAnsi="Arial" w:cs="Arial"/>
        </w:rPr>
        <w:t xml:space="preserve"> more</w:t>
      </w:r>
      <w:r w:rsidRPr="001B674F">
        <w:rPr>
          <w:rFonts w:ascii="Arial" w:hAnsi="Arial" w:cs="Arial"/>
        </w:rPr>
        <w:t xml:space="preserve"> meaningful multi-disciplinary input into decision-making than is currently the case. The ability for a social worker to arrange for investigations to be undertaken by others could be used to involve other professionals in the assessment process. </w:t>
      </w:r>
    </w:p>
    <w:p w:rsidR="00CF5BA9" w:rsidRPr="001B674F" w:rsidRDefault="00652A1F" w:rsidP="00940A5A">
      <w:pPr>
        <w:rPr>
          <w:rFonts w:ascii="Arial" w:hAnsi="Arial" w:cs="Arial"/>
        </w:rPr>
      </w:pPr>
      <w:r w:rsidRPr="001B674F">
        <w:rPr>
          <w:rFonts w:ascii="Arial" w:hAnsi="Arial" w:cs="Arial"/>
        </w:rPr>
        <w:t>However,</w:t>
      </w:r>
      <w:r w:rsidR="00D255C3" w:rsidRPr="001B674F">
        <w:rPr>
          <w:rFonts w:ascii="Arial" w:hAnsi="Arial" w:cs="Arial"/>
        </w:rPr>
        <w:t xml:space="preserve"> there are specific powers and duties conferred on social workers (and constables)</w:t>
      </w:r>
      <w:r w:rsidRPr="001B674F">
        <w:rPr>
          <w:rFonts w:ascii="Arial" w:hAnsi="Arial" w:cs="Arial"/>
        </w:rPr>
        <w:t xml:space="preserve"> where there is no current flexibility, for example receiving a report of concern, applying for court orders</w:t>
      </w:r>
      <w:r w:rsidR="0040571A" w:rsidRPr="001B674F">
        <w:rPr>
          <w:rFonts w:ascii="Arial" w:hAnsi="Arial" w:cs="Arial"/>
        </w:rPr>
        <w:t xml:space="preserve"> without leave</w:t>
      </w:r>
      <w:r w:rsidRPr="001B674F">
        <w:rPr>
          <w:rFonts w:ascii="Arial" w:hAnsi="Arial" w:cs="Arial"/>
        </w:rPr>
        <w:t xml:space="preserve"> and executing a warrant. These restrictions may limit the development of the proposed operating model in a way that is best able to respond to the specific needs of children</w:t>
      </w:r>
      <w:r w:rsidR="00E37F83">
        <w:rPr>
          <w:rFonts w:ascii="Arial" w:hAnsi="Arial" w:cs="Arial"/>
        </w:rPr>
        <w:t>, young people</w:t>
      </w:r>
      <w:r w:rsidRPr="001B674F">
        <w:rPr>
          <w:rFonts w:ascii="Arial" w:hAnsi="Arial" w:cs="Arial"/>
        </w:rPr>
        <w:t xml:space="preserve"> and families. </w:t>
      </w:r>
    </w:p>
    <w:p w:rsidR="00CE65CA" w:rsidRPr="001B674F" w:rsidRDefault="00D255C3" w:rsidP="00940A5A">
      <w:pPr>
        <w:rPr>
          <w:rFonts w:ascii="Arial" w:hAnsi="Arial" w:cs="Arial"/>
        </w:rPr>
      </w:pPr>
      <w:r w:rsidRPr="001B674F">
        <w:rPr>
          <w:rFonts w:ascii="Arial" w:hAnsi="Arial" w:cs="Arial"/>
        </w:rPr>
        <w:lastRenderedPageBreak/>
        <w:t>Although detailed design work still needs to occur, there are good arguments for adopti</w:t>
      </w:r>
      <w:r w:rsidR="007A3BCB" w:rsidRPr="001B674F">
        <w:rPr>
          <w:rFonts w:ascii="Arial" w:hAnsi="Arial" w:cs="Arial"/>
        </w:rPr>
        <w:t>ng</w:t>
      </w:r>
      <w:r w:rsidRPr="001B674F">
        <w:rPr>
          <w:rFonts w:ascii="Arial" w:hAnsi="Arial" w:cs="Arial"/>
        </w:rPr>
        <w:t xml:space="preserve"> a model where a range of other professionals such as child psychologists, paediatricians or youth workers work as a team to support and make decisions relating to a child</w:t>
      </w:r>
      <w:r w:rsidR="00E37F83">
        <w:rPr>
          <w:rFonts w:ascii="Arial" w:hAnsi="Arial" w:cs="Arial"/>
        </w:rPr>
        <w:t xml:space="preserve"> or young person</w:t>
      </w:r>
      <w:r w:rsidRPr="001B674F">
        <w:rPr>
          <w:rFonts w:ascii="Arial" w:hAnsi="Arial" w:cs="Arial"/>
        </w:rPr>
        <w:t xml:space="preserve"> and </w:t>
      </w:r>
      <w:r w:rsidR="00E37F83">
        <w:rPr>
          <w:rFonts w:ascii="Arial" w:hAnsi="Arial" w:cs="Arial"/>
        </w:rPr>
        <w:t xml:space="preserve">their </w:t>
      </w:r>
      <w:r w:rsidRPr="001B674F">
        <w:rPr>
          <w:rFonts w:ascii="Arial" w:hAnsi="Arial" w:cs="Arial"/>
        </w:rPr>
        <w:t>family</w:t>
      </w:r>
      <w:r w:rsidR="00652A1F" w:rsidRPr="001B674F">
        <w:rPr>
          <w:rFonts w:ascii="Arial" w:hAnsi="Arial" w:cs="Arial"/>
        </w:rPr>
        <w:t xml:space="preserve">. </w:t>
      </w:r>
      <w:r w:rsidRPr="001B674F">
        <w:rPr>
          <w:rFonts w:ascii="Arial" w:hAnsi="Arial" w:cs="Arial"/>
        </w:rPr>
        <w:t>In this case, the team might</w:t>
      </w:r>
      <w:r w:rsidR="007A3BCB" w:rsidRPr="001B674F">
        <w:rPr>
          <w:rFonts w:ascii="Arial" w:hAnsi="Arial" w:cs="Arial"/>
        </w:rPr>
        <w:t>,</w:t>
      </w:r>
      <w:r w:rsidRPr="001B674F">
        <w:rPr>
          <w:rFonts w:ascii="Arial" w:hAnsi="Arial" w:cs="Arial"/>
        </w:rPr>
        <w:t xml:space="preserve"> for example</w:t>
      </w:r>
      <w:r w:rsidR="007A3BCB" w:rsidRPr="001B674F">
        <w:rPr>
          <w:rFonts w:ascii="Arial" w:hAnsi="Arial" w:cs="Arial"/>
        </w:rPr>
        <w:t>,</w:t>
      </w:r>
      <w:r w:rsidRPr="001B674F">
        <w:rPr>
          <w:rFonts w:ascii="Arial" w:hAnsi="Arial" w:cs="Arial"/>
        </w:rPr>
        <w:t xml:space="preserve"> decide jointly that safety concerns have escalated to a point where court intervention is required. </w:t>
      </w:r>
      <w:r w:rsidR="00E8780D" w:rsidRPr="001B674F">
        <w:rPr>
          <w:rFonts w:ascii="Arial" w:hAnsi="Arial" w:cs="Arial"/>
        </w:rPr>
        <w:t>O</w:t>
      </w:r>
      <w:r w:rsidRPr="001B674F">
        <w:rPr>
          <w:rFonts w:ascii="Arial" w:hAnsi="Arial" w:cs="Arial"/>
        </w:rPr>
        <w:t>ne of the other professionals</w:t>
      </w:r>
      <w:r w:rsidR="007A3BCB" w:rsidRPr="001B674F">
        <w:rPr>
          <w:rFonts w:ascii="Arial" w:hAnsi="Arial" w:cs="Arial"/>
        </w:rPr>
        <w:t>,</w:t>
      </w:r>
      <w:r w:rsidRPr="001B674F">
        <w:rPr>
          <w:rFonts w:ascii="Arial" w:hAnsi="Arial" w:cs="Arial"/>
        </w:rPr>
        <w:t xml:space="preserve"> </w:t>
      </w:r>
      <w:r w:rsidR="00E8780D" w:rsidRPr="001B674F">
        <w:rPr>
          <w:rFonts w:ascii="Arial" w:hAnsi="Arial" w:cs="Arial"/>
        </w:rPr>
        <w:t>rather than the social worker</w:t>
      </w:r>
      <w:r w:rsidR="007A3BCB" w:rsidRPr="001B674F">
        <w:rPr>
          <w:rFonts w:ascii="Arial" w:hAnsi="Arial" w:cs="Arial"/>
        </w:rPr>
        <w:t>,</w:t>
      </w:r>
      <w:r w:rsidR="00E8780D" w:rsidRPr="001B674F">
        <w:rPr>
          <w:rFonts w:ascii="Arial" w:hAnsi="Arial" w:cs="Arial"/>
        </w:rPr>
        <w:t xml:space="preserve"> might be better </w:t>
      </w:r>
      <w:r w:rsidRPr="001B674F">
        <w:rPr>
          <w:rFonts w:ascii="Arial" w:hAnsi="Arial" w:cs="Arial"/>
        </w:rPr>
        <w:t xml:space="preserve">placed to initiate and manage the court process because </w:t>
      </w:r>
      <w:r w:rsidR="007A3BCB" w:rsidRPr="001B674F">
        <w:rPr>
          <w:rFonts w:ascii="Arial" w:hAnsi="Arial" w:cs="Arial"/>
        </w:rPr>
        <w:t xml:space="preserve">of </w:t>
      </w:r>
      <w:r w:rsidRPr="001B674F">
        <w:rPr>
          <w:rFonts w:ascii="Arial" w:hAnsi="Arial" w:cs="Arial"/>
        </w:rPr>
        <w:t>their specific expertise</w:t>
      </w:r>
      <w:r w:rsidR="00F16DFF" w:rsidRPr="001B674F">
        <w:rPr>
          <w:rFonts w:ascii="Arial" w:hAnsi="Arial" w:cs="Arial"/>
        </w:rPr>
        <w:t xml:space="preserve"> and knowledge,</w:t>
      </w:r>
      <w:r w:rsidRPr="001B674F">
        <w:rPr>
          <w:rFonts w:ascii="Arial" w:hAnsi="Arial" w:cs="Arial"/>
        </w:rPr>
        <w:t xml:space="preserve"> and the particular circumstances of the </w:t>
      </w:r>
      <w:r w:rsidR="00E37F83" w:rsidRPr="001B674F">
        <w:rPr>
          <w:rFonts w:ascii="Arial" w:hAnsi="Arial" w:cs="Arial"/>
        </w:rPr>
        <w:t>child</w:t>
      </w:r>
      <w:r w:rsidR="00E37F83">
        <w:rPr>
          <w:rFonts w:ascii="Arial" w:hAnsi="Arial" w:cs="Arial"/>
        </w:rPr>
        <w:t xml:space="preserve"> or young person</w:t>
      </w:r>
      <w:r w:rsidR="00E37F83" w:rsidRPr="001B674F">
        <w:rPr>
          <w:rFonts w:ascii="Arial" w:hAnsi="Arial" w:cs="Arial"/>
        </w:rPr>
        <w:t xml:space="preserve"> and </w:t>
      </w:r>
      <w:r w:rsidR="00E37F83">
        <w:rPr>
          <w:rFonts w:ascii="Arial" w:hAnsi="Arial" w:cs="Arial"/>
        </w:rPr>
        <w:t xml:space="preserve">their </w:t>
      </w:r>
      <w:r w:rsidR="00E37F83" w:rsidRPr="001B674F">
        <w:rPr>
          <w:rFonts w:ascii="Arial" w:hAnsi="Arial" w:cs="Arial"/>
        </w:rPr>
        <w:t>family</w:t>
      </w:r>
      <w:r w:rsidRPr="001B674F">
        <w:rPr>
          <w:rFonts w:ascii="Arial" w:hAnsi="Arial" w:cs="Arial"/>
        </w:rPr>
        <w:t>.</w:t>
      </w:r>
      <w:r w:rsidR="00652A1F" w:rsidRPr="001B674F">
        <w:rPr>
          <w:rFonts w:ascii="Arial" w:hAnsi="Arial" w:cs="Arial"/>
        </w:rPr>
        <w:t xml:space="preserve"> The Act is not currently set up to easily enable this</w:t>
      </w:r>
      <w:r w:rsidR="007A3BCB" w:rsidRPr="001B674F">
        <w:rPr>
          <w:rFonts w:ascii="Arial" w:hAnsi="Arial" w:cs="Arial"/>
        </w:rPr>
        <w:t>:</w:t>
      </w:r>
      <w:r w:rsidR="00652A1F" w:rsidRPr="001B674F">
        <w:rPr>
          <w:rFonts w:ascii="Arial" w:hAnsi="Arial" w:cs="Arial"/>
        </w:rPr>
        <w:t xml:space="preserve"> only social workers and constables have the right to apply for court orders without leave. </w:t>
      </w:r>
    </w:p>
    <w:p w:rsidR="004F710D" w:rsidRPr="001B674F" w:rsidRDefault="007A3BCB" w:rsidP="004F710D">
      <w:pPr>
        <w:rPr>
          <w:rFonts w:ascii="Arial" w:hAnsi="Arial" w:cs="Arial"/>
        </w:rPr>
      </w:pPr>
      <w:r w:rsidRPr="001B674F">
        <w:rPr>
          <w:rFonts w:ascii="Arial" w:hAnsi="Arial" w:cs="Arial"/>
        </w:rPr>
        <w:t>The right to apply for court orders without leave</w:t>
      </w:r>
      <w:r w:rsidRPr="001B674F" w:rsidDel="007A3BCB">
        <w:rPr>
          <w:rFonts w:ascii="Arial" w:hAnsi="Arial" w:cs="Arial"/>
        </w:rPr>
        <w:t xml:space="preserve"> </w:t>
      </w:r>
      <w:r w:rsidR="00652A1F" w:rsidRPr="001B674F">
        <w:rPr>
          <w:rFonts w:ascii="Arial" w:hAnsi="Arial" w:cs="Arial"/>
        </w:rPr>
        <w:t xml:space="preserve">is not a function that </w:t>
      </w:r>
      <w:r w:rsidR="00EF5412" w:rsidRPr="001B674F">
        <w:rPr>
          <w:rFonts w:ascii="Arial" w:hAnsi="Arial" w:cs="Arial"/>
        </w:rPr>
        <w:t>form</w:t>
      </w:r>
      <w:r w:rsidR="00652A1F" w:rsidRPr="001B674F">
        <w:rPr>
          <w:rFonts w:ascii="Arial" w:hAnsi="Arial" w:cs="Arial"/>
        </w:rPr>
        <w:t>s</w:t>
      </w:r>
      <w:r w:rsidR="00EF5412" w:rsidRPr="001B674F">
        <w:rPr>
          <w:rFonts w:ascii="Arial" w:hAnsi="Arial" w:cs="Arial"/>
        </w:rPr>
        <w:t xml:space="preserve"> </w:t>
      </w:r>
      <w:r w:rsidR="00A630A6" w:rsidRPr="001B674F">
        <w:rPr>
          <w:rFonts w:ascii="Arial" w:hAnsi="Arial" w:cs="Arial"/>
        </w:rPr>
        <w:t xml:space="preserve">a core </w:t>
      </w:r>
      <w:r w:rsidR="00EF5412" w:rsidRPr="001B674F">
        <w:rPr>
          <w:rFonts w:ascii="Arial" w:hAnsi="Arial" w:cs="Arial"/>
        </w:rPr>
        <w:t xml:space="preserve">part of the key skills and competencies </w:t>
      </w:r>
      <w:r w:rsidR="00A630A6" w:rsidRPr="001B674F">
        <w:rPr>
          <w:rFonts w:ascii="Arial" w:hAnsi="Arial" w:cs="Arial"/>
        </w:rPr>
        <w:t xml:space="preserve">of </w:t>
      </w:r>
      <w:r w:rsidR="00EF5412" w:rsidRPr="001B674F">
        <w:rPr>
          <w:rFonts w:ascii="Arial" w:hAnsi="Arial" w:cs="Arial"/>
        </w:rPr>
        <w:t>the social work profession</w:t>
      </w:r>
      <w:r w:rsidR="00A630A6" w:rsidRPr="001B674F">
        <w:rPr>
          <w:rFonts w:ascii="Arial" w:hAnsi="Arial" w:cs="Arial"/>
        </w:rPr>
        <w:t xml:space="preserve"> to the exclusion of others</w:t>
      </w:r>
      <w:r w:rsidR="00A0440C" w:rsidRPr="001B674F">
        <w:rPr>
          <w:rFonts w:ascii="Arial" w:hAnsi="Arial" w:cs="Arial"/>
        </w:rPr>
        <w:t xml:space="preserve">. </w:t>
      </w:r>
      <w:r w:rsidR="00652A1F" w:rsidRPr="001B674F">
        <w:rPr>
          <w:rFonts w:ascii="Arial" w:hAnsi="Arial" w:cs="Arial"/>
        </w:rPr>
        <w:t>This</w:t>
      </w:r>
      <w:r w:rsidR="00E8780D" w:rsidRPr="001B674F">
        <w:rPr>
          <w:rFonts w:ascii="Arial" w:hAnsi="Arial" w:cs="Arial"/>
        </w:rPr>
        <w:t xml:space="preserve"> and</w:t>
      </w:r>
      <w:r w:rsidR="00652A1F" w:rsidRPr="001B674F">
        <w:rPr>
          <w:rFonts w:ascii="Arial" w:hAnsi="Arial" w:cs="Arial"/>
        </w:rPr>
        <w:t xml:space="preserve"> </w:t>
      </w:r>
      <w:r w:rsidR="00E37F83">
        <w:rPr>
          <w:rFonts w:ascii="Arial" w:hAnsi="Arial" w:cs="Arial"/>
        </w:rPr>
        <w:t xml:space="preserve">certain </w:t>
      </w:r>
      <w:r w:rsidR="00E8780D" w:rsidRPr="001B674F">
        <w:rPr>
          <w:rFonts w:ascii="Arial" w:hAnsi="Arial" w:cs="Arial"/>
        </w:rPr>
        <w:t xml:space="preserve">other </w:t>
      </w:r>
      <w:r w:rsidR="00652A1F" w:rsidRPr="001B674F">
        <w:rPr>
          <w:rFonts w:ascii="Arial" w:hAnsi="Arial" w:cs="Arial"/>
        </w:rPr>
        <w:t xml:space="preserve">functions in the Act that involve the exercise of State power to intervene into family life could </w:t>
      </w:r>
      <w:r w:rsidR="0088727E" w:rsidRPr="001B674F">
        <w:rPr>
          <w:rFonts w:ascii="Arial" w:hAnsi="Arial" w:cs="Arial"/>
        </w:rPr>
        <w:t>reasonably be deliver</w:t>
      </w:r>
      <w:r w:rsidR="00A0440C" w:rsidRPr="001B674F">
        <w:rPr>
          <w:rFonts w:ascii="Arial" w:hAnsi="Arial" w:cs="Arial"/>
        </w:rPr>
        <w:t>ed by</w:t>
      </w:r>
      <w:r w:rsidR="00652A1F" w:rsidRPr="001B674F">
        <w:rPr>
          <w:rFonts w:ascii="Arial" w:hAnsi="Arial" w:cs="Arial"/>
        </w:rPr>
        <w:t xml:space="preserve"> appropriately skilled and trained individuals from a range of backgrounds</w:t>
      </w:r>
      <w:r w:rsidR="00A0440C" w:rsidRPr="001B674F">
        <w:rPr>
          <w:rFonts w:ascii="Arial" w:hAnsi="Arial" w:cs="Arial"/>
        </w:rPr>
        <w:t>, whereas</w:t>
      </w:r>
      <w:r w:rsidR="003F4110" w:rsidRPr="001B674F">
        <w:rPr>
          <w:rFonts w:ascii="Arial" w:hAnsi="Arial" w:cs="Arial"/>
        </w:rPr>
        <w:t xml:space="preserve"> care and protection</w:t>
      </w:r>
      <w:r w:rsidR="00A0440C" w:rsidRPr="001B674F">
        <w:rPr>
          <w:rFonts w:ascii="Arial" w:hAnsi="Arial" w:cs="Arial"/>
        </w:rPr>
        <w:t xml:space="preserve"> s</w:t>
      </w:r>
      <w:r w:rsidR="00EF5412" w:rsidRPr="001B674F">
        <w:rPr>
          <w:rFonts w:ascii="Arial" w:hAnsi="Arial" w:cs="Arial"/>
        </w:rPr>
        <w:t xml:space="preserve">ocial work skills and competencies centre on </w:t>
      </w:r>
      <w:r w:rsidR="00F16DFF" w:rsidRPr="001B674F">
        <w:rPr>
          <w:rFonts w:ascii="Arial" w:hAnsi="Arial" w:cs="Arial"/>
        </w:rPr>
        <w:t xml:space="preserve">undertaking assessment of risk and needs, in working </w:t>
      </w:r>
      <w:r w:rsidR="00F60381" w:rsidRPr="001B674F">
        <w:rPr>
          <w:rFonts w:ascii="Arial" w:hAnsi="Arial" w:cs="Arial"/>
        </w:rPr>
        <w:t xml:space="preserve">to </w:t>
      </w:r>
      <w:r w:rsidR="00F16DFF" w:rsidRPr="001B674F">
        <w:rPr>
          <w:rFonts w:ascii="Arial" w:hAnsi="Arial" w:cs="Arial"/>
        </w:rPr>
        <w:t>implement robust plans to enable change</w:t>
      </w:r>
      <w:r w:rsidR="00F60381" w:rsidRPr="001B674F">
        <w:rPr>
          <w:rFonts w:ascii="Arial" w:hAnsi="Arial" w:cs="Arial"/>
        </w:rPr>
        <w:t>,</w:t>
      </w:r>
      <w:r w:rsidR="00F16DFF" w:rsidRPr="001B674F">
        <w:rPr>
          <w:rFonts w:ascii="Arial" w:hAnsi="Arial" w:cs="Arial"/>
        </w:rPr>
        <w:t xml:space="preserve"> and us</w:t>
      </w:r>
      <w:r w:rsidR="00F60381" w:rsidRPr="001B674F">
        <w:rPr>
          <w:rFonts w:ascii="Arial" w:hAnsi="Arial" w:cs="Arial"/>
        </w:rPr>
        <w:t>ing</w:t>
      </w:r>
      <w:r w:rsidR="00F16DFF" w:rsidRPr="001B674F">
        <w:rPr>
          <w:rFonts w:ascii="Arial" w:hAnsi="Arial" w:cs="Arial"/>
        </w:rPr>
        <w:t xml:space="preserve"> statutory power i</w:t>
      </w:r>
      <w:r w:rsidR="00E37F83">
        <w:rPr>
          <w:rFonts w:ascii="Arial" w:hAnsi="Arial" w:cs="Arial"/>
        </w:rPr>
        <w:t>n</w:t>
      </w:r>
      <w:r w:rsidR="00F16DFF" w:rsidRPr="001B674F">
        <w:rPr>
          <w:rFonts w:ascii="Arial" w:hAnsi="Arial" w:cs="Arial"/>
        </w:rPr>
        <w:t xml:space="preserve"> a child’s best interests.</w:t>
      </w:r>
    </w:p>
    <w:p w:rsidR="00F71FB5" w:rsidRPr="001B674F" w:rsidRDefault="00F71FB5" w:rsidP="00F71FB5">
      <w:pPr>
        <w:pStyle w:val="ListParagraph"/>
        <w:keepNext/>
        <w:numPr>
          <w:ilvl w:val="0"/>
          <w:numId w:val="12"/>
        </w:numPr>
        <w:rPr>
          <w:rFonts w:ascii="Arial" w:hAnsi="Arial" w:cs="Arial"/>
          <w:b/>
          <w:iCs/>
          <w:szCs w:val="22"/>
        </w:rPr>
      </w:pPr>
      <w:r w:rsidRPr="001B674F">
        <w:rPr>
          <w:rFonts w:ascii="Arial" w:hAnsi="Arial" w:cs="Arial"/>
          <w:b/>
          <w:iCs/>
          <w:szCs w:val="22"/>
        </w:rPr>
        <w:t xml:space="preserve">The current model promotes in-house service delivery by employed social workers and limits the ability of the agency to deliver services via strategic partners who may be better equipped to provide child-centred responses. </w:t>
      </w:r>
    </w:p>
    <w:p w:rsidR="00F71FB5" w:rsidRPr="001B674F" w:rsidRDefault="004D2B4B" w:rsidP="00F71FB5">
      <w:pPr>
        <w:rPr>
          <w:rFonts w:ascii="Arial" w:hAnsi="Arial" w:cs="Arial"/>
          <w:szCs w:val="22"/>
        </w:rPr>
      </w:pPr>
      <w:r w:rsidRPr="001B674F">
        <w:rPr>
          <w:rFonts w:ascii="Arial" w:hAnsi="Arial" w:cs="Arial"/>
        </w:rPr>
        <w:t>The proposed new operating model recognises that n</w:t>
      </w:r>
      <w:r w:rsidR="00F60381" w:rsidRPr="001B674F">
        <w:rPr>
          <w:rFonts w:ascii="Arial" w:hAnsi="Arial" w:cs="Arial"/>
        </w:rPr>
        <w:t xml:space="preserve">o single agency on its own will ever have the expertise and ability to deliver the range of services needed to improve outcomes for </w:t>
      </w:r>
      <w:r w:rsidR="001B674F">
        <w:rPr>
          <w:rFonts w:ascii="Arial" w:hAnsi="Arial" w:cs="Arial"/>
        </w:rPr>
        <w:t>vulnerable children and young people</w:t>
      </w:r>
      <w:r w:rsidR="00F60381" w:rsidRPr="001B674F">
        <w:rPr>
          <w:rFonts w:ascii="Arial" w:hAnsi="Arial" w:cs="Arial"/>
        </w:rPr>
        <w:t>. As well as delivering services itself, the core agency will also directly purchase services, engage all New Zealanders, have a range of strategic partners and build the capacity and capability of the provider market</w:t>
      </w:r>
      <w:r w:rsidRPr="001B674F">
        <w:rPr>
          <w:rFonts w:ascii="Arial" w:hAnsi="Arial" w:cs="Arial"/>
        </w:rPr>
        <w:t xml:space="preserve">. </w:t>
      </w:r>
      <w:r w:rsidR="00F60381" w:rsidRPr="001B674F">
        <w:rPr>
          <w:rFonts w:ascii="Arial" w:hAnsi="Arial" w:cs="Arial"/>
        </w:rPr>
        <w:t>On 30 March 2016, SOC endorsed strategic partnering as a key element of the reform to give effect to a proposed new operating model [SOC-16-MIN-0022 refers].</w:t>
      </w:r>
    </w:p>
    <w:p w:rsidR="00F71FB5" w:rsidRPr="001B674F" w:rsidRDefault="00F71FB5" w:rsidP="007B57C2">
      <w:pPr>
        <w:pStyle w:val="Default"/>
        <w:spacing w:after="240"/>
        <w:rPr>
          <w:rFonts w:ascii="Arial" w:hAnsi="Arial" w:cs="Arial"/>
          <w:sz w:val="22"/>
          <w:szCs w:val="22"/>
        </w:rPr>
      </w:pPr>
      <w:r w:rsidRPr="001B674F">
        <w:rPr>
          <w:rFonts w:ascii="Arial" w:hAnsi="Arial" w:cs="Arial"/>
          <w:sz w:val="22"/>
          <w:szCs w:val="22"/>
        </w:rPr>
        <w:t>Again, although detailed design work still needs to be undertaken, the current provisions in the Act may restrict the ability to be responsive to delivery models that best meet the needs of children</w:t>
      </w:r>
      <w:r w:rsidR="007B57C2">
        <w:rPr>
          <w:rFonts w:ascii="Arial" w:hAnsi="Arial" w:cs="Arial"/>
          <w:sz w:val="22"/>
          <w:szCs w:val="22"/>
        </w:rPr>
        <w:t>, young people</w:t>
      </w:r>
      <w:r w:rsidRPr="001B674F">
        <w:rPr>
          <w:rFonts w:ascii="Arial" w:hAnsi="Arial" w:cs="Arial"/>
          <w:sz w:val="22"/>
          <w:szCs w:val="22"/>
        </w:rPr>
        <w:t xml:space="preserve"> and families. A clear example is the limitation on who may receive a report of concern </w:t>
      </w:r>
      <w:r w:rsidR="0086549C" w:rsidRPr="001B674F">
        <w:rPr>
          <w:rFonts w:ascii="Arial" w:hAnsi="Arial" w:cs="Arial"/>
          <w:sz w:val="22"/>
          <w:szCs w:val="22"/>
        </w:rPr>
        <w:t xml:space="preserve">(ie </w:t>
      </w:r>
      <w:r w:rsidRPr="001B674F">
        <w:rPr>
          <w:rFonts w:ascii="Arial" w:hAnsi="Arial" w:cs="Arial"/>
          <w:sz w:val="22"/>
          <w:szCs w:val="22"/>
        </w:rPr>
        <w:t xml:space="preserve">a social worker </w:t>
      </w:r>
      <w:r w:rsidR="004D2B4B" w:rsidRPr="001B674F">
        <w:rPr>
          <w:rFonts w:ascii="Arial" w:hAnsi="Arial" w:cs="Arial"/>
          <w:sz w:val="22"/>
          <w:szCs w:val="22"/>
        </w:rPr>
        <w:t xml:space="preserve">employed by the department </w:t>
      </w:r>
      <w:r w:rsidRPr="001B674F">
        <w:rPr>
          <w:rFonts w:ascii="Arial" w:hAnsi="Arial" w:cs="Arial"/>
          <w:sz w:val="22"/>
          <w:szCs w:val="22"/>
        </w:rPr>
        <w:t>or constable</w:t>
      </w:r>
      <w:r w:rsidR="0086549C" w:rsidRPr="001B674F">
        <w:rPr>
          <w:rFonts w:ascii="Arial" w:hAnsi="Arial" w:cs="Arial"/>
          <w:sz w:val="22"/>
          <w:szCs w:val="22"/>
        </w:rPr>
        <w:t>)</w:t>
      </w:r>
      <w:r w:rsidRPr="001B674F">
        <w:rPr>
          <w:rFonts w:ascii="Arial" w:hAnsi="Arial" w:cs="Arial"/>
          <w:sz w:val="22"/>
          <w:szCs w:val="22"/>
        </w:rPr>
        <w:t>. This limit</w:t>
      </w:r>
      <w:r w:rsidR="0086549C" w:rsidRPr="001B674F">
        <w:rPr>
          <w:rFonts w:ascii="Arial" w:hAnsi="Arial" w:cs="Arial"/>
          <w:sz w:val="22"/>
          <w:szCs w:val="22"/>
        </w:rPr>
        <w:t>s</w:t>
      </w:r>
      <w:r w:rsidRPr="001B674F">
        <w:rPr>
          <w:rFonts w:ascii="Arial" w:hAnsi="Arial" w:cs="Arial"/>
          <w:sz w:val="22"/>
          <w:szCs w:val="22"/>
        </w:rPr>
        <w:t xml:space="preserve"> the ability </w:t>
      </w:r>
      <w:r w:rsidR="0086549C" w:rsidRPr="001B674F">
        <w:rPr>
          <w:rFonts w:ascii="Arial" w:hAnsi="Arial" w:cs="Arial"/>
          <w:sz w:val="22"/>
          <w:szCs w:val="22"/>
        </w:rPr>
        <w:t xml:space="preserve">of </w:t>
      </w:r>
      <w:r w:rsidRPr="001B674F">
        <w:rPr>
          <w:rFonts w:ascii="Arial" w:hAnsi="Arial" w:cs="Arial"/>
          <w:sz w:val="22"/>
          <w:szCs w:val="22"/>
        </w:rPr>
        <w:t xml:space="preserve">the </w:t>
      </w:r>
      <w:r w:rsidR="001616D8" w:rsidRPr="001B674F">
        <w:rPr>
          <w:rFonts w:ascii="Arial" w:hAnsi="Arial" w:cs="Arial"/>
          <w:sz w:val="22"/>
          <w:szCs w:val="22"/>
        </w:rPr>
        <w:t>Chief Executive</w:t>
      </w:r>
      <w:r w:rsidRPr="001B674F">
        <w:rPr>
          <w:rFonts w:ascii="Arial" w:hAnsi="Arial" w:cs="Arial"/>
          <w:sz w:val="22"/>
          <w:szCs w:val="22"/>
        </w:rPr>
        <w:t xml:space="preserve"> to use strategic partners, such as iwi or non-government organisations to deliver elements of an intake system. </w:t>
      </w:r>
    </w:p>
    <w:p w:rsidR="00547405" w:rsidRPr="001B674F" w:rsidRDefault="00A630A6" w:rsidP="00FE3360">
      <w:pPr>
        <w:pStyle w:val="ListParagraph"/>
        <w:numPr>
          <w:ilvl w:val="0"/>
          <w:numId w:val="12"/>
        </w:numPr>
        <w:rPr>
          <w:rFonts w:ascii="Arial" w:hAnsi="Arial" w:cs="Arial"/>
          <w:b/>
          <w:iCs/>
          <w:szCs w:val="22"/>
        </w:rPr>
      </w:pPr>
      <w:r w:rsidRPr="001B674F">
        <w:rPr>
          <w:rFonts w:ascii="Arial" w:hAnsi="Arial" w:cs="Arial"/>
          <w:b/>
          <w:iCs/>
          <w:szCs w:val="22"/>
        </w:rPr>
        <w:t>The</w:t>
      </w:r>
      <w:r w:rsidR="00E3608F" w:rsidRPr="001B674F">
        <w:rPr>
          <w:rFonts w:ascii="Arial" w:hAnsi="Arial" w:cs="Arial"/>
          <w:b/>
          <w:iCs/>
          <w:szCs w:val="22"/>
        </w:rPr>
        <w:t xml:space="preserve"> </w:t>
      </w:r>
      <w:r w:rsidR="00F71FB5" w:rsidRPr="001B674F">
        <w:rPr>
          <w:rFonts w:ascii="Arial" w:hAnsi="Arial" w:cs="Arial"/>
          <w:b/>
          <w:iCs/>
          <w:szCs w:val="22"/>
        </w:rPr>
        <w:t xml:space="preserve">legislation should clearly reflect the </w:t>
      </w:r>
      <w:r w:rsidR="001616D8" w:rsidRPr="001B674F">
        <w:rPr>
          <w:rFonts w:ascii="Arial" w:hAnsi="Arial" w:cs="Arial"/>
          <w:b/>
          <w:iCs/>
          <w:szCs w:val="22"/>
        </w:rPr>
        <w:t>Chief Executive</w:t>
      </w:r>
      <w:r w:rsidR="00F71FB5" w:rsidRPr="001B674F">
        <w:rPr>
          <w:rFonts w:ascii="Arial" w:hAnsi="Arial" w:cs="Arial"/>
          <w:b/>
          <w:iCs/>
          <w:szCs w:val="22"/>
        </w:rPr>
        <w:t xml:space="preserve"> as the single point of accountability for </w:t>
      </w:r>
      <w:r w:rsidR="001B674F">
        <w:rPr>
          <w:rFonts w:ascii="Arial" w:hAnsi="Arial" w:cs="Arial"/>
          <w:b/>
          <w:iCs/>
          <w:szCs w:val="22"/>
        </w:rPr>
        <w:t>vulnerable children and young people</w:t>
      </w:r>
      <w:r w:rsidRPr="001B674F">
        <w:rPr>
          <w:rFonts w:ascii="Arial" w:hAnsi="Arial" w:cs="Arial"/>
          <w:b/>
          <w:iCs/>
          <w:szCs w:val="22"/>
        </w:rPr>
        <w:t>.</w:t>
      </w:r>
      <w:r w:rsidR="002C1A46" w:rsidRPr="001B674F">
        <w:rPr>
          <w:rFonts w:ascii="Arial" w:hAnsi="Arial" w:cs="Arial"/>
          <w:b/>
          <w:iCs/>
          <w:szCs w:val="22"/>
        </w:rPr>
        <w:t xml:space="preserve"> </w:t>
      </w:r>
    </w:p>
    <w:p w:rsidR="004D2B4B" w:rsidRPr="001B674F" w:rsidRDefault="006A2DA7" w:rsidP="00A630A6">
      <w:pPr>
        <w:rPr>
          <w:rFonts w:ascii="Arial" w:hAnsi="Arial" w:cs="Arial"/>
          <w:iCs/>
          <w:szCs w:val="22"/>
        </w:rPr>
      </w:pPr>
      <w:r w:rsidRPr="001B674F">
        <w:rPr>
          <w:rFonts w:ascii="Arial" w:hAnsi="Arial" w:cs="Arial"/>
          <w:iCs/>
          <w:szCs w:val="22"/>
        </w:rPr>
        <w:t xml:space="preserve">The proposed operating model envisages a single point of accountability for meeting the needs of </w:t>
      </w:r>
      <w:r w:rsidR="001B674F">
        <w:rPr>
          <w:rFonts w:ascii="Arial" w:hAnsi="Arial" w:cs="Arial"/>
          <w:iCs/>
          <w:szCs w:val="22"/>
        </w:rPr>
        <w:t>vulnerable children and young people</w:t>
      </w:r>
      <w:r w:rsidRPr="001B674F">
        <w:rPr>
          <w:rFonts w:ascii="Arial" w:hAnsi="Arial" w:cs="Arial"/>
          <w:iCs/>
          <w:szCs w:val="22"/>
        </w:rPr>
        <w:t xml:space="preserve">. </w:t>
      </w:r>
      <w:r w:rsidR="004D2B4B" w:rsidRPr="001B674F">
        <w:rPr>
          <w:rFonts w:ascii="Arial" w:hAnsi="Arial" w:cs="Arial"/>
        </w:rPr>
        <w:t>On 30 March 2016, SOC endorsed creating a single clear point of accountability as a key element of the reform to give effect to a proposed new operating model [SOC-16-MIN-0022 refers].</w:t>
      </w:r>
    </w:p>
    <w:p w:rsidR="001575C5" w:rsidRPr="001B674F" w:rsidRDefault="006A2DA7" w:rsidP="002734A8">
      <w:pPr>
        <w:rPr>
          <w:rFonts w:ascii="Arial" w:hAnsi="Arial" w:cs="Arial"/>
          <w:iCs/>
          <w:szCs w:val="22"/>
        </w:rPr>
      </w:pPr>
      <w:r w:rsidRPr="001B674F">
        <w:rPr>
          <w:rFonts w:ascii="Arial" w:hAnsi="Arial" w:cs="Arial"/>
          <w:iCs/>
          <w:szCs w:val="22"/>
        </w:rPr>
        <w:t xml:space="preserve">The current </w:t>
      </w:r>
      <w:r w:rsidR="003B04F5" w:rsidRPr="001B674F">
        <w:rPr>
          <w:rFonts w:ascii="Arial" w:hAnsi="Arial" w:cs="Arial"/>
          <w:iCs/>
          <w:szCs w:val="22"/>
        </w:rPr>
        <w:t>formulation in the Act</w:t>
      </w:r>
      <w:r w:rsidRPr="001B674F">
        <w:rPr>
          <w:rFonts w:ascii="Arial" w:hAnsi="Arial" w:cs="Arial"/>
          <w:iCs/>
          <w:szCs w:val="22"/>
        </w:rPr>
        <w:t xml:space="preserve"> </w:t>
      </w:r>
      <w:r w:rsidR="003B04F5" w:rsidRPr="001B674F">
        <w:rPr>
          <w:rFonts w:ascii="Arial" w:hAnsi="Arial" w:cs="Arial"/>
          <w:iCs/>
          <w:szCs w:val="22"/>
        </w:rPr>
        <w:t xml:space="preserve">does </w:t>
      </w:r>
      <w:r w:rsidR="002C1A46" w:rsidRPr="001B674F">
        <w:rPr>
          <w:rFonts w:ascii="Arial" w:hAnsi="Arial" w:cs="Arial"/>
          <w:iCs/>
          <w:szCs w:val="22"/>
        </w:rPr>
        <w:t xml:space="preserve">not </w:t>
      </w:r>
      <w:r w:rsidRPr="001B674F">
        <w:rPr>
          <w:rFonts w:ascii="Arial" w:hAnsi="Arial" w:cs="Arial"/>
          <w:iCs/>
          <w:szCs w:val="22"/>
        </w:rPr>
        <w:t>clear</w:t>
      </w:r>
      <w:r w:rsidR="003B04F5" w:rsidRPr="001B674F">
        <w:rPr>
          <w:rFonts w:ascii="Arial" w:hAnsi="Arial" w:cs="Arial"/>
          <w:iCs/>
          <w:szCs w:val="22"/>
        </w:rPr>
        <w:t>ly</w:t>
      </w:r>
      <w:r w:rsidRPr="001B674F">
        <w:rPr>
          <w:rFonts w:ascii="Arial" w:hAnsi="Arial" w:cs="Arial"/>
          <w:iCs/>
          <w:szCs w:val="22"/>
        </w:rPr>
        <w:t xml:space="preserve"> </w:t>
      </w:r>
      <w:r w:rsidR="003B04F5" w:rsidRPr="001B674F">
        <w:rPr>
          <w:rFonts w:ascii="Arial" w:hAnsi="Arial" w:cs="Arial"/>
          <w:iCs/>
          <w:szCs w:val="22"/>
        </w:rPr>
        <w:t>place</w:t>
      </w:r>
      <w:r w:rsidRPr="001B674F">
        <w:rPr>
          <w:rFonts w:ascii="Arial" w:hAnsi="Arial" w:cs="Arial"/>
          <w:iCs/>
          <w:szCs w:val="22"/>
        </w:rPr>
        <w:t xml:space="preserve"> authority on the </w:t>
      </w:r>
      <w:r w:rsidR="003F4110" w:rsidRPr="001B674F">
        <w:rPr>
          <w:rFonts w:ascii="Arial" w:hAnsi="Arial" w:cs="Arial"/>
          <w:iCs/>
          <w:szCs w:val="22"/>
        </w:rPr>
        <w:t xml:space="preserve">relevant agency-head to create a system-level response </w:t>
      </w:r>
      <w:r w:rsidRPr="001B674F">
        <w:rPr>
          <w:rFonts w:ascii="Arial" w:hAnsi="Arial" w:cs="Arial"/>
          <w:iCs/>
          <w:szCs w:val="22"/>
        </w:rPr>
        <w:t>to deliver on that accountability.</w:t>
      </w:r>
      <w:r w:rsidR="004D2B4B" w:rsidRPr="001B674F">
        <w:rPr>
          <w:rFonts w:ascii="Arial" w:hAnsi="Arial" w:cs="Arial"/>
          <w:iCs/>
          <w:szCs w:val="22"/>
        </w:rPr>
        <w:t xml:space="preserve"> </w:t>
      </w:r>
      <w:r w:rsidR="00CF5BA9" w:rsidRPr="001B674F">
        <w:rPr>
          <w:rFonts w:ascii="Arial" w:hAnsi="Arial" w:cs="Arial"/>
          <w:iCs/>
          <w:szCs w:val="22"/>
        </w:rPr>
        <w:t xml:space="preserve">The current </w:t>
      </w:r>
      <w:r w:rsidR="00A630A6" w:rsidRPr="001B674F">
        <w:rPr>
          <w:rFonts w:ascii="Arial" w:hAnsi="Arial" w:cs="Arial"/>
          <w:iCs/>
          <w:szCs w:val="22"/>
        </w:rPr>
        <w:t xml:space="preserve">legal settings </w:t>
      </w:r>
      <w:r w:rsidR="00060A82" w:rsidRPr="001B674F">
        <w:rPr>
          <w:rFonts w:ascii="Arial" w:hAnsi="Arial" w:cs="Arial"/>
          <w:iCs/>
          <w:szCs w:val="22"/>
        </w:rPr>
        <w:t xml:space="preserve">confer </w:t>
      </w:r>
      <w:r w:rsidR="0086549C" w:rsidRPr="001B674F">
        <w:rPr>
          <w:rFonts w:ascii="Arial" w:hAnsi="Arial" w:cs="Arial"/>
          <w:iCs/>
          <w:szCs w:val="22"/>
        </w:rPr>
        <w:t xml:space="preserve">authority </w:t>
      </w:r>
      <w:r w:rsidR="00060A82" w:rsidRPr="001B674F">
        <w:rPr>
          <w:rFonts w:ascii="Arial" w:hAnsi="Arial" w:cs="Arial"/>
          <w:iCs/>
          <w:szCs w:val="22"/>
        </w:rPr>
        <w:t xml:space="preserve">on </w:t>
      </w:r>
      <w:r w:rsidR="006377E5" w:rsidRPr="001B674F">
        <w:rPr>
          <w:rFonts w:ascii="Arial" w:hAnsi="Arial" w:cs="Arial"/>
          <w:iCs/>
          <w:szCs w:val="22"/>
        </w:rPr>
        <w:t xml:space="preserve">social workers </w:t>
      </w:r>
      <w:r w:rsidR="002C1A46" w:rsidRPr="001B674F">
        <w:rPr>
          <w:rFonts w:ascii="Arial" w:hAnsi="Arial" w:cs="Arial"/>
          <w:iCs/>
          <w:szCs w:val="22"/>
        </w:rPr>
        <w:t>to make</w:t>
      </w:r>
      <w:r w:rsidR="00A630A6" w:rsidRPr="001B674F">
        <w:rPr>
          <w:rFonts w:ascii="Arial" w:hAnsi="Arial" w:cs="Arial"/>
          <w:iCs/>
          <w:szCs w:val="22"/>
        </w:rPr>
        <w:t xml:space="preserve"> the core decisions enabling the State to intervene into the lives of vulnerable children and families. While the </w:t>
      </w:r>
      <w:r w:rsidR="001616D8" w:rsidRPr="001B674F">
        <w:rPr>
          <w:rFonts w:ascii="Arial" w:hAnsi="Arial" w:cs="Arial"/>
          <w:iCs/>
          <w:szCs w:val="22"/>
        </w:rPr>
        <w:t>Chief Executive</w:t>
      </w:r>
      <w:r w:rsidR="00A630A6" w:rsidRPr="001B674F">
        <w:rPr>
          <w:rFonts w:ascii="Arial" w:hAnsi="Arial" w:cs="Arial"/>
          <w:iCs/>
          <w:szCs w:val="22"/>
        </w:rPr>
        <w:t xml:space="preserve"> can expect social workers</w:t>
      </w:r>
      <w:r w:rsidR="0086549C" w:rsidRPr="001B674F">
        <w:rPr>
          <w:rFonts w:ascii="Arial" w:hAnsi="Arial" w:cs="Arial"/>
          <w:iCs/>
          <w:szCs w:val="22"/>
        </w:rPr>
        <w:t>,</w:t>
      </w:r>
      <w:r w:rsidR="00A630A6" w:rsidRPr="001B674F">
        <w:rPr>
          <w:rFonts w:ascii="Arial" w:hAnsi="Arial" w:cs="Arial"/>
          <w:iCs/>
          <w:szCs w:val="22"/>
        </w:rPr>
        <w:t xml:space="preserve"> in exercising their decision</w:t>
      </w:r>
      <w:r w:rsidR="00060A82" w:rsidRPr="001B674F">
        <w:rPr>
          <w:rFonts w:ascii="Arial" w:hAnsi="Arial" w:cs="Arial"/>
          <w:iCs/>
          <w:szCs w:val="22"/>
        </w:rPr>
        <w:t>-</w:t>
      </w:r>
      <w:r w:rsidR="00A630A6" w:rsidRPr="001B674F">
        <w:rPr>
          <w:rFonts w:ascii="Arial" w:hAnsi="Arial" w:cs="Arial"/>
          <w:iCs/>
          <w:szCs w:val="22"/>
        </w:rPr>
        <w:t>making power</w:t>
      </w:r>
      <w:r w:rsidRPr="001B674F">
        <w:rPr>
          <w:rFonts w:ascii="Arial" w:hAnsi="Arial" w:cs="Arial"/>
          <w:iCs/>
          <w:szCs w:val="22"/>
        </w:rPr>
        <w:t>s</w:t>
      </w:r>
      <w:r w:rsidR="0086549C" w:rsidRPr="001B674F">
        <w:rPr>
          <w:rFonts w:ascii="Arial" w:hAnsi="Arial" w:cs="Arial"/>
          <w:iCs/>
          <w:szCs w:val="22"/>
        </w:rPr>
        <w:t>,</w:t>
      </w:r>
      <w:r w:rsidRPr="001B674F">
        <w:rPr>
          <w:rFonts w:ascii="Arial" w:hAnsi="Arial" w:cs="Arial"/>
          <w:iCs/>
          <w:szCs w:val="22"/>
        </w:rPr>
        <w:t xml:space="preserve"> to take account of</w:t>
      </w:r>
      <w:r w:rsidR="00A630A6" w:rsidRPr="001B674F">
        <w:rPr>
          <w:rFonts w:ascii="Arial" w:hAnsi="Arial" w:cs="Arial"/>
          <w:iCs/>
          <w:szCs w:val="22"/>
        </w:rPr>
        <w:t xml:space="preserve"> departmental </w:t>
      </w:r>
      <w:r w:rsidR="006377E5" w:rsidRPr="001B674F">
        <w:rPr>
          <w:rFonts w:ascii="Arial" w:hAnsi="Arial" w:cs="Arial"/>
          <w:iCs/>
          <w:szCs w:val="22"/>
        </w:rPr>
        <w:t>guidance and policies and</w:t>
      </w:r>
      <w:r w:rsidR="00A630A6" w:rsidRPr="001B674F">
        <w:rPr>
          <w:rFonts w:ascii="Arial" w:hAnsi="Arial" w:cs="Arial"/>
          <w:iCs/>
          <w:szCs w:val="22"/>
        </w:rPr>
        <w:t xml:space="preserve"> </w:t>
      </w:r>
      <w:r w:rsidR="001575C5" w:rsidRPr="001B674F">
        <w:rPr>
          <w:rFonts w:ascii="Arial" w:hAnsi="Arial" w:cs="Arial"/>
          <w:iCs/>
          <w:szCs w:val="22"/>
        </w:rPr>
        <w:t xml:space="preserve">to </w:t>
      </w:r>
      <w:r w:rsidR="00A630A6" w:rsidRPr="001B674F">
        <w:rPr>
          <w:rFonts w:ascii="Arial" w:hAnsi="Arial" w:cs="Arial"/>
          <w:iCs/>
          <w:szCs w:val="22"/>
        </w:rPr>
        <w:t>co</w:t>
      </w:r>
      <w:r w:rsidR="0086549C" w:rsidRPr="001B674F">
        <w:rPr>
          <w:rFonts w:ascii="Arial" w:hAnsi="Arial" w:cs="Arial"/>
          <w:iCs/>
          <w:szCs w:val="22"/>
        </w:rPr>
        <w:t>-</w:t>
      </w:r>
      <w:r w:rsidR="00A630A6" w:rsidRPr="001B674F">
        <w:rPr>
          <w:rFonts w:ascii="Arial" w:hAnsi="Arial" w:cs="Arial"/>
          <w:iCs/>
          <w:szCs w:val="22"/>
        </w:rPr>
        <w:t>operat</w:t>
      </w:r>
      <w:r w:rsidR="001575C5" w:rsidRPr="001B674F">
        <w:rPr>
          <w:rFonts w:ascii="Arial" w:hAnsi="Arial" w:cs="Arial"/>
          <w:iCs/>
          <w:szCs w:val="22"/>
        </w:rPr>
        <w:t>e</w:t>
      </w:r>
      <w:r w:rsidR="00A630A6" w:rsidRPr="001B674F">
        <w:rPr>
          <w:rFonts w:ascii="Arial" w:hAnsi="Arial" w:cs="Arial"/>
          <w:iCs/>
          <w:szCs w:val="22"/>
        </w:rPr>
        <w:t xml:space="preserve"> with reasonable supervision and </w:t>
      </w:r>
      <w:r w:rsidR="00A630A6" w:rsidRPr="001B674F">
        <w:rPr>
          <w:rFonts w:ascii="Arial" w:hAnsi="Arial" w:cs="Arial"/>
          <w:iCs/>
          <w:szCs w:val="22"/>
        </w:rPr>
        <w:lastRenderedPageBreak/>
        <w:t xml:space="preserve">direction, </w:t>
      </w:r>
      <w:r w:rsidR="00F71FB5" w:rsidRPr="001B674F">
        <w:rPr>
          <w:rFonts w:ascii="Arial" w:hAnsi="Arial" w:cs="Arial"/>
          <w:iCs/>
          <w:szCs w:val="22"/>
        </w:rPr>
        <w:t>in practice</w:t>
      </w:r>
      <w:r w:rsidR="00E3608F" w:rsidRPr="001B674F">
        <w:rPr>
          <w:rFonts w:ascii="Arial" w:hAnsi="Arial" w:cs="Arial"/>
          <w:iCs/>
          <w:szCs w:val="22"/>
        </w:rPr>
        <w:t xml:space="preserve"> </w:t>
      </w:r>
      <w:r w:rsidR="003B04F5" w:rsidRPr="001B674F">
        <w:rPr>
          <w:rFonts w:ascii="Arial" w:hAnsi="Arial" w:cs="Arial"/>
          <w:iCs/>
          <w:szCs w:val="22"/>
        </w:rPr>
        <w:t xml:space="preserve">confusion </w:t>
      </w:r>
      <w:r w:rsidR="00A630A6" w:rsidRPr="001B674F">
        <w:rPr>
          <w:rFonts w:ascii="Arial" w:hAnsi="Arial" w:cs="Arial"/>
          <w:iCs/>
          <w:szCs w:val="22"/>
        </w:rPr>
        <w:t>can arise where a social worker’</w:t>
      </w:r>
      <w:r w:rsidRPr="001B674F">
        <w:rPr>
          <w:rFonts w:ascii="Arial" w:hAnsi="Arial" w:cs="Arial"/>
          <w:iCs/>
          <w:szCs w:val="22"/>
        </w:rPr>
        <w:t>s decision is contrary to advic</w:t>
      </w:r>
      <w:r w:rsidR="00A630A6" w:rsidRPr="001B674F">
        <w:rPr>
          <w:rFonts w:ascii="Arial" w:hAnsi="Arial" w:cs="Arial"/>
          <w:iCs/>
          <w:szCs w:val="22"/>
        </w:rPr>
        <w:t>e provided by supervisors and others</w:t>
      </w:r>
      <w:r w:rsidR="001575C5" w:rsidRPr="001B674F">
        <w:rPr>
          <w:rFonts w:ascii="Arial" w:hAnsi="Arial" w:cs="Arial"/>
          <w:iCs/>
          <w:szCs w:val="22"/>
        </w:rPr>
        <w:t>,</w:t>
      </w:r>
      <w:r w:rsidR="00A630A6" w:rsidRPr="001B674F">
        <w:rPr>
          <w:rFonts w:ascii="Arial" w:hAnsi="Arial" w:cs="Arial"/>
          <w:iCs/>
          <w:szCs w:val="22"/>
        </w:rPr>
        <w:t xml:space="preserve"> such as </w:t>
      </w:r>
      <w:r w:rsidR="007B57C2">
        <w:rPr>
          <w:rFonts w:ascii="Arial" w:hAnsi="Arial" w:cs="Arial"/>
          <w:iCs/>
          <w:szCs w:val="22"/>
        </w:rPr>
        <w:t>C</w:t>
      </w:r>
      <w:r w:rsidR="00A630A6" w:rsidRPr="001B674F">
        <w:rPr>
          <w:rFonts w:ascii="Arial" w:hAnsi="Arial" w:cs="Arial"/>
          <w:iCs/>
          <w:szCs w:val="22"/>
        </w:rPr>
        <w:t xml:space="preserve">are and </w:t>
      </w:r>
      <w:r w:rsidR="007B57C2">
        <w:rPr>
          <w:rFonts w:ascii="Arial" w:hAnsi="Arial" w:cs="Arial"/>
          <w:iCs/>
          <w:szCs w:val="22"/>
        </w:rPr>
        <w:t>P</w:t>
      </w:r>
      <w:r w:rsidR="00A630A6" w:rsidRPr="001B674F">
        <w:rPr>
          <w:rFonts w:ascii="Arial" w:hAnsi="Arial" w:cs="Arial"/>
          <w:iCs/>
          <w:szCs w:val="22"/>
        </w:rPr>
        <w:t xml:space="preserve">rotection </w:t>
      </w:r>
      <w:r w:rsidR="007B57C2">
        <w:rPr>
          <w:rFonts w:ascii="Arial" w:hAnsi="Arial" w:cs="Arial"/>
          <w:iCs/>
          <w:szCs w:val="22"/>
        </w:rPr>
        <w:t>R</w:t>
      </w:r>
      <w:r w:rsidR="00A630A6" w:rsidRPr="001B674F">
        <w:rPr>
          <w:rFonts w:ascii="Arial" w:hAnsi="Arial" w:cs="Arial"/>
          <w:iCs/>
          <w:szCs w:val="22"/>
        </w:rPr>
        <w:t xml:space="preserve">esource </w:t>
      </w:r>
      <w:r w:rsidR="007B57C2">
        <w:rPr>
          <w:rFonts w:ascii="Arial" w:hAnsi="Arial" w:cs="Arial"/>
          <w:iCs/>
          <w:szCs w:val="22"/>
        </w:rPr>
        <w:t>P</w:t>
      </w:r>
      <w:r w:rsidR="00A630A6" w:rsidRPr="001B674F">
        <w:rPr>
          <w:rFonts w:ascii="Arial" w:hAnsi="Arial" w:cs="Arial"/>
          <w:iCs/>
          <w:szCs w:val="22"/>
        </w:rPr>
        <w:t>anels.</w:t>
      </w:r>
      <w:r w:rsidR="00695296" w:rsidRPr="001B674F">
        <w:rPr>
          <w:rFonts w:ascii="Arial" w:hAnsi="Arial" w:cs="Arial"/>
          <w:iCs/>
          <w:szCs w:val="22"/>
        </w:rPr>
        <w:t xml:space="preserve"> </w:t>
      </w:r>
      <w:r w:rsidR="00F71FB5" w:rsidRPr="001B674F">
        <w:rPr>
          <w:rFonts w:ascii="Arial" w:hAnsi="Arial" w:cs="Arial"/>
          <w:iCs/>
          <w:szCs w:val="22"/>
        </w:rPr>
        <w:t xml:space="preserve">While the current legal position provides a number of options to the </w:t>
      </w:r>
      <w:r w:rsidR="001616D8" w:rsidRPr="001B674F">
        <w:rPr>
          <w:rFonts w:ascii="Arial" w:hAnsi="Arial" w:cs="Arial"/>
          <w:iCs/>
          <w:szCs w:val="22"/>
        </w:rPr>
        <w:t>Chief Executive</w:t>
      </w:r>
      <w:r w:rsidR="00F71FB5" w:rsidRPr="001B674F">
        <w:rPr>
          <w:rFonts w:ascii="Arial" w:hAnsi="Arial" w:cs="Arial"/>
          <w:iCs/>
          <w:szCs w:val="22"/>
        </w:rPr>
        <w:t>, the practice perception is that the final decision rests with a social worker.</w:t>
      </w:r>
    </w:p>
    <w:p w:rsidR="002734A8" w:rsidRPr="001B674F" w:rsidRDefault="002734A8" w:rsidP="002734A8">
      <w:pPr>
        <w:rPr>
          <w:rFonts w:ascii="Arial" w:hAnsi="Arial" w:cs="Arial"/>
          <w:iCs/>
          <w:szCs w:val="22"/>
        </w:rPr>
      </w:pPr>
      <w:r w:rsidRPr="001B674F">
        <w:rPr>
          <w:rFonts w:ascii="Arial" w:hAnsi="Arial" w:cs="Arial"/>
          <w:iCs/>
          <w:szCs w:val="22"/>
        </w:rPr>
        <w:t xml:space="preserve">Similarly, while legal authority for frontline decision-making rests with individual social workers, their decisions can inevitably </w:t>
      </w:r>
      <w:r w:rsidR="001575C5" w:rsidRPr="001B674F">
        <w:rPr>
          <w:rFonts w:ascii="Arial" w:hAnsi="Arial" w:cs="Arial"/>
          <w:iCs/>
          <w:szCs w:val="22"/>
        </w:rPr>
        <w:t>be constrained</w:t>
      </w:r>
      <w:r w:rsidRPr="001B674F">
        <w:rPr>
          <w:rFonts w:ascii="Arial" w:hAnsi="Arial" w:cs="Arial"/>
          <w:iCs/>
          <w:szCs w:val="22"/>
        </w:rPr>
        <w:t xml:space="preserve"> by system-level factors beyond the immediate individual case at hand, and which are outside of their control, such as availability of services.</w:t>
      </w:r>
      <w:r w:rsidR="0040571A" w:rsidRPr="001B674F">
        <w:rPr>
          <w:rFonts w:ascii="Arial" w:hAnsi="Arial" w:cs="Arial"/>
          <w:iCs/>
          <w:szCs w:val="22"/>
        </w:rPr>
        <w:t xml:space="preserve"> </w:t>
      </w:r>
    </w:p>
    <w:p w:rsidR="006A2DA7" w:rsidRPr="001B674F" w:rsidRDefault="002734A8" w:rsidP="00A630A6">
      <w:pPr>
        <w:rPr>
          <w:rFonts w:ascii="Arial" w:hAnsi="Arial" w:cs="Arial"/>
          <w:iCs/>
          <w:szCs w:val="22"/>
        </w:rPr>
      </w:pPr>
      <w:r w:rsidRPr="001B674F">
        <w:rPr>
          <w:rFonts w:ascii="Arial" w:hAnsi="Arial" w:cs="Arial"/>
          <w:iCs/>
          <w:szCs w:val="22"/>
        </w:rPr>
        <w:t>Both of these issues were</w:t>
      </w:r>
      <w:r w:rsidR="006A2DA7" w:rsidRPr="001B674F">
        <w:rPr>
          <w:rFonts w:ascii="Arial" w:hAnsi="Arial" w:cs="Arial"/>
          <w:iCs/>
          <w:szCs w:val="22"/>
        </w:rPr>
        <w:t xml:space="preserve"> identified </w:t>
      </w:r>
      <w:r w:rsidR="009F57B1" w:rsidRPr="001B674F">
        <w:rPr>
          <w:rFonts w:ascii="Arial" w:hAnsi="Arial" w:cs="Arial"/>
          <w:iCs/>
          <w:szCs w:val="22"/>
        </w:rPr>
        <w:t>in recent consultation</w:t>
      </w:r>
      <w:r w:rsidR="006A2DA7" w:rsidRPr="001B674F">
        <w:rPr>
          <w:rFonts w:ascii="Arial" w:hAnsi="Arial" w:cs="Arial"/>
          <w:iCs/>
          <w:szCs w:val="22"/>
        </w:rPr>
        <w:t xml:space="preserve"> with practitioners. </w:t>
      </w:r>
    </w:p>
    <w:p w:rsidR="008D5CD9" w:rsidRPr="001B674F" w:rsidRDefault="008D5CD9" w:rsidP="00A42AD7">
      <w:pPr>
        <w:pStyle w:val="Heading2"/>
        <w:rPr>
          <w:rFonts w:ascii="Arial" w:hAnsi="Arial" w:cs="Arial"/>
        </w:rPr>
      </w:pPr>
      <w:bookmarkStart w:id="27" w:name="_Toc244580364"/>
      <w:bookmarkStart w:id="28" w:name="_Toc244587040"/>
      <w:bookmarkStart w:id="29" w:name="_Toc244857274"/>
      <w:bookmarkStart w:id="30" w:name="_Toc244912539"/>
      <w:bookmarkStart w:id="31" w:name="_Toc244916996"/>
      <w:bookmarkStart w:id="32" w:name="_Toc362368105"/>
      <w:bookmarkStart w:id="33" w:name="_Toc362434946"/>
      <w:bookmarkStart w:id="34" w:name="_Toc362589332"/>
      <w:bookmarkStart w:id="35" w:name="_Toc362619032"/>
      <w:bookmarkStart w:id="36" w:name="_Toc362940596"/>
      <w:bookmarkStart w:id="37" w:name="_Toc363047104"/>
      <w:r w:rsidRPr="001B674F">
        <w:rPr>
          <w:rFonts w:ascii="Arial" w:hAnsi="Arial" w:cs="Arial"/>
        </w:rPr>
        <w:t>Objectives</w:t>
      </w:r>
      <w:bookmarkEnd w:id="27"/>
      <w:bookmarkEnd w:id="28"/>
      <w:bookmarkEnd w:id="29"/>
      <w:bookmarkEnd w:id="30"/>
      <w:bookmarkEnd w:id="31"/>
      <w:bookmarkEnd w:id="32"/>
      <w:bookmarkEnd w:id="33"/>
      <w:bookmarkEnd w:id="34"/>
      <w:bookmarkEnd w:id="35"/>
      <w:bookmarkEnd w:id="36"/>
      <w:bookmarkEnd w:id="37"/>
    </w:p>
    <w:p w:rsidR="008053CC" w:rsidRPr="001B674F" w:rsidRDefault="008053CC" w:rsidP="00C800F9">
      <w:pPr>
        <w:spacing w:after="0"/>
        <w:rPr>
          <w:rFonts w:ascii="Arial" w:hAnsi="Arial" w:cs="Arial"/>
        </w:rPr>
      </w:pPr>
      <w:bookmarkStart w:id="38" w:name="_Toc244580365"/>
      <w:bookmarkStart w:id="39" w:name="_Toc244587041"/>
      <w:bookmarkStart w:id="40" w:name="_Toc244857275"/>
      <w:bookmarkStart w:id="41" w:name="_Toc244912540"/>
      <w:bookmarkStart w:id="42" w:name="_Toc244916997"/>
      <w:bookmarkStart w:id="43" w:name="_Toc362368106"/>
      <w:bookmarkStart w:id="44" w:name="_Toc362434947"/>
      <w:bookmarkStart w:id="45" w:name="_Toc362589333"/>
      <w:bookmarkStart w:id="46" w:name="_Toc362619033"/>
      <w:bookmarkStart w:id="47" w:name="_Toc362940597"/>
      <w:bookmarkStart w:id="48" w:name="_Toc363047105"/>
      <w:r w:rsidRPr="001B674F">
        <w:rPr>
          <w:rFonts w:ascii="Arial" w:hAnsi="Arial" w:cs="Arial"/>
        </w:rPr>
        <w:t xml:space="preserve">The </w:t>
      </w:r>
      <w:r w:rsidR="0031105F" w:rsidRPr="001B674F">
        <w:rPr>
          <w:rFonts w:ascii="Arial" w:hAnsi="Arial" w:cs="Arial"/>
        </w:rPr>
        <w:t xml:space="preserve">Expert </w:t>
      </w:r>
      <w:r w:rsidRPr="001B674F">
        <w:rPr>
          <w:rFonts w:ascii="Arial" w:hAnsi="Arial" w:cs="Arial"/>
        </w:rPr>
        <w:t>Panel</w:t>
      </w:r>
      <w:r w:rsidR="0031105F" w:rsidRPr="001B674F">
        <w:rPr>
          <w:rFonts w:ascii="Arial" w:hAnsi="Arial" w:cs="Arial"/>
        </w:rPr>
        <w:t>’s final report</w:t>
      </w:r>
      <w:r w:rsidRPr="001B674F">
        <w:rPr>
          <w:rFonts w:ascii="Arial" w:hAnsi="Arial" w:cs="Arial"/>
        </w:rPr>
        <w:t xml:space="preserve"> set out six high-level system objectives for a child-centred system: </w:t>
      </w:r>
    </w:p>
    <w:p w:rsidR="008053CC" w:rsidRPr="001B674F" w:rsidRDefault="0086549C" w:rsidP="00477434">
      <w:pPr>
        <w:pStyle w:val="Bullet1"/>
        <w:rPr>
          <w:rFonts w:ascii="Arial" w:hAnsi="Arial" w:cs="Arial"/>
        </w:rPr>
      </w:pPr>
      <w:r w:rsidRPr="001B674F">
        <w:rPr>
          <w:rFonts w:ascii="Arial" w:hAnsi="Arial" w:cs="Arial"/>
        </w:rPr>
        <w:t>e</w:t>
      </w:r>
      <w:r w:rsidR="008053CC" w:rsidRPr="001B674F">
        <w:rPr>
          <w:rFonts w:ascii="Arial" w:hAnsi="Arial" w:cs="Arial"/>
        </w:rPr>
        <w:t xml:space="preserve">nsuring that children have the earliest opportunity for a loving and stable family </w:t>
      </w:r>
    </w:p>
    <w:p w:rsidR="008053CC" w:rsidRPr="001B674F" w:rsidRDefault="0086549C" w:rsidP="00477434">
      <w:pPr>
        <w:pStyle w:val="Bullet1"/>
        <w:rPr>
          <w:rFonts w:ascii="Arial" w:hAnsi="Arial" w:cs="Arial"/>
        </w:rPr>
      </w:pPr>
      <w:r w:rsidRPr="001B674F">
        <w:rPr>
          <w:rFonts w:ascii="Arial" w:hAnsi="Arial" w:cs="Arial"/>
        </w:rPr>
        <w:t>a</w:t>
      </w:r>
      <w:r w:rsidR="008053CC" w:rsidRPr="001B674F">
        <w:rPr>
          <w:rFonts w:ascii="Arial" w:hAnsi="Arial" w:cs="Arial"/>
        </w:rPr>
        <w:t>ddressing the full range of needs for each child</w:t>
      </w:r>
    </w:p>
    <w:p w:rsidR="008053CC" w:rsidRPr="001B674F" w:rsidRDefault="0086549C" w:rsidP="00477434">
      <w:pPr>
        <w:pStyle w:val="Bullet1"/>
        <w:rPr>
          <w:rFonts w:ascii="Arial" w:hAnsi="Arial" w:cs="Arial"/>
        </w:rPr>
      </w:pPr>
      <w:r w:rsidRPr="001B674F">
        <w:rPr>
          <w:rFonts w:ascii="Arial" w:hAnsi="Arial" w:cs="Arial"/>
        </w:rPr>
        <w:t>p</w:t>
      </w:r>
      <w:r w:rsidR="008053CC" w:rsidRPr="001B674F">
        <w:rPr>
          <w:rFonts w:ascii="Arial" w:hAnsi="Arial" w:cs="Arial"/>
        </w:rPr>
        <w:t>reventing victimisation of children</w:t>
      </w:r>
    </w:p>
    <w:p w:rsidR="008053CC" w:rsidRPr="001B674F" w:rsidRDefault="0086549C" w:rsidP="00477434">
      <w:pPr>
        <w:pStyle w:val="Bullet1"/>
        <w:rPr>
          <w:rFonts w:ascii="Arial" w:hAnsi="Arial" w:cs="Arial"/>
        </w:rPr>
      </w:pPr>
      <w:r w:rsidRPr="001B674F">
        <w:rPr>
          <w:rFonts w:ascii="Arial" w:hAnsi="Arial" w:cs="Arial"/>
        </w:rPr>
        <w:t>h</w:t>
      </w:r>
      <w:r w:rsidR="008053CC" w:rsidRPr="001B674F">
        <w:rPr>
          <w:rFonts w:ascii="Arial" w:hAnsi="Arial" w:cs="Arial"/>
        </w:rPr>
        <w:t>elping children to heal and recover</w:t>
      </w:r>
    </w:p>
    <w:p w:rsidR="008053CC" w:rsidRPr="001B674F" w:rsidRDefault="0086549C" w:rsidP="00477434">
      <w:pPr>
        <w:pStyle w:val="Bullet1"/>
        <w:rPr>
          <w:rFonts w:ascii="Arial" w:hAnsi="Arial" w:cs="Arial"/>
        </w:rPr>
      </w:pPr>
      <w:r w:rsidRPr="001B674F">
        <w:rPr>
          <w:rFonts w:ascii="Arial" w:hAnsi="Arial" w:cs="Arial"/>
        </w:rPr>
        <w:t>s</w:t>
      </w:r>
      <w:r w:rsidR="008053CC" w:rsidRPr="001B674F">
        <w:rPr>
          <w:rFonts w:ascii="Arial" w:hAnsi="Arial" w:cs="Arial"/>
        </w:rPr>
        <w:t>upporting children to become flourishing adults</w:t>
      </w:r>
    </w:p>
    <w:p w:rsidR="008053CC" w:rsidRPr="001B674F" w:rsidRDefault="0086549C" w:rsidP="00477434">
      <w:pPr>
        <w:pStyle w:val="Bullet1"/>
        <w:rPr>
          <w:rFonts w:ascii="Arial" w:hAnsi="Arial" w:cs="Arial"/>
        </w:rPr>
      </w:pPr>
      <w:proofErr w:type="gramStart"/>
      <w:r w:rsidRPr="001B674F">
        <w:rPr>
          <w:rFonts w:ascii="Arial" w:hAnsi="Arial" w:cs="Arial"/>
        </w:rPr>
        <w:t>h</w:t>
      </w:r>
      <w:r w:rsidR="008053CC" w:rsidRPr="001B674F">
        <w:rPr>
          <w:rFonts w:ascii="Arial" w:hAnsi="Arial" w:cs="Arial"/>
        </w:rPr>
        <w:t>elping</w:t>
      </w:r>
      <w:proofErr w:type="gramEnd"/>
      <w:r w:rsidR="008053CC" w:rsidRPr="001B674F">
        <w:rPr>
          <w:rFonts w:ascii="Arial" w:hAnsi="Arial" w:cs="Arial"/>
        </w:rPr>
        <w:t xml:space="preserve"> children and young people to take responsibility for their actions and live crime-free lives.</w:t>
      </w:r>
    </w:p>
    <w:p w:rsidR="0040571A" w:rsidRPr="001B674F" w:rsidRDefault="0040571A" w:rsidP="00C800F9">
      <w:pPr>
        <w:pStyle w:val="Bullet-list"/>
        <w:numPr>
          <w:ilvl w:val="0"/>
          <w:numId w:val="0"/>
        </w:numPr>
        <w:spacing w:after="0"/>
        <w:rPr>
          <w:rFonts w:ascii="Arial" w:hAnsi="Arial" w:cs="Arial"/>
        </w:rPr>
      </w:pPr>
      <w:r w:rsidRPr="001B674F">
        <w:rPr>
          <w:rFonts w:ascii="Arial" w:hAnsi="Arial" w:cs="Arial"/>
        </w:rPr>
        <w:t>Specific mechanism</w:t>
      </w:r>
      <w:r w:rsidR="00F77BAA" w:rsidRPr="001B674F">
        <w:rPr>
          <w:rFonts w:ascii="Arial" w:hAnsi="Arial" w:cs="Arial"/>
        </w:rPr>
        <w:t>s</w:t>
      </w:r>
      <w:r w:rsidRPr="001B674F">
        <w:rPr>
          <w:rFonts w:ascii="Arial" w:hAnsi="Arial" w:cs="Arial"/>
        </w:rPr>
        <w:t xml:space="preserve"> to achieve these high</w:t>
      </w:r>
      <w:r w:rsidR="00BD3935" w:rsidRPr="001B674F">
        <w:rPr>
          <w:rFonts w:ascii="Arial" w:hAnsi="Arial" w:cs="Arial"/>
        </w:rPr>
        <w:t>-</w:t>
      </w:r>
      <w:r w:rsidRPr="001B674F">
        <w:rPr>
          <w:rFonts w:ascii="Arial" w:hAnsi="Arial" w:cs="Arial"/>
        </w:rPr>
        <w:t>level objectives include:</w:t>
      </w:r>
    </w:p>
    <w:p w:rsidR="008053CC" w:rsidRPr="001B674F" w:rsidRDefault="00F77BAA" w:rsidP="00477434">
      <w:pPr>
        <w:pStyle w:val="Bullet1"/>
        <w:rPr>
          <w:rFonts w:ascii="Arial" w:hAnsi="Arial" w:cs="Arial"/>
        </w:rPr>
      </w:pPr>
      <w:r w:rsidRPr="001B674F">
        <w:rPr>
          <w:rFonts w:ascii="Arial" w:hAnsi="Arial" w:cs="Arial"/>
        </w:rPr>
        <w:t>enabling</w:t>
      </w:r>
      <w:r w:rsidR="00AB1D51" w:rsidRPr="001B674F">
        <w:rPr>
          <w:rFonts w:ascii="Arial" w:hAnsi="Arial" w:cs="Arial"/>
        </w:rPr>
        <w:t xml:space="preserve"> </w:t>
      </w:r>
      <w:r w:rsidR="008053CC" w:rsidRPr="001B674F">
        <w:rPr>
          <w:rFonts w:ascii="Arial" w:hAnsi="Arial" w:cs="Arial"/>
        </w:rPr>
        <w:t>multi-disciplinary and multi-agency case management and decision-making</w:t>
      </w:r>
    </w:p>
    <w:p w:rsidR="008053CC" w:rsidRPr="001B674F" w:rsidRDefault="008053CC" w:rsidP="00477434">
      <w:pPr>
        <w:pStyle w:val="Bullet1"/>
        <w:rPr>
          <w:rFonts w:ascii="Arial" w:hAnsi="Arial" w:cs="Arial"/>
        </w:rPr>
      </w:pPr>
      <w:r w:rsidRPr="001B674F">
        <w:rPr>
          <w:rFonts w:ascii="Arial" w:hAnsi="Arial" w:cs="Arial"/>
        </w:rPr>
        <w:t>harness</w:t>
      </w:r>
      <w:r w:rsidR="00BD3935" w:rsidRPr="001B674F">
        <w:rPr>
          <w:rFonts w:ascii="Arial" w:hAnsi="Arial" w:cs="Arial"/>
        </w:rPr>
        <w:t>ing</w:t>
      </w:r>
      <w:r w:rsidRPr="001B674F">
        <w:rPr>
          <w:rFonts w:ascii="Arial" w:hAnsi="Arial" w:cs="Arial"/>
        </w:rPr>
        <w:t xml:space="preserve"> the collective expertise and specialist skill sets from a whole network of agencies and participants </w:t>
      </w:r>
    </w:p>
    <w:p w:rsidR="008053CC" w:rsidRPr="001B674F" w:rsidRDefault="008053CC" w:rsidP="00477434">
      <w:pPr>
        <w:pStyle w:val="Bullet1"/>
        <w:rPr>
          <w:rFonts w:ascii="Arial" w:hAnsi="Arial" w:cs="Arial"/>
        </w:rPr>
      </w:pPr>
      <w:r w:rsidRPr="001B674F">
        <w:rPr>
          <w:rFonts w:ascii="Arial" w:hAnsi="Arial" w:cs="Arial"/>
        </w:rPr>
        <w:t>empower</w:t>
      </w:r>
      <w:r w:rsidR="00BD3935" w:rsidRPr="001B674F">
        <w:rPr>
          <w:rFonts w:ascii="Arial" w:hAnsi="Arial" w:cs="Arial"/>
        </w:rPr>
        <w:t>ing</w:t>
      </w:r>
      <w:r w:rsidRPr="001B674F">
        <w:rPr>
          <w:rFonts w:ascii="Arial" w:hAnsi="Arial" w:cs="Arial"/>
        </w:rPr>
        <w:t xml:space="preserve"> and support</w:t>
      </w:r>
      <w:r w:rsidR="00BD3935" w:rsidRPr="001B674F">
        <w:rPr>
          <w:rFonts w:ascii="Arial" w:hAnsi="Arial" w:cs="Arial"/>
        </w:rPr>
        <w:t>ing</w:t>
      </w:r>
      <w:r w:rsidRPr="001B674F">
        <w:rPr>
          <w:rFonts w:ascii="Arial" w:hAnsi="Arial" w:cs="Arial"/>
        </w:rPr>
        <w:t xml:space="preserve"> professionals to exercise judgment within a practice framework, whether they are employed by the agency or engaged via contract or other partnering mechanism</w:t>
      </w:r>
      <w:r w:rsidR="007B57C2">
        <w:rPr>
          <w:rFonts w:ascii="Arial" w:hAnsi="Arial" w:cs="Arial"/>
        </w:rPr>
        <w:t>s</w:t>
      </w:r>
    </w:p>
    <w:p w:rsidR="008053CC" w:rsidRPr="001B674F" w:rsidRDefault="00BD3935" w:rsidP="00477434">
      <w:pPr>
        <w:pStyle w:val="Bullet1"/>
        <w:rPr>
          <w:rFonts w:ascii="Arial" w:hAnsi="Arial" w:cs="Arial"/>
        </w:rPr>
      </w:pPr>
      <w:r w:rsidRPr="001B674F">
        <w:rPr>
          <w:rFonts w:ascii="Arial" w:hAnsi="Arial" w:cs="Arial"/>
        </w:rPr>
        <w:t xml:space="preserve">moving </w:t>
      </w:r>
      <w:r w:rsidR="008053CC" w:rsidRPr="001B674F">
        <w:rPr>
          <w:rFonts w:ascii="Arial" w:hAnsi="Arial" w:cs="Arial"/>
        </w:rPr>
        <w:t>from direct service delivery by employees of the agency to strategic partnerships</w:t>
      </w:r>
      <w:r w:rsidRPr="001B674F">
        <w:rPr>
          <w:rFonts w:ascii="Arial" w:hAnsi="Arial" w:cs="Arial"/>
        </w:rPr>
        <w:t>,</w:t>
      </w:r>
      <w:r w:rsidR="008053CC" w:rsidRPr="001B674F">
        <w:rPr>
          <w:rFonts w:ascii="Arial" w:hAnsi="Arial" w:cs="Arial"/>
        </w:rPr>
        <w:t xml:space="preserve"> over time</w:t>
      </w:r>
    </w:p>
    <w:p w:rsidR="008053CC" w:rsidRPr="001B674F" w:rsidRDefault="00BD3935" w:rsidP="00477434">
      <w:pPr>
        <w:pStyle w:val="Bullet1"/>
        <w:rPr>
          <w:rFonts w:ascii="Arial" w:hAnsi="Arial" w:cs="Arial"/>
        </w:rPr>
      </w:pPr>
      <w:r w:rsidRPr="001B674F">
        <w:rPr>
          <w:rFonts w:ascii="Arial" w:hAnsi="Arial" w:cs="Arial"/>
        </w:rPr>
        <w:t xml:space="preserve">enabling </w:t>
      </w:r>
      <w:r w:rsidR="008053CC" w:rsidRPr="001B674F">
        <w:rPr>
          <w:rFonts w:ascii="Arial" w:hAnsi="Arial" w:cs="Arial"/>
        </w:rPr>
        <w:t>social workers and other professionals to focus their time and effort on serving and supporting families rather than fulfilling functions that could reasonably be shared with other practitioners</w:t>
      </w:r>
    </w:p>
    <w:p w:rsidR="004D2B4B" w:rsidRPr="001B674F" w:rsidRDefault="004D2B4B" w:rsidP="004D2B4B">
      <w:pPr>
        <w:pStyle w:val="Bullet1"/>
        <w:rPr>
          <w:rFonts w:ascii="Arial" w:hAnsi="Arial" w:cs="Arial"/>
        </w:rPr>
      </w:pPr>
      <w:proofErr w:type="gramStart"/>
      <w:r w:rsidRPr="001B674F">
        <w:rPr>
          <w:rFonts w:ascii="Arial" w:hAnsi="Arial" w:cs="Arial"/>
        </w:rPr>
        <w:t>a</w:t>
      </w:r>
      <w:proofErr w:type="gramEnd"/>
      <w:r w:rsidRPr="001B674F">
        <w:rPr>
          <w:rFonts w:ascii="Arial" w:hAnsi="Arial" w:cs="Arial"/>
        </w:rPr>
        <w:t xml:space="preserve"> single clear point of accountability.</w:t>
      </w:r>
    </w:p>
    <w:p w:rsidR="008053CC" w:rsidRPr="001B674F" w:rsidRDefault="004D2B4B" w:rsidP="008053CC">
      <w:pPr>
        <w:pStyle w:val="Bullet1"/>
        <w:numPr>
          <w:ilvl w:val="0"/>
          <w:numId w:val="0"/>
        </w:numPr>
        <w:ind w:right="170"/>
        <w:rPr>
          <w:rFonts w:ascii="Arial" w:hAnsi="Arial" w:cs="Arial"/>
        </w:rPr>
      </w:pPr>
      <w:r w:rsidRPr="001B674F">
        <w:rPr>
          <w:rFonts w:ascii="Arial" w:hAnsi="Arial" w:cs="Arial"/>
        </w:rPr>
        <w:t>To reflect these objectives and mechanisms, t</w:t>
      </w:r>
      <w:r w:rsidR="00F77BAA" w:rsidRPr="001B674F">
        <w:rPr>
          <w:rFonts w:ascii="Arial" w:hAnsi="Arial" w:cs="Arial"/>
        </w:rPr>
        <w:t>he following primary objectives have been identified for this</w:t>
      </w:r>
      <w:r w:rsidR="00AA76AC" w:rsidRPr="001B674F">
        <w:rPr>
          <w:rFonts w:ascii="Arial" w:hAnsi="Arial" w:cs="Arial"/>
        </w:rPr>
        <w:t xml:space="preserve"> piece of</w:t>
      </w:r>
      <w:r w:rsidR="00F77BAA" w:rsidRPr="001B674F">
        <w:rPr>
          <w:rFonts w:ascii="Arial" w:hAnsi="Arial" w:cs="Arial"/>
        </w:rPr>
        <w:t xml:space="preserve"> work:</w:t>
      </w:r>
      <w:r w:rsidR="008053CC" w:rsidRPr="001B674F">
        <w:rPr>
          <w:rFonts w:ascii="Arial" w:hAnsi="Arial" w:cs="Arial"/>
        </w:rPr>
        <w:t xml:space="preserve"> </w:t>
      </w:r>
    </w:p>
    <w:p w:rsidR="008053CC" w:rsidRPr="001B674F" w:rsidRDefault="00AA76AC" w:rsidP="00477434">
      <w:pPr>
        <w:pStyle w:val="Bullet1"/>
        <w:rPr>
          <w:rFonts w:ascii="Arial" w:hAnsi="Arial" w:cs="Arial"/>
        </w:rPr>
      </w:pPr>
      <w:r w:rsidRPr="001B674F">
        <w:rPr>
          <w:rFonts w:ascii="Arial" w:hAnsi="Arial" w:cs="Arial"/>
        </w:rPr>
        <w:t xml:space="preserve">Enabling other </w:t>
      </w:r>
      <w:r w:rsidR="008053CC" w:rsidRPr="001B674F">
        <w:rPr>
          <w:rFonts w:ascii="Arial" w:hAnsi="Arial" w:cs="Arial"/>
        </w:rPr>
        <w:t>professionals to perform</w:t>
      </w:r>
      <w:r w:rsidRPr="001B674F">
        <w:rPr>
          <w:rFonts w:ascii="Arial" w:hAnsi="Arial" w:cs="Arial"/>
        </w:rPr>
        <w:t xml:space="preserve"> a broader range of</w:t>
      </w:r>
      <w:r w:rsidR="008053CC" w:rsidRPr="001B674F">
        <w:rPr>
          <w:rFonts w:ascii="Arial" w:hAnsi="Arial" w:cs="Arial"/>
        </w:rPr>
        <w:t xml:space="preserve"> functions under the Act</w:t>
      </w:r>
      <w:r w:rsidR="007616AF" w:rsidRPr="001B674F">
        <w:rPr>
          <w:rFonts w:ascii="Arial" w:hAnsi="Arial" w:cs="Arial"/>
        </w:rPr>
        <w:t>.</w:t>
      </w:r>
    </w:p>
    <w:p w:rsidR="00363B32" w:rsidRPr="001B674F" w:rsidRDefault="00BD3935" w:rsidP="00477434">
      <w:pPr>
        <w:pStyle w:val="Bullet1"/>
        <w:rPr>
          <w:rFonts w:ascii="Arial" w:hAnsi="Arial" w:cs="Arial"/>
        </w:rPr>
      </w:pPr>
      <w:r w:rsidRPr="001B674F">
        <w:rPr>
          <w:rFonts w:ascii="Arial" w:hAnsi="Arial" w:cs="Arial"/>
        </w:rPr>
        <w:t xml:space="preserve">Providing </w:t>
      </w:r>
      <w:r w:rsidR="00363B32" w:rsidRPr="001B674F">
        <w:rPr>
          <w:rFonts w:ascii="Arial" w:hAnsi="Arial" w:cs="Arial"/>
        </w:rPr>
        <w:t>full flexibility for the agency to deliver services via strategic partners.</w:t>
      </w:r>
    </w:p>
    <w:p w:rsidR="00F71FB5" w:rsidRPr="001B674F" w:rsidRDefault="00F71FB5" w:rsidP="00477434">
      <w:pPr>
        <w:pStyle w:val="Bullet1"/>
        <w:rPr>
          <w:rFonts w:ascii="Arial" w:hAnsi="Arial" w:cs="Arial"/>
        </w:rPr>
      </w:pPr>
      <w:r w:rsidRPr="001B674F">
        <w:rPr>
          <w:rFonts w:ascii="Arial" w:hAnsi="Arial" w:cs="Arial"/>
        </w:rPr>
        <w:t xml:space="preserve">Ensuring the legislation supports the </w:t>
      </w:r>
      <w:r w:rsidR="001616D8" w:rsidRPr="001B674F">
        <w:rPr>
          <w:rFonts w:ascii="Arial" w:hAnsi="Arial" w:cs="Arial"/>
        </w:rPr>
        <w:t>Chief Executive</w:t>
      </w:r>
      <w:r w:rsidRPr="001B674F">
        <w:rPr>
          <w:rFonts w:ascii="Arial" w:hAnsi="Arial" w:cs="Arial"/>
        </w:rPr>
        <w:t xml:space="preserve"> as the single point of accountability.</w:t>
      </w:r>
    </w:p>
    <w:p w:rsidR="008053CC" w:rsidRPr="001B674F" w:rsidRDefault="00F77BAA" w:rsidP="00477434">
      <w:pPr>
        <w:pStyle w:val="Bullet1"/>
        <w:numPr>
          <w:ilvl w:val="0"/>
          <w:numId w:val="0"/>
        </w:numPr>
        <w:spacing w:after="0"/>
        <w:ind w:right="170"/>
        <w:rPr>
          <w:rFonts w:ascii="Arial" w:hAnsi="Arial" w:cs="Arial"/>
        </w:rPr>
      </w:pPr>
      <w:r w:rsidRPr="001B674F">
        <w:rPr>
          <w:rFonts w:ascii="Arial" w:hAnsi="Arial" w:cs="Arial"/>
        </w:rPr>
        <w:t>These will be included as criteria against which the options will be assessed along with t</w:t>
      </w:r>
      <w:r w:rsidR="008053CC" w:rsidRPr="001B674F">
        <w:rPr>
          <w:rFonts w:ascii="Arial" w:hAnsi="Arial" w:cs="Arial"/>
        </w:rPr>
        <w:t>hree further criteria:</w:t>
      </w:r>
    </w:p>
    <w:p w:rsidR="008053CC" w:rsidRPr="001B674F" w:rsidRDefault="008053CC" w:rsidP="00477434">
      <w:pPr>
        <w:pStyle w:val="Bullet1"/>
        <w:rPr>
          <w:rFonts w:ascii="Arial" w:hAnsi="Arial" w:cs="Arial"/>
        </w:rPr>
      </w:pPr>
      <w:r w:rsidRPr="001B674F">
        <w:rPr>
          <w:rFonts w:ascii="Arial" w:hAnsi="Arial" w:cs="Arial"/>
        </w:rPr>
        <w:t>Durability</w:t>
      </w:r>
      <w:r w:rsidR="007616AF" w:rsidRPr="001B674F">
        <w:rPr>
          <w:rFonts w:ascii="Arial" w:hAnsi="Arial" w:cs="Arial"/>
        </w:rPr>
        <w:t>.</w:t>
      </w:r>
    </w:p>
    <w:p w:rsidR="008053CC" w:rsidRPr="001B674F" w:rsidRDefault="008053CC" w:rsidP="00477434">
      <w:pPr>
        <w:pStyle w:val="Bullet1"/>
        <w:rPr>
          <w:rFonts w:ascii="Arial" w:hAnsi="Arial" w:cs="Arial"/>
        </w:rPr>
      </w:pPr>
      <w:r w:rsidRPr="001B674F">
        <w:rPr>
          <w:rFonts w:ascii="Arial" w:hAnsi="Arial" w:cs="Arial"/>
        </w:rPr>
        <w:lastRenderedPageBreak/>
        <w:t>Risk management and safety</w:t>
      </w:r>
      <w:r w:rsidR="007616AF" w:rsidRPr="001B674F">
        <w:rPr>
          <w:rFonts w:ascii="Arial" w:hAnsi="Arial" w:cs="Arial"/>
        </w:rPr>
        <w:t>.</w:t>
      </w:r>
    </w:p>
    <w:p w:rsidR="008053CC" w:rsidRPr="001B674F" w:rsidRDefault="00901BF8" w:rsidP="00477434">
      <w:pPr>
        <w:pStyle w:val="Bullet1"/>
        <w:rPr>
          <w:rFonts w:ascii="Arial" w:hAnsi="Arial" w:cs="Arial"/>
        </w:rPr>
      </w:pPr>
      <w:r w:rsidRPr="001B674F">
        <w:rPr>
          <w:rFonts w:ascii="Arial" w:hAnsi="Arial" w:cs="Arial"/>
          <w:lang w:val="en-US"/>
        </w:rPr>
        <w:t xml:space="preserve">Promoting </w:t>
      </w:r>
      <w:r w:rsidR="008053CC" w:rsidRPr="001B674F">
        <w:rPr>
          <w:rFonts w:ascii="Arial" w:hAnsi="Arial" w:cs="Arial"/>
          <w:lang w:val="en-US"/>
        </w:rPr>
        <w:t>the professional competency of social workers</w:t>
      </w:r>
      <w:r w:rsidR="00363B32" w:rsidRPr="001B674F">
        <w:rPr>
          <w:rFonts w:ascii="Arial" w:hAnsi="Arial" w:cs="Arial"/>
          <w:lang w:val="en-US"/>
        </w:rPr>
        <w:t>.</w:t>
      </w:r>
    </w:p>
    <w:p w:rsidR="008053CC" w:rsidRPr="001B674F" w:rsidRDefault="007B57C2" w:rsidP="008053CC">
      <w:pPr>
        <w:pStyle w:val="Heading2"/>
        <w:rPr>
          <w:rFonts w:ascii="Arial" w:hAnsi="Arial" w:cs="Arial"/>
        </w:rPr>
      </w:pPr>
      <w:r>
        <w:rPr>
          <w:rFonts w:ascii="Arial" w:hAnsi="Arial" w:cs="Arial"/>
        </w:rPr>
        <w:t>Objectives and c</w:t>
      </w:r>
      <w:r w:rsidR="008053CC" w:rsidRPr="001B674F">
        <w:rPr>
          <w:rFonts w:ascii="Arial" w:hAnsi="Arial" w:cs="Arial"/>
        </w:rPr>
        <w:t>riteria</w:t>
      </w:r>
    </w:p>
    <w:p w:rsidR="008053CC" w:rsidRPr="001B674F" w:rsidRDefault="008053CC" w:rsidP="008053CC">
      <w:pPr>
        <w:pStyle w:val="Bullet1"/>
        <w:numPr>
          <w:ilvl w:val="0"/>
          <w:numId w:val="0"/>
        </w:numPr>
        <w:ind w:right="170"/>
        <w:rPr>
          <w:rFonts w:ascii="Arial" w:hAnsi="Arial" w:cs="Arial"/>
        </w:rPr>
      </w:pPr>
      <w:r w:rsidRPr="001B674F">
        <w:rPr>
          <w:rFonts w:ascii="Arial" w:hAnsi="Arial" w:cs="Arial"/>
        </w:rPr>
        <w:t>The following table provides a more detailed breakdown of how proposals will be assessed against the objectives and additional criteria.</w:t>
      </w:r>
    </w:p>
    <w:tbl>
      <w:tblPr>
        <w:tblStyle w:val="LightList-Accent5"/>
        <w:tblW w:w="5000" w:type="pct"/>
        <w:tblLook w:val="04A0" w:firstRow="1" w:lastRow="0" w:firstColumn="1" w:lastColumn="0" w:noHBand="0" w:noVBand="1"/>
      </w:tblPr>
      <w:tblGrid>
        <w:gridCol w:w="3100"/>
        <w:gridCol w:w="6187"/>
      </w:tblGrid>
      <w:tr w:rsidR="008053CC" w:rsidRPr="001B674F" w:rsidTr="008678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pct"/>
            <w:tcBorders>
              <w:top w:val="single" w:sz="8" w:space="0" w:color="4BACC6" w:themeColor="accent5"/>
              <w:bottom w:val="single" w:sz="8" w:space="0" w:color="4BACC6" w:themeColor="accent5"/>
            </w:tcBorders>
            <w:shd w:val="clear" w:color="auto" w:fill="31849B" w:themeFill="accent5" w:themeFillShade="BF"/>
          </w:tcPr>
          <w:p w:rsidR="008053CC" w:rsidRPr="001B674F" w:rsidRDefault="008053CC" w:rsidP="00867800">
            <w:pPr>
              <w:rPr>
                <w:rFonts w:ascii="Arial" w:hAnsi="Arial" w:cs="Arial"/>
              </w:rPr>
            </w:pPr>
            <w:r w:rsidRPr="001B674F">
              <w:rPr>
                <w:rFonts w:ascii="Arial" w:hAnsi="Arial" w:cs="Arial"/>
              </w:rPr>
              <w:t>Objective</w:t>
            </w:r>
          </w:p>
        </w:tc>
        <w:tc>
          <w:tcPr>
            <w:tcW w:w="3331" w:type="pct"/>
            <w:shd w:val="clear" w:color="auto" w:fill="31849B" w:themeFill="accent5" w:themeFillShade="BF"/>
          </w:tcPr>
          <w:p w:rsidR="008053CC" w:rsidRPr="001B674F" w:rsidRDefault="008053CC" w:rsidP="00867800">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1B674F">
              <w:rPr>
                <w:rFonts w:ascii="Arial" w:hAnsi="Arial" w:cs="Arial"/>
              </w:rPr>
              <w:t>How proposals will be assessed against objective</w:t>
            </w:r>
          </w:p>
        </w:tc>
      </w:tr>
      <w:tr w:rsidR="008053CC" w:rsidRPr="001B674F" w:rsidTr="00867800">
        <w:trPr>
          <w:cnfStyle w:val="000000100000" w:firstRow="0" w:lastRow="0" w:firstColumn="0" w:lastColumn="0" w:oddVBand="0" w:evenVBand="0" w:oddHBand="1" w:evenHBand="0" w:firstRowFirstColumn="0" w:firstRowLastColumn="0" w:lastRowFirstColumn="0" w:lastRowLastColumn="0"/>
          <w:trHeight w:val="1325"/>
        </w:trPr>
        <w:tc>
          <w:tcPr>
            <w:cnfStyle w:val="001000000000" w:firstRow="0" w:lastRow="0" w:firstColumn="1" w:lastColumn="0" w:oddVBand="0" w:evenVBand="0" w:oddHBand="0" w:evenHBand="0" w:firstRowFirstColumn="0" w:firstRowLastColumn="0" w:lastRowFirstColumn="0" w:lastRowLastColumn="0"/>
            <w:tcW w:w="1669" w:type="pct"/>
          </w:tcPr>
          <w:p w:rsidR="008053CC" w:rsidRPr="001B674F" w:rsidRDefault="00901BF8" w:rsidP="00901BF8">
            <w:pPr>
              <w:rPr>
                <w:rFonts w:ascii="Arial" w:hAnsi="Arial" w:cs="Arial"/>
              </w:rPr>
            </w:pPr>
            <w:r w:rsidRPr="001B674F">
              <w:rPr>
                <w:rFonts w:ascii="Arial" w:hAnsi="Arial" w:cs="Arial"/>
                <w:b w:val="0"/>
              </w:rPr>
              <w:t xml:space="preserve">Enabling </w:t>
            </w:r>
            <w:r w:rsidR="002C1A46" w:rsidRPr="001B674F">
              <w:rPr>
                <w:rFonts w:ascii="Arial" w:hAnsi="Arial" w:cs="Arial"/>
                <w:b w:val="0"/>
              </w:rPr>
              <w:t xml:space="preserve">other </w:t>
            </w:r>
            <w:r w:rsidR="008053CC" w:rsidRPr="001B674F">
              <w:rPr>
                <w:rFonts w:ascii="Arial" w:hAnsi="Arial" w:cs="Arial"/>
                <w:b w:val="0"/>
              </w:rPr>
              <w:t>professionals</w:t>
            </w:r>
            <w:r w:rsidR="002C1A46" w:rsidRPr="001B674F">
              <w:rPr>
                <w:rFonts w:ascii="Arial" w:hAnsi="Arial" w:cs="Arial"/>
                <w:b w:val="0"/>
              </w:rPr>
              <w:t xml:space="preserve"> to perform a broader range of </w:t>
            </w:r>
            <w:r w:rsidR="00547405" w:rsidRPr="001B674F">
              <w:rPr>
                <w:rFonts w:ascii="Arial" w:hAnsi="Arial" w:cs="Arial"/>
                <w:b w:val="0"/>
              </w:rPr>
              <w:t>functions</w:t>
            </w:r>
            <w:r w:rsidRPr="001B674F">
              <w:rPr>
                <w:rFonts w:ascii="Arial" w:hAnsi="Arial" w:cs="Arial"/>
                <w:b w:val="0"/>
              </w:rPr>
              <w:t>.</w:t>
            </w:r>
          </w:p>
        </w:tc>
        <w:tc>
          <w:tcPr>
            <w:tcW w:w="3331" w:type="pct"/>
          </w:tcPr>
          <w:p w:rsidR="008053CC" w:rsidRPr="001B674F" w:rsidRDefault="008053CC" w:rsidP="0086780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B674F">
              <w:rPr>
                <w:rFonts w:ascii="Arial" w:hAnsi="Arial" w:cs="Arial"/>
              </w:rPr>
              <w:t>The analysis will consider the extent to which proposals enable the new operating model to</w:t>
            </w:r>
            <w:r w:rsidR="002C1A46" w:rsidRPr="001B674F">
              <w:rPr>
                <w:rFonts w:ascii="Arial" w:hAnsi="Arial" w:cs="Arial"/>
              </w:rPr>
              <w:t xml:space="preserve"> harness</w:t>
            </w:r>
            <w:r w:rsidRPr="001B674F">
              <w:rPr>
                <w:rFonts w:ascii="Arial" w:hAnsi="Arial" w:cs="Arial"/>
              </w:rPr>
              <w:t xml:space="preserve"> expertise and specialist skill sets from a broad range of professionals and staff members.</w:t>
            </w:r>
          </w:p>
        </w:tc>
      </w:tr>
      <w:tr w:rsidR="006724C6" w:rsidRPr="001B674F" w:rsidTr="0074551C">
        <w:trPr>
          <w:trHeight w:val="1096"/>
        </w:trPr>
        <w:tc>
          <w:tcPr>
            <w:cnfStyle w:val="001000000000" w:firstRow="0" w:lastRow="0" w:firstColumn="1" w:lastColumn="0" w:oddVBand="0" w:evenVBand="0" w:oddHBand="0" w:evenHBand="0" w:firstRowFirstColumn="0" w:firstRowLastColumn="0" w:lastRowFirstColumn="0" w:lastRowLastColumn="0"/>
            <w:tcW w:w="1669" w:type="pct"/>
          </w:tcPr>
          <w:p w:rsidR="006724C6" w:rsidRPr="001B674F" w:rsidRDefault="00901BF8" w:rsidP="004D2B4B">
            <w:pPr>
              <w:rPr>
                <w:rFonts w:ascii="Arial" w:hAnsi="Arial" w:cs="Arial"/>
                <w:b w:val="0"/>
              </w:rPr>
            </w:pPr>
            <w:r w:rsidRPr="001B674F">
              <w:rPr>
                <w:rFonts w:ascii="Arial" w:hAnsi="Arial" w:cs="Arial"/>
                <w:b w:val="0"/>
                <w:iCs/>
                <w:szCs w:val="22"/>
              </w:rPr>
              <w:t xml:space="preserve">Providing </w:t>
            </w:r>
            <w:r w:rsidR="004D2B4B" w:rsidRPr="001B674F">
              <w:rPr>
                <w:rFonts w:ascii="Arial" w:hAnsi="Arial" w:cs="Arial"/>
                <w:b w:val="0"/>
                <w:iCs/>
                <w:szCs w:val="22"/>
              </w:rPr>
              <w:t>appropriate</w:t>
            </w:r>
            <w:r w:rsidR="006724C6" w:rsidRPr="001B674F">
              <w:rPr>
                <w:rFonts w:ascii="Arial" w:hAnsi="Arial" w:cs="Arial"/>
                <w:b w:val="0"/>
                <w:iCs/>
                <w:szCs w:val="22"/>
              </w:rPr>
              <w:t xml:space="preserve"> flexibility for the agency to deliver services via strategic partners</w:t>
            </w:r>
            <w:r w:rsidRPr="001B674F">
              <w:rPr>
                <w:rFonts w:ascii="Arial" w:hAnsi="Arial" w:cs="Arial"/>
                <w:b w:val="0"/>
                <w:iCs/>
                <w:szCs w:val="22"/>
              </w:rPr>
              <w:t>.</w:t>
            </w:r>
          </w:p>
        </w:tc>
        <w:tc>
          <w:tcPr>
            <w:tcW w:w="3331" w:type="pct"/>
          </w:tcPr>
          <w:p w:rsidR="006724C6" w:rsidRPr="001B674F" w:rsidRDefault="006724C6" w:rsidP="0074551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B674F">
              <w:rPr>
                <w:rFonts w:ascii="Arial" w:hAnsi="Arial" w:cs="Arial"/>
              </w:rPr>
              <w:t>The analysis will consider the extent to which proposals provide full flexibility for the agency to deliver services via strategic partners who may be better equipped to provide child-centred responses.</w:t>
            </w:r>
          </w:p>
        </w:tc>
      </w:tr>
      <w:tr w:rsidR="008053CC" w:rsidRPr="001B674F" w:rsidTr="000C7BFE">
        <w:trPr>
          <w:cnfStyle w:val="000000100000" w:firstRow="0" w:lastRow="0" w:firstColumn="0" w:lastColumn="0" w:oddVBand="0" w:evenVBand="0" w:oddHBand="1" w:evenHBand="0" w:firstRowFirstColumn="0" w:firstRowLastColumn="0" w:lastRowFirstColumn="0" w:lastRowLastColumn="0"/>
          <w:trHeight w:val="1096"/>
        </w:trPr>
        <w:tc>
          <w:tcPr>
            <w:cnfStyle w:val="001000000000" w:firstRow="0" w:lastRow="0" w:firstColumn="1" w:lastColumn="0" w:oddVBand="0" w:evenVBand="0" w:oddHBand="0" w:evenHBand="0" w:firstRowFirstColumn="0" w:firstRowLastColumn="0" w:lastRowFirstColumn="0" w:lastRowLastColumn="0"/>
            <w:tcW w:w="1669" w:type="pct"/>
          </w:tcPr>
          <w:p w:rsidR="008053CC" w:rsidRPr="001B674F" w:rsidRDefault="00F25F98" w:rsidP="00901BF8">
            <w:pPr>
              <w:rPr>
                <w:rFonts w:ascii="Arial" w:hAnsi="Arial" w:cs="Arial"/>
                <w:b w:val="0"/>
              </w:rPr>
            </w:pPr>
            <w:r w:rsidRPr="001B674F">
              <w:rPr>
                <w:rFonts w:ascii="Arial" w:hAnsi="Arial" w:cs="Arial"/>
                <w:b w:val="0"/>
              </w:rPr>
              <w:t>Ensuring the legislation supports the Chief Executive as the single point of accountability.</w:t>
            </w:r>
          </w:p>
        </w:tc>
        <w:tc>
          <w:tcPr>
            <w:tcW w:w="3331" w:type="pct"/>
          </w:tcPr>
          <w:p w:rsidR="008053CC" w:rsidRPr="001B674F" w:rsidRDefault="008053CC" w:rsidP="00F25F9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B674F">
              <w:rPr>
                <w:rFonts w:ascii="Arial" w:hAnsi="Arial" w:cs="Arial"/>
              </w:rPr>
              <w:t xml:space="preserve">The analysis will consider the extent to which proposals enable the new operating model to ensure that accountability for making decisions and performing functions </w:t>
            </w:r>
            <w:r w:rsidR="00CF5BA9" w:rsidRPr="001B674F">
              <w:rPr>
                <w:rFonts w:ascii="Arial" w:hAnsi="Arial" w:cs="Arial"/>
              </w:rPr>
              <w:t xml:space="preserve">clearly </w:t>
            </w:r>
            <w:r w:rsidRPr="001B674F">
              <w:rPr>
                <w:rFonts w:ascii="Arial" w:hAnsi="Arial" w:cs="Arial"/>
              </w:rPr>
              <w:t xml:space="preserve">sits </w:t>
            </w:r>
            <w:r w:rsidR="00F25F98" w:rsidRPr="001B674F">
              <w:rPr>
                <w:rFonts w:ascii="Arial" w:hAnsi="Arial" w:cs="Arial"/>
              </w:rPr>
              <w:t>with the Chief Executive as the single point of accountability</w:t>
            </w:r>
            <w:r w:rsidRPr="001B674F">
              <w:rPr>
                <w:rFonts w:ascii="Arial" w:hAnsi="Arial" w:cs="Arial"/>
              </w:rPr>
              <w:t>.</w:t>
            </w:r>
          </w:p>
        </w:tc>
      </w:tr>
      <w:tr w:rsidR="008053CC" w:rsidRPr="001B674F" w:rsidTr="00867800">
        <w:tc>
          <w:tcPr>
            <w:cnfStyle w:val="001000000000" w:firstRow="0" w:lastRow="0" w:firstColumn="1" w:lastColumn="0" w:oddVBand="0" w:evenVBand="0" w:oddHBand="0" w:evenHBand="0" w:firstRowFirstColumn="0" w:firstRowLastColumn="0" w:lastRowFirstColumn="0" w:lastRowLastColumn="0"/>
            <w:tcW w:w="1669" w:type="pct"/>
            <w:shd w:val="clear" w:color="auto" w:fill="31849B" w:themeFill="accent5" w:themeFillShade="BF"/>
          </w:tcPr>
          <w:p w:rsidR="008053CC" w:rsidRPr="001B674F" w:rsidRDefault="008053CC" w:rsidP="00867800">
            <w:pPr>
              <w:rPr>
                <w:rFonts w:ascii="Arial" w:hAnsi="Arial" w:cs="Arial"/>
                <w:color w:val="FFFFFF" w:themeColor="background1"/>
              </w:rPr>
            </w:pPr>
            <w:r w:rsidRPr="001B674F">
              <w:rPr>
                <w:rFonts w:ascii="Arial" w:hAnsi="Arial" w:cs="Arial"/>
                <w:color w:val="FFFFFF" w:themeColor="background1"/>
              </w:rPr>
              <w:t>Additional criteria</w:t>
            </w:r>
          </w:p>
        </w:tc>
        <w:tc>
          <w:tcPr>
            <w:tcW w:w="3331" w:type="pct"/>
            <w:shd w:val="clear" w:color="auto" w:fill="31849B" w:themeFill="accent5" w:themeFillShade="BF"/>
          </w:tcPr>
          <w:p w:rsidR="008053CC" w:rsidRPr="001B674F" w:rsidRDefault="008053CC" w:rsidP="00867800">
            <w:pP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1B674F">
              <w:rPr>
                <w:rFonts w:ascii="Arial" w:hAnsi="Arial" w:cs="Arial"/>
                <w:b/>
                <w:color w:val="FFFFFF" w:themeColor="background1"/>
              </w:rPr>
              <w:t>How these additional criteria will be assessed</w:t>
            </w:r>
          </w:p>
        </w:tc>
      </w:tr>
      <w:tr w:rsidR="008053CC" w:rsidRPr="001B674F" w:rsidTr="00867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pct"/>
          </w:tcPr>
          <w:p w:rsidR="008053CC" w:rsidRPr="001B674F" w:rsidRDefault="008053CC" w:rsidP="00867800">
            <w:pPr>
              <w:rPr>
                <w:rFonts w:ascii="Arial" w:hAnsi="Arial" w:cs="Arial"/>
                <w:b w:val="0"/>
              </w:rPr>
            </w:pPr>
            <w:r w:rsidRPr="001B674F">
              <w:rPr>
                <w:rFonts w:ascii="Arial" w:hAnsi="Arial" w:cs="Arial"/>
                <w:b w:val="0"/>
              </w:rPr>
              <w:t>Durability</w:t>
            </w:r>
          </w:p>
        </w:tc>
        <w:tc>
          <w:tcPr>
            <w:tcW w:w="3331" w:type="pct"/>
          </w:tcPr>
          <w:p w:rsidR="008053CC" w:rsidRPr="001B674F" w:rsidRDefault="008053CC" w:rsidP="00867800">
            <w:pPr>
              <w:pStyle w:val="Bullet1"/>
              <w:numPr>
                <w:ilvl w:val="0"/>
                <w:numId w:val="0"/>
              </w:numPr>
              <w:ind w:left="34" w:right="170" w:hanging="34"/>
              <w:cnfStyle w:val="000000100000" w:firstRow="0" w:lastRow="0" w:firstColumn="0" w:lastColumn="0" w:oddVBand="0" w:evenVBand="0" w:oddHBand="1" w:evenHBand="0" w:firstRowFirstColumn="0" w:firstRowLastColumn="0" w:lastRowFirstColumn="0" w:lastRowLastColumn="0"/>
              <w:rPr>
                <w:rFonts w:ascii="Arial" w:hAnsi="Arial" w:cs="Arial"/>
              </w:rPr>
            </w:pPr>
            <w:r w:rsidRPr="001B674F">
              <w:rPr>
                <w:rFonts w:ascii="Arial" w:hAnsi="Arial" w:cs="Arial"/>
              </w:rPr>
              <w:t>The analysis will consider the extent to which proposals are likely to achieve sustained change in the direction sought and:</w:t>
            </w:r>
          </w:p>
          <w:p w:rsidR="008053CC" w:rsidRPr="001B674F" w:rsidRDefault="008053CC" w:rsidP="008053CC">
            <w:pPr>
              <w:pStyle w:val="Bullet1"/>
              <w:tabs>
                <w:tab w:val="num" w:pos="720"/>
              </w:tabs>
              <w:ind w:right="170"/>
              <w:cnfStyle w:val="000000100000" w:firstRow="0" w:lastRow="0" w:firstColumn="0" w:lastColumn="0" w:oddVBand="0" w:evenVBand="0" w:oddHBand="1" w:evenHBand="0" w:firstRowFirstColumn="0" w:firstRowLastColumn="0" w:lastRowFirstColumn="0" w:lastRowLastColumn="0"/>
              <w:rPr>
                <w:rFonts w:ascii="Arial" w:hAnsi="Arial" w:cs="Arial"/>
              </w:rPr>
            </w:pPr>
            <w:r w:rsidRPr="001B674F">
              <w:rPr>
                <w:rFonts w:ascii="Arial" w:hAnsi="Arial" w:cs="Arial"/>
              </w:rPr>
              <w:t>support the long-term transformation required to implement the new operating model for vulnerable children and young people</w:t>
            </w:r>
          </w:p>
          <w:p w:rsidR="008053CC" w:rsidRPr="001B674F" w:rsidRDefault="004D2B4B" w:rsidP="008053CC">
            <w:pPr>
              <w:pStyle w:val="Bullet1"/>
              <w:tabs>
                <w:tab w:val="num" w:pos="720"/>
              </w:tabs>
              <w:ind w:right="170"/>
              <w:cnfStyle w:val="000000100000" w:firstRow="0" w:lastRow="0" w:firstColumn="0" w:lastColumn="0" w:oddVBand="0" w:evenVBand="0" w:oddHBand="1" w:evenHBand="0" w:firstRowFirstColumn="0" w:firstRowLastColumn="0" w:lastRowFirstColumn="0" w:lastRowLastColumn="0"/>
              <w:rPr>
                <w:rFonts w:ascii="Arial" w:hAnsi="Arial" w:cs="Arial"/>
              </w:rPr>
            </w:pPr>
            <w:r w:rsidRPr="001B674F">
              <w:rPr>
                <w:rFonts w:ascii="Arial" w:hAnsi="Arial" w:cs="Arial"/>
              </w:rPr>
              <w:t>minimise the risk of</w:t>
            </w:r>
            <w:r w:rsidR="008053CC" w:rsidRPr="001B674F">
              <w:rPr>
                <w:rFonts w:ascii="Arial" w:hAnsi="Arial" w:cs="Arial"/>
              </w:rPr>
              <w:t xml:space="preserve"> foreclosing options to be considered in future design work</w:t>
            </w:r>
          </w:p>
          <w:p w:rsidR="008053CC" w:rsidRPr="001B674F" w:rsidRDefault="004D2B4B" w:rsidP="008053CC">
            <w:pPr>
              <w:pStyle w:val="Bullet1"/>
              <w:tabs>
                <w:tab w:val="num" w:pos="720"/>
              </w:tabs>
              <w:ind w:right="170"/>
              <w:cnfStyle w:val="000000100000" w:firstRow="0" w:lastRow="0" w:firstColumn="0" w:lastColumn="0" w:oddVBand="0" w:evenVBand="0" w:oddHBand="1" w:evenHBand="0" w:firstRowFirstColumn="0" w:firstRowLastColumn="0" w:lastRowFirstColumn="0" w:lastRowLastColumn="0"/>
              <w:rPr>
                <w:rFonts w:ascii="Arial" w:hAnsi="Arial" w:cs="Arial"/>
              </w:rPr>
            </w:pPr>
            <w:proofErr w:type="gramStart"/>
            <w:r w:rsidRPr="001B674F">
              <w:rPr>
                <w:rFonts w:ascii="Arial" w:hAnsi="Arial" w:cs="Arial"/>
              </w:rPr>
              <w:t>minimise</w:t>
            </w:r>
            <w:proofErr w:type="gramEnd"/>
            <w:r w:rsidRPr="001B674F">
              <w:rPr>
                <w:rFonts w:ascii="Arial" w:hAnsi="Arial" w:cs="Arial"/>
              </w:rPr>
              <w:t xml:space="preserve"> the risk of</w:t>
            </w:r>
            <w:r w:rsidR="008053CC" w:rsidRPr="001B674F">
              <w:rPr>
                <w:rFonts w:ascii="Arial" w:hAnsi="Arial" w:cs="Arial"/>
              </w:rPr>
              <w:t xml:space="preserve"> possible repeal and replacement due to future design work.</w:t>
            </w:r>
          </w:p>
        </w:tc>
      </w:tr>
      <w:tr w:rsidR="008053CC" w:rsidRPr="001B674F" w:rsidTr="00867800">
        <w:tc>
          <w:tcPr>
            <w:cnfStyle w:val="001000000000" w:firstRow="0" w:lastRow="0" w:firstColumn="1" w:lastColumn="0" w:oddVBand="0" w:evenVBand="0" w:oddHBand="0" w:evenHBand="0" w:firstRowFirstColumn="0" w:firstRowLastColumn="0" w:lastRowFirstColumn="0" w:lastRowLastColumn="0"/>
            <w:tcW w:w="1669" w:type="pct"/>
          </w:tcPr>
          <w:p w:rsidR="008053CC" w:rsidRPr="001B674F" w:rsidRDefault="008053CC" w:rsidP="00867800">
            <w:pPr>
              <w:pStyle w:val="Bullet1"/>
              <w:numPr>
                <w:ilvl w:val="0"/>
                <w:numId w:val="0"/>
              </w:numPr>
              <w:ind w:right="170"/>
              <w:rPr>
                <w:rFonts w:ascii="Arial" w:hAnsi="Arial" w:cs="Arial"/>
                <w:b w:val="0"/>
                <w:bCs w:val="0"/>
              </w:rPr>
            </w:pPr>
            <w:r w:rsidRPr="001B674F">
              <w:rPr>
                <w:rFonts w:ascii="Arial" w:hAnsi="Arial" w:cs="Arial"/>
                <w:b w:val="0"/>
                <w:bCs w:val="0"/>
              </w:rPr>
              <w:t xml:space="preserve">Risk management and safety </w:t>
            </w:r>
          </w:p>
        </w:tc>
        <w:tc>
          <w:tcPr>
            <w:tcW w:w="3331" w:type="pct"/>
          </w:tcPr>
          <w:p w:rsidR="008053CC" w:rsidRPr="001B674F" w:rsidRDefault="008053CC" w:rsidP="00867800">
            <w:pPr>
              <w:pStyle w:val="Bullet1"/>
              <w:numPr>
                <w:ilvl w:val="0"/>
                <w:numId w:val="0"/>
              </w:numPr>
              <w:ind w:left="34" w:right="170" w:hanging="34"/>
              <w:cnfStyle w:val="000000000000" w:firstRow="0" w:lastRow="0" w:firstColumn="0" w:lastColumn="0" w:oddVBand="0" w:evenVBand="0" w:oddHBand="0" w:evenHBand="0" w:firstRowFirstColumn="0" w:firstRowLastColumn="0" w:lastRowFirstColumn="0" w:lastRowLastColumn="0"/>
              <w:rPr>
                <w:rFonts w:ascii="Arial" w:hAnsi="Arial" w:cs="Arial"/>
              </w:rPr>
            </w:pPr>
            <w:r w:rsidRPr="001B674F">
              <w:rPr>
                <w:rFonts w:ascii="Arial" w:hAnsi="Arial" w:cs="Arial"/>
              </w:rPr>
              <w:t>The analysis will consider the extent to which proposals are likely to ensure:</w:t>
            </w:r>
          </w:p>
          <w:p w:rsidR="008053CC" w:rsidRPr="001B674F" w:rsidRDefault="008053CC" w:rsidP="008053CC">
            <w:pPr>
              <w:pStyle w:val="Bullet1"/>
              <w:ind w:right="170"/>
              <w:cnfStyle w:val="000000000000" w:firstRow="0" w:lastRow="0" w:firstColumn="0" w:lastColumn="0" w:oddVBand="0" w:evenVBand="0" w:oddHBand="0" w:evenHBand="0" w:firstRowFirstColumn="0" w:firstRowLastColumn="0" w:lastRowFirstColumn="0" w:lastRowLastColumn="0"/>
              <w:rPr>
                <w:rFonts w:ascii="Arial" w:hAnsi="Arial" w:cs="Arial"/>
              </w:rPr>
            </w:pPr>
            <w:r w:rsidRPr="001B674F">
              <w:rPr>
                <w:rFonts w:ascii="Arial" w:hAnsi="Arial" w:cs="Arial"/>
              </w:rPr>
              <w:t>that staff working with children, young people and their families are competent to do so</w:t>
            </w:r>
          </w:p>
          <w:p w:rsidR="003A5878" w:rsidRPr="001B674F" w:rsidRDefault="008053CC" w:rsidP="008053CC">
            <w:pPr>
              <w:pStyle w:val="Bullet1"/>
              <w:ind w:right="170"/>
              <w:cnfStyle w:val="000000000000" w:firstRow="0" w:lastRow="0" w:firstColumn="0" w:lastColumn="0" w:oddVBand="0" w:evenVBand="0" w:oddHBand="0" w:evenHBand="0" w:firstRowFirstColumn="0" w:firstRowLastColumn="0" w:lastRowFirstColumn="0" w:lastRowLastColumn="0"/>
              <w:rPr>
                <w:rFonts w:ascii="Arial" w:hAnsi="Arial" w:cs="Arial"/>
              </w:rPr>
            </w:pPr>
            <w:r w:rsidRPr="001B674F">
              <w:rPr>
                <w:rFonts w:ascii="Arial" w:hAnsi="Arial" w:cs="Arial"/>
              </w:rPr>
              <w:t xml:space="preserve">that the public has confidence that this is the case </w:t>
            </w:r>
          </w:p>
          <w:p w:rsidR="008053CC" w:rsidRPr="001B674F" w:rsidRDefault="003A5878" w:rsidP="008053CC">
            <w:pPr>
              <w:pStyle w:val="Bullet1"/>
              <w:ind w:right="170"/>
              <w:cnfStyle w:val="000000000000" w:firstRow="0" w:lastRow="0" w:firstColumn="0" w:lastColumn="0" w:oddVBand="0" w:evenVBand="0" w:oddHBand="0" w:evenHBand="0" w:firstRowFirstColumn="0" w:firstRowLastColumn="0" w:lastRowFirstColumn="0" w:lastRowLastColumn="0"/>
              <w:rPr>
                <w:rFonts w:ascii="Arial" w:hAnsi="Arial" w:cs="Arial"/>
              </w:rPr>
            </w:pPr>
            <w:r w:rsidRPr="001B674F">
              <w:rPr>
                <w:rFonts w:ascii="Arial" w:hAnsi="Arial" w:cs="Arial"/>
              </w:rPr>
              <w:t>that the public</w:t>
            </w:r>
            <w:r w:rsidR="00A14108" w:rsidRPr="001B674F">
              <w:rPr>
                <w:rFonts w:ascii="Arial" w:hAnsi="Arial" w:cs="Arial"/>
              </w:rPr>
              <w:t>, social workers and other professionals</w:t>
            </w:r>
            <w:r w:rsidRPr="001B674F">
              <w:rPr>
                <w:rFonts w:ascii="Arial" w:hAnsi="Arial" w:cs="Arial"/>
              </w:rPr>
              <w:t xml:space="preserve"> </w:t>
            </w:r>
            <w:r w:rsidR="008053CC" w:rsidRPr="001B674F">
              <w:rPr>
                <w:rFonts w:ascii="Arial" w:hAnsi="Arial" w:cs="Arial"/>
              </w:rPr>
              <w:t xml:space="preserve">are clear about </w:t>
            </w:r>
            <w:r w:rsidRPr="001B674F">
              <w:rPr>
                <w:rFonts w:ascii="Arial" w:hAnsi="Arial" w:cs="Arial"/>
              </w:rPr>
              <w:t>who has the</w:t>
            </w:r>
            <w:r w:rsidR="008053CC" w:rsidRPr="001B674F">
              <w:rPr>
                <w:rFonts w:ascii="Arial" w:hAnsi="Arial" w:cs="Arial"/>
              </w:rPr>
              <w:t xml:space="preserve"> authority to perform statutory functions</w:t>
            </w:r>
          </w:p>
          <w:p w:rsidR="008053CC" w:rsidRPr="001B674F" w:rsidRDefault="008053CC" w:rsidP="008053CC">
            <w:pPr>
              <w:pStyle w:val="Bullet1"/>
              <w:ind w:right="170"/>
              <w:cnfStyle w:val="000000000000" w:firstRow="0" w:lastRow="0" w:firstColumn="0" w:lastColumn="0" w:oddVBand="0" w:evenVBand="0" w:oddHBand="0" w:evenHBand="0" w:firstRowFirstColumn="0" w:firstRowLastColumn="0" w:lastRowFirstColumn="0" w:lastRowLastColumn="0"/>
              <w:rPr>
                <w:rFonts w:ascii="Arial" w:hAnsi="Arial" w:cs="Arial"/>
              </w:rPr>
            </w:pPr>
            <w:r w:rsidRPr="001B674F">
              <w:rPr>
                <w:rFonts w:ascii="Arial" w:hAnsi="Arial" w:cs="Arial"/>
              </w:rPr>
              <w:t>that the powers and duties set out in the CYPF Act are discharged appropriately</w:t>
            </w:r>
          </w:p>
          <w:p w:rsidR="008053CC" w:rsidRPr="001B674F" w:rsidRDefault="008053CC" w:rsidP="008053CC">
            <w:pPr>
              <w:pStyle w:val="Bullet1"/>
              <w:ind w:right="170"/>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1B674F">
              <w:rPr>
                <w:rFonts w:ascii="Arial" w:hAnsi="Arial" w:cs="Arial"/>
              </w:rPr>
              <w:lastRenderedPageBreak/>
              <w:t>that</w:t>
            </w:r>
            <w:proofErr w:type="gramEnd"/>
            <w:r w:rsidRPr="001B674F">
              <w:rPr>
                <w:rFonts w:ascii="Arial" w:hAnsi="Arial" w:cs="Arial"/>
              </w:rPr>
              <w:t xml:space="preserve"> checks and balances within the system are strengthened.</w:t>
            </w:r>
          </w:p>
        </w:tc>
      </w:tr>
      <w:tr w:rsidR="008053CC" w:rsidRPr="001B674F" w:rsidTr="00867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pct"/>
          </w:tcPr>
          <w:p w:rsidR="008053CC" w:rsidRPr="001B674F" w:rsidRDefault="00901BF8" w:rsidP="00901BF8">
            <w:pPr>
              <w:pStyle w:val="Bullet1"/>
              <w:numPr>
                <w:ilvl w:val="0"/>
                <w:numId w:val="0"/>
              </w:numPr>
              <w:ind w:right="170"/>
              <w:rPr>
                <w:rFonts w:ascii="Arial" w:hAnsi="Arial" w:cs="Arial"/>
                <w:b w:val="0"/>
                <w:bCs w:val="0"/>
              </w:rPr>
            </w:pPr>
            <w:r w:rsidRPr="001B674F">
              <w:rPr>
                <w:rFonts w:ascii="Arial" w:hAnsi="Arial" w:cs="Arial"/>
                <w:b w:val="0"/>
                <w:bCs w:val="0"/>
              </w:rPr>
              <w:lastRenderedPageBreak/>
              <w:t xml:space="preserve">Promoting </w:t>
            </w:r>
            <w:r w:rsidR="008053CC" w:rsidRPr="001B674F">
              <w:rPr>
                <w:rFonts w:ascii="Arial" w:hAnsi="Arial" w:cs="Arial"/>
                <w:b w:val="0"/>
                <w:bCs w:val="0"/>
              </w:rPr>
              <w:t>the professional competency of social workers</w:t>
            </w:r>
          </w:p>
        </w:tc>
        <w:tc>
          <w:tcPr>
            <w:tcW w:w="3331" w:type="pct"/>
          </w:tcPr>
          <w:p w:rsidR="008053CC" w:rsidRPr="001B674F" w:rsidRDefault="008053CC" w:rsidP="00867800">
            <w:pPr>
              <w:cnfStyle w:val="000000100000" w:firstRow="0" w:lastRow="0" w:firstColumn="0" w:lastColumn="0" w:oddVBand="0" w:evenVBand="0" w:oddHBand="1" w:evenHBand="0" w:firstRowFirstColumn="0" w:firstRowLastColumn="0" w:lastRowFirstColumn="0" w:lastRowLastColumn="0"/>
              <w:rPr>
                <w:rFonts w:ascii="Arial" w:hAnsi="Arial" w:cs="Arial"/>
                <w:kern w:val="28"/>
                <w:lang w:val="en-US"/>
              </w:rPr>
            </w:pPr>
            <w:r w:rsidRPr="001B674F">
              <w:rPr>
                <w:rFonts w:ascii="Arial" w:hAnsi="Arial" w:cs="Arial"/>
              </w:rPr>
              <w:t xml:space="preserve">The analysis will consider the impact of the proposal on the </w:t>
            </w:r>
            <w:r w:rsidRPr="001B674F">
              <w:rPr>
                <w:rFonts w:ascii="Arial" w:hAnsi="Arial" w:cs="Arial"/>
                <w:kern w:val="28"/>
                <w:lang w:val="en-US"/>
              </w:rPr>
              <w:t>role and competency of social workers and the impact the change could have on the social work profession.</w:t>
            </w:r>
          </w:p>
        </w:tc>
      </w:tr>
    </w:tbl>
    <w:p w:rsidR="008053CC" w:rsidRPr="001B674F" w:rsidRDefault="008053CC" w:rsidP="000C7BFE">
      <w:pPr>
        <w:spacing w:before="240"/>
        <w:rPr>
          <w:rFonts w:ascii="Arial" w:hAnsi="Arial" w:cs="Arial"/>
          <w:lang w:val="en-US"/>
        </w:rPr>
      </w:pPr>
      <w:r w:rsidRPr="001B674F">
        <w:rPr>
          <w:rFonts w:ascii="Arial" w:hAnsi="Arial" w:cs="Arial"/>
          <w:lang w:val="en-US"/>
        </w:rPr>
        <w:t xml:space="preserve">The analysis considered the Policy Framework for Occupational Regulation as adopted by Cabinet </w:t>
      </w:r>
      <w:r w:rsidR="00901BF8" w:rsidRPr="001B674F">
        <w:rPr>
          <w:rFonts w:ascii="Arial" w:hAnsi="Arial" w:cs="Arial"/>
          <w:lang w:val="en-US"/>
        </w:rPr>
        <w:t>[</w:t>
      </w:r>
      <w:r w:rsidRPr="001B674F">
        <w:rPr>
          <w:rFonts w:ascii="Arial" w:hAnsi="Arial" w:cs="Arial"/>
          <w:lang w:val="en-US"/>
        </w:rPr>
        <w:t>CO (99) 6 Policy Framework for Occupational Regulation 08/06/1999</w:t>
      </w:r>
      <w:r w:rsidR="00901BF8" w:rsidRPr="001B674F">
        <w:rPr>
          <w:rFonts w:ascii="Arial" w:hAnsi="Arial" w:cs="Arial"/>
          <w:lang w:val="en-US"/>
        </w:rPr>
        <w:t xml:space="preserve">)]. </w:t>
      </w:r>
      <w:r w:rsidRPr="001B674F">
        <w:rPr>
          <w:rFonts w:ascii="Arial" w:hAnsi="Arial" w:cs="Arial"/>
          <w:lang w:val="en-US"/>
        </w:rPr>
        <w:t>The proposals are broadly in line with the intent of the framework which requires that risks to the public from incompetent or reckless practice are managed, with a preference for non-regulatory means if these are sufficient.</w:t>
      </w:r>
      <w:r w:rsidR="00695296" w:rsidRPr="001B674F">
        <w:rPr>
          <w:rFonts w:ascii="Arial" w:hAnsi="Arial" w:cs="Arial"/>
          <w:lang w:val="en-US"/>
        </w:rPr>
        <w:t xml:space="preserve"> </w:t>
      </w:r>
      <w:r w:rsidR="00BD4467" w:rsidRPr="001B674F">
        <w:rPr>
          <w:rFonts w:ascii="Arial" w:hAnsi="Arial" w:cs="Arial"/>
          <w:lang w:val="en-US"/>
        </w:rPr>
        <w:t xml:space="preserve">Managing these risks </w:t>
      </w:r>
      <w:r w:rsidRPr="001B674F">
        <w:rPr>
          <w:rFonts w:ascii="Arial" w:hAnsi="Arial" w:cs="Arial"/>
          <w:lang w:val="en-US"/>
        </w:rPr>
        <w:t xml:space="preserve">are a key criteria for our analysis. </w:t>
      </w:r>
    </w:p>
    <w:p w:rsidR="005969D9" w:rsidRPr="001B674F" w:rsidRDefault="005969D9" w:rsidP="000C7BFE">
      <w:pPr>
        <w:spacing w:before="240"/>
        <w:rPr>
          <w:rFonts w:ascii="Arial" w:hAnsi="Arial" w:cs="Arial"/>
          <w:lang w:val="en-US"/>
        </w:rPr>
      </w:pPr>
      <w:r w:rsidRPr="001B674F">
        <w:rPr>
          <w:rFonts w:ascii="Arial" w:hAnsi="Arial" w:cs="Arial"/>
          <w:lang w:val="en-US"/>
        </w:rPr>
        <w:t>Our analysis has equally weighted the criteria.</w:t>
      </w:r>
    </w:p>
    <w:p w:rsidR="00CC734A" w:rsidRPr="001B674F" w:rsidRDefault="004D2B4B" w:rsidP="000C7BFE">
      <w:pPr>
        <w:spacing w:before="240"/>
        <w:rPr>
          <w:rFonts w:ascii="Arial" w:hAnsi="Arial" w:cs="Arial"/>
          <w:lang w:val="en-US"/>
        </w:rPr>
      </w:pPr>
      <w:r w:rsidRPr="001B674F">
        <w:rPr>
          <w:rFonts w:ascii="Arial" w:hAnsi="Arial" w:cs="Arial"/>
          <w:lang w:val="en-US"/>
        </w:rPr>
        <w:t>Note that f</w:t>
      </w:r>
      <w:r w:rsidR="00CC734A" w:rsidRPr="001B674F">
        <w:rPr>
          <w:rFonts w:ascii="Arial" w:hAnsi="Arial" w:cs="Arial"/>
          <w:lang w:val="en-US"/>
        </w:rPr>
        <w:t>or the purposes of this analysis</w:t>
      </w:r>
      <w:r w:rsidR="007616AF" w:rsidRPr="001B674F">
        <w:rPr>
          <w:rFonts w:ascii="Arial" w:hAnsi="Arial" w:cs="Arial"/>
          <w:lang w:val="en-US"/>
        </w:rPr>
        <w:t>,</w:t>
      </w:r>
      <w:r w:rsidR="00CC734A" w:rsidRPr="001B674F">
        <w:rPr>
          <w:rFonts w:ascii="Arial" w:hAnsi="Arial" w:cs="Arial"/>
          <w:lang w:val="en-US"/>
        </w:rPr>
        <w:t xml:space="preserve"> </w:t>
      </w:r>
      <w:r w:rsidRPr="001B674F">
        <w:rPr>
          <w:rFonts w:ascii="Arial" w:hAnsi="Arial" w:cs="Arial"/>
          <w:lang w:val="en-US"/>
        </w:rPr>
        <w:t>it has not been possible</w:t>
      </w:r>
      <w:r w:rsidR="006724C6" w:rsidRPr="001B674F">
        <w:rPr>
          <w:rFonts w:ascii="Arial" w:hAnsi="Arial" w:cs="Arial"/>
          <w:lang w:val="en-US"/>
        </w:rPr>
        <w:t xml:space="preserve"> to consider</w:t>
      </w:r>
      <w:r w:rsidR="00901BF8" w:rsidRPr="001B674F">
        <w:rPr>
          <w:rFonts w:ascii="Arial" w:hAnsi="Arial" w:cs="Arial"/>
          <w:lang w:val="en-US"/>
        </w:rPr>
        <w:t>,</w:t>
      </w:r>
      <w:r w:rsidR="006724C6" w:rsidRPr="001B674F">
        <w:rPr>
          <w:rFonts w:ascii="Arial" w:hAnsi="Arial" w:cs="Arial"/>
          <w:lang w:val="en-US"/>
        </w:rPr>
        <w:t xml:space="preserve"> on a provision-by-provision basis</w:t>
      </w:r>
      <w:r w:rsidR="00901BF8" w:rsidRPr="001B674F">
        <w:rPr>
          <w:rFonts w:ascii="Arial" w:hAnsi="Arial" w:cs="Arial"/>
          <w:lang w:val="en-US"/>
        </w:rPr>
        <w:t>,</w:t>
      </w:r>
      <w:r w:rsidR="006724C6" w:rsidRPr="001B674F">
        <w:rPr>
          <w:rFonts w:ascii="Arial" w:hAnsi="Arial" w:cs="Arial"/>
          <w:lang w:val="en-US"/>
        </w:rPr>
        <w:t xml:space="preserve"> whether particular function</w:t>
      </w:r>
      <w:r w:rsidR="0074551C" w:rsidRPr="001B674F">
        <w:rPr>
          <w:rFonts w:ascii="Arial" w:hAnsi="Arial" w:cs="Arial"/>
          <w:lang w:val="en-US"/>
        </w:rPr>
        <w:t>s</w:t>
      </w:r>
      <w:r w:rsidR="006724C6" w:rsidRPr="001B674F">
        <w:rPr>
          <w:rFonts w:ascii="Arial" w:hAnsi="Arial" w:cs="Arial"/>
          <w:lang w:val="en-US"/>
        </w:rPr>
        <w:t xml:space="preserve"> should be reserved for social workers</w:t>
      </w:r>
      <w:r w:rsidR="00F476E2" w:rsidRPr="001B674F">
        <w:rPr>
          <w:rFonts w:ascii="Arial" w:hAnsi="Arial" w:cs="Arial"/>
          <w:lang w:val="en-US"/>
        </w:rPr>
        <w:t>; both because of the time constraints and</w:t>
      </w:r>
      <w:r w:rsidR="006724C6" w:rsidRPr="001B674F">
        <w:rPr>
          <w:rFonts w:ascii="Arial" w:hAnsi="Arial" w:cs="Arial"/>
          <w:lang w:val="en-US"/>
        </w:rPr>
        <w:t xml:space="preserve"> </w:t>
      </w:r>
      <w:r w:rsidR="00F476E2" w:rsidRPr="001B674F">
        <w:rPr>
          <w:rFonts w:ascii="Arial" w:hAnsi="Arial" w:cs="Arial"/>
          <w:lang w:val="en-US"/>
        </w:rPr>
        <w:t xml:space="preserve">because detailed design </w:t>
      </w:r>
      <w:r w:rsidR="007B57C2">
        <w:rPr>
          <w:rFonts w:ascii="Arial" w:hAnsi="Arial" w:cs="Arial"/>
          <w:lang w:val="en-US"/>
        </w:rPr>
        <w:t xml:space="preserve">has </w:t>
      </w:r>
      <w:r w:rsidR="00F476E2" w:rsidRPr="001B674F">
        <w:rPr>
          <w:rFonts w:ascii="Arial" w:hAnsi="Arial" w:cs="Arial"/>
          <w:lang w:val="en-US"/>
        </w:rPr>
        <w:t xml:space="preserve">not yet been completed. </w:t>
      </w:r>
      <w:r w:rsidR="006724C6" w:rsidRPr="001B674F">
        <w:rPr>
          <w:rFonts w:ascii="Arial" w:hAnsi="Arial" w:cs="Arial"/>
          <w:lang w:val="en-US"/>
        </w:rPr>
        <w:t>It is possible that some</w:t>
      </w:r>
      <w:r w:rsidR="007616AF" w:rsidRPr="001B674F">
        <w:rPr>
          <w:rFonts w:ascii="Arial" w:hAnsi="Arial" w:cs="Arial"/>
          <w:lang w:val="en-US"/>
        </w:rPr>
        <w:t xml:space="preserve"> functions may be reserved for social workers in the new operating model</w:t>
      </w:r>
      <w:r w:rsidR="00901BF8" w:rsidRPr="001B674F">
        <w:rPr>
          <w:rFonts w:ascii="Arial" w:hAnsi="Arial" w:cs="Arial"/>
          <w:lang w:val="en-US"/>
        </w:rPr>
        <w:t>,</w:t>
      </w:r>
      <w:r w:rsidR="006724C6" w:rsidRPr="001B674F">
        <w:rPr>
          <w:rFonts w:ascii="Arial" w:hAnsi="Arial" w:cs="Arial"/>
          <w:lang w:val="en-US"/>
        </w:rPr>
        <w:t xml:space="preserve"> notwithstanding the power to delegate more widely</w:t>
      </w:r>
      <w:r w:rsidR="0074551C" w:rsidRPr="001B674F">
        <w:rPr>
          <w:rFonts w:ascii="Arial" w:hAnsi="Arial" w:cs="Arial"/>
          <w:lang w:val="en-US"/>
        </w:rPr>
        <w:t>.</w:t>
      </w:r>
      <w:r w:rsidR="007616AF" w:rsidRPr="001B674F">
        <w:rPr>
          <w:rFonts w:ascii="Arial" w:hAnsi="Arial" w:cs="Arial"/>
          <w:lang w:val="en-US"/>
        </w:rPr>
        <w:t xml:space="preserve"> </w:t>
      </w:r>
    </w:p>
    <w:p w:rsidR="008053CC" w:rsidRPr="001B674F" w:rsidRDefault="008053CC" w:rsidP="008053CC">
      <w:pPr>
        <w:pStyle w:val="Heading2"/>
        <w:rPr>
          <w:rFonts w:ascii="Arial" w:hAnsi="Arial" w:cs="Arial"/>
        </w:rPr>
      </w:pPr>
      <w:r w:rsidRPr="001B674F">
        <w:rPr>
          <w:rFonts w:ascii="Arial" w:hAnsi="Arial" w:cs="Arial"/>
        </w:rPr>
        <w:t>Impact</w:t>
      </w:r>
    </w:p>
    <w:p w:rsidR="00490C17" w:rsidRPr="001B674F" w:rsidRDefault="00490C17" w:rsidP="008053CC">
      <w:pPr>
        <w:rPr>
          <w:rFonts w:ascii="Arial" w:hAnsi="Arial" w:cs="Arial"/>
        </w:rPr>
      </w:pPr>
      <w:r w:rsidRPr="001B674F">
        <w:rPr>
          <w:rFonts w:ascii="Arial" w:hAnsi="Arial" w:cs="Arial"/>
        </w:rPr>
        <w:t xml:space="preserve">The impact of the proposal depends to a large degree on the detailed design of the new operating model, which will determine details of future roles, responsibilities, services and investment. This design work has not yet been completed and the proposal is primarily </w:t>
      </w:r>
      <w:r w:rsidR="007616AF" w:rsidRPr="001B674F">
        <w:rPr>
          <w:rFonts w:ascii="Arial" w:hAnsi="Arial" w:cs="Arial"/>
        </w:rPr>
        <w:t xml:space="preserve">intended to be </w:t>
      </w:r>
      <w:r w:rsidRPr="001B674F">
        <w:rPr>
          <w:rFonts w:ascii="Arial" w:hAnsi="Arial" w:cs="Arial"/>
        </w:rPr>
        <w:t>enabling. Because of this, detailed analysis of the impacts and costs of each option have not been undertaken.</w:t>
      </w:r>
      <w:r w:rsidR="00B11262" w:rsidRPr="001B674F">
        <w:rPr>
          <w:rFonts w:ascii="Arial" w:hAnsi="Arial" w:cs="Arial"/>
        </w:rPr>
        <w:t xml:space="preserve"> Detailed design will need to work through the impacts of particular changes on the </w:t>
      </w:r>
      <w:r w:rsidR="007616AF" w:rsidRPr="001B674F">
        <w:rPr>
          <w:rFonts w:ascii="Arial" w:hAnsi="Arial" w:cs="Arial"/>
        </w:rPr>
        <w:t>different individuals, agencies</w:t>
      </w:r>
      <w:r w:rsidR="00B11262" w:rsidRPr="001B674F">
        <w:rPr>
          <w:rFonts w:ascii="Arial" w:hAnsi="Arial" w:cs="Arial"/>
        </w:rPr>
        <w:t xml:space="preserve"> and processes involved.</w:t>
      </w:r>
    </w:p>
    <w:p w:rsidR="008053CC" w:rsidRPr="001B674F" w:rsidRDefault="008053CC" w:rsidP="008053CC">
      <w:pPr>
        <w:rPr>
          <w:rFonts w:ascii="Arial" w:hAnsi="Arial" w:cs="Arial"/>
        </w:rPr>
      </w:pPr>
      <w:r w:rsidRPr="001B674F">
        <w:rPr>
          <w:rFonts w:ascii="Arial" w:hAnsi="Arial" w:cs="Arial"/>
        </w:rPr>
        <w:t>Each of the options considered below would enable</w:t>
      </w:r>
      <w:r w:rsidR="003A5878" w:rsidRPr="001B674F">
        <w:rPr>
          <w:rFonts w:ascii="Arial" w:hAnsi="Arial" w:cs="Arial"/>
        </w:rPr>
        <w:t>,</w:t>
      </w:r>
      <w:r w:rsidRPr="001B674F">
        <w:rPr>
          <w:rFonts w:ascii="Arial" w:hAnsi="Arial" w:cs="Arial"/>
        </w:rPr>
        <w:t xml:space="preserve"> to a lesser or greater extent</w:t>
      </w:r>
      <w:r w:rsidR="003A5878" w:rsidRPr="001B674F">
        <w:rPr>
          <w:rFonts w:ascii="Arial" w:hAnsi="Arial" w:cs="Arial"/>
        </w:rPr>
        <w:t>,</w:t>
      </w:r>
      <w:r w:rsidRPr="001B674F">
        <w:rPr>
          <w:rFonts w:ascii="Arial" w:hAnsi="Arial" w:cs="Arial"/>
        </w:rPr>
        <w:t xml:space="preserve"> a broader range of professionals to perform specified functions under the Act. </w:t>
      </w:r>
      <w:r w:rsidR="003A5878" w:rsidRPr="001B674F">
        <w:rPr>
          <w:rFonts w:ascii="Arial" w:hAnsi="Arial" w:cs="Arial"/>
        </w:rPr>
        <w:t>This</w:t>
      </w:r>
      <w:r w:rsidRPr="001B674F">
        <w:rPr>
          <w:rFonts w:ascii="Arial" w:hAnsi="Arial" w:cs="Arial"/>
        </w:rPr>
        <w:t xml:space="preserve"> would have the following common </w:t>
      </w:r>
      <w:r w:rsidR="007616AF" w:rsidRPr="001B674F">
        <w:rPr>
          <w:rFonts w:ascii="Arial" w:hAnsi="Arial" w:cs="Arial"/>
        </w:rPr>
        <w:t xml:space="preserve">high-level </w:t>
      </w:r>
      <w:r w:rsidRPr="001B674F">
        <w:rPr>
          <w:rFonts w:ascii="Arial" w:hAnsi="Arial" w:cs="Arial"/>
        </w:rPr>
        <w:t>impacts</w:t>
      </w:r>
      <w:r w:rsidR="00A4000C" w:rsidRPr="001B674F">
        <w:rPr>
          <w:rFonts w:ascii="Arial" w:hAnsi="Arial" w:cs="Arial"/>
        </w:rPr>
        <w:t>.</w:t>
      </w:r>
    </w:p>
    <w:p w:rsidR="00A4000C" w:rsidRPr="001B674F" w:rsidRDefault="00A4000C" w:rsidP="00A4000C">
      <w:pPr>
        <w:pStyle w:val="TableHeading1"/>
        <w:framePr w:hSpace="0" w:wrap="auto" w:vAnchor="margin" w:hAnchor="text" w:yAlign="inline"/>
        <w:rPr>
          <w:rFonts w:ascii="Arial" w:hAnsi="Arial" w:cs="Arial"/>
        </w:rPr>
      </w:pPr>
      <w:r w:rsidRPr="001B674F">
        <w:rPr>
          <w:rFonts w:ascii="Arial" w:hAnsi="Arial" w:cs="Arial"/>
        </w:rPr>
        <w:t>Economic</w:t>
      </w:r>
    </w:p>
    <w:p w:rsidR="00A4000C" w:rsidRPr="001B674F" w:rsidRDefault="00A4000C" w:rsidP="00A4000C">
      <w:pPr>
        <w:rPr>
          <w:rFonts w:ascii="Arial" w:hAnsi="Arial" w:cs="Arial"/>
        </w:rPr>
      </w:pPr>
      <w:r w:rsidRPr="001B674F">
        <w:rPr>
          <w:rFonts w:ascii="Arial" w:hAnsi="Arial" w:cs="Arial"/>
        </w:rPr>
        <w:t>C</w:t>
      </w:r>
      <w:r w:rsidR="0095001D" w:rsidRPr="001B674F">
        <w:rPr>
          <w:rFonts w:ascii="Arial" w:hAnsi="Arial" w:cs="Arial"/>
        </w:rPr>
        <w:t>hild, Youth and Family</w:t>
      </w:r>
      <w:r w:rsidRPr="001B674F">
        <w:rPr>
          <w:rFonts w:ascii="Arial" w:hAnsi="Arial" w:cs="Arial"/>
        </w:rPr>
        <w:t xml:space="preserve"> </w:t>
      </w:r>
      <w:proofErr w:type="gramStart"/>
      <w:r w:rsidRPr="001B674F">
        <w:rPr>
          <w:rFonts w:ascii="Arial" w:hAnsi="Arial" w:cs="Arial"/>
        </w:rPr>
        <w:t>is</w:t>
      </w:r>
      <w:proofErr w:type="gramEnd"/>
      <w:r w:rsidRPr="001B674F">
        <w:rPr>
          <w:rFonts w:ascii="Arial" w:hAnsi="Arial" w:cs="Arial"/>
        </w:rPr>
        <w:t xml:space="preserve"> the major employer of social workers</w:t>
      </w:r>
      <w:r w:rsidR="00EB5EBC" w:rsidRPr="001B674F">
        <w:rPr>
          <w:rFonts w:ascii="Arial" w:hAnsi="Arial" w:cs="Arial"/>
        </w:rPr>
        <w:t>, employing around 40 percent of New Zealand social workers</w:t>
      </w:r>
      <w:r w:rsidRPr="001B674F">
        <w:rPr>
          <w:rFonts w:ascii="Arial" w:hAnsi="Arial" w:cs="Arial"/>
        </w:rPr>
        <w:t>. While this is not expected to change in the near term, the</w:t>
      </w:r>
      <w:r w:rsidR="00F476E2" w:rsidRPr="001B674F">
        <w:rPr>
          <w:rFonts w:ascii="Arial" w:hAnsi="Arial" w:cs="Arial"/>
        </w:rPr>
        <w:t xml:space="preserve"> proposal could enable the</w:t>
      </w:r>
      <w:r w:rsidRPr="001B674F">
        <w:rPr>
          <w:rFonts w:ascii="Arial" w:hAnsi="Arial" w:cs="Arial"/>
        </w:rPr>
        <w:t xml:space="preserve"> agency </w:t>
      </w:r>
      <w:r w:rsidR="00F476E2" w:rsidRPr="001B674F">
        <w:rPr>
          <w:rFonts w:ascii="Arial" w:hAnsi="Arial" w:cs="Arial"/>
        </w:rPr>
        <w:t xml:space="preserve">to </w:t>
      </w:r>
      <w:r w:rsidRPr="001B674F">
        <w:rPr>
          <w:rFonts w:ascii="Arial" w:hAnsi="Arial" w:cs="Arial"/>
        </w:rPr>
        <w:t>employ</w:t>
      </w:r>
      <w:r w:rsidR="00F476E2" w:rsidRPr="001B674F">
        <w:rPr>
          <w:rFonts w:ascii="Arial" w:hAnsi="Arial" w:cs="Arial"/>
        </w:rPr>
        <w:t xml:space="preserve"> more,</w:t>
      </w:r>
      <w:r w:rsidRPr="001B674F">
        <w:rPr>
          <w:rFonts w:ascii="Arial" w:hAnsi="Arial" w:cs="Arial"/>
        </w:rPr>
        <w:t xml:space="preserve"> or contract more to</w:t>
      </w:r>
      <w:r w:rsidR="00F476E2" w:rsidRPr="001B674F">
        <w:rPr>
          <w:rFonts w:ascii="Arial" w:hAnsi="Arial" w:cs="Arial"/>
        </w:rPr>
        <w:t>,</w:t>
      </w:r>
      <w:r w:rsidRPr="001B674F">
        <w:rPr>
          <w:rFonts w:ascii="Arial" w:hAnsi="Arial" w:cs="Arial"/>
        </w:rPr>
        <w:t xml:space="preserve"> other professionals. This could increase demand for those professionals and potentially reduce the demand for social workers. </w:t>
      </w:r>
      <w:r w:rsidR="00F476E2" w:rsidRPr="001B674F">
        <w:rPr>
          <w:rFonts w:ascii="Arial" w:hAnsi="Arial" w:cs="Arial"/>
        </w:rPr>
        <w:t>However, t</w:t>
      </w:r>
      <w:r w:rsidRPr="001B674F">
        <w:rPr>
          <w:rFonts w:ascii="Arial" w:hAnsi="Arial" w:cs="Arial"/>
        </w:rPr>
        <w:t>he</w:t>
      </w:r>
      <w:r w:rsidR="00F476E2" w:rsidRPr="001B674F">
        <w:rPr>
          <w:rFonts w:ascii="Arial" w:hAnsi="Arial" w:cs="Arial"/>
        </w:rPr>
        <w:t xml:space="preserve"> wider reform</w:t>
      </w:r>
      <w:r w:rsidRPr="001B674F">
        <w:rPr>
          <w:rFonts w:ascii="Arial" w:hAnsi="Arial" w:cs="Arial"/>
        </w:rPr>
        <w:t xml:space="preserve"> </w:t>
      </w:r>
      <w:r w:rsidR="00F476E2" w:rsidRPr="001B674F">
        <w:rPr>
          <w:rFonts w:ascii="Arial" w:hAnsi="Arial" w:cs="Arial"/>
        </w:rPr>
        <w:t xml:space="preserve">is expected to somewhat expand the </w:t>
      </w:r>
      <w:r w:rsidRPr="001B674F">
        <w:rPr>
          <w:rFonts w:ascii="Arial" w:hAnsi="Arial" w:cs="Arial"/>
        </w:rPr>
        <w:t xml:space="preserve">overall market for services to </w:t>
      </w:r>
      <w:r w:rsidR="001B674F">
        <w:rPr>
          <w:rFonts w:ascii="Arial" w:hAnsi="Arial" w:cs="Arial"/>
        </w:rPr>
        <w:t>vulnerable children and young people</w:t>
      </w:r>
      <w:r w:rsidR="00F476E2" w:rsidRPr="001B674F">
        <w:rPr>
          <w:rFonts w:ascii="Arial" w:hAnsi="Arial" w:cs="Arial"/>
        </w:rPr>
        <w:t>. This could</w:t>
      </w:r>
      <w:r w:rsidRPr="001B674F">
        <w:rPr>
          <w:rFonts w:ascii="Arial" w:hAnsi="Arial" w:cs="Arial"/>
        </w:rPr>
        <w:t xml:space="preserve"> potentially balanc</w:t>
      </w:r>
      <w:r w:rsidR="00755551">
        <w:rPr>
          <w:rFonts w:ascii="Arial" w:hAnsi="Arial" w:cs="Arial"/>
        </w:rPr>
        <w:t>e</w:t>
      </w:r>
      <w:r w:rsidRPr="001B674F">
        <w:rPr>
          <w:rFonts w:ascii="Arial" w:hAnsi="Arial" w:cs="Arial"/>
        </w:rPr>
        <w:t xml:space="preserve"> </w:t>
      </w:r>
      <w:r w:rsidR="003D3A19" w:rsidRPr="001B674F">
        <w:rPr>
          <w:rFonts w:ascii="Arial" w:hAnsi="Arial" w:cs="Arial"/>
        </w:rPr>
        <w:t>out</w:t>
      </w:r>
      <w:r w:rsidR="00F476E2" w:rsidRPr="001B674F">
        <w:rPr>
          <w:rFonts w:ascii="Arial" w:hAnsi="Arial" w:cs="Arial"/>
        </w:rPr>
        <w:t xml:space="preserve"> or perhaps lead to an increase in demand for social workers</w:t>
      </w:r>
      <w:r w:rsidRPr="001B674F">
        <w:rPr>
          <w:rFonts w:ascii="Arial" w:hAnsi="Arial" w:cs="Arial"/>
        </w:rPr>
        <w:t xml:space="preserve">. </w:t>
      </w:r>
    </w:p>
    <w:p w:rsidR="00A4000C" w:rsidRPr="001B674F" w:rsidRDefault="00A4000C" w:rsidP="00A4000C">
      <w:pPr>
        <w:pStyle w:val="TableHeading1"/>
        <w:framePr w:hSpace="0" w:wrap="auto" w:vAnchor="margin" w:hAnchor="text" w:yAlign="inline"/>
        <w:rPr>
          <w:rFonts w:ascii="Arial" w:hAnsi="Arial" w:cs="Arial"/>
        </w:rPr>
      </w:pPr>
      <w:r w:rsidRPr="001B674F">
        <w:rPr>
          <w:rFonts w:ascii="Arial" w:hAnsi="Arial" w:cs="Arial"/>
        </w:rPr>
        <w:t>Fiscal</w:t>
      </w:r>
    </w:p>
    <w:p w:rsidR="00A4000C" w:rsidRPr="001B674F" w:rsidRDefault="00CB5F49" w:rsidP="00A4000C">
      <w:pPr>
        <w:rPr>
          <w:rFonts w:ascii="Arial" w:hAnsi="Arial" w:cs="Arial"/>
        </w:rPr>
      </w:pPr>
      <w:r w:rsidRPr="001B674F">
        <w:rPr>
          <w:rFonts w:ascii="Arial" w:hAnsi="Arial" w:cs="Arial"/>
        </w:rPr>
        <w:t xml:space="preserve">Utilising the skills of </w:t>
      </w:r>
      <w:r w:rsidR="00A4000C" w:rsidRPr="001B674F">
        <w:rPr>
          <w:rFonts w:ascii="Arial" w:hAnsi="Arial" w:cs="Arial"/>
        </w:rPr>
        <w:t xml:space="preserve">a wider range of professionals could </w:t>
      </w:r>
      <w:r w:rsidR="0095001D" w:rsidRPr="001B674F">
        <w:rPr>
          <w:rFonts w:ascii="Arial" w:hAnsi="Arial" w:cs="Arial"/>
        </w:rPr>
        <w:t>result in significant costs</w:t>
      </w:r>
      <w:r w:rsidR="00A4000C" w:rsidRPr="001B674F">
        <w:rPr>
          <w:rFonts w:ascii="Arial" w:hAnsi="Arial" w:cs="Arial"/>
        </w:rPr>
        <w:t xml:space="preserve"> if more of them were </w:t>
      </w:r>
      <w:r w:rsidR="00F476E2" w:rsidRPr="001B674F">
        <w:rPr>
          <w:rFonts w:ascii="Arial" w:hAnsi="Arial" w:cs="Arial"/>
        </w:rPr>
        <w:t>more costly</w:t>
      </w:r>
      <w:r w:rsidR="00A4000C" w:rsidRPr="001B674F">
        <w:rPr>
          <w:rFonts w:ascii="Arial" w:hAnsi="Arial" w:cs="Arial"/>
        </w:rPr>
        <w:t xml:space="preserve"> professionals such as child psychologists. </w:t>
      </w:r>
      <w:r w:rsidR="00177B8E" w:rsidRPr="001B674F">
        <w:rPr>
          <w:rFonts w:ascii="Arial" w:hAnsi="Arial" w:cs="Arial"/>
        </w:rPr>
        <w:t xml:space="preserve">However, for some functions, the use of </w:t>
      </w:r>
      <w:r w:rsidR="00F476E2" w:rsidRPr="001B674F">
        <w:rPr>
          <w:rFonts w:ascii="Arial" w:hAnsi="Arial" w:cs="Arial"/>
        </w:rPr>
        <w:t>less costly</w:t>
      </w:r>
      <w:r w:rsidR="0089030A" w:rsidRPr="001B674F">
        <w:rPr>
          <w:rFonts w:ascii="Arial" w:hAnsi="Arial" w:cs="Arial"/>
        </w:rPr>
        <w:t xml:space="preserve"> professionals </w:t>
      </w:r>
      <w:r w:rsidR="00177B8E" w:rsidRPr="001B674F">
        <w:rPr>
          <w:rFonts w:ascii="Arial" w:hAnsi="Arial" w:cs="Arial"/>
        </w:rPr>
        <w:t xml:space="preserve">could reduce costs. </w:t>
      </w:r>
      <w:r w:rsidR="0095001D" w:rsidRPr="001B674F">
        <w:rPr>
          <w:rFonts w:ascii="Arial" w:hAnsi="Arial" w:cs="Arial"/>
        </w:rPr>
        <w:t>If increased demand for relevant professionals led to skill shortages in any profession, the cost of filling roles could increase.</w:t>
      </w:r>
      <w:r w:rsidR="00EC0354" w:rsidRPr="001B674F">
        <w:rPr>
          <w:rFonts w:ascii="Arial" w:hAnsi="Arial" w:cs="Arial"/>
        </w:rPr>
        <w:t xml:space="preserve"> </w:t>
      </w:r>
      <w:r w:rsidR="0095001D" w:rsidRPr="001B674F">
        <w:rPr>
          <w:rFonts w:ascii="Arial" w:hAnsi="Arial" w:cs="Arial"/>
        </w:rPr>
        <w:t>Final fiscal impacts</w:t>
      </w:r>
      <w:r w:rsidR="00A4000C" w:rsidRPr="001B674F">
        <w:rPr>
          <w:rFonts w:ascii="Arial" w:hAnsi="Arial" w:cs="Arial"/>
        </w:rPr>
        <w:t xml:space="preserve"> will depend on detailed design. </w:t>
      </w:r>
      <w:r w:rsidR="00755551">
        <w:rPr>
          <w:rFonts w:ascii="Arial" w:hAnsi="Arial" w:cs="Arial"/>
        </w:rPr>
        <w:t>The need for a</w:t>
      </w:r>
      <w:r w:rsidR="00A4000C" w:rsidRPr="001B674F">
        <w:rPr>
          <w:rFonts w:ascii="Arial" w:hAnsi="Arial" w:cs="Arial"/>
        </w:rPr>
        <w:t>dditional investment is anticipated.</w:t>
      </w:r>
    </w:p>
    <w:p w:rsidR="00A4000C" w:rsidRPr="001B674F" w:rsidRDefault="00A4000C" w:rsidP="00A4000C">
      <w:pPr>
        <w:pStyle w:val="TableHeading1"/>
        <w:framePr w:hSpace="0" w:wrap="auto" w:vAnchor="margin" w:hAnchor="text" w:yAlign="inline"/>
        <w:rPr>
          <w:rFonts w:ascii="Arial" w:hAnsi="Arial" w:cs="Arial"/>
        </w:rPr>
      </w:pPr>
      <w:r w:rsidRPr="001B674F">
        <w:rPr>
          <w:rFonts w:ascii="Arial" w:hAnsi="Arial" w:cs="Arial"/>
        </w:rPr>
        <w:lastRenderedPageBreak/>
        <w:t>Compliance</w:t>
      </w:r>
    </w:p>
    <w:p w:rsidR="0095001D" w:rsidRPr="001B674F" w:rsidRDefault="00A4000C" w:rsidP="00A4000C">
      <w:pPr>
        <w:rPr>
          <w:rFonts w:ascii="Arial" w:hAnsi="Arial" w:cs="Arial"/>
        </w:rPr>
      </w:pPr>
      <w:r w:rsidRPr="001B674F">
        <w:rPr>
          <w:rFonts w:ascii="Arial" w:hAnsi="Arial" w:cs="Arial"/>
        </w:rPr>
        <w:t>The status quo requir</w:t>
      </w:r>
      <w:r w:rsidR="0095001D" w:rsidRPr="001B674F">
        <w:rPr>
          <w:rFonts w:ascii="Arial" w:hAnsi="Arial" w:cs="Arial"/>
        </w:rPr>
        <w:t>es</w:t>
      </w:r>
      <w:r w:rsidRPr="001B674F">
        <w:rPr>
          <w:rFonts w:ascii="Arial" w:hAnsi="Arial" w:cs="Arial"/>
        </w:rPr>
        <w:t xml:space="preserve"> </w:t>
      </w:r>
      <w:r w:rsidR="0095001D" w:rsidRPr="001B674F">
        <w:rPr>
          <w:rFonts w:ascii="Arial" w:hAnsi="Arial" w:cs="Arial"/>
        </w:rPr>
        <w:t xml:space="preserve">someone employed as </w:t>
      </w:r>
      <w:r w:rsidRPr="001B674F">
        <w:rPr>
          <w:rFonts w:ascii="Arial" w:hAnsi="Arial" w:cs="Arial"/>
        </w:rPr>
        <w:t xml:space="preserve">a </w:t>
      </w:r>
      <w:r w:rsidR="0095001D" w:rsidRPr="001B674F">
        <w:rPr>
          <w:rFonts w:ascii="Arial" w:hAnsi="Arial" w:cs="Arial"/>
        </w:rPr>
        <w:t>social work</w:t>
      </w:r>
      <w:r w:rsidR="0074551C" w:rsidRPr="001B674F">
        <w:rPr>
          <w:rFonts w:ascii="Arial" w:hAnsi="Arial" w:cs="Arial"/>
        </w:rPr>
        <w:t>er</w:t>
      </w:r>
      <w:r w:rsidR="0095001D" w:rsidRPr="001B674F">
        <w:rPr>
          <w:rFonts w:ascii="Arial" w:hAnsi="Arial" w:cs="Arial"/>
        </w:rPr>
        <w:t xml:space="preserve"> or constable</w:t>
      </w:r>
      <w:r w:rsidRPr="001B674F">
        <w:rPr>
          <w:rFonts w:ascii="Arial" w:hAnsi="Arial" w:cs="Arial"/>
        </w:rPr>
        <w:t xml:space="preserve"> to perform certain functions. </w:t>
      </w:r>
      <w:r w:rsidR="004F79B1" w:rsidRPr="001B674F">
        <w:rPr>
          <w:rFonts w:ascii="Arial" w:hAnsi="Arial" w:cs="Arial"/>
        </w:rPr>
        <w:t xml:space="preserve">The law does not require a person </w:t>
      </w:r>
      <w:r w:rsidR="0095001D" w:rsidRPr="001B674F">
        <w:rPr>
          <w:rFonts w:ascii="Arial" w:hAnsi="Arial" w:cs="Arial"/>
        </w:rPr>
        <w:t>employed as a social worker</w:t>
      </w:r>
      <w:r w:rsidR="004F79B1" w:rsidRPr="001B674F">
        <w:rPr>
          <w:rFonts w:ascii="Arial" w:hAnsi="Arial" w:cs="Arial"/>
        </w:rPr>
        <w:t xml:space="preserve"> to be registered under the Social Workers Registration Act</w:t>
      </w:r>
      <w:r w:rsidR="0089030A" w:rsidRPr="001B674F">
        <w:rPr>
          <w:rFonts w:ascii="Arial" w:hAnsi="Arial" w:cs="Arial"/>
        </w:rPr>
        <w:t xml:space="preserve"> 2003</w:t>
      </w:r>
      <w:r w:rsidR="0074551C" w:rsidRPr="001B674F">
        <w:rPr>
          <w:rFonts w:ascii="Arial" w:hAnsi="Arial" w:cs="Arial"/>
        </w:rPr>
        <w:t>. I</w:t>
      </w:r>
      <w:r w:rsidR="0095001D" w:rsidRPr="001B674F">
        <w:rPr>
          <w:rFonts w:ascii="Arial" w:hAnsi="Arial" w:cs="Arial"/>
        </w:rPr>
        <w:t>t is</w:t>
      </w:r>
      <w:r w:rsidR="0074551C" w:rsidRPr="001B674F">
        <w:rPr>
          <w:rFonts w:ascii="Arial" w:hAnsi="Arial" w:cs="Arial"/>
        </w:rPr>
        <w:t>,</w:t>
      </w:r>
      <w:r w:rsidR="0095001D" w:rsidRPr="001B674F">
        <w:rPr>
          <w:rFonts w:ascii="Arial" w:hAnsi="Arial" w:cs="Arial"/>
        </w:rPr>
        <w:t xml:space="preserve"> </w:t>
      </w:r>
      <w:r w:rsidR="0074551C" w:rsidRPr="001B674F">
        <w:rPr>
          <w:rFonts w:ascii="Arial" w:hAnsi="Arial" w:cs="Arial"/>
        </w:rPr>
        <w:t xml:space="preserve">however, </w:t>
      </w:r>
      <w:r w:rsidR="0095001D" w:rsidRPr="001B674F">
        <w:rPr>
          <w:rFonts w:ascii="Arial" w:hAnsi="Arial" w:cs="Arial"/>
        </w:rPr>
        <w:t xml:space="preserve">Child, Youth and Family </w:t>
      </w:r>
      <w:r w:rsidR="0074551C" w:rsidRPr="001B674F">
        <w:rPr>
          <w:rFonts w:ascii="Arial" w:hAnsi="Arial" w:cs="Arial"/>
        </w:rPr>
        <w:t xml:space="preserve">policy </w:t>
      </w:r>
      <w:r w:rsidR="0095001D" w:rsidRPr="001B674F">
        <w:rPr>
          <w:rFonts w:ascii="Arial" w:hAnsi="Arial" w:cs="Arial"/>
        </w:rPr>
        <w:t xml:space="preserve">to move towards registration of its social </w:t>
      </w:r>
      <w:r w:rsidR="00B439B7" w:rsidRPr="001B674F">
        <w:rPr>
          <w:rFonts w:ascii="Arial" w:hAnsi="Arial" w:cs="Arial"/>
        </w:rPr>
        <w:t xml:space="preserve">worker </w:t>
      </w:r>
      <w:r w:rsidR="0095001D" w:rsidRPr="001B674F">
        <w:rPr>
          <w:rFonts w:ascii="Arial" w:hAnsi="Arial" w:cs="Arial"/>
        </w:rPr>
        <w:t>workforce. The impact on compliance will depend on the makeup of other professionals performing functions under the new operating model. The burden could be broadly similar if comparable professionals with their own occupational registration requirements are used.</w:t>
      </w:r>
      <w:r w:rsidR="00B439B7" w:rsidRPr="001B674F">
        <w:rPr>
          <w:rFonts w:ascii="Arial" w:hAnsi="Arial" w:cs="Arial"/>
        </w:rPr>
        <w:t xml:space="preserve"> </w:t>
      </w:r>
    </w:p>
    <w:p w:rsidR="00A4000C" w:rsidRPr="001B674F" w:rsidRDefault="00A4000C" w:rsidP="000C7BFE">
      <w:pPr>
        <w:pStyle w:val="TableHeading1"/>
        <w:framePr w:hSpace="0" w:wrap="auto" w:vAnchor="margin" w:hAnchor="text" w:yAlign="inline"/>
        <w:rPr>
          <w:rFonts w:ascii="Arial" w:hAnsi="Arial" w:cs="Arial"/>
        </w:rPr>
      </w:pPr>
      <w:r w:rsidRPr="001B674F">
        <w:rPr>
          <w:rFonts w:ascii="Arial" w:hAnsi="Arial" w:cs="Arial"/>
        </w:rPr>
        <w:t>Cultural</w:t>
      </w:r>
    </w:p>
    <w:p w:rsidR="00A4000C" w:rsidRPr="001B674F" w:rsidRDefault="00A4000C" w:rsidP="00A4000C">
      <w:pPr>
        <w:rPr>
          <w:rFonts w:ascii="Arial" w:hAnsi="Arial" w:cs="Arial"/>
        </w:rPr>
      </w:pPr>
      <w:r w:rsidRPr="001B674F">
        <w:rPr>
          <w:rFonts w:ascii="Arial" w:hAnsi="Arial" w:cs="Arial"/>
        </w:rPr>
        <w:t>Opening up the</w:t>
      </w:r>
      <w:r w:rsidR="00EC0354" w:rsidRPr="001B674F">
        <w:rPr>
          <w:rFonts w:ascii="Arial" w:hAnsi="Arial" w:cs="Arial"/>
        </w:rPr>
        <w:t xml:space="preserve"> key functions of the </w:t>
      </w:r>
      <w:r w:rsidR="0089030A" w:rsidRPr="001B674F">
        <w:rPr>
          <w:rFonts w:ascii="Arial" w:hAnsi="Arial" w:cs="Arial"/>
        </w:rPr>
        <w:t xml:space="preserve">CYPF </w:t>
      </w:r>
      <w:r w:rsidR="00EC0354" w:rsidRPr="001B674F">
        <w:rPr>
          <w:rFonts w:ascii="Arial" w:hAnsi="Arial" w:cs="Arial"/>
        </w:rPr>
        <w:t>Act to a broader range of</w:t>
      </w:r>
      <w:r w:rsidRPr="001B674F">
        <w:rPr>
          <w:rFonts w:ascii="Arial" w:hAnsi="Arial" w:cs="Arial"/>
        </w:rPr>
        <w:t xml:space="preserve"> professionals could be expected to diversify the professional culture of the agency</w:t>
      </w:r>
      <w:r w:rsidR="0095001D" w:rsidRPr="001B674F">
        <w:rPr>
          <w:rFonts w:ascii="Arial" w:hAnsi="Arial" w:cs="Arial"/>
        </w:rPr>
        <w:t xml:space="preserve"> and wider operating model</w:t>
      </w:r>
      <w:r w:rsidRPr="001B674F">
        <w:rPr>
          <w:rFonts w:ascii="Arial" w:hAnsi="Arial" w:cs="Arial"/>
        </w:rPr>
        <w:t xml:space="preserve">. </w:t>
      </w:r>
      <w:r w:rsidR="0095001D" w:rsidRPr="001B674F">
        <w:rPr>
          <w:rFonts w:ascii="Arial" w:hAnsi="Arial" w:cs="Arial"/>
        </w:rPr>
        <w:t>Combined with a focus on cultural expertise and strategic partnership this</w:t>
      </w:r>
      <w:r w:rsidRPr="001B674F">
        <w:rPr>
          <w:rFonts w:ascii="Arial" w:hAnsi="Arial" w:cs="Arial"/>
        </w:rPr>
        <w:t xml:space="preserve"> could potentially also lead to a greater uptake of Māori and Pacific practitioners with different skillsets</w:t>
      </w:r>
      <w:r w:rsidR="0095001D" w:rsidRPr="001B674F">
        <w:rPr>
          <w:rFonts w:ascii="Arial" w:hAnsi="Arial" w:cs="Arial"/>
        </w:rPr>
        <w:t xml:space="preserve"> over time</w:t>
      </w:r>
      <w:r w:rsidRPr="001B674F">
        <w:rPr>
          <w:rFonts w:ascii="Arial" w:hAnsi="Arial" w:cs="Arial"/>
        </w:rPr>
        <w:t>.</w:t>
      </w:r>
    </w:p>
    <w:p w:rsidR="00293689" w:rsidRPr="001B674F" w:rsidRDefault="00293689" w:rsidP="000C7BFE">
      <w:pPr>
        <w:rPr>
          <w:rFonts w:ascii="Arial" w:hAnsi="Arial" w:cs="Arial"/>
        </w:rPr>
        <w:sectPr w:rsidR="00293689" w:rsidRPr="001B674F" w:rsidSect="000203EF">
          <w:footerReference w:type="even" r:id="rId9"/>
          <w:footerReference w:type="default" r:id="rId10"/>
          <w:footerReference w:type="first" r:id="rId11"/>
          <w:pgSz w:w="11907" w:h="16840" w:code="9"/>
          <w:pgMar w:top="1418" w:right="1418" w:bottom="1134" w:left="1418" w:header="454" w:footer="454" w:gutter="0"/>
          <w:cols w:space="720"/>
          <w:docGrid w:linePitch="299"/>
        </w:sectPr>
      </w:pPr>
    </w:p>
    <w:p w:rsidR="008D5CD9" w:rsidRPr="001B674F" w:rsidRDefault="008D5CD9" w:rsidP="00A42AD7">
      <w:pPr>
        <w:pStyle w:val="Heading2"/>
        <w:rPr>
          <w:rFonts w:ascii="Arial" w:hAnsi="Arial" w:cs="Arial"/>
        </w:rPr>
      </w:pPr>
      <w:r w:rsidRPr="001B674F">
        <w:rPr>
          <w:rFonts w:ascii="Arial" w:hAnsi="Arial" w:cs="Arial"/>
        </w:rPr>
        <w:lastRenderedPageBreak/>
        <w:t xml:space="preserve">Options </w:t>
      </w:r>
      <w:bookmarkEnd w:id="38"/>
      <w:bookmarkEnd w:id="39"/>
      <w:bookmarkEnd w:id="40"/>
      <w:bookmarkEnd w:id="41"/>
      <w:bookmarkEnd w:id="42"/>
      <w:bookmarkEnd w:id="43"/>
      <w:bookmarkEnd w:id="44"/>
      <w:bookmarkEnd w:id="45"/>
      <w:bookmarkEnd w:id="46"/>
      <w:bookmarkEnd w:id="47"/>
      <w:bookmarkEnd w:id="48"/>
      <w:r w:rsidR="00A14108" w:rsidRPr="001B674F">
        <w:rPr>
          <w:rFonts w:ascii="Arial" w:hAnsi="Arial" w:cs="Arial"/>
        </w:rPr>
        <w:t>a</w:t>
      </w:r>
      <w:r w:rsidR="0095001D" w:rsidRPr="001B674F">
        <w:rPr>
          <w:rFonts w:ascii="Arial" w:hAnsi="Arial" w:cs="Arial"/>
        </w:rPr>
        <w:t>nalysis</w:t>
      </w:r>
    </w:p>
    <w:tbl>
      <w:tblPr>
        <w:tblStyle w:val="TableGrid"/>
        <w:tblW w:w="5000" w:type="pct"/>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ayout w:type="fixed"/>
        <w:tblLook w:val="04A0" w:firstRow="1" w:lastRow="0" w:firstColumn="1" w:lastColumn="0" w:noHBand="0" w:noVBand="1"/>
      </w:tblPr>
      <w:tblGrid>
        <w:gridCol w:w="2092"/>
        <w:gridCol w:w="5528"/>
        <w:gridCol w:w="2268"/>
        <w:gridCol w:w="1843"/>
        <w:gridCol w:w="1276"/>
        <w:gridCol w:w="1701"/>
        <w:gridCol w:w="2693"/>
        <w:gridCol w:w="1843"/>
        <w:gridCol w:w="2234"/>
      </w:tblGrid>
      <w:tr w:rsidR="00755551" w:rsidRPr="001B674F" w:rsidTr="00755551">
        <w:trPr>
          <w:tblHeader/>
        </w:trPr>
        <w:tc>
          <w:tcPr>
            <w:tcW w:w="487" w:type="pct"/>
            <w:shd w:val="clear" w:color="auto" w:fill="4BACC6" w:themeFill="accent5"/>
          </w:tcPr>
          <w:p w:rsidR="00755551" w:rsidRPr="001B674F" w:rsidRDefault="00755551" w:rsidP="00B439B7">
            <w:pPr>
              <w:spacing w:after="0"/>
              <w:jc w:val="left"/>
              <w:rPr>
                <w:rFonts w:ascii="Arial" w:hAnsi="Arial" w:cs="Arial"/>
                <w:b/>
                <w:color w:val="FFFFFF" w:themeColor="background1"/>
              </w:rPr>
            </w:pPr>
            <w:r w:rsidRPr="001B674F">
              <w:rPr>
                <w:rFonts w:ascii="Arial" w:hAnsi="Arial" w:cs="Arial"/>
                <w:b/>
                <w:color w:val="FFFFFF" w:themeColor="background1"/>
              </w:rPr>
              <w:t>Option</w:t>
            </w:r>
          </w:p>
        </w:tc>
        <w:tc>
          <w:tcPr>
            <w:tcW w:w="1287" w:type="pct"/>
            <w:shd w:val="clear" w:color="auto" w:fill="4BACC6" w:themeFill="accent5"/>
          </w:tcPr>
          <w:p w:rsidR="00755551" w:rsidRPr="001B674F" w:rsidRDefault="00755551" w:rsidP="00B439B7">
            <w:pPr>
              <w:spacing w:after="0"/>
              <w:jc w:val="left"/>
              <w:rPr>
                <w:rFonts w:ascii="Arial" w:hAnsi="Arial" w:cs="Arial"/>
                <w:b/>
                <w:color w:val="FFFFFF" w:themeColor="background1"/>
              </w:rPr>
            </w:pPr>
            <w:r w:rsidRPr="001B674F">
              <w:rPr>
                <w:rFonts w:ascii="Arial" w:hAnsi="Arial" w:cs="Arial"/>
                <w:b/>
                <w:color w:val="FFFFFF" w:themeColor="background1"/>
              </w:rPr>
              <w:t>Features and implications</w:t>
            </w:r>
          </w:p>
        </w:tc>
        <w:tc>
          <w:tcPr>
            <w:tcW w:w="957" w:type="pct"/>
            <w:gridSpan w:val="2"/>
            <w:shd w:val="clear" w:color="auto" w:fill="4BACC6" w:themeFill="accent5"/>
          </w:tcPr>
          <w:p w:rsidR="00755551" w:rsidRPr="001B674F" w:rsidRDefault="00755551" w:rsidP="00B439B7">
            <w:pPr>
              <w:spacing w:after="0"/>
              <w:jc w:val="left"/>
              <w:rPr>
                <w:rFonts w:ascii="Arial" w:hAnsi="Arial" w:cs="Arial"/>
                <w:b/>
                <w:color w:val="FFFFFF" w:themeColor="background1"/>
              </w:rPr>
            </w:pPr>
            <w:r>
              <w:rPr>
                <w:rFonts w:ascii="Arial" w:hAnsi="Arial" w:cs="Arial"/>
                <w:b/>
                <w:color w:val="FFFFFF" w:themeColor="background1"/>
              </w:rPr>
              <w:t>Objectives and c</w:t>
            </w:r>
            <w:r w:rsidRPr="001B674F">
              <w:rPr>
                <w:rFonts w:ascii="Arial" w:hAnsi="Arial" w:cs="Arial"/>
                <w:b/>
                <w:color w:val="FFFFFF" w:themeColor="background1"/>
              </w:rPr>
              <w:t>riteria</w:t>
            </w:r>
          </w:p>
        </w:tc>
        <w:tc>
          <w:tcPr>
            <w:tcW w:w="297" w:type="pct"/>
            <w:shd w:val="clear" w:color="auto" w:fill="4BACC6" w:themeFill="accent5"/>
          </w:tcPr>
          <w:p w:rsidR="00755551" w:rsidRPr="001B674F" w:rsidRDefault="00755551" w:rsidP="00B439B7">
            <w:pPr>
              <w:spacing w:after="0"/>
              <w:jc w:val="left"/>
              <w:rPr>
                <w:rFonts w:ascii="Arial" w:hAnsi="Arial" w:cs="Arial"/>
                <w:b/>
                <w:color w:val="FFFFFF" w:themeColor="background1"/>
              </w:rPr>
            </w:pPr>
          </w:p>
        </w:tc>
        <w:tc>
          <w:tcPr>
            <w:tcW w:w="396" w:type="pct"/>
            <w:shd w:val="clear" w:color="auto" w:fill="4BACC6" w:themeFill="accent5"/>
          </w:tcPr>
          <w:p w:rsidR="00755551" w:rsidRPr="001B674F" w:rsidRDefault="00755551" w:rsidP="00B439B7">
            <w:pPr>
              <w:spacing w:after="0"/>
              <w:jc w:val="left"/>
              <w:rPr>
                <w:rFonts w:ascii="Arial" w:hAnsi="Arial" w:cs="Arial"/>
                <w:b/>
                <w:color w:val="FFFFFF" w:themeColor="background1"/>
              </w:rPr>
            </w:pPr>
          </w:p>
        </w:tc>
        <w:tc>
          <w:tcPr>
            <w:tcW w:w="627" w:type="pct"/>
            <w:shd w:val="clear" w:color="auto" w:fill="4BACC6" w:themeFill="accent5"/>
          </w:tcPr>
          <w:p w:rsidR="00755551" w:rsidRPr="001B674F" w:rsidRDefault="00755551" w:rsidP="00B439B7">
            <w:pPr>
              <w:spacing w:after="0"/>
              <w:jc w:val="left"/>
              <w:rPr>
                <w:rFonts w:ascii="Arial" w:hAnsi="Arial" w:cs="Arial"/>
                <w:b/>
                <w:color w:val="FFFFFF" w:themeColor="background1"/>
              </w:rPr>
            </w:pPr>
          </w:p>
        </w:tc>
        <w:tc>
          <w:tcPr>
            <w:tcW w:w="429" w:type="pct"/>
            <w:shd w:val="clear" w:color="auto" w:fill="4BACC6" w:themeFill="accent5"/>
          </w:tcPr>
          <w:p w:rsidR="00755551" w:rsidRPr="001B674F" w:rsidRDefault="00755551" w:rsidP="00B439B7">
            <w:pPr>
              <w:spacing w:after="0"/>
              <w:jc w:val="left"/>
              <w:rPr>
                <w:rFonts w:ascii="Arial" w:hAnsi="Arial" w:cs="Arial"/>
                <w:b/>
                <w:color w:val="FFFFFF" w:themeColor="background1"/>
              </w:rPr>
            </w:pPr>
          </w:p>
        </w:tc>
        <w:tc>
          <w:tcPr>
            <w:tcW w:w="520" w:type="pct"/>
            <w:shd w:val="clear" w:color="auto" w:fill="4BACC6" w:themeFill="accent5"/>
          </w:tcPr>
          <w:p w:rsidR="00755551" w:rsidRPr="001B674F" w:rsidRDefault="00755551" w:rsidP="00B439B7">
            <w:pPr>
              <w:spacing w:after="0"/>
              <w:jc w:val="left"/>
              <w:rPr>
                <w:rFonts w:ascii="Arial" w:hAnsi="Arial" w:cs="Arial"/>
                <w:b/>
                <w:color w:val="FFFFFF" w:themeColor="background1"/>
              </w:rPr>
            </w:pPr>
            <w:r w:rsidRPr="001B674F">
              <w:rPr>
                <w:rFonts w:ascii="Arial" w:hAnsi="Arial" w:cs="Arial"/>
                <w:b/>
                <w:color w:val="FFFFFF" w:themeColor="background1"/>
              </w:rPr>
              <w:t>Summary</w:t>
            </w:r>
          </w:p>
        </w:tc>
      </w:tr>
      <w:tr w:rsidR="00CF2433" w:rsidRPr="001B674F" w:rsidTr="00444039">
        <w:trPr>
          <w:trHeight w:val="914"/>
          <w:tblHeader/>
        </w:trPr>
        <w:tc>
          <w:tcPr>
            <w:tcW w:w="487" w:type="pct"/>
            <w:shd w:val="clear" w:color="auto" w:fill="4BACC6" w:themeFill="accent5"/>
          </w:tcPr>
          <w:p w:rsidR="00E06F30" w:rsidRPr="001B674F" w:rsidRDefault="00E06F30" w:rsidP="00B439B7">
            <w:pPr>
              <w:spacing w:after="0"/>
              <w:jc w:val="left"/>
              <w:rPr>
                <w:rFonts w:ascii="Arial" w:hAnsi="Arial" w:cs="Arial"/>
                <w:b/>
                <w:sz w:val="20"/>
              </w:rPr>
            </w:pPr>
          </w:p>
        </w:tc>
        <w:tc>
          <w:tcPr>
            <w:tcW w:w="1287" w:type="pct"/>
            <w:shd w:val="clear" w:color="auto" w:fill="4BACC6" w:themeFill="accent5"/>
          </w:tcPr>
          <w:p w:rsidR="00E06F30" w:rsidRPr="001B674F" w:rsidRDefault="00E06F30" w:rsidP="00B439B7">
            <w:pPr>
              <w:spacing w:after="0"/>
              <w:jc w:val="left"/>
              <w:rPr>
                <w:rFonts w:ascii="Arial" w:hAnsi="Arial" w:cs="Arial"/>
                <w:b/>
                <w:sz w:val="20"/>
              </w:rPr>
            </w:pPr>
          </w:p>
        </w:tc>
        <w:tc>
          <w:tcPr>
            <w:tcW w:w="528" w:type="pct"/>
            <w:shd w:val="clear" w:color="auto" w:fill="92CDDC" w:themeFill="accent5" w:themeFillTint="99"/>
          </w:tcPr>
          <w:p w:rsidR="00E06F30" w:rsidRPr="001B674F" w:rsidRDefault="00E06F30" w:rsidP="00B439B7">
            <w:pPr>
              <w:spacing w:after="0"/>
              <w:jc w:val="left"/>
              <w:rPr>
                <w:rFonts w:ascii="Arial" w:hAnsi="Arial" w:cs="Arial"/>
                <w:b/>
                <w:sz w:val="20"/>
              </w:rPr>
            </w:pPr>
            <w:r w:rsidRPr="001B674F">
              <w:rPr>
                <w:rFonts w:ascii="Arial" w:hAnsi="Arial" w:cs="Arial"/>
                <w:b/>
                <w:sz w:val="20"/>
              </w:rPr>
              <w:t>Enable more professionals to perform functions</w:t>
            </w:r>
          </w:p>
        </w:tc>
        <w:tc>
          <w:tcPr>
            <w:tcW w:w="429" w:type="pct"/>
            <w:shd w:val="clear" w:color="auto" w:fill="92CDDC" w:themeFill="accent5" w:themeFillTint="99"/>
          </w:tcPr>
          <w:p w:rsidR="00E06F30" w:rsidRPr="001B674F" w:rsidRDefault="00F25F98" w:rsidP="00B439B7">
            <w:pPr>
              <w:spacing w:after="0"/>
              <w:jc w:val="left"/>
              <w:rPr>
                <w:rFonts w:ascii="Arial" w:hAnsi="Arial" w:cs="Arial"/>
                <w:b/>
                <w:sz w:val="20"/>
              </w:rPr>
            </w:pPr>
            <w:r w:rsidRPr="001B674F">
              <w:rPr>
                <w:rFonts w:ascii="Arial" w:hAnsi="Arial" w:cs="Arial"/>
                <w:b/>
                <w:sz w:val="20"/>
              </w:rPr>
              <w:t xml:space="preserve">Ensure Chief Executive </w:t>
            </w:r>
            <w:r w:rsidR="00E06F30" w:rsidRPr="001B674F">
              <w:rPr>
                <w:rFonts w:ascii="Arial" w:hAnsi="Arial" w:cs="Arial"/>
                <w:b/>
                <w:sz w:val="20"/>
              </w:rPr>
              <w:t>accountability</w:t>
            </w:r>
          </w:p>
        </w:tc>
        <w:tc>
          <w:tcPr>
            <w:tcW w:w="297" w:type="pct"/>
            <w:shd w:val="clear" w:color="auto" w:fill="92CDDC" w:themeFill="accent5" w:themeFillTint="99"/>
          </w:tcPr>
          <w:p w:rsidR="00E06F30" w:rsidRPr="001B674F" w:rsidRDefault="00363B32" w:rsidP="00B439B7">
            <w:pPr>
              <w:spacing w:after="0"/>
              <w:jc w:val="left"/>
              <w:rPr>
                <w:rFonts w:ascii="Arial" w:hAnsi="Arial" w:cs="Arial"/>
                <w:b/>
                <w:sz w:val="20"/>
              </w:rPr>
            </w:pPr>
            <w:r w:rsidRPr="001B674F">
              <w:rPr>
                <w:rFonts w:ascii="Arial" w:hAnsi="Arial" w:cs="Arial"/>
                <w:b/>
                <w:sz w:val="20"/>
              </w:rPr>
              <w:t>Flexibility for</w:t>
            </w:r>
            <w:r w:rsidR="00E06F30" w:rsidRPr="001B674F">
              <w:rPr>
                <w:rFonts w:ascii="Arial" w:hAnsi="Arial" w:cs="Arial"/>
                <w:b/>
                <w:sz w:val="20"/>
              </w:rPr>
              <w:t xml:space="preserve"> </w:t>
            </w:r>
            <w:r w:rsidR="008879AA" w:rsidRPr="001B674F">
              <w:rPr>
                <w:rFonts w:ascii="Arial" w:hAnsi="Arial" w:cs="Arial"/>
                <w:b/>
                <w:iCs/>
                <w:sz w:val="20"/>
                <w:szCs w:val="22"/>
              </w:rPr>
              <w:t>partnering</w:t>
            </w:r>
          </w:p>
        </w:tc>
        <w:tc>
          <w:tcPr>
            <w:tcW w:w="396" w:type="pct"/>
            <w:shd w:val="clear" w:color="auto" w:fill="92CDDC" w:themeFill="accent5" w:themeFillTint="99"/>
          </w:tcPr>
          <w:p w:rsidR="00E06F30" w:rsidRPr="001B674F" w:rsidRDefault="00E06F30" w:rsidP="00B439B7">
            <w:pPr>
              <w:spacing w:after="0"/>
              <w:jc w:val="left"/>
              <w:rPr>
                <w:rFonts w:ascii="Arial" w:hAnsi="Arial" w:cs="Arial"/>
                <w:b/>
                <w:sz w:val="20"/>
              </w:rPr>
            </w:pPr>
            <w:r w:rsidRPr="001B674F">
              <w:rPr>
                <w:rFonts w:ascii="Arial" w:hAnsi="Arial" w:cs="Arial"/>
                <w:b/>
                <w:sz w:val="20"/>
              </w:rPr>
              <w:t>Durability</w:t>
            </w:r>
          </w:p>
        </w:tc>
        <w:tc>
          <w:tcPr>
            <w:tcW w:w="627" w:type="pct"/>
            <w:shd w:val="clear" w:color="auto" w:fill="92CDDC" w:themeFill="accent5" w:themeFillTint="99"/>
          </w:tcPr>
          <w:p w:rsidR="00E06F30" w:rsidRPr="001B674F" w:rsidRDefault="00E06F30" w:rsidP="00B439B7">
            <w:pPr>
              <w:spacing w:after="0"/>
              <w:jc w:val="left"/>
              <w:rPr>
                <w:rFonts w:ascii="Arial" w:hAnsi="Arial" w:cs="Arial"/>
                <w:b/>
                <w:sz w:val="20"/>
              </w:rPr>
            </w:pPr>
            <w:r w:rsidRPr="001B674F">
              <w:rPr>
                <w:rFonts w:ascii="Arial" w:hAnsi="Arial" w:cs="Arial"/>
                <w:b/>
                <w:sz w:val="20"/>
              </w:rPr>
              <w:t>Risk management and safety</w:t>
            </w:r>
          </w:p>
        </w:tc>
        <w:tc>
          <w:tcPr>
            <w:tcW w:w="429" w:type="pct"/>
            <w:shd w:val="clear" w:color="auto" w:fill="92CDDC" w:themeFill="accent5" w:themeFillTint="99"/>
          </w:tcPr>
          <w:p w:rsidR="00E06F30" w:rsidRPr="001B674F" w:rsidRDefault="00E06F30" w:rsidP="00B439B7">
            <w:pPr>
              <w:spacing w:after="0"/>
              <w:jc w:val="left"/>
              <w:rPr>
                <w:rFonts w:ascii="Arial" w:hAnsi="Arial" w:cs="Arial"/>
                <w:b/>
                <w:sz w:val="20"/>
              </w:rPr>
            </w:pPr>
            <w:r w:rsidRPr="001B674F">
              <w:rPr>
                <w:rFonts w:ascii="Arial" w:hAnsi="Arial" w:cs="Arial"/>
                <w:b/>
                <w:sz w:val="20"/>
              </w:rPr>
              <w:t>Social work professionalism</w:t>
            </w:r>
          </w:p>
        </w:tc>
        <w:tc>
          <w:tcPr>
            <w:tcW w:w="520" w:type="pct"/>
            <w:shd w:val="clear" w:color="auto" w:fill="4BACC6" w:themeFill="accent5"/>
          </w:tcPr>
          <w:p w:rsidR="00E06F30" w:rsidRPr="001B674F" w:rsidRDefault="00E06F30" w:rsidP="00B439B7">
            <w:pPr>
              <w:spacing w:after="0"/>
              <w:jc w:val="left"/>
              <w:rPr>
                <w:rFonts w:ascii="Arial" w:hAnsi="Arial" w:cs="Arial"/>
                <w:b/>
                <w:sz w:val="20"/>
              </w:rPr>
            </w:pPr>
          </w:p>
        </w:tc>
      </w:tr>
      <w:tr w:rsidR="00CF2433" w:rsidRPr="001B674F" w:rsidTr="00444039">
        <w:tc>
          <w:tcPr>
            <w:tcW w:w="487" w:type="pct"/>
            <w:shd w:val="clear" w:color="auto" w:fill="DAEEF3" w:themeFill="accent5" w:themeFillTint="33"/>
          </w:tcPr>
          <w:p w:rsidR="00E06F30" w:rsidRPr="001B674F" w:rsidRDefault="00E06F30" w:rsidP="00B439B7">
            <w:pPr>
              <w:jc w:val="left"/>
              <w:rPr>
                <w:rFonts w:ascii="Arial" w:hAnsi="Arial" w:cs="Arial"/>
                <w:b/>
                <w:sz w:val="20"/>
              </w:rPr>
            </w:pPr>
            <w:r w:rsidRPr="001B674F">
              <w:rPr>
                <w:rFonts w:ascii="Arial" w:hAnsi="Arial" w:cs="Arial"/>
                <w:b/>
                <w:sz w:val="20"/>
              </w:rPr>
              <w:t>1. Employ other professionals as social workers</w:t>
            </w:r>
          </w:p>
          <w:p w:rsidR="00E06F30" w:rsidRPr="001B674F" w:rsidRDefault="00E06F30" w:rsidP="00B439B7">
            <w:pPr>
              <w:jc w:val="left"/>
              <w:rPr>
                <w:rFonts w:ascii="Arial" w:hAnsi="Arial" w:cs="Arial"/>
                <w:sz w:val="20"/>
              </w:rPr>
            </w:pPr>
            <w:r w:rsidRPr="001B674F">
              <w:rPr>
                <w:rFonts w:ascii="Arial" w:hAnsi="Arial" w:cs="Arial"/>
                <w:sz w:val="20"/>
              </w:rPr>
              <w:t>(non-regulatory option)</w:t>
            </w:r>
          </w:p>
        </w:tc>
        <w:tc>
          <w:tcPr>
            <w:tcW w:w="1287" w:type="pct"/>
            <w:shd w:val="clear" w:color="auto" w:fill="DAEEF3" w:themeFill="accent5" w:themeFillTint="33"/>
          </w:tcPr>
          <w:p w:rsidR="00E06F30" w:rsidRPr="001B674F" w:rsidRDefault="00E06F30" w:rsidP="00B439B7">
            <w:pPr>
              <w:jc w:val="left"/>
              <w:rPr>
                <w:rFonts w:ascii="Arial" w:hAnsi="Arial" w:cs="Arial"/>
                <w:sz w:val="20"/>
              </w:rPr>
            </w:pPr>
            <w:r w:rsidRPr="001B674F">
              <w:rPr>
                <w:rFonts w:ascii="Arial" w:hAnsi="Arial" w:cs="Arial"/>
                <w:sz w:val="20"/>
              </w:rPr>
              <w:t xml:space="preserve">The Act has limited specifications around </w:t>
            </w:r>
            <w:proofErr w:type="gramStart"/>
            <w:r w:rsidRPr="001B674F">
              <w:rPr>
                <w:rFonts w:ascii="Arial" w:hAnsi="Arial" w:cs="Arial"/>
                <w:sz w:val="20"/>
              </w:rPr>
              <w:t>who</w:t>
            </w:r>
            <w:proofErr w:type="gramEnd"/>
            <w:r w:rsidRPr="001B674F">
              <w:rPr>
                <w:rFonts w:ascii="Arial" w:hAnsi="Arial" w:cs="Arial"/>
                <w:sz w:val="20"/>
              </w:rPr>
              <w:t xml:space="preserve"> the Chief Executive can employ as a “social worker”. This flexibility could be used to employ a range of professionals as “social workers” to allow for other professionals to perform these functions.</w:t>
            </w:r>
          </w:p>
        </w:tc>
        <w:tc>
          <w:tcPr>
            <w:tcW w:w="528" w:type="pct"/>
          </w:tcPr>
          <w:p w:rsidR="00E06F30" w:rsidRPr="001B674F" w:rsidRDefault="00E06F30" w:rsidP="008813DA">
            <w:pPr>
              <w:jc w:val="left"/>
              <w:rPr>
                <w:rFonts w:ascii="Arial" w:hAnsi="Arial" w:cs="Arial"/>
                <w:sz w:val="20"/>
              </w:rPr>
            </w:pPr>
            <w:r w:rsidRPr="001B674F">
              <w:rPr>
                <w:rFonts w:ascii="Arial" w:hAnsi="Arial" w:cs="Arial"/>
                <w:sz w:val="20"/>
              </w:rPr>
              <w:t>A work-around that could partially meet the objective. However, it</w:t>
            </w:r>
            <w:r w:rsidR="00E3608F" w:rsidRPr="001B674F">
              <w:rPr>
                <w:rFonts w:ascii="Arial" w:hAnsi="Arial" w:cs="Arial"/>
                <w:sz w:val="20"/>
              </w:rPr>
              <w:t xml:space="preserve"> </w:t>
            </w:r>
            <w:r w:rsidR="00971675" w:rsidRPr="001B674F">
              <w:rPr>
                <w:rFonts w:ascii="Arial" w:hAnsi="Arial" w:cs="Arial"/>
                <w:sz w:val="20"/>
              </w:rPr>
              <w:t>would cut across recognition of the specialist contribution of social workers</w:t>
            </w:r>
            <w:r w:rsidRPr="001B674F">
              <w:rPr>
                <w:rFonts w:ascii="Arial" w:hAnsi="Arial" w:cs="Arial"/>
                <w:sz w:val="20"/>
              </w:rPr>
              <w:t xml:space="preserve">. Other professionals might </w:t>
            </w:r>
            <w:r w:rsidR="008813DA" w:rsidRPr="001B674F">
              <w:rPr>
                <w:rFonts w:ascii="Arial" w:hAnsi="Arial" w:cs="Arial"/>
                <w:sz w:val="20"/>
              </w:rPr>
              <w:t xml:space="preserve">reject roles as </w:t>
            </w:r>
            <w:r w:rsidRPr="001B674F">
              <w:rPr>
                <w:rFonts w:ascii="Arial" w:hAnsi="Arial" w:cs="Arial"/>
                <w:sz w:val="20"/>
              </w:rPr>
              <w:t>social workers under the legislation.</w:t>
            </w:r>
          </w:p>
        </w:tc>
        <w:tc>
          <w:tcPr>
            <w:tcW w:w="429" w:type="pct"/>
          </w:tcPr>
          <w:p w:rsidR="00E06F30" w:rsidRPr="001B674F" w:rsidRDefault="00E06F30" w:rsidP="00B439B7">
            <w:pPr>
              <w:jc w:val="left"/>
              <w:rPr>
                <w:rFonts w:ascii="Arial" w:hAnsi="Arial" w:cs="Arial"/>
                <w:sz w:val="20"/>
              </w:rPr>
            </w:pPr>
            <w:r w:rsidRPr="001B674F">
              <w:rPr>
                <w:rFonts w:ascii="Arial" w:hAnsi="Arial" w:cs="Arial"/>
                <w:sz w:val="20"/>
              </w:rPr>
              <w:t>Accountability still sits with the individual professional</w:t>
            </w:r>
            <w:r w:rsidR="008B3AAD" w:rsidRPr="001B674F">
              <w:rPr>
                <w:rFonts w:ascii="Arial" w:hAnsi="Arial" w:cs="Arial"/>
                <w:sz w:val="20"/>
              </w:rPr>
              <w:t>.</w:t>
            </w:r>
          </w:p>
        </w:tc>
        <w:tc>
          <w:tcPr>
            <w:tcW w:w="297" w:type="pct"/>
          </w:tcPr>
          <w:p w:rsidR="00E06F30" w:rsidRPr="001B674F" w:rsidDel="00E648AA" w:rsidRDefault="00E06F30" w:rsidP="00B439B7">
            <w:pPr>
              <w:jc w:val="left"/>
              <w:rPr>
                <w:rFonts w:ascii="Arial" w:hAnsi="Arial" w:cs="Arial"/>
                <w:sz w:val="20"/>
              </w:rPr>
            </w:pPr>
            <w:r w:rsidRPr="001B674F">
              <w:rPr>
                <w:rFonts w:ascii="Arial" w:hAnsi="Arial" w:cs="Arial"/>
                <w:sz w:val="20"/>
              </w:rPr>
              <w:t>No</w:t>
            </w:r>
            <w:r w:rsidR="008B3AAD" w:rsidRPr="001B674F">
              <w:rPr>
                <w:rFonts w:ascii="Arial" w:hAnsi="Arial" w:cs="Arial"/>
                <w:sz w:val="20"/>
              </w:rPr>
              <w:t>.</w:t>
            </w:r>
          </w:p>
        </w:tc>
        <w:tc>
          <w:tcPr>
            <w:tcW w:w="396" w:type="pct"/>
          </w:tcPr>
          <w:p w:rsidR="00E06F30" w:rsidRPr="001B674F" w:rsidRDefault="00E06F30" w:rsidP="008813DA">
            <w:pPr>
              <w:jc w:val="left"/>
              <w:rPr>
                <w:rFonts w:ascii="Arial" w:hAnsi="Arial" w:cs="Arial"/>
                <w:sz w:val="20"/>
              </w:rPr>
            </w:pPr>
            <w:r w:rsidRPr="001B674F">
              <w:rPr>
                <w:rFonts w:ascii="Arial" w:hAnsi="Arial" w:cs="Arial"/>
                <w:sz w:val="20"/>
              </w:rPr>
              <w:t xml:space="preserve">The intent of </w:t>
            </w:r>
            <w:r w:rsidR="008813DA" w:rsidRPr="001B674F">
              <w:rPr>
                <w:rFonts w:ascii="Arial" w:hAnsi="Arial" w:cs="Arial"/>
                <w:sz w:val="20"/>
              </w:rPr>
              <w:t>providing flexibility for other professionals to play core roles</w:t>
            </w:r>
            <w:r w:rsidRPr="001B674F">
              <w:rPr>
                <w:rFonts w:ascii="Arial" w:hAnsi="Arial" w:cs="Arial"/>
                <w:sz w:val="20"/>
              </w:rPr>
              <w:t xml:space="preserve"> would likely require changes</w:t>
            </w:r>
            <w:r w:rsidR="00755551">
              <w:rPr>
                <w:rFonts w:ascii="Arial" w:hAnsi="Arial" w:cs="Arial"/>
                <w:sz w:val="20"/>
              </w:rPr>
              <w:t xml:space="preserve"> to legislation once detailed design was complete</w:t>
            </w:r>
            <w:r w:rsidR="008B3AAD" w:rsidRPr="001B674F">
              <w:rPr>
                <w:rFonts w:ascii="Arial" w:hAnsi="Arial" w:cs="Arial"/>
                <w:sz w:val="20"/>
              </w:rPr>
              <w:t>.</w:t>
            </w:r>
          </w:p>
        </w:tc>
        <w:tc>
          <w:tcPr>
            <w:tcW w:w="627" w:type="pct"/>
          </w:tcPr>
          <w:p w:rsidR="00E06F30" w:rsidRPr="001B674F" w:rsidRDefault="00E06F30" w:rsidP="00B439B7">
            <w:pPr>
              <w:jc w:val="left"/>
              <w:rPr>
                <w:rFonts w:ascii="Arial" w:hAnsi="Arial" w:cs="Arial"/>
                <w:sz w:val="20"/>
              </w:rPr>
            </w:pPr>
            <w:r w:rsidRPr="001B674F">
              <w:rPr>
                <w:rFonts w:ascii="Arial" w:hAnsi="Arial" w:cs="Arial"/>
                <w:sz w:val="20"/>
              </w:rPr>
              <w:t>Current risk management through employment processes would be retained.</w:t>
            </w:r>
          </w:p>
        </w:tc>
        <w:tc>
          <w:tcPr>
            <w:tcW w:w="429" w:type="pct"/>
          </w:tcPr>
          <w:p w:rsidR="00E06F30" w:rsidRPr="001B674F" w:rsidRDefault="00E06F30" w:rsidP="00B439B7">
            <w:pPr>
              <w:jc w:val="left"/>
              <w:rPr>
                <w:rFonts w:ascii="Arial" w:hAnsi="Arial" w:cs="Arial"/>
                <w:sz w:val="20"/>
              </w:rPr>
            </w:pPr>
            <w:r w:rsidRPr="001B674F">
              <w:rPr>
                <w:rFonts w:ascii="Arial" w:hAnsi="Arial" w:cs="Arial"/>
                <w:sz w:val="20"/>
              </w:rPr>
              <w:t>Considering any professional a social worker for the purpose of undertaking these functions undermines the status and integrity of the social work profession</w:t>
            </w:r>
            <w:r w:rsidR="008B3AAD" w:rsidRPr="001B674F">
              <w:rPr>
                <w:rFonts w:ascii="Arial" w:hAnsi="Arial" w:cs="Arial"/>
                <w:sz w:val="20"/>
              </w:rPr>
              <w:t>.</w:t>
            </w:r>
          </w:p>
        </w:tc>
        <w:tc>
          <w:tcPr>
            <w:tcW w:w="520" w:type="pct"/>
            <w:shd w:val="clear" w:color="auto" w:fill="DAEEF3" w:themeFill="accent5" w:themeFillTint="33"/>
          </w:tcPr>
          <w:p w:rsidR="00E06F30" w:rsidRPr="001B674F" w:rsidRDefault="00E06F30" w:rsidP="00444039">
            <w:pPr>
              <w:jc w:val="left"/>
              <w:rPr>
                <w:rFonts w:ascii="Arial" w:hAnsi="Arial" w:cs="Arial"/>
                <w:sz w:val="20"/>
              </w:rPr>
            </w:pPr>
            <w:r w:rsidRPr="001B674F">
              <w:rPr>
                <w:rFonts w:ascii="Arial" w:hAnsi="Arial" w:cs="Arial"/>
                <w:sz w:val="20"/>
              </w:rPr>
              <w:t xml:space="preserve">This option does not </w:t>
            </w:r>
            <w:r w:rsidR="00B439B7" w:rsidRPr="001B674F">
              <w:rPr>
                <w:rFonts w:ascii="Arial" w:hAnsi="Arial" w:cs="Arial"/>
                <w:sz w:val="20"/>
              </w:rPr>
              <w:t xml:space="preserve">sufficiently </w:t>
            </w:r>
            <w:r w:rsidR="00444039">
              <w:rPr>
                <w:rFonts w:ascii="Arial" w:hAnsi="Arial" w:cs="Arial"/>
                <w:sz w:val="20"/>
              </w:rPr>
              <w:t>meet</w:t>
            </w:r>
            <w:r w:rsidRPr="001B674F">
              <w:rPr>
                <w:rFonts w:ascii="Arial" w:hAnsi="Arial" w:cs="Arial"/>
                <w:sz w:val="20"/>
              </w:rPr>
              <w:t xml:space="preserve"> our criteria</w:t>
            </w:r>
            <w:r w:rsidR="008B3AAD" w:rsidRPr="001B674F">
              <w:rPr>
                <w:rFonts w:ascii="Arial" w:hAnsi="Arial" w:cs="Arial"/>
                <w:sz w:val="20"/>
              </w:rPr>
              <w:t>.</w:t>
            </w:r>
          </w:p>
        </w:tc>
      </w:tr>
      <w:tr w:rsidR="00CF2433" w:rsidRPr="001B674F" w:rsidTr="00444039">
        <w:tc>
          <w:tcPr>
            <w:tcW w:w="487" w:type="pct"/>
            <w:shd w:val="clear" w:color="auto" w:fill="DAEEF3" w:themeFill="accent5" w:themeFillTint="33"/>
          </w:tcPr>
          <w:p w:rsidR="00E06F30" w:rsidRPr="001B674F" w:rsidRDefault="00E06F30" w:rsidP="00B439B7">
            <w:pPr>
              <w:jc w:val="left"/>
              <w:rPr>
                <w:rFonts w:ascii="Arial" w:hAnsi="Arial" w:cs="Arial"/>
                <w:b/>
                <w:sz w:val="20"/>
              </w:rPr>
            </w:pPr>
            <w:r w:rsidRPr="001B674F">
              <w:rPr>
                <w:rFonts w:ascii="Arial" w:hAnsi="Arial" w:cs="Arial"/>
                <w:b/>
                <w:sz w:val="20"/>
              </w:rPr>
              <w:t>1A. Make use of existing flexibility</w:t>
            </w:r>
          </w:p>
          <w:p w:rsidR="00E06F30" w:rsidRPr="001B674F" w:rsidRDefault="00E06F30" w:rsidP="00B439B7">
            <w:pPr>
              <w:jc w:val="left"/>
              <w:rPr>
                <w:rFonts w:ascii="Arial" w:hAnsi="Arial" w:cs="Arial"/>
                <w:b/>
                <w:sz w:val="20"/>
              </w:rPr>
            </w:pPr>
            <w:r w:rsidRPr="001B674F">
              <w:rPr>
                <w:rFonts w:ascii="Arial" w:hAnsi="Arial" w:cs="Arial"/>
                <w:sz w:val="20"/>
              </w:rPr>
              <w:t>(non-regulatory option)</w:t>
            </w:r>
          </w:p>
        </w:tc>
        <w:tc>
          <w:tcPr>
            <w:tcW w:w="1287" w:type="pct"/>
            <w:shd w:val="clear" w:color="auto" w:fill="DAEEF3" w:themeFill="accent5" w:themeFillTint="33"/>
          </w:tcPr>
          <w:p w:rsidR="00E06F30" w:rsidRPr="001B674F" w:rsidRDefault="00E06F30" w:rsidP="00B439B7">
            <w:pPr>
              <w:jc w:val="left"/>
              <w:rPr>
                <w:rFonts w:ascii="Arial" w:hAnsi="Arial" w:cs="Arial"/>
                <w:sz w:val="20"/>
              </w:rPr>
            </w:pPr>
            <w:r w:rsidRPr="001B674F">
              <w:rPr>
                <w:rFonts w:ascii="Arial" w:hAnsi="Arial" w:cs="Arial"/>
                <w:sz w:val="20"/>
              </w:rPr>
              <w:t>The Act has a number of mechanisms to enable more professionals to perform a broader set of functions. For example, a social worker can arrange for someone else to undertake an investigation of child maltreatment. Other agencies may refer concerns directly to a</w:t>
            </w:r>
            <w:r w:rsidR="00444039">
              <w:rPr>
                <w:rFonts w:ascii="Arial" w:hAnsi="Arial" w:cs="Arial"/>
                <w:sz w:val="20"/>
              </w:rPr>
              <w:t>n</w:t>
            </w:r>
            <w:r w:rsidRPr="001B674F">
              <w:rPr>
                <w:rFonts w:ascii="Arial" w:hAnsi="Arial" w:cs="Arial"/>
                <w:sz w:val="20"/>
              </w:rPr>
              <w:t xml:space="preserve"> FGC, or seek court orders with leave of the court.</w:t>
            </w:r>
          </w:p>
        </w:tc>
        <w:tc>
          <w:tcPr>
            <w:tcW w:w="528" w:type="pct"/>
            <w:shd w:val="clear" w:color="auto" w:fill="F2F2F2" w:themeFill="background1" w:themeFillShade="F2"/>
          </w:tcPr>
          <w:p w:rsidR="00E06F30" w:rsidRPr="001B674F" w:rsidRDefault="00E06F30" w:rsidP="00B439B7">
            <w:pPr>
              <w:jc w:val="left"/>
              <w:rPr>
                <w:rFonts w:ascii="Arial" w:hAnsi="Arial" w:cs="Arial"/>
                <w:sz w:val="20"/>
              </w:rPr>
            </w:pPr>
            <w:r w:rsidRPr="001B674F">
              <w:rPr>
                <w:rFonts w:ascii="Arial" w:hAnsi="Arial" w:cs="Arial"/>
                <w:sz w:val="20"/>
              </w:rPr>
              <w:t>Would partially meet the objective, but still limits the full performance of the functions to social workers</w:t>
            </w:r>
            <w:r w:rsidR="00564AF6" w:rsidRPr="001B674F">
              <w:rPr>
                <w:rFonts w:ascii="Arial" w:hAnsi="Arial" w:cs="Arial"/>
                <w:sz w:val="20"/>
              </w:rPr>
              <w:t>.</w:t>
            </w:r>
          </w:p>
        </w:tc>
        <w:tc>
          <w:tcPr>
            <w:tcW w:w="429" w:type="pct"/>
            <w:shd w:val="clear" w:color="auto" w:fill="F2F2F2" w:themeFill="background1" w:themeFillShade="F2"/>
          </w:tcPr>
          <w:p w:rsidR="00E06F30" w:rsidRPr="001B674F" w:rsidDel="0095001D" w:rsidRDefault="00E06F30" w:rsidP="00B439B7">
            <w:pPr>
              <w:jc w:val="left"/>
              <w:rPr>
                <w:rFonts w:ascii="Arial" w:hAnsi="Arial" w:cs="Arial"/>
                <w:sz w:val="20"/>
              </w:rPr>
            </w:pPr>
            <w:r w:rsidRPr="001B674F">
              <w:rPr>
                <w:rFonts w:ascii="Arial" w:hAnsi="Arial" w:cs="Arial"/>
                <w:sz w:val="20"/>
              </w:rPr>
              <w:t>Accountability could be diffused by involving other agencies in functions without system-level accountability in place</w:t>
            </w:r>
            <w:r w:rsidR="008B3AAD" w:rsidRPr="001B674F">
              <w:rPr>
                <w:rFonts w:ascii="Arial" w:hAnsi="Arial" w:cs="Arial"/>
                <w:sz w:val="20"/>
              </w:rPr>
              <w:t>.</w:t>
            </w:r>
          </w:p>
        </w:tc>
        <w:tc>
          <w:tcPr>
            <w:tcW w:w="297" w:type="pct"/>
            <w:shd w:val="clear" w:color="auto" w:fill="F2F2F2" w:themeFill="background1" w:themeFillShade="F2"/>
          </w:tcPr>
          <w:p w:rsidR="00E06F30" w:rsidRPr="001B674F" w:rsidRDefault="00363B32" w:rsidP="00B439B7">
            <w:pPr>
              <w:jc w:val="left"/>
              <w:rPr>
                <w:rFonts w:ascii="Arial" w:hAnsi="Arial" w:cs="Arial"/>
                <w:sz w:val="20"/>
              </w:rPr>
            </w:pPr>
            <w:r w:rsidRPr="001B674F">
              <w:rPr>
                <w:rFonts w:ascii="Arial" w:hAnsi="Arial" w:cs="Arial"/>
                <w:sz w:val="20"/>
              </w:rPr>
              <w:t>No</w:t>
            </w:r>
            <w:r w:rsidR="008B3AAD" w:rsidRPr="001B674F">
              <w:rPr>
                <w:rFonts w:ascii="Arial" w:hAnsi="Arial" w:cs="Arial"/>
                <w:sz w:val="20"/>
              </w:rPr>
              <w:t>.</w:t>
            </w:r>
          </w:p>
        </w:tc>
        <w:tc>
          <w:tcPr>
            <w:tcW w:w="396" w:type="pct"/>
            <w:shd w:val="clear" w:color="auto" w:fill="F2F2F2" w:themeFill="background1" w:themeFillShade="F2"/>
          </w:tcPr>
          <w:p w:rsidR="00E06F30" w:rsidRPr="001B674F" w:rsidDel="0095001D" w:rsidRDefault="00E06F30" w:rsidP="00755551">
            <w:pPr>
              <w:jc w:val="left"/>
              <w:rPr>
                <w:rFonts w:ascii="Arial" w:hAnsi="Arial" w:cs="Arial"/>
                <w:sz w:val="20"/>
              </w:rPr>
            </w:pPr>
            <w:r w:rsidRPr="001B674F">
              <w:rPr>
                <w:rFonts w:ascii="Arial" w:hAnsi="Arial" w:cs="Arial"/>
                <w:sz w:val="20"/>
              </w:rPr>
              <w:t xml:space="preserve">Detailed design is likely to run up against the limitations of this option and require </w:t>
            </w:r>
            <w:r w:rsidR="00755551">
              <w:rPr>
                <w:rFonts w:ascii="Arial" w:hAnsi="Arial" w:cs="Arial"/>
                <w:sz w:val="20"/>
              </w:rPr>
              <w:t>legislative</w:t>
            </w:r>
            <w:r w:rsidR="00755551" w:rsidRPr="001B674F">
              <w:rPr>
                <w:rFonts w:ascii="Arial" w:hAnsi="Arial" w:cs="Arial"/>
                <w:sz w:val="20"/>
              </w:rPr>
              <w:t xml:space="preserve"> </w:t>
            </w:r>
            <w:r w:rsidRPr="001B674F">
              <w:rPr>
                <w:rFonts w:ascii="Arial" w:hAnsi="Arial" w:cs="Arial"/>
                <w:sz w:val="20"/>
              </w:rPr>
              <w:t>changes</w:t>
            </w:r>
            <w:r w:rsidR="008B3AAD" w:rsidRPr="001B674F">
              <w:rPr>
                <w:rFonts w:ascii="Arial" w:hAnsi="Arial" w:cs="Arial"/>
                <w:sz w:val="20"/>
              </w:rPr>
              <w:t>.</w:t>
            </w:r>
          </w:p>
        </w:tc>
        <w:tc>
          <w:tcPr>
            <w:tcW w:w="627" w:type="pct"/>
            <w:shd w:val="clear" w:color="auto" w:fill="F2F2F2" w:themeFill="background1" w:themeFillShade="F2"/>
          </w:tcPr>
          <w:p w:rsidR="00E06F30" w:rsidRPr="001B674F" w:rsidDel="0095001D" w:rsidRDefault="00E06F30" w:rsidP="00B439B7">
            <w:pPr>
              <w:jc w:val="left"/>
              <w:rPr>
                <w:rFonts w:ascii="Arial" w:hAnsi="Arial" w:cs="Arial"/>
                <w:sz w:val="20"/>
              </w:rPr>
            </w:pPr>
            <w:r w:rsidRPr="001B674F">
              <w:rPr>
                <w:rFonts w:ascii="Arial" w:hAnsi="Arial" w:cs="Arial"/>
                <w:sz w:val="20"/>
              </w:rPr>
              <w:t>The diffusion of accountability could potentially limit CE control over functions, and the diffusion of roles could be confusing for the general public</w:t>
            </w:r>
            <w:r w:rsidR="008B3AAD" w:rsidRPr="001B674F">
              <w:rPr>
                <w:rFonts w:ascii="Arial" w:hAnsi="Arial" w:cs="Arial"/>
                <w:sz w:val="20"/>
              </w:rPr>
              <w:t>.</w:t>
            </w:r>
          </w:p>
        </w:tc>
        <w:tc>
          <w:tcPr>
            <w:tcW w:w="429" w:type="pct"/>
            <w:shd w:val="clear" w:color="auto" w:fill="F2F2F2" w:themeFill="background1" w:themeFillShade="F2"/>
          </w:tcPr>
          <w:p w:rsidR="00E06F30" w:rsidRPr="001B674F" w:rsidDel="0095001D" w:rsidRDefault="00E06F30" w:rsidP="00B439B7">
            <w:pPr>
              <w:jc w:val="left"/>
              <w:rPr>
                <w:rFonts w:ascii="Arial" w:hAnsi="Arial" w:cs="Arial"/>
                <w:sz w:val="20"/>
              </w:rPr>
            </w:pPr>
            <w:r w:rsidRPr="001B674F">
              <w:rPr>
                <w:rFonts w:ascii="Arial" w:hAnsi="Arial" w:cs="Arial"/>
                <w:sz w:val="20"/>
              </w:rPr>
              <w:t>The legislative role of social work would remain unchanged but there would be practical impacts on the social work role</w:t>
            </w:r>
            <w:r w:rsidR="008B3AAD" w:rsidRPr="001B674F">
              <w:rPr>
                <w:rFonts w:ascii="Arial" w:hAnsi="Arial" w:cs="Arial"/>
                <w:sz w:val="20"/>
              </w:rPr>
              <w:t>.</w:t>
            </w:r>
          </w:p>
        </w:tc>
        <w:tc>
          <w:tcPr>
            <w:tcW w:w="520" w:type="pct"/>
            <w:shd w:val="clear" w:color="auto" w:fill="DAEEF3" w:themeFill="accent5" w:themeFillTint="33"/>
          </w:tcPr>
          <w:p w:rsidR="00E06F30" w:rsidRPr="001B674F" w:rsidDel="0095001D" w:rsidRDefault="00E06F30" w:rsidP="00444039">
            <w:pPr>
              <w:jc w:val="left"/>
              <w:rPr>
                <w:rFonts w:ascii="Arial" w:hAnsi="Arial" w:cs="Arial"/>
                <w:sz w:val="20"/>
              </w:rPr>
            </w:pPr>
            <w:r w:rsidRPr="001B674F">
              <w:rPr>
                <w:rFonts w:ascii="Arial" w:hAnsi="Arial" w:cs="Arial"/>
                <w:sz w:val="20"/>
              </w:rPr>
              <w:t>This option does not achieve the objective of placing accountability at the appropriate level</w:t>
            </w:r>
            <w:r w:rsidR="00B439B7" w:rsidRPr="001B674F">
              <w:rPr>
                <w:rFonts w:ascii="Arial" w:hAnsi="Arial" w:cs="Arial"/>
                <w:sz w:val="20"/>
              </w:rPr>
              <w:t xml:space="preserve"> </w:t>
            </w:r>
            <w:r w:rsidR="00444039">
              <w:rPr>
                <w:rFonts w:ascii="Arial" w:hAnsi="Arial" w:cs="Arial"/>
                <w:sz w:val="20"/>
              </w:rPr>
              <w:t xml:space="preserve">or </w:t>
            </w:r>
            <w:r w:rsidR="00B439B7" w:rsidRPr="001B674F">
              <w:rPr>
                <w:rFonts w:ascii="Arial" w:hAnsi="Arial" w:cs="Arial"/>
                <w:sz w:val="20"/>
              </w:rPr>
              <w:t>provide appropriate flexibility for partnering</w:t>
            </w:r>
            <w:r w:rsidR="008B3AAD" w:rsidRPr="001B674F">
              <w:rPr>
                <w:rFonts w:ascii="Arial" w:hAnsi="Arial" w:cs="Arial"/>
                <w:sz w:val="20"/>
              </w:rPr>
              <w:t>.</w:t>
            </w:r>
          </w:p>
        </w:tc>
      </w:tr>
      <w:tr w:rsidR="00CF2433" w:rsidRPr="001B674F" w:rsidTr="00444039">
        <w:tc>
          <w:tcPr>
            <w:tcW w:w="487" w:type="pct"/>
            <w:shd w:val="clear" w:color="auto" w:fill="DAEEF3" w:themeFill="accent5" w:themeFillTint="33"/>
          </w:tcPr>
          <w:p w:rsidR="00971675" w:rsidRPr="001B674F" w:rsidRDefault="00E06F30" w:rsidP="008813DA">
            <w:pPr>
              <w:pStyle w:val="ListParagraph"/>
              <w:numPr>
                <w:ilvl w:val="0"/>
                <w:numId w:val="34"/>
              </w:numPr>
              <w:jc w:val="left"/>
              <w:rPr>
                <w:rFonts w:ascii="Arial" w:hAnsi="Arial" w:cs="Arial"/>
                <w:b/>
                <w:sz w:val="20"/>
              </w:rPr>
            </w:pPr>
            <w:r w:rsidRPr="001B674F">
              <w:rPr>
                <w:rFonts w:ascii="Arial" w:hAnsi="Arial" w:cs="Arial"/>
                <w:b/>
                <w:sz w:val="20"/>
              </w:rPr>
              <w:t>Chief Executive accountability</w:t>
            </w:r>
            <w:r w:rsidR="00971675" w:rsidRPr="001B674F">
              <w:rPr>
                <w:rFonts w:ascii="Arial" w:hAnsi="Arial" w:cs="Arial"/>
                <w:b/>
                <w:sz w:val="20"/>
              </w:rPr>
              <w:t xml:space="preserve"> (preferred option)</w:t>
            </w:r>
          </w:p>
        </w:tc>
        <w:tc>
          <w:tcPr>
            <w:tcW w:w="1287" w:type="pct"/>
            <w:shd w:val="clear" w:color="auto" w:fill="DAEEF3" w:themeFill="accent5" w:themeFillTint="33"/>
          </w:tcPr>
          <w:p w:rsidR="008813DA" w:rsidRPr="001B674F" w:rsidRDefault="00E06F30" w:rsidP="008813DA">
            <w:pPr>
              <w:spacing w:after="0"/>
              <w:jc w:val="left"/>
              <w:rPr>
                <w:rFonts w:ascii="Arial" w:hAnsi="Arial" w:cs="Arial"/>
                <w:sz w:val="20"/>
              </w:rPr>
            </w:pPr>
            <w:r w:rsidRPr="001B674F">
              <w:rPr>
                <w:rFonts w:ascii="Arial" w:hAnsi="Arial" w:cs="Arial"/>
                <w:sz w:val="20"/>
              </w:rPr>
              <w:t xml:space="preserve">Replace references to social workers in the Act with the Chief Executive or their delegate to have a single line of accountability and exercise of statutory power. </w:t>
            </w:r>
            <w:r w:rsidR="008813DA" w:rsidRPr="001B674F">
              <w:rPr>
                <w:rFonts w:ascii="Arial" w:hAnsi="Arial" w:cs="Arial"/>
                <w:sz w:val="20"/>
              </w:rPr>
              <w:t xml:space="preserve">This will enable the </w:t>
            </w:r>
            <w:r w:rsidR="00E014C6" w:rsidRPr="001B674F">
              <w:rPr>
                <w:rFonts w:ascii="Arial" w:hAnsi="Arial" w:cs="Arial"/>
                <w:sz w:val="20"/>
              </w:rPr>
              <w:t>Chief Executive</w:t>
            </w:r>
            <w:r w:rsidR="008813DA" w:rsidRPr="001B674F">
              <w:rPr>
                <w:rFonts w:ascii="Arial" w:hAnsi="Arial" w:cs="Arial"/>
                <w:sz w:val="20"/>
              </w:rPr>
              <w:t xml:space="preserve"> to delegate functions to employees in the department and elsewhere in the public service who are not social workers, and persons outside the public service with the appropriate Minister’s prior written approval. </w:t>
            </w:r>
            <w:r w:rsidR="00CF2433" w:rsidRPr="001B674F">
              <w:rPr>
                <w:rFonts w:ascii="Arial" w:hAnsi="Arial" w:cs="Arial"/>
                <w:sz w:val="20"/>
              </w:rPr>
              <w:t xml:space="preserve">Other risk management measure include </w:t>
            </w:r>
            <w:r w:rsidR="008813DA" w:rsidRPr="001B674F">
              <w:rPr>
                <w:rFonts w:ascii="Arial" w:hAnsi="Arial" w:cs="Arial"/>
                <w:sz w:val="20"/>
              </w:rPr>
              <w:t>that:</w:t>
            </w:r>
          </w:p>
          <w:p w:rsidR="008813DA" w:rsidRPr="001B674F" w:rsidRDefault="008813DA" w:rsidP="00CF2433">
            <w:pPr>
              <w:pStyle w:val="Bullet1"/>
              <w:spacing w:after="0"/>
              <w:jc w:val="left"/>
              <w:rPr>
                <w:rFonts w:ascii="Arial" w:hAnsi="Arial" w:cs="Arial"/>
                <w:sz w:val="20"/>
              </w:rPr>
            </w:pPr>
            <w:r w:rsidRPr="001B674F">
              <w:rPr>
                <w:rFonts w:ascii="Arial" w:hAnsi="Arial" w:cs="Arial"/>
                <w:sz w:val="20"/>
              </w:rPr>
              <w:t xml:space="preserve">the </w:t>
            </w:r>
            <w:r w:rsidR="00CF2433" w:rsidRPr="001B674F">
              <w:rPr>
                <w:rFonts w:ascii="Arial" w:hAnsi="Arial" w:cs="Arial"/>
                <w:sz w:val="20"/>
              </w:rPr>
              <w:t>Chief Executive</w:t>
            </w:r>
            <w:r w:rsidRPr="001B674F">
              <w:rPr>
                <w:rFonts w:ascii="Arial" w:hAnsi="Arial" w:cs="Arial"/>
                <w:sz w:val="20"/>
              </w:rPr>
              <w:t xml:space="preserve"> only delegate functions to people who have the interpersonal skills, training, and experience to be suitably qualified </w:t>
            </w:r>
          </w:p>
          <w:p w:rsidR="008813DA" w:rsidRPr="001B674F" w:rsidRDefault="008813DA" w:rsidP="00CF2433">
            <w:pPr>
              <w:pStyle w:val="Bullet1"/>
              <w:spacing w:after="0"/>
              <w:jc w:val="left"/>
              <w:rPr>
                <w:rFonts w:ascii="Arial" w:hAnsi="Arial" w:cs="Arial"/>
                <w:sz w:val="20"/>
              </w:rPr>
            </w:pPr>
            <w:r w:rsidRPr="001B674F">
              <w:rPr>
                <w:rFonts w:ascii="Arial" w:hAnsi="Arial" w:cs="Arial"/>
                <w:sz w:val="20"/>
              </w:rPr>
              <w:t xml:space="preserve">that if delegating outside the State sector, the </w:t>
            </w:r>
            <w:r w:rsidR="00CF2433" w:rsidRPr="001B674F">
              <w:rPr>
                <w:rFonts w:ascii="Arial" w:hAnsi="Arial" w:cs="Arial"/>
                <w:sz w:val="20"/>
              </w:rPr>
              <w:t xml:space="preserve">Chief Executive </w:t>
            </w:r>
            <w:r w:rsidRPr="001B674F">
              <w:rPr>
                <w:rFonts w:ascii="Arial" w:hAnsi="Arial" w:cs="Arial"/>
                <w:sz w:val="20"/>
              </w:rPr>
              <w:t xml:space="preserve">have contractual requirements in place to enable </w:t>
            </w:r>
            <w:r w:rsidR="00CF2433" w:rsidRPr="001B674F">
              <w:rPr>
                <w:rFonts w:ascii="Arial" w:hAnsi="Arial" w:cs="Arial"/>
                <w:sz w:val="20"/>
              </w:rPr>
              <w:t xml:space="preserve">them </w:t>
            </w:r>
            <w:r w:rsidRPr="001B674F">
              <w:rPr>
                <w:rFonts w:ascii="Arial" w:hAnsi="Arial" w:cs="Arial"/>
                <w:sz w:val="20"/>
              </w:rPr>
              <w:t>to be held to account</w:t>
            </w:r>
          </w:p>
          <w:p w:rsidR="008813DA" w:rsidRPr="001B674F" w:rsidRDefault="008813DA" w:rsidP="00CF2433">
            <w:pPr>
              <w:pStyle w:val="Bullet1"/>
              <w:spacing w:after="0"/>
              <w:jc w:val="left"/>
              <w:rPr>
                <w:rFonts w:ascii="Arial" w:hAnsi="Arial" w:cs="Arial"/>
                <w:sz w:val="20"/>
              </w:rPr>
            </w:pPr>
            <w:r w:rsidRPr="001B674F">
              <w:rPr>
                <w:rFonts w:ascii="Arial" w:hAnsi="Arial" w:cs="Arial"/>
                <w:sz w:val="20"/>
              </w:rPr>
              <w:t xml:space="preserve">those exercising delegated authority to have regard to any guidance issued by the </w:t>
            </w:r>
            <w:r w:rsidR="00CF2433" w:rsidRPr="001B674F">
              <w:rPr>
                <w:rFonts w:ascii="Arial" w:hAnsi="Arial" w:cs="Arial"/>
                <w:sz w:val="20"/>
              </w:rPr>
              <w:t>C</w:t>
            </w:r>
            <w:r w:rsidRPr="001B674F">
              <w:rPr>
                <w:rFonts w:ascii="Arial" w:hAnsi="Arial" w:cs="Arial"/>
                <w:sz w:val="20"/>
              </w:rPr>
              <w:t xml:space="preserve">hief </w:t>
            </w:r>
            <w:r w:rsidR="00CF2433" w:rsidRPr="001B674F">
              <w:rPr>
                <w:rFonts w:ascii="Arial" w:hAnsi="Arial" w:cs="Arial"/>
                <w:sz w:val="20"/>
              </w:rPr>
              <w:t>E</w:t>
            </w:r>
            <w:r w:rsidRPr="001B674F">
              <w:rPr>
                <w:rFonts w:ascii="Arial" w:hAnsi="Arial" w:cs="Arial"/>
                <w:sz w:val="20"/>
              </w:rPr>
              <w:t>xecutive</w:t>
            </w:r>
          </w:p>
          <w:p w:rsidR="00F17E4F" w:rsidRPr="001B674F" w:rsidRDefault="008813DA" w:rsidP="00CF2433">
            <w:pPr>
              <w:pStyle w:val="Bullet1"/>
              <w:spacing w:after="0"/>
              <w:jc w:val="left"/>
              <w:rPr>
                <w:rFonts w:ascii="Arial" w:hAnsi="Arial" w:cs="Arial"/>
              </w:rPr>
            </w:pPr>
            <w:proofErr w:type="gramStart"/>
            <w:r w:rsidRPr="001B674F">
              <w:rPr>
                <w:rFonts w:ascii="Arial" w:hAnsi="Arial" w:cs="Arial"/>
                <w:sz w:val="20"/>
              </w:rPr>
              <w:t>a</w:t>
            </w:r>
            <w:proofErr w:type="gramEnd"/>
            <w:r w:rsidRPr="001B674F">
              <w:rPr>
                <w:rFonts w:ascii="Arial" w:hAnsi="Arial" w:cs="Arial"/>
                <w:sz w:val="20"/>
              </w:rPr>
              <w:t xml:space="preserve"> publicly accessible register of delegations </w:t>
            </w:r>
            <w:r w:rsidR="00CF2433" w:rsidRPr="001B674F">
              <w:rPr>
                <w:rFonts w:ascii="Arial" w:hAnsi="Arial" w:cs="Arial"/>
                <w:sz w:val="20"/>
              </w:rPr>
              <w:t xml:space="preserve">be maintained </w:t>
            </w:r>
            <w:r w:rsidRPr="001B674F">
              <w:rPr>
                <w:rFonts w:ascii="Arial" w:hAnsi="Arial" w:cs="Arial"/>
                <w:sz w:val="20"/>
              </w:rPr>
              <w:t>to ensure transparency and clarity for the sector and the public.</w:t>
            </w:r>
          </w:p>
        </w:tc>
        <w:tc>
          <w:tcPr>
            <w:tcW w:w="528" w:type="pct"/>
          </w:tcPr>
          <w:p w:rsidR="00E06F30" w:rsidRPr="001B674F" w:rsidRDefault="00E06F30" w:rsidP="00B439B7">
            <w:pPr>
              <w:jc w:val="left"/>
              <w:rPr>
                <w:rFonts w:ascii="Arial" w:hAnsi="Arial" w:cs="Arial"/>
                <w:sz w:val="20"/>
              </w:rPr>
            </w:pPr>
            <w:r w:rsidRPr="001B674F">
              <w:rPr>
                <w:rFonts w:ascii="Arial" w:hAnsi="Arial" w:cs="Arial"/>
                <w:sz w:val="20"/>
              </w:rPr>
              <w:t xml:space="preserve">Opens up the department </w:t>
            </w:r>
            <w:r w:rsidR="0081795A" w:rsidRPr="001B674F">
              <w:rPr>
                <w:rFonts w:ascii="Arial" w:hAnsi="Arial" w:cs="Arial"/>
                <w:sz w:val="20"/>
              </w:rPr>
              <w:t xml:space="preserve">to </w:t>
            </w:r>
            <w:r w:rsidRPr="001B674F">
              <w:rPr>
                <w:rFonts w:ascii="Arial" w:hAnsi="Arial" w:cs="Arial"/>
                <w:sz w:val="20"/>
              </w:rPr>
              <w:t>employing other professionals for their specialist skills</w:t>
            </w:r>
            <w:r w:rsidR="0081795A" w:rsidRPr="001B674F">
              <w:rPr>
                <w:rFonts w:ascii="Arial" w:hAnsi="Arial" w:cs="Arial"/>
                <w:sz w:val="20"/>
              </w:rPr>
              <w:t>,</w:t>
            </w:r>
            <w:r w:rsidRPr="001B674F">
              <w:rPr>
                <w:rFonts w:ascii="Arial" w:hAnsi="Arial" w:cs="Arial"/>
                <w:sz w:val="20"/>
              </w:rPr>
              <w:t xml:space="preserve"> and the CE </w:t>
            </w:r>
            <w:r w:rsidR="0081795A" w:rsidRPr="001B674F">
              <w:rPr>
                <w:rFonts w:ascii="Arial" w:hAnsi="Arial" w:cs="Arial"/>
                <w:sz w:val="20"/>
              </w:rPr>
              <w:t xml:space="preserve">to </w:t>
            </w:r>
            <w:r w:rsidRPr="001B674F">
              <w:rPr>
                <w:rFonts w:ascii="Arial" w:hAnsi="Arial" w:cs="Arial"/>
                <w:sz w:val="20"/>
              </w:rPr>
              <w:t>delegating to agencies and individuals outside the department</w:t>
            </w:r>
            <w:r w:rsidR="0081795A" w:rsidRPr="001B674F">
              <w:rPr>
                <w:rFonts w:ascii="Arial" w:hAnsi="Arial" w:cs="Arial"/>
                <w:sz w:val="20"/>
              </w:rPr>
              <w:t>,</w:t>
            </w:r>
            <w:r w:rsidRPr="001B674F">
              <w:rPr>
                <w:rFonts w:ascii="Arial" w:hAnsi="Arial" w:cs="Arial"/>
                <w:sz w:val="20"/>
              </w:rPr>
              <w:t xml:space="preserve"> as enabled by the State Sector Act 1988</w:t>
            </w:r>
            <w:r w:rsidR="0081795A" w:rsidRPr="001B674F">
              <w:rPr>
                <w:rFonts w:ascii="Arial" w:hAnsi="Arial" w:cs="Arial"/>
                <w:sz w:val="20"/>
              </w:rPr>
              <w:t>.</w:t>
            </w:r>
          </w:p>
        </w:tc>
        <w:tc>
          <w:tcPr>
            <w:tcW w:w="429" w:type="pct"/>
          </w:tcPr>
          <w:p w:rsidR="00E06F30" w:rsidRPr="001B674F" w:rsidRDefault="00E06F30" w:rsidP="00B439B7">
            <w:pPr>
              <w:jc w:val="left"/>
              <w:rPr>
                <w:rFonts w:ascii="Arial" w:hAnsi="Arial" w:cs="Arial"/>
                <w:sz w:val="20"/>
              </w:rPr>
            </w:pPr>
            <w:r w:rsidRPr="001B674F">
              <w:rPr>
                <w:rFonts w:ascii="Arial" w:hAnsi="Arial" w:cs="Arial"/>
                <w:sz w:val="20"/>
              </w:rPr>
              <w:t>System level accountability is vested in the CE but delegated agents of the department can undertake functions</w:t>
            </w:r>
            <w:r w:rsidR="0081795A" w:rsidRPr="001B674F">
              <w:rPr>
                <w:rFonts w:ascii="Arial" w:hAnsi="Arial" w:cs="Arial"/>
                <w:sz w:val="20"/>
              </w:rPr>
              <w:t>.</w:t>
            </w:r>
            <w:r w:rsidRPr="001B674F">
              <w:rPr>
                <w:rFonts w:ascii="Arial" w:hAnsi="Arial" w:cs="Arial"/>
                <w:sz w:val="20"/>
              </w:rPr>
              <w:t xml:space="preserve"> </w:t>
            </w:r>
          </w:p>
        </w:tc>
        <w:tc>
          <w:tcPr>
            <w:tcW w:w="297" w:type="pct"/>
          </w:tcPr>
          <w:p w:rsidR="00E06F30" w:rsidRPr="001B674F" w:rsidRDefault="00E06F30" w:rsidP="00B439B7">
            <w:pPr>
              <w:jc w:val="left"/>
              <w:rPr>
                <w:rFonts w:ascii="Arial" w:hAnsi="Arial" w:cs="Arial"/>
                <w:sz w:val="20"/>
              </w:rPr>
            </w:pPr>
            <w:r w:rsidRPr="001B674F">
              <w:rPr>
                <w:rFonts w:ascii="Arial" w:hAnsi="Arial" w:cs="Arial"/>
                <w:sz w:val="20"/>
              </w:rPr>
              <w:t>Yes</w:t>
            </w:r>
            <w:r w:rsidR="0081795A" w:rsidRPr="001B674F">
              <w:rPr>
                <w:rFonts w:ascii="Arial" w:hAnsi="Arial" w:cs="Arial"/>
                <w:sz w:val="20"/>
              </w:rPr>
              <w:t>.</w:t>
            </w:r>
          </w:p>
        </w:tc>
        <w:tc>
          <w:tcPr>
            <w:tcW w:w="396" w:type="pct"/>
          </w:tcPr>
          <w:p w:rsidR="00E06F30" w:rsidRPr="001B674F" w:rsidRDefault="00E06F30" w:rsidP="00B439B7">
            <w:pPr>
              <w:jc w:val="left"/>
              <w:rPr>
                <w:rFonts w:ascii="Arial" w:hAnsi="Arial" w:cs="Arial"/>
                <w:sz w:val="20"/>
              </w:rPr>
            </w:pPr>
            <w:r w:rsidRPr="001B674F">
              <w:rPr>
                <w:rFonts w:ascii="Arial" w:hAnsi="Arial" w:cs="Arial"/>
                <w:sz w:val="20"/>
              </w:rPr>
              <w:t xml:space="preserve">Aligns with detailed design and shouldn’t require </w:t>
            </w:r>
            <w:r w:rsidR="00755551">
              <w:rPr>
                <w:rFonts w:ascii="Arial" w:hAnsi="Arial" w:cs="Arial"/>
                <w:sz w:val="20"/>
              </w:rPr>
              <w:t>legislative</w:t>
            </w:r>
            <w:r w:rsidR="00755551" w:rsidRPr="001B674F">
              <w:rPr>
                <w:rFonts w:ascii="Arial" w:hAnsi="Arial" w:cs="Arial"/>
                <w:sz w:val="20"/>
              </w:rPr>
              <w:t xml:space="preserve"> changes.</w:t>
            </w:r>
          </w:p>
          <w:p w:rsidR="00E06F30" w:rsidRPr="001B674F" w:rsidRDefault="00E06F30" w:rsidP="00B439B7">
            <w:pPr>
              <w:jc w:val="left"/>
              <w:rPr>
                <w:rFonts w:ascii="Arial" w:hAnsi="Arial" w:cs="Arial"/>
                <w:sz w:val="20"/>
              </w:rPr>
            </w:pPr>
          </w:p>
        </w:tc>
        <w:tc>
          <w:tcPr>
            <w:tcW w:w="627" w:type="pct"/>
          </w:tcPr>
          <w:p w:rsidR="00DD0D7E" w:rsidRPr="001B674F" w:rsidRDefault="00CF2433" w:rsidP="00B439B7">
            <w:pPr>
              <w:jc w:val="left"/>
              <w:rPr>
                <w:rFonts w:ascii="Arial" w:hAnsi="Arial" w:cs="Arial"/>
                <w:sz w:val="20"/>
              </w:rPr>
            </w:pPr>
            <w:r w:rsidRPr="001B674F">
              <w:rPr>
                <w:rFonts w:ascii="Arial" w:hAnsi="Arial" w:cs="Arial"/>
                <w:sz w:val="20"/>
              </w:rPr>
              <w:t xml:space="preserve">This </w:t>
            </w:r>
            <w:r w:rsidR="00DD0D7E" w:rsidRPr="001B674F">
              <w:rPr>
                <w:rFonts w:ascii="Arial" w:hAnsi="Arial" w:cs="Arial"/>
                <w:sz w:val="20"/>
              </w:rPr>
              <w:t xml:space="preserve">option </w:t>
            </w:r>
            <w:r w:rsidRPr="001B674F">
              <w:rPr>
                <w:rFonts w:ascii="Arial" w:hAnsi="Arial" w:cs="Arial"/>
                <w:sz w:val="20"/>
              </w:rPr>
              <w:t>w</w:t>
            </w:r>
            <w:r w:rsidR="00E06F30" w:rsidRPr="001B674F">
              <w:rPr>
                <w:rFonts w:ascii="Arial" w:hAnsi="Arial" w:cs="Arial"/>
                <w:sz w:val="20"/>
              </w:rPr>
              <w:t>ould require the CE to develop robust policy and procedures to ensure that other professionals, particularly external delegates, have the right skills for the right tasks</w:t>
            </w:r>
            <w:r w:rsidR="00444039">
              <w:rPr>
                <w:rFonts w:ascii="Arial" w:hAnsi="Arial" w:cs="Arial"/>
                <w:sz w:val="20"/>
              </w:rPr>
              <w:t>,</w:t>
            </w:r>
            <w:r w:rsidR="00E06F30" w:rsidRPr="001B674F">
              <w:rPr>
                <w:rFonts w:ascii="Arial" w:hAnsi="Arial" w:cs="Arial"/>
                <w:sz w:val="20"/>
              </w:rPr>
              <w:t xml:space="preserve"> </w:t>
            </w:r>
            <w:r w:rsidR="00444039">
              <w:rPr>
                <w:rFonts w:ascii="Arial" w:hAnsi="Arial" w:cs="Arial"/>
                <w:sz w:val="20"/>
              </w:rPr>
              <w:t>a</w:t>
            </w:r>
            <w:r w:rsidR="00DD0D7E" w:rsidRPr="001B674F">
              <w:rPr>
                <w:rFonts w:ascii="Arial" w:hAnsi="Arial" w:cs="Arial"/>
                <w:sz w:val="20"/>
              </w:rPr>
              <w:t>nd to ensure clarity for the sector and the public.</w:t>
            </w:r>
          </w:p>
          <w:p w:rsidR="00E06F30" w:rsidRPr="001B674F" w:rsidRDefault="00CF2433" w:rsidP="00B439B7">
            <w:pPr>
              <w:jc w:val="left"/>
              <w:rPr>
                <w:rFonts w:ascii="Arial" w:hAnsi="Arial" w:cs="Arial"/>
                <w:sz w:val="20"/>
              </w:rPr>
            </w:pPr>
            <w:r w:rsidRPr="001B674F">
              <w:rPr>
                <w:rFonts w:ascii="Arial" w:hAnsi="Arial" w:cs="Arial"/>
                <w:sz w:val="20"/>
              </w:rPr>
              <w:t>T</w:t>
            </w:r>
            <w:r w:rsidR="00E06F30" w:rsidRPr="001B674F">
              <w:rPr>
                <w:rFonts w:ascii="Arial" w:hAnsi="Arial" w:cs="Arial"/>
                <w:sz w:val="20"/>
              </w:rPr>
              <w:t>h</w:t>
            </w:r>
            <w:r w:rsidRPr="001B674F">
              <w:rPr>
                <w:rFonts w:ascii="Arial" w:hAnsi="Arial" w:cs="Arial"/>
                <w:sz w:val="20"/>
              </w:rPr>
              <w:t>e proposed risk management measures</w:t>
            </w:r>
            <w:r w:rsidR="00E06F30" w:rsidRPr="001B674F">
              <w:rPr>
                <w:rFonts w:ascii="Arial" w:hAnsi="Arial" w:cs="Arial"/>
                <w:sz w:val="20"/>
              </w:rPr>
              <w:t xml:space="preserve"> </w:t>
            </w:r>
            <w:r w:rsidR="006D4E73" w:rsidRPr="001B674F">
              <w:rPr>
                <w:rFonts w:ascii="Arial" w:hAnsi="Arial" w:cs="Arial"/>
                <w:sz w:val="20"/>
              </w:rPr>
              <w:t xml:space="preserve">provide </w:t>
            </w:r>
            <w:r w:rsidR="00DD0D7E" w:rsidRPr="001B674F">
              <w:rPr>
                <w:rFonts w:ascii="Arial" w:hAnsi="Arial" w:cs="Arial"/>
                <w:sz w:val="20"/>
              </w:rPr>
              <w:t>sufficient</w:t>
            </w:r>
            <w:r w:rsidR="006D4E73" w:rsidRPr="001B674F">
              <w:rPr>
                <w:rFonts w:ascii="Arial" w:hAnsi="Arial" w:cs="Arial"/>
                <w:sz w:val="20"/>
              </w:rPr>
              <w:t xml:space="preserve"> assurance that this would</w:t>
            </w:r>
            <w:r w:rsidR="00DD0D7E" w:rsidRPr="001B674F">
              <w:rPr>
                <w:rFonts w:ascii="Arial" w:hAnsi="Arial" w:cs="Arial"/>
                <w:sz w:val="20"/>
              </w:rPr>
              <w:t xml:space="preserve"> be achieved.</w:t>
            </w:r>
          </w:p>
          <w:p w:rsidR="00E06F30" w:rsidRPr="001B674F" w:rsidRDefault="00E06F30" w:rsidP="00B439B7">
            <w:pPr>
              <w:jc w:val="left"/>
              <w:rPr>
                <w:rFonts w:ascii="Arial" w:hAnsi="Arial" w:cs="Arial"/>
                <w:sz w:val="20"/>
              </w:rPr>
            </w:pPr>
          </w:p>
        </w:tc>
        <w:tc>
          <w:tcPr>
            <w:tcW w:w="429" w:type="pct"/>
          </w:tcPr>
          <w:p w:rsidR="00E06F30" w:rsidRPr="001B674F" w:rsidRDefault="00E06F30" w:rsidP="00B439B7">
            <w:pPr>
              <w:jc w:val="left"/>
              <w:rPr>
                <w:rFonts w:ascii="Arial" w:hAnsi="Arial" w:cs="Arial"/>
                <w:sz w:val="20"/>
              </w:rPr>
            </w:pPr>
            <w:r w:rsidRPr="001B674F">
              <w:rPr>
                <w:rFonts w:ascii="Arial" w:hAnsi="Arial" w:cs="Arial"/>
                <w:sz w:val="20"/>
              </w:rPr>
              <w:t>Achieves the objectives without distorting the definition of social worker.</w:t>
            </w:r>
          </w:p>
          <w:p w:rsidR="00E06F30" w:rsidRPr="001B674F" w:rsidRDefault="00E06F30" w:rsidP="00B439B7">
            <w:pPr>
              <w:jc w:val="left"/>
              <w:rPr>
                <w:rFonts w:ascii="Arial" w:hAnsi="Arial" w:cs="Arial"/>
                <w:sz w:val="20"/>
              </w:rPr>
            </w:pPr>
            <w:r w:rsidRPr="001B674F">
              <w:rPr>
                <w:rFonts w:ascii="Arial" w:hAnsi="Arial" w:cs="Arial"/>
                <w:sz w:val="20"/>
              </w:rPr>
              <w:t xml:space="preserve">The role of the social work profession in the new operating model would need to be clearly defined. </w:t>
            </w:r>
          </w:p>
        </w:tc>
        <w:tc>
          <w:tcPr>
            <w:tcW w:w="520" w:type="pct"/>
            <w:shd w:val="clear" w:color="auto" w:fill="DAEEF3" w:themeFill="accent5" w:themeFillTint="33"/>
          </w:tcPr>
          <w:p w:rsidR="00E06F30" w:rsidRPr="001B674F" w:rsidRDefault="00E06F30" w:rsidP="00B439B7">
            <w:pPr>
              <w:jc w:val="left"/>
              <w:rPr>
                <w:rFonts w:ascii="Arial" w:hAnsi="Arial" w:cs="Arial"/>
                <w:sz w:val="20"/>
              </w:rPr>
            </w:pPr>
            <w:r w:rsidRPr="001B674F">
              <w:rPr>
                <w:rFonts w:ascii="Arial" w:hAnsi="Arial" w:cs="Arial"/>
                <w:sz w:val="20"/>
              </w:rPr>
              <w:t xml:space="preserve">Achieves the objectives while meeting our other criteria. </w:t>
            </w:r>
          </w:p>
        </w:tc>
      </w:tr>
      <w:tr w:rsidR="00CF2433" w:rsidRPr="001B674F" w:rsidTr="00444039">
        <w:trPr>
          <w:trHeight w:val="2207"/>
        </w:trPr>
        <w:tc>
          <w:tcPr>
            <w:tcW w:w="487" w:type="pct"/>
            <w:shd w:val="clear" w:color="auto" w:fill="DAEEF3" w:themeFill="accent5" w:themeFillTint="33"/>
          </w:tcPr>
          <w:p w:rsidR="00E06F30" w:rsidRPr="001B674F" w:rsidRDefault="00E06F30" w:rsidP="00B439B7">
            <w:pPr>
              <w:ind w:left="567"/>
              <w:jc w:val="left"/>
              <w:rPr>
                <w:rFonts w:ascii="Arial" w:hAnsi="Arial" w:cs="Arial"/>
                <w:sz w:val="20"/>
              </w:rPr>
            </w:pPr>
            <w:r w:rsidRPr="001B674F">
              <w:rPr>
                <w:rFonts w:ascii="Arial" w:hAnsi="Arial" w:cs="Arial"/>
                <w:b/>
                <w:sz w:val="20"/>
              </w:rPr>
              <w:lastRenderedPageBreak/>
              <w:t xml:space="preserve">2A. Limit CE delegation </w:t>
            </w:r>
            <w:r w:rsidR="00363B32" w:rsidRPr="001B674F">
              <w:rPr>
                <w:rFonts w:ascii="Arial" w:hAnsi="Arial" w:cs="Arial"/>
                <w:b/>
                <w:sz w:val="20"/>
              </w:rPr>
              <w:t xml:space="preserve">to </w:t>
            </w:r>
            <w:r w:rsidRPr="001B674F">
              <w:rPr>
                <w:rFonts w:ascii="Arial" w:hAnsi="Arial" w:cs="Arial"/>
                <w:b/>
                <w:sz w:val="20"/>
              </w:rPr>
              <w:t>employees</w:t>
            </w:r>
          </w:p>
        </w:tc>
        <w:tc>
          <w:tcPr>
            <w:tcW w:w="1287" w:type="pct"/>
            <w:shd w:val="clear" w:color="auto" w:fill="DAEEF3" w:themeFill="accent5" w:themeFillTint="33"/>
          </w:tcPr>
          <w:p w:rsidR="00E06F30" w:rsidRPr="001B674F" w:rsidRDefault="00E06F30" w:rsidP="00444039">
            <w:pPr>
              <w:jc w:val="left"/>
              <w:rPr>
                <w:rFonts w:ascii="Arial" w:hAnsi="Arial" w:cs="Arial"/>
                <w:sz w:val="20"/>
              </w:rPr>
            </w:pPr>
            <w:r w:rsidRPr="001B674F">
              <w:rPr>
                <w:rFonts w:ascii="Arial" w:hAnsi="Arial" w:cs="Arial"/>
                <w:sz w:val="20"/>
              </w:rPr>
              <w:t xml:space="preserve">Replace references to social workers in the Act with the Chief Executive or their delegate, but require delegates to be employees of the department. </w:t>
            </w:r>
          </w:p>
        </w:tc>
        <w:tc>
          <w:tcPr>
            <w:tcW w:w="528" w:type="pct"/>
            <w:shd w:val="clear" w:color="auto" w:fill="F2F2F2" w:themeFill="background1" w:themeFillShade="F2"/>
          </w:tcPr>
          <w:p w:rsidR="00E06F30" w:rsidRPr="001B674F" w:rsidRDefault="00E06F30" w:rsidP="00B439B7">
            <w:pPr>
              <w:jc w:val="left"/>
              <w:rPr>
                <w:rFonts w:ascii="Arial" w:hAnsi="Arial" w:cs="Arial"/>
                <w:sz w:val="20"/>
              </w:rPr>
            </w:pPr>
            <w:r w:rsidRPr="001B674F">
              <w:rPr>
                <w:rFonts w:ascii="Arial" w:hAnsi="Arial" w:cs="Arial"/>
                <w:sz w:val="20"/>
              </w:rPr>
              <w:t xml:space="preserve">Opens up employing other professionals for their specialist skills </w:t>
            </w:r>
          </w:p>
        </w:tc>
        <w:tc>
          <w:tcPr>
            <w:tcW w:w="429" w:type="pct"/>
            <w:shd w:val="clear" w:color="auto" w:fill="F2F2F2" w:themeFill="background1" w:themeFillShade="F2"/>
          </w:tcPr>
          <w:p w:rsidR="00E06F30" w:rsidRPr="001B674F" w:rsidRDefault="00E06F30" w:rsidP="00B439B7">
            <w:pPr>
              <w:jc w:val="left"/>
              <w:rPr>
                <w:rFonts w:ascii="Arial" w:hAnsi="Arial" w:cs="Arial"/>
                <w:sz w:val="20"/>
              </w:rPr>
            </w:pPr>
            <w:r w:rsidRPr="001B674F">
              <w:rPr>
                <w:rFonts w:ascii="Arial" w:hAnsi="Arial" w:cs="Arial"/>
                <w:sz w:val="20"/>
              </w:rPr>
              <w:t>Raises accountability to the CE. Only employees can undertake functions</w:t>
            </w:r>
            <w:r w:rsidR="0081795A" w:rsidRPr="001B674F">
              <w:rPr>
                <w:rFonts w:ascii="Arial" w:hAnsi="Arial" w:cs="Arial"/>
                <w:sz w:val="20"/>
              </w:rPr>
              <w:t>.</w:t>
            </w:r>
            <w:r w:rsidRPr="001B674F">
              <w:rPr>
                <w:rFonts w:ascii="Arial" w:hAnsi="Arial" w:cs="Arial"/>
                <w:sz w:val="20"/>
              </w:rPr>
              <w:t xml:space="preserve"> </w:t>
            </w:r>
          </w:p>
        </w:tc>
        <w:tc>
          <w:tcPr>
            <w:tcW w:w="297" w:type="pct"/>
            <w:shd w:val="clear" w:color="auto" w:fill="F2F2F2" w:themeFill="background1" w:themeFillShade="F2"/>
          </w:tcPr>
          <w:p w:rsidR="00E06F30" w:rsidRPr="001B674F" w:rsidRDefault="00E06F30" w:rsidP="00B439B7">
            <w:pPr>
              <w:jc w:val="left"/>
              <w:rPr>
                <w:rFonts w:ascii="Arial" w:hAnsi="Arial" w:cs="Arial"/>
                <w:sz w:val="20"/>
              </w:rPr>
            </w:pPr>
            <w:r w:rsidRPr="001B674F">
              <w:rPr>
                <w:rFonts w:ascii="Arial" w:hAnsi="Arial" w:cs="Arial"/>
                <w:sz w:val="20"/>
              </w:rPr>
              <w:t>No</w:t>
            </w:r>
            <w:r w:rsidR="0081795A" w:rsidRPr="001B674F">
              <w:rPr>
                <w:rFonts w:ascii="Arial" w:hAnsi="Arial" w:cs="Arial"/>
                <w:sz w:val="20"/>
              </w:rPr>
              <w:t>.</w:t>
            </w:r>
          </w:p>
        </w:tc>
        <w:tc>
          <w:tcPr>
            <w:tcW w:w="396" w:type="pct"/>
            <w:shd w:val="clear" w:color="auto" w:fill="F2F2F2" w:themeFill="background1" w:themeFillShade="F2"/>
          </w:tcPr>
          <w:p w:rsidR="00E06F30" w:rsidRPr="001B674F" w:rsidRDefault="00E06F30" w:rsidP="00B439B7">
            <w:pPr>
              <w:jc w:val="left"/>
              <w:rPr>
                <w:rFonts w:ascii="Arial" w:hAnsi="Arial" w:cs="Arial"/>
                <w:sz w:val="20"/>
              </w:rPr>
            </w:pPr>
            <w:r w:rsidRPr="001B674F">
              <w:rPr>
                <w:rFonts w:ascii="Arial" w:hAnsi="Arial" w:cs="Arial"/>
                <w:sz w:val="20"/>
              </w:rPr>
              <w:t xml:space="preserve">Detailed design may run up against the limitations of this option and require </w:t>
            </w:r>
            <w:r w:rsidR="00755551">
              <w:rPr>
                <w:rFonts w:ascii="Arial" w:hAnsi="Arial" w:cs="Arial"/>
                <w:sz w:val="20"/>
              </w:rPr>
              <w:t>legislative</w:t>
            </w:r>
            <w:r w:rsidR="00755551" w:rsidRPr="001B674F">
              <w:rPr>
                <w:rFonts w:ascii="Arial" w:hAnsi="Arial" w:cs="Arial"/>
                <w:sz w:val="20"/>
              </w:rPr>
              <w:t xml:space="preserve"> changes.</w:t>
            </w:r>
          </w:p>
        </w:tc>
        <w:tc>
          <w:tcPr>
            <w:tcW w:w="627" w:type="pct"/>
            <w:shd w:val="clear" w:color="auto" w:fill="F2F2F2" w:themeFill="background1" w:themeFillShade="F2"/>
          </w:tcPr>
          <w:p w:rsidR="00E06F30" w:rsidRPr="001B674F" w:rsidRDefault="00E06F30" w:rsidP="00444039">
            <w:pPr>
              <w:jc w:val="left"/>
              <w:rPr>
                <w:rFonts w:ascii="Arial" w:hAnsi="Arial" w:cs="Arial"/>
                <w:sz w:val="20"/>
              </w:rPr>
            </w:pPr>
            <w:r w:rsidRPr="001B674F">
              <w:rPr>
                <w:rFonts w:ascii="Arial" w:hAnsi="Arial" w:cs="Arial"/>
                <w:sz w:val="20"/>
              </w:rPr>
              <w:t>Current risk management through employment processes would be retained</w:t>
            </w:r>
            <w:r w:rsidR="0081795A" w:rsidRPr="001B674F">
              <w:rPr>
                <w:rFonts w:ascii="Arial" w:hAnsi="Arial" w:cs="Arial"/>
                <w:sz w:val="20"/>
              </w:rPr>
              <w:t>.</w:t>
            </w:r>
            <w:r w:rsidR="00444039" w:rsidRPr="001B674F">
              <w:rPr>
                <w:rFonts w:ascii="Arial" w:hAnsi="Arial" w:cs="Arial"/>
                <w:sz w:val="20"/>
              </w:rPr>
              <w:t xml:space="preserve"> This protects the public from the possibility that the </w:t>
            </w:r>
            <w:r w:rsidR="00444039">
              <w:rPr>
                <w:rFonts w:ascii="Arial" w:hAnsi="Arial" w:cs="Arial"/>
                <w:sz w:val="20"/>
              </w:rPr>
              <w:t>CE</w:t>
            </w:r>
            <w:r w:rsidR="00444039" w:rsidRPr="001B674F">
              <w:rPr>
                <w:rFonts w:ascii="Arial" w:hAnsi="Arial" w:cs="Arial"/>
                <w:sz w:val="20"/>
              </w:rPr>
              <w:t xml:space="preserve"> could delegate functions to an external agency which might then fail to competently carry out these functions.</w:t>
            </w:r>
          </w:p>
        </w:tc>
        <w:tc>
          <w:tcPr>
            <w:tcW w:w="429" w:type="pct"/>
            <w:shd w:val="clear" w:color="auto" w:fill="F2F2F2" w:themeFill="background1" w:themeFillShade="F2"/>
          </w:tcPr>
          <w:p w:rsidR="00E06F30" w:rsidRPr="001B674F" w:rsidRDefault="00E06F30" w:rsidP="00B439B7">
            <w:pPr>
              <w:jc w:val="left"/>
              <w:rPr>
                <w:rFonts w:ascii="Arial" w:hAnsi="Arial" w:cs="Arial"/>
                <w:sz w:val="20"/>
              </w:rPr>
            </w:pPr>
            <w:r w:rsidRPr="001B674F">
              <w:rPr>
                <w:rFonts w:ascii="Arial" w:hAnsi="Arial" w:cs="Arial"/>
                <w:sz w:val="20"/>
              </w:rPr>
              <w:t>Achieves the objectives without distorting the definition of social worker.</w:t>
            </w:r>
          </w:p>
        </w:tc>
        <w:tc>
          <w:tcPr>
            <w:tcW w:w="520" w:type="pct"/>
            <w:shd w:val="clear" w:color="auto" w:fill="DAEEF3" w:themeFill="accent5" w:themeFillTint="33"/>
          </w:tcPr>
          <w:p w:rsidR="00E06F30" w:rsidRPr="001B674F" w:rsidRDefault="00E06F30" w:rsidP="00472C4B">
            <w:pPr>
              <w:jc w:val="left"/>
              <w:rPr>
                <w:rFonts w:ascii="Arial" w:hAnsi="Arial" w:cs="Arial"/>
                <w:sz w:val="20"/>
              </w:rPr>
            </w:pPr>
            <w:r w:rsidRPr="001B674F">
              <w:rPr>
                <w:rFonts w:ascii="Arial" w:hAnsi="Arial" w:cs="Arial"/>
                <w:sz w:val="20"/>
              </w:rPr>
              <w:t>This option places accountability at the appropriate level</w:t>
            </w:r>
            <w:r w:rsidR="00472C4B" w:rsidRPr="001B674F">
              <w:rPr>
                <w:rFonts w:ascii="Arial" w:hAnsi="Arial" w:cs="Arial"/>
                <w:sz w:val="20"/>
              </w:rPr>
              <w:t>,</w:t>
            </w:r>
            <w:r w:rsidRPr="001B674F">
              <w:rPr>
                <w:rFonts w:ascii="Arial" w:hAnsi="Arial" w:cs="Arial"/>
                <w:sz w:val="20"/>
              </w:rPr>
              <w:t xml:space="preserve"> </w:t>
            </w:r>
            <w:r w:rsidR="00472C4B" w:rsidRPr="001B674F">
              <w:rPr>
                <w:rFonts w:ascii="Arial" w:hAnsi="Arial" w:cs="Arial"/>
                <w:sz w:val="20"/>
              </w:rPr>
              <w:t>but</w:t>
            </w:r>
            <w:r w:rsidRPr="001B674F">
              <w:rPr>
                <w:rFonts w:ascii="Arial" w:hAnsi="Arial" w:cs="Arial"/>
                <w:sz w:val="20"/>
              </w:rPr>
              <w:t xml:space="preserve"> </w:t>
            </w:r>
            <w:r w:rsidR="00472C4B" w:rsidRPr="001B674F">
              <w:rPr>
                <w:rFonts w:ascii="Arial" w:hAnsi="Arial" w:cs="Arial"/>
                <w:sz w:val="20"/>
              </w:rPr>
              <w:t>fails partnering objective</w:t>
            </w:r>
            <w:r w:rsidR="0081795A" w:rsidRPr="001B674F">
              <w:rPr>
                <w:rFonts w:ascii="Arial" w:hAnsi="Arial" w:cs="Arial"/>
                <w:sz w:val="20"/>
              </w:rPr>
              <w:t>.</w:t>
            </w:r>
          </w:p>
        </w:tc>
      </w:tr>
      <w:tr w:rsidR="00CF2433" w:rsidRPr="001B674F" w:rsidTr="00444039">
        <w:tc>
          <w:tcPr>
            <w:tcW w:w="487" w:type="pct"/>
            <w:shd w:val="clear" w:color="auto" w:fill="DAEEF3" w:themeFill="accent5" w:themeFillTint="33"/>
          </w:tcPr>
          <w:p w:rsidR="00E06F30" w:rsidRPr="001B674F" w:rsidRDefault="00E06F30" w:rsidP="00B439B7">
            <w:pPr>
              <w:ind w:left="567"/>
              <w:jc w:val="left"/>
              <w:rPr>
                <w:rFonts w:ascii="Arial" w:hAnsi="Arial" w:cs="Arial"/>
                <w:sz w:val="20"/>
              </w:rPr>
            </w:pPr>
            <w:r w:rsidRPr="001B674F">
              <w:rPr>
                <w:rFonts w:ascii="Arial" w:hAnsi="Arial" w:cs="Arial"/>
                <w:b/>
                <w:sz w:val="20"/>
              </w:rPr>
              <w:t>2B. Limit CE delegation</w:t>
            </w:r>
            <w:r w:rsidR="00363B32" w:rsidRPr="001B674F">
              <w:rPr>
                <w:rFonts w:ascii="Arial" w:hAnsi="Arial" w:cs="Arial"/>
                <w:b/>
                <w:sz w:val="20"/>
              </w:rPr>
              <w:t xml:space="preserve"> to</w:t>
            </w:r>
            <w:r w:rsidRPr="001B674F">
              <w:rPr>
                <w:rFonts w:ascii="Arial" w:hAnsi="Arial" w:cs="Arial"/>
                <w:b/>
                <w:sz w:val="20"/>
              </w:rPr>
              <w:t xml:space="preserve"> employees or </w:t>
            </w:r>
            <w:r w:rsidR="00363B32" w:rsidRPr="001B674F">
              <w:rPr>
                <w:rFonts w:ascii="Arial" w:hAnsi="Arial" w:cs="Arial"/>
                <w:b/>
                <w:sz w:val="20"/>
              </w:rPr>
              <w:t>classes of persons</w:t>
            </w:r>
            <w:r w:rsidRPr="001B674F">
              <w:rPr>
                <w:rFonts w:ascii="Arial" w:hAnsi="Arial" w:cs="Arial"/>
                <w:b/>
                <w:sz w:val="20"/>
              </w:rPr>
              <w:t xml:space="preserve"> listed on a </w:t>
            </w:r>
            <w:r w:rsidR="00363B32" w:rsidRPr="001B674F">
              <w:rPr>
                <w:rFonts w:ascii="Arial" w:hAnsi="Arial" w:cs="Arial"/>
                <w:b/>
                <w:sz w:val="20"/>
              </w:rPr>
              <w:t>S</w:t>
            </w:r>
            <w:r w:rsidRPr="001B674F">
              <w:rPr>
                <w:rFonts w:ascii="Arial" w:hAnsi="Arial" w:cs="Arial"/>
                <w:b/>
                <w:sz w:val="20"/>
              </w:rPr>
              <w:t>chedule in the Act.</w:t>
            </w:r>
            <w:r w:rsidRPr="001B674F">
              <w:rPr>
                <w:rFonts w:ascii="Arial" w:hAnsi="Arial" w:cs="Arial"/>
                <w:sz w:val="20"/>
              </w:rPr>
              <w:t xml:space="preserve"> </w:t>
            </w:r>
          </w:p>
        </w:tc>
        <w:tc>
          <w:tcPr>
            <w:tcW w:w="1287" w:type="pct"/>
            <w:shd w:val="clear" w:color="auto" w:fill="DAEEF3" w:themeFill="accent5" w:themeFillTint="33"/>
          </w:tcPr>
          <w:p w:rsidR="00E06F30" w:rsidRPr="001B674F" w:rsidRDefault="00E06F30" w:rsidP="00B439B7">
            <w:pPr>
              <w:jc w:val="left"/>
              <w:rPr>
                <w:rFonts w:ascii="Arial" w:hAnsi="Arial" w:cs="Arial"/>
                <w:sz w:val="20"/>
              </w:rPr>
            </w:pPr>
            <w:r w:rsidRPr="001B674F">
              <w:rPr>
                <w:rFonts w:ascii="Arial" w:hAnsi="Arial" w:cs="Arial"/>
                <w:sz w:val="20"/>
              </w:rPr>
              <w:t>Replace references to social workers in the Act with the Chief Executive or their delegate, but require delegates to be employees of the department or professionals listed in a schedule of the Act.</w:t>
            </w:r>
          </w:p>
          <w:p w:rsidR="00E06F30" w:rsidRPr="001B674F" w:rsidRDefault="00E06F30" w:rsidP="00B439B7">
            <w:pPr>
              <w:jc w:val="left"/>
              <w:rPr>
                <w:rFonts w:ascii="Arial" w:hAnsi="Arial" w:cs="Arial"/>
                <w:sz w:val="20"/>
              </w:rPr>
            </w:pPr>
            <w:r w:rsidRPr="001B674F">
              <w:rPr>
                <w:rFonts w:ascii="Arial" w:hAnsi="Arial" w:cs="Arial"/>
                <w:sz w:val="20"/>
              </w:rPr>
              <w:t>This allows the Chief Execut</w:t>
            </w:r>
            <w:r w:rsidR="0081795A" w:rsidRPr="001B674F">
              <w:rPr>
                <w:rFonts w:ascii="Arial" w:hAnsi="Arial" w:cs="Arial"/>
                <w:sz w:val="20"/>
              </w:rPr>
              <w:t>ive</w:t>
            </w:r>
            <w:r w:rsidRPr="001B674F">
              <w:rPr>
                <w:rFonts w:ascii="Arial" w:hAnsi="Arial" w:cs="Arial"/>
                <w:sz w:val="20"/>
              </w:rPr>
              <w:t xml:space="preserve"> to delegate functions to</w:t>
            </w:r>
            <w:r w:rsidR="00E3608F" w:rsidRPr="001B674F">
              <w:rPr>
                <w:rFonts w:ascii="Arial" w:hAnsi="Arial" w:cs="Arial"/>
                <w:sz w:val="20"/>
              </w:rPr>
              <w:t xml:space="preserve"> </w:t>
            </w:r>
            <w:r w:rsidR="00C65371" w:rsidRPr="001B674F">
              <w:rPr>
                <w:rFonts w:ascii="Arial" w:hAnsi="Arial" w:cs="Arial"/>
                <w:sz w:val="20"/>
              </w:rPr>
              <w:t xml:space="preserve">external </w:t>
            </w:r>
            <w:r w:rsidR="00932469" w:rsidRPr="001B674F">
              <w:rPr>
                <w:rFonts w:ascii="Arial" w:hAnsi="Arial" w:cs="Arial"/>
                <w:sz w:val="20"/>
              </w:rPr>
              <w:t>parties,</w:t>
            </w:r>
            <w:r w:rsidRPr="001B674F">
              <w:rPr>
                <w:rFonts w:ascii="Arial" w:hAnsi="Arial" w:cs="Arial"/>
                <w:sz w:val="20"/>
              </w:rPr>
              <w:t xml:space="preserve"> but </w:t>
            </w:r>
            <w:r w:rsidR="00C65371" w:rsidRPr="001B674F">
              <w:rPr>
                <w:rFonts w:ascii="Arial" w:hAnsi="Arial" w:cs="Arial"/>
                <w:sz w:val="20"/>
              </w:rPr>
              <w:t xml:space="preserve">allows the </w:t>
            </w:r>
            <w:r w:rsidR="0081795A" w:rsidRPr="001B674F">
              <w:rPr>
                <w:rFonts w:ascii="Arial" w:hAnsi="Arial" w:cs="Arial"/>
                <w:sz w:val="20"/>
              </w:rPr>
              <w:t xml:space="preserve">Executive </w:t>
            </w:r>
            <w:r w:rsidR="00C65371" w:rsidRPr="001B674F">
              <w:rPr>
                <w:rFonts w:ascii="Arial" w:hAnsi="Arial" w:cs="Arial"/>
                <w:sz w:val="20"/>
              </w:rPr>
              <w:t xml:space="preserve">to control the </w:t>
            </w:r>
            <w:r w:rsidRPr="001B674F">
              <w:rPr>
                <w:rFonts w:ascii="Arial" w:hAnsi="Arial" w:cs="Arial"/>
                <w:sz w:val="20"/>
              </w:rPr>
              <w:t>classes of professionals outside of the department</w:t>
            </w:r>
            <w:r w:rsidR="00C65371" w:rsidRPr="001B674F">
              <w:rPr>
                <w:rFonts w:ascii="Arial" w:hAnsi="Arial" w:cs="Arial"/>
                <w:sz w:val="20"/>
              </w:rPr>
              <w:t xml:space="preserve"> </w:t>
            </w:r>
            <w:r w:rsidR="00165D46" w:rsidRPr="001B674F">
              <w:rPr>
                <w:rFonts w:ascii="Arial" w:hAnsi="Arial" w:cs="Arial"/>
                <w:sz w:val="20"/>
              </w:rPr>
              <w:t xml:space="preserve">that can perform these functions, </w:t>
            </w:r>
            <w:r w:rsidR="00C65371" w:rsidRPr="001B674F">
              <w:rPr>
                <w:rFonts w:ascii="Arial" w:hAnsi="Arial" w:cs="Arial"/>
                <w:sz w:val="20"/>
              </w:rPr>
              <w:t xml:space="preserve">through amendment </w:t>
            </w:r>
            <w:r w:rsidRPr="001B674F">
              <w:rPr>
                <w:rFonts w:ascii="Arial" w:hAnsi="Arial" w:cs="Arial"/>
                <w:sz w:val="20"/>
              </w:rPr>
              <w:t xml:space="preserve">to the schedule </w:t>
            </w:r>
            <w:r w:rsidR="00C65371" w:rsidRPr="001B674F">
              <w:rPr>
                <w:rFonts w:ascii="Arial" w:hAnsi="Arial" w:cs="Arial"/>
                <w:sz w:val="20"/>
              </w:rPr>
              <w:t xml:space="preserve">by </w:t>
            </w:r>
            <w:r w:rsidRPr="001B674F">
              <w:rPr>
                <w:rFonts w:ascii="Arial" w:hAnsi="Arial" w:cs="Arial"/>
                <w:sz w:val="20"/>
              </w:rPr>
              <w:t>Order in Council.</w:t>
            </w:r>
          </w:p>
        </w:tc>
        <w:tc>
          <w:tcPr>
            <w:tcW w:w="528" w:type="pct"/>
          </w:tcPr>
          <w:p w:rsidR="00E06F30" w:rsidRPr="001B674F" w:rsidRDefault="00E06F30" w:rsidP="00B439B7">
            <w:pPr>
              <w:jc w:val="left"/>
              <w:rPr>
                <w:rFonts w:ascii="Arial" w:hAnsi="Arial" w:cs="Arial"/>
                <w:sz w:val="20"/>
              </w:rPr>
            </w:pPr>
            <w:r w:rsidRPr="001B674F">
              <w:rPr>
                <w:rFonts w:ascii="Arial" w:hAnsi="Arial" w:cs="Arial"/>
                <w:sz w:val="20"/>
              </w:rPr>
              <w:t xml:space="preserve">Opens up employing others for their specialist skills and delegating to agencies and individuals outside the department as enabled by the State Sector Act 1988. </w:t>
            </w:r>
          </w:p>
        </w:tc>
        <w:tc>
          <w:tcPr>
            <w:tcW w:w="429" w:type="pct"/>
          </w:tcPr>
          <w:p w:rsidR="00E06F30" w:rsidRPr="001B674F" w:rsidRDefault="00E06F30" w:rsidP="00B439B7">
            <w:pPr>
              <w:jc w:val="left"/>
              <w:rPr>
                <w:rFonts w:ascii="Arial" w:hAnsi="Arial" w:cs="Arial"/>
                <w:sz w:val="20"/>
              </w:rPr>
            </w:pPr>
            <w:r w:rsidRPr="001B674F">
              <w:rPr>
                <w:rFonts w:ascii="Arial" w:hAnsi="Arial" w:cs="Arial"/>
                <w:sz w:val="20"/>
              </w:rPr>
              <w:t>System level accountability is vested in the CE but delegated agents of the department can undertake functions.</w:t>
            </w:r>
          </w:p>
        </w:tc>
        <w:tc>
          <w:tcPr>
            <w:tcW w:w="297" w:type="pct"/>
          </w:tcPr>
          <w:p w:rsidR="00E06F30" w:rsidRPr="001B674F" w:rsidRDefault="006D4E73" w:rsidP="00B439B7">
            <w:pPr>
              <w:jc w:val="left"/>
              <w:rPr>
                <w:rFonts w:ascii="Arial" w:hAnsi="Arial" w:cs="Arial"/>
                <w:sz w:val="20"/>
              </w:rPr>
            </w:pPr>
            <w:r w:rsidRPr="001B674F">
              <w:rPr>
                <w:rFonts w:ascii="Arial" w:hAnsi="Arial" w:cs="Arial"/>
                <w:sz w:val="20"/>
              </w:rPr>
              <w:t>Somewhat</w:t>
            </w:r>
            <w:r w:rsidR="00444039">
              <w:rPr>
                <w:rFonts w:ascii="Arial" w:hAnsi="Arial" w:cs="Arial"/>
                <w:sz w:val="20"/>
              </w:rPr>
              <w:t>, but flexibility would be limited by the legislative Schedule</w:t>
            </w:r>
            <w:r w:rsidRPr="001B674F">
              <w:rPr>
                <w:rFonts w:ascii="Arial" w:hAnsi="Arial" w:cs="Arial"/>
                <w:sz w:val="20"/>
              </w:rPr>
              <w:t>.</w:t>
            </w:r>
          </w:p>
        </w:tc>
        <w:tc>
          <w:tcPr>
            <w:tcW w:w="396" w:type="pct"/>
          </w:tcPr>
          <w:p w:rsidR="00E06F30" w:rsidRPr="001B674F" w:rsidRDefault="00755551" w:rsidP="00755551">
            <w:pPr>
              <w:jc w:val="left"/>
              <w:rPr>
                <w:rFonts w:ascii="Arial" w:hAnsi="Arial" w:cs="Arial"/>
                <w:sz w:val="20"/>
              </w:rPr>
            </w:pPr>
            <w:r>
              <w:rPr>
                <w:rFonts w:ascii="Arial" w:hAnsi="Arial" w:cs="Arial"/>
                <w:sz w:val="20"/>
              </w:rPr>
              <w:t>A</w:t>
            </w:r>
            <w:r w:rsidRPr="001B674F">
              <w:rPr>
                <w:rFonts w:ascii="Arial" w:hAnsi="Arial" w:cs="Arial"/>
                <w:sz w:val="20"/>
              </w:rPr>
              <w:t xml:space="preserve">gility, durability and flexibility within the system unless descriptions in the </w:t>
            </w:r>
            <w:r>
              <w:rPr>
                <w:rFonts w:ascii="Arial" w:hAnsi="Arial" w:cs="Arial"/>
                <w:sz w:val="20"/>
              </w:rPr>
              <w:t>S</w:t>
            </w:r>
            <w:r w:rsidRPr="001B674F">
              <w:rPr>
                <w:rFonts w:ascii="Arial" w:hAnsi="Arial" w:cs="Arial"/>
                <w:sz w:val="20"/>
              </w:rPr>
              <w:t>chedule were kept at very general level.</w:t>
            </w:r>
          </w:p>
        </w:tc>
        <w:tc>
          <w:tcPr>
            <w:tcW w:w="627" w:type="pct"/>
          </w:tcPr>
          <w:p w:rsidR="00E06F30" w:rsidRPr="001B674F" w:rsidRDefault="009C5500" w:rsidP="00444039">
            <w:pPr>
              <w:jc w:val="left"/>
              <w:rPr>
                <w:rFonts w:ascii="Arial" w:hAnsi="Arial" w:cs="Arial"/>
                <w:sz w:val="20"/>
              </w:rPr>
            </w:pPr>
            <w:r w:rsidRPr="001B674F">
              <w:rPr>
                <w:rFonts w:ascii="Arial" w:hAnsi="Arial" w:cs="Arial"/>
                <w:sz w:val="20"/>
              </w:rPr>
              <w:t xml:space="preserve">A </w:t>
            </w:r>
            <w:r w:rsidR="00E06F30" w:rsidRPr="001B674F">
              <w:rPr>
                <w:rFonts w:ascii="Arial" w:hAnsi="Arial" w:cs="Arial"/>
                <w:sz w:val="20"/>
              </w:rPr>
              <w:t>Schedule in the Act would be publicly transparen</w:t>
            </w:r>
            <w:r w:rsidR="00444039">
              <w:rPr>
                <w:rFonts w:ascii="Arial" w:hAnsi="Arial" w:cs="Arial"/>
                <w:sz w:val="20"/>
              </w:rPr>
              <w:t>t.</w:t>
            </w:r>
            <w:r w:rsidR="00C65371" w:rsidRPr="001B674F">
              <w:rPr>
                <w:rFonts w:ascii="Arial" w:hAnsi="Arial" w:cs="Arial"/>
                <w:sz w:val="20"/>
              </w:rPr>
              <w:t xml:space="preserve"> </w:t>
            </w:r>
          </w:p>
        </w:tc>
        <w:tc>
          <w:tcPr>
            <w:tcW w:w="429" w:type="pct"/>
          </w:tcPr>
          <w:p w:rsidR="00E06F30" w:rsidRPr="001B674F" w:rsidRDefault="00E06F30" w:rsidP="00B439B7">
            <w:pPr>
              <w:jc w:val="left"/>
              <w:rPr>
                <w:rFonts w:ascii="Arial" w:hAnsi="Arial" w:cs="Arial"/>
                <w:sz w:val="20"/>
              </w:rPr>
            </w:pPr>
            <w:r w:rsidRPr="001B674F">
              <w:rPr>
                <w:rFonts w:ascii="Arial" w:hAnsi="Arial" w:cs="Arial"/>
                <w:sz w:val="20"/>
              </w:rPr>
              <w:t>Achieves the objectives without distorting the definition of social worker</w:t>
            </w:r>
            <w:r w:rsidR="00165D46" w:rsidRPr="001B674F">
              <w:rPr>
                <w:rFonts w:ascii="Arial" w:hAnsi="Arial" w:cs="Arial"/>
                <w:sz w:val="20"/>
              </w:rPr>
              <w:t>.</w:t>
            </w:r>
          </w:p>
        </w:tc>
        <w:tc>
          <w:tcPr>
            <w:tcW w:w="520" w:type="pct"/>
            <w:shd w:val="clear" w:color="auto" w:fill="DAEEF3" w:themeFill="accent5" w:themeFillTint="33"/>
          </w:tcPr>
          <w:p w:rsidR="00E06F30" w:rsidRPr="001B674F" w:rsidRDefault="00E06F30" w:rsidP="00472C4B">
            <w:pPr>
              <w:jc w:val="left"/>
              <w:rPr>
                <w:rFonts w:ascii="Arial" w:hAnsi="Arial" w:cs="Arial"/>
                <w:sz w:val="20"/>
              </w:rPr>
            </w:pPr>
            <w:r w:rsidRPr="001B674F">
              <w:rPr>
                <w:rFonts w:ascii="Arial" w:hAnsi="Arial" w:cs="Arial"/>
                <w:sz w:val="20"/>
              </w:rPr>
              <w:t xml:space="preserve">This option places accountability at the appropriate level, </w:t>
            </w:r>
            <w:r w:rsidR="00472C4B" w:rsidRPr="001B674F">
              <w:rPr>
                <w:rFonts w:ascii="Arial" w:hAnsi="Arial" w:cs="Arial"/>
                <w:sz w:val="20"/>
              </w:rPr>
              <w:t xml:space="preserve">and somewhat enables partnering, </w:t>
            </w:r>
            <w:r w:rsidR="00F17E4F" w:rsidRPr="001B674F">
              <w:rPr>
                <w:rFonts w:ascii="Arial" w:hAnsi="Arial" w:cs="Arial"/>
                <w:sz w:val="20"/>
              </w:rPr>
              <w:t xml:space="preserve">however </w:t>
            </w:r>
            <w:r w:rsidR="00C65371" w:rsidRPr="001B674F">
              <w:rPr>
                <w:rFonts w:ascii="Arial" w:hAnsi="Arial" w:cs="Arial"/>
                <w:sz w:val="20"/>
              </w:rPr>
              <w:t xml:space="preserve">using the Order in Council </w:t>
            </w:r>
            <w:r w:rsidRPr="001B674F">
              <w:rPr>
                <w:rFonts w:ascii="Arial" w:hAnsi="Arial" w:cs="Arial"/>
                <w:sz w:val="20"/>
              </w:rPr>
              <w:t>mechanism</w:t>
            </w:r>
            <w:r w:rsidR="00F17E4F" w:rsidRPr="001B674F">
              <w:rPr>
                <w:rFonts w:ascii="Arial" w:hAnsi="Arial" w:cs="Arial"/>
                <w:sz w:val="20"/>
              </w:rPr>
              <w:t>s</w:t>
            </w:r>
            <w:r w:rsidRPr="001B674F">
              <w:rPr>
                <w:rFonts w:ascii="Arial" w:hAnsi="Arial" w:cs="Arial"/>
                <w:sz w:val="20"/>
              </w:rPr>
              <w:t xml:space="preserve"> </w:t>
            </w:r>
            <w:r w:rsidR="00C65371" w:rsidRPr="001B674F">
              <w:rPr>
                <w:rFonts w:ascii="Arial" w:hAnsi="Arial" w:cs="Arial"/>
                <w:sz w:val="20"/>
              </w:rPr>
              <w:t xml:space="preserve">could </w:t>
            </w:r>
            <w:r w:rsidR="00F17E4F" w:rsidRPr="001B674F">
              <w:rPr>
                <w:rFonts w:ascii="Arial" w:hAnsi="Arial" w:cs="Arial"/>
                <w:sz w:val="20"/>
              </w:rPr>
              <w:t>hinder the agility, durability and flexibility within the system</w:t>
            </w:r>
            <w:r w:rsidR="00165D46" w:rsidRPr="001B674F">
              <w:rPr>
                <w:rFonts w:ascii="Arial" w:hAnsi="Arial" w:cs="Arial"/>
                <w:lang w:val="en-NZ"/>
              </w:rPr>
              <w:t>.</w:t>
            </w:r>
          </w:p>
        </w:tc>
      </w:tr>
      <w:tr w:rsidR="00CF2433" w:rsidRPr="001B674F" w:rsidTr="00444039">
        <w:trPr>
          <w:trHeight w:val="1954"/>
        </w:trPr>
        <w:tc>
          <w:tcPr>
            <w:tcW w:w="487" w:type="pct"/>
            <w:shd w:val="clear" w:color="auto" w:fill="DAEEF3" w:themeFill="accent5" w:themeFillTint="33"/>
          </w:tcPr>
          <w:p w:rsidR="00E06F30" w:rsidRPr="001B674F" w:rsidRDefault="00E06F30" w:rsidP="00B439B7">
            <w:pPr>
              <w:jc w:val="left"/>
              <w:rPr>
                <w:rFonts w:ascii="Arial" w:hAnsi="Arial" w:cs="Arial"/>
                <w:sz w:val="20"/>
              </w:rPr>
            </w:pPr>
            <w:r w:rsidRPr="001B674F">
              <w:rPr>
                <w:rFonts w:ascii="Arial" w:hAnsi="Arial" w:cs="Arial"/>
                <w:b/>
                <w:sz w:val="20"/>
              </w:rPr>
              <w:t>3A.</w:t>
            </w:r>
            <w:r w:rsidRPr="001B674F">
              <w:rPr>
                <w:rFonts w:ascii="Arial" w:hAnsi="Arial" w:cs="Arial"/>
                <w:sz w:val="20"/>
              </w:rPr>
              <w:t xml:space="preserve"> </w:t>
            </w:r>
            <w:r w:rsidRPr="001B674F">
              <w:rPr>
                <w:rFonts w:ascii="Arial" w:hAnsi="Arial" w:cs="Arial"/>
                <w:b/>
                <w:sz w:val="20"/>
              </w:rPr>
              <w:t>Officer of the department</w:t>
            </w:r>
            <w:r w:rsidRPr="001B674F">
              <w:rPr>
                <w:rFonts w:ascii="Arial" w:hAnsi="Arial" w:cs="Arial"/>
                <w:sz w:val="20"/>
              </w:rPr>
              <w:t xml:space="preserve"> </w:t>
            </w:r>
          </w:p>
        </w:tc>
        <w:tc>
          <w:tcPr>
            <w:tcW w:w="1287" w:type="pct"/>
            <w:shd w:val="clear" w:color="auto" w:fill="DAEEF3" w:themeFill="accent5" w:themeFillTint="33"/>
          </w:tcPr>
          <w:p w:rsidR="00E06F30" w:rsidRPr="001B674F" w:rsidRDefault="00E06F30" w:rsidP="00B439B7">
            <w:pPr>
              <w:jc w:val="left"/>
              <w:rPr>
                <w:rFonts w:ascii="Arial" w:hAnsi="Arial" w:cs="Arial"/>
                <w:sz w:val="20"/>
              </w:rPr>
            </w:pPr>
            <w:r w:rsidRPr="001B674F">
              <w:rPr>
                <w:rFonts w:ascii="Arial" w:hAnsi="Arial" w:cs="Arial"/>
                <w:sz w:val="20"/>
              </w:rPr>
              <w:t xml:space="preserve">Replace references to social workers in the Act with an “officer of the department”. This would allow more professionals to undertake functions under the Act but retains the protections of </w:t>
            </w:r>
            <w:r w:rsidR="00165D46" w:rsidRPr="001B674F">
              <w:rPr>
                <w:rFonts w:ascii="Arial" w:hAnsi="Arial" w:cs="Arial"/>
                <w:sz w:val="20"/>
              </w:rPr>
              <w:t xml:space="preserve">requiring </w:t>
            </w:r>
            <w:r w:rsidRPr="001B674F">
              <w:rPr>
                <w:rFonts w:ascii="Arial" w:hAnsi="Arial" w:cs="Arial"/>
                <w:sz w:val="20"/>
              </w:rPr>
              <w:t>these functions</w:t>
            </w:r>
            <w:r w:rsidR="00444039">
              <w:rPr>
                <w:rFonts w:ascii="Arial" w:hAnsi="Arial" w:cs="Arial"/>
                <w:sz w:val="20"/>
              </w:rPr>
              <w:t xml:space="preserve"> to</w:t>
            </w:r>
            <w:r w:rsidRPr="001B674F">
              <w:rPr>
                <w:rFonts w:ascii="Arial" w:hAnsi="Arial" w:cs="Arial"/>
                <w:sz w:val="20"/>
              </w:rPr>
              <w:t xml:space="preserve"> be undertaken by employees of the department.</w:t>
            </w:r>
            <w:r w:rsidR="00AB1D51" w:rsidRPr="001B674F">
              <w:rPr>
                <w:rFonts w:ascii="Arial" w:hAnsi="Arial" w:cs="Arial"/>
                <w:sz w:val="20"/>
              </w:rPr>
              <w:t xml:space="preserve"> </w:t>
            </w:r>
          </w:p>
        </w:tc>
        <w:tc>
          <w:tcPr>
            <w:tcW w:w="528" w:type="pct"/>
            <w:shd w:val="clear" w:color="auto" w:fill="F2F2F2" w:themeFill="background1" w:themeFillShade="F2"/>
          </w:tcPr>
          <w:p w:rsidR="00E06F30" w:rsidRPr="001B674F" w:rsidRDefault="00E06F30" w:rsidP="00B439B7">
            <w:pPr>
              <w:jc w:val="left"/>
              <w:rPr>
                <w:rFonts w:ascii="Arial" w:hAnsi="Arial" w:cs="Arial"/>
                <w:sz w:val="20"/>
              </w:rPr>
            </w:pPr>
            <w:r w:rsidRPr="001B674F">
              <w:rPr>
                <w:rFonts w:ascii="Arial" w:hAnsi="Arial" w:cs="Arial"/>
                <w:sz w:val="20"/>
              </w:rPr>
              <w:t>Opens up employing other professionals for their specialist skills</w:t>
            </w:r>
            <w:r w:rsidR="00165D46" w:rsidRPr="001B674F">
              <w:rPr>
                <w:rFonts w:ascii="Arial" w:hAnsi="Arial" w:cs="Arial"/>
                <w:sz w:val="20"/>
              </w:rPr>
              <w:t>.</w:t>
            </w:r>
          </w:p>
        </w:tc>
        <w:tc>
          <w:tcPr>
            <w:tcW w:w="429" w:type="pct"/>
            <w:shd w:val="clear" w:color="auto" w:fill="F2F2F2" w:themeFill="background1" w:themeFillShade="F2"/>
          </w:tcPr>
          <w:p w:rsidR="00E06F30" w:rsidRPr="001B674F" w:rsidRDefault="00444039" w:rsidP="00444039">
            <w:pPr>
              <w:jc w:val="left"/>
              <w:rPr>
                <w:rFonts w:ascii="Arial" w:hAnsi="Arial" w:cs="Arial"/>
                <w:sz w:val="20"/>
              </w:rPr>
            </w:pPr>
            <w:r>
              <w:rPr>
                <w:rFonts w:ascii="Arial" w:hAnsi="Arial" w:cs="Arial"/>
                <w:sz w:val="20"/>
              </w:rPr>
              <w:t xml:space="preserve">While CE </w:t>
            </w:r>
            <w:r w:rsidR="00E06F30" w:rsidRPr="001B674F">
              <w:rPr>
                <w:rFonts w:ascii="Arial" w:hAnsi="Arial" w:cs="Arial"/>
                <w:sz w:val="20"/>
              </w:rPr>
              <w:t>accountability</w:t>
            </w:r>
            <w:r>
              <w:rPr>
                <w:rFonts w:ascii="Arial" w:hAnsi="Arial" w:cs="Arial"/>
                <w:sz w:val="20"/>
              </w:rPr>
              <w:t xml:space="preserve"> would apply, the perception of individual accountability would remain.</w:t>
            </w:r>
          </w:p>
        </w:tc>
        <w:tc>
          <w:tcPr>
            <w:tcW w:w="297" w:type="pct"/>
            <w:shd w:val="clear" w:color="auto" w:fill="F2F2F2" w:themeFill="background1" w:themeFillShade="F2"/>
          </w:tcPr>
          <w:p w:rsidR="00E06F30" w:rsidRPr="001B674F" w:rsidRDefault="00E06F30" w:rsidP="00B439B7">
            <w:pPr>
              <w:jc w:val="left"/>
              <w:rPr>
                <w:rFonts w:ascii="Arial" w:hAnsi="Arial" w:cs="Arial"/>
                <w:sz w:val="20"/>
              </w:rPr>
            </w:pPr>
            <w:r w:rsidRPr="001B674F">
              <w:rPr>
                <w:rFonts w:ascii="Arial" w:hAnsi="Arial" w:cs="Arial"/>
                <w:sz w:val="20"/>
              </w:rPr>
              <w:t>No</w:t>
            </w:r>
            <w:r w:rsidR="00165D46" w:rsidRPr="001B674F">
              <w:rPr>
                <w:rFonts w:ascii="Arial" w:hAnsi="Arial" w:cs="Arial"/>
                <w:sz w:val="20"/>
              </w:rPr>
              <w:t>.</w:t>
            </w:r>
          </w:p>
        </w:tc>
        <w:tc>
          <w:tcPr>
            <w:tcW w:w="396" w:type="pct"/>
            <w:shd w:val="clear" w:color="auto" w:fill="F2F2F2" w:themeFill="background1" w:themeFillShade="F2"/>
          </w:tcPr>
          <w:p w:rsidR="00E06F30" w:rsidRPr="001B674F" w:rsidRDefault="00E06F30" w:rsidP="00B439B7">
            <w:pPr>
              <w:jc w:val="left"/>
              <w:rPr>
                <w:rFonts w:ascii="Arial" w:hAnsi="Arial" w:cs="Arial"/>
                <w:sz w:val="20"/>
              </w:rPr>
            </w:pPr>
            <w:r w:rsidRPr="001B674F">
              <w:rPr>
                <w:rFonts w:ascii="Arial" w:hAnsi="Arial" w:cs="Arial"/>
                <w:sz w:val="20"/>
              </w:rPr>
              <w:t xml:space="preserve">Detailed design may run up against the limitations of this option and require </w:t>
            </w:r>
            <w:r w:rsidR="00755551">
              <w:rPr>
                <w:rFonts w:ascii="Arial" w:hAnsi="Arial" w:cs="Arial"/>
                <w:sz w:val="20"/>
              </w:rPr>
              <w:t>legislative</w:t>
            </w:r>
            <w:r w:rsidR="00755551" w:rsidRPr="001B674F">
              <w:rPr>
                <w:rFonts w:ascii="Arial" w:hAnsi="Arial" w:cs="Arial"/>
                <w:sz w:val="20"/>
              </w:rPr>
              <w:t xml:space="preserve"> changes.</w:t>
            </w:r>
          </w:p>
        </w:tc>
        <w:tc>
          <w:tcPr>
            <w:tcW w:w="627" w:type="pct"/>
            <w:shd w:val="clear" w:color="auto" w:fill="F2F2F2" w:themeFill="background1" w:themeFillShade="F2"/>
          </w:tcPr>
          <w:p w:rsidR="00E06F30" w:rsidRPr="001B674F" w:rsidRDefault="00E06F30" w:rsidP="00B439B7">
            <w:pPr>
              <w:jc w:val="left"/>
              <w:rPr>
                <w:rFonts w:ascii="Arial" w:hAnsi="Arial" w:cs="Arial"/>
                <w:sz w:val="20"/>
              </w:rPr>
            </w:pPr>
            <w:r w:rsidRPr="001B674F">
              <w:rPr>
                <w:rFonts w:ascii="Arial" w:hAnsi="Arial" w:cs="Arial"/>
                <w:sz w:val="20"/>
              </w:rPr>
              <w:t>Current risk management through employment processes would be retained</w:t>
            </w:r>
            <w:r w:rsidR="00165D46" w:rsidRPr="001B674F">
              <w:rPr>
                <w:rFonts w:ascii="Arial" w:hAnsi="Arial" w:cs="Arial"/>
                <w:sz w:val="20"/>
              </w:rPr>
              <w:t>.</w:t>
            </w:r>
          </w:p>
        </w:tc>
        <w:tc>
          <w:tcPr>
            <w:tcW w:w="429" w:type="pct"/>
            <w:shd w:val="clear" w:color="auto" w:fill="F2F2F2" w:themeFill="background1" w:themeFillShade="F2"/>
          </w:tcPr>
          <w:p w:rsidR="00E06F30" w:rsidRPr="001B674F" w:rsidRDefault="00E06F30" w:rsidP="00B439B7">
            <w:pPr>
              <w:jc w:val="left"/>
              <w:rPr>
                <w:rFonts w:ascii="Arial" w:hAnsi="Arial" w:cs="Arial"/>
                <w:sz w:val="20"/>
              </w:rPr>
            </w:pPr>
            <w:r w:rsidRPr="001B674F">
              <w:rPr>
                <w:rFonts w:ascii="Arial" w:hAnsi="Arial" w:cs="Arial"/>
                <w:sz w:val="20"/>
              </w:rPr>
              <w:t>Achieves the objectives without distorting the definition of social worker</w:t>
            </w:r>
            <w:r w:rsidR="00165D46" w:rsidRPr="001B674F">
              <w:rPr>
                <w:rFonts w:ascii="Arial" w:hAnsi="Arial" w:cs="Arial"/>
                <w:sz w:val="20"/>
              </w:rPr>
              <w:t>.</w:t>
            </w:r>
          </w:p>
        </w:tc>
        <w:tc>
          <w:tcPr>
            <w:tcW w:w="520" w:type="pct"/>
            <w:shd w:val="clear" w:color="auto" w:fill="DAEEF3" w:themeFill="accent5" w:themeFillTint="33"/>
          </w:tcPr>
          <w:p w:rsidR="00E06F30" w:rsidRPr="001B674F" w:rsidRDefault="00E06F30" w:rsidP="00DD0D7E">
            <w:pPr>
              <w:jc w:val="left"/>
              <w:rPr>
                <w:rFonts w:ascii="Arial" w:hAnsi="Arial" w:cs="Arial"/>
                <w:sz w:val="20"/>
              </w:rPr>
            </w:pPr>
            <w:r w:rsidRPr="001B674F">
              <w:rPr>
                <w:rFonts w:ascii="Arial" w:hAnsi="Arial" w:cs="Arial"/>
                <w:sz w:val="20"/>
              </w:rPr>
              <w:t>This option does not place accountability at the appropriate level</w:t>
            </w:r>
            <w:r w:rsidR="00B439B7" w:rsidRPr="001B674F">
              <w:rPr>
                <w:rFonts w:ascii="Arial" w:hAnsi="Arial" w:cs="Arial"/>
                <w:sz w:val="20"/>
              </w:rPr>
              <w:t xml:space="preserve"> or provide appropriate flexibility for partnering,</w:t>
            </w:r>
            <w:r w:rsidRPr="001B674F">
              <w:rPr>
                <w:rFonts w:ascii="Arial" w:hAnsi="Arial" w:cs="Arial"/>
                <w:sz w:val="20"/>
              </w:rPr>
              <w:t xml:space="preserve"> and could limit future design work</w:t>
            </w:r>
            <w:r w:rsidR="00165D46" w:rsidRPr="001B674F">
              <w:rPr>
                <w:rFonts w:ascii="Arial" w:hAnsi="Arial" w:cs="Arial"/>
                <w:sz w:val="20"/>
              </w:rPr>
              <w:t>.</w:t>
            </w:r>
          </w:p>
        </w:tc>
      </w:tr>
      <w:tr w:rsidR="00CF2433" w:rsidRPr="001B674F" w:rsidTr="00444039">
        <w:tc>
          <w:tcPr>
            <w:tcW w:w="487" w:type="pct"/>
            <w:shd w:val="clear" w:color="auto" w:fill="DAEEF3" w:themeFill="accent5" w:themeFillTint="33"/>
          </w:tcPr>
          <w:p w:rsidR="00E06F30" w:rsidRPr="001B674F" w:rsidRDefault="00E06F30" w:rsidP="00B439B7">
            <w:pPr>
              <w:jc w:val="left"/>
              <w:rPr>
                <w:rFonts w:ascii="Arial" w:hAnsi="Arial" w:cs="Arial"/>
                <w:b/>
                <w:sz w:val="20"/>
              </w:rPr>
            </w:pPr>
            <w:r w:rsidRPr="001B674F">
              <w:rPr>
                <w:rFonts w:ascii="Arial" w:hAnsi="Arial" w:cs="Arial"/>
                <w:b/>
                <w:sz w:val="20"/>
              </w:rPr>
              <w:t>3B.</w:t>
            </w:r>
            <w:r w:rsidRPr="001B674F">
              <w:rPr>
                <w:rFonts w:ascii="Arial" w:hAnsi="Arial" w:cs="Arial"/>
                <w:sz w:val="20"/>
              </w:rPr>
              <w:t xml:space="preserve"> </w:t>
            </w:r>
            <w:r w:rsidRPr="001B674F">
              <w:rPr>
                <w:rFonts w:ascii="Arial" w:hAnsi="Arial" w:cs="Arial"/>
                <w:b/>
                <w:sz w:val="20"/>
              </w:rPr>
              <w:t>Designated individual – defined as an employee or professionals listed on a schedule in the Act</w:t>
            </w:r>
          </w:p>
        </w:tc>
        <w:tc>
          <w:tcPr>
            <w:tcW w:w="1287" w:type="pct"/>
            <w:shd w:val="clear" w:color="auto" w:fill="DAEEF3" w:themeFill="accent5" w:themeFillTint="33"/>
          </w:tcPr>
          <w:p w:rsidR="00E06F30" w:rsidRPr="001B674F" w:rsidRDefault="00E06F30" w:rsidP="00B439B7">
            <w:pPr>
              <w:jc w:val="left"/>
              <w:rPr>
                <w:rFonts w:ascii="Arial" w:hAnsi="Arial" w:cs="Arial"/>
                <w:sz w:val="20"/>
              </w:rPr>
            </w:pPr>
            <w:r w:rsidRPr="001B674F">
              <w:rPr>
                <w:rFonts w:ascii="Arial" w:hAnsi="Arial" w:cs="Arial"/>
                <w:sz w:val="20"/>
              </w:rPr>
              <w:t>Replace references to social workers in the Act with a “designated individual”. This would allow more professionals to undertake functions under the Act but retains t</w:t>
            </w:r>
            <w:r w:rsidR="00444039">
              <w:rPr>
                <w:rFonts w:ascii="Arial" w:hAnsi="Arial" w:cs="Arial"/>
                <w:sz w:val="20"/>
              </w:rPr>
              <w:t>he</w:t>
            </w:r>
            <w:r w:rsidRPr="001B674F">
              <w:rPr>
                <w:rFonts w:ascii="Arial" w:hAnsi="Arial" w:cs="Arial"/>
                <w:sz w:val="20"/>
              </w:rPr>
              <w:t xml:space="preserve"> protections of having these functions be undertaken by employees of the department or specified professionals.</w:t>
            </w:r>
            <w:r w:rsidR="00AB1D51" w:rsidRPr="001B674F">
              <w:rPr>
                <w:rFonts w:ascii="Arial" w:hAnsi="Arial" w:cs="Arial"/>
                <w:sz w:val="20"/>
              </w:rPr>
              <w:t xml:space="preserve"> </w:t>
            </w:r>
          </w:p>
          <w:p w:rsidR="00E06F30" w:rsidRPr="001B674F" w:rsidRDefault="00E06F30" w:rsidP="00B439B7">
            <w:pPr>
              <w:jc w:val="left"/>
              <w:rPr>
                <w:rFonts w:ascii="Arial" w:hAnsi="Arial" w:cs="Arial"/>
                <w:sz w:val="20"/>
              </w:rPr>
            </w:pPr>
            <w:r w:rsidRPr="001B674F">
              <w:rPr>
                <w:rFonts w:ascii="Arial" w:hAnsi="Arial" w:cs="Arial"/>
                <w:sz w:val="20"/>
              </w:rPr>
              <w:t>This would allow the department to delegate functions to an external agency, but adds a formal process for specifying which classes of professionals can perform these functions outside of the department. This adds a protection to the public from incompetence. Changes to the schedule would require an Order in Council.</w:t>
            </w:r>
          </w:p>
        </w:tc>
        <w:tc>
          <w:tcPr>
            <w:tcW w:w="528" w:type="pct"/>
          </w:tcPr>
          <w:p w:rsidR="00E06F30" w:rsidRPr="001B674F" w:rsidRDefault="00E06F30" w:rsidP="00B439B7">
            <w:pPr>
              <w:jc w:val="left"/>
              <w:rPr>
                <w:rFonts w:ascii="Arial" w:hAnsi="Arial" w:cs="Arial"/>
                <w:sz w:val="20"/>
              </w:rPr>
            </w:pPr>
            <w:r w:rsidRPr="001B674F">
              <w:rPr>
                <w:rFonts w:ascii="Arial" w:hAnsi="Arial" w:cs="Arial"/>
                <w:sz w:val="20"/>
              </w:rPr>
              <w:t>Opens up employing others for their specialist skills and delegating to agencies and individuals outside the department</w:t>
            </w:r>
            <w:r w:rsidR="00165D46" w:rsidRPr="001B674F">
              <w:rPr>
                <w:rFonts w:ascii="Arial" w:hAnsi="Arial" w:cs="Arial"/>
                <w:sz w:val="20"/>
              </w:rPr>
              <w:t>,</w:t>
            </w:r>
            <w:r w:rsidRPr="001B674F">
              <w:rPr>
                <w:rFonts w:ascii="Arial" w:hAnsi="Arial" w:cs="Arial"/>
                <w:sz w:val="20"/>
              </w:rPr>
              <w:t xml:space="preserve"> as enabled by the State Sector Act 1988</w:t>
            </w:r>
            <w:r w:rsidR="00165D46" w:rsidRPr="001B674F">
              <w:rPr>
                <w:rFonts w:ascii="Arial" w:hAnsi="Arial" w:cs="Arial"/>
                <w:sz w:val="20"/>
              </w:rPr>
              <w:t>.</w:t>
            </w:r>
          </w:p>
        </w:tc>
        <w:tc>
          <w:tcPr>
            <w:tcW w:w="429" w:type="pct"/>
          </w:tcPr>
          <w:p w:rsidR="00E06F30" w:rsidRPr="001B674F" w:rsidRDefault="00444039" w:rsidP="006D4E73">
            <w:pPr>
              <w:jc w:val="left"/>
              <w:rPr>
                <w:rFonts w:ascii="Arial" w:hAnsi="Arial" w:cs="Arial"/>
                <w:sz w:val="20"/>
              </w:rPr>
            </w:pPr>
            <w:r>
              <w:rPr>
                <w:rFonts w:ascii="Arial" w:hAnsi="Arial" w:cs="Arial"/>
                <w:sz w:val="20"/>
              </w:rPr>
              <w:t xml:space="preserve">While CE </w:t>
            </w:r>
            <w:r w:rsidRPr="001B674F">
              <w:rPr>
                <w:rFonts w:ascii="Arial" w:hAnsi="Arial" w:cs="Arial"/>
                <w:sz w:val="20"/>
              </w:rPr>
              <w:t>accountability</w:t>
            </w:r>
            <w:r>
              <w:rPr>
                <w:rFonts w:ascii="Arial" w:hAnsi="Arial" w:cs="Arial"/>
                <w:sz w:val="20"/>
              </w:rPr>
              <w:t xml:space="preserve"> would apply, the perception of individual accountability would remain.</w:t>
            </w:r>
          </w:p>
        </w:tc>
        <w:tc>
          <w:tcPr>
            <w:tcW w:w="297" w:type="pct"/>
          </w:tcPr>
          <w:p w:rsidR="00E06F30" w:rsidRPr="001B674F" w:rsidRDefault="00444039" w:rsidP="00B439B7">
            <w:pPr>
              <w:jc w:val="left"/>
              <w:rPr>
                <w:rFonts w:ascii="Arial" w:hAnsi="Arial" w:cs="Arial"/>
                <w:sz w:val="20"/>
              </w:rPr>
            </w:pPr>
            <w:r w:rsidRPr="001B674F">
              <w:rPr>
                <w:rFonts w:ascii="Arial" w:hAnsi="Arial" w:cs="Arial"/>
                <w:sz w:val="20"/>
              </w:rPr>
              <w:t>Somewhat</w:t>
            </w:r>
            <w:r>
              <w:rPr>
                <w:rFonts w:ascii="Arial" w:hAnsi="Arial" w:cs="Arial"/>
                <w:sz w:val="20"/>
              </w:rPr>
              <w:t>, but flexibility would be limited by the legislative Schedule</w:t>
            </w:r>
            <w:r w:rsidRPr="001B674F">
              <w:rPr>
                <w:rFonts w:ascii="Arial" w:hAnsi="Arial" w:cs="Arial"/>
                <w:sz w:val="20"/>
              </w:rPr>
              <w:t>.</w:t>
            </w:r>
          </w:p>
        </w:tc>
        <w:tc>
          <w:tcPr>
            <w:tcW w:w="396" w:type="pct"/>
          </w:tcPr>
          <w:p w:rsidR="00E06F30" w:rsidRPr="001B674F" w:rsidRDefault="00444039" w:rsidP="00755551">
            <w:pPr>
              <w:jc w:val="left"/>
              <w:rPr>
                <w:rFonts w:ascii="Arial" w:hAnsi="Arial" w:cs="Arial"/>
                <w:sz w:val="20"/>
              </w:rPr>
            </w:pPr>
            <w:r>
              <w:rPr>
                <w:rFonts w:ascii="Arial" w:hAnsi="Arial" w:cs="Arial"/>
                <w:sz w:val="20"/>
              </w:rPr>
              <w:t>A</w:t>
            </w:r>
            <w:r w:rsidRPr="001B674F">
              <w:rPr>
                <w:rFonts w:ascii="Arial" w:hAnsi="Arial" w:cs="Arial"/>
                <w:sz w:val="20"/>
              </w:rPr>
              <w:t xml:space="preserve">gility, durability and flexibility within the system unless descriptions in the </w:t>
            </w:r>
            <w:r>
              <w:rPr>
                <w:rFonts w:ascii="Arial" w:hAnsi="Arial" w:cs="Arial"/>
                <w:sz w:val="20"/>
              </w:rPr>
              <w:t>S</w:t>
            </w:r>
            <w:r w:rsidRPr="001B674F">
              <w:rPr>
                <w:rFonts w:ascii="Arial" w:hAnsi="Arial" w:cs="Arial"/>
                <w:sz w:val="20"/>
              </w:rPr>
              <w:t>chedule were kept at very general level.</w:t>
            </w:r>
          </w:p>
        </w:tc>
        <w:tc>
          <w:tcPr>
            <w:tcW w:w="627" w:type="pct"/>
          </w:tcPr>
          <w:p w:rsidR="00E06F30" w:rsidRPr="001B674F" w:rsidRDefault="009C5500" w:rsidP="00444039">
            <w:pPr>
              <w:jc w:val="left"/>
              <w:rPr>
                <w:rFonts w:ascii="Arial" w:hAnsi="Arial" w:cs="Arial"/>
                <w:sz w:val="20"/>
              </w:rPr>
            </w:pPr>
            <w:r w:rsidRPr="001B674F">
              <w:rPr>
                <w:rFonts w:ascii="Arial" w:hAnsi="Arial" w:cs="Arial"/>
                <w:sz w:val="20"/>
              </w:rPr>
              <w:t>A</w:t>
            </w:r>
            <w:r w:rsidR="00472C4B" w:rsidRPr="001B674F">
              <w:rPr>
                <w:rFonts w:ascii="Arial" w:hAnsi="Arial" w:cs="Arial"/>
                <w:sz w:val="20"/>
              </w:rPr>
              <w:t xml:space="preserve"> Schedule in the Act would be publicly transparent</w:t>
            </w:r>
          </w:p>
        </w:tc>
        <w:tc>
          <w:tcPr>
            <w:tcW w:w="429" w:type="pct"/>
          </w:tcPr>
          <w:p w:rsidR="00E06F30" w:rsidRPr="001B674F" w:rsidRDefault="00E06F30" w:rsidP="00B439B7">
            <w:pPr>
              <w:jc w:val="left"/>
              <w:rPr>
                <w:rFonts w:ascii="Arial" w:hAnsi="Arial" w:cs="Arial"/>
                <w:sz w:val="20"/>
              </w:rPr>
            </w:pPr>
            <w:r w:rsidRPr="001B674F">
              <w:rPr>
                <w:rFonts w:ascii="Arial" w:hAnsi="Arial" w:cs="Arial"/>
                <w:sz w:val="20"/>
              </w:rPr>
              <w:t>Achieves the objectives without distorting the definition of social worker</w:t>
            </w:r>
            <w:r w:rsidR="00165D46" w:rsidRPr="001B674F">
              <w:rPr>
                <w:rFonts w:ascii="Arial" w:hAnsi="Arial" w:cs="Arial"/>
                <w:sz w:val="20"/>
              </w:rPr>
              <w:t>.</w:t>
            </w:r>
          </w:p>
        </w:tc>
        <w:tc>
          <w:tcPr>
            <w:tcW w:w="520" w:type="pct"/>
            <w:shd w:val="clear" w:color="auto" w:fill="DAEEF3" w:themeFill="accent5" w:themeFillTint="33"/>
          </w:tcPr>
          <w:p w:rsidR="00E06F30" w:rsidRPr="001B674F" w:rsidRDefault="00E06F30" w:rsidP="00472C4B">
            <w:pPr>
              <w:jc w:val="left"/>
              <w:rPr>
                <w:rFonts w:ascii="Arial" w:hAnsi="Arial" w:cs="Arial"/>
                <w:sz w:val="20"/>
              </w:rPr>
            </w:pPr>
            <w:r w:rsidRPr="001B674F">
              <w:rPr>
                <w:rFonts w:ascii="Arial" w:hAnsi="Arial" w:cs="Arial"/>
                <w:sz w:val="20"/>
              </w:rPr>
              <w:t>This option does not place accountability at the appropriate level</w:t>
            </w:r>
            <w:r w:rsidR="00472C4B" w:rsidRPr="001B674F">
              <w:rPr>
                <w:rFonts w:ascii="Arial" w:hAnsi="Arial" w:cs="Arial"/>
                <w:sz w:val="20"/>
              </w:rPr>
              <w:t xml:space="preserve"> and only somewhat enables partnering. The Order in Council mechanism could hinder the agility, durability and flexibility within the system</w:t>
            </w:r>
            <w:r w:rsidR="00472C4B" w:rsidRPr="001B674F">
              <w:rPr>
                <w:rFonts w:ascii="Arial" w:hAnsi="Arial" w:cs="Arial"/>
                <w:lang w:val="en-NZ"/>
              </w:rPr>
              <w:t>.</w:t>
            </w:r>
          </w:p>
        </w:tc>
      </w:tr>
    </w:tbl>
    <w:p w:rsidR="008053CC" w:rsidRPr="001B674F" w:rsidRDefault="008053CC" w:rsidP="008053CC">
      <w:pPr>
        <w:rPr>
          <w:rFonts w:ascii="Arial" w:hAnsi="Arial" w:cs="Arial"/>
          <w:highlight w:val="yellow"/>
        </w:rPr>
        <w:sectPr w:rsidR="008053CC" w:rsidRPr="001B674F" w:rsidSect="00513EFD">
          <w:pgSz w:w="23814" w:h="16839" w:orient="landscape" w:code="8"/>
          <w:pgMar w:top="1418" w:right="1418" w:bottom="1418" w:left="1134" w:header="454" w:footer="454" w:gutter="0"/>
          <w:cols w:space="720"/>
          <w:docGrid w:linePitch="299"/>
        </w:sectPr>
      </w:pPr>
    </w:p>
    <w:p w:rsidR="008053CC" w:rsidRPr="001B674F" w:rsidRDefault="008053CC" w:rsidP="008053CC">
      <w:pPr>
        <w:keepNext/>
        <w:tabs>
          <w:tab w:val="left" w:pos="567"/>
        </w:tabs>
        <w:spacing w:before="240" w:after="180" w:line="240" w:lineRule="auto"/>
        <w:outlineLvl w:val="1"/>
        <w:rPr>
          <w:rFonts w:ascii="Arial" w:hAnsi="Arial" w:cs="Arial"/>
          <w:b/>
          <w:color w:val="335087"/>
          <w:spacing w:val="20"/>
          <w:w w:val="90"/>
          <w:sz w:val="32"/>
          <w:szCs w:val="24"/>
        </w:rPr>
      </w:pPr>
      <w:r w:rsidRPr="001B674F">
        <w:rPr>
          <w:rFonts w:ascii="Arial" w:hAnsi="Arial" w:cs="Arial"/>
          <w:b/>
          <w:color w:val="335087"/>
          <w:spacing w:val="20"/>
          <w:w w:val="90"/>
          <w:sz w:val="32"/>
          <w:szCs w:val="24"/>
        </w:rPr>
        <w:lastRenderedPageBreak/>
        <w:t>Discussion</w:t>
      </w:r>
    </w:p>
    <w:p w:rsidR="008053CC" w:rsidRPr="001B674F" w:rsidRDefault="008053CC" w:rsidP="00E3608F">
      <w:pPr>
        <w:spacing w:after="0"/>
        <w:rPr>
          <w:rFonts w:ascii="Arial" w:hAnsi="Arial" w:cs="Arial"/>
          <w:lang w:eastAsia="en-AU"/>
        </w:rPr>
      </w:pPr>
      <w:r w:rsidRPr="001B674F">
        <w:rPr>
          <w:rFonts w:ascii="Arial" w:hAnsi="Arial" w:cs="Arial"/>
          <w:lang w:eastAsia="en-AU"/>
        </w:rPr>
        <w:t>In summary, it is considered that:</w:t>
      </w:r>
    </w:p>
    <w:p w:rsidR="008053CC" w:rsidRPr="001B674F" w:rsidRDefault="00907C3E" w:rsidP="00477434">
      <w:pPr>
        <w:pStyle w:val="Bullet1"/>
        <w:rPr>
          <w:rFonts w:ascii="Arial" w:hAnsi="Arial" w:cs="Arial"/>
        </w:rPr>
      </w:pPr>
      <w:r w:rsidRPr="001B674F">
        <w:rPr>
          <w:rFonts w:ascii="Arial" w:hAnsi="Arial" w:cs="Arial"/>
        </w:rPr>
        <w:t xml:space="preserve">regulatory options (2, 2A, 2B, 3A, 3B) </w:t>
      </w:r>
      <w:r w:rsidR="008053CC" w:rsidRPr="001B674F">
        <w:rPr>
          <w:rFonts w:ascii="Arial" w:hAnsi="Arial" w:cs="Arial"/>
        </w:rPr>
        <w:t xml:space="preserve">are </w:t>
      </w:r>
      <w:r w:rsidRPr="001B674F">
        <w:rPr>
          <w:rFonts w:ascii="Arial" w:hAnsi="Arial" w:cs="Arial"/>
        </w:rPr>
        <w:t xml:space="preserve">best placed </w:t>
      </w:r>
      <w:r w:rsidR="008053CC" w:rsidRPr="001B674F">
        <w:rPr>
          <w:rFonts w:ascii="Arial" w:hAnsi="Arial" w:cs="Arial"/>
        </w:rPr>
        <w:t xml:space="preserve">to </w:t>
      </w:r>
      <w:r w:rsidR="000D3014" w:rsidRPr="001B674F">
        <w:rPr>
          <w:rFonts w:ascii="Arial" w:hAnsi="Arial" w:cs="Arial"/>
        </w:rPr>
        <w:t>adequately</w:t>
      </w:r>
      <w:r w:rsidR="008053CC" w:rsidRPr="001B674F">
        <w:rPr>
          <w:rFonts w:ascii="Arial" w:hAnsi="Arial" w:cs="Arial"/>
        </w:rPr>
        <w:t xml:space="preserve"> </w:t>
      </w:r>
      <w:r w:rsidR="008053CC" w:rsidRPr="001B674F">
        <w:rPr>
          <w:rFonts w:ascii="Arial" w:hAnsi="Arial" w:cs="Arial"/>
          <w:b/>
        </w:rPr>
        <w:t>enable a broader set of professionals</w:t>
      </w:r>
      <w:r w:rsidR="00AB1D51" w:rsidRPr="001B674F">
        <w:rPr>
          <w:rFonts w:ascii="Arial" w:hAnsi="Arial" w:cs="Arial"/>
          <w:b/>
        </w:rPr>
        <w:t xml:space="preserve"> to perform functions </w:t>
      </w:r>
      <w:r w:rsidR="00AB1D51" w:rsidRPr="001B674F">
        <w:rPr>
          <w:rFonts w:ascii="Arial" w:hAnsi="Arial" w:cs="Arial"/>
        </w:rPr>
        <w:t>under the Act</w:t>
      </w:r>
    </w:p>
    <w:p w:rsidR="008053CC" w:rsidRPr="001B674F" w:rsidRDefault="00907C3E" w:rsidP="00477434">
      <w:pPr>
        <w:pStyle w:val="Bullet1"/>
        <w:rPr>
          <w:rFonts w:ascii="Arial" w:hAnsi="Arial" w:cs="Arial"/>
        </w:rPr>
      </w:pPr>
      <w:r w:rsidRPr="001B674F">
        <w:rPr>
          <w:rFonts w:ascii="Arial" w:hAnsi="Arial" w:cs="Arial"/>
        </w:rPr>
        <w:t xml:space="preserve">options </w:t>
      </w:r>
      <w:r w:rsidR="008053CC" w:rsidRPr="001B674F">
        <w:rPr>
          <w:rFonts w:ascii="Arial" w:hAnsi="Arial" w:cs="Arial"/>
        </w:rPr>
        <w:t>2</w:t>
      </w:r>
      <w:r w:rsidRPr="001B674F">
        <w:rPr>
          <w:rFonts w:ascii="Arial" w:hAnsi="Arial" w:cs="Arial"/>
        </w:rPr>
        <w:t>,</w:t>
      </w:r>
      <w:r w:rsidR="008053CC" w:rsidRPr="001B674F">
        <w:rPr>
          <w:rFonts w:ascii="Arial" w:hAnsi="Arial" w:cs="Arial"/>
        </w:rPr>
        <w:t xml:space="preserve"> </w:t>
      </w:r>
      <w:r w:rsidRPr="001B674F">
        <w:rPr>
          <w:rFonts w:ascii="Arial" w:hAnsi="Arial" w:cs="Arial"/>
        </w:rPr>
        <w:t xml:space="preserve">2A, 2B explicitly </w:t>
      </w:r>
      <w:r w:rsidR="00683B86" w:rsidRPr="001B674F">
        <w:rPr>
          <w:rFonts w:ascii="Arial" w:hAnsi="Arial" w:cs="Arial"/>
          <w:b/>
        </w:rPr>
        <w:t>support the Chief Executive as the single point of accountability</w:t>
      </w:r>
    </w:p>
    <w:p w:rsidR="00E06F30" w:rsidRPr="001B674F" w:rsidRDefault="00E06F30" w:rsidP="00477434">
      <w:pPr>
        <w:pStyle w:val="Bullet1"/>
        <w:rPr>
          <w:rFonts w:ascii="Arial" w:hAnsi="Arial" w:cs="Arial"/>
        </w:rPr>
      </w:pPr>
      <w:proofErr w:type="gramStart"/>
      <w:r w:rsidRPr="001B674F">
        <w:rPr>
          <w:rFonts w:ascii="Arial" w:hAnsi="Arial" w:cs="Arial"/>
        </w:rPr>
        <w:t>options</w:t>
      </w:r>
      <w:proofErr w:type="gramEnd"/>
      <w:r w:rsidRPr="001B674F">
        <w:rPr>
          <w:rFonts w:ascii="Arial" w:hAnsi="Arial" w:cs="Arial"/>
        </w:rPr>
        <w:t xml:space="preserve"> </w:t>
      </w:r>
      <w:r w:rsidR="0045237C" w:rsidRPr="001B674F">
        <w:rPr>
          <w:rFonts w:ascii="Arial" w:hAnsi="Arial" w:cs="Arial"/>
        </w:rPr>
        <w:t>2, 2B, and 3B</w:t>
      </w:r>
      <w:r w:rsidRPr="001B674F">
        <w:rPr>
          <w:rFonts w:ascii="Arial" w:hAnsi="Arial" w:cs="Arial"/>
        </w:rPr>
        <w:t xml:space="preserve"> allow </w:t>
      </w:r>
      <w:r w:rsidR="005C157E" w:rsidRPr="001B674F">
        <w:rPr>
          <w:rFonts w:ascii="Arial" w:hAnsi="Arial" w:cs="Arial"/>
        </w:rPr>
        <w:t>full flexibility to</w:t>
      </w:r>
      <w:r w:rsidR="0045237C" w:rsidRPr="001B674F">
        <w:rPr>
          <w:rFonts w:ascii="Arial" w:hAnsi="Arial" w:cs="Arial"/>
        </w:rPr>
        <w:t xml:space="preserve"> use </w:t>
      </w:r>
      <w:r w:rsidRPr="001B674F">
        <w:rPr>
          <w:rFonts w:ascii="Arial" w:hAnsi="Arial" w:cs="Arial"/>
          <w:b/>
        </w:rPr>
        <w:t>external strateg</w:t>
      </w:r>
      <w:r w:rsidR="00A432CE" w:rsidRPr="001B674F">
        <w:rPr>
          <w:rFonts w:ascii="Arial" w:hAnsi="Arial" w:cs="Arial"/>
          <w:b/>
        </w:rPr>
        <w:t>ic</w:t>
      </w:r>
      <w:r w:rsidRPr="001B674F">
        <w:rPr>
          <w:rFonts w:ascii="Arial" w:hAnsi="Arial" w:cs="Arial"/>
          <w:b/>
        </w:rPr>
        <w:t xml:space="preserve"> partners</w:t>
      </w:r>
      <w:r w:rsidR="0045237C" w:rsidRPr="001B674F">
        <w:rPr>
          <w:rFonts w:ascii="Arial" w:hAnsi="Arial" w:cs="Arial"/>
          <w:b/>
        </w:rPr>
        <w:t>.</w:t>
      </w:r>
    </w:p>
    <w:p w:rsidR="008053CC" w:rsidRPr="001B674F" w:rsidRDefault="008053CC" w:rsidP="000C7BFE">
      <w:pPr>
        <w:suppressAutoHyphens/>
        <w:autoSpaceDE w:val="0"/>
        <w:autoSpaceDN w:val="0"/>
        <w:adjustRightInd w:val="0"/>
        <w:spacing w:after="0"/>
        <w:textAlignment w:val="center"/>
        <w:rPr>
          <w:rFonts w:ascii="Arial" w:hAnsi="Arial" w:cs="Arial"/>
          <w:kern w:val="28"/>
          <w:lang w:eastAsia="en-AU"/>
        </w:rPr>
      </w:pPr>
      <w:r w:rsidRPr="001B674F">
        <w:rPr>
          <w:rFonts w:ascii="Arial" w:hAnsi="Arial" w:cs="Arial"/>
          <w:kern w:val="28"/>
          <w:lang w:eastAsia="en-AU"/>
        </w:rPr>
        <w:t>In relation to the criteria:</w:t>
      </w:r>
    </w:p>
    <w:p w:rsidR="008053CC" w:rsidRPr="001B674F" w:rsidRDefault="00AB1D51" w:rsidP="00477434">
      <w:pPr>
        <w:pStyle w:val="Bullet1"/>
        <w:rPr>
          <w:rFonts w:ascii="Arial" w:hAnsi="Arial" w:cs="Arial"/>
        </w:rPr>
      </w:pPr>
      <w:r w:rsidRPr="001B674F">
        <w:rPr>
          <w:rFonts w:ascii="Arial" w:hAnsi="Arial" w:cs="Arial"/>
          <w:b/>
        </w:rPr>
        <w:t xml:space="preserve">durability </w:t>
      </w:r>
      <w:r w:rsidR="008053CC" w:rsidRPr="001B674F">
        <w:rPr>
          <w:rFonts w:ascii="Arial" w:hAnsi="Arial" w:cs="Arial"/>
        </w:rPr>
        <w:t xml:space="preserve">is greatest for </w:t>
      </w:r>
      <w:r w:rsidR="0045237C" w:rsidRPr="001B674F">
        <w:rPr>
          <w:rFonts w:ascii="Arial" w:hAnsi="Arial" w:cs="Arial"/>
        </w:rPr>
        <w:t xml:space="preserve">options </w:t>
      </w:r>
      <w:r w:rsidR="008053CC" w:rsidRPr="001B674F">
        <w:rPr>
          <w:rFonts w:ascii="Arial" w:hAnsi="Arial" w:cs="Arial"/>
        </w:rPr>
        <w:t xml:space="preserve">2, </w:t>
      </w:r>
      <w:r w:rsidR="00E06F30" w:rsidRPr="001B674F">
        <w:rPr>
          <w:rFonts w:ascii="Arial" w:hAnsi="Arial" w:cs="Arial"/>
        </w:rPr>
        <w:t>2B</w:t>
      </w:r>
      <w:r w:rsidR="008053CC" w:rsidRPr="001B674F">
        <w:rPr>
          <w:rFonts w:ascii="Arial" w:hAnsi="Arial" w:cs="Arial"/>
        </w:rPr>
        <w:t>, and 3</w:t>
      </w:r>
      <w:r w:rsidR="001C7929" w:rsidRPr="001B674F">
        <w:rPr>
          <w:rFonts w:ascii="Arial" w:hAnsi="Arial" w:cs="Arial"/>
        </w:rPr>
        <w:t>B</w:t>
      </w:r>
      <w:r w:rsidR="00E06F30" w:rsidRPr="001B674F">
        <w:rPr>
          <w:rFonts w:ascii="Arial" w:hAnsi="Arial" w:cs="Arial"/>
        </w:rPr>
        <w:t xml:space="preserve">, as these are likely to </w:t>
      </w:r>
      <w:r w:rsidR="00F52B99" w:rsidRPr="001B674F">
        <w:rPr>
          <w:rFonts w:ascii="Arial" w:hAnsi="Arial" w:cs="Arial"/>
        </w:rPr>
        <w:t>align with the</w:t>
      </w:r>
      <w:r w:rsidR="00E06F30" w:rsidRPr="001B674F">
        <w:rPr>
          <w:rFonts w:ascii="Arial" w:hAnsi="Arial" w:cs="Arial"/>
        </w:rPr>
        <w:t xml:space="preserve"> changes envisaged in detailed design</w:t>
      </w:r>
    </w:p>
    <w:p w:rsidR="008053CC" w:rsidRPr="001B674F" w:rsidRDefault="0045237C" w:rsidP="00472C4B">
      <w:pPr>
        <w:pStyle w:val="Bullet1"/>
        <w:rPr>
          <w:rFonts w:ascii="Arial" w:hAnsi="Arial" w:cs="Arial"/>
          <w:b/>
        </w:rPr>
      </w:pPr>
      <w:r w:rsidRPr="001B674F">
        <w:rPr>
          <w:rFonts w:ascii="Arial" w:hAnsi="Arial" w:cs="Arial"/>
        </w:rPr>
        <w:t>some options provide</w:t>
      </w:r>
      <w:r w:rsidRPr="001B674F">
        <w:rPr>
          <w:rFonts w:ascii="Arial" w:hAnsi="Arial" w:cs="Arial"/>
          <w:b/>
        </w:rPr>
        <w:t xml:space="preserve"> </w:t>
      </w:r>
      <w:r w:rsidRPr="001B674F">
        <w:rPr>
          <w:rFonts w:ascii="Arial" w:hAnsi="Arial" w:cs="Arial"/>
        </w:rPr>
        <w:t>for</w:t>
      </w:r>
      <w:r w:rsidRPr="001B674F">
        <w:rPr>
          <w:rFonts w:ascii="Arial" w:hAnsi="Arial" w:cs="Arial"/>
          <w:b/>
        </w:rPr>
        <w:t xml:space="preserve"> risk </w:t>
      </w:r>
      <w:r w:rsidR="008053CC" w:rsidRPr="001B674F">
        <w:rPr>
          <w:rFonts w:ascii="Arial" w:hAnsi="Arial" w:cs="Arial"/>
          <w:b/>
        </w:rPr>
        <w:t xml:space="preserve">management and safety </w:t>
      </w:r>
      <w:r w:rsidRPr="001B674F">
        <w:rPr>
          <w:rFonts w:ascii="Arial" w:hAnsi="Arial" w:cs="Arial"/>
        </w:rPr>
        <w:t>by using existing employment methods</w:t>
      </w:r>
      <w:r w:rsidR="008A068F" w:rsidRPr="001B674F">
        <w:rPr>
          <w:rFonts w:ascii="Arial" w:hAnsi="Arial" w:cs="Arial"/>
        </w:rPr>
        <w:t>;</w:t>
      </w:r>
      <w:r w:rsidRPr="001B674F">
        <w:rPr>
          <w:rFonts w:ascii="Arial" w:hAnsi="Arial" w:cs="Arial"/>
        </w:rPr>
        <w:t xml:space="preserve"> where strategic </w:t>
      </w:r>
      <w:r w:rsidR="00AB1D51" w:rsidRPr="001B674F">
        <w:rPr>
          <w:rFonts w:ascii="Arial" w:hAnsi="Arial" w:cs="Arial"/>
        </w:rPr>
        <w:t>partnering is envisaged</w:t>
      </w:r>
      <w:r w:rsidRPr="001B674F">
        <w:rPr>
          <w:rFonts w:ascii="Arial" w:hAnsi="Arial" w:cs="Arial"/>
        </w:rPr>
        <w:t xml:space="preserve">, option 2 </w:t>
      </w:r>
      <w:r w:rsidR="00472C4B" w:rsidRPr="001B674F">
        <w:rPr>
          <w:rFonts w:ascii="Arial" w:hAnsi="Arial" w:cs="Arial"/>
        </w:rPr>
        <w:t>builds a number of measures onto the risk management measures set out in the State Sector Act 1988</w:t>
      </w:r>
      <w:r w:rsidRPr="001B674F">
        <w:rPr>
          <w:rFonts w:ascii="Arial" w:hAnsi="Arial" w:cs="Arial"/>
        </w:rPr>
        <w:t xml:space="preserve"> to ensure oversight and public transparency</w:t>
      </w:r>
      <w:r w:rsidR="00472C4B" w:rsidRPr="001B674F">
        <w:rPr>
          <w:rFonts w:ascii="Arial" w:hAnsi="Arial" w:cs="Arial"/>
        </w:rPr>
        <w:t>;</w:t>
      </w:r>
      <w:r w:rsidRPr="001B674F">
        <w:rPr>
          <w:rFonts w:ascii="Arial" w:hAnsi="Arial" w:cs="Arial"/>
        </w:rPr>
        <w:t xml:space="preserve"> 2B and 3B provide a schedule to the Act</w:t>
      </w:r>
      <w:r w:rsidR="00472C4B" w:rsidRPr="001B674F">
        <w:rPr>
          <w:rFonts w:ascii="Arial" w:hAnsi="Arial" w:cs="Arial"/>
        </w:rPr>
        <w:t xml:space="preserve"> for this purpose</w:t>
      </w:r>
      <w:r w:rsidR="008053CC" w:rsidRPr="001B674F">
        <w:rPr>
          <w:rFonts w:ascii="Arial" w:hAnsi="Arial" w:cs="Arial"/>
        </w:rPr>
        <w:t xml:space="preserve"> </w:t>
      </w:r>
    </w:p>
    <w:p w:rsidR="008053CC" w:rsidRPr="001B674F" w:rsidRDefault="0045237C" w:rsidP="00477434">
      <w:pPr>
        <w:pStyle w:val="Bullet1"/>
        <w:rPr>
          <w:rFonts w:ascii="Arial" w:hAnsi="Arial" w:cs="Arial"/>
          <w:b/>
        </w:rPr>
      </w:pPr>
      <w:proofErr w:type="gramStart"/>
      <w:r w:rsidRPr="001B674F">
        <w:rPr>
          <w:rFonts w:ascii="Arial" w:hAnsi="Arial" w:cs="Arial"/>
        </w:rPr>
        <w:t>regulatory</w:t>
      </w:r>
      <w:proofErr w:type="gramEnd"/>
      <w:r w:rsidRPr="001B674F">
        <w:rPr>
          <w:rFonts w:ascii="Arial" w:hAnsi="Arial" w:cs="Arial"/>
        </w:rPr>
        <w:t xml:space="preserve"> options (2, 2A, 2B, 3A, 3B) </w:t>
      </w:r>
      <w:r w:rsidR="00683B86">
        <w:rPr>
          <w:rFonts w:ascii="Arial" w:hAnsi="Arial" w:cs="Arial"/>
        </w:rPr>
        <w:t>minimise</w:t>
      </w:r>
      <w:r w:rsidRPr="001B674F">
        <w:rPr>
          <w:rFonts w:ascii="Arial" w:hAnsi="Arial" w:cs="Arial"/>
        </w:rPr>
        <w:t xml:space="preserve"> compromising the </w:t>
      </w:r>
      <w:r w:rsidRPr="001B674F">
        <w:rPr>
          <w:rFonts w:ascii="Arial" w:hAnsi="Arial" w:cs="Arial"/>
          <w:b/>
        </w:rPr>
        <w:t>s</w:t>
      </w:r>
      <w:r w:rsidR="008053CC" w:rsidRPr="001B674F">
        <w:rPr>
          <w:rFonts w:ascii="Arial" w:hAnsi="Arial" w:cs="Arial"/>
          <w:b/>
        </w:rPr>
        <w:t>ocial work profession</w:t>
      </w:r>
      <w:r w:rsidR="008053CC" w:rsidRPr="001B674F">
        <w:rPr>
          <w:rFonts w:ascii="Arial" w:hAnsi="Arial" w:cs="Arial"/>
        </w:rPr>
        <w:t xml:space="preserve">. </w:t>
      </w:r>
    </w:p>
    <w:p w:rsidR="008053CC" w:rsidRPr="001B674F" w:rsidRDefault="008053CC" w:rsidP="008053CC">
      <w:pPr>
        <w:pStyle w:val="Heading2"/>
        <w:rPr>
          <w:rFonts w:ascii="Arial" w:hAnsi="Arial" w:cs="Arial"/>
        </w:rPr>
      </w:pPr>
      <w:r w:rsidRPr="001B674F">
        <w:rPr>
          <w:rFonts w:ascii="Arial" w:hAnsi="Arial" w:cs="Arial"/>
        </w:rPr>
        <w:t xml:space="preserve">Preferred option </w:t>
      </w:r>
    </w:p>
    <w:p w:rsidR="00472C4B" w:rsidRPr="001B674F" w:rsidRDefault="006C5967" w:rsidP="006C5967">
      <w:pPr>
        <w:spacing w:after="0"/>
        <w:rPr>
          <w:rFonts w:ascii="Arial" w:hAnsi="Arial" w:cs="Arial"/>
          <w:lang w:val="en-NZ"/>
        </w:rPr>
      </w:pPr>
      <w:r w:rsidRPr="001B674F">
        <w:rPr>
          <w:rFonts w:ascii="Arial" w:hAnsi="Arial" w:cs="Arial"/>
          <w:lang w:val="en-NZ"/>
        </w:rPr>
        <w:t>Option 2,</w:t>
      </w:r>
      <w:r w:rsidR="00472C4B" w:rsidRPr="001B674F">
        <w:rPr>
          <w:rFonts w:ascii="Arial" w:hAnsi="Arial" w:cs="Arial"/>
          <w:lang w:val="en-NZ"/>
        </w:rPr>
        <w:t xml:space="preserve"> amend</w:t>
      </w:r>
      <w:r w:rsidRPr="001B674F">
        <w:rPr>
          <w:rFonts w:ascii="Arial" w:hAnsi="Arial" w:cs="Arial"/>
          <w:lang w:val="en-NZ"/>
        </w:rPr>
        <w:t>ing</w:t>
      </w:r>
      <w:r w:rsidR="00472C4B" w:rsidRPr="001B674F">
        <w:rPr>
          <w:rFonts w:ascii="Arial" w:hAnsi="Arial" w:cs="Arial"/>
          <w:lang w:val="en-NZ"/>
        </w:rPr>
        <w:t xml:space="preserve"> the CYPF Act to vest the functions currently residing with social workers instead in the </w:t>
      </w:r>
      <w:r w:rsidR="00E014C6" w:rsidRPr="001B674F">
        <w:rPr>
          <w:rFonts w:ascii="Arial" w:hAnsi="Arial" w:cs="Arial"/>
          <w:lang w:val="en-NZ"/>
        </w:rPr>
        <w:t>Chief Executive</w:t>
      </w:r>
      <w:r w:rsidRPr="001B674F">
        <w:rPr>
          <w:rFonts w:ascii="Arial" w:hAnsi="Arial" w:cs="Arial"/>
          <w:lang w:val="en-NZ"/>
        </w:rPr>
        <w:t>, best meets objectives and additional criteria</w:t>
      </w:r>
      <w:r w:rsidR="00472C4B" w:rsidRPr="001B674F">
        <w:rPr>
          <w:rFonts w:ascii="Arial" w:hAnsi="Arial" w:cs="Arial"/>
          <w:lang w:val="en-NZ"/>
        </w:rPr>
        <w:t xml:space="preserve">. This </w:t>
      </w:r>
      <w:r w:rsidRPr="001B674F">
        <w:rPr>
          <w:rFonts w:ascii="Arial" w:hAnsi="Arial" w:cs="Arial"/>
          <w:lang w:val="en-NZ"/>
        </w:rPr>
        <w:t>option</w:t>
      </w:r>
      <w:r w:rsidR="00472C4B" w:rsidRPr="001B674F">
        <w:rPr>
          <w:rFonts w:ascii="Arial" w:hAnsi="Arial" w:cs="Arial"/>
          <w:lang w:val="en-NZ"/>
        </w:rPr>
        <w:t xml:space="preserve"> mean</w:t>
      </w:r>
      <w:r w:rsidRPr="001B674F">
        <w:rPr>
          <w:rFonts w:ascii="Arial" w:hAnsi="Arial" w:cs="Arial"/>
          <w:lang w:val="en-NZ"/>
        </w:rPr>
        <w:t>s</w:t>
      </w:r>
      <w:r w:rsidR="00472C4B" w:rsidRPr="001B674F">
        <w:rPr>
          <w:rFonts w:ascii="Arial" w:hAnsi="Arial" w:cs="Arial"/>
          <w:lang w:val="en-NZ"/>
        </w:rPr>
        <w:t xml:space="preserve"> that under the provisions of the State Sector Act 1988 the </w:t>
      </w:r>
      <w:r w:rsidR="00E014C6" w:rsidRPr="001B674F">
        <w:rPr>
          <w:rFonts w:ascii="Arial" w:hAnsi="Arial" w:cs="Arial"/>
          <w:lang w:val="en-NZ"/>
        </w:rPr>
        <w:t>Chief Executive</w:t>
      </w:r>
      <w:r w:rsidR="00472C4B" w:rsidRPr="001B674F">
        <w:rPr>
          <w:rFonts w:ascii="Arial" w:hAnsi="Arial" w:cs="Arial"/>
          <w:lang w:val="en-NZ"/>
        </w:rPr>
        <w:t xml:space="preserve"> </w:t>
      </w:r>
      <w:r w:rsidR="000A6989" w:rsidRPr="001B674F">
        <w:rPr>
          <w:rFonts w:ascii="Arial" w:hAnsi="Arial" w:cs="Arial"/>
          <w:lang w:val="en-NZ"/>
        </w:rPr>
        <w:t xml:space="preserve">will be able </w:t>
      </w:r>
      <w:r w:rsidR="00472C4B" w:rsidRPr="001B674F">
        <w:rPr>
          <w:rFonts w:ascii="Arial" w:hAnsi="Arial" w:cs="Arial"/>
          <w:lang w:val="en-NZ"/>
        </w:rPr>
        <w:t xml:space="preserve">to delegate in writing </w:t>
      </w:r>
      <w:r w:rsidR="000A6989" w:rsidRPr="001B674F">
        <w:rPr>
          <w:rFonts w:ascii="Arial" w:hAnsi="Arial" w:cs="Arial"/>
          <w:lang w:val="en-NZ"/>
        </w:rPr>
        <w:t>their</w:t>
      </w:r>
      <w:r w:rsidR="00472C4B" w:rsidRPr="001B674F">
        <w:rPr>
          <w:rFonts w:ascii="Arial" w:hAnsi="Arial" w:cs="Arial"/>
          <w:lang w:val="en-NZ"/>
        </w:rPr>
        <w:t xml:space="preserve"> functions, including to:</w:t>
      </w:r>
    </w:p>
    <w:p w:rsidR="00472C4B" w:rsidRPr="001B674F" w:rsidRDefault="00472C4B" w:rsidP="006C5967">
      <w:pPr>
        <w:pStyle w:val="Bullet1"/>
        <w:rPr>
          <w:rFonts w:ascii="Arial" w:hAnsi="Arial" w:cs="Arial"/>
        </w:rPr>
      </w:pPr>
      <w:r w:rsidRPr="001B674F">
        <w:rPr>
          <w:rFonts w:ascii="Arial" w:hAnsi="Arial" w:cs="Arial"/>
        </w:rPr>
        <w:t xml:space="preserve">employees (and contractors and </w:t>
      </w:r>
      <w:proofErr w:type="spellStart"/>
      <w:r w:rsidRPr="001B674F">
        <w:rPr>
          <w:rFonts w:ascii="Arial" w:hAnsi="Arial" w:cs="Arial"/>
        </w:rPr>
        <w:t>secondees</w:t>
      </w:r>
      <w:proofErr w:type="spellEnd"/>
      <w:r w:rsidRPr="001B674F">
        <w:rPr>
          <w:rFonts w:ascii="Arial" w:hAnsi="Arial" w:cs="Arial"/>
        </w:rPr>
        <w:t xml:space="preserve">) in the department and elsewhere in the public service who are not social workers </w:t>
      </w:r>
    </w:p>
    <w:p w:rsidR="00472C4B" w:rsidRPr="001B674F" w:rsidRDefault="00472C4B" w:rsidP="006C5967">
      <w:pPr>
        <w:pStyle w:val="Bullet1"/>
        <w:rPr>
          <w:rFonts w:ascii="Arial" w:hAnsi="Arial" w:cs="Arial"/>
        </w:rPr>
      </w:pPr>
      <w:r w:rsidRPr="001B674F">
        <w:rPr>
          <w:rFonts w:ascii="Arial" w:hAnsi="Arial" w:cs="Arial"/>
        </w:rPr>
        <w:t xml:space="preserve">persons outside the public service with the appropriate Minister’s prior written approval; and after satisfying </w:t>
      </w:r>
      <w:r w:rsidR="000A6989" w:rsidRPr="001B674F">
        <w:rPr>
          <w:rFonts w:ascii="Arial" w:hAnsi="Arial" w:cs="Arial"/>
        </w:rPr>
        <w:t>themself</w:t>
      </w:r>
      <w:r w:rsidRPr="001B674F">
        <w:rPr>
          <w:rFonts w:ascii="Arial" w:hAnsi="Arial" w:cs="Arial"/>
        </w:rPr>
        <w:t xml:space="preserve"> that any potential conflicts of interest will be avoided or managed.</w:t>
      </w:r>
    </w:p>
    <w:p w:rsidR="00472C4B" w:rsidRPr="001B674F" w:rsidRDefault="006C5967" w:rsidP="000A6989">
      <w:pPr>
        <w:spacing w:after="0"/>
        <w:rPr>
          <w:rFonts w:ascii="Arial" w:hAnsi="Arial" w:cs="Arial"/>
          <w:lang w:val="en-NZ"/>
        </w:rPr>
      </w:pPr>
      <w:r w:rsidRPr="001B674F">
        <w:rPr>
          <w:rFonts w:ascii="Arial" w:hAnsi="Arial" w:cs="Arial"/>
          <w:lang w:val="en-NZ"/>
        </w:rPr>
        <w:t>There are</w:t>
      </w:r>
      <w:r w:rsidR="00472C4B" w:rsidRPr="001B674F">
        <w:rPr>
          <w:rFonts w:ascii="Arial" w:hAnsi="Arial" w:cs="Arial"/>
          <w:lang w:val="en-NZ"/>
        </w:rPr>
        <w:t xml:space="preserve"> specific risks inherent in the functions being exercised under the CYPF Act as they involve the intervention of the State into family life and the wellbeing and safety of </w:t>
      </w:r>
      <w:r w:rsidR="001B674F">
        <w:rPr>
          <w:rFonts w:ascii="Arial" w:hAnsi="Arial" w:cs="Arial"/>
          <w:lang w:val="en-NZ"/>
        </w:rPr>
        <w:t>vulnerable children and young people</w:t>
      </w:r>
      <w:r w:rsidR="00472C4B" w:rsidRPr="001B674F">
        <w:rPr>
          <w:rFonts w:ascii="Arial" w:hAnsi="Arial" w:cs="Arial"/>
          <w:lang w:val="en-NZ"/>
        </w:rPr>
        <w:t>. It is therefore important to be satisfied that there are sufficient controls in place to ensure the functions are exercised in a competent, controlled and transparent manner</w:t>
      </w:r>
      <w:r w:rsidR="000A6989" w:rsidRPr="001B674F">
        <w:rPr>
          <w:rFonts w:ascii="Arial" w:hAnsi="Arial" w:cs="Arial"/>
          <w:lang w:val="en-NZ"/>
        </w:rPr>
        <w:t xml:space="preserve">. </w:t>
      </w:r>
      <w:r w:rsidRPr="001B674F">
        <w:rPr>
          <w:rFonts w:ascii="Arial" w:hAnsi="Arial" w:cs="Arial"/>
          <w:lang w:val="en-NZ"/>
        </w:rPr>
        <w:t xml:space="preserve">In additional to the </w:t>
      </w:r>
      <w:r w:rsidR="00472C4B" w:rsidRPr="001B674F">
        <w:rPr>
          <w:rFonts w:ascii="Arial" w:hAnsi="Arial" w:cs="Arial"/>
          <w:lang w:val="en-NZ"/>
        </w:rPr>
        <w:t>State Sector Act 1988 requirements for delegating outside the public service</w:t>
      </w:r>
      <w:r w:rsidR="000A6989" w:rsidRPr="001B674F">
        <w:rPr>
          <w:rFonts w:ascii="Arial" w:hAnsi="Arial" w:cs="Arial"/>
          <w:lang w:val="en-NZ"/>
        </w:rPr>
        <w:t>,</w:t>
      </w:r>
      <w:r w:rsidR="00472C4B" w:rsidRPr="001B674F">
        <w:rPr>
          <w:rFonts w:ascii="Arial" w:hAnsi="Arial" w:cs="Arial"/>
          <w:lang w:val="en-NZ"/>
        </w:rPr>
        <w:t xml:space="preserve"> </w:t>
      </w:r>
      <w:r w:rsidR="000A6989" w:rsidRPr="001B674F">
        <w:rPr>
          <w:rFonts w:ascii="Arial" w:hAnsi="Arial" w:cs="Arial"/>
          <w:lang w:val="en-NZ"/>
        </w:rPr>
        <w:t>the preferred option</w:t>
      </w:r>
      <w:r w:rsidRPr="001B674F">
        <w:rPr>
          <w:rFonts w:ascii="Arial" w:hAnsi="Arial" w:cs="Arial"/>
          <w:lang w:val="en-NZ"/>
        </w:rPr>
        <w:t xml:space="preserve"> </w:t>
      </w:r>
      <w:r w:rsidR="000A6989" w:rsidRPr="001B674F">
        <w:rPr>
          <w:rFonts w:ascii="Arial" w:hAnsi="Arial" w:cs="Arial"/>
          <w:lang w:val="en-NZ"/>
        </w:rPr>
        <w:t xml:space="preserve">includes </w:t>
      </w:r>
      <w:r w:rsidR="00472C4B" w:rsidRPr="001B674F">
        <w:rPr>
          <w:rFonts w:ascii="Arial" w:hAnsi="Arial" w:cs="Arial"/>
          <w:lang w:val="en-NZ"/>
        </w:rPr>
        <w:t>the following further controls:</w:t>
      </w:r>
    </w:p>
    <w:p w:rsidR="006C5967" w:rsidRPr="001B674F" w:rsidRDefault="006C5967" w:rsidP="006C5967">
      <w:pPr>
        <w:pStyle w:val="Bullet1"/>
        <w:ind w:left="357" w:hanging="357"/>
        <w:rPr>
          <w:rFonts w:ascii="Arial" w:hAnsi="Arial" w:cs="Arial"/>
        </w:rPr>
      </w:pPr>
      <w:r w:rsidRPr="001B674F">
        <w:rPr>
          <w:rFonts w:ascii="Arial" w:hAnsi="Arial" w:cs="Arial"/>
        </w:rPr>
        <w:t xml:space="preserve">that the </w:t>
      </w:r>
      <w:r w:rsidR="00E014C6" w:rsidRPr="001B674F">
        <w:rPr>
          <w:rFonts w:ascii="Arial" w:hAnsi="Arial" w:cs="Arial"/>
        </w:rPr>
        <w:t>Chief Executive</w:t>
      </w:r>
      <w:r w:rsidRPr="001B674F">
        <w:rPr>
          <w:rFonts w:ascii="Arial" w:hAnsi="Arial" w:cs="Arial"/>
        </w:rPr>
        <w:t xml:space="preserve"> would only be able to delegate functions to people who have the interpersonal skills, training, and experience to be suitably qualified to perform those functions</w:t>
      </w:r>
    </w:p>
    <w:p w:rsidR="006C5967" w:rsidRPr="001B674F" w:rsidRDefault="006C5967" w:rsidP="00E014C6">
      <w:pPr>
        <w:pStyle w:val="Bullet1"/>
        <w:rPr>
          <w:rFonts w:ascii="Arial" w:hAnsi="Arial" w:cs="Arial"/>
        </w:rPr>
      </w:pPr>
      <w:proofErr w:type="gramStart"/>
      <w:r w:rsidRPr="001B674F">
        <w:rPr>
          <w:rFonts w:ascii="Arial" w:hAnsi="Arial" w:cs="Arial"/>
        </w:rPr>
        <w:t>that</w:t>
      </w:r>
      <w:proofErr w:type="gramEnd"/>
      <w:r w:rsidRPr="001B674F">
        <w:rPr>
          <w:rFonts w:ascii="Arial" w:hAnsi="Arial" w:cs="Arial"/>
        </w:rPr>
        <w:t xml:space="preserve"> if delegating outside the State sector, the </w:t>
      </w:r>
      <w:r w:rsidR="00E014C6" w:rsidRPr="001B674F">
        <w:rPr>
          <w:rFonts w:ascii="Arial" w:hAnsi="Arial" w:cs="Arial"/>
        </w:rPr>
        <w:t>Chief Executive</w:t>
      </w:r>
      <w:r w:rsidRPr="001B674F">
        <w:rPr>
          <w:rFonts w:ascii="Arial" w:hAnsi="Arial" w:cs="Arial"/>
        </w:rPr>
        <w:t xml:space="preserve"> be required by the legislation to have contractual requirements in place to support the appropriate exercise of the delegation and to enable the person with delegated authority to be held to account</w:t>
      </w:r>
      <w:r w:rsidR="00E014C6" w:rsidRPr="001B674F">
        <w:rPr>
          <w:rFonts w:ascii="Arial" w:hAnsi="Arial" w:cs="Arial"/>
        </w:rPr>
        <w:t xml:space="preserve">. Where delegating outside the public service but within the State sector it is anticipated that this would have to be by arrangement with that person’s State service employer and </w:t>
      </w:r>
      <w:r w:rsidR="00E014C6" w:rsidRPr="001B674F">
        <w:rPr>
          <w:rFonts w:ascii="Arial" w:hAnsi="Arial" w:cs="Arial"/>
        </w:rPr>
        <w:lastRenderedPageBreak/>
        <w:t>that the C</w:t>
      </w:r>
      <w:r w:rsidR="0053209F" w:rsidRPr="001B674F">
        <w:rPr>
          <w:rFonts w:ascii="Arial" w:hAnsi="Arial" w:cs="Arial"/>
        </w:rPr>
        <w:t>hief Executive</w:t>
      </w:r>
      <w:r w:rsidR="00E014C6" w:rsidRPr="001B674F">
        <w:rPr>
          <w:rFonts w:ascii="Arial" w:hAnsi="Arial" w:cs="Arial"/>
        </w:rPr>
        <w:t xml:space="preserve"> would enter into a memorandum of understanding (rather than a contract) with the employer</w:t>
      </w:r>
      <w:r w:rsidR="00E014C6" w:rsidRPr="001B674F">
        <w:rPr>
          <w:rFonts w:ascii="Arial" w:hAnsi="Arial" w:cs="Arial"/>
          <w:szCs w:val="20"/>
          <w:vertAlign w:val="superscript"/>
          <w:lang w:val="en-GB"/>
        </w:rPr>
        <w:footnoteReference w:id="7"/>
      </w:r>
    </w:p>
    <w:p w:rsidR="006C5967" w:rsidRPr="001B674F" w:rsidRDefault="006C5967" w:rsidP="006C5967">
      <w:pPr>
        <w:pStyle w:val="Bullet1"/>
        <w:rPr>
          <w:rFonts w:ascii="Arial" w:hAnsi="Arial" w:cs="Arial"/>
        </w:rPr>
      </w:pPr>
      <w:r w:rsidRPr="001B674F">
        <w:rPr>
          <w:rFonts w:ascii="Arial" w:hAnsi="Arial" w:cs="Arial"/>
        </w:rPr>
        <w:t xml:space="preserve">that the legislation require those exercising delegated authority to have regard to any guidance issued by the </w:t>
      </w:r>
      <w:r w:rsidR="00E014C6" w:rsidRPr="001B674F">
        <w:rPr>
          <w:rFonts w:ascii="Arial" w:hAnsi="Arial" w:cs="Arial"/>
        </w:rPr>
        <w:t>Chief Executive</w:t>
      </w:r>
    </w:p>
    <w:p w:rsidR="006C5967" w:rsidRPr="001B674F" w:rsidRDefault="006C5967" w:rsidP="006C5967">
      <w:pPr>
        <w:pStyle w:val="Bullet1"/>
        <w:ind w:left="357" w:hanging="357"/>
        <w:rPr>
          <w:rFonts w:ascii="Arial" w:hAnsi="Arial" w:cs="Arial"/>
        </w:rPr>
      </w:pPr>
      <w:proofErr w:type="gramStart"/>
      <w:r w:rsidRPr="001B674F">
        <w:rPr>
          <w:rFonts w:ascii="Arial" w:hAnsi="Arial" w:cs="Arial"/>
        </w:rPr>
        <w:t>that</w:t>
      </w:r>
      <w:proofErr w:type="gramEnd"/>
      <w:r w:rsidRPr="001B674F">
        <w:rPr>
          <w:rFonts w:ascii="Arial" w:hAnsi="Arial" w:cs="Arial"/>
        </w:rPr>
        <w:t xml:space="preserve"> the </w:t>
      </w:r>
      <w:r w:rsidR="00E014C6" w:rsidRPr="001B674F">
        <w:rPr>
          <w:rFonts w:ascii="Arial" w:hAnsi="Arial" w:cs="Arial"/>
        </w:rPr>
        <w:t>Chief Executive</w:t>
      </w:r>
      <w:r w:rsidRPr="001B674F">
        <w:rPr>
          <w:rFonts w:ascii="Arial" w:hAnsi="Arial" w:cs="Arial"/>
        </w:rPr>
        <w:t xml:space="preserve"> be required to maintain a publicly accessible register of delegations to ensure transparency and clarity for the sector and the public.</w:t>
      </w:r>
    </w:p>
    <w:p w:rsidR="00472C4B" w:rsidRPr="001B674F" w:rsidRDefault="00472C4B" w:rsidP="006C5967">
      <w:pPr>
        <w:rPr>
          <w:rFonts w:ascii="Arial" w:hAnsi="Arial" w:cs="Arial"/>
          <w:lang w:val="en-NZ"/>
        </w:rPr>
      </w:pPr>
      <w:r w:rsidRPr="001B674F">
        <w:rPr>
          <w:rFonts w:ascii="Arial" w:hAnsi="Arial" w:cs="Arial"/>
          <w:lang w:val="en-NZ"/>
        </w:rPr>
        <w:t xml:space="preserve">These mechanisms provide a reasonable level of control without unduly limiting the flexibility available to the </w:t>
      </w:r>
      <w:r w:rsidR="00E014C6" w:rsidRPr="001B674F">
        <w:rPr>
          <w:rFonts w:ascii="Arial" w:hAnsi="Arial" w:cs="Arial"/>
          <w:lang w:val="en-NZ"/>
        </w:rPr>
        <w:t>Chief Executive</w:t>
      </w:r>
      <w:r w:rsidRPr="001B674F">
        <w:rPr>
          <w:rFonts w:ascii="Arial" w:hAnsi="Arial" w:cs="Arial"/>
          <w:lang w:val="en-NZ"/>
        </w:rPr>
        <w:t xml:space="preserve"> to operate a system that can be developed, refined and adapted over time to meet the needs of children</w:t>
      </w:r>
      <w:r w:rsidR="00683B86">
        <w:rPr>
          <w:rFonts w:ascii="Arial" w:hAnsi="Arial" w:cs="Arial"/>
          <w:lang w:val="en-NZ"/>
        </w:rPr>
        <w:t xml:space="preserve"> and young people</w:t>
      </w:r>
      <w:r w:rsidRPr="001B674F">
        <w:rPr>
          <w:rFonts w:ascii="Arial" w:hAnsi="Arial" w:cs="Arial"/>
          <w:lang w:val="en-NZ"/>
        </w:rPr>
        <w:t xml:space="preserve">. </w:t>
      </w:r>
    </w:p>
    <w:p w:rsidR="006C5967" w:rsidRPr="001B674F" w:rsidRDefault="006C5967" w:rsidP="00E014C6">
      <w:pPr>
        <w:spacing w:after="0"/>
        <w:rPr>
          <w:rFonts w:ascii="Arial" w:hAnsi="Arial" w:cs="Arial"/>
          <w:lang w:val="en-NZ"/>
        </w:rPr>
      </w:pPr>
      <w:r w:rsidRPr="001B674F">
        <w:rPr>
          <w:rFonts w:ascii="Arial" w:hAnsi="Arial" w:cs="Arial"/>
          <w:lang w:val="en-NZ"/>
        </w:rPr>
        <w:t>In addition, it is necessary to provide for the following:</w:t>
      </w:r>
    </w:p>
    <w:p w:rsidR="006C5967" w:rsidRPr="001B674F" w:rsidRDefault="006C5967" w:rsidP="006C5967">
      <w:pPr>
        <w:pStyle w:val="Bullet1"/>
        <w:rPr>
          <w:rFonts w:ascii="Arial" w:hAnsi="Arial" w:cs="Arial"/>
        </w:rPr>
      </w:pPr>
      <w:r w:rsidRPr="001B674F">
        <w:rPr>
          <w:rFonts w:ascii="Arial" w:hAnsi="Arial" w:cs="Arial"/>
        </w:rPr>
        <w:t xml:space="preserve">there are a large number of references in the CYPF Act to social workers as individuals (for example </w:t>
      </w:r>
      <w:r w:rsidR="00DE0BBD">
        <w:rPr>
          <w:rFonts w:ascii="Arial" w:hAnsi="Arial" w:cs="Arial"/>
        </w:rPr>
        <w:t>Police</w:t>
      </w:r>
      <w:r w:rsidRPr="001B674F">
        <w:rPr>
          <w:rFonts w:ascii="Arial" w:hAnsi="Arial" w:cs="Arial"/>
        </w:rPr>
        <w:t xml:space="preserve"> may place a child or young person in the custody of the </w:t>
      </w:r>
      <w:r w:rsidR="00E014C6" w:rsidRPr="001B674F">
        <w:rPr>
          <w:rFonts w:ascii="Arial" w:hAnsi="Arial" w:cs="Arial"/>
        </w:rPr>
        <w:t>Chief Executive</w:t>
      </w:r>
      <w:r w:rsidRPr="001B674F">
        <w:rPr>
          <w:rFonts w:ascii="Arial" w:hAnsi="Arial" w:cs="Arial"/>
        </w:rPr>
        <w:t xml:space="preserve"> by delivering the child or young person to a social worker). These references would need to be changed to a person authorised by the </w:t>
      </w:r>
      <w:r w:rsidR="00E014C6" w:rsidRPr="001B674F">
        <w:rPr>
          <w:rFonts w:ascii="Arial" w:hAnsi="Arial" w:cs="Arial"/>
        </w:rPr>
        <w:t>Chief Executive</w:t>
      </w:r>
      <w:r w:rsidRPr="001B674F">
        <w:rPr>
          <w:rFonts w:ascii="Arial" w:hAnsi="Arial" w:cs="Arial"/>
        </w:rPr>
        <w:t xml:space="preserve"> to perform that function rather than to the </w:t>
      </w:r>
      <w:r w:rsidR="00E014C6" w:rsidRPr="001B674F">
        <w:rPr>
          <w:rFonts w:ascii="Arial" w:hAnsi="Arial" w:cs="Arial"/>
        </w:rPr>
        <w:t>Chief Executive</w:t>
      </w:r>
    </w:p>
    <w:p w:rsidR="006C5967" w:rsidRPr="001B674F" w:rsidRDefault="006C5967" w:rsidP="006C5967">
      <w:pPr>
        <w:pStyle w:val="Bullet1"/>
        <w:rPr>
          <w:rFonts w:ascii="Arial" w:hAnsi="Arial" w:cs="Arial"/>
        </w:rPr>
      </w:pPr>
      <w:proofErr w:type="gramStart"/>
      <w:r w:rsidRPr="001B674F">
        <w:rPr>
          <w:rFonts w:ascii="Arial" w:hAnsi="Arial" w:cs="Arial"/>
        </w:rPr>
        <w:t>that</w:t>
      </w:r>
      <w:proofErr w:type="gramEnd"/>
      <w:r w:rsidRPr="001B674F">
        <w:rPr>
          <w:rFonts w:ascii="Arial" w:hAnsi="Arial" w:cs="Arial"/>
        </w:rPr>
        <w:t xml:space="preserve"> the specific function of a social worker in providing a report to the court to support the making of certain court orders (such as custody and guardianship orders) be left unchanged at this stage. These provisions have a parallel in the Care of Children Act 2004 and further policy work is needed to consider the whether any change to these provisions is desirable.</w:t>
      </w:r>
    </w:p>
    <w:p w:rsidR="006C5967" w:rsidRPr="001B674F" w:rsidRDefault="006C5967" w:rsidP="006C5967">
      <w:pPr>
        <w:rPr>
          <w:rFonts w:ascii="Arial" w:hAnsi="Arial" w:cs="Arial"/>
          <w:lang w:val="en-NZ"/>
        </w:rPr>
      </w:pPr>
      <w:r w:rsidRPr="001B674F">
        <w:rPr>
          <w:rFonts w:ascii="Arial" w:hAnsi="Arial" w:cs="Arial"/>
          <w:lang w:val="en-NZ"/>
        </w:rPr>
        <w:t xml:space="preserve">To ensure that the legislation continues to reflect the special nature of the contribution of social workers in the child protection system it is proposed that the amendments provide that the </w:t>
      </w:r>
      <w:r w:rsidR="00E014C6" w:rsidRPr="001B674F">
        <w:rPr>
          <w:rFonts w:ascii="Arial" w:hAnsi="Arial" w:cs="Arial"/>
          <w:lang w:val="en-NZ"/>
        </w:rPr>
        <w:t>Chief Executive</w:t>
      </w:r>
      <w:r w:rsidRPr="001B674F">
        <w:rPr>
          <w:rFonts w:ascii="Arial" w:hAnsi="Arial" w:cs="Arial"/>
          <w:lang w:val="en-NZ"/>
        </w:rPr>
        <w:t xml:space="preserve"> be deemed to have delegated the relevant functions to social workers unless he or she has specified otherwise. This also puts in place appropriate defaults if for some reason delegations were not </w:t>
      </w:r>
      <w:r w:rsidR="00683B86">
        <w:rPr>
          <w:rFonts w:ascii="Arial" w:hAnsi="Arial" w:cs="Arial"/>
          <w:lang w:val="en-NZ"/>
        </w:rPr>
        <w:t>made</w:t>
      </w:r>
      <w:r w:rsidRPr="001B674F">
        <w:rPr>
          <w:rFonts w:ascii="Arial" w:hAnsi="Arial" w:cs="Arial"/>
          <w:lang w:val="en-NZ"/>
        </w:rPr>
        <w:t xml:space="preserve">. </w:t>
      </w:r>
    </w:p>
    <w:p w:rsidR="00472C4B" w:rsidRPr="001B674F" w:rsidRDefault="006C5967" w:rsidP="006C5967">
      <w:pPr>
        <w:rPr>
          <w:rFonts w:ascii="Arial" w:hAnsi="Arial" w:cs="Arial"/>
          <w:lang w:val="en-NZ"/>
        </w:rPr>
      </w:pPr>
      <w:r w:rsidRPr="001B674F">
        <w:rPr>
          <w:rFonts w:ascii="Arial" w:hAnsi="Arial" w:cs="Arial"/>
          <w:lang w:val="en-NZ"/>
        </w:rPr>
        <w:t>T</w:t>
      </w:r>
      <w:r w:rsidR="00472C4B" w:rsidRPr="001B674F">
        <w:rPr>
          <w:rFonts w:ascii="Arial" w:hAnsi="Arial" w:cs="Arial"/>
          <w:lang w:val="en-NZ"/>
        </w:rPr>
        <w:t>h</w:t>
      </w:r>
      <w:r w:rsidRPr="001B674F">
        <w:rPr>
          <w:rFonts w:ascii="Arial" w:hAnsi="Arial" w:cs="Arial"/>
          <w:lang w:val="en-NZ"/>
        </w:rPr>
        <w:t>e</w:t>
      </w:r>
      <w:r w:rsidR="00472C4B" w:rsidRPr="001B674F">
        <w:rPr>
          <w:rFonts w:ascii="Arial" w:hAnsi="Arial" w:cs="Arial"/>
          <w:lang w:val="en-NZ"/>
        </w:rPr>
        <w:t xml:space="preserve"> </w:t>
      </w:r>
      <w:r w:rsidRPr="001B674F">
        <w:rPr>
          <w:rFonts w:ascii="Arial" w:hAnsi="Arial" w:cs="Arial"/>
          <w:lang w:val="en-NZ"/>
        </w:rPr>
        <w:t xml:space="preserve">preferred option is </w:t>
      </w:r>
      <w:r w:rsidR="00472C4B" w:rsidRPr="001B674F">
        <w:rPr>
          <w:rFonts w:ascii="Arial" w:hAnsi="Arial" w:cs="Arial"/>
          <w:lang w:val="en-NZ"/>
        </w:rPr>
        <w:t xml:space="preserve">intended to be enabling and does not presuppose any particular arrangements. Further work on the detailed design of the new operating model will consider decisions on future roles, responsibilities, services and investment, in partnership with those to whom the functions may be delegated. Any delegations will take account of issues such as the availability of a particular class of professionals and the cost implications. The particular operational decisions taken will also influence the protective measures the </w:t>
      </w:r>
      <w:r w:rsidR="00E014C6" w:rsidRPr="001B674F">
        <w:rPr>
          <w:rFonts w:ascii="Arial" w:hAnsi="Arial" w:cs="Arial"/>
          <w:lang w:val="en-NZ"/>
        </w:rPr>
        <w:t>Chief Executive</w:t>
      </w:r>
      <w:r w:rsidR="00472C4B" w:rsidRPr="001B674F">
        <w:rPr>
          <w:rFonts w:ascii="Arial" w:hAnsi="Arial" w:cs="Arial"/>
          <w:lang w:val="en-NZ"/>
        </w:rPr>
        <w:t xml:space="preserve"> will need to put in place around matters such as dispute resolution and complaints (ie for children and families) and training and competency assessment. </w:t>
      </w:r>
    </w:p>
    <w:p w:rsidR="003940AB" w:rsidRPr="001B674F" w:rsidRDefault="003940AB" w:rsidP="004C542E">
      <w:pPr>
        <w:pStyle w:val="Heading2"/>
        <w:rPr>
          <w:rFonts w:ascii="Arial" w:hAnsi="Arial" w:cs="Arial"/>
        </w:rPr>
      </w:pPr>
      <w:r w:rsidRPr="001B674F">
        <w:rPr>
          <w:rFonts w:ascii="Arial" w:hAnsi="Arial" w:cs="Arial"/>
        </w:rPr>
        <w:t>Consultation</w:t>
      </w:r>
    </w:p>
    <w:p w:rsidR="008053CC" w:rsidRPr="001B674F" w:rsidRDefault="008053CC" w:rsidP="000C7BFE">
      <w:pPr>
        <w:suppressAutoHyphens/>
        <w:autoSpaceDE w:val="0"/>
        <w:autoSpaceDN w:val="0"/>
        <w:adjustRightInd w:val="0"/>
        <w:spacing w:after="0"/>
        <w:textAlignment w:val="center"/>
        <w:rPr>
          <w:rFonts w:ascii="Arial" w:hAnsi="Arial" w:cs="Arial"/>
        </w:rPr>
      </w:pPr>
      <w:r w:rsidRPr="001B674F">
        <w:rPr>
          <w:rFonts w:ascii="Arial" w:hAnsi="Arial" w:cs="Arial"/>
        </w:rPr>
        <w:t xml:space="preserve">The </w:t>
      </w:r>
      <w:r w:rsidR="0031105F" w:rsidRPr="001B674F">
        <w:rPr>
          <w:rFonts w:ascii="Arial" w:hAnsi="Arial" w:cs="Arial"/>
        </w:rPr>
        <w:t xml:space="preserve">Expert </w:t>
      </w:r>
      <w:r w:rsidRPr="001B674F">
        <w:rPr>
          <w:rFonts w:ascii="Arial" w:hAnsi="Arial" w:cs="Arial"/>
        </w:rPr>
        <w:t>Panel</w:t>
      </w:r>
      <w:r w:rsidR="0031105F" w:rsidRPr="001B674F">
        <w:rPr>
          <w:rFonts w:ascii="Arial" w:hAnsi="Arial" w:cs="Arial"/>
        </w:rPr>
        <w:t>’s final report sets out a recommended</w:t>
      </w:r>
      <w:r w:rsidRPr="001B674F">
        <w:rPr>
          <w:rFonts w:ascii="Arial" w:hAnsi="Arial" w:cs="Arial"/>
        </w:rPr>
        <w:t xml:space="preserve"> high-level design of a new operating model, which has been informed by a collaborative process with children, young people, families, caregivers, victims, experts from across the system, and an extensive review of local and international research</w:t>
      </w:r>
      <w:r w:rsidR="00572BA1" w:rsidRPr="001B674F">
        <w:rPr>
          <w:rFonts w:ascii="Arial" w:hAnsi="Arial" w:cs="Arial"/>
        </w:rPr>
        <w:t>.</w:t>
      </w:r>
    </w:p>
    <w:p w:rsidR="00572BA1" w:rsidRPr="001B674F" w:rsidRDefault="00572BA1" w:rsidP="000C7BFE">
      <w:pPr>
        <w:pStyle w:val="Bullet1"/>
        <w:rPr>
          <w:rFonts w:ascii="Arial" w:hAnsi="Arial" w:cs="Arial"/>
        </w:rPr>
      </w:pPr>
      <w:r w:rsidRPr="001B674F">
        <w:rPr>
          <w:rFonts w:ascii="Arial" w:hAnsi="Arial" w:cs="Arial"/>
        </w:rPr>
        <w:lastRenderedPageBreak/>
        <w:t xml:space="preserve">Reference groups were established including a Practice Reference Group and a </w:t>
      </w:r>
      <w:r w:rsidR="001C76A7" w:rsidRPr="001B674F">
        <w:rPr>
          <w:rFonts w:ascii="Arial" w:hAnsi="Arial" w:cs="Arial"/>
        </w:rPr>
        <w:t xml:space="preserve">Māori </w:t>
      </w:r>
      <w:r w:rsidRPr="001B674F">
        <w:rPr>
          <w:rFonts w:ascii="Arial" w:hAnsi="Arial" w:cs="Arial"/>
        </w:rPr>
        <w:t>Reference Group. These included the Chief Social Worker, and a number of other highly qualified social workers, some of whom have served on or worked with the Social Work</w:t>
      </w:r>
      <w:r w:rsidR="00683B86">
        <w:rPr>
          <w:rFonts w:ascii="Arial" w:hAnsi="Arial" w:cs="Arial"/>
        </w:rPr>
        <w:t>er’s</w:t>
      </w:r>
      <w:r w:rsidRPr="001B674F">
        <w:rPr>
          <w:rFonts w:ascii="Arial" w:hAnsi="Arial" w:cs="Arial"/>
        </w:rPr>
        <w:t xml:space="preserve"> Registration Board. </w:t>
      </w:r>
    </w:p>
    <w:p w:rsidR="00572BA1" w:rsidRPr="001B674F" w:rsidRDefault="00572BA1" w:rsidP="000C7BFE">
      <w:pPr>
        <w:pStyle w:val="Bullet1"/>
        <w:rPr>
          <w:rFonts w:ascii="Arial" w:hAnsi="Arial" w:cs="Arial"/>
        </w:rPr>
      </w:pPr>
      <w:r w:rsidRPr="001B674F">
        <w:rPr>
          <w:rFonts w:ascii="Arial" w:hAnsi="Arial" w:cs="Arial"/>
        </w:rPr>
        <w:t xml:space="preserve">The </w:t>
      </w:r>
      <w:r w:rsidR="0031105F" w:rsidRPr="001B674F">
        <w:rPr>
          <w:rFonts w:ascii="Arial" w:hAnsi="Arial" w:cs="Arial"/>
        </w:rPr>
        <w:t xml:space="preserve">Expert </w:t>
      </w:r>
      <w:r w:rsidRPr="001B674F">
        <w:rPr>
          <w:rFonts w:ascii="Arial" w:hAnsi="Arial" w:cs="Arial"/>
        </w:rPr>
        <w:t xml:space="preserve">Panel and </w:t>
      </w:r>
      <w:r w:rsidR="00AB1D51" w:rsidRPr="001B674F">
        <w:rPr>
          <w:rFonts w:ascii="Arial" w:hAnsi="Arial" w:cs="Arial"/>
        </w:rPr>
        <w:t xml:space="preserve">secretariat </w:t>
      </w:r>
      <w:r w:rsidRPr="001B674F">
        <w:rPr>
          <w:rFonts w:ascii="Arial" w:hAnsi="Arial" w:cs="Arial"/>
        </w:rPr>
        <w:t>engaged with a number of people with expertise</w:t>
      </w:r>
      <w:r w:rsidR="00683B86">
        <w:rPr>
          <w:rFonts w:ascii="Arial" w:hAnsi="Arial" w:cs="Arial"/>
        </w:rPr>
        <w:t>,</w:t>
      </w:r>
      <w:r w:rsidRPr="001B674F">
        <w:rPr>
          <w:rFonts w:ascii="Arial" w:hAnsi="Arial" w:cs="Arial"/>
        </w:rPr>
        <w:t xml:space="preserve"> including receiving a presentation by the Social </w:t>
      </w:r>
      <w:r w:rsidR="00683B86" w:rsidRPr="001B674F">
        <w:rPr>
          <w:rFonts w:ascii="Arial" w:hAnsi="Arial" w:cs="Arial"/>
        </w:rPr>
        <w:t>Work</w:t>
      </w:r>
      <w:r w:rsidR="00683B86">
        <w:rPr>
          <w:rFonts w:ascii="Arial" w:hAnsi="Arial" w:cs="Arial"/>
        </w:rPr>
        <w:t>er’s</w:t>
      </w:r>
      <w:r w:rsidR="00683B86" w:rsidRPr="001B674F">
        <w:rPr>
          <w:rFonts w:ascii="Arial" w:hAnsi="Arial" w:cs="Arial"/>
        </w:rPr>
        <w:t xml:space="preserve"> </w:t>
      </w:r>
      <w:r w:rsidRPr="001B674F">
        <w:rPr>
          <w:rFonts w:ascii="Arial" w:hAnsi="Arial" w:cs="Arial"/>
        </w:rPr>
        <w:t xml:space="preserve">Registration Board, and consulting with key staff from the </w:t>
      </w:r>
      <w:r w:rsidRPr="001B674F">
        <w:rPr>
          <w:rFonts w:ascii="Arial" w:hAnsi="Arial" w:cs="Arial"/>
          <w:color w:val="000000"/>
          <w:lang w:eastAsia="en-NZ"/>
        </w:rPr>
        <w:t>New Zealand Public Service Association and</w:t>
      </w:r>
      <w:r w:rsidRPr="001B674F">
        <w:rPr>
          <w:rFonts w:ascii="Arial" w:hAnsi="Arial" w:cs="Arial"/>
          <w:lang w:eastAsia="en-NZ"/>
        </w:rPr>
        <w:t xml:space="preserve"> National Union of Public Employees.</w:t>
      </w:r>
    </w:p>
    <w:p w:rsidR="00572BA1" w:rsidRPr="001B674F" w:rsidRDefault="00572BA1" w:rsidP="000C7BFE">
      <w:pPr>
        <w:pStyle w:val="Bullet1"/>
        <w:rPr>
          <w:rFonts w:ascii="Arial" w:hAnsi="Arial" w:cs="Arial"/>
        </w:rPr>
      </w:pPr>
      <w:r w:rsidRPr="001B674F">
        <w:rPr>
          <w:rFonts w:ascii="Arial" w:hAnsi="Arial" w:cs="Arial"/>
        </w:rPr>
        <w:t>More detail on the consultation processes undertaken is provided at Appendix A.</w:t>
      </w:r>
    </w:p>
    <w:p w:rsidR="008053CC" w:rsidRPr="001B674F" w:rsidRDefault="008053CC" w:rsidP="008053CC">
      <w:pPr>
        <w:suppressAutoHyphens/>
        <w:autoSpaceDE w:val="0"/>
        <w:autoSpaceDN w:val="0"/>
        <w:adjustRightInd w:val="0"/>
        <w:textAlignment w:val="center"/>
        <w:rPr>
          <w:rFonts w:ascii="Arial" w:hAnsi="Arial" w:cs="Arial"/>
        </w:rPr>
      </w:pPr>
      <w:r w:rsidRPr="001B674F">
        <w:rPr>
          <w:rFonts w:ascii="Arial" w:hAnsi="Arial" w:cs="Arial"/>
        </w:rPr>
        <w:t xml:space="preserve">There was no consultation undertaken </w:t>
      </w:r>
      <w:r w:rsidR="00BC623F" w:rsidRPr="001B674F">
        <w:rPr>
          <w:rFonts w:ascii="Arial" w:hAnsi="Arial" w:cs="Arial"/>
        </w:rPr>
        <w:t xml:space="preserve">specifically </w:t>
      </w:r>
      <w:r w:rsidRPr="001B674F">
        <w:rPr>
          <w:rFonts w:ascii="Arial" w:hAnsi="Arial" w:cs="Arial"/>
        </w:rPr>
        <w:t>on this proposal. To mitigate this, the analysis has drawn on the expertise of highly experienced social work practitioners</w:t>
      </w:r>
      <w:r w:rsidR="004F79B1" w:rsidRPr="001B674F">
        <w:rPr>
          <w:rFonts w:ascii="Arial" w:hAnsi="Arial" w:cs="Arial"/>
        </w:rPr>
        <w:t xml:space="preserve"> within the secretariat</w:t>
      </w:r>
      <w:r w:rsidR="00572BA1" w:rsidRPr="001B674F">
        <w:rPr>
          <w:rFonts w:ascii="Arial" w:hAnsi="Arial" w:cs="Arial"/>
        </w:rPr>
        <w:t>.</w:t>
      </w:r>
    </w:p>
    <w:p w:rsidR="003940AB" w:rsidRPr="001B674F" w:rsidRDefault="003940AB" w:rsidP="000C7BFE">
      <w:pPr>
        <w:pStyle w:val="Heading2"/>
        <w:rPr>
          <w:rFonts w:ascii="Arial" w:hAnsi="Arial" w:cs="Arial"/>
          <w:kern w:val="28"/>
        </w:rPr>
      </w:pPr>
      <w:r w:rsidRPr="001B674F">
        <w:rPr>
          <w:rFonts w:ascii="Arial" w:hAnsi="Arial" w:cs="Arial"/>
        </w:rPr>
        <w:t xml:space="preserve">Implementation </w:t>
      </w:r>
      <w:r w:rsidR="00A14108" w:rsidRPr="001B674F">
        <w:rPr>
          <w:rFonts w:ascii="Arial" w:hAnsi="Arial" w:cs="Arial"/>
        </w:rPr>
        <w:t>plan</w:t>
      </w:r>
    </w:p>
    <w:p w:rsidR="003940AB" w:rsidRPr="001B674F" w:rsidRDefault="003940AB" w:rsidP="003940AB">
      <w:pPr>
        <w:suppressAutoHyphens/>
        <w:autoSpaceDE w:val="0"/>
        <w:autoSpaceDN w:val="0"/>
        <w:adjustRightInd w:val="0"/>
        <w:textAlignment w:val="center"/>
        <w:rPr>
          <w:rFonts w:ascii="Arial" w:hAnsi="Arial" w:cs="Arial"/>
        </w:rPr>
      </w:pPr>
      <w:r w:rsidRPr="001B674F">
        <w:rPr>
          <w:rFonts w:ascii="Arial" w:hAnsi="Arial" w:cs="Arial"/>
        </w:rPr>
        <w:t>It is proposed that the future operating model be established through a Transformation Programme to implement the proposed changes, operating according to a robust programme management system that includes reporting and monitoring, decision-making protocols, change control, change management, stakeholder management, risk and issues management, and benefits realisation.</w:t>
      </w:r>
      <w:r w:rsidR="00695296" w:rsidRPr="001B674F">
        <w:rPr>
          <w:rFonts w:ascii="Arial" w:hAnsi="Arial" w:cs="Arial"/>
        </w:rPr>
        <w:t xml:space="preserve"> </w:t>
      </w:r>
      <w:r w:rsidR="0031105F" w:rsidRPr="001B674F">
        <w:rPr>
          <w:rFonts w:ascii="Arial" w:hAnsi="Arial" w:cs="Arial"/>
        </w:rPr>
        <w:t>Detailed recommendations for implementing the proposed transformation are</w:t>
      </w:r>
      <w:r w:rsidRPr="001B674F">
        <w:rPr>
          <w:rFonts w:ascii="Arial" w:hAnsi="Arial" w:cs="Arial"/>
        </w:rPr>
        <w:t xml:space="preserve"> included in the </w:t>
      </w:r>
      <w:r w:rsidR="0031105F" w:rsidRPr="001B674F">
        <w:rPr>
          <w:rFonts w:ascii="Arial" w:hAnsi="Arial" w:cs="Arial"/>
        </w:rPr>
        <w:t xml:space="preserve">Expert </w:t>
      </w:r>
      <w:r w:rsidRPr="001B674F">
        <w:rPr>
          <w:rFonts w:ascii="Arial" w:hAnsi="Arial" w:cs="Arial"/>
        </w:rPr>
        <w:t>Panel’s</w:t>
      </w:r>
      <w:r w:rsidR="0031105F" w:rsidRPr="001B674F">
        <w:rPr>
          <w:rFonts w:ascii="Arial" w:hAnsi="Arial" w:cs="Arial"/>
        </w:rPr>
        <w:t xml:space="preserve"> final</w:t>
      </w:r>
      <w:r w:rsidRPr="001B674F">
        <w:rPr>
          <w:rFonts w:ascii="Arial" w:hAnsi="Arial" w:cs="Arial"/>
        </w:rPr>
        <w:t xml:space="preserve"> report, particularly Chapter 9. </w:t>
      </w:r>
    </w:p>
    <w:p w:rsidR="003940AB" w:rsidRPr="001B674F" w:rsidRDefault="003940AB" w:rsidP="000C7BFE">
      <w:pPr>
        <w:suppressAutoHyphens/>
        <w:autoSpaceDE w:val="0"/>
        <w:autoSpaceDN w:val="0"/>
        <w:adjustRightInd w:val="0"/>
        <w:spacing w:after="0"/>
        <w:textAlignment w:val="center"/>
        <w:rPr>
          <w:rFonts w:ascii="Arial" w:hAnsi="Arial" w:cs="Arial"/>
        </w:rPr>
      </w:pPr>
      <w:r w:rsidRPr="001B674F">
        <w:rPr>
          <w:rFonts w:ascii="Arial" w:hAnsi="Arial" w:cs="Arial"/>
        </w:rPr>
        <w:t xml:space="preserve">A series of mitigation strategies have been identified to manage risks to service continuity arising from the implementation of a new operating model. Those most relevant to the </w:t>
      </w:r>
      <w:r w:rsidR="005B414B" w:rsidRPr="001B674F">
        <w:rPr>
          <w:rFonts w:ascii="Arial" w:hAnsi="Arial" w:cs="Arial"/>
        </w:rPr>
        <w:t>workforce settings</w:t>
      </w:r>
      <w:r w:rsidRPr="001B674F">
        <w:rPr>
          <w:rFonts w:ascii="Arial" w:hAnsi="Arial" w:cs="Arial"/>
        </w:rPr>
        <w:t xml:space="preserve"> include:</w:t>
      </w:r>
    </w:p>
    <w:p w:rsidR="005B414B" w:rsidRPr="001B674F" w:rsidRDefault="005B414B" w:rsidP="00477434">
      <w:pPr>
        <w:pStyle w:val="Bullet1"/>
        <w:rPr>
          <w:rFonts w:ascii="Arial" w:hAnsi="Arial" w:cs="Arial"/>
        </w:rPr>
      </w:pPr>
      <w:proofErr w:type="gramStart"/>
      <w:r w:rsidRPr="001B674F">
        <w:rPr>
          <w:rFonts w:ascii="Arial" w:hAnsi="Arial" w:cs="Arial"/>
        </w:rPr>
        <w:t>iterative</w:t>
      </w:r>
      <w:proofErr w:type="gramEnd"/>
      <w:r w:rsidRPr="001B674F">
        <w:rPr>
          <w:rFonts w:ascii="Arial" w:hAnsi="Arial" w:cs="Arial"/>
        </w:rPr>
        <w:t xml:space="preserve"> roll-out</w:t>
      </w:r>
      <w:r w:rsidR="00BC623F" w:rsidRPr="001B674F">
        <w:rPr>
          <w:rFonts w:ascii="Arial" w:hAnsi="Arial" w:cs="Arial"/>
        </w:rPr>
        <w:t>,</w:t>
      </w:r>
      <w:r w:rsidRPr="001B674F">
        <w:rPr>
          <w:rFonts w:ascii="Arial" w:hAnsi="Arial" w:cs="Arial"/>
        </w:rPr>
        <w:t xml:space="preserve"> to pilot key changes with small groups of stakeholders, ensuring the impact </w:t>
      </w:r>
      <w:r w:rsidR="00BC623F" w:rsidRPr="001B674F">
        <w:rPr>
          <w:rFonts w:ascii="Arial" w:hAnsi="Arial" w:cs="Arial"/>
        </w:rPr>
        <w:t xml:space="preserve">of the changes </w:t>
      </w:r>
      <w:r w:rsidRPr="001B674F">
        <w:rPr>
          <w:rFonts w:ascii="Arial" w:hAnsi="Arial" w:cs="Arial"/>
        </w:rPr>
        <w:t>can be properly assessed before they are rolled out to a broader base. Intensive support will be built around these pilot groups to ensure any issues are identified early and remedied</w:t>
      </w:r>
    </w:p>
    <w:p w:rsidR="005B414B" w:rsidRPr="001B674F" w:rsidRDefault="005B414B" w:rsidP="00477434">
      <w:pPr>
        <w:pStyle w:val="Bullet1"/>
        <w:rPr>
          <w:rFonts w:ascii="Arial" w:hAnsi="Arial" w:cs="Arial"/>
        </w:rPr>
      </w:pPr>
      <w:r w:rsidRPr="001B674F">
        <w:rPr>
          <w:rFonts w:ascii="Arial" w:hAnsi="Arial" w:cs="Arial"/>
        </w:rPr>
        <w:t>collaborative design with all sector stakeholders, especially vulnerable children and their families</w:t>
      </w:r>
      <w:r w:rsidR="00BC623F" w:rsidRPr="001B674F">
        <w:rPr>
          <w:rFonts w:ascii="Arial" w:hAnsi="Arial" w:cs="Arial"/>
        </w:rPr>
        <w:t>,</w:t>
      </w:r>
      <w:r w:rsidRPr="001B674F">
        <w:rPr>
          <w:rFonts w:ascii="Arial" w:hAnsi="Arial" w:cs="Arial"/>
        </w:rPr>
        <w:t xml:space="preserve"> will be used to help ensure the final designs reflect their needs and aspirations</w:t>
      </w:r>
    </w:p>
    <w:p w:rsidR="003940AB" w:rsidRPr="001B674F" w:rsidRDefault="003940AB" w:rsidP="00477434">
      <w:pPr>
        <w:pStyle w:val="Bullet1"/>
        <w:rPr>
          <w:rFonts w:ascii="Arial" w:hAnsi="Arial" w:cs="Arial"/>
        </w:rPr>
      </w:pPr>
      <w:r w:rsidRPr="001B674F">
        <w:rPr>
          <w:rFonts w:ascii="Arial" w:hAnsi="Arial" w:cs="Arial"/>
        </w:rPr>
        <w:t>establishment of strengthened sector-wide monitoring so that the overall impact of the changes can be monitored</w:t>
      </w:r>
    </w:p>
    <w:p w:rsidR="003940AB" w:rsidRPr="001B674F" w:rsidRDefault="003940AB" w:rsidP="00477434">
      <w:pPr>
        <w:pStyle w:val="Bullet1"/>
        <w:rPr>
          <w:rFonts w:ascii="Arial" w:hAnsi="Arial" w:cs="Arial"/>
        </w:rPr>
      </w:pPr>
      <w:proofErr w:type="gramStart"/>
      <w:r w:rsidRPr="001B674F">
        <w:rPr>
          <w:rFonts w:ascii="Arial" w:hAnsi="Arial" w:cs="Arial"/>
        </w:rPr>
        <w:t>active</w:t>
      </w:r>
      <w:proofErr w:type="gramEnd"/>
      <w:r w:rsidRPr="001B674F">
        <w:rPr>
          <w:rFonts w:ascii="Arial" w:hAnsi="Arial" w:cs="Arial"/>
        </w:rPr>
        <w:t xml:space="preserve"> use of workforce capacity monitoring and management to ensure staff and other service providers are able to support both the change and their core operational activities. Additional capacity will be put in place where required.</w:t>
      </w:r>
    </w:p>
    <w:p w:rsidR="00A14108" w:rsidRPr="001B674F" w:rsidRDefault="00A14108" w:rsidP="000C7BFE">
      <w:pPr>
        <w:rPr>
          <w:rFonts w:ascii="Arial" w:hAnsi="Arial" w:cs="Arial"/>
          <w:lang w:eastAsia="en-AU"/>
        </w:rPr>
      </w:pPr>
      <w:bookmarkStart w:id="49" w:name="_Toc244580369"/>
      <w:bookmarkStart w:id="50" w:name="_Toc244587045"/>
      <w:bookmarkStart w:id="51" w:name="_Toc244857279"/>
      <w:bookmarkStart w:id="52" w:name="_Toc244912544"/>
      <w:bookmarkStart w:id="53" w:name="_Toc244917001"/>
      <w:bookmarkStart w:id="54" w:name="_Toc362368110"/>
      <w:bookmarkStart w:id="55" w:name="_Toc362434951"/>
      <w:bookmarkStart w:id="56" w:name="_Toc362589337"/>
      <w:bookmarkStart w:id="57" w:name="_Toc362619037"/>
      <w:bookmarkStart w:id="58" w:name="_Toc362940601"/>
      <w:bookmarkStart w:id="59" w:name="_Toc363047109"/>
      <w:r w:rsidRPr="001B674F">
        <w:rPr>
          <w:rFonts w:ascii="Arial" w:hAnsi="Arial" w:cs="Arial"/>
          <w:lang w:eastAsia="en-AU"/>
        </w:rPr>
        <w:t xml:space="preserve">Detailed design of the new operating model will need to undertake an assessment of which functions, if any, should be delegated only to social workers. This is </w:t>
      </w:r>
      <w:proofErr w:type="gramStart"/>
      <w:r w:rsidRPr="001B674F">
        <w:rPr>
          <w:rFonts w:ascii="Arial" w:hAnsi="Arial" w:cs="Arial"/>
          <w:lang w:eastAsia="en-AU"/>
        </w:rPr>
        <w:t>key</w:t>
      </w:r>
      <w:proofErr w:type="gramEnd"/>
      <w:r w:rsidRPr="001B674F">
        <w:rPr>
          <w:rFonts w:ascii="Arial" w:hAnsi="Arial" w:cs="Arial"/>
          <w:lang w:eastAsia="en-AU"/>
        </w:rPr>
        <w:t xml:space="preserve"> for ensuring that the public has confidence in the competency of those performing statutory functions and that the public, social workers and other professionals have clarity about who has this authority</w:t>
      </w:r>
      <w:r w:rsidR="009430BC" w:rsidRPr="001B674F">
        <w:rPr>
          <w:rFonts w:ascii="Arial" w:hAnsi="Arial" w:cs="Arial"/>
          <w:lang w:eastAsia="en-AU"/>
        </w:rPr>
        <w:t>.</w:t>
      </w:r>
    </w:p>
    <w:p w:rsidR="00BC4DD1" w:rsidRPr="001B674F" w:rsidRDefault="005D6FD1" w:rsidP="000C7BFE">
      <w:pPr>
        <w:rPr>
          <w:rFonts w:ascii="Arial" w:hAnsi="Arial" w:cs="Arial"/>
          <w:lang w:eastAsia="en-AU"/>
        </w:rPr>
      </w:pPr>
      <w:r w:rsidRPr="001B674F">
        <w:rPr>
          <w:rFonts w:ascii="Arial" w:hAnsi="Arial" w:cs="Arial"/>
          <w:lang w:val="en-NZ" w:eastAsia="en-AU"/>
        </w:rPr>
        <w:t>There is a risk that this proposal could be perceived as undermining the role of Child, Youth and Family social workers, leading to an adverse reaction to the wider transformation programme. Social workers are key stakeholders in the new operating model</w:t>
      </w:r>
      <w:r w:rsidR="00BC4DD1" w:rsidRPr="001B674F">
        <w:rPr>
          <w:rFonts w:ascii="Arial" w:hAnsi="Arial" w:cs="Arial"/>
          <w:lang w:val="en-NZ" w:eastAsia="en-AU"/>
        </w:rPr>
        <w:t xml:space="preserve"> and this risk would need to be carefully managed. Communications about the proposal should note that it is not intended to displace social workers from their vital roles in the system.</w:t>
      </w:r>
    </w:p>
    <w:p w:rsidR="003940AB" w:rsidRPr="001B674F" w:rsidRDefault="003940AB" w:rsidP="000C7BFE">
      <w:pPr>
        <w:pStyle w:val="Heading2"/>
        <w:rPr>
          <w:rFonts w:ascii="Arial" w:hAnsi="Arial" w:cs="Arial"/>
        </w:rPr>
      </w:pPr>
      <w:r w:rsidRPr="001B674F">
        <w:rPr>
          <w:rFonts w:ascii="Arial" w:hAnsi="Arial" w:cs="Arial"/>
        </w:rPr>
        <w:lastRenderedPageBreak/>
        <w:t>Monitoring, evaluation and review</w:t>
      </w:r>
      <w:bookmarkEnd w:id="49"/>
      <w:bookmarkEnd w:id="50"/>
      <w:bookmarkEnd w:id="51"/>
      <w:bookmarkEnd w:id="52"/>
      <w:bookmarkEnd w:id="53"/>
      <w:bookmarkEnd w:id="54"/>
      <w:bookmarkEnd w:id="55"/>
      <w:bookmarkEnd w:id="56"/>
      <w:bookmarkEnd w:id="57"/>
      <w:bookmarkEnd w:id="58"/>
      <w:bookmarkEnd w:id="59"/>
      <w:r w:rsidRPr="001B674F">
        <w:rPr>
          <w:rFonts w:ascii="Arial" w:hAnsi="Arial" w:cs="Arial"/>
        </w:rPr>
        <w:t xml:space="preserve"> </w:t>
      </w:r>
    </w:p>
    <w:p w:rsidR="003940AB" w:rsidRPr="001B674F" w:rsidRDefault="000A6989" w:rsidP="000A6989">
      <w:pPr>
        <w:suppressAutoHyphens/>
        <w:autoSpaceDE w:val="0"/>
        <w:autoSpaceDN w:val="0"/>
        <w:adjustRightInd w:val="0"/>
        <w:spacing w:after="0"/>
        <w:textAlignment w:val="center"/>
        <w:rPr>
          <w:rFonts w:ascii="Arial" w:hAnsi="Arial" w:cs="Arial"/>
        </w:rPr>
      </w:pPr>
      <w:r w:rsidRPr="001B674F">
        <w:rPr>
          <w:rFonts w:ascii="Arial" w:hAnsi="Arial" w:cs="Arial"/>
        </w:rPr>
        <w:t>These proposals form part of a large set of reforms to develop a new operating model for responding to vulnerable children, young people and their families. The Expert Panel’s report proposes that t</w:t>
      </w:r>
      <w:r w:rsidR="003940AB" w:rsidRPr="001B674F">
        <w:rPr>
          <w:rFonts w:ascii="Arial" w:hAnsi="Arial" w:cs="Arial"/>
        </w:rPr>
        <w:t xml:space="preserve">he Transformation Programme be governed and monitored at multiple levels. </w:t>
      </w:r>
      <w:r w:rsidR="00683B86">
        <w:rPr>
          <w:rFonts w:ascii="Arial" w:hAnsi="Arial" w:cs="Arial"/>
        </w:rPr>
        <w:t>M</w:t>
      </w:r>
      <w:r w:rsidR="003940AB" w:rsidRPr="001B674F">
        <w:rPr>
          <w:rFonts w:ascii="Arial" w:hAnsi="Arial" w:cs="Arial"/>
        </w:rPr>
        <w:t>onitoring at all levels comprise</w:t>
      </w:r>
      <w:r w:rsidR="00683B86">
        <w:rPr>
          <w:rFonts w:ascii="Arial" w:hAnsi="Arial" w:cs="Arial"/>
        </w:rPr>
        <w:t>s</w:t>
      </w:r>
      <w:r w:rsidR="003940AB" w:rsidRPr="001B674F">
        <w:rPr>
          <w:rFonts w:ascii="Arial" w:hAnsi="Arial" w:cs="Arial"/>
        </w:rPr>
        <w:t>:</w:t>
      </w:r>
    </w:p>
    <w:p w:rsidR="003940AB" w:rsidRPr="001B674F" w:rsidRDefault="003940AB" w:rsidP="00477434">
      <w:pPr>
        <w:pStyle w:val="Bullet1"/>
        <w:rPr>
          <w:rFonts w:ascii="Arial" w:hAnsi="Arial" w:cs="Arial"/>
        </w:rPr>
      </w:pPr>
      <w:r w:rsidRPr="001B674F">
        <w:rPr>
          <w:rFonts w:ascii="Arial" w:hAnsi="Arial" w:cs="Arial"/>
        </w:rPr>
        <w:t>project/programme progress reviews using an outcomes model</w:t>
      </w:r>
    </w:p>
    <w:p w:rsidR="003940AB" w:rsidRPr="001B674F" w:rsidRDefault="003940AB" w:rsidP="00477434">
      <w:pPr>
        <w:pStyle w:val="Bullet1"/>
        <w:rPr>
          <w:rFonts w:ascii="Arial" w:hAnsi="Arial" w:cs="Arial"/>
        </w:rPr>
      </w:pPr>
      <w:r w:rsidRPr="001B674F">
        <w:rPr>
          <w:rFonts w:ascii="Arial" w:hAnsi="Arial" w:cs="Arial"/>
        </w:rPr>
        <w:t>financial performance</w:t>
      </w:r>
    </w:p>
    <w:p w:rsidR="003940AB" w:rsidRPr="001B674F" w:rsidRDefault="003940AB" w:rsidP="00477434">
      <w:pPr>
        <w:pStyle w:val="Bullet1"/>
        <w:rPr>
          <w:rFonts w:ascii="Arial" w:hAnsi="Arial" w:cs="Arial"/>
        </w:rPr>
      </w:pPr>
      <w:r w:rsidRPr="001B674F">
        <w:rPr>
          <w:rFonts w:ascii="Arial" w:hAnsi="Arial" w:cs="Arial"/>
        </w:rPr>
        <w:t>assessment of risk and issues management</w:t>
      </w:r>
    </w:p>
    <w:p w:rsidR="003940AB" w:rsidRPr="001B674F" w:rsidRDefault="003940AB" w:rsidP="00477434">
      <w:pPr>
        <w:pStyle w:val="Bullet1"/>
        <w:rPr>
          <w:rFonts w:ascii="Arial" w:hAnsi="Arial" w:cs="Arial"/>
        </w:rPr>
      </w:pPr>
      <w:proofErr w:type="gramStart"/>
      <w:r w:rsidRPr="001B674F">
        <w:rPr>
          <w:rFonts w:ascii="Arial" w:hAnsi="Arial" w:cs="Arial"/>
        </w:rPr>
        <w:t>benefits</w:t>
      </w:r>
      <w:proofErr w:type="gramEnd"/>
      <w:r w:rsidRPr="001B674F">
        <w:rPr>
          <w:rFonts w:ascii="Arial" w:hAnsi="Arial" w:cs="Arial"/>
        </w:rPr>
        <w:t xml:space="preserve"> tracking against Business Case. </w:t>
      </w:r>
    </w:p>
    <w:p w:rsidR="000A6989" w:rsidRPr="001B674F" w:rsidRDefault="003940AB" w:rsidP="003940AB">
      <w:pPr>
        <w:suppressAutoHyphens/>
        <w:autoSpaceDE w:val="0"/>
        <w:autoSpaceDN w:val="0"/>
        <w:adjustRightInd w:val="0"/>
        <w:textAlignment w:val="center"/>
        <w:rPr>
          <w:rFonts w:ascii="Arial" w:hAnsi="Arial" w:cs="Arial"/>
        </w:rPr>
      </w:pPr>
      <w:r w:rsidRPr="001B674F">
        <w:rPr>
          <w:rFonts w:ascii="Arial" w:hAnsi="Arial" w:cs="Arial"/>
        </w:rPr>
        <w:t>Formal assurance oversight (Internal Audit and Independent Quality Assurance) w</w:t>
      </w:r>
      <w:r w:rsidR="000A6989" w:rsidRPr="001B674F">
        <w:rPr>
          <w:rFonts w:ascii="Arial" w:hAnsi="Arial" w:cs="Arial"/>
        </w:rPr>
        <w:t>ould</w:t>
      </w:r>
      <w:r w:rsidRPr="001B674F">
        <w:rPr>
          <w:rFonts w:ascii="Arial" w:hAnsi="Arial" w:cs="Arial"/>
        </w:rPr>
        <w:t xml:space="preserve"> be separately undertaken and reported.</w:t>
      </w:r>
      <w:r w:rsidR="000A6989" w:rsidRPr="001B674F">
        <w:rPr>
          <w:rFonts w:ascii="Arial" w:hAnsi="Arial" w:cs="Arial"/>
        </w:rPr>
        <w:t xml:space="preserve"> </w:t>
      </w:r>
    </w:p>
    <w:p w:rsidR="003940AB" w:rsidRPr="001B674F" w:rsidRDefault="000A6989" w:rsidP="003940AB">
      <w:pPr>
        <w:suppressAutoHyphens/>
        <w:autoSpaceDE w:val="0"/>
        <w:autoSpaceDN w:val="0"/>
        <w:adjustRightInd w:val="0"/>
        <w:textAlignment w:val="center"/>
        <w:rPr>
          <w:rFonts w:ascii="Arial" w:hAnsi="Arial" w:cs="Arial"/>
        </w:rPr>
      </w:pPr>
      <w:r w:rsidRPr="001B674F">
        <w:rPr>
          <w:rFonts w:ascii="Arial" w:hAnsi="Arial" w:cs="Arial"/>
        </w:rPr>
        <w:t>Final advice on the forms of monitoring, evaluation and review will</w:t>
      </w:r>
      <w:r w:rsidR="00683B86">
        <w:rPr>
          <w:rFonts w:ascii="Arial" w:hAnsi="Arial" w:cs="Arial"/>
        </w:rPr>
        <w:t>,</w:t>
      </w:r>
      <w:r w:rsidRPr="001B674F">
        <w:rPr>
          <w:rFonts w:ascii="Arial" w:hAnsi="Arial" w:cs="Arial"/>
        </w:rPr>
        <w:t xml:space="preserve"> however</w:t>
      </w:r>
      <w:r w:rsidR="00683B86">
        <w:rPr>
          <w:rFonts w:ascii="Arial" w:hAnsi="Arial" w:cs="Arial"/>
        </w:rPr>
        <w:t>,</w:t>
      </w:r>
      <w:r w:rsidRPr="001B674F">
        <w:rPr>
          <w:rFonts w:ascii="Arial" w:hAnsi="Arial" w:cs="Arial"/>
        </w:rPr>
        <w:t xml:space="preserve"> </w:t>
      </w:r>
      <w:proofErr w:type="gramStart"/>
      <w:r w:rsidRPr="001B674F">
        <w:rPr>
          <w:rFonts w:ascii="Arial" w:hAnsi="Arial" w:cs="Arial"/>
        </w:rPr>
        <w:t>be</w:t>
      </w:r>
      <w:proofErr w:type="gramEnd"/>
      <w:r w:rsidRPr="001B674F">
        <w:rPr>
          <w:rFonts w:ascii="Arial" w:hAnsi="Arial" w:cs="Arial"/>
        </w:rPr>
        <w:t xml:space="preserve"> developed by the Transformation Programme.</w:t>
      </w:r>
    </w:p>
    <w:p w:rsidR="003940AB" w:rsidRPr="001B674F" w:rsidRDefault="003940AB" w:rsidP="00E3608F">
      <w:pPr>
        <w:suppressAutoHyphens/>
        <w:autoSpaceDE w:val="0"/>
        <w:autoSpaceDN w:val="0"/>
        <w:adjustRightInd w:val="0"/>
        <w:spacing w:after="0"/>
        <w:textAlignment w:val="center"/>
        <w:rPr>
          <w:rFonts w:ascii="Arial" w:hAnsi="Arial" w:cs="Arial"/>
        </w:rPr>
      </w:pPr>
      <w:r w:rsidRPr="001B674F">
        <w:rPr>
          <w:rFonts w:ascii="Arial" w:hAnsi="Arial" w:cs="Arial"/>
        </w:rPr>
        <w:t xml:space="preserve">The success of the new system and </w:t>
      </w:r>
      <w:r w:rsidR="00E53D4F" w:rsidRPr="001B674F">
        <w:rPr>
          <w:rFonts w:ascii="Arial" w:hAnsi="Arial" w:cs="Arial"/>
        </w:rPr>
        <w:t xml:space="preserve">operating model </w:t>
      </w:r>
      <w:r w:rsidRPr="001B674F">
        <w:rPr>
          <w:rFonts w:ascii="Arial" w:hAnsi="Arial" w:cs="Arial"/>
        </w:rPr>
        <w:t>will be measured in a variety of ways.</w:t>
      </w:r>
      <w:r w:rsidR="00695296" w:rsidRPr="001B674F">
        <w:rPr>
          <w:rFonts w:ascii="Arial" w:hAnsi="Arial" w:cs="Arial"/>
        </w:rPr>
        <w:t xml:space="preserve"> </w:t>
      </w:r>
      <w:r w:rsidRPr="001B674F">
        <w:rPr>
          <w:rFonts w:ascii="Arial" w:hAnsi="Arial" w:cs="Arial"/>
        </w:rPr>
        <w:t xml:space="preserve">Further work will be required by the </w:t>
      </w:r>
      <w:r w:rsidR="00E53D4F" w:rsidRPr="001B674F">
        <w:rPr>
          <w:rFonts w:ascii="Arial" w:hAnsi="Arial" w:cs="Arial"/>
        </w:rPr>
        <w:t>core agency</w:t>
      </w:r>
      <w:r w:rsidRPr="001B674F">
        <w:rPr>
          <w:rFonts w:ascii="Arial" w:hAnsi="Arial" w:cs="Arial"/>
        </w:rPr>
        <w:t>, Treasury and the State Services Commission to build a detailed performance framework, but it is expected to include the following dimensions:</w:t>
      </w:r>
    </w:p>
    <w:p w:rsidR="003940AB" w:rsidRPr="001B674F" w:rsidRDefault="003940AB" w:rsidP="00477434">
      <w:pPr>
        <w:pStyle w:val="Bullet1"/>
        <w:rPr>
          <w:rFonts w:ascii="Arial" w:hAnsi="Arial" w:cs="Arial"/>
        </w:rPr>
      </w:pPr>
      <w:r w:rsidRPr="001B674F">
        <w:rPr>
          <w:rFonts w:ascii="Arial" w:hAnsi="Arial" w:cs="Arial"/>
        </w:rPr>
        <w:t xml:space="preserve">improved long-term outcomes for those vulnerable children and young people who are at significant risk of harm now or in the future as a consequence of their family environment, and/or their own complex needs; and for children and young people who have offended or may offend in the future </w:t>
      </w:r>
    </w:p>
    <w:p w:rsidR="003940AB" w:rsidRPr="001B674F" w:rsidRDefault="003940AB" w:rsidP="00477434">
      <w:pPr>
        <w:pStyle w:val="Bullet1"/>
        <w:rPr>
          <w:rFonts w:ascii="Arial" w:hAnsi="Arial" w:cs="Arial"/>
        </w:rPr>
      </w:pPr>
      <w:r w:rsidRPr="001B674F">
        <w:rPr>
          <w:rFonts w:ascii="Arial" w:hAnsi="Arial" w:cs="Arial"/>
        </w:rPr>
        <w:t>reduced liability for future social, economic and fiscal costs</w:t>
      </w:r>
    </w:p>
    <w:p w:rsidR="003940AB" w:rsidRPr="001B674F" w:rsidRDefault="003940AB" w:rsidP="00477434">
      <w:pPr>
        <w:pStyle w:val="Bullet1"/>
        <w:rPr>
          <w:rFonts w:ascii="Arial" w:hAnsi="Arial" w:cs="Arial"/>
        </w:rPr>
      </w:pPr>
      <w:r w:rsidRPr="001B674F">
        <w:rPr>
          <w:rFonts w:ascii="Arial" w:hAnsi="Arial" w:cs="Arial"/>
        </w:rPr>
        <w:t>reduction of churn in the number of care placements and stability of care through long-term relationships in safe and loving homes</w:t>
      </w:r>
    </w:p>
    <w:p w:rsidR="003940AB" w:rsidRPr="001B674F" w:rsidRDefault="003940AB" w:rsidP="00477434">
      <w:pPr>
        <w:pStyle w:val="Bullet1"/>
        <w:rPr>
          <w:rFonts w:ascii="Arial" w:hAnsi="Arial" w:cs="Arial"/>
        </w:rPr>
      </w:pPr>
      <w:r w:rsidRPr="001B674F">
        <w:rPr>
          <w:rFonts w:ascii="Arial" w:hAnsi="Arial" w:cs="Arial"/>
        </w:rPr>
        <w:t xml:space="preserve">reduction in the rate of statutory response due to increased prevention and intensive support for children and families </w:t>
      </w:r>
    </w:p>
    <w:p w:rsidR="003940AB" w:rsidRPr="001B674F" w:rsidRDefault="003940AB" w:rsidP="00477434">
      <w:pPr>
        <w:pStyle w:val="Bullet1"/>
        <w:rPr>
          <w:rFonts w:ascii="Arial" w:hAnsi="Arial" w:cs="Arial"/>
        </w:rPr>
      </w:pPr>
      <w:r w:rsidRPr="001B674F">
        <w:rPr>
          <w:rFonts w:ascii="Arial" w:hAnsi="Arial" w:cs="Arial"/>
        </w:rPr>
        <w:t>reduction of re-abuse and re-victimisation (including in care)</w:t>
      </w:r>
    </w:p>
    <w:p w:rsidR="003940AB" w:rsidRPr="001B674F" w:rsidRDefault="003940AB" w:rsidP="00477434">
      <w:pPr>
        <w:pStyle w:val="Bullet1"/>
        <w:rPr>
          <w:rFonts w:ascii="Arial" w:hAnsi="Arial" w:cs="Arial"/>
        </w:rPr>
      </w:pPr>
      <w:r w:rsidRPr="001B674F">
        <w:rPr>
          <w:rFonts w:ascii="Arial" w:hAnsi="Arial" w:cs="Arial"/>
        </w:rPr>
        <w:t>reduction of re-offending rates for youth offenders</w:t>
      </w:r>
    </w:p>
    <w:p w:rsidR="000A6989" w:rsidRPr="001B674F" w:rsidRDefault="003940AB" w:rsidP="00477434">
      <w:pPr>
        <w:pStyle w:val="Bullet1"/>
        <w:rPr>
          <w:rFonts w:ascii="Arial" w:hAnsi="Arial" w:cs="Arial"/>
        </w:rPr>
      </w:pPr>
      <w:r w:rsidRPr="001B674F">
        <w:rPr>
          <w:rFonts w:ascii="Arial" w:hAnsi="Arial" w:cs="Arial"/>
        </w:rPr>
        <w:t>reduction in the over-representation of Māori children and young people in care and the youth justice system</w:t>
      </w:r>
    </w:p>
    <w:p w:rsidR="003940AB" w:rsidRPr="001B674F" w:rsidRDefault="000A6989" w:rsidP="000A6989">
      <w:pPr>
        <w:pStyle w:val="Bullet1"/>
        <w:rPr>
          <w:rFonts w:ascii="Arial" w:hAnsi="Arial" w:cs="Arial"/>
        </w:rPr>
      </w:pPr>
      <w:proofErr w:type="gramStart"/>
      <w:r w:rsidRPr="001B674F">
        <w:rPr>
          <w:rFonts w:ascii="Arial" w:hAnsi="Arial" w:cs="Arial"/>
        </w:rPr>
        <w:t>improved</w:t>
      </w:r>
      <w:proofErr w:type="gramEnd"/>
      <w:r w:rsidRPr="001B674F">
        <w:rPr>
          <w:rFonts w:ascii="Arial" w:hAnsi="Arial" w:cs="Arial"/>
        </w:rPr>
        <w:t xml:space="preserve"> outcomes for Pacific children and young people</w:t>
      </w:r>
      <w:r w:rsidR="003940AB" w:rsidRPr="001B674F">
        <w:rPr>
          <w:rFonts w:ascii="Arial" w:hAnsi="Arial" w:cs="Arial"/>
        </w:rPr>
        <w:t>.</w:t>
      </w:r>
    </w:p>
    <w:p w:rsidR="003940AB" w:rsidRPr="001B674F" w:rsidRDefault="003940AB" w:rsidP="003940AB">
      <w:pPr>
        <w:suppressAutoHyphens/>
        <w:autoSpaceDE w:val="0"/>
        <w:autoSpaceDN w:val="0"/>
        <w:adjustRightInd w:val="0"/>
        <w:textAlignment w:val="center"/>
        <w:rPr>
          <w:rFonts w:ascii="Arial" w:hAnsi="Arial" w:cs="Arial"/>
        </w:rPr>
      </w:pPr>
      <w:r w:rsidRPr="001B674F">
        <w:rPr>
          <w:rFonts w:ascii="Arial" w:hAnsi="Arial" w:cs="Arial"/>
        </w:rPr>
        <w:t xml:space="preserve">The adoption of an investment approach also means that the overall impact of the </w:t>
      </w:r>
      <w:r w:rsidR="00E53D4F" w:rsidRPr="001B674F">
        <w:rPr>
          <w:rFonts w:ascii="Arial" w:hAnsi="Arial" w:cs="Arial"/>
        </w:rPr>
        <w:t xml:space="preserve">new operating model </w:t>
      </w:r>
      <w:r w:rsidRPr="001B674F">
        <w:rPr>
          <w:rFonts w:ascii="Arial" w:hAnsi="Arial" w:cs="Arial"/>
        </w:rPr>
        <w:t xml:space="preserve">can be measured through assessing the reduction in the overall future cost (forward liability) for this group of vulnerable children and young people. The precise measure and associated targets can be determined once the actuarial model is in place. </w:t>
      </w:r>
    </w:p>
    <w:bookmarkEnd w:id="4"/>
    <w:bookmarkEnd w:id="5"/>
    <w:bookmarkEnd w:id="6"/>
    <w:bookmarkEnd w:id="7"/>
    <w:bookmarkEnd w:id="8"/>
    <w:bookmarkEnd w:id="9"/>
    <w:bookmarkEnd w:id="10"/>
    <w:bookmarkEnd w:id="11"/>
    <w:bookmarkEnd w:id="12"/>
    <w:bookmarkEnd w:id="13"/>
    <w:p w:rsidR="0031105F" w:rsidRPr="001B674F" w:rsidRDefault="0031105F">
      <w:pPr>
        <w:spacing w:after="0" w:line="240" w:lineRule="auto"/>
        <w:rPr>
          <w:rFonts w:ascii="Arial" w:hAnsi="Arial" w:cs="Arial"/>
          <w:b/>
          <w:color w:val="335087"/>
          <w:spacing w:val="20"/>
          <w:w w:val="90"/>
          <w:sz w:val="32"/>
          <w:szCs w:val="24"/>
        </w:rPr>
      </w:pPr>
      <w:r w:rsidRPr="001B674F">
        <w:rPr>
          <w:rFonts w:ascii="Arial" w:hAnsi="Arial" w:cs="Arial"/>
          <w:b/>
          <w:color w:val="335087"/>
          <w:spacing w:val="20"/>
          <w:w w:val="90"/>
          <w:sz w:val="32"/>
          <w:szCs w:val="24"/>
        </w:rPr>
        <w:br w:type="page"/>
      </w:r>
    </w:p>
    <w:p w:rsidR="003940AB" w:rsidRPr="001B674F" w:rsidRDefault="003940AB" w:rsidP="003940AB">
      <w:pPr>
        <w:keepNext/>
        <w:tabs>
          <w:tab w:val="left" w:pos="0"/>
          <w:tab w:val="left" w:pos="567"/>
        </w:tabs>
        <w:spacing w:before="240" w:after="180" w:line="240" w:lineRule="auto"/>
        <w:outlineLvl w:val="1"/>
        <w:rPr>
          <w:rFonts w:ascii="Arial" w:hAnsi="Arial" w:cs="Arial"/>
          <w:b/>
          <w:color w:val="335087"/>
          <w:spacing w:val="20"/>
          <w:w w:val="90"/>
          <w:sz w:val="32"/>
          <w:szCs w:val="24"/>
        </w:rPr>
      </w:pPr>
      <w:r w:rsidRPr="001B674F">
        <w:rPr>
          <w:rFonts w:ascii="Arial" w:hAnsi="Arial" w:cs="Arial"/>
          <w:b/>
          <w:color w:val="335087"/>
          <w:spacing w:val="20"/>
          <w:w w:val="90"/>
          <w:sz w:val="32"/>
          <w:szCs w:val="24"/>
        </w:rPr>
        <w:lastRenderedPageBreak/>
        <w:t xml:space="preserve">Appendix A: Consultation processes undertaken as part of the </w:t>
      </w:r>
      <w:r w:rsidR="0031105F" w:rsidRPr="001B674F">
        <w:rPr>
          <w:rFonts w:ascii="Arial" w:hAnsi="Arial" w:cs="Arial"/>
          <w:b/>
          <w:color w:val="335087"/>
          <w:spacing w:val="20"/>
          <w:w w:val="90"/>
          <w:sz w:val="32"/>
          <w:szCs w:val="24"/>
        </w:rPr>
        <w:t xml:space="preserve">Expert </w:t>
      </w:r>
      <w:r w:rsidRPr="001B674F">
        <w:rPr>
          <w:rFonts w:ascii="Arial" w:hAnsi="Arial" w:cs="Arial"/>
          <w:b/>
          <w:color w:val="335087"/>
          <w:spacing w:val="20"/>
          <w:w w:val="90"/>
          <w:sz w:val="32"/>
          <w:szCs w:val="24"/>
        </w:rPr>
        <w:t>Panel’s work</w:t>
      </w:r>
    </w:p>
    <w:p w:rsidR="003940AB" w:rsidRPr="001B674F" w:rsidRDefault="003940AB" w:rsidP="003940AB">
      <w:pPr>
        <w:spacing w:before="120" w:line="276" w:lineRule="auto"/>
        <w:rPr>
          <w:rFonts w:ascii="Arial" w:eastAsia="Cambria" w:hAnsi="Arial" w:cs="Arial"/>
        </w:rPr>
      </w:pPr>
      <w:r w:rsidRPr="001B674F">
        <w:rPr>
          <w:rFonts w:ascii="Arial" w:eastAsia="Cambria" w:hAnsi="Arial" w:cs="Arial"/>
        </w:rPr>
        <w:t xml:space="preserve">Significant consultation was conducted as part of the </w:t>
      </w:r>
      <w:r w:rsidR="0031105F" w:rsidRPr="001B674F">
        <w:rPr>
          <w:rFonts w:ascii="Arial" w:eastAsia="Cambria" w:hAnsi="Arial" w:cs="Arial"/>
        </w:rPr>
        <w:t xml:space="preserve">Expert </w:t>
      </w:r>
      <w:r w:rsidRPr="001B674F">
        <w:rPr>
          <w:rFonts w:ascii="Arial" w:eastAsia="Cambria" w:hAnsi="Arial" w:cs="Arial"/>
        </w:rPr>
        <w:t xml:space="preserve">Panel’s work. This consultation centred on the proposed new operating model but did </w:t>
      </w:r>
      <w:r w:rsidR="00683B86">
        <w:rPr>
          <w:rFonts w:ascii="Arial" w:eastAsia="Cambria" w:hAnsi="Arial" w:cs="Arial"/>
        </w:rPr>
        <w:t xml:space="preserve">not </w:t>
      </w:r>
      <w:r w:rsidRPr="001B674F">
        <w:rPr>
          <w:rFonts w:ascii="Arial" w:eastAsia="Cambria" w:hAnsi="Arial" w:cs="Arial"/>
        </w:rPr>
        <w:t>directly seek feedback on the workforce settings proposals.</w:t>
      </w:r>
    </w:p>
    <w:p w:rsidR="003940AB" w:rsidRPr="001B674F" w:rsidRDefault="003940AB" w:rsidP="003940AB">
      <w:pPr>
        <w:keepNext/>
        <w:tabs>
          <w:tab w:val="left" w:pos="567"/>
        </w:tabs>
        <w:spacing w:before="200" w:after="180" w:line="240" w:lineRule="auto"/>
        <w:ind w:left="567" w:hanging="567"/>
        <w:outlineLvl w:val="2"/>
        <w:rPr>
          <w:rFonts w:ascii="Arial" w:eastAsia="Cambria" w:hAnsi="Arial" w:cs="Arial"/>
          <w:b/>
          <w:color w:val="335087"/>
          <w:spacing w:val="20"/>
          <w:w w:val="90"/>
          <w:sz w:val="24"/>
        </w:rPr>
      </w:pPr>
      <w:r w:rsidRPr="001B674F">
        <w:rPr>
          <w:rFonts w:ascii="Arial" w:hAnsi="Arial" w:cs="Arial"/>
          <w:b/>
          <w:color w:val="335087"/>
          <w:spacing w:val="20"/>
          <w:w w:val="90"/>
          <w:sz w:val="24"/>
        </w:rPr>
        <w:t>Reference Groups</w:t>
      </w:r>
    </w:p>
    <w:p w:rsidR="003940AB" w:rsidRPr="001B674F" w:rsidRDefault="003940AB" w:rsidP="003940AB">
      <w:pPr>
        <w:spacing w:before="120" w:line="276" w:lineRule="auto"/>
        <w:rPr>
          <w:rFonts w:ascii="Arial" w:eastAsia="Cambria" w:hAnsi="Arial" w:cs="Arial"/>
        </w:rPr>
      </w:pPr>
      <w:r w:rsidRPr="001B674F">
        <w:rPr>
          <w:rFonts w:ascii="Arial" w:eastAsia="Cambria" w:hAnsi="Arial" w:cs="Arial"/>
        </w:rPr>
        <w:t xml:space="preserve">The collaborative design approach involved engaging a diverse set of participants to ensure all voices were heard and considered, recognising that institutional knowledge is only one source of insight into the changes required. To ensure this occurred, Practice and Māori Reference Groups and a Youth Advisory Panel were established to test, challenge and refine the design work from the perspectives of key client and stakeholder groups. </w:t>
      </w:r>
    </w:p>
    <w:p w:rsidR="003940AB" w:rsidRPr="001B674F" w:rsidRDefault="003940AB" w:rsidP="003940AB">
      <w:pPr>
        <w:spacing w:before="120" w:line="276" w:lineRule="auto"/>
        <w:rPr>
          <w:rFonts w:ascii="Arial" w:eastAsia="Cambria" w:hAnsi="Arial" w:cs="Arial"/>
        </w:rPr>
      </w:pPr>
      <w:r w:rsidRPr="001B674F">
        <w:rPr>
          <w:rFonts w:ascii="Arial" w:eastAsia="Cambria" w:hAnsi="Arial" w:cs="Arial"/>
        </w:rPr>
        <w:t xml:space="preserve">These groups included young people and highly experienced practitioners including care and protection, Police and Youth Justice </w:t>
      </w:r>
      <w:proofErr w:type="gramStart"/>
      <w:r w:rsidRPr="001B674F">
        <w:rPr>
          <w:rFonts w:ascii="Arial" w:eastAsia="Cambria" w:hAnsi="Arial" w:cs="Arial"/>
        </w:rPr>
        <w:t>experts</w:t>
      </w:r>
      <w:proofErr w:type="gramEnd"/>
      <w:r w:rsidRPr="001B674F">
        <w:rPr>
          <w:rFonts w:ascii="Arial" w:eastAsia="Cambria" w:hAnsi="Arial" w:cs="Arial"/>
        </w:rPr>
        <w:t>, and parole board members.</w:t>
      </w:r>
    </w:p>
    <w:p w:rsidR="003940AB" w:rsidRPr="001B674F" w:rsidRDefault="003940AB" w:rsidP="003940AB">
      <w:pPr>
        <w:keepNext/>
        <w:tabs>
          <w:tab w:val="left" w:pos="567"/>
        </w:tabs>
        <w:spacing w:before="200" w:after="180" w:line="240" w:lineRule="auto"/>
        <w:ind w:left="567" w:hanging="567"/>
        <w:outlineLvl w:val="2"/>
        <w:rPr>
          <w:rFonts w:ascii="Arial" w:hAnsi="Arial" w:cs="Arial"/>
          <w:b/>
          <w:color w:val="335087"/>
          <w:spacing w:val="20"/>
          <w:w w:val="90"/>
          <w:sz w:val="24"/>
        </w:rPr>
      </w:pPr>
      <w:r w:rsidRPr="001B674F">
        <w:rPr>
          <w:rFonts w:ascii="Arial" w:hAnsi="Arial" w:cs="Arial"/>
          <w:b/>
          <w:color w:val="335087"/>
          <w:spacing w:val="20"/>
          <w:w w:val="90"/>
          <w:sz w:val="24"/>
        </w:rPr>
        <w:t>Research with System Participants</w:t>
      </w:r>
    </w:p>
    <w:p w:rsidR="003940AB" w:rsidRPr="001B674F" w:rsidRDefault="001C76A7" w:rsidP="003940AB">
      <w:pPr>
        <w:spacing w:before="120" w:line="276" w:lineRule="auto"/>
        <w:rPr>
          <w:rFonts w:ascii="Arial" w:hAnsi="Arial" w:cs="Arial"/>
        </w:rPr>
      </w:pPr>
      <w:r w:rsidRPr="001B674F">
        <w:rPr>
          <w:rFonts w:ascii="Arial" w:hAnsi="Arial" w:cs="Arial"/>
        </w:rPr>
        <w:t>Interviews were</w:t>
      </w:r>
      <w:r w:rsidR="003940AB" w:rsidRPr="001B674F">
        <w:rPr>
          <w:rFonts w:ascii="Arial" w:hAnsi="Arial" w:cs="Arial"/>
        </w:rPr>
        <w:t xml:space="preserve"> undertaken with many users of the care, protection and youth justice system</w:t>
      </w:r>
      <w:r w:rsidR="00683B86">
        <w:rPr>
          <w:rFonts w:ascii="Arial" w:hAnsi="Arial" w:cs="Arial"/>
        </w:rPr>
        <w:t>s</w:t>
      </w:r>
      <w:r w:rsidR="003940AB" w:rsidRPr="001B674F">
        <w:rPr>
          <w:rFonts w:ascii="Arial" w:hAnsi="Arial" w:cs="Arial"/>
        </w:rPr>
        <w:t xml:space="preserve"> to understand the strengths and opportunities of the current system and its operating model.</w:t>
      </w:r>
      <w:r w:rsidR="00695296" w:rsidRPr="001B674F">
        <w:rPr>
          <w:rFonts w:ascii="Arial" w:hAnsi="Arial" w:cs="Arial"/>
        </w:rPr>
        <w:t xml:space="preserve"> </w:t>
      </w:r>
      <w:r w:rsidR="003940AB" w:rsidRPr="001B674F">
        <w:rPr>
          <w:rFonts w:ascii="Arial" w:hAnsi="Arial" w:cs="Arial"/>
        </w:rPr>
        <w:t>A comprehensive research protocol was developed for the interview approach.</w:t>
      </w:r>
    </w:p>
    <w:p w:rsidR="003940AB" w:rsidRPr="001B674F" w:rsidRDefault="003940AB" w:rsidP="003940AB">
      <w:pPr>
        <w:keepNext/>
        <w:tabs>
          <w:tab w:val="left" w:pos="567"/>
        </w:tabs>
        <w:spacing w:before="200" w:after="180" w:line="240" w:lineRule="auto"/>
        <w:ind w:left="567" w:hanging="567"/>
        <w:outlineLvl w:val="2"/>
        <w:rPr>
          <w:rFonts w:ascii="Arial" w:hAnsi="Arial" w:cs="Arial"/>
          <w:b/>
          <w:color w:val="335087"/>
          <w:spacing w:val="20"/>
          <w:w w:val="90"/>
          <w:sz w:val="24"/>
        </w:rPr>
      </w:pPr>
      <w:r w:rsidRPr="001B674F">
        <w:rPr>
          <w:rFonts w:ascii="Arial" w:hAnsi="Arial" w:cs="Arial"/>
          <w:b/>
          <w:color w:val="335087"/>
          <w:spacing w:val="20"/>
          <w:w w:val="90"/>
          <w:sz w:val="24"/>
        </w:rPr>
        <w:t xml:space="preserve">Collaborative design workshops </w:t>
      </w:r>
    </w:p>
    <w:p w:rsidR="003940AB" w:rsidRPr="001B674F" w:rsidRDefault="003940AB" w:rsidP="003940AB">
      <w:pPr>
        <w:spacing w:before="120" w:line="276" w:lineRule="auto"/>
        <w:rPr>
          <w:rFonts w:ascii="Arial" w:hAnsi="Arial" w:cs="Arial"/>
        </w:rPr>
      </w:pPr>
      <w:r w:rsidRPr="001B674F">
        <w:rPr>
          <w:rFonts w:ascii="Arial" w:hAnsi="Arial" w:cs="Arial"/>
        </w:rPr>
        <w:t>Engagement was undertaken with many users of the care, protection and youth justice system</w:t>
      </w:r>
      <w:r w:rsidR="00683B86">
        <w:rPr>
          <w:rFonts w:ascii="Arial" w:hAnsi="Arial" w:cs="Arial"/>
        </w:rPr>
        <w:t>s</w:t>
      </w:r>
      <w:r w:rsidRPr="001B674F">
        <w:rPr>
          <w:rFonts w:ascii="Arial" w:hAnsi="Arial" w:cs="Arial"/>
        </w:rPr>
        <w:t xml:space="preserve"> to explore what a future system that places children and young people at its centre would look like.</w:t>
      </w:r>
      <w:r w:rsidR="00695296" w:rsidRPr="001B674F">
        <w:rPr>
          <w:rFonts w:ascii="Arial" w:hAnsi="Arial" w:cs="Arial"/>
        </w:rPr>
        <w:t xml:space="preserve"> </w:t>
      </w:r>
    </w:p>
    <w:p w:rsidR="003940AB" w:rsidRPr="001B674F" w:rsidRDefault="003940AB" w:rsidP="003940AB">
      <w:pPr>
        <w:spacing w:before="120" w:line="276" w:lineRule="auto"/>
        <w:rPr>
          <w:rFonts w:ascii="Arial" w:hAnsi="Arial" w:cs="Arial"/>
        </w:rPr>
      </w:pPr>
      <w:r w:rsidRPr="001B674F">
        <w:rPr>
          <w:rFonts w:ascii="Arial" w:hAnsi="Arial" w:cs="Arial"/>
        </w:rPr>
        <w:t xml:space="preserve">Collaborative design workshops were used as a forum for generating new ideas and aspirations. During these workshops, unconstrained “what if” ideas emerged, that </w:t>
      </w:r>
      <w:proofErr w:type="gramStart"/>
      <w:r w:rsidRPr="001B674F">
        <w:rPr>
          <w:rFonts w:ascii="Arial" w:hAnsi="Arial" w:cs="Arial"/>
        </w:rPr>
        <w:t>were</w:t>
      </w:r>
      <w:proofErr w:type="gramEnd"/>
      <w:r w:rsidRPr="001B674F">
        <w:rPr>
          <w:rFonts w:ascii="Arial" w:hAnsi="Arial" w:cs="Arial"/>
        </w:rPr>
        <w:t xml:space="preserve"> then further developed, tested and refined.</w:t>
      </w:r>
    </w:p>
    <w:p w:rsidR="003940AB" w:rsidRPr="001B674F" w:rsidRDefault="003940AB" w:rsidP="003940AB">
      <w:pPr>
        <w:keepNext/>
        <w:tabs>
          <w:tab w:val="left" w:pos="567"/>
        </w:tabs>
        <w:spacing w:before="200" w:after="180" w:line="240" w:lineRule="auto"/>
        <w:ind w:left="567" w:hanging="567"/>
        <w:outlineLvl w:val="2"/>
        <w:rPr>
          <w:rFonts w:ascii="Arial" w:hAnsi="Arial" w:cs="Arial"/>
          <w:b/>
          <w:color w:val="335087"/>
          <w:spacing w:val="20"/>
          <w:w w:val="90"/>
          <w:sz w:val="24"/>
        </w:rPr>
      </w:pPr>
      <w:r w:rsidRPr="001B674F">
        <w:rPr>
          <w:rFonts w:ascii="Arial" w:hAnsi="Arial" w:cs="Arial"/>
          <w:b/>
          <w:color w:val="335087"/>
          <w:spacing w:val="20"/>
          <w:w w:val="90"/>
          <w:sz w:val="24"/>
        </w:rPr>
        <w:t>Stakeholder Engagement</w:t>
      </w:r>
    </w:p>
    <w:p w:rsidR="00AC75EF" w:rsidRPr="001B674F" w:rsidRDefault="003940AB" w:rsidP="005B414B">
      <w:pPr>
        <w:spacing w:before="120" w:line="276" w:lineRule="auto"/>
        <w:rPr>
          <w:rFonts w:ascii="Arial" w:hAnsi="Arial" w:cs="Arial"/>
        </w:rPr>
      </w:pPr>
      <w:r w:rsidRPr="001B674F">
        <w:rPr>
          <w:rFonts w:ascii="Arial" w:hAnsi="Arial" w:cs="Arial"/>
        </w:rPr>
        <w:t>The Expert Panel and secretariat engaged with a number of people with expertise in care, protection and youth justice or analogous sectors both in New Zealand and internationally. For further details on the collaborative design process see the Expert Panel’s final report, particularly appendices E, F, G and H.</w:t>
      </w:r>
    </w:p>
    <w:sectPr w:rsidR="00AC75EF" w:rsidRPr="001B674F" w:rsidSect="006E75C6">
      <w:pgSz w:w="11907" w:h="16840" w:code="9"/>
      <w:pgMar w:top="1418" w:right="1418" w:bottom="1134" w:left="1418" w:header="454" w:footer="45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177" w:rsidRDefault="00D23177" w:rsidP="00F72085">
      <w:r>
        <w:separator/>
      </w:r>
    </w:p>
  </w:endnote>
  <w:endnote w:type="continuationSeparator" w:id="0">
    <w:p w:rsidR="00D23177" w:rsidRDefault="00D23177" w:rsidP="00F72085">
      <w:r>
        <w:continuationSeparator/>
      </w:r>
    </w:p>
  </w:endnote>
  <w:endnote w:type="continuationNotice" w:id="1">
    <w:p w:rsidR="00D23177" w:rsidRDefault="00D231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moder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7C2" w:rsidRPr="00C73AEA" w:rsidRDefault="007B57C2" w:rsidP="007A4CBF">
    <w:pPr>
      <w:pStyle w:val="EvenFooter"/>
      <w:rPr>
        <w:caps/>
      </w:rPr>
    </w:pPr>
    <w:r>
      <w:fldChar w:fldCharType="begin"/>
    </w:r>
    <w:r>
      <w:instrText xml:space="preserve">PAGE  </w:instrText>
    </w:r>
    <w:r>
      <w:fldChar w:fldCharType="separate"/>
    </w:r>
    <w:r>
      <w:t>2</w:t>
    </w:r>
    <w:r>
      <w:fldChar w:fldCharType="end"/>
    </w:r>
    <w:r>
      <w:t xml:space="preserve"> </w:t>
    </w:r>
    <w:r w:rsidRPr="00281580">
      <w:t xml:space="preserve">|| </w:t>
    </w:r>
    <w:r w:rsidRPr="005D2127">
      <w:t>Regulator</w:t>
    </w:r>
    <w:r>
      <w:t xml:space="preserve">y Impact Analysis: Regulatory Impact Statement - Overview of Required Information - Template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7C2" w:rsidRPr="00C73AEA" w:rsidRDefault="007B57C2" w:rsidP="007A4CBF">
    <w:pPr>
      <w:pStyle w:val="Footer"/>
    </w:pPr>
    <w:r w:rsidRPr="001B674F">
      <w:t>Modernising Child, Youth and Family: Vulnerable children workforce settings</w:t>
    </w:r>
    <w:r>
      <w:tab/>
    </w:r>
    <w:r>
      <w:fldChar w:fldCharType="begin"/>
    </w:r>
    <w:r>
      <w:instrText xml:space="preserve"> PAGE </w:instrText>
    </w:r>
    <w:r>
      <w:fldChar w:fldCharType="separate"/>
    </w:r>
    <w:r w:rsidR="009F5AAC">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7C2" w:rsidRDefault="007B57C2" w:rsidP="007A4CBF">
    <w:pPr>
      <w:pStyle w:val="Footer"/>
    </w:pPr>
    <w:r>
      <w:tab/>
    </w:r>
    <w:r w:rsidRPr="005D2127">
      <w:t>Regulator</w:t>
    </w:r>
    <w:r>
      <w:t xml:space="preserve">y Impact Analysis: Regulatory Impact Statement - Overview of Required Information - Template </w:t>
    </w:r>
    <w:r w:rsidRPr="00B91224">
      <w:t xml:space="preserve">|| </w:t>
    </w: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177" w:rsidRDefault="00D23177" w:rsidP="00F72085">
      <w:r>
        <w:separator/>
      </w:r>
    </w:p>
  </w:footnote>
  <w:footnote w:type="continuationSeparator" w:id="0">
    <w:p w:rsidR="00D23177" w:rsidRDefault="00D23177" w:rsidP="00F72085">
      <w:r>
        <w:continuationSeparator/>
      </w:r>
    </w:p>
  </w:footnote>
  <w:footnote w:type="continuationNotice" w:id="1">
    <w:p w:rsidR="00D23177" w:rsidRDefault="00D23177">
      <w:pPr>
        <w:spacing w:after="0" w:line="240" w:lineRule="auto"/>
      </w:pPr>
    </w:p>
  </w:footnote>
  <w:footnote w:id="2">
    <w:p w:rsidR="007B57C2" w:rsidRPr="000046D8" w:rsidRDefault="007B57C2" w:rsidP="003940AB">
      <w:pPr>
        <w:pStyle w:val="FootnoteText"/>
        <w:tabs>
          <w:tab w:val="left" w:pos="0"/>
        </w:tabs>
      </w:pPr>
      <w:r w:rsidRPr="00A32CA7">
        <w:rPr>
          <w:rStyle w:val="FootnoteReference"/>
          <w:rFonts w:cstheme="minorHAnsi"/>
        </w:rPr>
        <w:footnoteRef/>
      </w:r>
      <w:r w:rsidRPr="00A32CA7">
        <w:rPr>
          <w:rFonts w:cstheme="minorHAnsi"/>
        </w:rPr>
        <w:t xml:space="preserve"> This is based on analysis of the 1993 birth cohort. Centre for Social Research and Evaluation. </w:t>
      </w:r>
      <w:proofErr w:type="gramStart"/>
      <w:r w:rsidRPr="00A32CA7">
        <w:rPr>
          <w:rFonts w:cstheme="minorHAnsi"/>
        </w:rPr>
        <w:t xml:space="preserve">(2012). </w:t>
      </w:r>
      <w:r w:rsidRPr="00A32CA7">
        <w:rPr>
          <w:rFonts w:cstheme="minorHAnsi"/>
          <w:i/>
        </w:rPr>
        <w:t>Children’s Contact with MSD Services.</w:t>
      </w:r>
      <w:proofErr w:type="gramEnd"/>
      <w:r w:rsidRPr="00A32CA7">
        <w:rPr>
          <w:rFonts w:cstheme="minorHAnsi"/>
          <w:i/>
        </w:rPr>
        <w:t xml:space="preserve"> </w:t>
      </w:r>
      <w:r w:rsidRPr="00A32CA7">
        <w:rPr>
          <w:rFonts w:cstheme="minorHAnsi"/>
        </w:rPr>
        <w:t>Wellington: Ministry of Social Development. Note this is a conservative estimate that assumes the same level of need today as the 1993 birth cohort.</w:t>
      </w:r>
      <w:r>
        <w:t xml:space="preserve"> </w:t>
      </w:r>
    </w:p>
  </w:footnote>
  <w:footnote w:id="3">
    <w:p w:rsidR="007B57C2" w:rsidRPr="00A32CA7" w:rsidRDefault="007B57C2" w:rsidP="003940AB">
      <w:pPr>
        <w:pStyle w:val="FootnoteText"/>
        <w:tabs>
          <w:tab w:val="left" w:pos="0"/>
        </w:tabs>
        <w:rPr>
          <w:rFonts w:cstheme="minorHAnsi"/>
        </w:rPr>
      </w:pPr>
      <w:r w:rsidRPr="00A32CA7">
        <w:rPr>
          <w:rStyle w:val="FootnoteReference"/>
          <w:rFonts w:cstheme="minorHAnsi"/>
        </w:rPr>
        <w:footnoteRef/>
      </w:r>
      <w:r w:rsidRPr="00A32CA7">
        <w:rPr>
          <w:rFonts w:cstheme="minorHAnsi"/>
        </w:rPr>
        <w:t xml:space="preserve"> </w:t>
      </w:r>
      <w:r>
        <w:rPr>
          <w:rFonts w:cstheme="minorHAnsi"/>
        </w:rPr>
        <w:t>ibid</w:t>
      </w:r>
      <w:r w:rsidRPr="00A32CA7">
        <w:rPr>
          <w:rFonts w:cstheme="minorHAnsi"/>
        </w:rPr>
        <w:t>.</w:t>
      </w:r>
    </w:p>
  </w:footnote>
  <w:footnote w:id="4">
    <w:p w:rsidR="007B57C2" w:rsidRPr="00E3608F" w:rsidRDefault="007B57C2">
      <w:pPr>
        <w:pStyle w:val="FootnoteText"/>
        <w:rPr>
          <w:lang w:val="en-NZ"/>
        </w:rPr>
      </w:pPr>
      <w:r>
        <w:rPr>
          <w:rStyle w:val="FootnoteReference"/>
        </w:rPr>
        <w:footnoteRef/>
      </w:r>
      <w:r>
        <w:t xml:space="preserve"> </w:t>
      </w:r>
      <w:r w:rsidRPr="00241B79">
        <w:t>As at 29 February 2016, there were 1,402 frontline social workers employed by Child, Youth and Family, and 1,072 (76%) were registered.</w:t>
      </w:r>
      <w:r>
        <w:t xml:space="preserve"> </w:t>
      </w:r>
    </w:p>
  </w:footnote>
  <w:footnote w:id="5">
    <w:p w:rsidR="007B57C2" w:rsidRPr="00F16DFF" w:rsidRDefault="007B57C2">
      <w:pPr>
        <w:pStyle w:val="FootnoteText"/>
        <w:rPr>
          <w:lang w:val="en-NZ"/>
        </w:rPr>
      </w:pPr>
      <w:r>
        <w:rPr>
          <w:rStyle w:val="FootnoteReference"/>
        </w:rPr>
        <w:footnoteRef/>
      </w:r>
      <w:r>
        <w:t xml:space="preserve"> In some cases the equivalent role is Director-General, or Secretary. In England, responsibility sits with the Local Authority; executive arrangements for these vary.</w:t>
      </w:r>
    </w:p>
  </w:footnote>
  <w:footnote w:id="6">
    <w:p w:rsidR="007B57C2" w:rsidRPr="00867800" w:rsidRDefault="007B57C2" w:rsidP="00CA116D">
      <w:pPr>
        <w:pStyle w:val="FootnoteText"/>
        <w:rPr>
          <w:lang w:val="en-NZ"/>
        </w:rPr>
      </w:pPr>
      <w:r>
        <w:rPr>
          <w:rStyle w:val="FootnoteReference"/>
        </w:rPr>
        <w:footnoteRef/>
      </w:r>
      <w:r>
        <w:t xml:space="preserve"> </w:t>
      </w:r>
      <w:r w:rsidRPr="00E37F83">
        <w:t xml:space="preserve">Munro, E. (2011). </w:t>
      </w:r>
      <w:r w:rsidRPr="007B57C2">
        <w:rPr>
          <w:i/>
        </w:rPr>
        <w:t>The Munro review of child protection final report: a child centred system.</w:t>
      </w:r>
      <w:r w:rsidRPr="00E37F83">
        <w:t xml:space="preserve"> </w:t>
      </w:r>
      <w:proofErr w:type="gramStart"/>
      <w:r w:rsidRPr="00E37F83">
        <w:t xml:space="preserve">Retrieved from: </w:t>
      </w:r>
      <w:hyperlink r:id="rId1" w:history="1">
        <w:r w:rsidRPr="004D7014">
          <w:rPr>
            <w:rStyle w:val="Hyperlink"/>
          </w:rPr>
          <w:t>https://www.gov.uk/government/uploads/system/uploads/attachment_data/file/175391/Munro-Review.pdf</w:t>
        </w:r>
      </w:hyperlink>
      <w:r>
        <w:t xml:space="preserve"> p 104 which discusses the evaluation of a Family Drug and Alcohol Court </w:t>
      </w:r>
      <w:r w:rsidRPr="00CA116D">
        <w:t>in the Inner London Family Proceedings Court</w:t>
      </w:r>
      <w:r>
        <w:t>.</w:t>
      </w:r>
      <w:proofErr w:type="gramEnd"/>
      <w:r>
        <w:t xml:space="preserve"> </w:t>
      </w:r>
      <w:r>
        <w:rPr>
          <w:lang w:val="en-NZ"/>
        </w:rPr>
        <w:t xml:space="preserve">Refer also to a recent review of the FGC process which noted that “good outcomes are achieved when the process if well managed, family are well prepared and know what to expect from the conference and a range of professionals are fully engaged.” </w:t>
      </w:r>
      <w:proofErr w:type="gramStart"/>
      <w:r>
        <w:rPr>
          <w:lang w:val="en-NZ"/>
        </w:rPr>
        <w:t xml:space="preserve">Te </w:t>
      </w:r>
      <w:proofErr w:type="spellStart"/>
      <w:r>
        <w:rPr>
          <w:lang w:val="en-NZ"/>
        </w:rPr>
        <w:t>Awatea</w:t>
      </w:r>
      <w:proofErr w:type="spellEnd"/>
      <w:r>
        <w:rPr>
          <w:lang w:val="en-NZ"/>
        </w:rPr>
        <w:t xml:space="preserve"> Violence Research Centre (2014).</w:t>
      </w:r>
      <w:proofErr w:type="gramEnd"/>
      <w:r>
        <w:rPr>
          <w:lang w:val="en-NZ"/>
        </w:rPr>
        <w:t xml:space="preserve"> </w:t>
      </w:r>
      <w:proofErr w:type="gramStart"/>
      <w:r w:rsidRPr="007B57C2">
        <w:rPr>
          <w:i/>
          <w:lang w:val="en-NZ"/>
        </w:rPr>
        <w:t>Evaluation of Family Group Conference Practice and Outcomes.</w:t>
      </w:r>
      <w:proofErr w:type="gramEnd"/>
      <w:r>
        <w:rPr>
          <w:lang w:val="en-NZ"/>
        </w:rPr>
        <w:t xml:space="preserve"> </w:t>
      </w:r>
      <w:r w:rsidRPr="00E37F83">
        <w:t xml:space="preserve">Retrieved from: </w:t>
      </w:r>
      <w:hyperlink r:id="rId2" w:history="1">
        <w:r w:rsidRPr="004D7014">
          <w:rPr>
            <w:rStyle w:val="Hyperlink"/>
            <w:lang w:val="en-NZ"/>
          </w:rPr>
          <w:t>http://www.cyf.govt.nz/documents/working-with-others/evaluation-of-fgcs-scoping-study-25-9-14.pdf</w:t>
        </w:r>
      </w:hyperlink>
    </w:p>
  </w:footnote>
  <w:footnote w:id="7">
    <w:p w:rsidR="007B57C2" w:rsidRPr="00E014C6" w:rsidRDefault="007B57C2">
      <w:pPr>
        <w:pStyle w:val="FootnoteText"/>
        <w:rPr>
          <w:lang w:val="en-NZ"/>
        </w:rPr>
      </w:pPr>
      <w:r>
        <w:rPr>
          <w:rStyle w:val="FootnoteReference"/>
        </w:rPr>
        <w:footnoteRef/>
      </w:r>
      <w:r>
        <w:t xml:space="preserve"> For details on the distinctions between the public service and the state sector refer to </w:t>
      </w:r>
      <w:hyperlink r:id="rId3" w:history="1">
        <w:r w:rsidRPr="008670A3">
          <w:rPr>
            <w:rStyle w:val="Hyperlink"/>
          </w:rPr>
          <w:t>http://www.cabinetmanual.cabinetoffice.govt.nz/3.2</w:t>
        </w:r>
      </w:hyperlink>
      <w:r>
        <w:t xml:space="preserve"> or </w:t>
      </w:r>
      <w:hyperlink r:id="rId4" w:history="1">
        <w:r w:rsidRPr="008670A3">
          <w:rPr>
            <w:rStyle w:val="Hyperlink"/>
          </w:rPr>
          <w:t>http://www.ssc.govt.nz/sites/all/files/guide-to-central-government-agencies-1-apr16.pdf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FEEF26C"/>
    <w:lvl w:ilvl="0">
      <w:start w:val="1"/>
      <w:numFmt w:val="bullet"/>
      <w:pStyle w:val="Bullet1"/>
      <w:lvlText w:val=""/>
      <w:lvlJc w:val="left"/>
      <w:pPr>
        <w:tabs>
          <w:tab w:val="num" w:pos="360"/>
        </w:tabs>
        <w:ind w:left="360" w:hanging="360"/>
      </w:pPr>
      <w:rPr>
        <w:rFonts w:ascii="Symbol" w:hAnsi="Symbol" w:hint="default"/>
        <w:sz w:val="18"/>
      </w:rPr>
    </w:lvl>
  </w:abstractNum>
  <w:abstractNum w:abstractNumId="1">
    <w:nsid w:val="0FAB5923"/>
    <w:multiLevelType w:val="hybridMultilevel"/>
    <w:tmpl w:val="79007EE4"/>
    <w:lvl w:ilvl="0" w:tplc="14090001">
      <w:start w:val="1"/>
      <w:numFmt w:val="bullet"/>
      <w:lvlText w:val=""/>
      <w:lvlJc w:val="left"/>
      <w:pPr>
        <w:ind w:left="720" w:hanging="360"/>
      </w:pPr>
      <w:rPr>
        <w:rFonts w:ascii="Symbol" w:hAnsi="Symbol" w:hint="default"/>
      </w:rPr>
    </w:lvl>
    <w:lvl w:ilvl="1" w:tplc="6B529C00">
      <w:start w:val="1"/>
      <w:numFmt w:val="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2840C9C"/>
    <w:multiLevelType w:val="hybridMultilevel"/>
    <w:tmpl w:val="DC9A9B3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nsid w:val="13042525"/>
    <w:multiLevelType w:val="hybridMultilevel"/>
    <w:tmpl w:val="78804F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AC074DB"/>
    <w:multiLevelType w:val="multilevel"/>
    <w:tmpl w:val="453CA328"/>
    <w:lvl w:ilvl="0">
      <w:start w:val="1"/>
      <w:numFmt w:val="bullet"/>
      <w:lvlText w:val=""/>
      <w:lvlJc w:val="left"/>
      <w:pPr>
        <w:tabs>
          <w:tab w:val="num" w:pos="986"/>
        </w:tabs>
        <w:ind w:left="986" w:hanging="493"/>
      </w:pPr>
      <w:rPr>
        <w:rFonts w:ascii="Symbol" w:hAnsi="Symbol" w:hint="default"/>
      </w:rPr>
    </w:lvl>
    <w:lvl w:ilvl="1">
      <w:start w:val="1"/>
      <w:numFmt w:val="decimal"/>
      <w:lvlText w:val="%1.%2"/>
      <w:lvlJc w:val="left"/>
      <w:pPr>
        <w:tabs>
          <w:tab w:val="num" w:pos="986"/>
        </w:tabs>
        <w:ind w:left="1480" w:hanging="494"/>
      </w:pPr>
      <w:rPr>
        <w:rFonts w:hint="default"/>
      </w:rPr>
    </w:lvl>
    <w:lvl w:ilvl="2">
      <w:start w:val="1"/>
      <w:numFmt w:val="decimal"/>
      <w:lvlText w:val="%1.%2.%3"/>
      <w:lvlJc w:val="left"/>
      <w:pPr>
        <w:tabs>
          <w:tab w:val="num" w:pos="2047"/>
        </w:tabs>
        <w:ind w:left="2047" w:hanging="567"/>
      </w:pPr>
      <w:rPr>
        <w:rFonts w:hint="default"/>
      </w:rPr>
    </w:lvl>
    <w:lvl w:ilvl="3">
      <w:start w:val="1"/>
      <w:numFmt w:val="decimal"/>
      <w:lvlText w:val="%1.%2.%3.%4."/>
      <w:lvlJc w:val="left"/>
      <w:pPr>
        <w:tabs>
          <w:tab w:val="num" w:pos="2626"/>
        </w:tabs>
        <w:ind w:left="2194" w:hanging="648"/>
      </w:pPr>
      <w:rPr>
        <w:rFonts w:hint="default"/>
      </w:rPr>
    </w:lvl>
    <w:lvl w:ilvl="4">
      <w:start w:val="1"/>
      <w:numFmt w:val="decimal"/>
      <w:lvlText w:val="%1.%2.%3.%4.%5."/>
      <w:lvlJc w:val="left"/>
      <w:pPr>
        <w:tabs>
          <w:tab w:val="num" w:pos="2986"/>
        </w:tabs>
        <w:ind w:left="2698" w:hanging="792"/>
      </w:pPr>
      <w:rPr>
        <w:rFonts w:hint="default"/>
      </w:rPr>
    </w:lvl>
    <w:lvl w:ilvl="5">
      <w:start w:val="1"/>
      <w:numFmt w:val="decimal"/>
      <w:lvlText w:val="%1.%2.%3.%4.%5.%6."/>
      <w:lvlJc w:val="left"/>
      <w:pPr>
        <w:tabs>
          <w:tab w:val="num" w:pos="3706"/>
        </w:tabs>
        <w:ind w:left="3202" w:hanging="936"/>
      </w:pPr>
      <w:rPr>
        <w:rFonts w:hint="default"/>
      </w:rPr>
    </w:lvl>
    <w:lvl w:ilvl="6">
      <w:start w:val="1"/>
      <w:numFmt w:val="decimal"/>
      <w:lvlText w:val="%1.%2.%3.%4.%5.%6.%7."/>
      <w:lvlJc w:val="left"/>
      <w:pPr>
        <w:tabs>
          <w:tab w:val="num" w:pos="4066"/>
        </w:tabs>
        <w:ind w:left="3706" w:hanging="1080"/>
      </w:pPr>
      <w:rPr>
        <w:rFonts w:hint="default"/>
      </w:rPr>
    </w:lvl>
    <w:lvl w:ilvl="7">
      <w:start w:val="1"/>
      <w:numFmt w:val="decimal"/>
      <w:lvlText w:val="%1.%2.%3.%4.%5.%6.%7.%8."/>
      <w:lvlJc w:val="left"/>
      <w:pPr>
        <w:tabs>
          <w:tab w:val="num" w:pos="4786"/>
        </w:tabs>
        <w:ind w:left="4210" w:hanging="1224"/>
      </w:pPr>
      <w:rPr>
        <w:rFonts w:hint="default"/>
      </w:rPr>
    </w:lvl>
    <w:lvl w:ilvl="8">
      <w:start w:val="1"/>
      <w:numFmt w:val="decimal"/>
      <w:lvlText w:val="%1.%2.%3.%4.%5.%6.%7.%8.%9."/>
      <w:lvlJc w:val="left"/>
      <w:pPr>
        <w:tabs>
          <w:tab w:val="num" w:pos="5146"/>
        </w:tabs>
        <w:ind w:left="4786" w:hanging="1440"/>
      </w:pPr>
      <w:rPr>
        <w:rFonts w:hint="default"/>
      </w:rPr>
    </w:lvl>
  </w:abstractNum>
  <w:abstractNum w:abstractNumId="5">
    <w:nsid w:val="3174597C"/>
    <w:multiLevelType w:val="multilevel"/>
    <w:tmpl w:val="DBC0F358"/>
    <w:lvl w:ilvl="0">
      <w:start w:val="1"/>
      <w:numFmt w:val="decimal"/>
      <w:pStyle w:val="ReportBody"/>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6">
    <w:nsid w:val="332C5874"/>
    <w:multiLevelType w:val="multilevel"/>
    <w:tmpl w:val="C35C3FD8"/>
    <w:lvl w:ilvl="0">
      <w:start w:val="1"/>
      <w:numFmt w:val="bullet"/>
      <w:lvlText w:val=""/>
      <w:lvlJc w:val="left"/>
      <w:pPr>
        <w:tabs>
          <w:tab w:val="num" w:pos="986"/>
        </w:tabs>
        <w:ind w:left="986" w:hanging="493"/>
      </w:pPr>
      <w:rPr>
        <w:rFonts w:ascii="Symbol" w:hAnsi="Symbol" w:hint="default"/>
      </w:rPr>
    </w:lvl>
    <w:lvl w:ilvl="1">
      <w:start w:val="1"/>
      <w:numFmt w:val="bullet"/>
      <w:lvlText w:val=""/>
      <w:lvlJc w:val="left"/>
      <w:pPr>
        <w:tabs>
          <w:tab w:val="num" w:pos="986"/>
        </w:tabs>
        <w:ind w:left="1480" w:hanging="494"/>
      </w:pPr>
      <w:rPr>
        <w:rFonts w:ascii="Symbol" w:hAnsi="Symbol" w:hint="default"/>
      </w:rPr>
    </w:lvl>
    <w:lvl w:ilvl="2">
      <w:start w:val="1"/>
      <w:numFmt w:val="decimal"/>
      <w:lvlText w:val="%1.%2.%3"/>
      <w:lvlJc w:val="left"/>
      <w:pPr>
        <w:tabs>
          <w:tab w:val="num" w:pos="2047"/>
        </w:tabs>
        <w:ind w:left="2047" w:hanging="567"/>
      </w:pPr>
      <w:rPr>
        <w:rFonts w:hint="default"/>
      </w:rPr>
    </w:lvl>
    <w:lvl w:ilvl="3">
      <w:start w:val="1"/>
      <w:numFmt w:val="decimal"/>
      <w:lvlText w:val="%1.%2.%3.%4."/>
      <w:lvlJc w:val="left"/>
      <w:pPr>
        <w:tabs>
          <w:tab w:val="num" w:pos="2626"/>
        </w:tabs>
        <w:ind w:left="2194" w:hanging="648"/>
      </w:pPr>
      <w:rPr>
        <w:rFonts w:hint="default"/>
      </w:rPr>
    </w:lvl>
    <w:lvl w:ilvl="4">
      <w:start w:val="1"/>
      <w:numFmt w:val="decimal"/>
      <w:lvlText w:val="%1.%2.%3.%4.%5."/>
      <w:lvlJc w:val="left"/>
      <w:pPr>
        <w:tabs>
          <w:tab w:val="num" w:pos="2986"/>
        </w:tabs>
        <w:ind w:left="2698" w:hanging="792"/>
      </w:pPr>
      <w:rPr>
        <w:rFonts w:hint="default"/>
      </w:rPr>
    </w:lvl>
    <w:lvl w:ilvl="5">
      <w:start w:val="1"/>
      <w:numFmt w:val="decimal"/>
      <w:lvlText w:val="%1.%2.%3.%4.%5.%6."/>
      <w:lvlJc w:val="left"/>
      <w:pPr>
        <w:tabs>
          <w:tab w:val="num" w:pos="3706"/>
        </w:tabs>
        <w:ind w:left="3202" w:hanging="936"/>
      </w:pPr>
      <w:rPr>
        <w:rFonts w:hint="default"/>
      </w:rPr>
    </w:lvl>
    <w:lvl w:ilvl="6">
      <w:start w:val="1"/>
      <w:numFmt w:val="decimal"/>
      <w:lvlText w:val="%1.%2.%3.%4.%5.%6.%7."/>
      <w:lvlJc w:val="left"/>
      <w:pPr>
        <w:tabs>
          <w:tab w:val="num" w:pos="4066"/>
        </w:tabs>
        <w:ind w:left="3706" w:hanging="1080"/>
      </w:pPr>
      <w:rPr>
        <w:rFonts w:hint="default"/>
      </w:rPr>
    </w:lvl>
    <w:lvl w:ilvl="7">
      <w:start w:val="1"/>
      <w:numFmt w:val="decimal"/>
      <w:lvlText w:val="%1.%2.%3.%4.%5.%6.%7.%8."/>
      <w:lvlJc w:val="left"/>
      <w:pPr>
        <w:tabs>
          <w:tab w:val="num" w:pos="4786"/>
        </w:tabs>
        <w:ind w:left="4210" w:hanging="1224"/>
      </w:pPr>
      <w:rPr>
        <w:rFonts w:hint="default"/>
      </w:rPr>
    </w:lvl>
    <w:lvl w:ilvl="8">
      <w:start w:val="1"/>
      <w:numFmt w:val="decimal"/>
      <w:lvlText w:val="%1.%2.%3.%4.%5.%6.%7.%8.%9."/>
      <w:lvlJc w:val="left"/>
      <w:pPr>
        <w:tabs>
          <w:tab w:val="num" w:pos="5146"/>
        </w:tabs>
        <w:ind w:left="4786" w:hanging="1440"/>
      </w:pPr>
      <w:rPr>
        <w:rFonts w:hint="default"/>
      </w:rPr>
    </w:lvl>
  </w:abstractNum>
  <w:abstractNum w:abstractNumId="7">
    <w:nsid w:val="336E48DF"/>
    <w:multiLevelType w:val="multilevel"/>
    <w:tmpl w:val="C35C3FD8"/>
    <w:lvl w:ilvl="0">
      <w:start w:val="1"/>
      <w:numFmt w:val="bullet"/>
      <w:lvlText w:val=""/>
      <w:lvlJc w:val="left"/>
      <w:pPr>
        <w:tabs>
          <w:tab w:val="num" w:pos="986"/>
        </w:tabs>
        <w:ind w:left="986" w:hanging="493"/>
      </w:pPr>
      <w:rPr>
        <w:rFonts w:ascii="Symbol" w:hAnsi="Symbol" w:hint="default"/>
      </w:rPr>
    </w:lvl>
    <w:lvl w:ilvl="1">
      <w:start w:val="1"/>
      <w:numFmt w:val="bullet"/>
      <w:lvlText w:val=""/>
      <w:lvlJc w:val="left"/>
      <w:pPr>
        <w:tabs>
          <w:tab w:val="num" w:pos="986"/>
        </w:tabs>
        <w:ind w:left="1480" w:hanging="494"/>
      </w:pPr>
      <w:rPr>
        <w:rFonts w:ascii="Symbol" w:hAnsi="Symbol" w:hint="default"/>
      </w:rPr>
    </w:lvl>
    <w:lvl w:ilvl="2">
      <w:start w:val="1"/>
      <w:numFmt w:val="decimal"/>
      <w:lvlText w:val="%1.%2.%3"/>
      <w:lvlJc w:val="left"/>
      <w:pPr>
        <w:tabs>
          <w:tab w:val="num" w:pos="2047"/>
        </w:tabs>
        <w:ind w:left="2047" w:hanging="567"/>
      </w:pPr>
      <w:rPr>
        <w:rFonts w:hint="default"/>
      </w:rPr>
    </w:lvl>
    <w:lvl w:ilvl="3">
      <w:start w:val="1"/>
      <w:numFmt w:val="decimal"/>
      <w:lvlText w:val="%1.%2.%3.%4."/>
      <w:lvlJc w:val="left"/>
      <w:pPr>
        <w:tabs>
          <w:tab w:val="num" w:pos="2626"/>
        </w:tabs>
        <w:ind w:left="2194" w:hanging="648"/>
      </w:pPr>
      <w:rPr>
        <w:rFonts w:hint="default"/>
      </w:rPr>
    </w:lvl>
    <w:lvl w:ilvl="4">
      <w:start w:val="1"/>
      <w:numFmt w:val="decimal"/>
      <w:lvlText w:val="%1.%2.%3.%4.%5."/>
      <w:lvlJc w:val="left"/>
      <w:pPr>
        <w:tabs>
          <w:tab w:val="num" w:pos="2986"/>
        </w:tabs>
        <w:ind w:left="2698" w:hanging="792"/>
      </w:pPr>
      <w:rPr>
        <w:rFonts w:hint="default"/>
      </w:rPr>
    </w:lvl>
    <w:lvl w:ilvl="5">
      <w:start w:val="1"/>
      <w:numFmt w:val="decimal"/>
      <w:lvlText w:val="%1.%2.%3.%4.%5.%6."/>
      <w:lvlJc w:val="left"/>
      <w:pPr>
        <w:tabs>
          <w:tab w:val="num" w:pos="3706"/>
        </w:tabs>
        <w:ind w:left="3202" w:hanging="936"/>
      </w:pPr>
      <w:rPr>
        <w:rFonts w:hint="default"/>
      </w:rPr>
    </w:lvl>
    <w:lvl w:ilvl="6">
      <w:start w:val="1"/>
      <w:numFmt w:val="decimal"/>
      <w:lvlText w:val="%1.%2.%3.%4.%5.%6.%7."/>
      <w:lvlJc w:val="left"/>
      <w:pPr>
        <w:tabs>
          <w:tab w:val="num" w:pos="4066"/>
        </w:tabs>
        <w:ind w:left="3706" w:hanging="1080"/>
      </w:pPr>
      <w:rPr>
        <w:rFonts w:hint="default"/>
      </w:rPr>
    </w:lvl>
    <w:lvl w:ilvl="7">
      <w:start w:val="1"/>
      <w:numFmt w:val="decimal"/>
      <w:lvlText w:val="%1.%2.%3.%4.%5.%6.%7.%8."/>
      <w:lvlJc w:val="left"/>
      <w:pPr>
        <w:tabs>
          <w:tab w:val="num" w:pos="4786"/>
        </w:tabs>
        <w:ind w:left="4210" w:hanging="1224"/>
      </w:pPr>
      <w:rPr>
        <w:rFonts w:hint="default"/>
      </w:rPr>
    </w:lvl>
    <w:lvl w:ilvl="8">
      <w:start w:val="1"/>
      <w:numFmt w:val="decimal"/>
      <w:lvlText w:val="%1.%2.%3.%4.%5.%6.%7.%8.%9."/>
      <w:lvlJc w:val="left"/>
      <w:pPr>
        <w:tabs>
          <w:tab w:val="num" w:pos="5146"/>
        </w:tabs>
        <w:ind w:left="4786" w:hanging="1440"/>
      </w:pPr>
      <w:rPr>
        <w:rFonts w:hint="default"/>
      </w:rPr>
    </w:lvl>
  </w:abstractNum>
  <w:abstractNum w:abstractNumId="8">
    <w:nsid w:val="37DC27CA"/>
    <w:multiLevelType w:val="multilevel"/>
    <w:tmpl w:val="07A473D0"/>
    <w:lvl w:ilvl="0">
      <w:start w:val="1"/>
      <w:numFmt w:val="bullet"/>
      <w:pStyle w:val="TableBullet1"/>
      <w:lvlText w:val=""/>
      <w:lvlJc w:val="left"/>
      <w:pPr>
        <w:tabs>
          <w:tab w:val="num" w:pos="284"/>
        </w:tabs>
        <w:ind w:left="284" w:hanging="284"/>
      </w:pPr>
      <w:rPr>
        <w:rFonts w:ascii="Wingdings" w:hAnsi="Wingdings" w:hint="default"/>
      </w:rPr>
    </w:lvl>
    <w:lvl w:ilvl="1">
      <w:start w:val="1"/>
      <w:numFmt w:val="bullet"/>
      <w:pStyle w:val="TableBullet2"/>
      <w:lvlText w:val="–"/>
      <w:lvlJc w:val="left"/>
      <w:pPr>
        <w:tabs>
          <w:tab w:val="num" w:pos="567"/>
        </w:tabs>
        <w:ind w:left="567" w:hanging="283"/>
      </w:pPr>
      <w:rPr>
        <w:rFonts w:ascii="Times New Roman" w:hAnsi="Times New Roman" w:cs="Times New Roman"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9">
    <w:nsid w:val="38DE5A8D"/>
    <w:multiLevelType w:val="hybridMultilevel"/>
    <w:tmpl w:val="1BE440D0"/>
    <w:lvl w:ilvl="0" w:tplc="E2C8BEB8">
      <w:start w:val="1"/>
      <w:numFmt w:val="bullet"/>
      <w:pStyle w:val="Bullet-lis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3C677761"/>
    <w:multiLevelType w:val="hybridMultilevel"/>
    <w:tmpl w:val="9FB8D16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nsid w:val="40BE7694"/>
    <w:multiLevelType w:val="multilevel"/>
    <w:tmpl w:val="C35C3FD8"/>
    <w:lvl w:ilvl="0">
      <w:start w:val="1"/>
      <w:numFmt w:val="bullet"/>
      <w:lvlText w:val=""/>
      <w:lvlJc w:val="left"/>
      <w:pPr>
        <w:tabs>
          <w:tab w:val="num" w:pos="986"/>
        </w:tabs>
        <w:ind w:left="986" w:hanging="493"/>
      </w:pPr>
      <w:rPr>
        <w:rFonts w:ascii="Symbol" w:hAnsi="Symbol" w:hint="default"/>
      </w:rPr>
    </w:lvl>
    <w:lvl w:ilvl="1">
      <w:start w:val="1"/>
      <w:numFmt w:val="bullet"/>
      <w:lvlText w:val=""/>
      <w:lvlJc w:val="left"/>
      <w:pPr>
        <w:tabs>
          <w:tab w:val="num" w:pos="986"/>
        </w:tabs>
        <w:ind w:left="1480" w:hanging="494"/>
      </w:pPr>
      <w:rPr>
        <w:rFonts w:ascii="Symbol" w:hAnsi="Symbol" w:hint="default"/>
      </w:rPr>
    </w:lvl>
    <w:lvl w:ilvl="2">
      <w:start w:val="1"/>
      <w:numFmt w:val="decimal"/>
      <w:lvlText w:val="%1.%2.%3"/>
      <w:lvlJc w:val="left"/>
      <w:pPr>
        <w:tabs>
          <w:tab w:val="num" w:pos="2047"/>
        </w:tabs>
        <w:ind w:left="2047" w:hanging="567"/>
      </w:pPr>
      <w:rPr>
        <w:rFonts w:hint="default"/>
      </w:rPr>
    </w:lvl>
    <w:lvl w:ilvl="3">
      <w:start w:val="1"/>
      <w:numFmt w:val="decimal"/>
      <w:lvlText w:val="%1.%2.%3.%4."/>
      <w:lvlJc w:val="left"/>
      <w:pPr>
        <w:tabs>
          <w:tab w:val="num" w:pos="2626"/>
        </w:tabs>
        <w:ind w:left="2194" w:hanging="648"/>
      </w:pPr>
      <w:rPr>
        <w:rFonts w:hint="default"/>
      </w:rPr>
    </w:lvl>
    <w:lvl w:ilvl="4">
      <w:start w:val="1"/>
      <w:numFmt w:val="decimal"/>
      <w:lvlText w:val="%1.%2.%3.%4.%5."/>
      <w:lvlJc w:val="left"/>
      <w:pPr>
        <w:tabs>
          <w:tab w:val="num" w:pos="2986"/>
        </w:tabs>
        <w:ind w:left="2698" w:hanging="792"/>
      </w:pPr>
      <w:rPr>
        <w:rFonts w:hint="default"/>
      </w:rPr>
    </w:lvl>
    <w:lvl w:ilvl="5">
      <w:start w:val="1"/>
      <w:numFmt w:val="decimal"/>
      <w:lvlText w:val="%1.%2.%3.%4.%5.%6."/>
      <w:lvlJc w:val="left"/>
      <w:pPr>
        <w:tabs>
          <w:tab w:val="num" w:pos="3706"/>
        </w:tabs>
        <w:ind w:left="3202" w:hanging="936"/>
      </w:pPr>
      <w:rPr>
        <w:rFonts w:hint="default"/>
      </w:rPr>
    </w:lvl>
    <w:lvl w:ilvl="6">
      <w:start w:val="1"/>
      <w:numFmt w:val="decimal"/>
      <w:lvlText w:val="%1.%2.%3.%4.%5.%6.%7."/>
      <w:lvlJc w:val="left"/>
      <w:pPr>
        <w:tabs>
          <w:tab w:val="num" w:pos="4066"/>
        </w:tabs>
        <w:ind w:left="3706" w:hanging="1080"/>
      </w:pPr>
      <w:rPr>
        <w:rFonts w:hint="default"/>
      </w:rPr>
    </w:lvl>
    <w:lvl w:ilvl="7">
      <w:start w:val="1"/>
      <w:numFmt w:val="decimal"/>
      <w:lvlText w:val="%1.%2.%3.%4.%5.%6.%7.%8."/>
      <w:lvlJc w:val="left"/>
      <w:pPr>
        <w:tabs>
          <w:tab w:val="num" w:pos="4786"/>
        </w:tabs>
        <w:ind w:left="4210" w:hanging="1224"/>
      </w:pPr>
      <w:rPr>
        <w:rFonts w:hint="default"/>
      </w:rPr>
    </w:lvl>
    <w:lvl w:ilvl="8">
      <w:start w:val="1"/>
      <w:numFmt w:val="decimal"/>
      <w:lvlText w:val="%1.%2.%3.%4.%5.%6.%7.%8.%9."/>
      <w:lvlJc w:val="left"/>
      <w:pPr>
        <w:tabs>
          <w:tab w:val="num" w:pos="5146"/>
        </w:tabs>
        <w:ind w:left="4786" w:hanging="1440"/>
      </w:pPr>
      <w:rPr>
        <w:rFonts w:hint="default"/>
      </w:rPr>
    </w:lvl>
  </w:abstractNum>
  <w:abstractNum w:abstractNumId="12">
    <w:nsid w:val="4110368B"/>
    <w:multiLevelType w:val="multilevel"/>
    <w:tmpl w:val="C35C3FD8"/>
    <w:lvl w:ilvl="0">
      <w:start w:val="1"/>
      <w:numFmt w:val="bullet"/>
      <w:lvlText w:val=""/>
      <w:lvlJc w:val="left"/>
      <w:pPr>
        <w:tabs>
          <w:tab w:val="num" w:pos="987"/>
        </w:tabs>
        <w:ind w:left="987" w:hanging="493"/>
      </w:pPr>
      <w:rPr>
        <w:rFonts w:ascii="Symbol" w:hAnsi="Symbol" w:hint="default"/>
      </w:rPr>
    </w:lvl>
    <w:lvl w:ilvl="1">
      <w:start w:val="1"/>
      <w:numFmt w:val="bullet"/>
      <w:lvlText w:val=""/>
      <w:lvlJc w:val="left"/>
      <w:pPr>
        <w:tabs>
          <w:tab w:val="num" w:pos="1338"/>
        </w:tabs>
        <w:ind w:left="1832" w:hanging="494"/>
      </w:pPr>
      <w:rPr>
        <w:rFonts w:ascii="Symbol" w:hAnsi="Symbol" w:hint="default"/>
      </w:rPr>
    </w:lvl>
    <w:lvl w:ilvl="2">
      <w:start w:val="1"/>
      <w:numFmt w:val="decimal"/>
      <w:lvlText w:val="%1.%2.%3"/>
      <w:lvlJc w:val="left"/>
      <w:pPr>
        <w:tabs>
          <w:tab w:val="num" w:pos="2399"/>
        </w:tabs>
        <w:ind w:left="2399" w:hanging="567"/>
      </w:pPr>
      <w:rPr>
        <w:rFonts w:hint="default"/>
      </w:rPr>
    </w:lvl>
    <w:lvl w:ilvl="3">
      <w:start w:val="1"/>
      <w:numFmt w:val="decimal"/>
      <w:lvlText w:val="%1.%2.%3.%4."/>
      <w:lvlJc w:val="left"/>
      <w:pPr>
        <w:tabs>
          <w:tab w:val="num" w:pos="2978"/>
        </w:tabs>
        <w:ind w:left="2546" w:hanging="648"/>
      </w:pPr>
      <w:rPr>
        <w:rFonts w:hint="default"/>
      </w:rPr>
    </w:lvl>
    <w:lvl w:ilvl="4">
      <w:start w:val="1"/>
      <w:numFmt w:val="decimal"/>
      <w:lvlText w:val="%1.%2.%3.%4.%5."/>
      <w:lvlJc w:val="left"/>
      <w:pPr>
        <w:tabs>
          <w:tab w:val="num" w:pos="3338"/>
        </w:tabs>
        <w:ind w:left="3050" w:hanging="792"/>
      </w:pPr>
      <w:rPr>
        <w:rFonts w:hint="default"/>
      </w:rPr>
    </w:lvl>
    <w:lvl w:ilvl="5">
      <w:start w:val="1"/>
      <w:numFmt w:val="decimal"/>
      <w:lvlText w:val="%1.%2.%3.%4.%5.%6."/>
      <w:lvlJc w:val="left"/>
      <w:pPr>
        <w:tabs>
          <w:tab w:val="num" w:pos="4058"/>
        </w:tabs>
        <w:ind w:left="3554" w:hanging="936"/>
      </w:pPr>
      <w:rPr>
        <w:rFonts w:hint="default"/>
      </w:rPr>
    </w:lvl>
    <w:lvl w:ilvl="6">
      <w:start w:val="1"/>
      <w:numFmt w:val="decimal"/>
      <w:lvlText w:val="%1.%2.%3.%4.%5.%6.%7."/>
      <w:lvlJc w:val="left"/>
      <w:pPr>
        <w:tabs>
          <w:tab w:val="num" w:pos="4418"/>
        </w:tabs>
        <w:ind w:left="4058" w:hanging="1080"/>
      </w:pPr>
      <w:rPr>
        <w:rFonts w:hint="default"/>
      </w:rPr>
    </w:lvl>
    <w:lvl w:ilvl="7">
      <w:start w:val="1"/>
      <w:numFmt w:val="decimal"/>
      <w:lvlText w:val="%1.%2.%3.%4.%5.%6.%7.%8."/>
      <w:lvlJc w:val="left"/>
      <w:pPr>
        <w:tabs>
          <w:tab w:val="num" w:pos="5138"/>
        </w:tabs>
        <w:ind w:left="4562" w:hanging="1224"/>
      </w:pPr>
      <w:rPr>
        <w:rFonts w:hint="default"/>
      </w:rPr>
    </w:lvl>
    <w:lvl w:ilvl="8">
      <w:start w:val="1"/>
      <w:numFmt w:val="decimal"/>
      <w:lvlText w:val="%1.%2.%3.%4.%5.%6.%7.%8.%9."/>
      <w:lvlJc w:val="left"/>
      <w:pPr>
        <w:tabs>
          <w:tab w:val="num" w:pos="5498"/>
        </w:tabs>
        <w:ind w:left="5138" w:hanging="1440"/>
      </w:pPr>
      <w:rPr>
        <w:rFonts w:hint="default"/>
      </w:rPr>
    </w:lvl>
  </w:abstractNum>
  <w:abstractNum w:abstractNumId="13">
    <w:nsid w:val="41F33B81"/>
    <w:multiLevelType w:val="hybridMultilevel"/>
    <w:tmpl w:val="EF6462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50650345"/>
    <w:multiLevelType w:val="hybridMultilevel"/>
    <w:tmpl w:val="3A148814"/>
    <w:lvl w:ilvl="0" w:tplc="C75A5DA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561A693C"/>
    <w:multiLevelType w:val="hybridMultilevel"/>
    <w:tmpl w:val="C8423C5E"/>
    <w:lvl w:ilvl="0" w:tplc="41F4BD7E">
      <w:start w:val="1"/>
      <w:numFmt w:val="bullet"/>
      <w:pStyle w:val="Boxbullet"/>
      <w:lvlText w:val="•"/>
      <w:lvlJc w:val="left"/>
      <w:pPr>
        <w:tabs>
          <w:tab w:val="num" w:pos="644"/>
        </w:tabs>
        <w:ind w:left="567" w:hanging="283"/>
      </w:pPr>
      <w:rPr>
        <w:rFonts w:hAnsi="Arial" w:hint="default"/>
        <w:b/>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7A75FFF"/>
    <w:multiLevelType w:val="multilevel"/>
    <w:tmpl w:val="4FFCE8E6"/>
    <w:lvl w:ilvl="0">
      <w:start w:val="1"/>
      <w:numFmt w:val="bullet"/>
      <w:lvlText w:val=""/>
      <w:lvlJc w:val="left"/>
      <w:pPr>
        <w:tabs>
          <w:tab w:val="num" w:pos="986"/>
        </w:tabs>
        <w:ind w:left="986" w:hanging="493"/>
      </w:pPr>
      <w:rPr>
        <w:rFonts w:ascii="Symbol" w:hAnsi="Symbol" w:hint="default"/>
      </w:rPr>
    </w:lvl>
    <w:lvl w:ilvl="1">
      <w:start w:val="1"/>
      <w:numFmt w:val="decimal"/>
      <w:lvlText w:val="%1.%2"/>
      <w:lvlJc w:val="left"/>
      <w:pPr>
        <w:tabs>
          <w:tab w:val="num" w:pos="986"/>
        </w:tabs>
        <w:ind w:left="1480" w:hanging="494"/>
      </w:pPr>
      <w:rPr>
        <w:rFonts w:hint="default"/>
      </w:rPr>
    </w:lvl>
    <w:lvl w:ilvl="2">
      <w:start w:val="1"/>
      <w:numFmt w:val="decimal"/>
      <w:lvlText w:val="%1.%2.%3"/>
      <w:lvlJc w:val="left"/>
      <w:pPr>
        <w:tabs>
          <w:tab w:val="num" w:pos="2047"/>
        </w:tabs>
        <w:ind w:left="2047" w:hanging="567"/>
      </w:pPr>
      <w:rPr>
        <w:rFonts w:hint="default"/>
      </w:rPr>
    </w:lvl>
    <w:lvl w:ilvl="3">
      <w:start w:val="1"/>
      <w:numFmt w:val="decimal"/>
      <w:lvlText w:val="%1.%2.%3.%4."/>
      <w:lvlJc w:val="left"/>
      <w:pPr>
        <w:tabs>
          <w:tab w:val="num" w:pos="2626"/>
        </w:tabs>
        <w:ind w:left="2194" w:hanging="648"/>
      </w:pPr>
      <w:rPr>
        <w:rFonts w:hint="default"/>
      </w:rPr>
    </w:lvl>
    <w:lvl w:ilvl="4">
      <w:start w:val="1"/>
      <w:numFmt w:val="decimal"/>
      <w:lvlText w:val="%1.%2.%3.%4.%5."/>
      <w:lvlJc w:val="left"/>
      <w:pPr>
        <w:tabs>
          <w:tab w:val="num" w:pos="2986"/>
        </w:tabs>
        <w:ind w:left="2698" w:hanging="792"/>
      </w:pPr>
      <w:rPr>
        <w:rFonts w:hint="default"/>
      </w:rPr>
    </w:lvl>
    <w:lvl w:ilvl="5">
      <w:start w:val="1"/>
      <w:numFmt w:val="decimal"/>
      <w:lvlText w:val="%1.%2.%3.%4.%5.%6."/>
      <w:lvlJc w:val="left"/>
      <w:pPr>
        <w:tabs>
          <w:tab w:val="num" w:pos="3706"/>
        </w:tabs>
        <w:ind w:left="3202" w:hanging="936"/>
      </w:pPr>
      <w:rPr>
        <w:rFonts w:hint="default"/>
      </w:rPr>
    </w:lvl>
    <w:lvl w:ilvl="6">
      <w:start w:val="1"/>
      <w:numFmt w:val="decimal"/>
      <w:lvlText w:val="%1.%2.%3.%4.%5.%6.%7."/>
      <w:lvlJc w:val="left"/>
      <w:pPr>
        <w:tabs>
          <w:tab w:val="num" w:pos="4066"/>
        </w:tabs>
        <w:ind w:left="3706" w:hanging="1080"/>
      </w:pPr>
      <w:rPr>
        <w:rFonts w:hint="default"/>
      </w:rPr>
    </w:lvl>
    <w:lvl w:ilvl="7">
      <w:start w:val="1"/>
      <w:numFmt w:val="decimal"/>
      <w:lvlText w:val="%1.%2.%3.%4.%5.%6.%7.%8."/>
      <w:lvlJc w:val="left"/>
      <w:pPr>
        <w:tabs>
          <w:tab w:val="num" w:pos="4786"/>
        </w:tabs>
        <w:ind w:left="4210" w:hanging="1224"/>
      </w:pPr>
      <w:rPr>
        <w:rFonts w:hint="default"/>
      </w:rPr>
    </w:lvl>
    <w:lvl w:ilvl="8">
      <w:start w:val="1"/>
      <w:numFmt w:val="decimal"/>
      <w:lvlText w:val="%1.%2.%3.%4.%5.%6.%7.%8.%9."/>
      <w:lvlJc w:val="left"/>
      <w:pPr>
        <w:tabs>
          <w:tab w:val="num" w:pos="5146"/>
        </w:tabs>
        <w:ind w:left="4786" w:hanging="1440"/>
      </w:pPr>
      <w:rPr>
        <w:rFonts w:hint="default"/>
      </w:rPr>
    </w:lvl>
  </w:abstractNum>
  <w:abstractNum w:abstractNumId="17">
    <w:nsid w:val="57B03687"/>
    <w:multiLevelType w:val="multilevel"/>
    <w:tmpl w:val="453CA328"/>
    <w:lvl w:ilvl="0">
      <w:start w:val="1"/>
      <w:numFmt w:val="bullet"/>
      <w:lvlText w:val=""/>
      <w:lvlJc w:val="left"/>
      <w:pPr>
        <w:tabs>
          <w:tab w:val="num" w:pos="986"/>
        </w:tabs>
        <w:ind w:left="986" w:hanging="493"/>
      </w:pPr>
      <w:rPr>
        <w:rFonts w:ascii="Symbol" w:hAnsi="Symbol" w:hint="default"/>
      </w:rPr>
    </w:lvl>
    <w:lvl w:ilvl="1">
      <w:start w:val="1"/>
      <w:numFmt w:val="decimal"/>
      <w:lvlText w:val="%1.%2"/>
      <w:lvlJc w:val="left"/>
      <w:pPr>
        <w:tabs>
          <w:tab w:val="num" w:pos="986"/>
        </w:tabs>
        <w:ind w:left="1480" w:hanging="494"/>
      </w:pPr>
      <w:rPr>
        <w:rFonts w:hint="default"/>
      </w:rPr>
    </w:lvl>
    <w:lvl w:ilvl="2">
      <w:start w:val="1"/>
      <w:numFmt w:val="decimal"/>
      <w:lvlText w:val="%1.%2.%3"/>
      <w:lvlJc w:val="left"/>
      <w:pPr>
        <w:tabs>
          <w:tab w:val="num" w:pos="2047"/>
        </w:tabs>
        <w:ind w:left="2047" w:hanging="567"/>
      </w:pPr>
      <w:rPr>
        <w:rFonts w:hint="default"/>
      </w:rPr>
    </w:lvl>
    <w:lvl w:ilvl="3">
      <w:start w:val="1"/>
      <w:numFmt w:val="decimal"/>
      <w:lvlText w:val="%1.%2.%3.%4."/>
      <w:lvlJc w:val="left"/>
      <w:pPr>
        <w:tabs>
          <w:tab w:val="num" w:pos="2626"/>
        </w:tabs>
        <w:ind w:left="2194" w:hanging="648"/>
      </w:pPr>
      <w:rPr>
        <w:rFonts w:hint="default"/>
      </w:rPr>
    </w:lvl>
    <w:lvl w:ilvl="4">
      <w:start w:val="1"/>
      <w:numFmt w:val="decimal"/>
      <w:lvlText w:val="%1.%2.%3.%4.%5."/>
      <w:lvlJc w:val="left"/>
      <w:pPr>
        <w:tabs>
          <w:tab w:val="num" w:pos="2986"/>
        </w:tabs>
        <w:ind w:left="2698" w:hanging="792"/>
      </w:pPr>
      <w:rPr>
        <w:rFonts w:hint="default"/>
      </w:rPr>
    </w:lvl>
    <w:lvl w:ilvl="5">
      <w:start w:val="1"/>
      <w:numFmt w:val="decimal"/>
      <w:lvlText w:val="%1.%2.%3.%4.%5.%6."/>
      <w:lvlJc w:val="left"/>
      <w:pPr>
        <w:tabs>
          <w:tab w:val="num" w:pos="3706"/>
        </w:tabs>
        <w:ind w:left="3202" w:hanging="936"/>
      </w:pPr>
      <w:rPr>
        <w:rFonts w:hint="default"/>
      </w:rPr>
    </w:lvl>
    <w:lvl w:ilvl="6">
      <w:start w:val="1"/>
      <w:numFmt w:val="decimal"/>
      <w:lvlText w:val="%1.%2.%3.%4.%5.%6.%7."/>
      <w:lvlJc w:val="left"/>
      <w:pPr>
        <w:tabs>
          <w:tab w:val="num" w:pos="4066"/>
        </w:tabs>
        <w:ind w:left="3706" w:hanging="1080"/>
      </w:pPr>
      <w:rPr>
        <w:rFonts w:hint="default"/>
      </w:rPr>
    </w:lvl>
    <w:lvl w:ilvl="7">
      <w:start w:val="1"/>
      <w:numFmt w:val="decimal"/>
      <w:lvlText w:val="%1.%2.%3.%4.%5.%6.%7.%8."/>
      <w:lvlJc w:val="left"/>
      <w:pPr>
        <w:tabs>
          <w:tab w:val="num" w:pos="4786"/>
        </w:tabs>
        <w:ind w:left="4210" w:hanging="1224"/>
      </w:pPr>
      <w:rPr>
        <w:rFonts w:hint="default"/>
      </w:rPr>
    </w:lvl>
    <w:lvl w:ilvl="8">
      <w:start w:val="1"/>
      <w:numFmt w:val="decimal"/>
      <w:lvlText w:val="%1.%2.%3.%4.%5.%6.%7.%8.%9."/>
      <w:lvlJc w:val="left"/>
      <w:pPr>
        <w:tabs>
          <w:tab w:val="num" w:pos="5146"/>
        </w:tabs>
        <w:ind w:left="4786" w:hanging="1440"/>
      </w:pPr>
      <w:rPr>
        <w:rFonts w:hint="default"/>
      </w:rPr>
    </w:lvl>
  </w:abstractNum>
  <w:abstractNum w:abstractNumId="18">
    <w:nsid w:val="5869714D"/>
    <w:multiLevelType w:val="hybridMultilevel"/>
    <w:tmpl w:val="D71015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59F54BCE"/>
    <w:multiLevelType w:val="multilevel"/>
    <w:tmpl w:val="7662F0D2"/>
    <w:styleLink w:val="BodyList"/>
    <w:lvl w:ilvl="0">
      <w:start w:val="1"/>
      <w:numFmt w:val="decimal"/>
      <w:pStyle w:val="BodyText"/>
      <w:lvlText w:val="%1"/>
      <w:lvlJc w:val="left"/>
      <w:pPr>
        <w:tabs>
          <w:tab w:val="num" w:pos="494"/>
        </w:tabs>
        <w:ind w:left="494" w:hanging="494"/>
      </w:pPr>
    </w:lvl>
    <w:lvl w:ilvl="1">
      <w:start w:val="1"/>
      <w:numFmt w:val="decimal"/>
      <w:pStyle w:val="BodyTextlevel2"/>
      <w:lvlText w:val="%1.%2"/>
      <w:lvlJc w:val="left"/>
      <w:pPr>
        <w:tabs>
          <w:tab w:val="num" w:pos="493"/>
        </w:tabs>
        <w:ind w:left="987" w:hanging="493"/>
      </w:pPr>
    </w:lvl>
    <w:lvl w:ilvl="2">
      <w:start w:val="1"/>
      <w:numFmt w:val="decimal"/>
      <w:lvlText w:val="%1.%2.%3"/>
      <w:lvlJc w:val="left"/>
      <w:pPr>
        <w:tabs>
          <w:tab w:val="num" w:pos="680"/>
        </w:tabs>
        <w:ind w:left="1667" w:hanging="680"/>
      </w:pPr>
    </w:lvl>
    <w:lvl w:ilvl="3">
      <w:start w:val="1"/>
      <w:numFmt w:val="decimal"/>
      <w:lvlText w:val="%1.%2.%3.%4."/>
      <w:lvlJc w:val="left"/>
      <w:pPr>
        <w:tabs>
          <w:tab w:val="num" w:pos="1640"/>
        </w:tabs>
        <w:ind w:left="1208" w:hanging="648"/>
      </w:pPr>
    </w:lvl>
    <w:lvl w:ilvl="4">
      <w:start w:val="1"/>
      <w:numFmt w:val="decimal"/>
      <w:lvlText w:val="%1.%2.%3.%4.%5."/>
      <w:lvlJc w:val="left"/>
      <w:pPr>
        <w:tabs>
          <w:tab w:val="num" w:pos="2000"/>
        </w:tabs>
        <w:ind w:left="1712" w:hanging="792"/>
      </w:pPr>
    </w:lvl>
    <w:lvl w:ilvl="5">
      <w:start w:val="1"/>
      <w:numFmt w:val="decimal"/>
      <w:lvlText w:val="%1.%2.%3.%4.%5.%6."/>
      <w:lvlJc w:val="left"/>
      <w:pPr>
        <w:tabs>
          <w:tab w:val="num" w:pos="2720"/>
        </w:tabs>
        <w:ind w:left="2216" w:hanging="936"/>
      </w:pPr>
    </w:lvl>
    <w:lvl w:ilvl="6">
      <w:start w:val="1"/>
      <w:numFmt w:val="decimal"/>
      <w:lvlText w:val="%1.%2.%3.%4.%5.%6.%7."/>
      <w:lvlJc w:val="left"/>
      <w:pPr>
        <w:tabs>
          <w:tab w:val="num" w:pos="3080"/>
        </w:tabs>
        <w:ind w:left="2720" w:hanging="1080"/>
      </w:pPr>
    </w:lvl>
    <w:lvl w:ilvl="7">
      <w:start w:val="1"/>
      <w:numFmt w:val="decimal"/>
      <w:lvlText w:val="%1.%2.%3.%4.%5.%6.%7.%8."/>
      <w:lvlJc w:val="left"/>
      <w:pPr>
        <w:tabs>
          <w:tab w:val="num" w:pos="3800"/>
        </w:tabs>
        <w:ind w:left="3224" w:hanging="1224"/>
      </w:pPr>
    </w:lvl>
    <w:lvl w:ilvl="8">
      <w:start w:val="1"/>
      <w:numFmt w:val="decimal"/>
      <w:lvlText w:val="%1.%2.%3.%4.%5.%6.%7.%8.%9."/>
      <w:lvlJc w:val="left"/>
      <w:pPr>
        <w:tabs>
          <w:tab w:val="num" w:pos="4160"/>
        </w:tabs>
        <w:ind w:left="3800" w:hanging="1440"/>
      </w:pPr>
    </w:lvl>
  </w:abstractNum>
  <w:abstractNum w:abstractNumId="20">
    <w:nsid w:val="5ADA139A"/>
    <w:multiLevelType w:val="hybridMultilevel"/>
    <w:tmpl w:val="B6F6A9C0"/>
    <w:lvl w:ilvl="0" w:tplc="814A6F34">
      <w:start w:val="1"/>
      <w:numFmt w:val="bullet"/>
      <w:lvlText w:val=""/>
      <w:lvlJc w:val="left"/>
      <w:pPr>
        <w:tabs>
          <w:tab w:val="num" w:pos="1021"/>
        </w:tabs>
        <w:ind w:left="1021" w:hanging="511"/>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BA93411"/>
    <w:multiLevelType w:val="hybridMultilevel"/>
    <w:tmpl w:val="50F2DCD2"/>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2">
    <w:nsid w:val="5C0B6E2E"/>
    <w:multiLevelType w:val="hybridMultilevel"/>
    <w:tmpl w:val="6BD8D1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5E2F7173"/>
    <w:multiLevelType w:val="hybridMultilevel"/>
    <w:tmpl w:val="EA6822E8"/>
    <w:lvl w:ilvl="0" w:tplc="E4006DAC">
      <w:start w:val="1"/>
      <w:numFmt w:val="bullet"/>
      <w:lvlText w:val=""/>
      <w:lvlJc w:val="left"/>
      <w:pPr>
        <w:ind w:left="360" w:hanging="360"/>
      </w:pPr>
      <w:rPr>
        <w:rFonts w:ascii="Symbol" w:hAnsi="Symbol" w:hint="default"/>
        <w:i w:val="0"/>
      </w:rPr>
    </w:lvl>
    <w:lvl w:ilvl="1" w:tplc="6B529C00">
      <w:start w:val="1"/>
      <w:numFmt w:val="bullet"/>
      <w:lvlText w:val="-"/>
      <w:lvlJc w:val="left"/>
      <w:pPr>
        <w:ind w:left="1080" w:hanging="360"/>
      </w:pPr>
      <w:rPr>
        <w:rFonts w:ascii="Courier New" w:hAnsi="Courier New" w:cs="Times New Roman"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4">
    <w:nsid w:val="6D0D68D9"/>
    <w:multiLevelType w:val="hybridMultilevel"/>
    <w:tmpl w:val="2E9EAE1A"/>
    <w:lvl w:ilvl="0" w:tplc="E2C8BEB8">
      <w:start w:val="1"/>
      <w:numFmt w:val="bullet"/>
      <w:lvlText w:val=""/>
      <w:lvlJc w:val="left"/>
      <w:pPr>
        <w:ind w:left="720" w:hanging="360"/>
      </w:pPr>
      <w:rPr>
        <w:rFonts w:ascii="Symbol" w:hAnsi="Symbol" w:hint="default"/>
      </w:rPr>
    </w:lvl>
    <w:lvl w:ilvl="1" w:tplc="6A549158">
      <w:start w:val="1"/>
      <w:numFmt w:val="bullet"/>
      <w:pStyle w:val="Table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70134802"/>
    <w:multiLevelType w:val="hybridMultilevel"/>
    <w:tmpl w:val="51DCF4BA"/>
    <w:lvl w:ilvl="0" w:tplc="CF84B13C">
      <w:start w:val="2"/>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nsid w:val="71A33C57"/>
    <w:multiLevelType w:val="hybridMultilevel"/>
    <w:tmpl w:val="2C8C5F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7B023FB7"/>
    <w:multiLevelType w:val="hybridMultilevel"/>
    <w:tmpl w:val="4022C0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7ED875CF"/>
    <w:multiLevelType w:val="multilevel"/>
    <w:tmpl w:val="C890E1A6"/>
    <w:lvl w:ilvl="0">
      <w:start w:val="1"/>
      <w:numFmt w:val="decimal"/>
      <w:lvlText w:val="%1"/>
      <w:lvlJc w:val="left"/>
      <w:pPr>
        <w:tabs>
          <w:tab w:val="num" w:pos="494"/>
        </w:tabs>
        <w:ind w:left="494" w:hanging="494"/>
      </w:pPr>
      <w:rPr>
        <w:rFonts w:hint="default"/>
      </w:rPr>
    </w:lvl>
    <w:lvl w:ilvl="1">
      <w:start w:val="1"/>
      <w:numFmt w:val="decimal"/>
      <w:lvlText w:val="%1.%2"/>
      <w:lvlJc w:val="left"/>
      <w:pPr>
        <w:tabs>
          <w:tab w:val="num" w:pos="493"/>
        </w:tabs>
        <w:ind w:left="987" w:hanging="493"/>
      </w:pPr>
      <w:rPr>
        <w:rFonts w:hint="default"/>
      </w:rPr>
    </w:lvl>
    <w:lvl w:ilvl="2">
      <w:start w:val="1"/>
      <w:numFmt w:val="decimal"/>
      <w:lvlText w:val="%1.%2.%3"/>
      <w:lvlJc w:val="left"/>
      <w:pPr>
        <w:tabs>
          <w:tab w:val="num" w:pos="680"/>
        </w:tabs>
        <w:ind w:left="1667" w:hanging="680"/>
      </w:pPr>
      <w:rPr>
        <w:rFonts w:hint="default"/>
      </w:rPr>
    </w:lvl>
    <w:lvl w:ilvl="3">
      <w:start w:val="1"/>
      <w:numFmt w:val="decimal"/>
      <w:lvlText w:val="%1.%2.%3.%4."/>
      <w:lvlJc w:val="left"/>
      <w:pPr>
        <w:tabs>
          <w:tab w:val="num" w:pos="1640"/>
        </w:tabs>
        <w:ind w:left="1208" w:hanging="648"/>
      </w:pPr>
      <w:rPr>
        <w:rFonts w:hint="default"/>
      </w:rPr>
    </w:lvl>
    <w:lvl w:ilvl="4">
      <w:start w:val="1"/>
      <w:numFmt w:val="decimal"/>
      <w:lvlText w:val="%1.%2.%3.%4.%5."/>
      <w:lvlJc w:val="left"/>
      <w:pPr>
        <w:tabs>
          <w:tab w:val="num" w:pos="2000"/>
        </w:tabs>
        <w:ind w:left="1712" w:hanging="792"/>
      </w:pPr>
      <w:rPr>
        <w:rFonts w:hint="default"/>
      </w:rPr>
    </w:lvl>
    <w:lvl w:ilvl="5">
      <w:start w:val="1"/>
      <w:numFmt w:val="decimal"/>
      <w:lvlText w:val="%1.%2.%3.%4.%5.%6."/>
      <w:lvlJc w:val="left"/>
      <w:pPr>
        <w:tabs>
          <w:tab w:val="num" w:pos="2720"/>
        </w:tabs>
        <w:ind w:left="2216" w:hanging="936"/>
      </w:pPr>
      <w:rPr>
        <w:rFonts w:hint="default"/>
      </w:rPr>
    </w:lvl>
    <w:lvl w:ilvl="6">
      <w:start w:val="1"/>
      <w:numFmt w:val="decimal"/>
      <w:lvlText w:val="%1.%2.%3.%4.%5.%6.%7."/>
      <w:lvlJc w:val="left"/>
      <w:pPr>
        <w:tabs>
          <w:tab w:val="num" w:pos="3080"/>
        </w:tabs>
        <w:ind w:left="2720" w:hanging="1080"/>
      </w:pPr>
      <w:rPr>
        <w:rFonts w:hint="default"/>
      </w:rPr>
    </w:lvl>
    <w:lvl w:ilvl="7">
      <w:start w:val="1"/>
      <w:numFmt w:val="decimal"/>
      <w:lvlText w:val="%1.%2.%3.%4.%5.%6.%7.%8."/>
      <w:lvlJc w:val="left"/>
      <w:pPr>
        <w:tabs>
          <w:tab w:val="num" w:pos="3800"/>
        </w:tabs>
        <w:ind w:left="3224" w:hanging="1224"/>
      </w:pPr>
      <w:rPr>
        <w:rFonts w:hint="default"/>
      </w:rPr>
    </w:lvl>
    <w:lvl w:ilvl="8">
      <w:start w:val="1"/>
      <w:numFmt w:val="decimal"/>
      <w:lvlText w:val="%1.%2.%3.%4.%5.%6.%7.%8.%9."/>
      <w:lvlJc w:val="left"/>
      <w:pPr>
        <w:tabs>
          <w:tab w:val="num" w:pos="4160"/>
        </w:tabs>
        <w:ind w:left="3800" w:hanging="1440"/>
      </w:pPr>
      <w:rPr>
        <w:rFonts w:hint="default"/>
      </w:rPr>
    </w:lvl>
  </w:abstractNum>
  <w:num w:numId="1">
    <w:abstractNumId w:val="15"/>
  </w:num>
  <w:num w:numId="2">
    <w:abstractNumId w:val="9"/>
  </w:num>
  <w:num w:numId="3">
    <w:abstractNumId w:val="8"/>
  </w:num>
  <w:num w:numId="4">
    <w:abstractNumId w:val="24"/>
  </w:num>
  <w:num w:numId="5">
    <w:abstractNumId w:val="27"/>
  </w:num>
  <w:num w:numId="6">
    <w:abstractNumId w:val="19"/>
  </w:num>
  <w:num w:numId="7">
    <w:abstractNumId w:val="0"/>
  </w:num>
  <w:num w:numId="8">
    <w:abstractNumId w:val="5"/>
    <w:lvlOverride w:ilvl="0">
      <w:lvl w:ilvl="0">
        <w:start w:val="1"/>
        <w:numFmt w:val="decimal"/>
        <w:pStyle w:val="ReportBody"/>
        <w:lvlText w:val="%1"/>
        <w:lvlJc w:val="left"/>
        <w:pPr>
          <w:tabs>
            <w:tab w:val="num" w:pos="493"/>
          </w:tabs>
          <w:ind w:left="493" w:hanging="493"/>
        </w:pPr>
        <w:rPr>
          <w:rFonts w:ascii="Verdana" w:hAnsi="Verdana" w:hint="default"/>
          <w:b w:val="0"/>
          <w:i w:val="0"/>
        </w:rPr>
      </w:lvl>
    </w:lvlOverride>
    <w:lvlOverride w:ilvl="1">
      <w:lvl w:ilvl="1">
        <w:start w:val="1"/>
        <w:numFmt w:val="decimal"/>
        <w:pStyle w:val="ReportBody2"/>
        <w:lvlText w:val="%1.%2"/>
        <w:lvlJc w:val="left"/>
        <w:pPr>
          <w:tabs>
            <w:tab w:val="num" w:pos="493"/>
          </w:tabs>
          <w:ind w:left="987" w:hanging="494"/>
        </w:pPr>
        <w:rPr>
          <w:rFonts w:hint="default"/>
        </w:rPr>
      </w:lvl>
    </w:lvlOverride>
    <w:lvlOverride w:ilvl="2">
      <w:lvl w:ilvl="2">
        <w:start w:val="1"/>
        <w:numFmt w:val="decimal"/>
        <w:lvlText w:val="%1.%2.%3"/>
        <w:lvlJc w:val="left"/>
        <w:pPr>
          <w:tabs>
            <w:tab w:val="num" w:pos="1554"/>
          </w:tabs>
          <w:ind w:left="1554" w:hanging="567"/>
        </w:pPr>
        <w:rPr>
          <w:rFonts w:hint="default"/>
        </w:rPr>
      </w:lvl>
    </w:lvlOverride>
    <w:lvlOverride w:ilvl="3">
      <w:lvl w:ilvl="3">
        <w:start w:val="1"/>
        <w:numFmt w:val="decimal"/>
        <w:lvlText w:val="%1.%2.%3.%4."/>
        <w:lvlJc w:val="left"/>
        <w:pPr>
          <w:tabs>
            <w:tab w:val="num" w:pos="2133"/>
          </w:tabs>
          <w:ind w:left="1701" w:hanging="648"/>
        </w:pPr>
        <w:rPr>
          <w:rFonts w:hint="default"/>
        </w:rPr>
      </w:lvl>
    </w:lvlOverride>
    <w:lvlOverride w:ilvl="4">
      <w:lvl w:ilvl="4">
        <w:start w:val="1"/>
        <w:numFmt w:val="decimal"/>
        <w:lvlText w:val="%1.%2.%3.%4.%5."/>
        <w:lvlJc w:val="left"/>
        <w:pPr>
          <w:tabs>
            <w:tab w:val="num" w:pos="2493"/>
          </w:tabs>
          <w:ind w:left="2205" w:hanging="792"/>
        </w:pPr>
        <w:rPr>
          <w:rFonts w:hint="default"/>
        </w:rPr>
      </w:lvl>
    </w:lvlOverride>
    <w:lvlOverride w:ilvl="5">
      <w:lvl w:ilvl="5">
        <w:start w:val="1"/>
        <w:numFmt w:val="decimal"/>
        <w:lvlText w:val="%1.%2.%3.%4.%5.%6."/>
        <w:lvlJc w:val="left"/>
        <w:pPr>
          <w:tabs>
            <w:tab w:val="num" w:pos="3213"/>
          </w:tabs>
          <w:ind w:left="2709" w:hanging="936"/>
        </w:pPr>
        <w:rPr>
          <w:rFonts w:hint="default"/>
        </w:rPr>
      </w:lvl>
    </w:lvlOverride>
    <w:lvlOverride w:ilvl="6">
      <w:lvl w:ilvl="6">
        <w:start w:val="1"/>
        <w:numFmt w:val="decimal"/>
        <w:lvlText w:val="%1.%2.%3.%4.%5.%6.%7."/>
        <w:lvlJc w:val="left"/>
        <w:pPr>
          <w:tabs>
            <w:tab w:val="num" w:pos="3573"/>
          </w:tabs>
          <w:ind w:left="3213" w:hanging="1080"/>
        </w:pPr>
        <w:rPr>
          <w:rFonts w:hint="default"/>
        </w:rPr>
      </w:lvl>
    </w:lvlOverride>
    <w:lvlOverride w:ilvl="7">
      <w:lvl w:ilvl="7">
        <w:start w:val="1"/>
        <w:numFmt w:val="decimal"/>
        <w:lvlText w:val="%1.%2.%3.%4.%5.%6.%7.%8."/>
        <w:lvlJc w:val="left"/>
        <w:pPr>
          <w:tabs>
            <w:tab w:val="num" w:pos="4293"/>
          </w:tabs>
          <w:ind w:left="3717" w:hanging="1224"/>
        </w:pPr>
        <w:rPr>
          <w:rFonts w:hint="default"/>
        </w:rPr>
      </w:lvl>
    </w:lvlOverride>
    <w:lvlOverride w:ilvl="8">
      <w:lvl w:ilvl="8">
        <w:start w:val="1"/>
        <w:numFmt w:val="decimal"/>
        <w:lvlText w:val="%1.%2.%3.%4.%5.%6.%7.%8.%9."/>
        <w:lvlJc w:val="left"/>
        <w:pPr>
          <w:tabs>
            <w:tab w:val="num" w:pos="4653"/>
          </w:tabs>
          <w:ind w:left="4293" w:hanging="1440"/>
        </w:pPr>
        <w:rPr>
          <w:rFonts w:hint="default"/>
        </w:rPr>
      </w:lvl>
    </w:lvlOverride>
  </w:num>
  <w:num w:numId="9">
    <w:abstractNumId w:val="26"/>
  </w:num>
  <w:num w:numId="10">
    <w:abstractNumId w:val="2"/>
  </w:num>
  <w:num w:numId="11">
    <w:abstractNumId w:val="16"/>
  </w:num>
  <w:num w:numId="12">
    <w:abstractNumId w:val="10"/>
  </w:num>
  <w:num w:numId="13">
    <w:abstractNumId w:val="21"/>
  </w:num>
  <w:num w:numId="14">
    <w:abstractNumId w:val="0"/>
  </w:num>
  <w:num w:numId="15">
    <w:abstractNumId w:val="13"/>
  </w:num>
  <w:num w:numId="16">
    <w:abstractNumId w:val="0"/>
  </w:num>
  <w:num w:numId="17">
    <w:abstractNumId w:val="1"/>
  </w:num>
  <w:num w:numId="18">
    <w:abstractNumId w:val="23"/>
  </w:num>
  <w:num w:numId="19">
    <w:abstractNumId w:val="22"/>
  </w:num>
  <w:num w:numId="20">
    <w:abstractNumId w:val="14"/>
  </w:num>
  <w:num w:numId="21">
    <w:abstractNumId w:val="3"/>
  </w:num>
  <w:num w:numId="22">
    <w:abstractNumId w:val="18"/>
  </w:num>
  <w:num w:numId="23">
    <w:abstractNumId w:val="0"/>
  </w:num>
  <w:num w:numId="24">
    <w:abstractNumId w:val="17"/>
  </w:num>
  <w:num w:numId="25">
    <w:abstractNumId w:val="4"/>
  </w:num>
  <w:num w:numId="26">
    <w:abstractNumId w:val="11"/>
  </w:num>
  <w:num w:numId="27">
    <w:abstractNumId w:val="12"/>
  </w:num>
  <w:num w:numId="28">
    <w:abstractNumId w:val="7"/>
  </w:num>
  <w:num w:numId="29">
    <w:abstractNumId w:val="6"/>
  </w:num>
  <w:num w:numId="30">
    <w:abstractNumId w:val="28"/>
  </w:num>
  <w:num w:numId="31">
    <w:abstractNumId w:val="0"/>
  </w:num>
  <w:num w:numId="32">
    <w:abstractNumId w:val="19"/>
    <w:lvlOverride w:ilvl="0">
      <w:lvl w:ilvl="0">
        <w:start w:val="1"/>
        <w:numFmt w:val="decimal"/>
        <w:pStyle w:val="BodyText"/>
        <w:lvlText w:val="%1"/>
        <w:lvlJc w:val="left"/>
        <w:pPr>
          <w:tabs>
            <w:tab w:val="num" w:pos="494"/>
          </w:tabs>
          <w:ind w:left="494" w:hanging="494"/>
        </w:pPr>
        <w:rPr>
          <w:rFonts w:hint="default"/>
        </w:rPr>
      </w:lvl>
    </w:lvlOverride>
    <w:lvlOverride w:ilvl="1">
      <w:lvl w:ilvl="1">
        <w:start w:val="1"/>
        <w:numFmt w:val="decimal"/>
        <w:pStyle w:val="BodyTextlevel2"/>
        <w:lvlText w:val="%1.%2"/>
        <w:lvlJc w:val="left"/>
        <w:pPr>
          <w:tabs>
            <w:tab w:val="num" w:pos="493"/>
          </w:tabs>
          <w:ind w:left="987" w:hanging="493"/>
        </w:pPr>
        <w:rPr>
          <w:rFonts w:hint="default"/>
        </w:rPr>
      </w:lvl>
    </w:lvlOverride>
    <w:lvlOverride w:ilvl="2">
      <w:lvl w:ilvl="2">
        <w:start w:val="1"/>
        <w:numFmt w:val="decimal"/>
        <w:lvlText w:val="%1.%2.%3"/>
        <w:lvlJc w:val="left"/>
        <w:pPr>
          <w:tabs>
            <w:tab w:val="num" w:pos="680"/>
          </w:tabs>
          <w:ind w:left="1667" w:hanging="680"/>
        </w:pPr>
        <w:rPr>
          <w:rFonts w:hint="default"/>
        </w:rPr>
      </w:lvl>
    </w:lvlOverride>
    <w:lvlOverride w:ilvl="3">
      <w:lvl w:ilvl="3">
        <w:start w:val="1"/>
        <w:numFmt w:val="decimal"/>
        <w:lvlText w:val="%1.%2.%3.%4."/>
        <w:lvlJc w:val="left"/>
        <w:pPr>
          <w:tabs>
            <w:tab w:val="num" w:pos="1640"/>
          </w:tabs>
          <w:ind w:left="1208" w:hanging="648"/>
        </w:pPr>
        <w:rPr>
          <w:rFonts w:hint="default"/>
        </w:rPr>
      </w:lvl>
    </w:lvlOverride>
    <w:lvlOverride w:ilvl="4">
      <w:lvl w:ilvl="4">
        <w:start w:val="1"/>
        <w:numFmt w:val="decimal"/>
        <w:lvlText w:val="%1.%2.%3.%4.%5."/>
        <w:lvlJc w:val="left"/>
        <w:pPr>
          <w:tabs>
            <w:tab w:val="num" w:pos="2000"/>
          </w:tabs>
          <w:ind w:left="1712" w:hanging="792"/>
        </w:pPr>
        <w:rPr>
          <w:rFonts w:hint="default"/>
        </w:rPr>
      </w:lvl>
    </w:lvlOverride>
    <w:lvlOverride w:ilvl="5">
      <w:lvl w:ilvl="5">
        <w:start w:val="1"/>
        <w:numFmt w:val="decimal"/>
        <w:lvlText w:val="%1.%2.%3.%4.%5.%6."/>
        <w:lvlJc w:val="left"/>
        <w:pPr>
          <w:tabs>
            <w:tab w:val="num" w:pos="2720"/>
          </w:tabs>
          <w:ind w:left="2216" w:hanging="936"/>
        </w:pPr>
        <w:rPr>
          <w:rFonts w:hint="default"/>
        </w:rPr>
      </w:lvl>
    </w:lvlOverride>
    <w:lvlOverride w:ilvl="6">
      <w:lvl w:ilvl="6">
        <w:start w:val="1"/>
        <w:numFmt w:val="decimal"/>
        <w:lvlText w:val="%1.%2.%3.%4.%5.%6.%7."/>
        <w:lvlJc w:val="left"/>
        <w:pPr>
          <w:tabs>
            <w:tab w:val="num" w:pos="3080"/>
          </w:tabs>
          <w:ind w:left="2720" w:hanging="1080"/>
        </w:pPr>
        <w:rPr>
          <w:rFonts w:hint="default"/>
        </w:rPr>
      </w:lvl>
    </w:lvlOverride>
    <w:lvlOverride w:ilvl="7">
      <w:lvl w:ilvl="7">
        <w:start w:val="1"/>
        <w:numFmt w:val="decimal"/>
        <w:lvlText w:val="%1.%2.%3.%4.%5.%6.%7.%8."/>
        <w:lvlJc w:val="left"/>
        <w:pPr>
          <w:tabs>
            <w:tab w:val="num" w:pos="3800"/>
          </w:tabs>
          <w:ind w:left="3224" w:hanging="1224"/>
        </w:pPr>
        <w:rPr>
          <w:rFonts w:hint="default"/>
        </w:rPr>
      </w:lvl>
    </w:lvlOverride>
    <w:lvlOverride w:ilvl="8">
      <w:lvl w:ilvl="8">
        <w:start w:val="1"/>
        <w:numFmt w:val="decimal"/>
        <w:lvlText w:val="%1.%2.%3.%4.%5.%6.%7.%8.%9."/>
        <w:lvlJc w:val="left"/>
        <w:pPr>
          <w:tabs>
            <w:tab w:val="num" w:pos="4160"/>
          </w:tabs>
          <w:ind w:left="3800" w:hanging="1440"/>
        </w:pPr>
        <w:rPr>
          <w:rFonts w:hint="default"/>
        </w:rPr>
      </w:lvl>
    </w:lvlOverride>
  </w:num>
  <w:num w:numId="33">
    <w:abstractNumId w:val="20"/>
  </w:num>
  <w:num w:numId="34">
    <w:abstractNumId w:val="25"/>
  </w:num>
  <w:num w:numId="35">
    <w:abstractNumId w:val="19"/>
    <w:lvlOverride w:ilvl="0">
      <w:lvl w:ilvl="0">
        <w:start w:val="1"/>
        <w:numFmt w:val="decimal"/>
        <w:pStyle w:val="BodyText"/>
        <w:lvlText w:val="%1"/>
        <w:lvlJc w:val="left"/>
        <w:pPr>
          <w:tabs>
            <w:tab w:val="num" w:pos="494"/>
          </w:tabs>
          <w:ind w:left="494" w:hanging="494"/>
        </w:pPr>
        <w:rPr>
          <w:rFonts w:hint="default"/>
          <w:b w:val="0"/>
        </w:rPr>
      </w:lvl>
    </w:lvlOverride>
  </w:num>
  <w:num w:numId="3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9" fillcolor="white" stroke="f">
      <v:fill color="white" opacity="0"/>
      <v:stroke on="f"/>
      <o:colormru v:ext="edit" colors="#ddd,#cfcfcf,#cacaca,#66f,blue,#ccd3e1,#002469,#335087"/>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127"/>
    <w:rsid w:val="00001539"/>
    <w:rsid w:val="00002433"/>
    <w:rsid w:val="000037F4"/>
    <w:rsid w:val="00004A8A"/>
    <w:rsid w:val="00005DC9"/>
    <w:rsid w:val="000069BB"/>
    <w:rsid w:val="00010986"/>
    <w:rsid w:val="00010F7D"/>
    <w:rsid w:val="000116FF"/>
    <w:rsid w:val="00013A18"/>
    <w:rsid w:val="00014196"/>
    <w:rsid w:val="000147DC"/>
    <w:rsid w:val="00015072"/>
    <w:rsid w:val="00016722"/>
    <w:rsid w:val="000203EF"/>
    <w:rsid w:val="0002068B"/>
    <w:rsid w:val="00022A7E"/>
    <w:rsid w:val="000232EB"/>
    <w:rsid w:val="00023BAB"/>
    <w:rsid w:val="00023EA6"/>
    <w:rsid w:val="0002568E"/>
    <w:rsid w:val="00025954"/>
    <w:rsid w:val="00030DEA"/>
    <w:rsid w:val="00033950"/>
    <w:rsid w:val="000343E7"/>
    <w:rsid w:val="00035185"/>
    <w:rsid w:val="00036A3D"/>
    <w:rsid w:val="00036EE4"/>
    <w:rsid w:val="00041469"/>
    <w:rsid w:val="0004278E"/>
    <w:rsid w:val="000435AD"/>
    <w:rsid w:val="00045AFC"/>
    <w:rsid w:val="00046F46"/>
    <w:rsid w:val="00047559"/>
    <w:rsid w:val="000523FC"/>
    <w:rsid w:val="000526E4"/>
    <w:rsid w:val="0005434D"/>
    <w:rsid w:val="0005503E"/>
    <w:rsid w:val="00055373"/>
    <w:rsid w:val="00056263"/>
    <w:rsid w:val="00056F77"/>
    <w:rsid w:val="00057AC4"/>
    <w:rsid w:val="0006048A"/>
    <w:rsid w:val="000606D4"/>
    <w:rsid w:val="00060A82"/>
    <w:rsid w:val="00060AAB"/>
    <w:rsid w:val="00060CD3"/>
    <w:rsid w:val="00064319"/>
    <w:rsid w:val="000655B2"/>
    <w:rsid w:val="00070193"/>
    <w:rsid w:val="00072E26"/>
    <w:rsid w:val="00073026"/>
    <w:rsid w:val="00073A19"/>
    <w:rsid w:val="00073F31"/>
    <w:rsid w:val="00074B13"/>
    <w:rsid w:val="00074D02"/>
    <w:rsid w:val="00077498"/>
    <w:rsid w:val="0008001F"/>
    <w:rsid w:val="00080CE0"/>
    <w:rsid w:val="00080DE3"/>
    <w:rsid w:val="00082410"/>
    <w:rsid w:val="00082ABC"/>
    <w:rsid w:val="00083ADB"/>
    <w:rsid w:val="00084231"/>
    <w:rsid w:val="00086007"/>
    <w:rsid w:val="000863E2"/>
    <w:rsid w:val="00086898"/>
    <w:rsid w:val="00086A5D"/>
    <w:rsid w:val="0008712F"/>
    <w:rsid w:val="00087A25"/>
    <w:rsid w:val="00087C41"/>
    <w:rsid w:val="00096BFA"/>
    <w:rsid w:val="000A0EC1"/>
    <w:rsid w:val="000A20D1"/>
    <w:rsid w:val="000A2B77"/>
    <w:rsid w:val="000A39F4"/>
    <w:rsid w:val="000A43F8"/>
    <w:rsid w:val="000A4419"/>
    <w:rsid w:val="000A6989"/>
    <w:rsid w:val="000B005C"/>
    <w:rsid w:val="000B01CC"/>
    <w:rsid w:val="000B0480"/>
    <w:rsid w:val="000B0615"/>
    <w:rsid w:val="000B0C12"/>
    <w:rsid w:val="000B0D42"/>
    <w:rsid w:val="000B111B"/>
    <w:rsid w:val="000B16BF"/>
    <w:rsid w:val="000B5B1E"/>
    <w:rsid w:val="000C0912"/>
    <w:rsid w:val="000C26E9"/>
    <w:rsid w:val="000C3EB5"/>
    <w:rsid w:val="000C43B6"/>
    <w:rsid w:val="000C684B"/>
    <w:rsid w:val="000C6B14"/>
    <w:rsid w:val="000C6EED"/>
    <w:rsid w:val="000C7BFE"/>
    <w:rsid w:val="000D0FA0"/>
    <w:rsid w:val="000D2A6B"/>
    <w:rsid w:val="000D3014"/>
    <w:rsid w:val="000D5E01"/>
    <w:rsid w:val="000D6393"/>
    <w:rsid w:val="000D7A39"/>
    <w:rsid w:val="000D7C12"/>
    <w:rsid w:val="000E0036"/>
    <w:rsid w:val="000E3979"/>
    <w:rsid w:val="000E3CE1"/>
    <w:rsid w:val="000E730B"/>
    <w:rsid w:val="000E73FF"/>
    <w:rsid w:val="000E7C1C"/>
    <w:rsid w:val="000F03B0"/>
    <w:rsid w:val="000F3333"/>
    <w:rsid w:val="000F4A1A"/>
    <w:rsid w:val="000F6F99"/>
    <w:rsid w:val="000F7020"/>
    <w:rsid w:val="001015C8"/>
    <w:rsid w:val="00101A24"/>
    <w:rsid w:val="00113146"/>
    <w:rsid w:val="00114F56"/>
    <w:rsid w:val="00116006"/>
    <w:rsid w:val="00116B51"/>
    <w:rsid w:val="00120BB7"/>
    <w:rsid w:val="00123D0C"/>
    <w:rsid w:val="0012410B"/>
    <w:rsid w:val="00125812"/>
    <w:rsid w:val="00126CD1"/>
    <w:rsid w:val="00127757"/>
    <w:rsid w:val="00130E8F"/>
    <w:rsid w:val="001336E3"/>
    <w:rsid w:val="001339BB"/>
    <w:rsid w:val="00136EED"/>
    <w:rsid w:val="00141B20"/>
    <w:rsid w:val="00141D39"/>
    <w:rsid w:val="00142051"/>
    <w:rsid w:val="00143437"/>
    <w:rsid w:val="00144369"/>
    <w:rsid w:val="00144ADC"/>
    <w:rsid w:val="00144BBB"/>
    <w:rsid w:val="00146FC1"/>
    <w:rsid w:val="00150932"/>
    <w:rsid w:val="00152D49"/>
    <w:rsid w:val="001575C5"/>
    <w:rsid w:val="00157E18"/>
    <w:rsid w:val="00161022"/>
    <w:rsid w:val="00161358"/>
    <w:rsid w:val="001616D8"/>
    <w:rsid w:val="001620EB"/>
    <w:rsid w:val="0016426D"/>
    <w:rsid w:val="0016538E"/>
    <w:rsid w:val="00165D46"/>
    <w:rsid w:val="00166A7A"/>
    <w:rsid w:val="00166C49"/>
    <w:rsid w:val="001674EB"/>
    <w:rsid w:val="00167EE1"/>
    <w:rsid w:val="001705C4"/>
    <w:rsid w:val="00170CAE"/>
    <w:rsid w:val="00171281"/>
    <w:rsid w:val="001712D6"/>
    <w:rsid w:val="001726B0"/>
    <w:rsid w:val="00174A13"/>
    <w:rsid w:val="00175644"/>
    <w:rsid w:val="001767C7"/>
    <w:rsid w:val="0017790B"/>
    <w:rsid w:val="00177B8E"/>
    <w:rsid w:val="001800AF"/>
    <w:rsid w:val="00180A3B"/>
    <w:rsid w:val="00180BD5"/>
    <w:rsid w:val="00180D17"/>
    <w:rsid w:val="00183D99"/>
    <w:rsid w:val="00183EB1"/>
    <w:rsid w:val="00184219"/>
    <w:rsid w:val="00185884"/>
    <w:rsid w:val="001901C1"/>
    <w:rsid w:val="00190331"/>
    <w:rsid w:val="0019141D"/>
    <w:rsid w:val="00191B67"/>
    <w:rsid w:val="00191EEC"/>
    <w:rsid w:val="00194974"/>
    <w:rsid w:val="00194CF9"/>
    <w:rsid w:val="00197273"/>
    <w:rsid w:val="001A13C8"/>
    <w:rsid w:val="001A1C61"/>
    <w:rsid w:val="001A1DFB"/>
    <w:rsid w:val="001A5694"/>
    <w:rsid w:val="001A5A1B"/>
    <w:rsid w:val="001A5BEE"/>
    <w:rsid w:val="001A6C15"/>
    <w:rsid w:val="001A7572"/>
    <w:rsid w:val="001B0726"/>
    <w:rsid w:val="001B0DF0"/>
    <w:rsid w:val="001B1A87"/>
    <w:rsid w:val="001B1BDF"/>
    <w:rsid w:val="001B24D5"/>
    <w:rsid w:val="001B2869"/>
    <w:rsid w:val="001B3F6D"/>
    <w:rsid w:val="001B3F81"/>
    <w:rsid w:val="001B41EF"/>
    <w:rsid w:val="001B4E21"/>
    <w:rsid w:val="001B4E6C"/>
    <w:rsid w:val="001B580E"/>
    <w:rsid w:val="001B674F"/>
    <w:rsid w:val="001B7122"/>
    <w:rsid w:val="001C0CF6"/>
    <w:rsid w:val="001C2214"/>
    <w:rsid w:val="001C2523"/>
    <w:rsid w:val="001C2524"/>
    <w:rsid w:val="001C41C2"/>
    <w:rsid w:val="001C4555"/>
    <w:rsid w:val="001C76A7"/>
    <w:rsid w:val="001C7929"/>
    <w:rsid w:val="001D0A46"/>
    <w:rsid w:val="001D22ED"/>
    <w:rsid w:val="001D3440"/>
    <w:rsid w:val="001D37FB"/>
    <w:rsid w:val="001D436A"/>
    <w:rsid w:val="001D53A8"/>
    <w:rsid w:val="001D7325"/>
    <w:rsid w:val="001E1A8F"/>
    <w:rsid w:val="001E1F3D"/>
    <w:rsid w:val="001F0DD3"/>
    <w:rsid w:val="001F21CB"/>
    <w:rsid w:val="001F492F"/>
    <w:rsid w:val="001F509F"/>
    <w:rsid w:val="001F5EBC"/>
    <w:rsid w:val="001F6750"/>
    <w:rsid w:val="00200311"/>
    <w:rsid w:val="002008D1"/>
    <w:rsid w:val="0020298F"/>
    <w:rsid w:val="002036AA"/>
    <w:rsid w:val="00203789"/>
    <w:rsid w:val="00205334"/>
    <w:rsid w:val="00213A98"/>
    <w:rsid w:val="00213B41"/>
    <w:rsid w:val="00213B90"/>
    <w:rsid w:val="00216DB5"/>
    <w:rsid w:val="00216F08"/>
    <w:rsid w:val="00222CA5"/>
    <w:rsid w:val="00224A1F"/>
    <w:rsid w:val="002255EA"/>
    <w:rsid w:val="002258FC"/>
    <w:rsid w:val="00226226"/>
    <w:rsid w:val="00226FD2"/>
    <w:rsid w:val="00227D78"/>
    <w:rsid w:val="00227FE4"/>
    <w:rsid w:val="002317B4"/>
    <w:rsid w:val="002331A0"/>
    <w:rsid w:val="00233DC9"/>
    <w:rsid w:val="0023447D"/>
    <w:rsid w:val="00235D19"/>
    <w:rsid w:val="0023708B"/>
    <w:rsid w:val="00237318"/>
    <w:rsid w:val="00237FE9"/>
    <w:rsid w:val="00241B79"/>
    <w:rsid w:val="00245DA0"/>
    <w:rsid w:val="00247ADA"/>
    <w:rsid w:val="00251406"/>
    <w:rsid w:val="00257836"/>
    <w:rsid w:val="0026102C"/>
    <w:rsid w:val="00263436"/>
    <w:rsid w:val="00264EEE"/>
    <w:rsid w:val="0026530E"/>
    <w:rsid w:val="00265DED"/>
    <w:rsid w:val="00265E6C"/>
    <w:rsid w:val="00266A30"/>
    <w:rsid w:val="0026794D"/>
    <w:rsid w:val="00267FAB"/>
    <w:rsid w:val="002712C8"/>
    <w:rsid w:val="002719ED"/>
    <w:rsid w:val="00271EB7"/>
    <w:rsid w:val="00272E82"/>
    <w:rsid w:val="002734A8"/>
    <w:rsid w:val="00273732"/>
    <w:rsid w:val="00273D5C"/>
    <w:rsid w:val="00273ECF"/>
    <w:rsid w:val="00275209"/>
    <w:rsid w:val="0027527B"/>
    <w:rsid w:val="00275B26"/>
    <w:rsid w:val="0027706F"/>
    <w:rsid w:val="00281580"/>
    <w:rsid w:val="00282DD1"/>
    <w:rsid w:val="00283AFA"/>
    <w:rsid w:val="00287942"/>
    <w:rsid w:val="00293689"/>
    <w:rsid w:val="0029399F"/>
    <w:rsid w:val="00293E21"/>
    <w:rsid w:val="00295264"/>
    <w:rsid w:val="00295D4E"/>
    <w:rsid w:val="00296404"/>
    <w:rsid w:val="0029649F"/>
    <w:rsid w:val="002A05D3"/>
    <w:rsid w:val="002A06C6"/>
    <w:rsid w:val="002A535E"/>
    <w:rsid w:val="002A5881"/>
    <w:rsid w:val="002A5E7A"/>
    <w:rsid w:val="002B0025"/>
    <w:rsid w:val="002B0801"/>
    <w:rsid w:val="002B1667"/>
    <w:rsid w:val="002B5324"/>
    <w:rsid w:val="002B56E7"/>
    <w:rsid w:val="002C0074"/>
    <w:rsid w:val="002C097E"/>
    <w:rsid w:val="002C1A46"/>
    <w:rsid w:val="002C2315"/>
    <w:rsid w:val="002C301D"/>
    <w:rsid w:val="002C4A38"/>
    <w:rsid w:val="002C6298"/>
    <w:rsid w:val="002C65B8"/>
    <w:rsid w:val="002C734D"/>
    <w:rsid w:val="002C744C"/>
    <w:rsid w:val="002D01BF"/>
    <w:rsid w:val="002D0FAA"/>
    <w:rsid w:val="002D2873"/>
    <w:rsid w:val="002D29F7"/>
    <w:rsid w:val="002D3E81"/>
    <w:rsid w:val="002D4AC3"/>
    <w:rsid w:val="002D52A0"/>
    <w:rsid w:val="002D6691"/>
    <w:rsid w:val="002D68CC"/>
    <w:rsid w:val="002E062E"/>
    <w:rsid w:val="002E1D30"/>
    <w:rsid w:val="002E28C6"/>
    <w:rsid w:val="002E4DB3"/>
    <w:rsid w:val="002E4F72"/>
    <w:rsid w:val="002E6030"/>
    <w:rsid w:val="002E6224"/>
    <w:rsid w:val="002E79A6"/>
    <w:rsid w:val="002F02FA"/>
    <w:rsid w:val="002F10BF"/>
    <w:rsid w:val="002F110D"/>
    <w:rsid w:val="002F32BD"/>
    <w:rsid w:val="002F4407"/>
    <w:rsid w:val="002F5A1A"/>
    <w:rsid w:val="002F6E67"/>
    <w:rsid w:val="002F70A1"/>
    <w:rsid w:val="002F71F1"/>
    <w:rsid w:val="002F7C03"/>
    <w:rsid w:val="003004B9"/>
    <w:rsid w:val="0030111A"/>
    <w:rsid w:val="00301A8D"/>
    <w:rsid w:val="003020F3"/>
    <w:rsid w:val="003038AC"/>
    <w:rsid w:val="00305726"/>
    <w:rsid w:val="00306E9B"/>
    <w:rsid w:val="003076FA"/>
    <w:rsid w:val="00310D70"/>
    <w:rsid w:val="0031105F"/>
    <w:rsid w:val="0031214B"/>
    <w:rsid w:val="00312AEE"/>
    <w:rsid w:val="00312B6A"/>
    <w:rsid w:val="00312FFA"/>
    <w:rsid w:val="003130B0"/>
    <w:rsid w:val="00313880"/>
    <w:rsid w:val="00313F3E"/>
    <w:rsid w:val="00315307"/>
    <w:rsid w:val="00315D17"/>
    <w:rsid w:val="003176BB"/>
    <w:rsid w:val="00317E1A"/>
    <w:rsid w:val="003237B0"/>
    <w:rsid w:val="0032503F"/>
    <w:rsid w:val="003258CB"/>
    <w:rsid w:val="003262CE"/>
    <w:rsid w:val="003264ED"/>
    <w:rsid w:val="003308B4"/>
    <w:rsid w:val="00333209"/>
    <w:rsid w:val="00334A4E"/>
    <w:rsid w:val="003352EF"/>
    <w:rsid w:val="003424A8"/>
    <w:rsid w:val="003425F7"/>
    <w:rsid w:val="00343012"/>
    <w:rsid w:val="00343233"/>
    <w:rsid w:val="003434C1"/>
    <w:rsid w:val="00343A82"/>
    <w:rsid w:val="00343B25"/>
    <w:rsid w:val="003441E3"/>
    <w:rsid w:val="003445EA"/>
    <w:rsid w:val="00351EC0"/>
    <w:rsid w:val="00352990"/>
    <w:rsid w:val="00353113"/>
    <w:rsid w:val="00353518"/>
    <w:rsid w:val="003613F4"/>
    <w:rsid w:val="00361819"/>
    <w:rsid w:val="00362FE1"/>
    <w:rsid w:val="00363B32"/>
    <w:rsid w:val="00363DCE"/>
    <w:rsid w:val="00364E9D"/>
    <w:rsid w:val="00365680"/>
    <w:rsid w:val="00366A1A"/>
    <w:rsid w:val="00367B6E"/>
    <w:rsid w:val="00370B2E"/>
    <w:rsid w:val="00372D68"/>
    <w:rsid w:val="0037447C"/>
    <w:rsid w:val="0037458C"/>
    <w:rsid w:val="00374E9A"/>
    <w:rsid w:val="00381DB8"/>
    <w:rsid w:val="003826A0"/>
    <w:rsid w:val="00382F2E"/>
    <w:rsid w:val="00383462"/>
    <w:rsid w:val="00383885"/>
    <w:rsid w:val="00385683"/>
    <w:rsid w:val="00386DD1"/>
    <w:rsid w:val="00387CA4"/>
    <w:rsid w:val="003911B4"/>
    <w:rsid w:val="0039155B"/>
    <w:rsid w:val="0039299C"/>
    <w:rsid w:val="003940AB"/>
    <w:rsid w:val="00395750"/>
    <w:rsid w:val="0039581F"/>
    <w:rsid w:val="00396861"/>
    <w:rsid w:val="0039783E"/>
    <w:rsid w:val="003A0009"/>
    <w:rsid w:val="003A0ADF"/>
    <w:rsid w:val="003A4360"/>
    <w:rsid w:val="003A5878"/>
    <w:rsid w:val="003A76E4"/>
    <w:rsid w:val="003B04F5"/>
    <w:rsid w:val="003B09F2"/>
    <w:rsid w:val="003B1384"/>
    <w:rsid w:val="003B35B8"/>
    <w:rsid w:val="003B366A"/>
    <w:rsid w:val="003B4A9D"/>
    <w:rsid w:val="003B4B13"/>
    <w:rsid w:val="003B4D2C"/>
    <w:rsid w:val="003B53A6"/>
    <w:rsid w:val="003C0785"/>
    <w:rsid w:val="003C1764"/>
    <w:rsid w:val="003C3AD0"/>
    <w:rsid w:val="003C3C23"/>
    <w:rsid w:val="003C56BA"/>
    <w:rsid w:val="003C722C"/>
    <w:rsid w:val="003C7985"/>
    <w:rsid w:val="003C7CAC"/>
    <w:rsid w:val="003D20ED"/>
    <w:rsid w:val="003D35FE"/>
    <w:rsid w:val="003D3A19"/>
    <w:rsid w:val="003D4ED7"/>
    <w:rsid w:val="003D6531"/>
    <w:rsid w:val="003E017A"/>
    <w:rsid w:val="003E08DB"/>
    <w:rsid w:val="003E1FAF"/>
    <w:rsid w:val="003E20B9"/>
    <w:rsid w:val="003E3836"/>
    <w:rsid w:val="003E39B9"/>
    <w:rsid w:val="003E4AC8"/>
    <w:rsid w:val="003E4BB4"/>
    <w:rsid w:val="003E56CD"/>
    <w:rsid w:val="003E68FB"/>
    <w:rsid w:val="003E7F60"/>
    <w:rsid w:val="003F14AC"/>
    <w:rsid w:val="003F27A7"/>
    <w:rsid w:val="003F2D09"/>
    <w:rsid w:val="003F34BF"/>
    <w:rsid w:val="003F37EA"/>
    <w:rsid w:val="003F4110"/>
    <w:rsid w:val="003F47F5"/>
    <w:rsid w:val="003F59CC"/>
    <w:rsid w:val="003F5E57"/>
    <w:rsid w:val="003F5F9D"/>
    <w:rsid w:val="003F624E"/>
    <w:rsid w:val="003F7652"/>
    <w:rsid w:val="003F7EDA"/>
    <w:rsid w:val="00401D87"/>
    <w:rsid w:val="00402BF8"/>
    <w:rsid w:val="00403755"/>
    <w:rsid w:val="0040571A"/>
    <w:rsid w:val="00406227"/>
    <w:rsid w:val="00407D3B"/>
    <w:rsid w:val="00414F43"/>
    <w:rsid w:val="00415CC4"/>
    <w:rsid w:val="00415FD6"/>
    <w:rsid w:val="0041696F"/>
    <w:rsid w:val="00420D4C"/>
    <w:rsid w:val="00423B79"/>
    <w:rsid w:val="004240D2"/>
    <w:rsid w:val="00424ADF"/>
    <w:rsid w:val="004303B8"/>
    <w:rsid w:val="004312B1"/>
    <w:rsid w:val="00431677"/>
    <w:rsid w:val="00433183"/>
    <w:rsid w:val="00433AED"/>
    <w:rsid w:val="00435F4A"/>
    <w:rsid w:val="00437C49"/>
    <w:rsid w:val="0044117C"/>
    <w:rsid w:val="004418F2"/>
    <w:rsid w:val="00443662"/>
    <w:rsid w:val="00444039"/>
    <w:rsid w:val="00444BCD"/>
    <w:rsid w:val="00444E78"/>
    <w:rsid w:val="004455A5"/>
    <w:rsid w:val="00445911"/>
    <w:rsid w:val="00445F4D"/>
    <w:rsid w:val="00446050"/>
    <w:rsid w:val="004463C3"/>
    <w:rsid w:val="00446FC1"/>
    <w:rsid w:val="00447C26"/>
    <w:rsid w:val="00447F1A"/>
    <w:rsid w:val="0045085A"/>
    <w:rsid w:val="00450CBA"/>
    <w:rsid w:val="0045110A"/>
    <w:rsid w:val="0045237C"/>
    <w:rsid w:val="00455363"/>
    <w:rsid w:val="00455FE0"/>
    <w:rsid w:val="00456B8F"/>
    <w:rsid w:val="004574C4"/>
    <w:rsid w:val="00457A91"/>
    <w:rsid w:val="004604E9"/>
    <w:rsid w:val="00460A55"/>
    <w:rsid w:val="0046180A"/>
    <w:rsid w:val="00462BC6"/>
    <w:rsid w:val="00463FEB"/>
    <w:rsid w:val="00470C11"/>
    <w:rsid w:val="00471759"/>
    <w:rsid w:val="0047175C"/>
    <w:rsid w:val="004721E0"/>
    <w:rsid w:val="00472C4B"/>
    <w:rsid w:val="00472F9C"/>
    <w:rsid w:val="00473803"/>
    <w:rsid w:val="0047483F"/>
    <w:rsid w:val="00476857"/>
    <w:rsid w:val="00476B4E"/>
    <w:rsid w:val="00477434"/>
    <w:rsid w:val="0047782F"/>
    <w:rsid w:val="004828C6"/>
    <w:rsid w:val="00484675"/>
    <w:rsid w:val="00484F33"/>
    <w:rsid w:val="004869CF"/>
    <w:rsid w:val="00487545"/>
    <w:rsid w:val="00490239"/>
    <w:rsid w:val="00490B1D"/>
    <w:rsid w:val="00490C17"/>
    <w:rsid w:val="004911B9"/>
    <w:rsid w:val="00491DC5"/>
    <w:rsid w:val="00492871"/>
    <w:rsid w:val="004929EC"/>
    <w:rsid w:val="004935F6"/>
    <w:rsid w:val="00493B10"/>
    <w:rsid w:val="00493F24"/>
    <w:rsid w:val="00495017"/>
    <w:rsid w:val="0049615F"/>
    <w:rsid w:val="004971EF"/>
    <w:rsid w:val="004A2043"/>
    <w:rsid w:val="004A6D51"/>
    <w:rsid w:val="004B03BE"/>
    <w:rsid w:val="004B1950"/>
    <w:rsid w:val="004B2839"/>
    <w:rsid w:val="004B300A"/>
    <w:rsid w:val="004B3C51"/>
    <w:rsid w:val="004B4B2B"/>
    <w:rsid w:val="004B4E7B"/>
    <w:rsid w:val="004B7418"/>
    <w:rsid w:val="004B780C"/>
    <w:rsid w:val="004C0A27"/>
    <w:rsid w:val="004C0FBA"/>
    <w:rsid w:val="004C1080"/>
    <w:rsid w:val="004C118D"/>
    <w:rsid w:val="004C2B29"/>
    <w:rsid w:val="004C3F7B"/>
    <w:rsid w:val="004C542E"/>
    <w:rsid w:val="004C5733"/>
    <w:rsid w:val="004C5A27"/>
    <w:rsid w:val="004C78C4"/>
    <w:rsid w:val="004D2B4B"/>
    <w:rsid w:val="004D2B88"/>
    <w:rsid w:val="004D2E01"/>
    <w:rsid w:val="004D2EB8"/>
    <w:rsid w:val="004D3A3F"/>
    <w:rsid w:val="004D4CCD"/>
    <w:rsid w:val="004D4F06"/>
    <w:rsid w:val="004D512D"/>
    <w:rsid w:val="004D5331"/>
    <w:rsid w:val="004D58A1"/>
    <w:rsid w:val="004D5F74"/>
    <w:rsid w:val="004D6ED4"/>
    <w:rsid w:val="004D7081"/>
    <w:rsid w:val="004D7829"/>
    <w:rsid w:val="004E1004"/>
    <w:rsid w:val="004E10E0"/>
    <w:rsid w:val="004E198A"/>
    <w:rsid w:val="004E2A32"/>
    <w:rsid w:val="004E3F7E"/>
    <w:rsid w:val="004E67E6"/>
    <w:rsid w:val="004E759F"/>
    <w:rsid w:val="004F19CD"/>
    <w:rsid w:val="004F1F6E"/>
    <w:rsid w:val="004F245D"/>
    <w:rsid w:val="004F5E93"/>
    <w:rsid w:val="004F603D"/>
    <w:rsid w:val="004F6545"/>
    <w:rsid w:val="004F6D32"/>
    <w:rsid w:val="004F6FC8"/>
    <w:rsid w:val="004F710D"/>
    <w:rsid w:val="004F79B1"/>
    <w:rsid w:val="0050046F"/>
    <w:rsid w:val="00500EEF"/>
    <w:rsid w:val="005015CE"/>
    <w:rsid w:val="00501BD9"/>
    <w:rsid w:val="005041A7"/>
    <w:rsid w:val="00504E3C"/>
    <w:rsid w:val="00506456"/>
    <w:rsid w:val="00506825"/>
    <w:rsid w:val="00506FA2"/>
    <w:rsid w:val="00507196"/>
    <w:rsid w:val="005103B1"/>
    <w:rsid w:val="0051343D"/>
    <w:rsid w:val="00513EFD"/>
    <w:rsid w:val="00515680"/>
    <w:rsid w:val="00516410"/>
    <w:rsid w:val="005173F5"/>
    <w:rsid w:val="00517D7F"/>
    <w:rsid w:val="00517E7D"/>
    <w:rsid w:val="00520779"/>
    <w:rsid w:val="005225D5"/>
    <w:rsid w:val="00522BC1"/>
    <w:rsid w:val="00523558"/>
    <w:rsid w:val="00523AAC"/>
    <w:rsid w:val="00523CF5"/>
    <w:rsid w:val="005246FD"/>
    <w:rsid w:val="00525A4C"/>
    <w:rsid w:val="00525C51"/>
    <w:rsid w:val="00530417"/>
    <w:rsid w:val="00530B0F"/>
    <w:rsid w:val="0053209F"/>
    <w:rsid w:val="005321B7"/>
    <w:rsid w:val="005328C3"/>
    <w:rsid w:val="00532FDA"/>
    <w:rsid w:val="0053379A"/>
    <w:rsid w:val="005337D5"/>
    <w:rsid w:val="0053679A"/>
    <w:rsid w:val="00536A13"/>
    <w:rsid w:val="0054067C"/>
    <w:rsid w:val="00541C62"/>
    <w:rsid w:val="00543754"/>
    <w:rsid w:val="005437B7"/>
    <w:rsid w:val="00543E03"/>
    <w:rsid w:val="00545F4F"/>
    <w:rsid w:val="00545F60"/>
    <w:rsid w:val="00547405"/>
    <w:rsid w:val="00547754"/>
    <w:rsid w:val="0054782B"/>
    <w:rsid w:val="0055051C"/>
    <w:rsid w:val="00550BD7"/>
    <w:rsid w:val="005520E3"/>
    <w:rsid w:val="005536BC"/>
    <w:rsid w:val="00554B2A"/>
    <w:rsid w:val="00554B2F"/>
    <w:rsid w:val="00557118"/>
    <w:rsid w:val="005612C1"/>
    <w:rsid w:val="00561CB5"/>
    <w:rsid w:val="0056357E"/>
    <w:rsid w:val="00563B07"/>
    <w:rsid w:val="00564874"/>
    <w:rsid w:val="00564AF6"/>
    <w:rsid w:val="00566834"/>
    <w:rsid w:val="005668F0"/>
    <w:rsid w:val="005677E2"/>
    <w:rsid w:val="0057019F"/>
    <w:rsid w:val="005704E5"/>
    <w:rsid w:val="00570549"/>
    <w:rsid w:val="00571BA5"/>
    <w:rsid w:val="00572BA1"/>
    <w:rsid w:val="00573B85"/>
    <w:rsid w:val="00574342"/>
    <w:rsid w:val="005754DE"/>
    <w:rsid w:val="00576798"/>
    <w:rsid w:val="00577C67"/>
    <w:rsid w:val="00580450"/>
    <w:rsid w:val="00580CDE"/>
    <w:rsid w:val="005815CA"/>
    <w:rsid w:val="00582DC6"/>
    <w:rsid w:val="00584112"/>
    <w:rsid w:val="00585F5E"/>
    <w:rsid w:val="00586DC7"/>
    <w:rsid w:val="00590BD9"/>
    <w:rsid w:val="00590D92"/>
    <w:rsid w:val="00593561"/>
    <w:rsid w:val="005940A1"/>
    <w:rsid w:val="00596392"/>
    <w:rsid w:val="005969D9"/>
    <w:rsid w:val="00597DFE"/>
    <w:rsid w:val="00597EC6"/>
    <w:rsid w:val="00597FAF"/>
    <w:rsid w:val="005A13E7"/>
    <w:rsid w:val="005A196E"/>
    <w:rsid w:val="005A3D06"/>
    <w:rsid w:val="005A3DA9"/>
    <w:rsid w:val="005A6A63"/>
    <w:rsid w:val="005A6CC1"/>
    <w:rsid w:val="005A6CCD"/>
    <w:rsid w:val="005A7107"/>
    <w:rsid w:val="005B174D"/>
    <w:rsid w:val="005B29AF"/>
    <w:rsid w:val="005B39D2"/>
    <w:rsid w:val="005B3B36"/>
    <w:rsid w:val="005B414B"/>
    <w:rsid w:val="005B545C"/>
    <w:rsid w:val="005B55F8"/>
    <w:rsid w:val="005B5924"/>
    <w:rsid w:val="005B6561"/>
    <w:rsid w:val="005C0453"/>
    <w:rsid w:val="005C10C5"/>
    <w:rsid w:val="005C157E"/>
    <w:rsid w:val="005C21D1"/>
    <w:rsid w:val="005C24B6"/>
    <w:rsid w:val="005C29FA"/>
    <w:rsid w:val="005C611D"/>
    <w:rsid w:val="005C6EDB"/>
    <w:rsid w:val="005D0763"/>
    <w:rsid w:val="005D0FD8"/>
    <w:rsid w:val="005D2127"/>
    <w:rsid w:val="005D3791"/>
    <w:rsid w:val="005D3DE0"/>
    <w:rsid w:val="005D4C84"/>
    <w:rsid w:val="005D57F3"/>
    <w:rsid w:val="005D67EA"/>
    <w:rsid w:val="005D6FD1"/>
    <w:rsid w:val="005E02EB"/>
    <w:rsid w:val="005E0B96"/>
    <w:rsid w:val="005E4156"/>
    <w:rsid w:val="005E61BD"/>
    <w:rsid w:val="005E7559"/>
    <w:rsid w:val="005F129D"/>
    <w:rsid w:val="005F1AF8"/>
    <w:rsid w:val="005F2C40"/>
    <w:rsid w:val="005F4DCE"/>
    <w:rsid w:val="00601400"/>
    <w:rsid w:val="00601584"/>
    <w:rsid w:val="0060184B"/>
    <w:rsid w:val="00601A52"/>
    <w:rsid w:val="00601BDE"/>
    <w:rsid w:val="00602E73"/>
    <w:rsid w:val="00603627"/>
    <w:rsid w:val="006036A6"/>
    <w:rsid w:val="00603E2B"/>
    <w:rsid w:val="00603FA8"/>
    <w:rsid w:val="0060433F"/>
    <w:rsid w:val="006050DD"/>
    <w:rsid w:val="006057D8"/>
    <w:rsid w:val="006062EF"/>
    <w:rsid w:val="0061025C"/>
    <w:rsid w:val="00612D19"/>
    <w:rsid w:val="0061317B"/>
    <w:rsid w:val="00613972"/>
    <w:rsid w:val="006141B0"/>
    <w:rsid w:val="006159F2"/>
    <w:rsid w:val="00615E70"/>
    <w:rsid w:val="006170F2"/>
    <w:rsid w:val="00617398"/>
    <w:rsid w:val="0061761D"/>
    <w:rsid w:val="006207E9"/>
    <w:rsid w:val="00621E70"/>
    <w:rsid w:val="006232DE"/>
    <w:rsid w:val="00626B7E"/>
    <w:rsid w:val="00632BA7"/>
    <w:rsid w:val="00632C89"/>
    <w:rsid w:val="00632E8C"/>
    <w:rsid w:val="00634F11"/>
    <w:rsid w:val="006359F5"/>
    <w:rsid w:val="00635A18"/>
    <w:rsid w:val="006362C2"/>
    <w:rsid w:val="006377D3"/>
    <w:rsid w:val="006377E5"/>
    <w:rsid w:val="00637BB7"/>
    <w:rsid w:val="00642ADD"/>
    <w:rsid w:val="00643368"/>
    <w:rsid w:val="0064402C"/>
    <w:rsid w:val="006445A2"/>
    <w:rsid w:val="00645C45"/>
    <w:rsid w:val="00646179"/>
    <w:rsid w:val="006464FD"/>
    <w:rsid w:val="0064671E"/>
    <w:rsid w:val="0064763A"/>
    <w:rsid w:val="00652A1F"/>
    <w:rsid w:val="006544DB"/>
    <w:rsid w:val="00656647"/>
    <w:rsid w:val="0065713B"/>
    <w:rsid w:val="0065713C"/>
    <w:rsid w:val="0065773E"/>
    <w:rsid w:val="00660B1F"/>
    <w:rsid w:val="00662194"/>
    <w:rsid w:val="00663B17"/>
    <w:rsid w:val="0066578A"/>
    <w:rsid w:val="00666A40"/>
    <w:rsid w:val="00671103"/>
    <w:rsid w:val="00671424"/>
    <w:rsid w:val="00671A52"/>
    <w:rsid w:val="006724C6"/>
    <w:rsid w:val="006755C1"/>
    <w:rsid w:val="006772A7"/>
    <w:rsid w:val="006772CA"/>
    <w:rsid w:val="00677EE9"/>
    <w:rsid w:val="006822DA"/>
    <w:rsid w:val="00682473"/>
    <w:rsid w:val="006829A8"/>
    <w:rsid w:val="00682FBC"/>
    <w:rsid w:val="00683A57"/>
    <w:rsid w:val="00683B86"/>
    <w:rsid w:val="0068449E"/>
    <w:rsid w:val="00684A4C"/>
    <w:rsid w:val="006873EA"/>
    <w:rsid w:val="00692162"/>
    <w:rsid w:val="00693024"/>
    <w:rsid w:val="00694ABE"/>
    <w:rsid w:val="00694E49"/>
    <w:rsid w:val="00695296"/>
    <w:rsid w:val="006A0E74"/>
    <w:rsid w:val="006A0FE1"/>
    <w:rsid w:val="006A218F"/>
    <w:rsid w:val="006A2DA7"/>
    <w:rsid w:val="006A3F76"/>
    <w:rsid w:val="006A4054"/>
    <w:rsid w:val="006A40A1"/>
    <w:rsid w:val="006A4D3E"/>
    <w:rsid w:val="006A5C00"/>
    <w:rsid w:val="006A6165"/>
    <w:rsid w:val="006A6392"/>
    <w:rsid w:val="006A7E28"/>
    <w:rsid w:val="006B034C"/>
    <w:rsid w:val="006B2116"/>
    <w:rsid w:val="006B2982"/>
    <w:rsid w:val="006B4903"/>
    <w:rsid w:val="006C0A4C"/>
    <w:rsid w:val="006C1B43"/>
    <w:rsid w:val="006C1D7C"/>
    <w:rsid w:val="006C4D79"/>
    <w:rsid w:val="006C5967"/>
    <w:rsid w:val="006C6FA2"/>
    <w:rsid w:val="006C7000"/>
    <w:rsid w:val="006C7763"/>
    <w:rsid w:val="006D012B"/>
    <w:rsid w:val="006D12A7"/>
    <w:rsid w:val="006D2BD5"/>
    <w:rsid w:val="006D3ECE"/>
    <w:rsid w:val="006D4E45"/>
    <w:rsid w:val="006D4E73"/>
    <w:rsid w:val="006D5350"/>
    <w:rsid w:val="006E0317"/>
    <w:rsid w:val="006E0511"/>
    <w:rsid w:val="006E12C1"/>
    <w:rsid w:val="006E423D"/>
    <w:rsid w:val="006E5580"/>
    <w:rsid w:val="006E75C6"/>
    <w:rsid w:val="006E7DC2"/>
    <w:rsid w:val="006F0263"/>
    <w:rsid w:val="006F0D73"/>
    <w:rsid w:val="006F1342"/>
    <w:rsid w:val="006F3D80"/>
    <w:rsid w:val="006F3EF5"/>
    <w:rsid w:val="006F49F0"/>
    <w:rsid w:val="00702E8D"/>
    <w:rsid w:val="0070360B"/>
    <w:rsid w:val="00704726"/>
    <w:rsid w:val="007053E7"/>
    <w:rsid w:val="00705884"/>
    <w:rsid w:val="00705BD1"/>
    <w:rsid w:val="007063F2"/>
    <w:rsid w:val="00706E77"/>
    <w:rsid w:val="00707B2E"/>
    <w:rsid w:val="00710B00"/>
    <w:rsid w:val="00711471"/>
    <w:rsid w:val="00716DEA"/>
    <w:rsid w:val="0072105B"/>
    <w:rsid w:val="00723508"/>
    <w:rsid w:val="007276CD"/>
    <w:rsid w:val="0073286C"/>
    <w:rsid w:val="007328CC"/>
    <w:rsid w:val="007330DF"/>
    <w:rsid w:val="00735070"/>
    <w:rsid w:val="00735AD3"/>
    <w:rsid w:val="007404F6"/>
    <w:rsid w:val="00741A9D"/>
    <w:rsid w:val="00742222"/>
    <w:rsid w:val="00743EA9"/>
    <w:rsid w:val="0074529C"/>
    <w:rsid w:val="0074551C"/>
    <w:rsid w:val="00747ECC"/>
    <w:rsid w:val="00750BF8"/>
    <w:rsid w:val="00750E2F"/>
    <w:rsid w:val="007515BC"/>
    <w:rsid w:val="00753328"/>
    <w:rsid w:val="00753433"/>
    <w:rsid w:val="00754E11"/>
    <w:rsid w:val="00755551"/>
    <w:rsid w:val="00755797"/>
    <w:rsid w:val="00756097"/>
    <w:rsid w:val="007616AF"/>
    <w:rsid w:val="00764F3A"/>
    <w:rsid w:val="00765CC1"/>
    <w:rsid w:val="007669BA"/>
    <w:rsid w:val="007712EA"/>
    <w:rsid w:val="00773ACD"/>
    <w:rsid w:val="007768C5"/>
    <w:rsid w:val="007773BD"/>
    <w:rsid w:val="00777B72"/>
    <w:rsid w:val="00777EEE"/>
    <w:rsid w:val="007811C0"/>
    <w:rsid w:val="007819CF"/>
    <w:rsid w:val="00783657"/>
    <w:rsid w:val="00784745"/>
    <w:rsid w:val="00785526"/>
    <w:rsid w:val="00786840"/>
    <w:rsid w:val="00791304"/>
    <w:rsid w:val="00791677"/>
    <w:rsid w:val="00791E8E"/>
    <w:rsid w:val="007931A9"/>
    <w:rsid w:val="007935C1"/>
    <w:rsid w:val="00794AB6"/>
    <w:rsid w:val="00794E52"/>
    <w:rsid w:val="00794E6C"/>
    <w:rsid w:val="007952A7"/>
    <w:rsid w:val="00796982"/>
    <w:rsid w:val="007973A8"/>
    <w:rsid w:val="007A02C7"/>
    <w:rsid w:val="007A1334"/>
    <w:rsid w:val="007A2C70"/>
    <w:rsid w:val="007A375D"/>
    <w:rsid w:val="007A3BCB"/>
    <w:rsid w:val="007A4CBF"/>
    <w:rsid w:val="007A5456"/>
    <w:rsid w:val="007A5826"/>
    <w:rsid w:val="007A657A"/>
    <w:rsid w:val="007B249F"/>
    <w:rsid w:val="007B4330"/>
    <w:rsid w:val="007B435A"/>
    <w:rsid w:val="007B57C2"/>
    <w:rsid w:val="007B5D7E"/>
    <w:rsid w:val="007C17B1"/>
    <w:rsid w:val="007C43BB"/>
    <w:rsid w:val="007C6ED9"/>
    <w:rsid w:val="007D1D13"/>
    <w:rsid w:val="007D36F2"/>
    <w:rsid w:val="007D3B6C"/>
    <w:rsid w:val="007D3F11"/>
    <w:rsid w:val="007D57DC"/>
    <w:rsid w:val="007E00A1"/>
    <w:rsid w:val="007E2BB1"/>
    <w:rsid w:val="007E2F2D"/>
    <w:rsid w:val="007E3A3A"/>
    <w:rsid w:val="007E6D47"/>
    <w:rsid w:val="007E71C7"/>
    <w:rsid w:val="007E7E13"/>
    <w:rsid w:val="007F0096"/>
    <w:rsid w:val="007F2BB3"/>
    <w:rsid w:val="007F35FA"/>
    <w:rsid w:val="007F3724"/>
    <w:rsid w:val="007F4330"/>
    <w:rsid w:val="007F45A7"/>
    <w:rsid w:val="007F4C1B"/>
    <w:rsid w:val="007F62A9"/>
    <w:rsid w:val="007F6D9C"/>
    <w:rsid w:val="007F6DE7"/>
    <w:rsid w:val="008007C3"/>
    <w:rsid w:val="008022F1"/>
    <w:rsid w:val="0080288A"/>
    <w:rsid w:val="00802E2A"/>
    <w:rsid w:val="00803569"/>
    <w:rsid w:val="008049CE"/>
    <w:rsid w:val="008053CC"/>
    <w:rsid w:val="00807058"/>
    <w:rsid w:val="0080739F"/>
    <w:rsid w:val="0080758E"/>
    <w:rsid w:val="0081025E"/>
    <w:rsid w:val="008124E6"/>
    <w:rsid w:val="00812B72"/>
    <w:rsid w:val="00813360"/>
    <w:rsid w:val="00813620"/>
    <w:rsid w:val="00813A36"/>
    <w:rsid w:val="00816F3A"/>
    <w:rsid w:val="008171ED"/>
    <w:rsid w:val="0081795A"/>
    <w:rsid w:val="00820A32"/>
    <w:rsid w:val="00820A94"/>
    <w:rsid w:val="008230AC"/>
    <w:rsid w:val="00823B52"/>
    <w:rsid w:val="00823B90"/>
    <w:rsid w:val="00831ACA"/>
    <w:rsid w:val="00831AD5"/>
    <w:rsid w:val="00831BAA"/>
    <w:rsid w:val="00831E32"/>
    <w:rsid w:val="00833E65"/>
    <w:rsid w:val="00834C7B"/>
    <w:rsid w:val="00835E6B"/>
    <w:rsid w:val="00836367"/>
    <w:rsid w:val="008375CF"/>
    <w:rsid w:val="00841A7D"/>
    <w:rsid w:val="00843D20"/>
    <w:rsid w:val="00844454"/>
    <w:rsid w:val="00847192"/>
    <w:rsid w:val="0084731D"/>
    <w:rsid w:val="00850142"/>
    <w:rsid w:val="008511D0"/>
    <w:rsid w:val="00855476"/>
    <w:rsid w:val="00857420"/>
    <w:rsid w:val="0085773A"/>
    <w:rsid w:val="0086022F"/>
    <w:rsid w:val="008603F1"/>
    <w:rsid w:val="00860CCE"/>
    <w:rsid w:val="00862540"/>
    <w:rsid w:val="00862551"/>
    <w:rsid w:val="0086294E"/>
    <w:rsid w:val="00863459"/>
    <w:rsid w:val="008637E1"/>
    <w:rsid w:val="008647E5"/>
    <w:rsid w:val="00864CE2"/>
    <w:rsid w:val="0086549C"/>
    <w:rsid w:val="00867800"/>
    <w:rsid w:val="00867E68"/>
    <w:rsid w:val="00871BAB"/>
    <w:rsid w:val="0087340F"/>
    <w:rsid w:val="00873D37"/>
    <w:rsid w:val="00876879"/>
    <w:rsid w:val="008813DA"/>
    <w:rsid w:val="0088302D"/>
    <w:rsid w:val="008830FE"/>
    <w:rsid w:val="008831E9"/>
    <w:rsid w:val="008841C7"/>
    <w:rsid w:val="00885271"/>
    <w:rsid w:val="0088541D"/>
    <w:rsid w:val="00885C28"/>
    <w:rsid w:val="00885F6B"/>
    <w:rsid w:val="0088727E"/>
    <w:rsid w:val="00887803"/>
    <w:rsid w:val="008879AA"/>
    <w:rsid w:val="00887EC9"/>
    <w:rsid w:val="00890222"/>
    <w:rsid w:val="0089030A"/>
    <w:rsid w:val="00891481"/>
    <w:rsid w:val="00893A34"/>
    <w:rsid w:val="00893F1F"/>
    <w:rsid w:val="008940D1"/>
    <w:rsid w:val="00897964"/>
    <w:rsid w:val="008A068F"/>
    <w:rsid w:val="008A2903"/>
    <w:rsid w:val="008A2ECB"/>
    <w:rsid w:val="008A41D1"/>
    <w:rsid w:val="008A6B32"/>
    <w:rsid w:val="008A7DEB"/>
    <w:rsid w:val="008B39F2"/>
    <w:rsid w:val="008B3AAD"/>
    <w:rsid w:val="008B7CC7"/>
    <w:rsid w:val="008C0BAD"/>
    <w:rsid w:val="008C1654"/>
    <w:rsid w:val="008C2E66"/>
    <w:rsid w:val="008C3CF3"/>
    <w:rsid w:val="008C4059"/>
    <w:rsid w:val="008C5061"/>
    <w:rsid w:val="008C5480"/>
    <w:rsid w:val="008D2845"/>
    <w:rsid w:val="008D321E"/>
    <w:rsid w:val="008D4069"/>
    <w:rsid w:val="008D4C74"/>
    <w:rsid w:val="008D578D"/>
    <w:rsid w:val="008D5CD9"/>
    <w:rsid w:val="008D607D"/>
    <w:rsid w:val="008E0799"/>
    <w:rsid w:val="008E144C"/>
    <w:rsid w:val="008E1524"/>
    <w:rsid w:val="008E1751"/>
    <w:rsid w:val="008E33C8"/>
    <w:rsid w:val="008E35D5"/>
    <w:rsid w:val="008E499D"/>
    <w:rsid w:val="008F078B"/>
    <w:rsid w:val="008F0B1E"/>
    <w:rsid w:val="008F1742"/>
    <w:rsid w:val="008F45DD"/>
    <w:rsid w:val="008F524F"/>
    <w:rsid w:val="008F546B"/>
    <w:rsid w:val="008F5DBA"/>
    <w:rsid w:val="008F6645"/>
    <w:rsid w:val="008F7F2D"/>
    <w:rsid w:val="009011FA"/>
    <w:rsid w:val="00901BF8"/>
    <w:rsid w:val="00903A46"/>
    <w:rsid w:val="009062B0"/>
    <w:rsid w:val="00907276"/>
    <w:rsid w:val="00907C3E"/>
    <w:rsid w:val="00907EF1"/>
    <w:rsid w:val="009112D6"/>
    <w:rsid w:val="00911779"/>
    <w:rsid w:val="00912583"/>
    <w:rsid w:val="0091537A"/>
    <w:rsid w:val="0091613C"/>
    <w:rsid w:val="00916DBB"/>
    <w:rsid w:val="00917703"/>
    <w:rsid w:val="00921613"/>
    <w:rsid w:val="00921AD9"/>
    <w:rsid w:val="00921C39"/>
    <w:rsid w:val="00922DFB"/>
    <w:rsid w:val="0092447C"/>
    <w:rsid w:val="00924B0E"/>
    <w:rsid w:val="00924DAD"/>
    <w:rsid w:val="00924EF9"/>
    <w:rsid w:val="00926B17"/>
    <w:rsid w:val="00931139"/>
    <w:rsid w:val="00931186"/>
    <w:rsid w:val="00931C60"/>
    <w:rsid w:val="00932080"/>
    <w:rsid w:val="00932330"/>
    <w:rsid w:val="00932469"/>
    <w:rsid w:val="009366A0"/>
    <w:rsid w:val="0093738F"/>
    <w:rsid w:val="009407EE"/>
    <w:rsid w:val="00940A5A"/>
    <w:rsid w:val="00941BF1"/>
    <w:rsid w:val="009430BC"/>
    <w:rsid w:val="00943A2D"/>
    <w:rsid w:val="00943B26"/>
    <w:rsid w:val="0095001D"/>
    <w:rsid w:val="009502A4"/>
    <w:rsid w:val="00950357"/>
    <w:rsid w:val="00951D9B"/>
    <w:rsid w:val="0095200D"/>
    <w:rsid w:val="009542D3"/>
    <w:rsid w:val="00956DA6"/>
    <w:rsid w:val="009575E3"/>
    <w:rsid w:val="00957F52"/>
    <w:rsid w:val="00960387"/>
    <w:rsid w:val="00961C3D"/>
    <w:rsid w:val="00961DC0"/>
    <w:rsid w:val="00962484"/>
    <w:rsid w:val="0096278C"/>
    <w:rsid w:val="00962E83"/>
    <w:rsid w:val="009643C4"/>
    <w:rsid w:val="00966434"/>
    <w:rsid w:val="00966D74"/>
    <w:rsid w:val="00967BAA"/>
    <w:rsid w:val="00970DF3"/>
    <w:rsid w:val="00971675"/>
    <w:rsid w:val="00972B5F"/>
    <w:rsid w:val="00974664"/>
    <w:rsid w:val="00975870"/>
    <w:rsid w:val="00975CDC"/>
    <w:rsid w:val="009768F2"/>
    <w:rsid w:val="00981A56"/>
    <w:rsid w:val="00983242"/>
    <w:rsid w:val="00984467"/>
    <w:rsid w:val="0098563C"/>
    <w:rsid w:val="0098603E"/>
    <w:rsid w:val="00986F53"/>
    <w:rsid w:val="0099053A"/>
    <w:rsid w:val="009918E8"/>
    <w:rsid w:val="00991ACC"/>
    <w:rsid w:val="009921F2"/>
    <w:rsid w:val="00992345"/>
    <w:rsid w:val="0099604A"/>
    <w:rsid w:val="009962FE"/>
    <w:rsid w:val="00997E46"/>
    <w:rsid w:val="009A0E5A"/>
    <w:rsid w:val="009A131E"/>
    <w:rsid w:val="009A2C24"/>
    <w:rsid w:val="009A5EF5"/>
    <w:rsid w:val="009A6068"/>
    <w:rsid w:val="009B1209"/>
    <w:rsid w:val="009B3F9B"/>
    <w:rsid w:val="009B4464"/>
    <w:rsid w:val="009B5ED9"/>
    <w:rsid w:val="009B687E"/>
    <w:rsid w:val="009B78C5"/>
    <w:rsid w:val="009C1395"/>
    <w:rsid w:val="009C4DC5"/>
    <w:rsid w:val="009C5262"/>
    <w:rsid w:val="009C5500"/>
    <w:rsid w:val="009C6B0A"/>
    <w:rsid w:val="009D5865"/>
    <w:rsid w:val="009D5E4C"/>
    <w:rsid w:val="009D6D25"/>
    <w:rsid w:val="009E03FB"/>
    <w:rsid w:val="009E17B9"/>
    <w:rsid w:val="009E31E7"/>
    <w:rsid w:val="009E56D2"/>
    <w:rsid w:val="009F09E6"/>
    <w:rsid w:val="009F2A71"/>
    <w:rsid w:val="009F39B2"/>
    <w:rsid w:val="009F57B1"/>
    <w:rsid w:val="009F5AAC"/>
    <w:rsid w:val="009F630C"/>
    <w:rsid w:val="009F7F75"/>
    <w:rsid w:val="00A0358C"/>
    <w:rsid w:val="00A03704"/>
    <w:rsid w:val="00A0440C"/>
    <w:rsid w:val="00A05AD3"/>
    <w:rsid w:val="00A067D6"/>
    <w:rsid w:val="00A06AC7"/>
    <w:rsid w:val="00A10506"/>
    <w:rsid w:val="00A11347"/>
    <w:rsid w:val="00A12961"/>
    <w:rsid w:val="00A12C56"/>
    <w:rsid w:val="00A136AC"/>
    <w:rsid w:val="00A13885"/>
    <w:rsid w:val="00A14108"/>
    <w:rsid w:val="00A144CF"/>
    <w:rsid w:val="00A169B4"/>
    <w:rsid w:val="00A16CD8"/>
    <w:rsid w:val="00A178DF"/>
    <w:rsid w:val="00A20C92"/>
    <w:rsid w:val="00A227F2"/>
    <w:rsid w:val="00A23954"/>
    <w:rsid w:val="00A240B1"/>
    <w:rsid w:val="00A241BD"/>
    <w:rsid w:val="00A26AF2"/>
    <w:rsid w:val="00A2777E"/>
    <w:rsid w:val="00A3103A"/>
    <w:rsid w:val="00A31268"/>
    <w:rsid w:val="00A31E8F"/>
    <w:rsid w:val="00A3579B"/>
    <w:rsid w:val="00A3580A"/>
    <w:rsid w:val="00A4000C"/>
    <w:rsid w:val="00A41E37"/>
    <w:rsid w:val="00A42AD7"/>
    <w:rsid w:val="00A432CE"/>
    <w:rsid w:val="00A44578"/>
    <w:rsid w:val="00A44EB9"/>
    <w:rsid w:val="00A458F0"/>
    <w:rsid w:val="00A46A67"/>
    <w:rsid w:val="00A474F8"/>
    <w:rsid w:val="00A51CC9"/>
    <w:rsid w:val="00A51EF6"/>
    <w:rsid w:val="00A52763"/>
    <w:rsid w:val="00A52964"/>
    <w:rsid w:val="00A630A6"/>
    <w:rsid w:val="00A654DA"/>
    <w:rsid w:val="00A65EA6"/>
    <w:rsid w:val="00A66AB6"/>
    <w:rsid w:val="00A71D40"/>
    <w:rsid w:val="00A72D91"/>
    <w:rsid w:val="00A73D4B"/>
    <w:rsid w:val="00A761FA"/>
    <w:rsid w:val="00A771C0"/>
    <w:rsid w:val="00A80CA4"/>
    <w:rsid w:val="00A81192"/>
    <w:rsid w:val="00A81297"/>
    <w:rsid w:val="00A82A72"/>
    <w:rsid w:val="00A85A08"/>
    <w:rsid w:val="00A86724"/>
    <w:rsid w:val="00A8672D"/>
    <w:rsid w:val="00A90B93"/>
    <w:rsid w:val="00A92E1D"/>
    <w:rsid w:val="00A94F1D"/>
    <w:rsid w:val="00A95810"/>
    <w:rsid w:val="00A95DA6"/>
    <w:rsid w:val="00A97DC2"/>
    <w:rsid w:val="00AA0305"/>
    <w:rsid w:val="00AA1E55"/>
    <w:rsid w:val="00AA1EA0"/>
    <w:rsid w:val="00AA2A15"/>
    <w:rsid w:val="00AA2A96"/>
    <w:rsid w:val="00AA333D"/>
    <w:rsid w:val="00AA42A7"/>
    <w:rsid w:val="00AA714E"/>
    <w:rsid w:val="00AA76AC"/>
    <w:rsid w:val="00AB1C8B"/>
    <w:rsid w:val="00AB1D51"/>
    <w:rsid w:val="00AB4B80"/>
    <w:rsid w:val="00AB7678"/>
    <w:rsid w:val="00AC014E"/>
    <w:rsid w:val="00AC0AEC"/>
    <w:rsid w:val="00AC238D"/>
    <w:rsid w:val="00AC2F06"/>
    <w:rsid w:val="00AC316F"/>
    <w:rsid w:val="00AC4B7F"/>
    <w:rsid w:val="00AC7238"/>
    <w:rsid w:val="00AC75EF"/>
    <w:rsid w:val="00AC7BEB"/>
    <w:rsid w:val="00AC7C05"/>
    <w:rsid w:val="00AD162D"/>
    <w:rsid w:val="00AD16E4"/>
    <w:rsid w:val="00AD2189"/>
    <w:rsid w:val="00AD2C02"/>
    <w:rsid w:val="00AD31A9"/>
    <w:rsid w:val="00AD5287"/>
    <w:rsid w:val="00AD6CF5"/>
    <w:rsid w:val="00AD7847"/>
    <w:rsid w:val="00AE097A"/>
    <w:rsid w:val="00AE1B5A"/>
    <w:rsid w:val="00AE2151"/>
    <w:rsid w:val="00AE249D"/>
    <w:rsid w:val="00AE31B0"/>
    <w:rsid w:val="00AE3EC0"/>
    <w:rsid w:val="00AE6FC4"/>
    <w:rsid w:val="00AF0479"/>
    <w:rsid w:val="00AF26A2"/>
    <w:rsid w:val="00AF3DFB"/>
    <w:rsid w:val="00AF411C"/>
    <w:rsid w:val="00AF471F"/>
    <w:rsid w:val="00AF4B64"/>
    <w:rsid w:val="00AF4D88"/>
    <w:rsid w:val="00AF7EC6"/>
    <w:rsid w:val="00B00190"/>
    <w:rsid w:val="00B01B51"/>
    <w:rsid w:val="00B03333"/>
    <w:rsid w:val="00B033B6"/>
    <w:rsid w:val="00B0406A"/>
    <w:rsid w:val="00B06841"/>
    <w:rsid w:val="00B06B03"/>
    <w:rsid w:val="00B07DB6"/>
    <w:rsid w:val="00B11262"/>
    <w:rsid w:val="00B113E5"/>
    <w:rsid w:val="00B1162D"/>
    <w:rsid w:val="00B1210A"/>
    <w:rsid w:val="00B14C06"/>
    <w:rsid w:val="00B153F0"/>
    <w:rsid w:val="00B162A3"/>
    <w:rsid w:val="00B16D79"/>
    <w:rsid w:val="00B17ECC"/>
    <w:rsid w:val="00B22943"/>
    <w:rsid w:val="00B23398"/>
    <w:rsid w:val="00B245B0"/>
    <w:rsid w:val="00B268BA"/>
    <w:rsid w:val="00B26E56"/>
    <w:rsid w:val="00B31879"/>
    <w:rsid w:val="00B3311C"/>
    <w:rsid w:val="00B33125"/>
    <w:rsid w:val="00B34A3B"/>
    <w:rsid w:val="00B355C5"/>
    <w:rsid w:val="00B3673D"/>
    <w:rsid w:val="00B42FDB"/>
    <w:rsid w:val="00B439B7"/>
    <w:rsid w:val="00B43F15"/>
    <w:rsid w:val="00B44C6C"/>
    <w:rsid w:val="00B472AC"/>
    <w:rsid w:val="00B4757F"/>
    <w:rsid w:val="00B5187A"/>
    <w:rsid w:val="00B528AF"/>
    <w:rsid w:val="00B52E33"/>
    <w:rsid w:val="00B55CD1"/>
    <w:rsid w:val="00B605F9"/>
    <w:rsid w:val="00B61C67"/>
    <w:rsid w:val="00B62A9E"/>
    <w:rsid w:val="00B6314D"/>
    <w:rsid w:val="00B64BD8"/>
    <w:rsid w:val="00B70EFF"/>
    <w:rsid w:val="00B713DA"/>
    <w:rsid w:val="00B71654"/>
    <w:rsid w:val="00B727C2"/>
    <w:rsid w:val="00B738C7"/>
    <w:rsid w:val="00B747AC"/>
    <w:rsid w:val="00B77124"/>
    <w:rsid w:val="00B8023E"/>
    <w:rsid w:val="00B80C59"/>
    <w:rsid w:val="00B81737"/>
    <w:rsid w:val="00B82106"/>
    <w:rsid w:val="00B82526"/>
    <w:rsid w:val="00B82809"/>
    <w:rsid w:val="00B91224"/>
    <w:rsid w:val="00B91420"/>
    <w:rsid w:val="00B92DEC"/>
    <w:rsid w:val="00B9525A"/>
    <w:rsid w:val="00BA015D"/>
    <w:rsid w:val="00BA064C"/>
    <w:rsid w:val="00BA0C85"/>
    <w:rsid w:val="00BA1B22"/>
    <w:rsid w:val="00BA4091"/>
    <w:rsid w:val="00BA4735"/>
    <w:rsid w:val="00BB2DB8"/>
    <w:rsid w:val="00BB3A50"/>
    <w:rsid w:val="00BB4D9B"/>
    <w:rsid w:val="00BB5653"/>
    <w:rsid w:val="00BB647C"/>
    <w:rsid w:val="00BC0C83"/>
    <w:rsid w:val="00BC0C8A"/>
    <w:rsid w:val="00BC2008"/>
    <w:rsid w:val="00BC33E7"/>
    <w:rsid w:val="00BC4DD1"/>
    <w:rsid w:val="00BC61B1"/>
    <w:rsid w:val="00BC623F"/>
    <w:rsid w:val="00BC74B2"/>
    <w:rsid w:val="00BD1F16"/>
    <w:rsid w:val="00BD201F"/>
    <w:rsid w:val="00BD3935"/>
    <w:rsid w:val="00BD4467"/>
    <w:rsid w:val="00BD55D3"/>
    <w:rsid w:val="00BD787F"/>
    <w:rsid w:val="00BD7A03"/>
    <w:rsid w:val="00BD7E26"/>
    <w:rsid w:val="00BE00F2"/>
    <w:rsid w:val="00BE209A"/>
    <w:rsid w:val="00BE2293"/>
    <w:rsid w:val="00BE24AF"/>
    <w:rsid w:val="00BE37DF"/>
    <w:rsid w:val="00BE37E1"/>
    <w:rsid w:val="00BE4B28"/>
    <w:rsid w:val="00BE4ED0"/>
    <w:rsid w:val="00BE57F6"/>
    <w:rsid w:val="00BE5E57"/>
    <w:rsid w:val="00BE7220"/>
    <w:rsid w:val="00BF021D"/>
    <w:rsid w:val="00BF2D80"/>
    <w:rsid w:val="00BF2DF2"/>
    <w:rsid w:val="00BF32A0"/>
    <w:rsid w:val="00BF34A5"/>
    <w:rsid w:val="00BF3828"/>
    <w:rsid w:val="00BF4F4D"/>
    <w:rsid w:val="00BF5144"/>
    <w:rsid w:val="00BF5E9D"/>
    <w:rsid w:val="00BF60CF"/>
    <w:rsid w:val="00C00747"/>
    <w:rsid w:val="00C01116"/>
    <w:rsid w:val="00C02336"/>
    <w:rsid w:val="00C04254"/>
    <w:rsid w:val="00C043A7"/>
    <w:rsid w:val="00C044F1"/>
    <w:rsid w:val="00C050D3"/>
    <w:rsid w:val="00C10374"/>
    <w:rsid w:val="00C12840"/>
    <w:rsid w:val="00C12DEA"/>
    <w:rsid w:val="00C1593D"/>
    <w:rsid w:val="00C172E3"/>
    <w:rsid w:val="00C217D7"/>
    <w:rsid w:val="00C21910"/>
    <w:rsid w:val="00C22372"/>
    <w:rsid w:val="00C22791"/>
    <w:rsid w:val="00C244FF"/>
    <w:rsid w:val="00C26A8B"/>
    <w:rsid w:val="00C27FC3"/>
    <w:rsid w:val="00C33D51"/>
    <w:rsid w:val="00C35BF3"/>
    <w:rsid w:val="00C3670D"/>
    <w:rsid w:val="00C367E5"/>
    <w:rsid w:val="00C36D48"/>
    <w:rsid w:val="00C407C6"/>
    <w:rsid w:val="00C41370"/>
    <w:rsid w:val="00C41EED"/>
    <w:rsid w:val="00C442B6"/>
    <w:rsid w:val="00C459A1"/>
    <w:rsid w:val="00C5096F"/>
    <w:rsid w:val="00C525DC"/>
    <w:rsid w:val="00C52B10"/>
    <w:rsid w:val="00C5302D"/>
    <w:rsid w:val="00C5403F"/>
    <w:rsid w:val="00C55956"/>
    <w:rsid w:val="00C55CDD"/>
    <w:rsid w:val="00C5787F"/>
    <w:rsid w:val="00C57E44"/>
    <w:rsid w:val="00C60E71"/>
    <w:rsid w:val="00C61A6F"/>
    <w:rsid w:val="00C62F4A"/>
    <w:rsid w:val="00C6318D"/>
    <w:rsid w:val="00C634DB"/>
    <w:rsid w:val="00C63883"/>
    <w:rsid w:val="00C65371"/>
    <w:rsid w:val="00C66506"/>
    <w:rsid w:val="00C70729"/>
    <w:rsid w:val="00C72EF0"/>
    <w:rsid w:val="00C7318D"/>
    <w:rsid w:val="00C73247"/>
    <w:rsid w:val="00C73AEA"/>
    <w:rsid w:val="00C74CC2"/>
    <w:rsid w:val="00C76487"/>
    <w:rsid w:val="00C77322"/>
    <w:rsid w:val="00C77ACD"/>
    <w:rsid w:val="00C77E18"/>
    <w:rsid w:val="00C800F9"/>
    <w:rsid w:val="00C82F42"/>
    <w:rsid w:val="00C82FC1"/>
    <w:rsid w:val="00C83726"/>
    <w:rsid w:val="00C85536"/>
    <w:rsid w:val="00C9240D"/>
    <w:rsid w:val="00C96565"/>
    <w:rsid w:val="00C9766A"/>
    <w:rsid w:val="00C9795B"/>
    <w:rsid w:val="00CA0447"/>
    <w:rsid w:val="00CA116D"/>
    <w:rsid w:val="00CA1310"/>
    <w:rsid w:val="00CA27D5"/>
    <w:rsid w:val="00CA3336"/>
    <w:rsid w:val="00CA3630"/>
    <w:rsid w:val="00CA49A2"/>
    <w:rsid w:val="00CA4D80"/>
    <w:rsid w:val="00CA552A"/>
    <w:rsid w:val="00CA55AC"/>
    <w:rsid w:val="00CA5DA4"/>
    <w:rsid w:val="00CA6831"/>
    <w:rsid w:val="00CA683E"/>
    <w:rsid w:val="00CA76F5"/>
    <w:rsid w:val="00CB0179"/>
    <w:rsid w:val="00CB0C87"/>
    <w:rsid w:val="00CB2278"/>
    <w:rsid w:val="00CB5F49"/>
    <w:rsid w:val="00CB6BD8"/>
    <w:rsid w:val="00CB74C1"/>
    <w:rsid w:val="00CC0031"/>
    <w:rsid w:val="00CC003F"/>
    <w:rsid w:val="00CC1B2D"/>
    <w:rsid w:val="00CC2C4F"/>
    <w:rsid w:val="00CC3FDF"/>
    <w:rsid w:val="00CC60B9"/>
    <w:rsid w:val="00CC734A"/>
    <w:rsid w:val="00CD1628"/>
    <w:rsid w:val="00CD2712"/>
    <w:rsid w:val="00CD3C6E"/>
    <w:rsid w:val="00CD41EE"/>
    <w:rsid w:val="00CD4482"/>
    <w:rsid w:val="00CD476F"/>
    <w:rsid w:val="00CD664F"/>
    <w:rsid w:val="00CD7C95"/>
    <w:rsid w:val="00CE2445"/>
    <w:rsid w:val="00CE3D5E"/>
    <w:rsid w:val="00CE4977"/>
    <w:rsid w:val="00CE65CA"/>
    <w:rsid w:val="00CE7FB4"/>
    <w:rsid w:val="00CF2433"/>
    <w:rsid w:val="00CF32E9"/>
    <w:rsid w:val="00CF345C"/>
    <w:rsid w:val="00CF4E94"/>
    <w:rsid w:val="00CF56C1"/>
    <w:rsid w:val="00CF5BA9"/>
    <w:rsid w:val="00CF6B00"/>
    <w:rsid w:val="00CF75BA"/>
    <w:rsid w:val="00D010E3"/>
    <w:rsid w:val="00D01A19"/>
    <w:rsid w:val="00D02E90"/>
    <w:rsid w:val="00D03138"/>
    <w:rsid w:val="00D05810"/>
    <w:rsid w:val="00D10925"/>
    <w:rsid w:val="00D1153B"/>
    <w:rsid w:val="00D15ADE"/>
    <w:rsid w:val="00D202AA"/>
    <w:rsid w:val="00D20416"/>
    <w:rsid w:val="00D20CCF"/>
    <w:rsid w:val="00D21942"/>
    <w:rsid w:val="00D22B65"/>
    <w:rsid w:val="00D23177"/>
    <w:rsid w:val="00D23682"/>
    <w:rsid w:val="00D255C3"/>
    <w:rsid w:val="00D30C9F"/>
    <w:rsid w:val="00D3196B"/>
    <w:rsid w:val="00D324FC"/>
    <w:rsid w:val="00D326CB"/>
    <w:rsid w:val="00D35293"/>
    <w:rsid w:val="00D35F36"/>
    <w:rsid w:val="00D378DF"/>
    <w:rsid w:val="00D41322"/>
    <w:rsid w:val="00D42B0C"/>
    <w:rsid w:val="00D443B3"/>
    <w:rsid w:val="00D47AC5"/>
    <w:rsid w:val="00D5113F"/>
    <w:rsid w:val="00D53CE6"/>
    <w:rsid w:val="00D56336"/>
    <w:rsid w:val="00D56BA7"/>
    <w:rsid w:val="00D576E9"/>
    <w:rsid w:val="00D5781D"/>
    <w:rsid w:val="00D617EF"/>
    <w:rsid w:val="00D62ECD"/>
    <w:rsid w:val="00D647FF"/>
    <w:rsid w:val="00D65CF2"/>
    <w:rsid w:val="00D65EA9"/>
    <w:rsid w:val="00D6682C"/>
    <w:rsid w:val="00D66CF8"/>
    <w:rsid w:val="00D66DB5"/>
    <w:rsid w:val="00D66E23"/>
    <w:rsid w:val="00D67F9B"/>
    <w:rsid w:val="00D7008D"/>
    <w:rsid w:val="00D7086E"/>
    <w:rsid w:val="00D70C49"/>
    <w:rsid w:val="00D70F3A"/>
    <w:rsid w:val="00D71BA6"/>
    <w:rsid w:val="00D72BEF"/>
    <w:rsid w:val="00D72C62"/>
    <w:rsid w:val="00D73886"/>
    <w:rsid w:val="00D74A33"/>
    <w:rsid w:val="00D76AB8"/>
    <w:rsid w:val="00D772B3"/>
    <w:rsid w:val="00D77A52"/>
    <w:rsid w:val="00D81B58"/>
    <w:rsid w:val="00D81C14"/>
    <w:rsid w:val="00D832D5"/>
    <w:rsid w:val="00D83376"/>
    <w:rsid w:val="00D840F5"/>
    <w:rsid w:val="00D84B5D"/>
    <w:rsid w:val="00D853FF"/>
    <w:rsid w:val="00D8620A"/>
    <w:rsid w:val="00D8705F"/>
    <w:rsid w:val="00D87A07"/>
    <w:rsid w:val="00D90182"/>
    <w:rsid w:val="00D92A15"/>
    <w:rsid w:val="00D957C0"/>
    <w:rsid w:val="00D965FE"/>
    <w:rsid w:val="00DA03FB"/>
    <w:rsid w:val="00DA0546"/>
    <w:rsid w:val="00DA1332"/>
    <w:rsid w:val="00DA377B"/>
    <w:rsid w:val="00DA4769"/>
    <w:rsid w:val="00DA48F6"/>
    <w:rsid w:val="00DA5238"/>
    <w:rsid w:val="00DA53C1"/>
    <w:rsid w:val="00DA5621"/>
    <w:rsid w:val="00DA5B67"/>
    <w:rsid w:val="00DA7ECD"/>
    <w:rsid w:val="00DB09E4"/>
    <w:rsid w:val="00DB2D17"/>
    <w:rsid w:val="00DB5E4D"/>
    <w:rsid w:val="00DB5F9F"/>
    <w:rsid w:val="00DB6D1F"/>
    <w:rsid w:val="00DB78EA"/>
    <w:rsid w:val="00DC11CB"/>
    <w:rsid w:val="00DC13EA"/>
    <w:rsid w:val="00DC1BB7"/>
    <w:rsid w:val="00DC1EDE"/>
    <w:rsid w:val="00DC3ADA"/>
    <w:rsid w:val="00DC4A0B"/>
    <w:rsid w:val="00DC4D66"/>
    <w:rsid w:val="00DD026E"/>
    <w:rsid w:val="00DD0D7E"/>
    <w:rsid w:val="00DD1715"/>
    <w:rsid w:val="00DD2B7F"/>
    <w:rsid w:val="00DD2C4D"/>
    <w:rsid w:val="00DD35FE"/>
    <w:rsid w:val="00DD37BF"/>
    <w:rsid w:val="00DD44AD"/>
    <w:rsid w:val="00DD45F6"/>
    <w:rsid w:val="00DD5596"/>
    <w:rsid w:val="00DD5A7F"/>
    <w:rsid w:val="00DD6B23"/>
    <w:rsid w:val="00DE0BBD"/>
    <w:rsid w:val="00DE1E06"/>
    <w:rsid w:val="00DE24BA"/>
    <w:rsid w:val="00DE342A"/>
    <w:rsid w:val="00DE3FAE"/>
    <w:rsid w:val="00DE48C3"/>
    <w:rsid w:val="00DE493A"/>
    <w:rsid w:val="00DE5099"/>
    <w:rsid w:val="00DE58AE"/>
    <w:rsid w:val="00DE7190"/>
    <w:rsid w:val="00DF1157"/>
    <w:rsid w:val="00DF178D"/>
    <w:rsid w:val="00DF2E2D"/>
    <w:rsid w:val="00DF38C7"/>
    <w:rsid w:val="00DF4392"/>
    <w:rsid w:val="00DF4E1F"/>
    <w:rsid w:val="00DF69A1"/>
    <w:rsid w:val="00DF6DE1"/>
    <w:rsid w:val="00DF752E"/>
    <w:rsid w:val="00E0035B"/>
    <w:rsid w:val="00E00956"/>
    <w:rsid w:val="00E011B3"/>
    <w:rsid w:val="00E014C6"/>
    <w:rsid w:val="00E01A14"/>
    <w:rsid w:val="00E01A51"/>
    <w:rsid w:val="00E026ED"/>
    <w:rsid w:val="00E02EE2"/>
    <w:rsid w:val="00E04D61"/>
    <w:rsid w:val="00E05109"/>
    <w:rsid w:val="00E05894"/>
    <w:rsid w:val="00E0642C"/>
    <w:rsid w:val="00E06BD0"/>
    <w:rsid w:val="00E06F30"/>
    <w:rsid w:val="00E109E0"/>
    <w:rsid w:val="00E11690"/>
    <w:rsid w:val="00E14FA3"/>
    <w:rsid w:val="00E151B6"/>
    <w:rsid w:val="00E153CF"/>
    <w:rsid w:val="00E1543D"/>
    <w:rsid w:val="00E15D9B"/>
    <w:rsid w:val="00E17572"/>
    <w:rsid w:val="00E176F6"/>
    <w:rsid w:val="00E177EE"/>
    <w:rsid w:val="00E204AA"/>
    <w:rsid w:val="00E245F0"/>
    <w:rsid w:val="00E24F2F"/>
    <w:rsid w:val="00E2566D"/>
    <w:rsid w:val="00E25EF0"/>
    <w:rsid w:val="00E27820"/>
    <w:rsid w:val="00E304B3"/>
    <w:rsid w:val="00E31948"/>
    <w:rsid w:val="00E31996"/>
    <w:rsid w:val="00E329AF"/>
    <w:rsid w:val="00E342B0"/>
    <w:rsid w:val="00E350B7"/>
    <w:rsid w:val="00E356BA"/>
    <w:rsid w:val="00E3608F"/>
    <w:rsid w:val="00E37D1E"/>
    <w:rsid w:val="00E37F83"/>
    <w:rsid w:val="00E40979"/>
    <w:rsid w:val="00E435B7"/>
    <w:rsid w:val="00E43A26"/>
    <w:rsid w:val="00E466D8"/>
    <w:rsid w:val="00E46AF2"/>
    <w:rsid w:val="00E47557"/>
    <w:rsid w:val="00E503F7"/>
    <w:rsid w:val="00E50FE3"/>
    <w:rsid w:val="00E53D4F"/>
    <w:rsid w:val="00E5543F"/>
    <w:rsid w:val="00E6140D"/>
    <w:rsid w:val="00E61F52"/>
    <w:rsid w:val="00E6414B"/>
    <w:rsid w:val="00E64851"/>
    <w:rsid w:val="00E648AA"/>
    <w:rsid w:val="00E65BCA"/>
    <w:rsid w:val="00E67C51"/>
    <w:rsid w:val="00E70BD3"/>
    <w:rsid w:val="00E71783"/>
    <w:rsid w:val="00E7237E"/>
    <w:rsid w:val="00E72A5A"/>
    <w:rsid w:val="00E735B1"/>
    <w:rsid w:val="00E741ED"/>
    <w:rsid w:val="00E770AD"/>
    <w:rsid w:val="00E77F48"/>
    <w:rsid w:val="00E77FD2"/>
    <w:rsid w:val="00E81DCB"/>
    <w:rsid w:val="00E82300"/>
    <w:rsid w:val="00E85206"/>
    <w:rsid w:val="00E8780D"/>
    <w:rsid w:val="00E901C4"/>
    <w:rsid w:val="00E90B31"/>
    <w:rsid w:val="00E90BDF"/>
    <w:rsid w:val="00E94F36"/>
    <w:rsid w:val="00E95883"/>
    <w:rsid w:val="00EA1E07"/>
    <w:rsid w:val="00EA258A"/>
    <w:rsid w:val="00EA447E"/>
    <w:rsid w:val="00EA4DBC"/>
    <w:rsid w:val="00EA6100"/>
    <w:rsid w:val="00EB037F"/>
    <w:rsid w:val="00EB10EA"/>
    <w:rsid w:val="00EB31AB"/>
    <w:rsid w:val="00EB4305"/>
    <w:rsid w:val="00EB4EFE"/>
    <w:rsid w:val="00EB5751"/>
    <w:rsid w:val="00EB5E51"/>
    <w:rsid w:val="00EB5EBC"/>
    <w:rsid w:val="00EB7D42"/>
    <w:rsid w:val="00EC0354"/>
    <w:rsid w:val="00EC175E"/>
    <w:rsid w:val="00EC22D7"/>
    <w:rsid w:val="00EC245A"/>
    <w:rsid w:val="00EC4771"/>
    <w:rsid w:val="00EC4BAE"/>
    <w:rsid w:val="00EC5D37"/>
    <w:rsid w:val="00EC6A3F"/>
    <w:rsid w:val="00ED2391"/>
    <w:rsid w:val="00ED3DA3"/>
    <w:rsid w:val="00ED3E77"/>
    <w:rsid w:val="00ED3FF1"/>
    <w:rsid w:val="00EE6411"/>
    <w:rsid w:val="00EE66C7"/>
    <w:rsid w:val="00EE6B2F"/>
    <w:rsid w:val="00EF02F8"/>
    <w:rsid w:val="00EF0400"/>
    <w:rsid w:val="00EF1737"/>
    <w:rsid w:val="00EF5412"/>
    <w:rsid w:val="00EF5C83"/>
    <w:rsid w:val="00EF7D7A"/>
    <w:rsid w:val="00F002B2"/>
    <w:rsid w:val="00F00AC2"/>
    <w:rsid w:val="00F01C27"/>
    <w:rsid w:val="00F0204B"/>
    <w:rsid w:val="00F0601A"/>
    <w:rsid w:val="00F0724E"/>
    <w:rsid w:val="00F105E2"/>
    <w:rsid w:val="00F12FA2"/>
    <w:rsid w:val="00F14C67"/>
    <w:rsid w:val="00F15518"/>
    <w:rsid w:val="00F16DFF"/>
    <w:rsid w:val="00F17616"/>
    <w:rsid w:val="00F17E4F"/>
    <w:rsid w:val="00F22E5F"/>
    <w:rsid w:val="00F23363"/>
    <w:rsid w:val="00F233B0"/>
    <w:rsid w:val="00F23AD7"/>
    <w:rsid w:val="00F24E5E"/>
    <w:rsid w:val="00F25D76"/>
    <w:rsid w:val="00F25F98"/>
    <w:rsid w:val="00F269DD"/>
    <w:rsid w:val="00F26DA9"/>
    <w:rsid w:val="00F31D64"/>
    <w:rsid w:val="00F33736"/>
    <w:rsid w:val="00F33B09"/>
    <w:rsid w:val="00F3434E"/>
    <w:rsid w:val="00F35873"/>
    <w:rsid w:val="00F358FC"/>
    <w:rsid w:val="00F36D4A"/>
    <w:rsid w:val="00F376EB"/>
    <w:rsid w:val="00F37FE5"/>
    <w:rsid w:val="00F405F7"/>
    <w:rsid w:val="00F40EC2"/>
    <w:rsid w:val="00F40EFA"/>
    <w:rsid w:val="00F41545"/>
    <w:rsid w:val="00F416D0"/>
    <w:rsid w:val="00F41EEA"/>
    <w:rsid w:val="00F4341D"/>
    <w:rsid w:val="00F44893"/>
    <w:rsid w:val="00F4545C"/>
    <w:rsid w:val="00F45E80"/>
    <w:rsid w:val="00F476E2"/>
    <w:rsid w:val="00F50177"/>
    <w:rsid w:val="00F51132"/>
    <w:rsid w:val="00F51CC5"/>
    <w:rsid w:val="00F51F90"/>
    <w:rsid w:val="00F52B99"/>
    <w:rsid w:val="00F53B4C"/>
    <w:rsid w:val="00F567BF"/>
    <w:rsid w:val="00F56AC0"/>
    <w:rsid w:val="00F56F0E"/>
    <w:rsid w:val="00F56F47"/>
    <w:rsid w:val="00F57335"/>
    <w:rsid w:val="00F57A39"/>
    <w:rsid w:val="00F60381"/>
    <w:rsid w:val="00F61F72"/>
    <w:rsid w:val="00F62416"/>
    <w:rsid w:val="00F62680"/>
    <w:rsid w:val="00F63723"/>
    <w:rsid w:val="00F63BA4"/>
    <w:rsid w:val="00F64101"/>
    <w:rsid w:val="00F64EF6"/>
    <w:rsid w:val="00F65E9E"/>
    <w:rsid w:val="00F7025D"/>
    <w:rsid w:val="00F71FB5"/>
    <w:rsid w:val="00F72085"/>
    <w:rsid w:val="00F73FF5"/>
    <w:rsid w:val="00F74EFB"/>
    <w:rsid w:val="00F76F54"/>
    <w:rsid w:val="00F7712A"/>
    <w:rsid w:val="00F77BAA"/>
    <w:rsid w:val="00F803F8"/>
    <w:rsid w:val="00F80E02"/>
    <w:rsid w:val="00F8144D"/>
    <w:rsid w:val="00F82B0E"/>
    <w:rsid w:val="00F8415B"/>
    <w:rsid w:val="00F84536"/>
    <w:rsid w:val="00F854F4"/>
    <w:rsid w:val="00F869F8"/>
    <w:rsid w:val="00F86BE3"/>
    <w:rsid w:val="00F90EFD"/>
    <w:rsid w:val="00F91BA8"/>
    <w:rsid w:val="00F926D8"/>
    <w:rsid w:val="00F93F4C"/>
    <w:rsid w:val="00F9535B"/>
    <w:rsid w:val="00F95DE8"/>
    <w:rsid w:val="00F962C7"/>
    <w:rsid w:val="00F96FD2"/>
    <w:rsid w:val="00F9780A"/>
    <w:rsid w:val="00FA0E40"/>
    <w:rsid w:val="00FA13F8"/>
    <w:rsid w:val="00FA1906"/>
    <w:rsid w:val="00FA2EC0"/>
    <w:rsid w:val="00FA31AD"/>
    <w:rsid w:val="00FA47E1"/>
    <w:rsid w:val="00FA4EA3"/>
    <w:rsid w:val="00FB13E0"/>
    <w:rsid w:val="00FB38D6"/>
    <w:rsid w:val="00FB3C65"/>
    <w:rsid w:val="00FB441D"/>
    <w:rsid w:val="00FB4CA8"/>
    <w:rsid w:val="00FB5EBA"/>
    <w:rsid w:val="00FB6B34"/>
    <w:rsid w:val="00FC07C4"/>
    <w:rsid w:val="00FC1619"/>
    <w:rsid w:val="00FC19E8"/>
    <w:rsid w:val="00FC22CF"/>
    <w:rsid w:val="00FC4541"/>
    <w:rsid w:val="00FC5866"/>
    <w:rsid w:val="00FC5B63"/>
    <w:rsid w:val="00FC5E53"/>
    <w:rsid w:val="00FC6631"/>
    <w:rsid w:val="00FC66B2"/>
    <w:rsid w:val="00FD0BDA"/>
    <w:rsid w:val="00FD3EB9"/>
    <w:rsid w:val="00FD4975"/>
    <w:rsid w:val="00FD4992"/>
    <w:rsid w:val="00FD79FF"/>
    <w:rsid w:val="00FE297B"/>
    <w:rsid w:val="00FE3360"/>
    <w:rsid w:val="00FE371A"/>
    <w:rsid w:val="00FE3880"/>
    <w:rsid w:val="00FE47DF"/>
    <w:rsid w:val="00FE73F8"/>
    <w:rsid w:val="00FE7555"/>
    <w:rsid w:val="00FE75DD"/>
    <w:rsid w:val="00FF0C5F"/>
    <w:rsid w:val="00FF0CC1"/>
    <w:rsid w:val="00FF274C"/>
    <w:rsid w:val="00FF2B67"/>
    <w:rsid w:val="00FF354D"/>
    <w:rsid w:val="00FF61E2"/>
    <w:rsid w:val="00FF6B48"/>
    <w:rsid w:val="00FF75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opacity="0"/>
      <v:stroke on="f"/>
      <o:colormru v:ext="edit" colors="#ddd,#cfcfcf,#cacaca,#66f,blue,#ccd3e1,#002469,#33508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caption" w:uiPriority="35" w:qFormat="1"/>
    <w:lsdException w:name="footnote reference" w:uiPriority="99"/>
    <w:lsdException w:name="annotation reference" w:uiPriority="99"/>
    <w:lsdException w:name="List Bullet" w:uiPriority="99"/>
    <w:lsdException w:name="Default Paragraph Font" w:uiPriority="1"/>
    <w:lsdException w:name="Hyperlink" w:uiPriority="99"/>
    <w:lsdException w:name="Strong" w:uiPriority="22"/>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F6D9C"/>
    <w:pPr>
      <w:spacing w:after="240" w:line="280" w:lineRule="atLeast"/>
    </w:pPr>
    <w:rPr>
      <w:rFonts w:asciiTheme="minorHAnsi" w:hAnsiTheme="minorHAnsi"/>
      <w:sz w:val="22"/>
      <w:lang w:val="en-GB" w:eastAsia="en-GB"/>
    </w:rPr>
  </w:style>
  <w:style w:type="paragraph" w:styleId="Heading1">
    <w:name w:val="heading 1"/>
    <w:basedOn w:val="Normal"/>
    <w:next w:val="Normal"/>
    <w:link w:val="Heading1Char"/>
    <w:qFormat/>
    <w:rsid w:val="004B4B2B"/>
    <w:pPr>
      <w:keepNext/>
      <w:tabs>
        <w:tab w:val="left" w:pos="567"/>
      </w:tabs>
      <w:spacing w:before="480" w:line="240" w:lineRule="auto"/>
      <w:outlineLvl w:val="0"/>
    </w:pPr>
    <w:rPr>
      <w:rFonts w:cs="Arial"/>
      <w:b/>
      <w:color w:val="002469"/>
      <w:spacing w:val="20"/>
      <w:w w:val="90"/>
      <w:sz w:val="38"/>
      <w:szCs w:val="38"/>
    </w:rPr>
  </w:style>
  <w:style w:type="paragraph" w:styleId="Heading2">
    <w:name w:val="heading 2"/>
    <w:basedOn w:val="Normal"/>
    <w:next w:val="Normal"/>
    <w:link w:val="Heading2Char"/>
    <w:qFormat/>
    <w:rsid w:val="0088541D"/>
    <w:pPr>
      <w:keepNext/>
      <w:tabs>
        <w:tab w:val="left" w:pos="567"/>
      </w:tabs>
      <w:spacing w:before="240" w:after="180" w:line="240" w:lineRule="auto"/>
      <w:ind w:left="567" w:hanging="567"/>
      <w:outlineLvl w:val="1"/>
    </w:pPr>
    <w:rPr>
      <w:b/>
      <w:color w:val="335087"/>
      <w:spacing w:val="20"/>
      <w:w w:val="90"/>
      <w:sz w:val="32"/>
      <w:szCs w:val="24"/>
    </w:rPr>
  </w:style>
  <w:style w:type="paragraph" w:styleId="Heading3">
    <w:name w:val="heading 3"/>
    <w:basedOn w:val="Heading2"/>
    <w:next w:val="Normal"/>
    <w:qFormat/>
    <w:rsid w:val="00374E9A"/>
    <w:pPr>
      <w:spacing w:before="200"/>
      <w:outlineLvl w:val="2"/>
    </w:pPr>
    <w:rPr>
      <w:sz w:val="24"/>
      <w:szCs w:val="22"/>
    </w:rPr>
  </w:style>
  <w:style w:type="paragraph" w:styleId="Heading4">
    <w:name w:val="heading 4"/>
    <w:basedOn w:val="Normal"/>
    <w:next w:val="Normal"/>
    <w:qFormat/>
    <w:rsid w:val="00961DC0"/>
    <w:pPr>
      <w:spacing w:before="120" w:after="200" w:line="240" w:lineRule="auto"/>
      <w:outlineLvl w:val="3"/>
    </w:pPr>
    <w:rPr>
      <w:b/>
      <w:bCs/>
      <w:color w:val="335087"/>
      <w:sz w:val="20"/>
    </w:rPr>
  </w:style>
  <w:style w:type="paragraph" w:styleId="Heading5">
    <w:name w:val="heading 5"/>
    <w:basedOn w:val="Normal"/>
    <w:next w:val="Normal"/>
    <w:rsid w:val="00504E3C"/>
    <w:pPr>
      <w:keepNext/>
      <w:widowControl w:val="0"/>
      <w:spacing w:before="80" w:after="120"/>
      <w:outlineLvl w:val="4"/>
    </w:pPr>
    <w:rPr>
      <w:color w:val="000000"/>
      <w:szCs w:val="22"/>
    </w:rPr>
  </w:style>
  <w:style w:type="paragraph" w:styleId="Heading6">
    <w:name w:val="heading 6"/>
    <w:basedOn w:val="Normal"/>
    <w:next w:val="Normal"/>
    <w:rsid w:val="00504E3C"/>
    <w:pPr>
      <w:spacing w:before="240"/>
      <w:outlineLvl w:val="5"/>
    </w:pPr>
    <w:rPr>
      <w:i/>
      <w:sz w:val="20"/>
    </w:rPr>
  </w:style>
  <w:style w:type="paragraph" w:styleId="Heading7">
    <w:name w:val="heading 7"/>
    <w:basedOn w:val="Normal"/>
    <w:next w:val="Normal"/>
    <w:rsid w:val="00504E3C"/>
    <w:pPr>
      <w:spacing w:before="240"/>
      <w:outlineLvl w:val="6"/>
    </w:pPr>
    <w:rPr>
      <w:sz w:val="20"/>
    </w:rPr>
  </w:style>
  <w:style w:type="paragraph" w:styleId="Heading8">
    <w:name w:val="heading 8"/>
    <w:basedOn w:val="Normal"/>
    <w:next w:val="Normal"/>
    <w:rsid w:val="00504E3C"/>
    <w:pPr>
      <w:spacing w:before="80" w:after="80"/>
      <w:outlineLvl w:val="7"/>
    </w:pPr>
    <w:rPr>
      <w:sz w:val="20"/>
    </w:rPr>
  </w:style>
  <w:style w:type="paragraph" w:styleId="Heading9">
    <w:name w:val="heading 9"/>
    <w:next w:val="Normal"/>
    <w:rsid w:val="00504E3C"/>
    <w:pPr>
      <w:keepNext/>
      <w:spacing w:before="160" w:line="260" w:lineRule="exact"/>
      <w:outlineLvl w:val="8"/>
    </w:pPr>
    <w:rPr>
      <w:rFonts w:ascii="Arial" w:hAnsi="Arial"/>
      <w:b/>
      <w:i/>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4B2B"/>
    <w:rPr>
      <w:rFonts w:ascii="Arial" w:hAnsi="Arial" w:cs="Arial"/>
      <w:b/>
      <w:color w:val="002469"/>
      <w:spacing w:val="20"/>
      <w:w w:val="90"/>
      <w:sz w:val="38"/>
      <w:szCs w:val="38"/>
      <w:lang w:val="en-GB" w:eastAsia="en-GB"/>
    </w:rPr>
  </w:style>
  <w:style w:type="character" w:customStyle="1" w:styleId="Heading2Char">
    <w:name w:val="Heading 2 Char"/>
    <w:basedOn w:val="DefaultParagraphFont"/>
    <w:link w:val="Heading2"/>
    <w:rsid w:val="0088541D"/>
    <w:rPr>
      <w:rFonts w:ascii="Arial" w:hAnsi="Arial"/>
      <w:b/>
      <w:color w:val="335087"/>
      <w:spacing w:val="20"/>
      <w:w w:val="90"/>
      <w:sz w:val="32"/>
      <w:szCs w:val="24"/>
      <w:lang w:val="en-GB" w:eastAsia="en-GB"/>
    </w:rPr>
  </w:style>
  <w:style w:type="paragraph" w:styleId="Header">
    <w:name w:val="header"/>
    <w:basedOn w:val="Normal"/>
    <w:rsid w:val="004C2B29"/>
    <w:pPr>
      <w:tabs>
        <w:tab w:val="center" w:pos="4153"/>
        <w:tab w:val="right" w:pos="8306"/>
      </w:tabs>
    </w:pPr>
  </w:style>
  <w:style w:type="paragraph" w:styleId="Footer">
    <w:name w:val="footer"/>
    <w:basedOn w:val="Normal"/>
    <w:link w:val="FooterChar"/>
    <w:autoRedefine/>
    <w:rsid w:val="007A4CBF"/>
    <w:pPr>
      <w:tabs>
        <w:tab w:val="right" w:pos="9072"/>
      </w:tabs>
      <w:spacing w:after="0" w:line="240" w:lineRule="auto"/>
    </w:pPr>
    <w:rPr>
      <w:noProof/>
      <w:color w:val="002469"/>
      <w:spacing w:val="6"/>
      <w:sz w:val="16"/>
      <w:szCs w:val="16"/>
    </w:rPr>
  </w:style>
  <w:style w:type="character" w:customStyle="1" w:styleId="FooterChar">
    <w:name w:val="Footer Char"/>
    <w:basedOn w:val="DefaultParagraphFont"/>
    <w:link w:val="Footer"/>
    <w:rsid w:val="007A4CBF"/>
    <w:rPr>
      <w:rFonts w:ascii="Arial" w:hAnsi="Arial"/>
      <w:noProof/>
      <w:color w:val="002469"/>
      <w:spacing w:val="6"/>
      <w:sz w:val="16"/>
      <w:szCs w:val="16"/>
      <w:lang w:val="en-GB" w:eastAsia="en-GB"/>
    </w:rPr>
  </w:style>
  <w:style w:type="character" w:styleId="Hyperlink">
    <w:name w:val="Hyperlink"/>
    <w:basedOn w:val="DefaultParagraphFont"/>
    <w:uiPriority w:val="99"/>
    <w:rsid w:val="002C097E"/>
    <w:rPr>
      <w:color w:val="002469"/>
      <w:u w:val="single"/>
    </w:rPr>
  </w:style>
  <w:style w:type="paragraph" w:styleId="BalloonText">
    <w:name w:val="Balloon Text"/>
    <w:basedOn w:val="Normal"/>
    <w:semiHidden/>
    <w:rsid w:val="00504E3C"/>
    <w:rPr>
      <w:rFonts w:ascii="Tahoma" w:hAnsi="Tahoma" w:cs="Tahoma"/>
      <w:sz w:val="16"/>
      <w:szCs w:val="16"/>
    </w:rPr>
  </w:style>
  <w:style w:type="paragraph" w:styleId="Caption">
    <w:name w:val="caption"/>
    <w:basedOn w:val="Normal"/>
    <w:next w:val="Normal"/>
    <w:uiPriority w:val="35"/>
    <w:qFormat/>
    <w:rsid w:val="006A3F76"/>
    <w:rPr>
      <w:b/>
      <w:bCs/>
      <w:sz w:val="20"/>
    </w:rPr>
  </w:style>
  <w:style w:type="paragraph" w:styleId="FootnoteText">
    <w:name w:val="footnote text"/>
    <w:aliases w:val="Footnote Text Char Char,Footnote Text Char Char2 Char Char,Footnote Text Char Char1 Char Char Char Char,Footnote Text Char1 Char Char Char Char Char Char,Footnote Text Char Char Char Char Char Char Char Char,Footnote Text Char1"/>
    <w:basedOn w:val="Normal"/>
    <w:link w:val="FootnoteTextChar"/>
    <w:uiPriority w:val="99"/>
    <w:qFormat/>
    <w:rsid w:val="00DE0BBD"/>
    <w:pPr>
      <w:tabs>
        <w:tab w:val="left" w:pos="425"/>
      </w:tabs>
      <w:spacing w:after="60" w:line="240" w:lineRule="auto"/>
      <w:ind w:left="425" w:hanging="425"/>
    </w:pPr>
    <w:rPr>
      <w:rFonts w:ascii="Arial" w:hAnsi="Arial"/>
      <w:sz w:val="18"/>
    </w:rPr>
  </w:style>
  <w:style w:type="character" w:customStyle="1" w:styleId="FootnoteTextChar">
    <w:name w:val="Footnote Text Char"/>
    <w:aliases w:val="Footnote Text Char Char Char,Footnote Text Char Char2 Char Char Char,Footnote Text Char Char1 Char Char Char Char Char,Footnote Text Char1 Char Char Char Char Char Char Char,Footnote Text Char Char Char Char Char Char Char Char Char"/>
    <w:basedOn w:val="DefaultParagraphFont"/>
    <w:link w:val="FootnoteText"/>
    <w:uiPriority w:val="99"/>
    <w:rsid w:val="00DE0BBD"/>
    <w:rPr>
      <w:rFonts w:ascii="Arial" w:hAnsi="Arial"/>
      <w:sz w:val="18"/>
      <w:lang w:val="en-GB" w:eastAsia="en-GB"/>
    </w:rPr>
  </w:style>
  <w:style w:type="character" w:styleId="FootnoteReference">
    <w:name w:val="footnote reference"/>
    <w:basedOn w:val="DefaultParagraphFont"/>
    <w:uiPriority w:val="99"/>
    <w:rsid w:val="00504E3C"/>
    <w:rPr>
      <w:rFonts w:ascii="Arial" w:hAnsi="Arial"/>
      <w:color w:val="auto"/>
      <w:position w:val="8"/>
      <w:sz w:val="16"/>
    </w:rPr>
  </w:style>
  <w:style w:type="paragraph" w:styleId="TOC1">
    <w:name w:val="toc 1"/>
    <w:basedOn w:val="Normal"/>
    <w:next w:val="Normal"/>
    <w:uiPriority w:val="39"/>
    <w:rsid w:val="00F80E02"/>
    <w:pPr>
      <w:tabs>
        <w:tab w:val="left" w:pos="426"/>
        <w:tab w:val="right" w:leader="dot" w:pos="9072"/>
      </w:tabs>
      <w:spacing w:before="120" w:after="120"/>
    </w:pPr>
    <w:rPr>
      <w:bCs/>
      <w:noProof/>
      <w:sz w:val="24"/>
      <w:szCs w:val="44"/>
    </w:rPr>
  </w:style>
  <w:style w:type="paragraph" w:styleId="TOC2">
    <w:name w:val="toc 2"/>
    <w:basedOn w:val="Normal"/>
    <w:next w:val="Normal"/>
    <w:uiPriority w:val="39"/>
    <w:rsid w:val="00F80E02"/>
    <w:pPr>
      <w:tabs>
        <w:tab w:val="left" w:pos="851"/>
        <w:tab w:val="right" w:leader="dot" w:pos="9072"/>
      </w:tabs>
      <w:spacing w:after="100"/>
      <w:ind w:left="425" w:right="-1"/>
    </w:pPr>
    <w:rPr>
      <w:noProof/>
      <w:sz w:val="24"/>
    </w:rPr>
  </w:style>
  <w:style w:type="paragraph" w:styleId="TOC3">
    <w:name w:val="toc 3"/>
    <w:basedOn w:val="Normal"/>
    <w:next w:val="Normal"/>
    <w:uiPriority w:val="39"/>
    <w:rsid w:val="00504E3C"/>
    <w:pPr>
      <w:tabs>
        <w:tab w:val="left" w:leader="dot" w:pos="8646"/>
        <w:tab w:val="right" w:pos="9072"/>
      </w:tabs>
      <w:ind w:left="1418" w:right="850"/>
    </w:pPr>
  </w:style>
  <w:style w:type="paragraph" w:styleId="CommentText">
    <w:name w:val="annotation text"/>
    <w:basedOn w:val="Normal"/>
    <w:link w:val="CommentTextChar"/>
    <w:uiPriority w:val="99"/>
    <w:semiHidden/>
    <w:rsid w:val="00504E3C"/>
    <w:rPr>
      <w:sz w:val="20"/>
    </w:rPr>
  </w:style>
  <w:style w:type="character" w:customStyle="1" w:styleId="CommentTextChar">
    <w:name w:val="Comment Text Char"/>
    <w:basedOn w:val="DefaultParagraphFont"/>
    <w:link w:val="CommentText"/>
    <w:uiPriority w:val="99"/>
    <w:semiHidden/>
    <w:rsid w:val="008D5CD9"/>
    <w:rPr>
      <w:rFonts w:ascii="Arial" w:hAnsi="Arial"/>
      <w:lang w:val="en-GB" w:eastAsia="en-GB"/>
    </w:rPr>
  </w:style>
  <w:style w:type="paragraph" w:styleId="CommentSubject">
    <w:name w:val="annotation subject"/>
    <w:basedOn w:val="CommentText"/>
    <w:next w:val="CommentText"/>
    <w:semiHidden/>
    <w:rsid w:val="00504E3C"/>
    <w:rPr>
      <w:b/>
      <w:bCs/>
    </w:rPr>
  </w:style>
  <w:style w:type="paragraph" w:styleId="DocumentMap">
    <w:name w:val="Document Map"/>
    <w:basedOn w:val="Normal"/>
    <w:semiHidden/>
    <w:rsid w:val="00504E3C"/>
    <w:pPr>
      <w:shd w:val="clear" w:color="auto" w:fill="000080"/>
    </w:pPr>
    <w:rPr>
      <w:rFonts w:ascii="Tahoma" w:hAnsi="Tahoma" w:cs="Tahoma"/>
      <w:sz w:val="20"/>
    </w:rPr>
  </w:style>
  <w:style w:type="paragraph" w:customStyle="1" w:styleId="Boxtext">
    <w:name w:val="Box text"/>
    <w:basedOn w:val="Normal"/>
    <w:rsid w:val="00374E9A"/>
    <w:pPr>
      <w:pBdr>
        <w:top w:val="single" w:sz="4" w:space="10" w:color="DDDDDD"/>
        <w:left w:val="single" w:sz="4" w:space="4" w:color="DDDDDD"/>
        <w:bottom w:val="single" w:sz="4" w:space="10" w:color="DDDDDD"/>
        <w:right w:val="single" w:sz="4" w:space="4" w:color="DDDDDD"/>
      </w:pBdr>
      <w:shd w:val="clear" w:color="auto" w:fill="E5E9F0"/>
      <w:spacing w:after="80"/>
      <w:ind w:left="142" w:right="142"/>
    </w:pPr>
    <w:rPr>
      <w:sz w:val="20"/>
    </w:rPr>
  </w:style>
  <w:style w:type="paragraph" w:customStyle="1" w:styleId="Boxbullet">
    <w:name w:val="Box bullet"/>
    <w:basedOn w:val="Boxtext"/>
    <w:rsid w:val="006062EF"/>
    <w:pPr>
      <w:numPr>
        <w:numId w:val="1"/>
      </w:numPr>
      <w:tabs>
        <w:tab w:val="clear" w:pos="644"/>
        <w:tab w:val="num" w:pos="426"/>
      </w:tabs>
      <w:spacing w:before="80"/>
      <w:ind w:left="426" w:hanging="284"/>
    </w:pPr>
  </w:style>
  <w:style w:type="paragraph" w:customStyle="1" w:styleId="Boxheading">
    <w:name w:val="Box heading"/>
    <w:basedOn w:val="Boxtext"/>
    <w:next w:val="Boxtext"/>
    <w:autoRedefine/>
    <w:rsid w:val="005C10C5"/>
    <w:pPr>
      <w:spacing w:after="0"/>
    </w:pPr>
    <w:rPr>
      <w:b/>
      <w:color w:val="335087"/>
      <w:sz w:val="22"/>
    </w:rPr>
  </w:style>
  <w:style w:type="paragraph" w:customStyle="1" w:styleId="Bullet-list">
    <w:name w:val="Bullet-list"/>
    <w:qFormat/>
    <w:rsid w:val="007F6D9C"/>
    <w:pPr>
      <w:numPr>
        <w:numId w:val="2"/>
      </w:numPr>
      <w:spacing w:after="180" w:line="280" w:lineRule="exact"/>
      <w:ind w:left="284" w:hanging="284"/>
    </w:pPr>
    <w:rPr>
      <w:rFonts w:asciiTheme="minorHAnsi" w:hAnsiTheme="minorHAnsi"/>
      <w:sz w:val="22"/>
      <w:lang w:val="en-AU" w:eastAsia="en-US"/>
    </w:rPr>
  </w:style>
  <w:style w:type="paragraph" w:customStyle="1" w:styleId="EvenFooter">
    <w:name w:val="Even Footer"/>
    <w:basedOn w:val="Footer"/>
    <w:rsid w:val="0054782B"/>
  </w:style>
  <w:style w:type="table" w:styleId="TableGrid">
    <w:name w:val="Table Grid"/>
    <w:basedOn w:val="TableNormal"/>
    <w:rsid w:val="00504E3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_spacer"/>
    <w:basedOn w:val="Normal"/>
    <w:next w:val="Normal"/>
    <w:rsid w:val="00504E3C"/>
    <w:pPr>
      <w:keepNext/>
      <w:spacing w:after="0" w:line="240" w:lineRule="auto"/>
    </w:pPr>
    <w:rPr>
      <w:sz w:val="20"/>
    </w:rPr>
  </w:style>
  <w:style w:type="paragraph" w:customStyle="1" w:styleId="TableText">
    <w:name w:val="Table Text"/>
    <w:basedOn w:val="Normal"/>
    <w:link w:val="TableTextChar"/>
    <w:qFormat/>
    <w:rsid w:val="00504E3C"/>
    <w:pPr>
      <w:autoSpaceDE w:val="0"/>
      <w:autoSpaceDN w:val="0"/>
      <w:adjustRightInd w:val="0"/>
      <w:spacing w:before="60" w:after="60" w:line="240" w:lineRule="atLeast"/>
    </w:pPr>
    <w:rPr>
      <w:rFonts w:cs="GillSans"/>
      <w:sz w:val="20"/>
      <w:szCs w:val="22"/>
      <w:lang w:eastAsia="en-AU"/>
    </w:rPr>
  </w:style>
  <w:style w:type="character" w:customStyle="1" w:styleId="TableTextChar">
    <w:name w:val="Table Text Char"/>
    <w:basedOn w:val="DefaultParagraphFont"/>
    <w:link w:val="TableText"/>
    <w:rsid w:val="00E25EF0"/>
    <w:rPr>
      <w:rFonts w:ascii="Arial" w:hAnsi="Arial" w:cs="GillSans"/>
      <w:szCs w:val="22"/>
      <w:lang w:val="en-GB" w:eastAsia="en-AU"/>
    </w:rPr>
  </w:style>
  <w:style w:type="paragraph" w:customStyle="1" w:styleId="Evenfooter-wide">
    <w:name w:val="Even footer-wide"/>
    <w:basedOn w:val="EvenFooter"/>
    <w:rsid w:val="0054782B"/>
  </w:style>
  <w:style w:type="character" w:styleId="CommentReference">
    <w:name w:val="annotation reference"/>
    <w:basedOn w:val="DefaultParagraphFont"/>
    <w:uiPriority w:val="99"/>
    <w:semiHidden/>
    <w:rsid w:val="00504E3C"/>
    <w:rPr>
      <w:sz w:val="16"/>
      <w:szCs w:val="16"/>
    </w:rPr>
  </w:style>
  <w:style w:type="character" w:styleId="FollowedHyperlink">
    <w:name w:val="FollowedHyperlink"/>
    <w:basedOn w:val="DefaultParagraphFont"/>
    <w:rsid w:val="00912583"/>
    <w:rPr>
      <w:color w:val="800080"/>
      <w:u w:val="single"/>
    </w:rPr>
  </w:style>
  <w:style w:type="paragraph" w:styleId="List">
    <w:name w:val="List"/>
    <w:basedOn w:val="Normal"/>
    <w:rsid w:val="00C9795B"/>
    <w:pPr>
      <w:ind w:left="283" w:hanging="283"/>
    </w:pPr>
  </w:style>
  <w:style w:type="paragraph" w:customStyle="1" w:styleId="Boxindent">
    <w:name w:val="Box indent"/>
    <w:basedOn w:val="Boxtext"/>
    <w:rsid w:val="001B24D5"/>
    <w:pPr>
      <w:tabs>
        <w:tab w:val="left" w:pos="426"/>
      </w:tabs>
      <w:ind w:left="426" w:hanging="284"/>
    </w:pPr>
  </w:style>
  <w:style w:type="paragraph" w:styleId="Title">
    <w:name w:val="Title"/>
    <w:basedOn w:val="Normal"/>
    <w:rsid w:val="00855476"/>
    <w:pPr>
      <w:widowControl w:val="0"/>
      <w:autoSpaceDE w:val="0"/>
      <w:autoSpaceDN w:val="0"/>
      <w:adjustRightInd w:val="0"/>
      <w:spacing w:before="1560" w:after="720" w:line="240" w:lineRule="atLeast"/>
    </w:pPr>
    <w:rPr>
      <w:rFonts w:cs="Arial"/>
      <w:color w:val="002469"/>
      <w:spacing w:val="40"/>
      <w:w w:val="90"/>
      <w:sz w:val="48"/>
      <w:szCs w:val="48"/>
    </w:rPr>
  </w:style>
  <w:style w:type="paragraph" w:customStyle="1" w:styleId="Author">
    <w:name w:val="Author"/>
    <w:basedOn w:val="Normal"/>
    <w:semiHidden/>
    <w:rsid w:val="00DF4E1F"/>
    <w:pPr>
      <w:spacing w:before="240" w:after="1200"/>
      <w:ind w:left="-181"/>
      <w:jc w:val="right"/>
    </w:pPr>
    <w:rPr>
      <w:rFonts w:cs="Arial"/>
      <w:i/>
      <w:sz w:val="40"/>
      <w:szCs w:val="22"/>
    </w:rPr>
  </w:style>
  <w:style w:type="paragraph" w:customStyle="1" w:styleId="spacer">
    <w:name w:val="spacer"/>
    <w:basedOn w:val="Normal"/>
    <w:qFormat/>
    <w:rsid w:val="00BF2DF2"/>
    <w:pPr>
      <w:spacing w:after="0" w:line="240" w:lineRule="auto"/>
    </w:pPr>
    <w:rPr>
      <w:sz w:val="16"/>
      <w:szCs w:val="22"/>
      <w:lang w:eastAsia="en-AU"/>
    </w:rPr>
  </w:style>
  <w:style w:type="paragraph" w:styleId="Subtitle">
    <w:name w:val="Subtitle"/>
    <w:basedOn w:val="Title"/>
    <w:next w:val="Normal"/>
    <w:link w:val="SubtitleChar"/>
    <w:rsid w:val="00855476"/>
    <w:pPr>
      <w:spacing w:before="360" w:line="600" w:lineRule="atLeast"/>
    </w:pPr>
    <w:rPr>
      <w:sz w:val="36"/>
      <w:szCs w:val="36"/>
    </w:rPr>
  </w:style>
  <w:style w:type="character" w:customStyle="1" w:styleId="SubtitleChar">
    <w:name w:val="Subtitle Char"/>
    <w:basedOn w:val="DefaultParagraphFont"/>
    <w:link w:val="Subtitle"/>
    <w:rsid w:val="00855476"/>
    <w:rPr>
      <w:rFonts w:ascii="Arial" w:hAnsi="Arial" w:cs="Arial"/>
      <w:color w:val="001C4D"/>
      <w:spacing w:val="40"/>
      <w:w w:val="90"/>
      <w:sz w:val="36"/>
      <w:szCs w:val="36"/>
      <w:lang w:val="en-GB" w:eastAsia="en-GB"/>
    </w:rPr>
  </w:style>
  <w:style w:type="paragraph" w:customStyle="1" w:styleId="TableBullet1">
    <w:name w:val="Table Bullet 1"/>
    <w:basedOn w:val="TableText"/>
    <w:rsid w:val="00E25EF0"/>
    <w:pPr>
      <w:numPr>
        <w:numId w:val="3"/>
      </w:numPr>
      <w:autoSpaceDE/>
      <w:autoSpaceDN/>
      <w:adjustRightInd/>
      <w:spacing w:before="30" w:after="30" w:line="240" w:lineRule="auto"/>
    </w:pPr>
    <w:rPr>
      <w:rFonts w:ascii="Garamond" w:hAnsi="Garamond" w:cs="Times New Roman"/>
      <w:sz w:val="22"/>
      <w:szCs w:val="24"/>
      <w:lang w:val="en-NZ" w:eastAsia="en-NZ"/>
    </w:rPr>
  </w:style>
  <w:style w:type="paragraph" w:customStyle="1" w:styleId="TableBullet2">
    <w:name w:val="Table Bullet 2"/>
    <w:basedOn w:val="TableText"/>
    <w:rsid w:val="00E25EF0"/>
    <w:pPr>
      <w:numPr>
        <w:ilvl w:val="1"/>
        <w:numId w:val="3"/>
      </w:numPr>
      <w:autoSpaceDE/>
      <w:autoSpaceDN/>
      <w:adjustRightInd/>
      <w:spacing w:before="30" w:after="30" w:line="240" w:lineRule="auto"/>
    </w:pPr>
    <w:rPr>
      <w:rFonts w:ascii="Garamond" w:hAnsi="Garamond" w:cs="Times New Roman"/>
      <w:sz w:val="22"/>
      <w:szCs w:val="24"/>
      <w:lang w:val="en-NZ" w:eastAsia="en-NZ"/>
    </w:rPr>
  </w:style>
  <w:style w:type="paragraph" w:customStyle="1" w:styleId="Intro">
    <w:name w:val="Intro"/>
    <w:basedOn w:val="Normal"/>
    <w:qFormat/>
    <w:rsid w:val="008D5CD9"/>
    <w:pPr>
      <w:spacing w:line="360" w:lineRule="atLeast"/>
    </w:pPr>
    <w:rPr>
      <w:color w:val="335087"/>
      <w:sz w:val="24"/>
    </w:rPr>
  </w:style>
  <w:style w:type="paragraph" w:styleId="ListParagraph">
    <w:name w:val="List Paragraph"/>
    <w:basedOn w:val="Normal"/>
    <w:link w:val="ListParagraphChar"/>
    <w:uiPriority w:val="34"/>
    <w:qFormat/>
    <w:rsid w:val="008D5CD9"/>
    <w:pPr>
      <w:ind w:left="720"/>
      <w:contextualSpacing/>
    </w:pPr>
  </w:style>
  <w:style w:type="paragraph" w:customStyle="1" w:styleId="Text">
    <w:name w:val="Text"/>
    <w:basedOn w:val="Normal"/>
    <w:link w:val="TextChar"/>
    <w:rsid w:val="008D5CD9"/>
    <w:pPr>
      <w:spacing w:before="120" w:after="120" w:line="300" w:lineRule="exact"/>
      <w:jc w:val="both"/>
    </w:pPr>
    <w:rPr>
      <w:lang w:eastAsia="en-US"/>
    </w:rPr>
  </w:style>
  <w:style w:type="character" w:customStyle="1" w:styleId="TextChar">
    <w:name w:val="Text Char"/>
    <w:basedOn w:val="DefaultParagraphFont"/>
    <w:link w:val="Text"/>
    <w:rsid w:val="008D5CD9"/>
    <w:rPr>
      <w:rFonts w:ascii="Arial" w:hAnsi="Arial"/>
      <w:sz w:val="22"/>
      <w:lang w:val="en-GB" w:eastAsia="en-US"/>
    </w:rPr>
  </w:style>
  <w:style w:type="paragraph" w:customStyle="1" w:styleId="TableBullet">
    <w:name w:val="Table Bullet"/>
    <w:basedOn w:val="Normal"/>
    <w:rsid w:val="001F492F"/>
    <w:pPr>
      <w:numPr>
        <w:ilvl w:val="1"/>
        <w:numId w:val="4"/>
      </w:numPr>
    </w:pPr>
  </w:style>
  <w:style w:type="paragraph" w:customStyle="1" w:styleId="Default">
    <w:name w:val="Default"/>
    <w:rsid w:val="000A2B77"/>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unhideWhenUsed/>
    <w:rsid w:val="006C4D79"/>
    <w:pPr>
      <w:numPr>
        <w:numId w:val="6"/>
      </w:numPr>
      <w:spacing w:before="240" w:after="0" w:line="240" w:lineRule="auto"/>
    </w:pPr>
    <w:rPr>
      <w:rFonts w:ascii="Arial Mäori" w:hAnsi="Arial Mäori"/>
      <w:szCs w:val="22"/>
      <w:lang w:val="en-NZ" w:eastAsia="en-US"/>
    </w:rPr>
  </w:style>
  <w:style w:type="character" w:customStyle="1" w:styleId="BodyTextChar">
    <w:name w:val="Body Text Char"/>
    <w:basedOn w:val="DefaultParagraphFont"/>
    <w:link w:val="BodyText"/>
    <w:rsid w:val="006C4D79"/>
    <w:rPr>
      <w:rFonts w:ascii="Arial Mäori" w:hAnsi="Arial Mäori"/>
      <w:sz w:val="22"/>
      <w:szCs w:val="22"/>
      <w:lang w:eastAsia="en-US"/>
    </w:rPr>
  </w:style>
  <w:style w:type="paragraph" w:customStyle="1" w:styleId="BodyTextlevel2">
    <w:name w:val="Body Text level 2"/>
    <w:basedOn w:val="BodyText"/>
    <w:qFormat/>
    <w:rsid w:val="006C4D79"/>
    <w:pPr>
      <w:numPr>
        <w:ilvl w:val="1"/>
      </w:numPr>
      <w:tabs>
        <w:tab w:val="num" w:pos="360"/>
      </w:tabs>
    </w:pPr>
  </w:style>
  <w:style w:type="numbering" w:customStyle="1" w:styleId="BodyList">
    <w:name w:val="Body List"/>
    <w:rsid w:val="006C4D79"/>
    <w:pPr>
      <w:numPr>
        <w:numId w:val="6"/>
      </w:numPr>
    </w:pPr>
  </w:style>
  <w:style w:type="paragraph" w:customStyle="1" w:styleId="Bullet1">
    <w:name w:val="Bullet1"/>
    <w:basedOn w:val="Normal"/>
    <w:qFormat/>
    <w:rsid w:val="00A14108"/>
    <w:pPr>
      <w:numPr>
        <w:numId w:val="7"/>
      </w:numPr>
      <w:suppressAutoHyphens/>
      <w:autoSpaceDE w:val="0"/>
      <w:autoSpaceDN w:val="0"/>
      <w:adjustRightInd w:val="0"/>
      <w:spacing w:after="120"/>
      <w:textAlignment w:val="center"/>
    </w:pPr>
    <w:rPr>
      <w:rFonts w:cstheme="minorHAnsi"/>
      <w:kern w:val="28"/>
      <w:szCs w:val="22"/>
      <w:lang w:val="en-NZ" w:eastAsia="en-AU"/>
    </w:rPr>
  </w:style>
  <w:style w:type="table" w:styleId="LightList-Accent5">
    <w:name w:val="Light List Accent 5"/>
    <w:basedOn w:val="TableNormal"/>
    <w:uiPriority w:val="61"/>
    <w:rsid w:val="00A3579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ReportBody">
    <w:name w:val="Report Body"/>
    <w:basedOn w:val="Normal"/>
    <w:link w:val="ReportBodyChar"/>
    <w:qFormat/>
    <w:rsid w:val="00301A8D"/>
    <w:pPr>
      <w:numPr>
        <w:numId w:val="8"/>
      </w:numPr>
      <w:tabs>
        <w:tab w:val="left" w:pos="567"/>
      </w:tabs>
      <w:spacing w:before="120" w:after="120" w:line="240" w:lineRule="auto"/>
      <w:jc w:val="both"/>
    </w:pPr>
    <w:rPr>
      <w:rFonts w:ascii="Verdana" w:hAnsi="Verdana" w:cs="Arial"/>
      <w:color w:val="000000"/>
      <w:kern w:val="22"/>
      <w:sz w:val="20"/>
      <w:lang w:val="en-NZ" w:eastAsia="en-NZ"/>
    </w:rPr>
  </w:style>
  <w:style w:type="character" w:customStyle="1" w:styleId="ReportBodyChar">
    <w:name w:val="Report Body Char"/>
    <w:basedOn w:val="DefaultParagraphFont"/>
    <w:link w:val="ReportBody"/>
    <w:rsid w:val="00301A8D"/>
    <w:rPr>
      <w:rFonts w:ascii="Verdana" w:hAnsi="Verdana" w:cs="Arial"/>
      <w:color w:val="000000"/>
      <w:kern w:val="22"/>
    </w:rPr>
  </w:style>
  <w:style w:type="paragraph" w:customStyle="1" w:styleId="ReportBody2">
    <w:name w:val="Report Body 2"/>
    <w:basedOn w:val="ReportBody"/>
    <w:qFormat/>
    <w:rsid w:val="00301A8D"/>
    <w:pPr>
      <w:numPr>
        <w:ilvl w:val="1"/>
      </w:numPr>
      <w:tabs>
        <w:tab w:val="clear" w:pos="493"/>
        <w:tab w:val="num" w:pos="360"/>
      </w:tabs>
    </w:pPr>
  </w:style>
  <w:style w:type="character" w:customStyle="1" w:styleId="ListParagraphChar">
    <w:name w:val="List Paragraph Char"/>
    <w:basedOn w:val="DefaultParagraphFont"/>
    <w:link w:val="ListParagraph"/>
    <w:uiPriority w:val="34"/>
    <w:rsid w:val="00601BDE"/>
    <w:rPr>
      <w:rFonts w:asciiTheme="minorHAnsi" w:hAnsiTheme="minorHAnsi"/>
      <w:sz w:val="22"/>
      <w:lang w:val="en-GB" w:eastAsia="en-GB"/>
    </w:rPr>
  </w:style>
  <w:style w:type="paragraph" w:styleId="ListBullet">
    <w:name w:val="List Bullet"/>
    <w:basedOn w:val="Normal"/>
    <w:uiPriority w:val="99"/>
    <w:rsid w:val="008053CC"/>
    <w:pPr>
      <w:tabs>
        <w:tab w:val="num" w:pos="360"/>
      </w:tabs>
      <w:ind w:left="360" w:hanging="360"/>
      <w:contextualSpacing/>
    </w:pPr>
  </w:style>
  <w:style w:type="paragraph" w:customStyle="1" w:styleId="TableHeading1">
    <w:name w:val="Table Heading 1"/>
    <w:basedOn w:val="Normal"/>
    <w:link w:val="TableHeading1Char"/>
    <w:qFormat/>
    <w:rsid w:val="00177B8E"/>
    <w:pPr>
      <w:keepNext/>
      <w:framePr w:hSpace="180" w:wrap="around" w:vAnchor="text" w:hAnchor="margin" w:y="4"/>
      <w:spacing w:after="0"/>
    </w:pPr>
    <w:rPr>
      <w:b/>
    </w:rPr>
  </w:style>
  <w:style w:type="character" w:customStyle="1" w:styleId="TableHeading1Char">
    <w:name w:val="Table Heading 1 Char"/>
    <w:basedOn w:val="DefaultParagraphFont"/>
    <w:link w:val="TableHeading1"/>
    <w:rsid w:val="00177B8E"/>
    <w:rPr>
      <w:rFonts w:asciiTheme="minorHAnsi" w:hAnsiTheme="minorHAnsi"/>
      <w:b/>
      <w:sz w:val="22"/>
      <w:lang w:val="en-GB" w:eastAsia="en-GB"/>
    </w:rPr>
  </w:style>
  <w:style w:type="paragraph" w:styleId="Revision">
    <w:name w:val="Revision"/>
    <w:hidden/>
    <w:uiPriority w:val="99"/>
    <w:semiHidden/>
    <w:rsid w:val="00CF6B00"/>
    <w:rPr>
      <w:rFonts w:asciiTheme="minorHAnsi" w:hAnsiTheme="minorHAnsi"/>
      <w:sz w:val="22"/>
      <w:lang w:val="en-GB" w:eastAsia="en-GB"/>
    </w:rPr>
  </w:style>
  <w:style w:type="paragraph" w:customStyle="1" w:styleId="SignatureText">
    <w:name w:val="Signature Text"/>
    <w:basedOn w:val="BodyText"/>
    <w:semiHidden/>
    <w:rsid w:val="008647E5"/>
    <w:pPr>
      <w:numPr>
        <w:numId w:val="0"/>
      </w:numPr>
      <w:suppressAutoHyphens/>
      <w:autoSpaceDE w:val="0"/>
      <w:autoSpaceDN w:val="0"/>
      <w:adjustRightInd w:val="0"/>
      <w:spacing w:before="120"/>
      <w:textAlignment w:val="center"/>
    </w:pPr>
    <w:rPr>
      <w:rFonts w:ascii="Verdana" w:hAnsi="Verdana" w:cs="Arial"/>
      <w:sz w:val="20"/>
      <w:szCs w:val="20"/>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caption" w:uiPriority="35" w:qFormat="1"/>
    <w:lsdException w:name="footnote reference" w:uiPriority="99"/>
    <w:lsdException w:name="annotation reference" w:uiPriority="99"/>
    <w:lsdException w:name="List Bullet" w:uiPriority="99"/>
    <w:lsdException w:name="Default Paragraph Font" w:uiPriority="1"/>
    <w:lsdException w:name="Hyperlink" w:uiPriority="99"/>
    <w:lsdException w:name="Strong" w:uiPriority="22"/>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F6D9C"/>
    <w:pPr>
      <w:spacing w:after="240" w:line="280" w:lineRule="atLeast"/>
    </w:pPr>
    <w:rPr>
      <w:rFonts w:asciiTheme="minorHAnsi" w:hAnsiTheme="minorHAnsi"/>
      <w:sz w:val="22"/>
      <w:lang w:val="en-GB" w:eastAsia="en-GB"/>
    </w:rPr>
  </w:style>
  <w:style w:type="paragraph" w:styleId="Heading1">
    <w:name w:val="heading 1"/>
    <w:basedOn w:val="Normal"/>
    <w:next w:val="Normal"/>
    <w:link w:val="Heading1Char"/>
    <w:qFormat/>
    <w:rsid w:val="004B4B2B"/>
    <w:pPr>
      <w:keepNext/>
      <w:tabs>
        <w:tab w:val="left" w:pos="567"/>
      </w:tabs>
      <w:spacing w:before="480" w:line="240" w:lineRule="auto"/>
      <w:outlineLvl w:val="0"/>
    </w:pPr>
    <w:rPr>
      <w:rFonts w:cs="Arial"/>
      <w:b/>
      <w:color w:val="002469"/>
      <w:spacing w:val="20"/>
      <w:w w:val="90"/>
      <w:sz w:val="38"/>
      <w:szCs w:val="38"/>
    </w:rPr>
  </w:style>
  <w:style w:type="paragraph" w:styleId="Heading2">
    <w:name w:val="heading 2"/>
    <w:basedOn w:val="Normal"/>
    <w:next w:val="Normal"/>
    <w:link w:val="Heading2Char"/>
    <w:qFormat/>
    <w:rsid w:val="0088541D"/>
    <w:pPr>
      <w:keepNext/>
      <w:tabs>
        <w:tab w:val="left" w:pos="567"/>
      </w:tabs>
      <w:spacing w:before="240" w:after="180" w:line="240" w:lineRule="auto"/>
      <w:ind w:left="567" w:hanging="567"/>
      <w:outlineLvl w:val="1"/>
    </w:pPr>
    <w:rPr>
      <w:b/>
      <w:color w:val="335087"/>
      <w:spacing w:val="20"/>
      <w:w w:val="90"/>
      <w:sz w:val="32"/>
      <w:szCs w:val="24"/>
    </w:rPr>
  </w:style>
  <w:style w:type="paragraph" w:styleId="Heading3">
    <w:name w:val="heading 3"/>
    <w:basedOn w:val="Heading2"/>
    <w:next w:val="Normal"/>
    <w:qFormat/>
    <w:rsid w:val="00374E9A"/>
    <w:pPr>
      <w:spacing w:before="200"/>
      <w:outlineLvl w:val="2"/>
    </w:pPr>
    <w:rPr>
      <w:sz w:val="24"/>
      <w:szCs w:val="22"/>
    </w:rPr>
  </w:style>
  <w:style w:type="paragraph" w:styleId="Heading4">
    <w:name w:val="heading 4"/>
    <w:basedOn w:val="Normal"/>
    <w:next w:val="Normal"/>
    <w:qFormat/>
    <w:rsid w:val="00961DC0"/>
    <w:pPr>
      <w:spacing w:before="120" w:after="200" w:line="240" w:lineRule="auto"/>
      <w:outlineLvl w:val="3"/>
    </w:pPr>
    <w:rPr>
      <w:b/>
      <w:bCs/>
      <w:color w:val="335087"/>
      <w:sz w:val="20"/>
    </w:rPr>
  </w:style>
  <w:style w:type="paragraph" w:styleId="Heading5">
    <w:name w:val="heading 5"/>
    <w:basedOn w:val="Normal"/>
    <w:next w:val="Normal"/>
    <w:rsid w:val="00504E3C"/>
    <w:pPr>
      <w:keepNext/>
      <w:widowControl w:val="0"/>
      <w:spacing w:before="80" w:after="120"/>
      <w:outlineLvl w:val="4"/>
    </w:pPr>
    <w:rPr>
      <w:color w:val="000000"/>
      <w:szCs w:val="22"/>
    </w:rPr>
  </w:style>
  <w:style w:type="paragraph" w:styleId="Heading6">
    <w:name w:val="heading 6"/>
    <w:basedOn w:val="Normal"/>
    <w:next w:val="Normal"/>
    <w:rsid w:val="00504E3C"/>
    <w:pPr>
      <w:spacing w:before="240"/>
      <w:outlineLvl w:val="5"/>
    </w:pPr>
    <w:rPr>
      <w:i/>
      <w:sz w:val="20"/>
    </w:rPr>
  </w:style>
  <w:style w:type="paragraph" w:styleId="Heading7">
    <w:name w:val="heading 7"/>
    <w:basedOn w:val="Normal"/>
    <w:next w:val="Normal"/>
    <w:rsid w:val="00504E3C"/>
    <w:pPr>
      <w:spacing w:before="240"/>
      <w:outlineLvl w:val="6"/>
    </w:pPr>
    <w:rPr>
      <w:sz w:val="20"/>
    </w:rPr>
  </w:style>
  <w:style w:type="paragraph" w:styleId="Heading8">
    <w:name w:val="heading 8"/>
    <w:basedOn w:val="Normal"/>
    <w:next w:val="Normal"/>
    <w:rsid w:val="00504E3C"/>
    <w:pPr>
      <w:spacing w:before="80" w:after="80"/>
      <w:outlineLvl w:val="7"/>
    </w:pPr>
    <w:rPr>
      <w:sz w:val="20"/>
    </w:rPr>
  </w:style>
  <w:style w:type="paragraph" w:styleId="Heading9">
    <w:name w:val="heading 9"/>
    <w:next w:val="Normal"/>
    <w:rsid w:val="00504E3C"/>
    <w:pPr>
      <w:keepNext/>
      <w:spacing w:before="160" w:line="260" w:lineRule="exact"/>
      <w:outlineLvl w:val="8"/>
    </w:pPr>
    <w:rPr>
      <w:rFonts w:ascii="Arial" w:hAnsi="Arial"/>
      <w:b/>
      <w:i/>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4B2B"/>
    <w:rPr>
      <w:rFonts w:ascii="Arial" w:hAnsi="Arial" w:cs="Arial"/>
      <w:b/>
      <w:color w:val="002469"/>
      <w:spacing w:val="20"/>
      <w:w w:val="90"/>
      <w:sz w:val="38"/>
      <w:szCs w:val="38"/>
      <w:lang w:val="en-GB" w:eastAsia="en-GB"/>
    </w:rPr>
  </w:style>
  <w:style w:type="character" w:customStyle="1" w:styleId="Heading2Char">
    <w:name w:val="Heading 2 Char"/>
    <w:basedOn w:val="DefaultParagraphFont"/>
    <w:link w:val="Heading2"/>
    <w:rsid w:val="0088541D"/>
    <w:rPr>
      <w:rFonts w:ascii="Arial" w:hAnsi="Arial"/>
      <w:b/>
      <w:color w:val="335087"/>
      <w:spacing w:val="20"/>
      <w:w w:val="90"/>
      <w:sz w:val="32"/>
      <w:szCs w:val="24"/>
      <w:lang w:val="en-GB" w:eastAsia="en-GB"/>
    </w:rPr>
  </w:style>
  <w:style w:type="paragraph" w:styleId="Header">
    <w:name w:val="header"/>
    <w:basedOn w:val="Normal"/>
    <w:rsid w:val="004C2B29"/>
    <w:pPr>
      <w:tabs>
        <w:tab w:val="center" w:pos="4153"/>
        <w:tab w:val="right" w:pos="8306"/>
      </w:tabs>
    </w:pPr>
  </w:style>
  <w:style w:type="paragraph" w:styleId="Footer">
    <w:name w:val="footer"/>
    <w:basedOn w:val="Normal"/>
    <w:link w:val="FooterChar"/>
    <w:autoRedefine/>
    <w:rsid w:val="007A4CBF"/>
    <w:pPr>
      <w:tabs>
        <w:tab w:val="right" w:pos="9072"/>
      </w:tabs>
      <w:spacing w:after="0" w:line="240" w:lineRule="auto"/>
    </w:pPr>
    <w:rPr>
      <w:noProof/>
      <w:color w:val="002469"/>
      <w:spacing w:val="6"/>
      <w:sz w:val="16"/>
      <w:szCs w:val="16"/>
    </w:rPr>
  </w:style>
  <w:style w:type="character" w:customStyle="1" w:styleId="FooterChar">
    <w:name w:val="Footer Char"/>
    <w:basedOn w:val="DefaultParagraphFont"/>
    <w:link w:val="Footer"/>
    <w:rsid w:val="007A4CBF"/>
    <w:rPr>
      <w:rFonts w:ascii="Arial" w:hAnsi="Arial"/>
      <w:noProof/>
      <w:color w:val="002469"/>
      <w:spacing w:val="6"/>
      <w:sz w:val="16"/>
      <w:szCs w:val="16"/>
      <w:lang w:val="en-GB" w:eastAsia="en-GB"/>
    </w:rPr>
  </w:style>
  <w:style w:type="character" w:styleId="Hyperlink">
    <w:name w:val="Hyperlink"/>
    <w:basedOn w:val="DefaultParagraphFont"/>
    <w:uiPriority w:val="99"/>
    <w:rsid w:val="002C097E"/>
    <w:rPr>
      <w:color w:val="002469"/>
      <w:u w:val="single"/>
    </w:rPr>
  </w:style>
  <w:style w:type="paragraph" w:styleId="BalloonText">
    <w:name w:val="Balloon Text"/>
    <w:basedOn w:val="Normal"/>
    <w:semiHidden/>
    <w:rsid w:val="00504E3C"/>
    <w:rPr>
      <w:rFonts w:ascii="Tahoma" w:hAnsi="Tahoma" w:cs="Tahoma"/>
      <w:sz w:val="16"/>
      <w:szCs w:val="16"/>
    </w:rPr>
  </w:style>
  <w:style w:type="paragraph" w:styleId="Caption">
    <w:name w:val="caption"/>
    <w:basedOn w:val="Normal"/>
    <w:next w:val="Normal"/>
    <w:uiPriority w:val="35"/>
    <w:qFormat/>
    <w:rsid w:val="006A3F76"/>
    <w:rPr>
      <w:b/>
      <w:bCs/>
      <w:sz w:val="20"/>
    </w:rPr>
  </w:style>
  <w:style w:type="paragraph" w:styleId="FootnoteText">
    <w:name w:val="footnote text"/>
    <w:aliases w:val="Footnote Text Char Char,Footnote Text Char Char2 Char Char,Footnote Text Char Char1 Char Char Char Char,Footnote Text Char1 Char Char Char Char Char Char,Footnote Text Char Char Char Char Char Char Char Char,Footnote Text Char1"/>
    <w:basedOn w:val="Normal"/>
    <w:link w:val="FootnoteTextChar"/>
    <w:uiPriority w:val="99"/>
    <w:qFormat/>
    <w:rsid w:val="00DE0BBD"/>
    <w:pPr>
      <w:tabs>
        <w:tab w:val="left" w:pos="425"/>
      </w:tabs>
      <w:spacing w:after="60" w:line="240" w:lineRule="auto"/>
      <w:ind w:left="425" w:hanging="425"/>
    </w:pPr>
    <w:rPr>
      <w:rFonts w:ascii="Arial" w:hAnsi="Arial"/>
      <w:sz w:val="18"/>
    </w:rPr>
  </w:style>
  <w:style w:type="character" w:customStyle="1" w:styleId="FootnoteTextChar">
    <w:name w:val="Footnote Text Char"/>
    <w:aliases w:val="Footnote Text Char Char Char,Footnote Text Char Char2 Char Char Char,Footnote Text Char Char1 Char Char Char Char Char,Footnote Text Char1 Char Char Char Char Char Char Char,Footnote Text Char Char Char Char Char Char Char Char Char"/>
    <w:basedOn w:val="DefaultParagraphFont"/>
    <w:link w:val="FootnoteText"/>
    <w:uiPriority w:val="99"/>
    <w:rsid w:val="00DE0BBD"/>
    <w:rPr>
      <w:rFonts w:ascii="Arial" w:hAnsi="Arial"/>
      <w:sz w:val="18"/>
      <w:lang w:val="en-GB" w:eastAsia="en-GB"/>
    </w:rPr>
  </w:style>
  <w:style w:type="character" w:styleId="FootnoteReference">
    <w:name w:val="footnote reference"/>
    <w:basedOn w:val="DefaultParagraphFont"/>
    <w:uiPriority w:val="99"/>
    <w:rsid w:val="00504E3C"/>
    <w:rPr>
      <w:rFonts w:ascii="Arial" w:hAnsi="Arial"/>
      <w:color w:val="auto"/>
      <w:position w:val="8"/>
      <w:sz w:val="16"/>
    </w:rPr>
  </w:style>
  <w:style w:type="paragraph" w:styleId="TOC1">
    <w:name w:val="toc 1"/>
    <w:basedOn w:val="Normal"/>
    <w:next w:val="Normal"/>
    <w:uiPriority w:val="39"/>
    <w:rsid w:val="00F80E02"/>
    <w:pPr>
      <w:tabs>
        <w:tab w:val="left" w:pos="426"/>
        <w:tab w:val="right" w:leader="dot" w:pos="9072"/>
      </w:tabs>
      <w:spacing w:before="120" w:after="120"/>
    </w:pPr>
    <w:rPr>
      <w:bCs/>
      <w:noProof/>
      <w:sz w:val="24"/>
      <w:szCs w:val="44"/>
    </w:rPr>
  </w:style>
  <w:style w:type="paragraph" w:styleId="TOC2">
    <w:name w:val="toc 2"/>
    <w:basedOn w:val="Normal"/>
    <w:next w:val="Normal"/>
    <w:uiPriority w:val="39"/>
    <w:rsid w:val="00F80E02"/>
    <w:pPr>
      <w:tabs>
        <w:tab w:val="left" w:pos="851"/>
        <w:tab w:val="right" w:leader="dot" w:pos="9072"/>
      </w:tabs>
      <w:spacing w:after="100"/>
      <w:ind w:left="425" w:right="-1"/>
    </w:pPr>
    <w:rPr>
      <w:noProof/>
      <w:sz w:val="24"/>
    </w:rPr>
  </w:style>
  <w:style w:type="paragraph" w:styleId="TOC3">
    <w:name w:val="toc 3"/>
    <w:basedOn w:val="Normal"/>
    <w:next w:val="Normal"/>
    <w:uiPriority w:val="39"/>
    <w:rsid w:val="00504E3C"/>
    <w:pPr>
      <w:tabs>
        <w:tab w:val="left" w:leader="dot" w:pos="8646"/>
        <w:tab w:val="right" w:pos="9072"/>
      </w:tabs>
      <w:ind w:left="1418" w:right="850"/>
    </w:pPr>
  </w:style>
  <w:style w:type="paragraph" w:styleId="CommentText">
    <w:name w:val="annotation text"/>
    <w:basedOn w:val="Normal"/>
    <w:link w:val="CommentTextChar"/>
    <w:uiPriority w:val="99"/>
    <w:semiHidden/>
    <w:rsid w:val="00504E3C"/>
    <w:rPr>
      <w:sz w:val="20"/>
    </w:rPr>
  </w:style>
  <w:style w:type="character" w:customStyle="1" w:styleId="CommentTextChar">
    <w:name w:val="Comment Text Char"/>
    <w:basedOn w:val="DefaultParagraphFont"/>
    <w:link w:val="CommentText"/>
    <w:uiPriority w:val="99"/>
    <w:semiHidden/>
    <w:rsid w:val="008D5CD9"/>
    <w:rPr>
      <w:rFonts w:ascii="Arial" w:hAnsi="Arial"/>
      <w:lang w:val="en-GB" w:eastAsia="en-GB"/>
    </w:rPr>
  </w:style>
  <w:style w:type="paragraph" w:styleId="CommentSubject">
    <w:name w:val="annotation subject"/>
    <w:basedOn w:val="CommentText"/>
    <w:next w:val="CommentText"/>
    <w:semiHidden/>
    <w:rsid w:val="00504E3C"/>
    <w:rPr>
      <w:b/>
      <w:bCs/>
    </w:rPr>
  </w:style>
  <w:style w:type="paragraph" w:styleId="DocumentMap">
    <w:name w:val="Document Map"/>
    <w:basedOn w:val="Normal"/>
    <w:semiHidden/>
    <w:rsid w:val="00504E3C"/>
    <w:pPr>
      <w:shd w:val="clear" w:color="auto" w:fill="000080"/>
    </w:pPr>
    <w:rPr>
      <w:rFonts w:ascii="Tahoma" w:hAnsi="Tahoma" w:cs="Tahoma"/>
      <w:sz w:val="20"/>
    </w:rPr>
  </w:style>
  <w:style w:type="paragraph" w:customStyle="1" w:styleId="Boxtext">
    <w:name w:val="Box text"/>
    <w:basedOn w:val="Normal"/>
    <w:rsid w:val="00374E9A"/>
    <w:pPr>
      <w:pBdr>
        <w:top w:val="single" w:sz="4" w:space="10" w:color="DDDDDD"/>
        <w:left w:val="single" w:sz="4" w:space="4" w:color="DDDDDD"/>
        <w:bottom w:val="single" w:sz="4" w:space="10" w:color="DDDDDD"/>
        <w:right w:val="single" w:sz="4" w:space="4" w:color="DDDDDD"/>
      </w:pBdr>
      <w:shd w:val="clear" w:color="auto" w:fill="E5E9F0"/>
      <w:spacing w:after="80"/>
      <w:ind w:left="142" w:right="142"/>
    </w:pPr>
    <w:rPr>
      <w:sz w:val="20"/>
    </w:rPr>
  </w:style>
  <w:style w:type="paragraph" w:customStyle="1" w:styleId="Boxbullet">
    <w:name w:val="Box bullet"/>
    <w:basedOn w:val="Boxtext"/>
    <w:rsid w:val="006062EF"/>
    <w:pPr>
      <w:numPr>
        <w:numId w:val="1"/>
      </w:numPr>
      <w:tabs>
        <w:tab w:val="clear" w:pos="644"/>
        <w:tab w:val="num" w:pos="426"/>
      </w:tabs>
      <w:spacing w:before="80"/>
      <w:ind w:left="426" w:hanging="284"/>
    </w:pPr>
  </w:style>
  <w:style w:type="paragraph" w:customStyle="1" w:styleId="Boxheading">
    <w:name w:val="Box heading"/>
    <w:basedOn w:val="Boxtext"/>
    <w:next w:val="Boxtext"/>
    <w:autoRedefine/>
    <w:rsid w:val="005C10C5"/>
    <w:pPr>
      <w:spacing w:after="0"/>
    </w:pPr>
    <w:rPr>
      <w:b/>
      <w:color w:val="335087"/>
      <w:sz w:val="22"/>
    </w:rPr>
  </w:style>
  <w:style w:type="paragraph" w:customStyle="1" w:styleId="Bullet-list">
    <w:name w:val="Bullet-list"/>
    <w:qFormat/>
    <w:rsid w:val="007F6D9C"/>
    <w:pPr>
      <w:numPr>
        <w:numId w:val="2"/>
      </w:numPr>
      <w:spacing w:after="180" w:line="280" w:lineRule="exact"/>
      <w:ind w:left="284" w:hanging="284"/>
    </w:pPr>
    <w:rPr>
      <w:rFonts w:asciiTheme="minorHAnsi" w:hAnsiTheme="minorHAnsi"/>
      <w:sz w:val="22"/>
      <w:lang w:val="en-AU" w:eastAsia="en-US"/>
    </w:rPr>
  </w:style>
  <w:style w:type="paragraph" w:customStyle="1" w:styleId="EvenFooter">
    <w:name w:val="Even Footer"/>
    <w:basedOn w:val="Footer"/>
    <w:rsid w:val="0054782B"/>
  </w:style>
  <w:style w:type="table" w:styleId="TableGrid">
    <w:name w:val="Table Grid"/>
    <w:basedOn w:val="TableNormal"/>
    <w:rsid w:val="00504E3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_spacer"/>
    <w:basedOn w:val="Normal"/>
    <w:next w:val="Normal"/>
    <w:rsid w:val="00504E3C"/>
    <w:pPr>
      <w:keepNext/>
      <w:spacing w:after="0" w:line="240" w:lineRule="auto"/>
    </w:pPr>
    <w:rPr>
      <w:sz w:val="20"/>
    </w:rPr>
  </w:style>
  <w:style w:type="paragraph" w:customStyle="1" w:styleId="TableText">
    <w:name w:val="Table Text"/>
    <w:basedOn w:val="Normal"/>
    <w:link w:val="TableTextChar"/>
    <w:qFormat/>
    <w:rsid w:val="00504E3C"/>
    <w:pPr>
      <w:autoSpaceDE w:val="0"/>
      <w:autoSpaceDN w:val="0"/>
      <w:adjustRightInd w:val="0"/>
      <w:spacing w:before="60" w:after="60" w:line="240" w:lineRule="atLeast"/>
    </w:pPr>
    <w:rPr>
      <w:rFonts w:cs="GillSans"/>
      <w:sz w:val="20"/>
      <w:szCs w:val="22"/>
      <w:lang w:eastAsia="en-AU"/>
    </w:rPr>
  </w:style>
  <w:style w:type="character" w:customStyle="1" w:styleId="TableTextChar">
    <w:name w:val="Table Text Char"/>
    <w:basedOn w:val="DefaultParagraphFont"/>
    <w:link w:val="TableText"/>
    <w:rsid w:val="00E25EF0"/>
    <w:rPr>
      <w:rFonts w:ascii="Arial" w:hAnsi="Arial" w:cs="GillSans"/>
      <w:szCs w:val="22"/>
      <w:lang w:val="en-GB" w:eastAsia="en-AU"/>
    </w:rPr>
  </w:style>
  <w:style w:type="paragraph" w:customStyle="1" w:styleId="Evenfooter-wide">
    <w:name w:val="Even footer-wide"/>
    <w:basedOn w:val="EvenFooter"/>
    <w:rsid w:val="0054782B"/>
  </w:style>
  <w:style w:type="character" w:styleId="CommentReference">
    <w:name w:val="annotation reference"/>
    <w:basedOn w:val="DefaultParagraphFont"/>
    <w:uiPriority w:val="99"/>
    <w:semiHidden/>
    <w:rsid w:val="00504E3C"/>
    <w:rPr>
      <w:sz w:val="16"/>
      <w:szCs w:val="16"/>
    </w:rPr>
  </w:style>
  <w:style w:type="character" w:styleId="FollowedHyperlink">
    <w:name w:val="FollowedHyperlink"/>
    <w:basedOn w:val="DefaultParagraphFont"/>
    <w:rsid w:val="00912583"/>
    <w:rPr>
      <w:color w:val="800080"/>
      <w:u w:val="single"/>
    </w:rPr>
  </w:style>
  <w:style w:type="paragraph" w:styleId="List">
    <w:name w:val="List"/>
    <w:basedOn w:val="Normal"/>
    <w:rsid w:val="00C9795B"/>
    <w:pPr>
      <w:ind w:left="283" w:hanging="283"/>
    </w:pPr>
  </w:style>
  <w:style w:type="paragraph" w:customStyle="1" w:styleId="Boxindent">
    <w:name w:val="Box indent"/>
    <w:basedOn w:val="Boxtext"/>
    <w:rsid w:val="001B24D5"/>
    <w:pPr>
      <w:tabs>
        <w:tab w:val="left" w:pos="426"/>
      </w:tabs>
      <w:ind w:left="426" w:hanging="284"/>
    </w:pPr>
  </w:style>
  <w:style w:type="paragraph" w:styleId="Title">
    <w:name w:val="Title"/>
    <w:basedOn w:val="Normal"/>
    <w:rsid w:val="00855476"/>
    <w:pPr>
      <w:widowControl w:val="0"/>
      <w:autoSpaceDE w:val="0"/>
      <w:autoSpaceDN w:val="0"/>
      <w:adjustRightInd w:val="0"/>
      <w:spacing w:before="1560" w:after="720" w:line="240" w:lineRule="atLeast"/>
    </w:pPr>
    <w:rPr>
      <w:rFonts w:cs="Arial"/>
      <w:color w:val="002469"/>
      <w:spacing w:val="40"/>
      <w:w w:val="90"/>
      <w:sz w:val="48"/>
      <w:szCs w:val="48"/>
    </w:rPr>
  </w:style>
  <w:style w:type="paragraph" w:customStyle="1" w:styleId="Author">
    <w:name w:val="Author"/>
    <w:basedOn w:val="Normal"/>
    <w:semiHidden/>
    <w:rsid w:val="00DF4E1F"/>
    <w:pPr>
      <w:spacing w:before="240" w:after="1200"/>
      <w:ind w:left="-181"/>
      <w:jc w:val="right"/>
    </w:pPr>
    <w:rPr>
      <w:rFonts w:cs="Arial"/>
      <w:i/>
      <w:sz w:val="40"/>
      <w:szCs w:val="22"/>
    </w:rPr>
  </w:style>
  <w:style w:type="paragraph" w:customStyle="1" w:styleId="spacer">
    <w:name w:val="spacer"/>
    <w:basedOn w:val="Normal"/>
    <w:qFormat/>
    <w:rsid w:val="00BF2DF2"/>
    <w:pPr>
      <w:spacing w:after="0" w:line="240" w:lineRule="auto"/>
    </w:pPr>
    <w:rPr>
      <w:sz w:val="16"/>
      <w:szCs w:val="22"/>
      <w:lang w:eastAsia="en-AU"/>
    </w:rPr>
  </w:style>
  <w:style w:type="paragraph" w:styleId="Subtitle">
    <w:name w:val="Subtitle"/>
    <w:basedOn w:val="Title"/>
    <w:next w:val="Normal"/>
    <w:link w:val="SubtitleChar"/>
    <w:rsid w:val="00855476"/>
    <w:pPr>
      <w:spacing w:before="360" w:line="600" w:lineRule="atLeast"/>
    </w:pPr>
    <w:rPr>
      <w:sz w:val="36"/>
      <w:szCs w:val="36"/>
    </w:rPr>
  </w:style>
  <w:style w:type="character" w:customStyle="1" w:styleId="SubtitleChar">
    <w:name w:val="Subtitle Char"/>
    <w:basedOn w:val="DefaultParagraphFont"/>
    <w:link w:val="Subtitle"/>
    <w:rsid w:val="00855476"/>
    <w:rPr>
      <w:rFonts w:ascii="Arial" w:hAnsi="Arial" w:cs="Arial"/>
      <w:color w:val="001C4D"/>
      <w:spacing w:val="40"/>
      <w:w w:val="90"/>
      <w:sz w:val="36"/>
      <w:szCs w:val="36"/>
      <w:lang w:val="en-GB" w:eastAsia="en-GB"/>
    </w:rPr>
  </w:style>
  <w:style w:type="paragraph" w:customStyle="1" w:styleId="TableBullet1">
    <w:name w:val="Table Bullet 1"/>
    <w:basedOn w:val="TableText"/>
    <w:rsid w:val="00E25EF0"/>
    <w:pPr>
      <w:numPr>
        <w:numId w:val="3"/>
      </w:numPr>
      <w:autoSpaceDE/>
      <w:autoSpaceDN/>
      <w:adjustRightInd/>
      <w:spacing w:before="30" w:after="30" w:line="240" w:lineRule="auto"/>
    </w:pPr>
    <w:rPr>
      <w:rFonts w:ascii="Garamond" w:hAnsi="Garamond" w:cs="Times New Roman"/>
      <w:sz w:val="22"/>
      <w:szCs w:val="24"/>
      <w:lang w:val="en-NZ" w:eastAsia="en-NZ"/>
    </w:rPr>
  </w:style>
  <w:style w:type="paragraph" w:customStyle="1" w:styleId="TableBullet2">
    <w:name w:val="Table Bullet 2"/>
    <w:basedOn w:val="TableText"/>
    <w:rsid w:val="00E25EF0"/>
    <w:pPr>
      <w:numPr>
        <w:ilvl w:val="1"/>
        <w:numId w:val="3"/>
      </w:numPr>
      <w:autoSpaceDE/>
      <w:autoSpaceDN/>
      <w:adjustRightInd/>
      <w:spacing w:before="30" w:after="30" w:line="240" w:lineRule="auto"/>
    </w:pPr>
    <w:rPr>
      <w:rFonts w:ascii="Garamond" w:hAnsi="Garamond" w:cs="Times New Roman"/>
      <w:sz w:val="22"/>
      <w:szCs w:val="24"/>
      <w:lang w:val="en-NZ" w:eastAsia="en-NZ"/>
    </w:rPr>
  </w:style>
  <w:style w:type="paragraph" w:customStyle="1" w:styleId="Intro">
    <w:name w:val="Intro"/>
    <w:basedOn w:val="Normal"/>
    <w:qFormat/>
    <w:rsid w:val="008D5CD9"/>
    <w:pPr>
      <w:spacing w:line="360" w:lineRule="atLeast"/>
    </w:pPr>
    <w:rPr>
      <w:color w:val="335087"/>
      <w:sz w:val="24"/>
    </w:rPr>
  </w:style>
  <w:style w:type="paragraph" w:styleId="ListParagraph">
    <w:name w:val="List Paragraph"/>
    <w:basedOn w:val="Normal"/>
    <w:link w:val="ListParagraphChar"/>
    <w:uiPriority w:val="34"/>
    <w:qFormat/>
    <w:rsid w:val="008D5CD9"/>
    <w:pPr>
      <w:ind w:left="720"/>
      <w:contextualSpacing/>
    </w:pPr>
  </w:style>
  <w:style w:type="paragraph" w:customStyle="1" w:styleId="Text">
    <w:name w:val="Text"/>
    <w:basedOn w:val="Normal"/>
    <w:link w:val="TextChar"/>
    <w:rsid w:val="008D5CD9"/>
    <w:pPr>
      <w:spacing w:before="120" w:after="120" w:line="300" w:lineRule="exact"/>
      <w:jc w:val="both"/>
    </w:pPr>
    <w:rPr>
      <w:lang w:eastAsia="en-US"/>
    </w:rPr>
  </w:style>
  <w:style w:type="character" w:customStyle="1" w:styleId="TextChar">
    <w:name w:val="Text Char"/>
    <w:basedOn w:val="DefaultParagraphFont"/>
    <w:link w:val="Text"/>
    <w:rsid w:val="008D5CD9"/>
    <w:rPr>
      <w:rFonts w:ascii="Arial" w:hAnsi="Arial"/>
      <w:sz w:val="22"/>
      <w:lang w:val="en-GB" w:eastAsia="en-US"/>
    </w:rPr>
  </w:style>
  <w:style w:type="paragraph" w:customStyle="1" w:styleId="TableBullet">
    <w:name w:val="Table Bullet"/>
    <w:basedOn w:val="Normal"/>
    <w:rsid w:val="001F492F"/>
    <w:pPr>
      <w:numPr>
        <w:ilvl w:val="1"/>
        <w:numId w:val="4"/>
      </w:numPr>
    </w:pPr>
  </w:style>
  <w:style w:type="paragraph" w:customStyle="1" w:styleId="Default">
    <w:name w:val="Default"/>
    <w:rsid w:val="000A2B77"/>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unhideWhenUsed/>
    <w:rsid w:val="006C4D79"/>
    <w:pPr>
      <w:numPr>
        <w:numId w:val="6"/>
      </w:numPr>
      <w:spacing w:before="240" w:after="0" w:line="240" w:lineRule="auto"/>
    </w:pPr>
    <w:rPr>
      <w:rFonts w:ascii="Arial Mäori" w:hAnsi="Arial Mäori"/>
      <w:szCs w:val="22"/>
      <w:lang w:val="en-NZ" w:eastAsia="en-US"/>
    </w:rPr>
  </w:style>
  <w:style w:type="character" w:customStyle="1" w:styleId="BodyTextChar">
    <w:name w:val="Body Text Char"/>
    <w:basedOn w:val="DefaultParagraphFont"/>
    <w:link w:val="BodyText"/>
    <w:rsid w:val="006C4D79"/>
    <w:rPr>
      <w:rFonts w:ascii="Arial Mäori" w:hAnsi="Arial Mäori"/>
      <w:sz w:val="22"/>
      <w:szCs w:val="22"/>
      <w:lang w:eastAsia="en-US"/>
    </w:rPr>
  </w:style>
  <w:style w:type="paragraph" w:customStyle="1" w:styleId="BodyTextlevel2">
    <w:name w:val="Body Text level 2"/>
    <w:basedOn w:val="BodyText"/>
    <w:qFormat/>
    <w:rsid w:val="006C4D79"/>
    <w:pPr>
      <w:numPr>
        <w:ilvl w:val="1"/>
      </w:numPr>
      <w:tabs>
        <w:tab w:val="num" w:pos="360"/>
      </w:tabs>
    </w:pPr>
  </w:style>
  <w:style w:type="numbering" w:customStyle="1" w:styleId="BodyList">
    <w:name w:val="Body List"/>
    <w:rsid w:val="006C4D79"/>
    <w:pPr>
      <w:numPr>
        <w:numId w:val="6"/>
      </w:numPr>
    </w:pPr>
  </w:style>
  <w:style w:type="paragraph" w:customStyle="1" w:styleId="Bullet1">
    <w:name w:val="Bullet1"/>
    <w:basedOn w:val="Normal"/>
    <w:qFormat/>
    <w:rsid w:val="00A14108"/>
    <w:pPr>
      <w:numPr>
        <w:numId w:val="7"/>
      </w:numPr>
      <w:suppressAutoHyphens/>
      <w:autoSpaceDE w:val="0"/>
      <w:autoSpaceDN w:val="0"/>
      <w:adjustRightInd w:val="0"/>
      <w:spacing w:after="120"/>
      <w:textAlignment w:val="center"/>
    </w:pPr>
    <w:rPr>
      <w:rFonts w:cstheme="minorHAnsi"/>
      <w:kern w:val="28"/>
      <w:szCs w:val="22"/>
      <w:lang w:val="en-NZ" w:eastAsia="en-AU"/>
    </w:rPr>
  </w:style>
  <w:style w:type="table" w:styleId="LightList-Accent5">
    <w:name w:val="Light List Accent 5"/>
    <w:basedOn w:val="TableNormal"/>
    <w:uiPriority w:val="61"/>
    <w:rsid w:val="00A3579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ReportBody">
    <w:name w:val="Report Body"/>
    <w:basedOn w:val="Normal"/>
    <w:link w:val="ReportBodyChar"/>
    <w:qFormat/>
    <w:rsid w:val="00301A8D"/>
    <w:pPr>
      <w:numPr>
        <w:numId w:val="8"/>
      </w:numPr>
      <w:tabs>
        <w:tab w:val="left" w:pos="567"/>
      </w:tabs>
      <w:spacing w:before="120" w:after="120" w:line="240" w:lineRule="auto"/>
      <w:jc w:val="both"/>
    </w:pPr>
    <w:rPr>
      <w:rFonts w:ascii="Verdana" w:hAnsi="Verdana" w:cs="Arial"/>
      <w:color w:val="000000"/>
      <w:kern w:val="22"/>
      <w:sz w:val="20"/>
      <w:lang w:val="en-NZ" w:eastAsia="en-NZ"/>
    </w:rPr>
  </w:style>
  <w:style w:type="character" w:customStyle="1" w:styleId="ReportBodyChar">
    <w:name w:val="Report Body Char"/>
    <w:basedOn w:val="DefaultParagraphFont"/>
    <w:link w:val="ReportBody"/>
    <w:rsid w:val="00301A8D"/>
    <w:rPr>
      <w:rFonts w:ascii="Verdana" w:hAnsi="Verdana" w:cs="Arial"/>
      <w:color w:val="000000"/>
      <w:kern w:val="22"/>
    </w:rPr>
  </w:style>
  <w:style w:type="paragraph" w:customStyle="1" w:styleId="ReportBody2">
    <w:name w:val="Report Body 2"/>
    <w:basedOn w:val="ReportBody"/>
    <w:qFormat/>
    <w:rsid w:val="00301A8D"/>
    <w:pPr>
      <w:numPr>
        <w:ilvl w:val="1"/>
      </w:numPr>
      <w:tabs>
        <w:tab w:val="clear" w:pos="493"/>
        <w:tab w:val="num" w:pos="360"/>
      </w:tabs>
    </w:pPr>
  </w:style>
  <w:style w:type="character" w:customStyle="1" w:styleId="ListParagraphChar">
    <w:name w:val="List Paragraph Char"/>
    <w:basedOn w:val="DefaultParagraphFont"/>
    <w:link w:val="ListParagraph"/>
    <w:uiPriority w:val="34"/>
    <w:rsid w:val="00601BDE"/>
    <w:rPr>
      <w:rFonts w:asciiTheme="minorHAnsi" w:hAnsiTheme="minorHAnsi"/>
      <w:sz w:val="22"/>
      <w:lang w:val="en-GB" w:eastAsia="en-GB"/>
    </w:rPr>
  </w:style>
  <w:style w:type="paragraph" w:styleId="ListBullet">
    <w:name w:val="List Bullet"/>
    <w:basedOn w:val="Normal"/>
    <w:uiPriority w:val="99"/>
    <w:rsid w:val="008053CC"/>
    <w:pPr>
      <w:tabs>
        <w:tab w:val="num" w:pos="360"/>
      </w:tabs>
      <w:ind w:left="360" w:hanging="360"/>
      <w:contextualSpacing/>
    </w:pPr>
  </w:style>
  <w:style w:type="paragraph" w:customStyle="1" w:styleId="TableHeading1">
    <w:name w:val="Table Heading 1"/>
    <w:basedOn w:val="Normal"/>
    <w:link w:val="TableHeading1Char"/>
    <w:qFormat/>
    <w:rsid w:val="00177B8E"/>
    <w:pPr>
      <w:keepNext/>
      <w:framePr w:hSpace="180" w:wrap="around" w:vAnchor="text" w:hAnchor="margin" w:y="4"/>
      <w:spacing w:after="0"/>
    </w:pPr>
    <w:rPr>
      <w:b/>
    </w:rPr>
  </w:style>
  <w:style w:type="character" w:customStyle="1" w:styleId="TableHeading1Char">
    <w:name w:val="Table Heading 1 Char"/>
    <w:basedOn w:val="DefaultParagraphFont"/>
    <w:link w:val="TableHeading1"/>
    <w:rsid w:val="00177B8E"/>
    <w:rPr>
      <w:rFonts w:asciiTheme="minorHAnsi" w:hAnsiTheme="minorHAnsi"/>
      <w:b/>
      <w:sz w:val="22"/>
      <w:lang w:val="en-GB" w:eastAsia="en-GB"/>
    </w:rPr>
  </w:style>
  <w:style w:type="paragraph" w:styleId="Revision">
    <w:name w:val="Revision"/>
    <w:hidden/>
    <w:uiPriority w:val="99"/>
    <w:semiHidden/>
    <w:rsid w:val="00CF6B00"/>
    <w:rPr>
      <w:rFonts w:asciiTheme="minorHAnsi" w:hAnsiTheme="minorHAnsi"/>
      <w:sz w:val="22"/>
      <w:lang w:val="en-GB" w:eastAsia="en-GB"/>
    </w:rPr>
  </w:style>
  <w:style w:type="paragraph" w:customStyle="1" w:styleId="SignatureText">
    <w:name w:val="Signature Text"/>
    <w:basedOn w:val="BodyText"/>
    <w:semiHidden/>
    <w:rsid w:val="008647E5"/>
    <w:pPr>
      <w:numPr>
        <w:numId w:val="0"/>
      </w:numPr>
      <w:suppressAutoHyphens/>
      <w:autoSpaceDE w:val="0"/>
      <w:autoSpaceDN w:val="0"/>
      <w:adjustRightInd w:val="0"/>
      <w:spacing w:before="120"/>
      <w:textAlignment w:val="center"/>
    </w:pPr>
    <w:rPr>
      <w:rFonts w:ascii="Verdana" w:hAnsi="Verdana" w:cs="Arial"/>
      <w:sz w:val="20"/>
      <w:szCs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5281">
      <w:bodyDiv w:val="1"/>
      <w:marLeft w:val="0"/>
      <w:marRight w:val="0"/>
      <w:marTop w:val="0"/>
      <w:marBottom w:val="0"/>
      <w:divBdr>
        <w:top w:val="none" w:sz="0" w:space="0" w:color="auto"/>
        <w:left w:val="none" w:sz="0" w:space="0" w:color="auto"/>
        <w:bottom w:val="none" w:sz="0" w:space="0" w:color="auto"/>
        <w:right w:val="none" w:sz="0" w:space="0" w:color="auto"/>
      </w:divBdr>
    </w:div>
    <w:div w:id="78913835">
      <w:bodyDiv w:val="1"/>
      <w:marLeft w:val="0"/>
      <w:marRight w:val="0"/>
      <w:marTop w:val="0"/>
      <w:marBottom w:val="0"/>
      <w:divBdr>
        <w:top w:val="none" w:sz="0" w:space="0" w:color="auto"/>
        <w:left w:val="none" w:sz="0" w:space="0" w:color="auto"/>
        <w:bottom w:val="none" w:sz="0" w:space="0" w:color="auto"/>
        <w:right w:val="none" w:sz="0" w:space="0" w:color="auto"/>
      </w:divBdr>
      <w:divsChild>
        <w:div w:id="671572252">
          <w:marLeft w:val="0"/>
          <w:marRight w:val="0"/>
          <w:marTop w:val="0"/>
          <w:marBottom w:val="0"/>
          <w:divBdr>
            <w:top w:val="none" w:sz="0" w:space="0" w:color="auto"/>
            <w:left w:val="none" w:sz="0" w:space="0" w:color="auto"/>
            <w:bottom w:val="none" w:sz="0" w:space="0" w:color="auto"/>
            <w:right w:val="none" w:sz="0" w:space="0" w:color="auto"/>
          </w:divBdr>
          <w:divsChild>
            <w:div w:id="859707625">
              <w:marLeft w:val="0"/>
              <w:marRight w:val="0"/>
              <w:marTop w:val="0"/>
              <w:marBottom w:val="0"/>
              <w:divBdr>
                <w:top w:val="none" w:sz="0" w:space="0" w:color="auto"/>
                <w:left w:val="none" w:sz="0" w:space="0" w:color="auto"/>
                <w:bottom w:val="none" w:sz="0" w:space="0" w:color="auto"/>
                <w:right w:val="none" w:sz="0" w:space="0" w:color="auto"/>
              </w:divBdr>
              <w:divsChild>
                <w:div w:id="649408707">
                  <w:marLeft w:val="0"/>
                  <w:marRight w:val="0"/>
                  <w:marTop w:val="0"/>
                  <w:marBottom w:val="0"/>
                  <w:divBdr>
                    <w:top w:val="none" w:sz="0" w:space="0" w:color="auto"/>
                    <w:left w:val="none" w:sz="0" w:space="0" w:color="auto"/>
                    <w:bottom w:val="none" w:sz="0" w:space="0" w:color="auto"/>
                    <w:right w:val="none" w:sz="0" w:space="0" w:color="auto"/>
                  </w:divBdr>
                  <w:divsChild>
                    <w:div w:id="809906057">
                      <w:marLeft w:val="0"/>
                      <w:marRight w:val="0"/>
                      <w:marTop w:val="0"/>
                      <w:marBottom w:val="0"/>
                      <w:divBdr>
                        <w:top w:val="none" w:sz="0" w:space="0" w:color="auto"/>
                        <w:left w:val="none" w:sz="0" w:space="0" w:color="auto"/>
                        <w:bottom w:val="none" w:sz="0" w:space="0" w:color="auto"/>
                        <w:right w:val="none" w:sz="0" w:space="0" w:color="auto"/>
                      </w:divBdr>
                      <w:divsChild>
                        <w:div w:id="1132791379">
                          <w:marLeft w:val="0"/>
                          <w:marRight w:val="0"/>
                          <w:marTop w:val="0"/>
                          <w:marBottom w:val="0"/>
                          <w:divBdr>
                            <w:top w:val="none" w:sz="0" w:space="0" w:color="auto"/>
                            <w:left w:val="none" w:sz="0" w:space="0" w:color="auto"/>
                            <w:bottom w:val="none" w:sz="0" w:space="0" w:color="auto"/>
                            <w:right w:val="none" w:sz="0" w:space="0" w:color="auto"/>
                          </w:divBdr>
                          <w:divsChild>
                            <w:div w:id="1112633500">
                              <w:marLeft w:val="0"/>
                              <w:marRight w:val="0"/>
                              <w:marTop w:val="0"/>
                              <w:marBottom w:val="0"/>
                              <w:divBdr>
                                <w:top w:val="none" w:sz="0" w:space="0" w:color="auto"/>
                                <w:left w:val="none" w:sz="0" w:space="0" w:color="auto"/>
                                <w:bottom w:val="none" w:sz="0" w:space="0" w:color="auto"/>
                                <w:right w:val="none" w:sz="0" w:space="0" w:color="auto"/>
                              </w:divBdr>
                              <w:divsChild>
                                <w:div w:id="122167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09396">
      <w:bodyDiv w:val="1"/>
      <w:marLeft w:val="0"/>
      <w:marRight w:val="0"/>
      <w:marTop w:val="0"/>
      <w:marBottom w:val="0"/>
      <w:divBdr>
        <w:top w:val="none" w:sz="0" w:space="0" w:color="auto"/>
        <w:left w:val="none" w:sz="0" w:space="0" w:color="auto"/>
        <w:bottom w:val="none" w:sz="0" w:space="0" w:color="auto"/>
        <w:right w:val="none" w:sz="0" w:space="0" w:color="auto"/>
      </w:divBdr>
    </w:div>
    <w:div w:id="200172542">
      <w:bodyDiv w:val="1"/>
      <w:marLeft w:val="0"/>
      <w:marRight w:val="0"/>
      <w:marTop w:val="0"/>
      <w:marBottom w:val="0"/>
      <w:divBdr>
        <w:top w:val="none" w:sz="0" w:space="0" w:color="auto"/>
        <w:left w:val="none" w:sz="0" w:space="0" w:color="auto"/>
        <w:bottom w:val="none" w:sz="0" w:space="0" w:color="auto"/>
        <w:right w:val="none" w:sz="0" w:space="0" w:color="auto"/>
      </w:divBdr>
      <w:divsChild>
        <w:div w:id="1975140607">
          <w:marLeft w:val="0"/>
          <w:marRight w:val="0"/>
          <w:marTop w:val="0"/>
          <w:marBottom w:val="0"/>
          <w:divBdr>
            <w:top w:val="none" w:sz="0" w:space="0" w:color="auto"/>
            <w:left w:val="none" w:sz="0" w:space="0" w:color="auto"/>
            <w:bottom w:val="none" w:sz="0" w:space="0" w:color="auto"/>
            <w:right w:val="none" w:sz="0" w:space="0" w:color="auto"/>
          </w:divBdr>
          <w:divsChild>
            <w:div w:id="2107115890">
              <w:marLeft w:val="0"/>
              <w:marRight w:val="0"/>
              <w:marTop w:val="0"/>
              <w:marBottom w:val="0"/>
              <w:divBdr>
                <w:top w:val="none" w:sz="0" w:space="0" w:color="auto"/>
                <w:left w:val="none" w:sz="0" w:space="0" w:color="auto"/>
                <w:bottom w:val="none" w:sz="0" w:space="0" w:color="auto"/>
                <w:right w:val="none" w:sz="0" w:space="0" w:color="auto"/>
              </w:divBdr>
              <w:divsChild>
                <w:div w:id="1439450257">
                  <w:marLeft w:val="0"/>
                  <w:marRight w:val="0"/>
                  <w:marTop w:val="0"/>
                  <w:marBottom w:val="0"/>
                  <w:divBdr>
                    <w:top w:val="none" w:sz="0" w:space="0" w:color="auto"/>
                    <w:left w:val="none" w:sz="0" w:space="0" w:color="auto"/>
                    <w:bottom w:val="none" w:sz="0" w:space="0" w:color="auto"/>
                    <w:right w:val="none" w:sz="0" w:space="0" w:color="auto"/>
                  </w:divBdr>
                  <w:divsChild>
                    <w:div w:id="1832716204">
                      <w:marLeft w:val="0"/>
                      <w:marRight w:val="0"/>
                      <w:marTop w:val="0"/>
                      <w:marBottom w:val="0"/>
                      <w:divBdr>
                        <w:top w:val="none" w:sz="0" w:space="0" w:color="auto"/>
                        <w:left w:val="none" w:sz="0" w:space="0" w:color="auto"/>
                        <w:bottom w:val="none" w:sz="0" w:space="0" w:color="auto"/>
                        <w:right w:val="none" w:sz="0" w:space="0" w:color="auto"/>
                      </w:divBdr>
                      <w:divsChild>
                        <w:div w:id="1923293342">
                          <w:marLeft w:val="0"/>
                          <w:marRight w:val="0"/>
                          <w:marTop w:val="0"/>
                          <w:marBottom w:val="0"/>
                          <w:divBdr>
                            <w:top w:val="none" w:sz="0" w:space="0" w:color="auto"/>
                            <w:left w:val="none" w:sz="0" w:space="0" w:color="auto"/>
                            <w:bottom w:val="none" w:sz="0" w:space="0" w:color="auto"/>
                            <w:right w:val="none" w:sz="0" w:space="0" w:color="auto"/>
                          </w:divBdr>
                          <w:divsChild>
                            <w:div w:id="1192455352">
                              <w:marLeft w:val="0"/>
                              <w:marRight w:val="0"/>
                              <w:marTop w:val="0"/>
                              <w:marBottom w:val="0"/>
                              <w:divBdr>
                                <w:top w:val="none" w:sz="0" w:space="0" w:color="auto"/>
                                <w:left w:val="none" w:sz="0" w:space="0" w:color="auto"/>
                                <w:bottom w:val="none" w:sz="0" w:space="0" w:color="auto"/>
                                <w:right w:val="none" w:sz="0" w:space="0" w:color="auto"/>
                              </w:divBdr>
                              <w:divsChild>
                                <w:div w:id="1540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753629">
      <w:bodyDiv w:val="1"/>
      <w:marLeft w:val="0"/>
      <w:marRight w:val="0"/>
      <w:marTop w:val="0"/>
      <w:marBottom w:val="0"/>
      <w:divBdr>
        <w:top w:val="none" w:sz="0" w:space="0" w:color="auto"/>
        <w:left w:val="none" w:sz="0" w:space="0" w:color="auto"/>
        <w:bottom w:val="none" w:sz="0" w:space="0" w:color="auto"/>
        <w:right w:val="none" w:sz="0" w:space="0" w:color="auto"/>
      </w:divBdr>
    </w:div>
    <w:div w:id="274485323">
      <w:bodyDiv w:val="1"/>
      <w:marLeft w:val="0"/>
      <w:marRight w:val="0"/>
      <w:marTop w:val="0"/>
      <w:marBottom w:val="0"/>
      <w:divBdr>
        <w:top w:val="none" w:sz="0" w:space="0" w:color="auto"/>
        <w:left w:val="none" w:sz="0" w:space="0" w:color="auto"/>
        <w:bottom w:val="none" w:sz="0" w:space="0" w:color="auto"/>
        <w:right w:val="none" w:sz="0" w:space="0" w:color="auto"/>
      </w:divBdr>
      <w:divsChild>
        <w:div w:id="745689828">
          <w:marLeft w:val="0"/>
          <w:marRight w:val="0"/>
          <w:marTop w:val="0"/>
          <w:marBottom w:val="0"/>
          <w:divBdr>
            <w:top w:val="none" w:sz="0" w:space="0" w:color="auto"/>
            <w:left w:val="none" w:sz="0" w:space="0" w:color="auto"/>
            <w:bottom w:val="none" w:sz="0" w:space="0" w:color="auto"/>
            <w:right w:val="none" w:sz="0" w:space="0" w:color="auto"/>
          </w:divBdr>
          <w:divsChild>
            <w:div w:id="1771196443">
              <w:marLeft w:val="0"/>
              <w:marRight w:val="0"/>
              <w:marTop w:val="0"/>
              <w:marBottom w:val="0"/>
              <w:divBdr>
                <w:top w:val="none" w:sz="0" w:space="0" w:color="auto"/>
                <w:left w:val="none" w:sz="0" w:space="0" w:color="auto"/>
                <w:bottom w:val="none" w:sz="0" w:space="0" w:color="auto"/>
                <w:right w:val="none" w:sz="0" w:space="0" w:color="auto"/>
              </w:divBdr>
              <w:divsChild>
                <w:div w:id="805047860">
                  <w:marLeft w:val="0"/>
                  <w:marRight w:val="0"/>
                  <w:marTop w:val="0"/>
                  <w:marBottom w:val="0"/>
                  <w:divBdr>
                    <w:top w:val="none" w:sz="0" w:space="0" w:color="auto"/>
                    <w:left w:val="none" w:sz="0" w:space="0" w:color="auto"/>
                    <w:bottom w:val="none" w:sz="0" w:space="0" w:color="auto"/>
                    <w:right w:val="none" w:sz="0" w:space="0" w:color="auto"/>
                  </w:divBdr>
                  <w:divsChild>
                    <w:div w:id="1012754767">
                      <w:marLeft w:val="0"/>
                      <w:marRight w:val="0"/>
                      <w:marTop w:val="0"/>
                      <w:marBottom w:val="0"/>
                      <w:divBdr>
                        <w:top w:val="none" w:sz="0" w:space="0" w:color="auto"/>
                        <w:left w:val="none" w:sz="0" w:space="0" w:color="auto"/>
                        <w:bottom w:val="none" w:sz="0" w:space="0" w:color="auto"/>
                        <w:right w:val="none" w:sz="0" w:space="0" w:color="auto"/>
                      </w:divBdr>
                      <w:divsChild>
                        <w:div w:id="138768720">
                          <w:marLeft w:val="0"/>
                          <w:marRight w:val="0"/>
                          <w:marTop w:val="0"/>
                          <w:marBottom w:val="0"/>
                          <w:divBdr>
                            <w:top w:val="none" w:sz="0" w:space="0" w:color="auto"/>
                            <w:left w:val="none" w:sz="0" w:space="0" w:color="auto"/>
                            <w:bottom w:val="none" w:sz="0" w:space="0" w:color="auto"/>
                            <w:right w:val="none" w:sz="0" w:space="0" w:color="auto"/>
                          </w:divBdr>
                          <w:divsChild>
                            <w:div w:id="138034671">
                              <w:marLeft w:val="0"/>
                              <w:marRight w:val="0"/>
                              <w:marTop w:val="0"/>
                              <w:marBottom w:val="0"/>
                              <w:divBdr>
                                <w:top w:val="none" w:sz="0" w:space="0" w:color="auto"/>
                                <w:left w:val="none" w:sz="0" w:space="0" w:color="auto"/>
                                <w:bottom w:val="none" w:sz="0" w:space="0" w:color="auto"/>
                                <w:right w:val="none" w:sz="0" w:space="0" w:color="auto"/>
                              </w:divBdr>
                              <w:divsChild>
                                <w:div w:id="178738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062850">
      <w:bodyDiv w:val="1"/>
      <w:marLeft w:val="0"/>
      <w:marRight w:val="0"/>
      <w:marTop w:val="0"/>
      <w:marBottom w:val="0"/>
      <w:divBdr>
        <w:top w:val="none" w:sz="0" w:space="0" w:color="auto"/>
        <w:left w:val="none" w:sz="0" w:space="0" w:color="auto"/>
        <w:bottom w:val="none" w:sz="0" w:space="0" w:color="auto"/>
        <w:right w:val="none" w:sz="0" w:space="0" w:color="auto"/>
      </w:divBdr>
    </w:div>
    <w:div w:id="463156412">
      <w:bodyDiv w:val="1"/>
      <w:marLeft w:val="0"/>
      <w:marRight w:val="0"/>
      <w:marTop w:val="0"/>
      <w:marBottom w:val="0"/>
      <w:divBdr>
        <w:top w:val="none" w:sz="0" w:space="0" w:color="auto"/>
        <w:left w:val="none" w:sz="0" w:space="0" w:color="auto"/>
        <w:bottom w:val="none" w:sz="0" w:space="0" w:color="auto"/>
        <w:right w:val="none" w:sz="0" w:space="0" w:color="auto"/>
      </w:divBdr>
      <w:divsChild>
        <w:div w:id="1691570663">
          <w:marLeft w:val="0"/>
          <w:marRight w:val="0"/>
          <w:marTop w:val="0"/>
          <w:marBottom w:val="0"/>
          <w:divBdr>
            <w:top w:val="none" w:sz="0" w:space="0" w:color="auto"/>
            <w:left w:val="none" w:sz="0" w:space="0" w:color="auto"/>
            <w:bottom w:val="none" w:sz="0" w:space="0" w:color="auto"/>
            <w:right w:val="none" w:sz="0" w:space="0" w:color="auto"/>
          </w:divBdr>
          <w:divsChild>
            <w:div w:id="433551838">
              <w:marLeft w:val="0"/>
              <w:marRight w:val="0"/>
              <w:marTop w:val="0"/>
              <w:marBottom w:val="0"/>
              <w:divBdr>
                <w:top w:val="none" w:sz="0" w:space="0" w:color="auto"/>
                <w:left w:val="none" w:sz="0" w:space="0" w:color="auto"/>
                <w:bottom w:val="none" w:sz="0" w:space="0" w:color="auto"/>
                <w:right w:val="none" w:sz="0" w:space="0" w:color="auto"/>
              </w:divBdr>
              <w:divsChild>
                <w:div w:id="1065418759">
                  <w:marLeft w:val="0"/>
                  <w:marRight w:val="0"/>
                  <w:marTop w:val="0"/>
                  <w:marBottom w:val="0"/>
                  <w:divBdr>
                    <w:top w:val="none" w:sz="0" w:space="0" w:color="auto"/>
                    <w:left w:val="none" w:sz="0" w:space="0" w:color="auto"/>
                    <w:bottom w:val="none" w:sz="0" w:space="0" w:color="auto"/>
                    <w:right w:val="none" w:sz="0" w:space="0" w:color="auto"/>
                  </w:divBdr>
                  <w:divsChild>
                    <w:div w:id="392050089">
                      <w:marLeft w:val="0"/>
                      <w:marRight w:val="0"/>
                      <w:marTop w:val="0"/>
                      <w:marBottom w:val="0"/>
                      <w:divBdr>
                        <w:top w:val="none" w:sz="0" w:space="0" w:color="auto"/>
                        <w:left w:val="none" w:sz="0" w:space="0" w:color="auto"/>
                        <w:bottom w:val="none" w:sz="0" w:space="0" w:color="auto"/>
                        <w:right w:val="none" w:sz="0" w:space="0" w:color="auto"/>
                      </w:divBdr>
                      <w:divsChild>
                        <w:div w:id="1319269234">
                          <w:marLeft w:val="0"/>
                          <w:marRight w:val="0"/>
                          <w:marTop w:val="0"/>
                          <w:marBottom w:val="0"/>
                          <w:divBdr>
                            <w:top w:val="none" w:sz="0" w:space="0" w:color="auto"/>
                            <w:left w:val="none" w:sz="0" w:space="0" w:color="auto"/>
                            <w:bottom w:val="none" w:sz="0" w:space="0" w:color="auto"/>
                            <w:right w:val="none" w:sz="0" w:space="0" w:color="auto"/>
                          </w:divBdr>
                          <w:divsChild>
                            <w:div w:id="1292591590">
                              <w:marLeft w:val="0"/>
                              <w:marRight w:val="0"/>
                              <w:marTop w:val="0"/>
                              <w:marBottom w:val="0"/>
                              <w:divBdr>
                                <w:top w:val="none" w:sz="0" w:space="0" w:color="auto"/>
                                <w:left w:val="none" w:sz="0" w:space="0" w:color="auto"/>
                                <w:bottom w:val="none" w:sz="0" w:space="0" w:color="auto"/>
                                <w:right w:val="none" w:sz="0" w:space="0" w:color="auto"/>
                              </w:divBdr>
                              <w:divsChild>
                                <w:div w:id="88324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607891">
      <w:bodyDiv w:val="1"/>
      <w:marLeft w:val="0"/>
      <w:marRight w:val="0"/>
      <w:marTop w:val="0"/>
      <w:marBottom w:val="0"/>
      <w:divBdr>
        <w:top w:val="none" w:sz="0" w:space="0" w:color="auto"/>
        <w:left w:val="none" w:sz="0" w:space="0" w:color="auto"/>
        <w:bottom w:val="none" w:sz="0" w:space="0" w:color="auto"/>
        <w:right w:val="none" w:sz="0" w:space="0" w:color="auto"/>
      </w:divBdr>
    </w:div>
    <w:div w:id="750543672">
      <w:bodyDiv w:val="1"/>
      <w:marLeft w:val="0"/>
      <w:marRight w:val="0"/>
      <w:marTop w:val="0"/>
      <w:marBottom w:val="0"/>
      <w:divBdr>
        <w:top w:val="none" w:sz="0" w:space="0" w:color="auto"/>
        <w:left w:val="none" w:sz="0" w:space="0" w:color="auto"/>
        <w:bottom w:val="none" w:sz="0" w:space="0" w:color="auto"/>
        <w:right w:val="none" w:sz="0" w:space="0" w:color="auto"/>
      </w:divBdr>
      <w:divsChild>
        <w:div w:id="369039519">
          <w:marLeft w:val="0"/>
          <w:marRight w:val="0"/>
          <w:marTop w:val="0"/>
          <w:marBottom w:val="0"/>
          <w:divBdr>
            <w:top w:val="none" w:sz="0" w:space="0" w:color="auto"/>
            <w:left w:val="none" w:sz="0" w:space="0" w:color="auto"/>
            <w:bottom w:val="none" w:sz="0" w:space="0" w:color="auto"/>
            <w:right w:val="none" w:sz="0" w:space="0" w:color="auto"/>
          </w:divBdr>
          <w:divsChild>
            <w:div w:id="1833064161">
              <w:marLeft w:val="0"/>
              <w:marRight w:val="0"/>
              <w:marTop w:val="0"/>
              <w:marBottom w:val="0"/>
              <w:divBdr>
                <w:top w:val="none" w:sz="0" w:space="0" w:color="auto"/>
                <w:left w:val="none" w:sz="0" w:space="0" w:color="auto"/>
                <w:bottom w:val="none" w:sz="0" w:space="0" w:color="auto"/>
                <w:right w:val="none" w:sz="0" w:space="0" w:color="auto"/>
              </w:divBdr>
              <w:divsChild>
                <w:div w:id="2073114934">
                  <w:marLeft w:val="0"/>
                  <w:marRight w:val="0"/>
                  <w:marTop w:val="0"/>
                  <w:marBottom w:val="0"/>
                  <w:divBdr>
                    <w:top w:val="none" w:sz="0" w:space="0" w:color="auto"/>
                    <w:left w:val="none" w:sz="0" w:space="0" w:color="auto"/>
                    <w:bottom w:val="none" w:sz="0" w:space="0" w:color="auto"/>
                    <w:right w:val="none" w:sz="0" w:space="0" w:color="auto"/>
                  </w:divBdr>
                  <w:divsChild>
                    <w:div w:id="1567687817">
                      <w:marLeft w:val="0"/>
                      <w:marRight w:val="0"/>
                      <w:marTop w:val="0"/>
                      <w:marBottom w:val="0"/>
                      <w:divBdr>
                        <w:top w:val="none" w:sz="0" w:space="0" w:color="auto"/>
                        <w:left w:val="none" w:sz="0" w:space="0" w:color="auto"/>
                        <w:bottom w:val="none" w:sz="0" w:space="0" w:color="auto"/>
                        <w:right w:val="none" w:sz="0" w:space="0" w:color="auto"/>
                      </w:divBdr>
                      <w:divsChild>
                        <w:div w:id="2107142745">
                          <w:marLeft w:val="0"/>
                          <w:marRight w:val="0"/>
                          <w:marTop w:val="0"/>
                          <w:marBottom w:val="0"/>
                          <w:divBdr>
                            <w:top w:val="none" w:sz="0" w:space="0" w:color="auto"/>
                            <w:left w:val="none" w:sz="0" w:space="0" w:color="auto"/>
                            <w:bottom w:val="none" w:sz="0" w:space="0" w:color="auto"/>
                            <w:right w:val="none" w:sz="0" w:space="0" w:color="auto"/>
                          </w:divBdr>
                          <w:divsChild>
                            <w:div w:id="1924214750">
                              <w:marLeft w:val="0"/>
                              <w:marRight w:val="0"/>
                              <w:marTop w:val="0"/>
                              <w:marBottom w:val="0"/>
                              <w:divBdr>
                                <w:top w:val="none" w:sz="0" w:space="0" w:color="auto"/>
                                <w:left w:val="none" w:sz="0" w:space="0" w:color="auto"/>
                                <w:bottom w:val="none" w:sz="0" w:space="0" w:color="auto"/>
                                <w:right w:val="none" w:sz="0" w:space="0" w:color="auto"/>
                              </w:divBdr>
                              <w:divsChild>
                                <w:div w:id="8249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754394">
      <w:bodyDiv w:val="1"/>
      <w:marLeft w:val="0"/>
      <w:marRight w:val="0"/>
      <w:marTop w:val="0"/>
      <w:marBottom w:val="0"/>
      <w:divBdr>
        <w:top w:val="none" w:sz="0" w:space="0" w:color="auto"/>
        <w:left w:val="none" w:sz="0" w:space="0" w:color="auto"/>
        <w:bottom w:val="none" w:sz="0" w:space="0" w:color="auto"/>
        <w:right w:val="none" w:sz="0" w:space="0" w:color="auto"/>
      </w:divBdr>
      <w:divsChild>
        <w:div w:id="1256133631">
          <w:marLeft w:val="0"/>
          <w:marRight w:val="0"/>
          <w:marTop w:val="0"/>
          <w:marBottom w:val="0"/>
          <w:divBdr>
            <w:top w:val="none" w:sz="0" w:space="0" w:color="auto"/>
            <w:left w:val="none" w:sz="0" w:space="0" w:color="auto"/>
            <w:bottom w:val="none" w:sz="0" w:space="0" w:color="auto"/>
            <w:right w:val="none" w:sz="0" w:space="0" w:color="auto"/>
          </w:divBdr>
          <w:divsChild>
            <w:div w:id="1994405637">
              <w:marLeft w:val="0"/>
              <w:marRight w:val="0"/>
              <w:marTop w:val="0"/>
              <w:marBottom w:val="0"/>
              <w:divBdr>
                <w:top w:val="none" w:sz="0" w:space="0" w:color="auto"/>
                <w:left w:val="none" w:sz="0" w:space="0" w:color="auto"/>
                <w:bottom w:val="none" w:sz="0" w:space="0" w:color="auto"/>
                <w:right w:val="none" w:sz="0" w:space="0" w:color="auto"/>
              </w:divBdr>
              <w:divsChild>
                <w:div w:id="1107040778">
                  <w:marLeft w:val="0"/>
                  <w:marRight w:val="0"/>
                  <w:marTop w:val="0"/>
                  <w:marBottom w:val="0"/>
                  <w:divBdr>
                    <w:top w:val="none" w:sz="0" w:space="0" w:color="auto"/>
                    <w:left w:val="none" w:sz="0" w:space="0" w:color="auto"/>
                    <w:bottom w:val="none" w:sz="0" w:space="0" w:color="auto"/>
                    <w:right w:val="none" w:sz="0" w:space="0" w:color="auto"/>
                  </w:divBdr>
                  <w:divsChild>
                    <w:div w:id="1397359591">
                      <w:marLeft w:val="0"/>
                      <w:marRight w:val="0"/>
                      <w:marTop w:val="0"/>
                      <w:marBottom w:val="0"/>
                      <w:divBdr>
                        <w:top w:val="none" w:sz="0" w:space="0" w:color="auto"/>
                        <w:left w:val="none" w:sz="0" w:space="0" w:color="auto"/>
                        <w:bottom w:val="none" w:sz="0" w:space="0" w:color="auto"/>
                        <w:right w:val="none" w:sz="0" w:space="0" w:color="auto"/>
                      </w:divBdr>
                      <w:divsChild>
                        <w:div w:id="641693520">
                          <w:marLeft w:val="0"/>
                          <w:marRight w:val="0"/>
                          <w:marTop w:val="0"/>
                          <w:marBottom w:val="0"/>
                          <w:divBdr>
                            <w:top w:val="none" w:sz="0" w:space="0" w:color="auto"/>
                            <w:left w:val="none" w:sz="0" w:space="0" w:color="auto"/>
                            <w:bottom w:val="none" w:sz="0" w:space="0" w:color="auto"/>
                            <w:right w:val="none" w:sz="0" w:space="0" w:color="auto"/>
                          </w:divBdr>
                          <w:divsChild>
                            <w:div w:id="102195685">
                              <w:marLeft w:val="0"/>
                              <w:marRight w:val="0"/>
                              <w:marTop w:val="0"/>
                              <w:marBottom w:val="0"/>
                              <w:divBdr>
                                <w:top w:val="none" w:sz="0" w:space="0" w:color="auto"/>
                                <w:left w:val="none" w:sz="0" w:space="0" w:color="auto"/>
                                <w:bottom w:val="none" w:sz="0" w:space="0" w:color="auto"/>
                                <w:right w:val="none" w:sz="0" w:space="0" w:color="auto"/>
                              </w:divBdr>
                              <w:divsChild>
                                <w:div w:id="14490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969371">
      <w:bodyDiv w:val="1"/>
      <w:marLeft w:val="0"/>
      <w:marRight w:val="0"/>
      <w:marTop w:val="0"/>
      <w:marBottom w:val="0"/>
      <w:divBdr>
        <w:top w:val="none" w:sz="0" w:space="0" w:color="auto"/>
        <w:left w:val="none" w:sz="0" w:space="0" w:color="auto"/>
        <w:bottom w:val="none" w:sz="0" w:space="0" w:color="auto"/>
        <w:right w:val="none" w:sz="0" w:space="0" w:color="auto"/>
      </w:divBdr>
    </w:div>
    <w:div w:id="1267346690">
      <w:bodyDiv w:val="1"/>
      <w:marLeft w:val="0"/>
      <w:marRight w:val="0"/>
      <w:marTop w:val="0"/>
      <w:marBottom w:val="0"/>
      <w:divBdr>
        <w:top w:val="none" w:sz="0" w:space="0" w:color="auto"/>
        <w:left w:val="none" w:sz="0" w:space="0" w:color="auto"/>
        <w:bottom w:val="none" w:sz="0" w:space="0" w:color="auto"/>
        <w:right w:val="none" w:sz="0" w:space="0" w:color="auto"/>
      </w:divBdr>
    </w:div>
    <w:div w:id="1281298744">
      <w:bodyDiv w:val="1"/>
      <w:marLeft w:val="0"/>
      <w:marRight w:val="0"/>
      <w:marTop w:val="0"/>
      <w:marBottom w:val="0"/>
      <w:divBdr>
        <w:top w:val="none" w:sz="0" w:space="0" w:color="auto"/>
        <w:left w:val="none" w:sz="0" w:space="0" w:color="auto"/>
        <w:bottom w:val="none" w:sz="0" w:space="0" w:color="auto"/>
        <w:right w:val="none" w:sz="0" w:space="0" w:color="auto"/>
      </w:divBdr>
    </w:div>
    <w:div w:id="1404913022">
      <w:bodyDiv w:val="1"/>
      <w:marLeft w:val="0"/>
      <w:marRight w:val="0"/>
      <w:marTop w:val="0"/>
      <w:marBottom w:val="0"/>
      <w:divBdr>
        <w:top w:val="none" w:sz="0" w:space="0" w:color="auto"/>
        <w:left w:val="none" w:sz="0" w:space="0" w:color="auto"/>
        <w:bottom w:val="none" w:sz="0" w:space="0" w:color="auto"/>
        <w:right w:val="none" w:sz="0" w:space="0" w:color="auto"/>
      </w:divBdr>
    </w:div>
    <w:div w:id="1480613111">
      <w:bodyDiv w:val="1"/>
      <w:marLeft w:val="0"/>
      <w:marRight w:val="0"/>
      <w:marTop w:val="0"/>
      <w:marBottom w:val="0"/>
      <w:divBdr>
        <w:top w:val="none" w:sz="0" w:space="0" w:color="auto"/>
        <w:left w:val="none" w:sz="0" w:space="0" w:color="auto"/>
        <w:bottom w:val="none" w:sz="0" w:space="0" w:color="auto"/>
        <w:right w:val="none" w:sz="0" w:space="0" w:color="auto"/>
      </w:divBdr>
      <w:divsChild>
        <w:div w:id="379594136">
          <w:marLeft w:val="0"/>
          <w:marRight w:val="0"/>
          <w:marTop w:val="0"/>
          <w:marBottom w:val="0"/>
          <w:divBdr>
            <w:top w:val="none" w:sz="0" w:space="0" w:color="auto"/>
            <w:left w:val="none" w:sz="0" w:space="0" w:color="auto"/>
            <w:bottom w:val="none" w:sz="0" w:space="0" w:color="auto"/>
            <w:right w:val="none" w:sz="0" w:space="0" w:color="auto"/>
          </w:divBdr>
          <w:divsChild>
            <w:div w:id="1208180123">
              <w:marLeft w:val="0"/>
              <w:marRight w:val="0"/>
              <w:marTop w:val="0"/>
              <w:marBottom w:val="0"/>
              <w:divBdr>
                <w:top w:val="none" w:sz="0" w:space="0" w:color="auto"/>
                <w:left w:val="none" w:sz="0" w:space="0" w:color="auto"/>
                <w:bottom w:val="none" w:sz="0" w:space="0" w:color="auto"/>
                <w:right w:val="none" w:sz="0" w:space="0" w:color="auto"/>
              </w:divBdr>
              <w:divsChild>
                <w:div w:id="1784225956">
                  <w:marLeft w:val="0"/>
                  <w:marRight w:val="0"/>
                  <w:marTop w:val="0"/>
                  <w:marBottom w:val="0"/>
                  <w:divBdr>
                    <w:top w:val="none" w:sz="0" w:space="0" w:color="auto"/>
                    <w:left w:val="none" w:sz="0" w:space="0" w:color="auto"/>
                    <w:bottom w:val="none" w:sz="0" w:space="0" w:color="auto"/>
                    <w:right w:val="none" w:sz="0" w:space="0" w:color="auto"/>
                  </w:divBdr>
                  <w:divsChild>
                    <w:div w:id="1716656976">
                      <w:marLeft w:val="0"/>
                      <w:marRight w:val="0"/>
                      <w:marTop w:val="0"/>
                      <w:marBottom w:val="0"/>
                      <w:divBdr>
                        <w:top w:val="none" w:sz="0" w:space="0" w:color="auto"/>
                        <w:left w:val="none" w:sz="0" w:space="0" w:color="auto"/>
                        <w:bottom w:val="none" w:sz="0" w:space="0" w:color="auto"/>
                        <w:right w:val="none" w:sz="0" w:space="0" w:color="auto"/>
                      </w:divBdr>
                      <w:divsChild>
                        <w:div w:id="844589303">
                          <w:marLeft w:val="0"/>
                          <w:marRight w:val="0"/>
                          <w:marTop w:val="0"/>
                          <w:marBottom w:val="0"/>
                          <w:divBdr>
                            <w:top w:val="none" w:sz="0" w:space="0" w:color="auto"/>
                            <w:left w:val="none" w:sz="0" w:space="0" w:color="auto"/>
                            <w:bottom w:val="none" w:sz="0" w:space="0" w:color="auto"/>
                            <w:right w:val="none" w:sz="0" w:space="0" w:color="auto"/>
                          </w:divBdr>
                          <w:divsChild>
                            <w:div w:id="1649704807">
                              <w:marLeft w:val="0"/>
                              <w:marRight w:val="0"/>
                              <w:marTop w:val="0"/>
                              <w:marBottom w:val="0"/>
                              <w:divBdr>
                                <w:top w:val="none" w:sz="0" w:space="0" w:color="auto"/>
                                <w:left w:val="none" w:sz="0" w:space="0" w:color="auto"/>
                                <w:bottom w:val="none" w:sz="0" w:space="0" w:color="auto"/>
                                <w:right w:val="none" w:sz="0" w:space="0" w:color="auto"/>
                              </w:divBdr>
                              <w:divsChild>
                                <w:div w:id="196434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319181">
      <w:bodyDiv w:val="1"/>
      <w:marLeft w:val="0"/>
      <w:marRight w:val="0"/>
      <w:marTop w:val="0"/>
      <w:marBottom w:val="0"/>
      <w:divBdr>
        <w:top w:val="none" w:sz="0" w:space="0" w:color="auto"/>
        <w:left w:val="none" w:sz="0" w:space="0" w:color="auto"/>
        <w:bottom w:val="none" w:sz="0" w:space="0" w:color="auto"/>
        <w:right w:val="none" w:sz="0" w:space="0" w:color="auto"/>
      </w:divBdr>
    </w:div>
    <w:div w:id="1523012191">
      <w:bodyDiv w:val="1"/>
      <w:marLeft w:val="0"/>
      <w:marRight w:val="0"/>
      <w:marTop w:val="0"/>
      <w:marBottom w:val="0"/>
      <w:divBdr>
        <w:top w:val="none" w:sz="0" w:space="0" w:color="auto"/>
        <w:left w:val="none" w:sz="0" w:space="0" w:color="auto"/>
        <w:bottom w:val="none" w:sz="0" w:space="0" w:color="auto"/>
        <w:right w:val="none" w:sz="0" w:space="0" w:color="auto"/>
      </w:divBdr>
      <w:divsChild>
        <w:div w:id="1210414611">
          <w:marLeft w:val="0"/>
          <w:marRight w:val="0"/>
          <w:marTop w:val="0"/>
          <w:marBottom w:val="0"/>
          <w:divBdr>
            <w:top w:val="none" w:sz="0" w:space="0" w:color="auto"/>
            <w:left w:val="none" w:sz="0" w:space="0" w:color="auto"/>
            <w:bottom w:val="none" w:sz="0" w:space="0" w:color="auto"/>
            <w:right w:val="none" w:sz="0" w:space="0" w:color="auto"/>
          </w:divBdr>
          <w:divsChild>
            <w:div w:id="992490585">
              <w:marLeft w:val="0"/>
              <w:marRight w:val="0"/>
              <w:marTop w:val="0"/>
              <w:marBottom w:val="0"/>
              <w:divBdr>
                <w:top w:val="none" w:sz="0" w:space="0" w:color="auto"/>
                <w:left w:val="none" w:sz="0" w:space="0" w:color="auto"/>
                <w:bottom w:val="none" w:sz="0" w:space="0" w:color="auto"/>
                <w:right w:val="none" w:sz="0" w:space="0" w:color="auto"/>
              </w:divBdr>
              <w:divsChild>
                <w:div w:id="721951260">
                  <w:marLeft w:val="0"/>
                  <w:marRight w:val="0"/>
                  <w:marTop w:val="0"/>
                  <w:marBottom w:val="0"/>
                  <w:divBdr>
                    <w:top w:val="none" w:sz="0" w:space="0" w:color="auto"/>
                    <w:left w:val="none" w:sz="0" w:space="0" w:color="auto"/>
                    <w:bottom w:val="none" w:sz="0" w:space="0" w:color="auto"/>
                    <w:right w:val="none" w:sz="0" w:space="0" w:color="auto"/>
                  </w:divBdr>
                  <w:divsChild>
                    <w:div w:id="204026561">
                      <w:marLeft w:val="0"/>
                      <w:marRight w:val="0"/>
                      <w:marTop w:val="0"/>
                      <w:marBottom w:val="0"/>
                      <w:divBdr>
                        <w:top w:val="none" w:sz="0" w:space="0" w:color="auto"/>
                        <w:left w:val="none" w:sz="0" w:space="0" w:color="auto"/>
                        <w:bottom w:val="none" w:sz="0" w:space="0" w:color="auto"/>
                        <w:right w:val="none" w:sz="0" w:space="0" w:color="auto"/>
                      </w:divBdr>
                      <w:divsChild>
                        <w:div w:id="642200360">
                          <w:marLeft w:val="0"/>
                          <w:marRight w:val="0"/>
                          <w:marTop w:val="0"/>
                          <w:marBottom w:val="0"/>
                          <w:divBdr>
                            <w:top w:val="none" w:sz="0" w:space="0" w:color="auto"/>
                            <w:left w:val="none" w:sz="0" w:space="0" w:color="auto"/>
                            <w:bottom w:val="none" w:sz="0" w:space="0" w:color="auto"/>
                            <w:right w:val="none" w:sz="0" w:space="0" w:color="auto"/>
                          </w:divBdr>
                          <w:divsChild>
                            <w:div w:id="483353394">
                              <w:marLeft w:val="0"/>
                              <w:marRight w:val="0"/>
                              <w:marTop w:val="0"/>
                              <w:marBottom w:val="0"/>
                              <w:divBdr>
                                <w:top w:val="none" w:sz="0" w:space="0" w:color="auto"/>
                                <w:left w:val="none" w:sz="0" w:space="0" w:color="auto"/>
                                <w:bottom w:val="none" w:sz="0" w:space="0" w:color="auto"/>
                                <w:right w:val="none" w:sz="0" w:space="0" w:color="auto"/>
                              </w:divBdr>
                              <w:divsChild>
                                <w:div w:id="596334252">
                                  <w:marLeft w:val="0"/>
                                  <w:marRight w:val="0"/>
                                  <w:marTop w:val="0"/>
                                  <w:marBottom w:val="0"/>
                                  <w:divBdr>
                                    <w:top w:val="none" w:sz="0" w:space="0" w:color="auto"/>
                                    <w:left w:val="none" w:sz="0" w:space="0" w:color="auto"/>
                                    <w:bottom w:val="none" w:sz="0" w:space="0" w:color="auto"/>
                                    <w:right w:val="none" w:sz="0" w:space="0" w:color="auto"/>
                                  </w:divBdr>
                                  <w:divsChild>
                                    <w:div w:id="517352652">
                                      <w:marLeft w:val="0"/>
                                      <w:marRight w:val="0"/>
                                      <w:marTop w:val="0"/>
                                      <w:marBottom w:val="0"/>
                                      <w:divBdr>
                                        <w:top w:val="none" w:sz="0" w:space="0" w:color="auto"/>
                                        <w:left w:val="none" w:sz="0" w:space="0" w:color="auto"/>
                                        <w:bottom w:val="none" w:sz="0" w:space="0" w:color="auto"/>
                                        <w:right w:val="none" w:sz="0" w:space="0" w:color="auto"/>
                                      </w:divBdr>
                                      <w:divsChild>
                                        <w:div w:id="1173422638">
                                          <w:marLeft w:val="0"/>
                                          <w:marRight w:val="0"/>
                                          <w:marTop w:val="0"/>
                                          <w:marBottom w:val="0"/>
                                          <w:divBdr>
                                            <w:top w:val="none" w:sz="0" w:space="0" w:color="auto"/>
                                            <w:left w:val="none" w:sz="0" w:space="0" w:color="auto"/>
                                            <w:bottom w:val="none" w:sz="0" w:space="0" w:color="auto"/>
                                            <w:right w:val="none" w:sz="0" w:space="0" w:color="auto"/>
                                          </w:divBdr>
                                          <w:divsChild>
                                            <w:div w:id="818041342">
                                              <w:marLeft w:val="0"/>
                                              <w:marRight w:val="0"/>
                                              <w:marTop w:val="0"/>
                                              <w:marBottom w:val="0"/>
                                              <w:divBdr>
                                                <w:top w:val="none" w:sz="0" w:space="0" w:color="auto"/>
                                                <w:left w:val="none" w:sz="0" w:space="0" w:color="auto"/>
                                                <w:bottom w:val="none" w:sz="0" w:space="0" w:color="auto"/>
                                                <w:right w:val="none" w:sz="0" w:space="0" w:color="auto"/>
                                              </w:divBdr>
                                              <w:divsChild>
                                                <w:div w:id="1920409276">
                                                  <w:marLeft w:val="0"/>
                                                  <w:marRight w:val="0"/>
                                                  <w:marTop w:val="0"/>
                                                  <w:marBottom w:val="0"/>
                                                  <w:divBdr>
                                                    <w:top w:val="none" w:sz="0" w:space="0" w:color="auto"/>
                                                    <w:left w:val="none" w:sz="0" w:space="0" w:color="auto"/>
                                                    <w:bottom w:val="none" w:sz="0" w:space="0" w:color="auto"/>
                                                    <w:right w:val="none" w:sz="0" w:space="0" w:color="auto"/>
                                                  </w:divBdr>
                                                </w:div>
                                              </w:divsChild>
                                            </w:div>
                                            <w:div w:id="2014841633">
                                              <w:marLeft w:val="0"/>
                                              <w:marRight w:val="0"/>
                                              <w:marTop w:val="0"/>
                                              <w:marBottom w:val="0"/>
                                              <w:divBdr>
                                                <w:top w:val="none" w:sz="0" w:space="0" w:color="auto"/>
                                                <w:left w:val="none" w:sz="0" w:space="0" w:color="auto"/>
                                                <w:bottom w:val="none" w:sz="0" w:space="0" w:color="auto"/>
                                                <w:right w:val="none" w:sz="0" w:space="0" w:color="auto"/>
                                              </w:divBdr>
                                              <w:divsChild>
                                                <w:div w:id="542253812">
                                                  <w:marLeft w:val="0"/>
                                                  <w:marRight w:val="0"/>
                                                  <w:marTop w:val="0"/>
                                                  <w:marBottom w:val="0"/>
                                                  <w:divBdr>
                                                    <w:top w:val="none" w:sz="0" w:space="0" w:color="auto"/>
                                                    <w:left w:val="none" w:sz="0" w:space="0" w:color="auto"/>
                                                    <w:bottom w:val="none" w:sz="0" w:space="0" w:color="auto"/>
                                                    <w:right w:val="none" w:sz="0" w:space="0" w:color="auto"/>
                                                  </w:divBdr>
                                                </w:div>
                                              </w:divsChild>
                                            </w:div>
                                            <w:div w:id="863633787">
                                              <w:marLeft w:val="0"/>
                                              <w:marRight w:val="0"/>
                                              <w:marTop w:val="0"/>
                                              <w:marBottom w:val="0"/>
                                              <w:divBdr>
                                                <w:top w:val="none" w:sz="0" w:space="0" w:color="auto"/>
                                                <w:left w:val="none" w:sz="0" w:space="0" w:color="auto"/>
                                                <w:bottom w:val="none" w:sz="0" w:space="0" w:color="auto"/>
                                                <w:right w:val="none" w:sz="0" w:space="0" w:color="auto"/>
                                              </w:divBdr>
                                              <w:divsChild>
                                                <w:div w:id="183587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126625">
      <w:bodyDiv w:val="1"/>
      <w:marLeft w:val="0"/>
      <w:marRight w:val="0"/>
      <w:marTop w:val="0"/>
      <w:marBottom w:val="0"/>
      <w:divBdr>
        <w:top w:val="none" w:sz="0" w:space="0" w:color="auto"/>
        <w:left w:val="none" w:sz="0" w:space="0" w:color="auto"/>
        <w:bottom w:val="none" w:sz="0" w:space="0" w:color="auto"/>
        <w:right w:val="none" w:sz="0" w:space="0" w:color="auto"/>
      </w:divBdr>
    </w:div>
    <w:div w:id="2056541265">
      <w:bodyDiv w:val="1"/>
      <w:marLeft w:val="0"/>
      <w:marRight w:val="0"/>
      <w:marTop w:val="0"/>
      <w:marBottom w:val="0"/>
      <w:divBdr>
        <w:top w:val="none" w:sz="0" w:space="0" w:color="auto"/>
        <w:left w:val="none" w:sz="0" w:space="0" w:color="auto"/>
        <w:bottom w:val="none" w:sz="0" w:space="0" w:color="auto"/>
        <w:right w:val="none" w:sz="0" w:space="0" w:color="auto"/>
      </w:divBdr>
      <w:divsChild>
        <w:div w:id="585840754">
          <w:marLeft w:val="0"/>
          <w:marRight w:val="0"/>
          <w:marTop w:val="0"/>
          <w:marBottom w:val="0"/>
          <w:divBdr>
            <w:top w:val="none" w:sz="0" w:space="0" w:color="auto"/>
            <w:left w:val="none" w:sz="0" w:space="0" w:color="auto"/>
            <w:bottom w:val="none" w:sz="0" w:space="0" w:color="auto"/>
            <w:right w:val="none" w:sz="0" w:space="0" w:color="auto"/>
          </w:divBdr>
        </w:div>
      </w:divsChild>
    </w:div>
    <w:div w:id="2118671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cabinetmanual.cabinetoffice.govt.nz/3.2" TargetMode="External"/><Relationship Id="rId2" Type="http://schemas.openxmlformats.org/officeDocument/2006/relationships/hyperlink" Target="http://www.cyf.govt.nz/documents/working-with-others/evaluation-of-fgcs-scoping-study-25-9-14.pdf" TargetMode="External"/><Relationship Id="rId1" Type="http://schemas.openxmlformats.org/officeDocument/2006/relationships/hyperlink" Target="https://www.gov.uk/government/uploads/system/uploads/attachment_data/file/175391/Munro-Review.pdf" TargetMode="External"/><Relationship Id="rId4" Type="http://schemas.openxmlformats.org/officeDocument/2006/relationships/hyperlink" Target="http://www.ssc.govt.nz/sites/all/files/guide-to-central-government-agencies-1-apr1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syTemplates\Guida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2092A-34C0-4C9F-82A3-163CE4795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Guidance.dotx</Template>
  <TotalTime>401</TotalTime>
  <Pages>20</Pages>
  <Words>8557</Words>
  <Characters>48779</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PFA SECTION 04(D) – 2006/07 SOI GUIDANCE</vt:lpstr>
    </vt:vector>
  </TitlesOfParts>
  <Company>The Treasury</Company>
  <LinksUpToDate>false</LinksUpToDate>
  <CharactersWithSpaces>57222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PFA SECTION 04(D) – 2006/07 SOI GUIDANCE</dc:title>
  <dc:creator>Geraldine Bruin</dc:creator>
  <cp:lastModifiedBy>Daniel Campbell</cp:lastModifiedBy>
  <cp:revision>16</cp:revision>
  <cp:lastPrinted>2016-04-05T03:30:00Z</cp:lastPrinted>
  <dcterms:created xsi:type="dcterms:W3CDTF">2016-03-31T22:53:00Z</dcterms:created>
  <dcterms:modified xsi:type="dcterms:W3CDTF">2016-04-05T03:46:00Z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yUpdateFooter">
    <vt:bool>false</vt:bool>
  </property>
  <property fmtid="{D5CDD505-2E9C-101B-9397-08002B2CF9AE}" pid="3" name="TsySecurityClassification">
    <vt:lpwstr>IN-CONFIDENCE</vt:lpwstr>
  </property>
  <property fmtid="{D5CDD505-2E9C-101B-9397-08002B2CF9AE}" pid="4" name="TsyDisplayedSecurityClassification">
    <vt:lpwstr>IN-CONFIDENCE</vt:lpwstr>
  </property>
  <property fmtid="{D5CDD505-2E9C-101B-9397-08002B2CF9AE}" pid="5" name="TsySeemailSecurityClassification">
    <vt:lpwstr> [IN-CONFIDENCE]</vt:lpwstr>
  </property>
  <property fmtid="{D5CDD505-2E9C-101B-9397-08002B2CF9AE}" pid="6" name="TsyDocNum">
    <vt:i4>2702188</vt:i4>
  </property>
  <property fmtid="{D5CDD505-2E9C-101B-9397-08002B2CF9AE}" pid="7" name="TsyDocVer">
    <vt:i4>2</vt:i4>
  </property>
  <property fmtid="{D5CDD505-2E9C-101B-9397-08002B2CF9AE}" pid="8" name="TsyDisplayedDocNumVer">
    <vt:lpwstr>Treasury:2702188v2</vt:lpwstr>
  </property>
  <property fmtid="{D5CDD505-2E9C-101B-9397-08002B2CF9AE}" pid="9" name="TsyFileNo">
    <vt:lpwstr>SH-11-2-7-9</vt:lpwstr>
  </property>
  <property fmtid="{D5CDD505-2E9C-101B-9397-08002B2CF9AE}" pid="10" name="TsyDescription">
    <vt:lpwstr>RIA Handbook 2013 DRAFT (from KIS Web &amp; Publishing)</vt:lpwstr>
  </property>
  <property fmtid="{D5CDD505-2E9C-101B-9397-08002B2CF9AE}" pid="11" name="TsyTrNum">
    <vt:lpwstr/>
  </property>
  <property fmtid="{D5CDD505-2E9C-101B-9397-08002B2CF9AE}" pid="12" name="TsyOiaNum">
    <vt:lpwstr/>
  </property>
  <property fmtid="{D5CDD505-2E9C-101B-9397-08002B2CF9AE}" pid="13" name="TsyManagerUsername">
    <vt:lpwstr/>
  </property>
  <property fmtid="{D5CDD505-2E9C-101B-9397-08002B2CF9AE}" pid="14" name="TsyManagerFullname">
    <vt:lpwstr/>
  </property>
  <property fmtid="{D5CDD505-2E9C-101B-9397-08002B2CF9AE}" pid="15" name="TsyHeaderFooterPropertyVersion">
    <vt:i4>1</vt:i4>
  </property>
  <property fmtid="{D5CDD505-2E9C-101B-9397-08002B2CF9AE}" pid="16" name="TsyAuthorUsername">
    <vt:lpwstr>TEMPLEB</vt:lpwstr>
  </property>
  <property fmtid="{D5CDD505-2E9C-101B-9397-08002B2CF9AE}" pid="17" name="TsyAuthorFullname">
    <vt:lpwstr>Ben Temple</vt:lpwstr>
  </property>
  <property fmtid="{D5CDD505-2E9C-101B-9397-08002B2CF9AE}" pid="18" name="Objective-Id">
    <vt:lpwstr>A8899005</vt:lpwstr>
  </property>
  <property fmtid="{D5CDD505-2E9C-101B-9397-08002B2CF9AE}" pid="19" name="Objective-Title">
    <vt:lpwstr>FINAL FOR PUBLICATION Modernising Child, Youth and Family: Vulnerable children workforce settings</vt:lpwstr>
  </property>
  <property fmtid="{D5CDD505-2E9C-101B-9397-08002B2CF9AE}" pid="20" name="Objective-Comment">
    <vt:lpwstr/>
  </property>
  <property fmtid="{D5CDD505-2E9C-101B-9397-08002B2CF9AE}" pid="21" name="Objective-CreationStamp">
    <vt:filetime>2016-05-31T00:53:50Z</vt:filetime>
  </property>
  <property fmtid="{D5CDD505-2E9C-101B-9397-08002B2CF9AE}" pid="22" name="Objective-IsApproved">
    <vt:bool>false</vt:bool>
  </property>
  <property fmtid="{D5CDD505-2E9C-101B-9397-08002B2CF9AE}" pid="23" name="Objective-IsPublished">
    <vt:bool>false</vt:bool>
  </property>
  <property fmtid="{D5CDD505-2E9C-101B-9397-08002B2CF9AE}" pid="24" name="Objective-DatePublished">
    <vt:lpwstr/>
  </property>
  <property fmtid="{D5CDD505-2E9C-101B-9397-08002B2CF9AE}" pid="25" name="Objective-ModificationStamp">
    <vt:filetime>2016-05-31T00:54:53Z</vt:filetime>
  </property>
  <property fmtid="{D5CDD505-2E9C-101B-9397-08002B2CF9AE}" pid="26" name="Objective-Owner">
    <vt:lpwstr>Shannon Chan</vt:lpwstr>
  </property>
  <property fmtid="{D5CDD505-2E9C-101B-9397-08002B2CF9AE}" pid="27" name="Objective-Path">
    <vt:lpwstr>Global Folder:MSD INFORMATION REPOSITORY:Corporate Management &amp; Administration:Organisational Transformation:Transformation Programme:Investing in Children and Families:Work Streams:Phase 3:Policy and Legislation:Bill One:Materials for introduction and first reading:Redacted RISs for publication:Final documents:</vt:lpwstr>
  </property>
  <property fmtid="{D5CDD505-2E9C-101B-9397-08002B2CF9AE}" pid="28" name="Objective-Parent">
    <vt:lpwstr>Final documents</vt:lpwstr>
  </property>
  <property fmtid="{D5CDD505-2E9C-101B-9397-08002B2CF9AE}" pid="29" name="Objective-State">
    <vt:lpwstr>Being Drafted</vt:lpwstr>
  </property>
  <property fmtid="{D5CDD505-2E9C-101B-9397-08002B2CF9AE}" pid="30" name="Objective-Version">
    <vt:lpwstr>0.1</vt:lpwstr>
  </property>
  <property fmtid="{D5CDD505-2E9C-101B-9397-08002B2CF9AE}" pid="31" name="Objective-VersionNumber">
    <vt:r8>1</vt:r8>
  </property>
  <property fmtid="{D5CDD505-2E9C-101B-9397-08002B2CF9AE}" pid="32" name="Objective-VersionComment">
    <vt:lpwstr>Copied from document A8666064.35</vt:lpwstr>
  </property>
  <property fmtid="{D5CDD505-2E9C-101B-9397-08002B2CF9AE}" pid="33" name="Objective-FileNumber">
    <vt:lpwstr>04/11/16-5928</vt:lpwstr>
  </property>
  <property fmtid="{D5CDD505-2E9C-101B-9397-08002B2CF9AE}" pid="34" name="Objective-Classification">
    <vt:lpwstr>[Inherited - In Confidence]</vt:lpwstr>
  </property>
  <property fmtid="{D5CDD505-2E9C-101B-9397-08002B2CF9AE}" pid="35" name="Objective-Caveats">
    <vt:lpwstr/>
  </property>
  <property fmtid="{D5CDD505-2E9C-101B-9397-08002B2CF9AE}" pid="36" name="Objective-Document Status [system]">
    <vt:lpwstr>Work in Progress</vt:lpwstr>
  </property>
  <property fmtid="{D5CDD505-2E9C-101B-9397-08002B2CF9AE}" pid="37" name="Objective-Email is Vaulted? [system]">
    <vt:lpwstr/>
  </property>
</Properties>
</file>