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8C3" w:rsidRDefault="005E28C3" w:rsidP="005E28C3">
      <w:pPr>
        <w:pStyle w:val="Heading1"/>
        <w:spacing w:before="0"/>
        <w:rPr>
          <w:rFonts w:ascii="Verdana" w:hAnsi="Verdana" w:cstheme="minorHAnsi"/>
          <w:szCs w:val="36"/>
        </w:rPr>
      </w:pPr>
      <w:bookmarkStart w:id="0" w:name="_Toc362368101"/>
      <w:bookmarkStart w:id="1" w:name="_Toc362434942"/>
      <w:bookmarkStart w:id="2" w:name="_Toc363047099"/>
      <w:bookmarkStart w:id="3" w:name="_Toc244509141"/>
      <w:bookmarkStart w:id="4" w:name="_Toc244580362"/>
      <w:bookmarkStart w:id="5" w:name="_Toc244587038"/>
      <w:bookmarkStart w:id="6" w:name="_Toc244857272"/>
      <w:bookmarkStart w:id="7" w:name="_Toc244912537"/>
      <w:bookmarkStart w:id="8" w:name="_Toc244916994"/>
      <w:bookmarkStart w:id="9" w:name="_Toc362368102"/>
      <w:bookmarkStart w:id="10" w:name="_Toc362940592"/>
      <w:bookmarkStart w:id="11" w:name="_Toc363047100"/>
      <w:bookmarkStart w:id="12" w:name="_Toc362368103"/>
      <w:bookmarkStart w:id="13" w:name="_Toc362434944"/>
      <w:bookmarkStart w:id="14" w:name="_Toc362589330"/>
      <w:bookmarkStart w:id="15" w:name="_Toc362619030"/>
      <w:bookmarkStart w:id="16" w:name="_Toc362940594"/>
      <w:bookmarkStart w:id="17" w:name="_Toc363047102"/>
      <w:bookmarkStart w:id="18" w:name="_Toc111173195"/>
      <w:bookmarkStart w:id="19" w:name="_Toc112306482"/>
      <w:bookmarkStart w:id="20" w:name="_Toc114287559"/>
      <w:bookmarkStart w:id="21" w:name="_Toc115188196"/>
      <w:bookmarkStart w:id="22" w:name="_Toc118514380"/>
      <w:bookmarkStart w:id="23" w:name="_Toc110071692"/>
      <w:bookmarkStart w:id="24" w:name="_Toc110072564"/>
      <w:bookmarkStart w:id="25" w:name="_Toc138735614"/>
      <w:bookmarkStart w:id="26" w:name="_Toc139335927"/>
      <w:bookmarkStart w:id="27" w:name="_Toc362526401"/>
    </w:p>
    <w:p w:rsidR="005E28C3" w:rsidRPr="003327EA" w:rsidRDefault="005E28C3" w:rsidP="00884E59">
      <w:pPr>
        <w:rPr>
          <w:rFonts w:ascii="Verdana" w:hAnsi="Verdana"/>
          <w:b/>
          <w:color w:val="1F497D" w:themeColor="text2"/>
          <w:sz w:val="36"/>
          <w:szCs w:val="36"/>
        </w:rPr>
      </w:pPr>
      <w:bookmarkStart w:id="28" w:name="_Toc458757996"/>
      <w:bookmarkStart w:id="29" w:name="_Toc458781523"/>
      <w:bookmarkStart w:id="30" w:name="_Toc458781978"/>
      <w:bookmarkStart w:id="31" w:name="_Toc458782051"/>
      <w:bookmarkStart w:id="32" w:name="_Toc458782604"/>
      <w:r w:rsidRPr="003327EA">
        <w:rPr>
          <w:rFonts w:ascii="Verdana" w:hAnsi="Verdana"/>
          <w:b/>
          <w:color w:val="1F497D" w:themeColor="text2"/>
          <w:sz w:val="36"/>
          <w:szCs w:val="36"/>
        </w:rPr>
        <w:t>Regulatory Impact Statement</w:t>
      </w:r>
      <w:bookmarkEnd w:id="28"/>
      <w:bookmarkEnd w:id="29"/>
      <w:bookmarkEnd w:id="30"/>
      <w:bookmarkEnd w:id="31"/>
      <w:bookmarkEnd w:id="32"/>
      <w:r w:rsidRPr="003327EA">
        <w:rPr>
          <w:rFonts w:ascii="Verdana" w:hAnsi="Verdana"/>
          <w:b/>
          <w:color w:val="1F497D" w:themeColor="text2"/>
          <w:sz w:val="36"/>
          <w:szCs w:val="36"/>
        </w:rPr>
        <w:t xml:space="preserve"> </w:t>
      </w:r>
    </w:p>
    <w:p w:rsidR="005E28C3" w:rsidRPr="003327EA" w:rsidRDefault="005E28C3" w:rsidP="00884E59">
      <w:pPr>
        <w:rPr>
          <w:rFonts w:ascii="Verdana" w:hAnsi="Verdana"/>
          <w:b/>
          <w:color w:val="1F497D" w:themeColor="text2"/>
          <w:sz w:val="36"/>
          <w:szCs w:val="36"/>
        </w:rPr>
      </w:pPr>
      <w:bookmarkStart w:id="33" w:name="_Toc458757997"/>
      <w:bookmarkStart w:id="34" w:name="_Toc458781524"/>
      <w:bookmarkStart w:id="35" w:name="_Toc458781979"/>
      <w:bookmarkStart w:id="36" w:name="_Toc458782052"/>
      <w:bookmarkStart w:id="37" w:name="_Toc458782605"/>
      <w:r w:rsidRPr="003327EA">
        <w:rPr>
          <w:rFonts w:ascii="Verdana" w:hAnsi="Verdana"/>
          <w:b/>
          <w:color w:val="1F497D" w:themeColor="text2"/>
          <w:sz w:val="36"/>
          <w:szCs w:val="36"/>
        </w:rPr>
        <w:t xml:space="preserve">Investing in Children: </w:t>
      </w:r>
      <w:bookmarkEnd w:id="0"/>
      <w:bookmarkEnd w:id="1"/>
      <w:bookmarkEnd w:id="2"/>
      <w:bookmarkEnd w:id="3"/>
      <w:bookmarkEnd w:id="33"/>
      <w:bookmarkEnd w:id="34"/>
      <w:bookmarkEnd w:id="35"/>
      <w:bookmarkEnd w:id="36"/>
      <w:bookmarkEnd w:id="37"/>
      <w:r w:rsidR="001E0269">
        <w:rPr>
          <w:rFonts w:ascii="Verdana" w:hAnsi="Verdana"/>
          <w:b/>
          <w:color w:val="1F497D" w:themeColor="text2"/>
          <w:sz w:val="36"/>
          <w:szCs w:val="36"/>
        </w:rPr>
        <w:t>Legislative support for i</w:t>
      </w:r>
      <w:r w:rsidR="003327EA">
        <w:rPr>
          <w:rFonts w:ascii="Verdana" w:hAnsi="Verdana"/>
          <w:b/>
          <w:color w:val="1F497D" w:themeColor="text2"/>
          <w:sz w:val="36"/>
          <w:szCs w:val="36"/>
        </w:rPr>
        <w:t>mproving outcomes for Māori children and young people</w:t>
      </w: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5E28C3" w:rsidRDefault="005E28C3" w:rsidP="005E28C3">
      <w:pPr>
        <w:pStyle w:val="Heading1"/>
        <w:spacing w:before="0"/>
        <w:rPr>
          <w:rFonts w:ascii="Verdana" w:hAnsi="Verdana" w:cstheme="minorHAnsi"/>
          <w:color w:val="1F497D" w:themeColor="text2"/>
          <w:sz w:val="28"/>
        </w:rPr>
      </w:pPr>
    </w:p>
    <w:p w:rsidR="005E28C3" w:rsidRPr="00884E59" w:rsidRDefault="005E28C3" w:rsidP="00884E59">
      <w:pPr>
        <w:rPr>
          <w:rFonts w:ascii="Verdana" w:hAnsi="Verdana"/>
          <w:b/>
          <w:color w:val="1F497D" w:themeColor="text2"/>
          <w:sz w:val="36"/>
          <w:szCs w:val="36"/>
        </w:rPr>
      </w:pPr>
      <w:bookmarkStart w:id="38" w:name="_Toc458757998"/>
      <w:bookmarkStart w:id="39" w:name="_Toc458781525"/>
      <w:bookmarkStart w:id="40" w:name="_Toc458781980"/>
      <w:bookmarkStart w:id="41" w:name="_Toc458782053"/>
      <w:bookmarkStart w:id="42" w:name="_Toc458782606"/>
      <w:r w:rsidRPr="00884E59">
        <w:rPr>
          <w:rFonts w:ascii="Verdana" w:hAnsi="Verdana"/>
          <w:b/>
          <w:color w:val="1F497D" w:themeColor="text2"/>
          <w:sz w:val="36"/>
          <w:szCs w:val="36"/>
        </w:rPr>
        <w:t>Ministry of Social Development</w:t>
      </w:r>
      <w:bookmarkEnd w:id="38"/>
      <w:bookmarkEnd w:id="39"/>
      <w:bookmarkEnd w:id="40"/>
      <w:bookmarkEnd w:id="41"/>
      <w:bookmarkEnd w:id="42"/>
    </w:p>
    <w:p w:rsidR="005E28C3" w:rsidRPr="00884E59" w:rsidRDefault="008F6E92" w:rsidP="00884E59">
      <w:pPr>
        <w:rPr>
          <w:rFonts w:ascii="Verdana" w:hAnsi="Verdana"/>
          <w:b/>
          <w:color w:val="1F497D" w:themeColor="text2"/>
          <w:sz w:val="36"/>
          <w:szCs w:val="36"/>
        </w:rPr>
      </w:pPr>
      <w:bookmarkStart w:id="43" w:name="_Toc458757999"/>
      <w:bookmarkStart w:id="44" w:name="_Toc458781526"/>
      <w:bookmarkStart w:id="45" w:name="_Toc458781981"/>
      <w:bookmarkStart w:id="46" w:name="_Toc458782054"/>
      <w:bookmarkStart w:id="47" w:name="_Toc458782607"/>
      <w:r>
        <w:rPr>
          <w:rFonts w:ascii="Verdana" w:hAnsi="Verdana"/>
          <w:b/>
          <w:color w:val="1F497D" w:themeColor="text2"/>
          <w:sz w:val="36"/>
          <w:szCs w:val="36"/>
        </w:rPr>
        <w:t>2</w:t>
      </w:r>
      <w:r w:rsidR="008375B7">
        <w:rPr>
          <w:rFonts w:ascii="Verdana" w:hAnsi="Verdana"/>
          <w:b/>
          <w:color w:val="1F497D" w:themeColor="text2"/>
          <w:sz w:val="36"/>
          <w:szCs w:val="36"/>
        </w:rPr>
        <w:t>5</w:t>
      </w:r>
      <w:r w:rsidR="00904B83">
        <w:rPr>
          <w:rFonts w:ascii="Verdana" w:hAnsi="Verdana"/>
          <w:b/>
          <w:color w:val="1F497D" w:themeColor="text2"/>
          <w:sz w:val="36"/>
          <w:szCs w:val="36"/>
        </w:rPr>
        <w:t xml:space="preserve"> November</w:t>
      </w:r>
      <w:r w:rsidR="005E28C3" w:rsidRPr="00884E59">
        <w:rPr>
          <w:rFonts w:ascii="Verdana" w:hAnsi="Verdana"/>
          <w:b/>
          <w:color w:val="1F497D" w:themeColor="text2"/>
          <w:sz w:val="36"/>
          <w:szCs w:val="36"/>
        </w:rPr>
        <w:t xml:space="preserve"> 2016</w:t>
      </w:r>
      <w:bookmarkEnd w:id="43"/>
      <w:bookmarkEnd w:id="44"/>
      <w:bookmarkEnd w:id="45"/>
      <w:bookmarkEnd w:id="46"/>
      <w:bookmarkEnd w:id="47"/>
    </w:p>
    <w:p w:rsidR="005E28C3" w:rsidRPr="005E28C3" w:rsidRDefault="005E28C3" w:rsidP="005E28C3">
      <w:pPr>
        <w:rPr>
          <w:color w:val="1F497D" w:themeColor="text2"/>
          <w:lang w:val="en-NZ"/>
        </w:rPr>
      </w:pPr>
    </w:p>
    <w:p w:rsidR="005E28C3" w:rsidRPr="00435715" w:rsidRDefault="005E28C3" w:rsidP="005E28C3"/>
    <w:p w:rsidR="00105054" w:rsidRPr="005E28C3" w:rsidRDefault="00105054">
      <w:pPr>
        <w:spacing w:after="0" w:line="240" w:lineRule="auto"/>
        <w:rPr>
          <w:rFonts w:ascii="Verdana" w:hAnsi="Verdana" w:cstheme="minorHAnsi"/>
          <w:b/>
          <w:color w:val="335087"/>
          <w:spacing w:val="20"/>
          <w:w w:val="90"/>
          <w:sz w:val="28"/>
          <w:szCs w:val="28"/>
        </w:rPr>
      </w:pPr>
      <w:bookmarkStart w:id="48" w:name="_Regulatory_Impact_Statement"/>
      <w:bookmarkEnd w:id="48"/>
      <w:r>
        <w:rPr>
          <w:color w:val="1F497D" w:themeColor="text2"/>
          <w:sz w:val="44"/>
          <w:szCs w:val="44"/>
        </w:rPr>
        <w:br w:type="page"/>
      </w:r>
    </w:p>
    <w:p w:rsidR="00A165A6" w:rsidRPr="00662129" w:rsidRDefault="00A165A6" w:rsidP="00FD5CE2">
      <w:pPr>
        <w:pStyle w:val="Heading2"/>
        <w:spacing w:line="240" w:lineRule="auto"/>
        <w:rPr>
          <w:rFonts w:ascii="Verdana" w:hAnsi="Verdana"/>
        </w:rPr>
      </w:pPr>
      <w:bookmarkStart w:id="49" w:name="_Toc362434943"/>
      <w:bookmarkStart w:id="50" w:name="_Toc362589329"/>
      <w:bookmarkStart w:id="51" w:name="_Toc362619029"/>
      <w:bookmarkStart w:id="52" w:name="_Toc362940593"/>
      <w:bookmarkStart w:id="53" w:name="_Toc363047101"/>
      <w:bookmarkStart w:id="54" w:name="_Toc460924506"/>
      <w:bookmarkEnd w:id="4"/>
      <w:bookmarkEnd w:id="5"/>
      <w:bookmarkEnd w:id="6"/>
      <w:bookmarkEnd w:id="7"/>
      <w:bookmarkEnd w:id="8"/>
      <w:bookmarkEnd w:id="9"/>
      <w:bookmarkEnd w:id="10"/>
      <w:bookmarkEnd w:id="11"/>
      <w:r w:rsidRPr="00662129">
        <w:rPr>
          <w:rFonts w:ascii="Verdana" w:hAnsi="Verdana"/>
          <w:color w:val="1F497D" w:themeColor="text2"/>
        </w:rPr>
        <w:lastRenderedPageBreak/>
        <w:t>Agency Disclosure Statement</w:t>
      </w:r>
      <w:bookmarkEnd w:id="49"/>
      <w:bookmarkEnd w:id="50"/>
      <w:bookmarkEnd w:id="51"/>
      <w:bookmarkEnd w:id="52"/>
      <w:bookmarkEnd w:id="53"/>
      <w:bookmarkEnd w:id="54"/>
      <w:r w:rsidRPr="00662129">
        <w:rPr>
          <w:rFonts w:ascii="Verdana" w:hAnsi="Verdana"/>
          <w:color w:val="1F497D" w:themeColor="text2"/>
        </w:rPr>
        <w:t xml:space="preserve"> </w:t>
      </w:r>
    </w:p>
    <w:p w:rsidR="00736701" w:rsidRPr="008D38D4" w:rsidRDefault="00A165A6" w:rsidP="008D38D4">
      <w:pPr>
        <w:spacing w:after="180" w:line="280" w:lineRule="exact"/>
        <w:ind w:right="170"/>
        <w:rPr>
          <w:rFonts w:ascii="Verdana" w:hAnsi="Verdana"/>
          <w:sz w:val="20"/>
        </w:rPr>
      </w:pPr>
      <w:r w:rsidRPr="008D38D4">
        <w:rPr>
          <w:rFonts w:ascii="Verdana" w:hAnsi="Verdana"/>
          <w:sz w:val="20"/>
        </w:rPr>
        <w:t>This Regulatory Impact Statement (RIS) has been prepared by the Ministry of Social Development</w:t>
      </w:r>
      <w:r w:rsidR="00046A5E">
        <w:rPr>
          <w:rFonts w:ascii="Verdana" w:hAnsi="Verdana"/>
          <w:sz w:val="20"/>
        </w:rPr>
        <w:t xml:space="preserve"> (MSD)</w:t>
      </w:r>
      <w:r w:rsidRPr="008D38D4">
        <w:rPr>
          <w:rFonts w:ascii="Verdana" w:hAnsi="Verdana"/>
          <w:sz w:val="20"/>
        </w:rPr>
        <w:t xml:space="preserve">. It provides an analysis of </w:t>
      </w:r>
      <w:r w:rsidR="007B40C0">
        <w:rPr>
          <w:rFonts w:ascii="Verdana" w:hAnsi="Verdana"/>
          <w:sz w:val="20"/>
        </w:rPr>
        <w:t xml:space="preserve">legislative </w:t>
      </w:r>
      <w:r w:rsidRPr="008D38D4">
        <w:rPr>
          <w:rFonts w:ascii="Verdana" w:hAnsi="Verdana"/>
          <w:sz w:val="20"/>
        </w:rPr>
        <w:t xml:space="preserve">options </w:t>
      </w:r>
      <w:r w:rsidR="000D0F1B" w:rsidRPr="008D38D4">
        <w:rPr>
          <w:rFonts w:ascii="Verdana" w:hAnsi="Verdana"/>
          <w:sz w:val="20"/>
        </w:rPr>
        <w:t>to</w:t>
      </w:r>
      <w:r w:rsidR="007B40C0">
        <w:rPr>
          <w:rFonts w:ascii="Verdana" w:hAnsi="Verdana"/>
          <w:sz w:val="20"/>
        </w:rPr>
        <w:t xml:space="preserve"> support the operati</w:t>
      </w:r>
      <w:r w:rsidR="00FF72A4">
        <w:rPr>
          <w:rFonts w:ascii="Verdana" w:hAnsi="Verdana"/>
          <w:sz w:val="20"/>
        </w:rPr>
        <w:t>ng</w:t>
      </w:r>
      <w:r w:rsidR="007B40C0">
        <w:rPr>
          <w:rFonts w:ascii="Verdana" w:hAnsi="Verdana"/>
          <w:sz w:val="20"/>
        </w:rPr>
        <w:t xml:space="preserve"> model</w:t>
      </w:r>
      <w:r w:rsidR="000D0F1B" w:rsidRPr="008D38D4">
        <w:rPr>
          <w:rFonts w:ascii="Verdana" w:hAnsi="Verdana"/>
          <w:sz w:val="20"/>
        </w:rPr>
        <w:t xml:space="preserve"> </w:t>
      </w:r>
      <w:r w:rsidR="00436683" w:rsidRPr="008D38D4">
        <w:rPr>
          <w:rFonts w:ascii="Verdana" w:hAnsi="Verdana"/>
          <w:sz w:val="20"/>
        </w:rPr>
        <w:t>improve outcomes for M</w:t>
      </w:r>
      <w:r w:rsidR="00436683" w:rsidRPr="008D38D4">
        <w:rPr>
          <w:rFonts w:ascii="Verdana" w:hAnsi="Verdana" w:cs="Arial"/>
          <w:sz w:val="20"/>
        </w:rPr>
        <w:t>ā</w:t>
      </w:r>
      <w:r w:rsidR="00436683" w:rsidRPr="008D38D4">
        <w:rPr>
          <w:rFonts w:ascii="Verdana" w:hAnsi="Verdana"/>
          <w:sz w:val="20"/>
        </w:rPr>
        <w:t>ori children, young people, their wh</w:t>
      </w:r>
      <w:r w:rsidR="00DD7321" w:rsidRPr="008D38D4">
        <w:rPr>
          <w:rFonts w:ascii="Verdana" w:hAnsi="Verdana" w:cs="Arial"/>
          <w:sz w:val="20"/>
        </w:rPr>
        <w:t>ā</w:t>
      </w:r>
      <w:r w:rsidR="00436683" w:rsidRPr="008D38D4">
        <w:rPr>
          <w:rFonts w:ascii="Verdana" w:hAnsi="Verdana"/>
          <w:sz w:val="20"/>
        </w:rPr>
        <w:t>nau, hap</w:t>
      </w:r>
      <w:r w:rsidR="00DD7321" w:rsidRPr="008D38D4">
        <w:rPr>
          <w:rFonts w:ascii="Verdana" w:hAnsi="Verdana" w:cs="Arial"/>
          <w:sz w:val="20"/>
        </w:rPr>
        <w:t>ū</w:t>
      </w:r>
      <w:r w:rsidR="00436683" w:rsidRPr="008D38D4">
        <w:rPr>
          <w:rFonts w:ascii="Verdana" w:hAnsi="Verdana"/>
          <w:sz w:val="20"/>
        </w:rPr>
        <w:t xml:space="preserve"> and iwi</w:t>
      </w:r>
      <w:r w:rsidR="00007FF3" w:rsidRPr="008D38D4">
        <w:rPr>
          <w:rFonts w:ascii="Verdana" w:hAnsi="Verdana"/>
          <w:sz w:val="20"/>
        </w:rPr>
        <w:t>.</w:t>
      </w:r>
    </w:p>
    <w:p w:rsidR="00A165A6" w:rsidRPr="008D38D4" w:rsidRDefault="00D33628" w:rsidP="008D38D4">
      <w:pPr>
        <w:spacing w:after="180" w:line="280" w:lineRule="exact"/>
        <w:ind w:right="170"/>
        <w:rPr>
          <w:rFonts w:ascii="Verdana" w:hAnsi="Verdana"/>
          <w:sz w:val="20"/>
        </w:rPr>
      </w:pPr>
      <w:r>
        <w:rPr>
          <w:rFonts w:ascii="Verdana" w:hAnsi="Verdana"/>
          <w:sz w:val="20"/>
        </w:rPr>
        <w:t>The proposals here</w:t>
      </w:r>
      <w:r w:rsidR="00A165A6" w:rsidRPr="008D38D4">
        <w:rPr>
          <w:rFonts w:ascii="Verdana" w:hAnsi="Verdana"/>
          <w:sz w:val="20"/>
        </w:rPr>
        <w:t xml:space="preserve"> are intended to be included as part of </w:t>
      </w:r>
      <w:r w:rsidR="000D0F1B" w:rsidRPr="008D38D4">
        <w:rPr>
          <w:rFonts w:ascii="Verdana" w:hAnsi="Verdana"/>
          <w:sz w:val="20"/>
        </w:rPr>
        <w:t xml:space="preserve">a second Bill </w:t>
      </w:r>
      <w:r w:rsidR="00674777">
        <w:rPr>
          <w:rFonts w:ascii="Verdana" w:hAnsi="Verdana"/>
          <w:sz w:val="20"/>
        </w:rPr>
        <w:t xml:space="preserve">(Bill No 2) </w:t>
      </w:r>
      <w:r w:rsidR="000D0F1B" w:rsidRPr="008D38D4">
        <w:rPr>
          <w:rFonts w:ascii="Verdana" w:hAnsi="Verdana"/>
          <w:sz w:val="20"/>
        </w:rPr>
        <w:t xml:space="preserve">that will amend the Children, Young  Persons, and Their Families Act 1989 </w:t>
      </w:r>
      <w:r w:rsidR="008D38D4" w:rsidRPr="008D38D4">
        <w:rPr>
          <w:rFonts w:ascii="Verdana" w:hAnsi="Verdana"/>
          <w:sz w:val="20"/>
        </w:rPr>
        <w:t xml:space="preserve"> (</w:t>
      </w:r>
      <w:r w:rsidR="00674777">
        <w:rPr>
          <w:rFonts w:ascii="Verdana" w:hAnsi="Verdana"/>
          <w:sz w:val="20"/>
        </w:rPr>
        <w:t>CYPF Act</w:t>
      </w:r>
      <w:r w:rsidR="008D38D4" w:rsidRPr="008D38D4">
        <w:rPr>
          <w:rFonts w:ascii="Verdana" w:hAnsi="Verdana"/>
          <w:sz w:val="20"/>
        </w:rPr>
        <w:t xml:space="preserve">), </w:t>
      </w:r>
      <w:r w:rsidR="00B82003">
        <w:rPr>
          <w:rFonts w:ascii="Verdana" w:hAnsi="Verdana"/>
          <w:sz w:val="20"/>
        </w:rPr>
        <w:t>and</w:t>
      </w:r>
      <w:r w:rsidR="00B82003" w:rsidRPr="008D38D4">
        <w:rPr>
          <w:rFonts w:ascii="Verdana" w:hAnsi="Verdana"/>
          <w:sz w:val="20"/>
        </w:rPr>
        <w:t xml:space="preserve"> </w:t>
      </w:r>
      <w:r w:rsidR="00A165A6" w:rsidRPr="008D38D4">
        <w:rPr>
          <w:rFonts w:ascii="Verdana" w:hAnsi="Verdana"/>
          <w:sz w:val="20"/>
        </w:rPr>
        <w:t xml:space="preserve">is expected to be introduced into the House in </w:t>
      </w:r>
      <w:r w:rsidR="007B40C0">
        <w:rPr>
          <w:rFonts w:ascii="Verdana" w:hAnsi="Verdana"/>
          <w:sz w:val="20"/>
        </w:rPr>
        <w:t>late</w:t>
      </w:r>
      <w:r w:rsidR="00A165A6" w:rsidRPr="008D38D4">
        <w:rPr>
          <w:rFonts w:ascii="Verdana" w:hAnsi="Verdana"/>
          <w:sz w:val="20"/>
        </w:rPr>
        <w:t xml:space="preserve"> 2016.</w:t>
      </w:r>
      <w:r w:rsidR="00C05018" w:rsidRPr="008D38D4">
        <w:rPr>
          <w:rFonts w:ascii="Verdana" w:hAnsi="Verdana"/>
          <w:sz w:val="20"/>
        </w:rPr>
        <w:t xml:space="preserve"> </w:t>
      </w:r>
    </w:p>
    <w:p w:rsidR="00A165A6" w:rsidRDefault="00A165A6" w:rsidP="00A32A57">
      <w:pPr>
        <w:spacing w:after="180" w:line="280" w:lineRule="exact"/>
        <w:ind w:right="170"/>
        <w:rPr>
          <w:rFonts w:ascii="Verdana" w:hAnsi="Verdana"/>
          <w:sz w:val="20"/>
        </w:rPr>
      </w:pPr>
      <w:r w:rsidRPr="008D38D4">
        <w:rPr>
          <w:rFonts w:ascii="Verdana" w:hAnsi="Verdana"/>
          <w:sz w:val="20"/>
        </w:rPr>
        <w:t xml:space="preserve">Legislative changes to </w:t>
      </w:r>
      <w:r w:rsidR="007B40C0">
        <w:rPr>
          <w:rFonts w:ascii="Verdana" w:hAnsi="Verdana"/>
          <w:sz w:val="20"/>
        </w:rPr>
        <w:t>support</w:t>
      </w:r>
      <w:r w:rsidRPr="008D38D4">
        <w:rPr>
          <w:rFonts w:ascii="Verdana" w:hAnsi="Verdana"/>
          <w:sz w:val="20"/>
        </w:rPr>
        <w:t xml:space="preserve"> the new operating model are being progressed in two stages</w:t>
      </w:r>
      <w:r w:rsidR="00A32A57">
        <w:rPr>
          <w:rFonts w:ascii="Verdana" w:hAnsi="Verdana"/>
          <w:sz w:val="20"/>
        </w:rPr>
        <w:t xml:space="preserve">. Stage </w:t>
      </w:r>
      <w:proofErr w:type="gramStart"/>
      <w:r w:rsidR="00A32A57">
        <w:rPr>
          <w:rFonts w:ascii="Verdana" w:hAnsi="Verdana"/>
          <w:sz w:val="20"/>
        </w:rPr>
        <w:t>One</w:t>
      </w:r>
      <w:proofErr w:type="gramEnd"/>
      <w:r w:rsidRPr="007B40C0">
        <w:rPr>
          <w:rFonts w:ascii="Verdana" w:hAnsi="Verdana"/>
          <w:sz w:val="20"/>
        </w:rPr>
        <w:t xml:space="preserve"> is the </w:t>
      </w:r>
      <w:r w:rsidRPr="007B40C0">
        <w:rPr>
          <w:rFonts w:ascii="Verdana" w:hAnsi="Verdana"/>
          <w:sz w:val="20"/>
          <w:lang w:val="en"/>
        </w:rPr>
        <w:t>Children, Young Persons, and Their Families (Advocacy, Workforce, and Age Settings) Amendment Bill (Bill No 1)</w:t>
      </w:r>
      <w:r w:rsidRPr="007B40C0">
        <w:rPr>
          <w:rFonts w:ascii="Verdana" w:hAnsi="Verdana"/>
          <w:sz w:val="20"/>
        </w:rPr>
        <w:t>. Bill No 1 was introduced and referred to select committee on 15 June 2016. Stage Two consists of a more complex and wide-ranging set of legislative reforms to give effect to the proposed new operating model, as part of a second bill amending the CYPF Act (Bill No 2).</w:t>
      </w:r>
    </w:p>
    <w:p w:rsidR="00F36AE6" w:rsidRDefault="00F36AE6" w:rsidP="008D38D4">
      <w:pPr>
        <w:spacing w:after="180" w:line="280" w:lineRule="exact"/>
        <w:ind w:right="170"/>
        <w:rPr>
          <w:rFonts w:ascii="Verdana" w:hAnsi="Verdana"/>
          <w:sz w:val="20"/>
        </w:rPr>
      </w:pPr>
      <w:r>
        <w:rPr>
          <w:rFonts w:ascii="Verdana" w:hAnsi="Verdana"/>
          <w:sz w:val="20"/>
        </w:rPr>
        <w:t>This RIS covers proposals that:</w:t>
      </w:r>
    </w:p>
    <w:p w:rsidR="00653525" w:rsidRPr="00653525" w:rsidRDefault="00653525" w:rsidP="00A3426D">
      <w:pPr>
        <w:pStyle w:val="Bullet1"/>
        <w:numPr>
          <w:ilvl w:val="0"/>
          <w:numId w:val="12"/>
        </w:numPr>
        <w:tabs>
          <w:tab w:val="clear" w:pos="454"/>
          <w:tab w:val="clear" w:pos="964"/>
        </w:tabs>
        <w:suppressAutoHyphens w:val="0"/>
        <w:autoSpaceDE/>
        <w:autoSpaceDN/>
        <w:adjustRightInd/>
        <w:spacing w:before="120" w:after="120" w:line="280" w:lineRule="exact"/>
        <w:ind w:left="1077" w:right="170" w:hanging="357"/>
        <w:textAlignment w:val="auto"/>
        <w:rPr>
          <w:rFonts w:ascii="Verdana" w:eastAsiaTheme="minorHAnsi" w:hAnsi="Verdana"/>
          <w:sz w:val="20"/>
        </w:rPr>
      </w:pPr>
      <w:r w:rsidRPr="00653525">
        <w:rPr>
          <w:rFonts w:ascii="Verdana" w:eastAsiaTheme="minorHAnsi" w:hAnsi="Verdana"/>
          <w:sz w:val="20"/>
        </w:rPr>
        <w:t>focus the system on achieving better outcomes for M</w:t>
      </w:r>
      <w:r w:rsidRPr="00653525">
        <w:rPr>
          <w:rFonts w:ascii="Verdana" w:eastAsiaTheme="minorHAnsi" w:hAnsi="Verdana" w:cs="Arial"/>
          <w:sz w:val="20"/>
        </w:rPr>
        <w:t>ā</w:t>
      </w:r>
      <w:r w:rsidRPr="00653525">
        <w:rPr>
          <w:rFonts w:ascii="Verdana" w:eastAsiaTheme="minorHAnsi" w:hAnsi="Verdana"/>
          <w:sz w:val="20"/>
        </w:rPr>
        <w:t xml:space="preserve">ori young people </w:t>
      </w:r>
    </w:p>
    <w:p w:rsidR="00653525" w:rsidRPr="00653525" w:rsidRDefault="00653525" w:rsidP="00A3426D">
      <w:pPr>
        <w:pStyle w:val="Bullet1"/>
        <w:numPr>
          <w:ilvl w:val="0"/>
          <w:numId w:val="12"/>
        </w:numPr>
        <w:tabs>
          <w:tab w:val="clear" w:pos="454"/>
          <w:tab w:val="clear" w:pos="964"/>
          <w:tab w:val="num" w:pos="1134"/>
        </w:tabs>
        <w:suppressAutoHyphens w:val="0"/>
        <w:autoSpaceDE/>
        <w:autoSpaceDN/>
        <w:adjustRightInd/>
        <w:spacing w:before="120" w:after="120" w:line="280" w:lineRule="exact"/>
        <w:ind w:left="1077" w:right="170" w:hanging="357"/>
        <w:textAlignment w:val="auto"/>
        <w:rPr>
          <w:rFonts w:ascii="Verdana" w:hAnsi="Verdana"/>
          <w:sz w:val="20"/>
        </w:rPr>
      </w:pPr>
      <w:r w:rsidRPr="00653525">
        <w:rPr>
          <w:rFonts w:ascii="Verdana" w:hAnsi="Verdana"/>
          <w:sz w:val="20"/>
        </w:rPr>
        <w:t>provide a mandate for iwi and other M</w:t>
      </w:r>
      <w:r w:rsidRPr="00653525">
        <w:rPr>
          <w:rFonts w:ascii="Verdana" w:hAnsi="Verdana" w:cs="Arial"/>
          <w:sz w:val="20"/>
        </w:rPr>
        <w:t>āori organisations’</w:t>
      </w:r>
      <w:r w:rsidRPr="00653525">
        <w:rPr>
          <w:rFonts w:ascii="Verdana" w:hAnsi="Verdana"/>
          <w:sz w:val="20"/>
        </w:rPr>
        <w:t xml:space="preserve"> involvement in the new operating model </w:t>
      </w:r>
    </w:p>
    <w:p w:rsidR="00653525" w:rsidRPr="00653525" w:rsidRDefault="00653525" w:rsidP="00A3426D">
      <w:pPr>
        <w:pStyle w:val="Bullet1"/>
        <w:numPr>
          <w:ilvl w:val="0"/>
          <w:numId w:val="12"/>
        </w:numPr>
        <w:tabs>
          <w:tab w:val="clear" w:pos="454"/>
          <w:tab w:val="clear" w:pos="964"/>
          <w:tab w:val="num" w:pos="1021"/>
        </w:tabs>
        <w:suppressAutoHyphens w:val="0"/>
        <w:autoSpaceDE/>
        <w:autoSpaceDN/>
        <w:adjustRightInd/>
        <w:spacing w:before="120" w:after="120" w:line="280" w:lineRule="exact"/>
        <w:ind w:left="1077" w:right="170" w:hanging="357"/>
        <w:textAlignment w:val="auto"/>
        <w:rPr>
          <w:rFonts w:ascii="Verdana" w:hAnsi="Verdana"/>
          <w:sz w:val="20"/>
        </w:rPr>
      </w:pPr>
      <w:proofErr w:type="gramStart"/>
      <w:r w:rsidRPr="00653525">
        <w:rPr>
          <w:rFonts w:ascii="Verdana" w:hAnsi="Verdana"/>
          <w:sz w:val="20"/>
        </w:rPr>
        <w:t>signal</w:t>
      </w:r>
      <w:proofErr w:type="gramEnd"/>
      <w:r w:rsidRPr="00653525">
        <w:rPr>
          <w:rFonts w:ascii="Verdana" w:hAnsi="Verdana"/>
          <w:sz w:val="20"/>
        </w:rPr>
        <w:t xml:space="preserve"> the importance of the values, beliefs and culture of M</w:t>
      </w:r>
      <w:r w:rsidRPr="00653525">
        <w:rPr>
          <w:rFonts w:ascii="Verdana" w:hAnsi="Verdana" w:cs="Arial"/>
          <w:sz w:val="20"/>
        </w:rPr>
        <w:t>ā</w:t>
      </w:r>
      <w:r w:rsidRPr="00653525">
        <w:rPr>
          <w:rFonts w:ascii="Verdana" w:hAnsi="Verdana"/>
          <w:sz w:val="20"/>
        </w:rPr>
        <w:t>ori in delivering interventions.</w:t>
      </w:r>
    </w:p>
    <w:p w:rsidR="00C05018" w:rsidRPr="008D38D4" w:rsidRDefault="00A165A6" w:rsidP="008D38D4">
      <w:pPr>
        <w:spacing w:after="180" w:line="280" w:lineRule="exact"/>
        <w:ind w:right="170"/>
        <w:rPr>
          <w:rFonts w:ascii="Verdana" w:hAnsi="Verdana"/>
          <w:sz w:val="20"/>
        </w:rPr>
      </w:pPr>
      <w:r w:rsidRPr="008D38D4">
        <w:rPr>
          <w:rFonts w:ascii="Verdana" w:hAnsi="Verdana"/>
          <w:sz w:val="20"/>
        </w:rPr>
        <w:t xml:space="preserve">The key constraints around the analysis presented in this paper </w:t>
      </w:r>
      <w:r w:rsidR="00B82003">
        <w:rPr>
          <w:rFonts w:ascii="Verdana" w:hAnsi="Verdana"/>
          <w:sz w:val="20"/>
        </w:rPr>
        <w:t>include that</w:t>
      </w:r>
      <w:r w:rsidRPr="008D38D4">
        <w:rPr>
          <w:rFonts w:ascii="Verdana" w:hAnsi="Verdana"/>
          <w:sz w:val="20"/>
        </w:rPr>
        <w:t>:</w:t>
      </w:r>
    </w:p>
    <w:p w:rsidR="00C05018" w:rsidRPr="008D38D4" w:rsidRDefault="00B82003" w:rsidP="008D38D4">
      <w:pPr>
        <w:pStyle w:val="Bullet-list"/>
        <w:spacing w:before="120" w:after="120"/>
        <w:ind w:left="1077" w:right="170" w:hanging="357"/>
        <w:rPr>
          <w:rFonts w:ascii="Verdana" w:hAnsi="Verdana"/>
          <w:sz w:val="20"/>
        </w:rPr>
      </w:pPr>
      <w:r>
        <w:rPr>
          <w:rFonts w:ascii="Verdana" w:hAnsi="Verdana"/>
          <w:sz w:val="20"/>
        </w:rPr>
        <w:t>t</w:t>
      </w:r>
      <w:r w:rsidR="00C05018" w:rsidRPr="008D38D4">
        <w:rPr>
          <w:rFonts w:ascii="Verdana" w:hAnsi="Verdana"/>
          <w:sz w:val="20"/>
        </w:rPr>
        <w:t>he analysis has been undertaken within fairly tight time</w:t>
      </w:r>
      <w:r>
        <w:rPr>
          <w:rFonts w:ascii="Verdana" w:hAnsi="Verdana"/>
          <w:sz w:val="20"/>
        </w:rPr>
        <w:t xml:space="preserve">frames </w:t>
      </w:r>
      <w:r w:rsidR="00C05018" w:rsidRPr="008D38D4">
        <w:rPr>
          <w:rFonts w:ascii="Verdana" w:hAnsi="Verdana"/>
          <w:sz w:val="20"/>
        </w:rPr>
        <w:t xml:space="preserve"> </w:t>
      </w:r>
      <w:r w:rsidR="007B40C0">
        <w:rPr>
          <w:rFonts w:ascii="Verdana" w:hAnsi="Verdana"/>
          <w:sz w:val="20"/>
        </w:rPr>
        <w:t>alongside</w:t>
      </w:r>
      <w:r w:rsidR="00C05018" w:rsidRPr="008D38D4">
        <w:rPr>
          <w:rFonts w:ascii="Verdana" w:hAnsi="Verdana"/>
          <w:sz w:val="20"/>
        </w:rPr>
        <w:t xml:space="preserve"> detailed design work on the system</w:t>
      </w:r>
    </w:p>
    <w:p w:rsidR="00C05018" w:rsidRPr="008D38D4" w:rsidRDefault="00B82003" w:rsidP="008D38D4">
      <w:pPr>
        <w:pStyle w:val="Bullet-list"/>
        <w:spacing w:before="120" w:after="120"/>
        <w:ind w:left="1077" w:right="170" w:hanging="357"/>
        <w:rPr>
          <w:rFonts w:ascii="Verdana" w:hAnsi="Verdana"/>
          <w:sz w:val="20"/>
        </w:rPr>
      </w:pPr>
      <w:r>
        <w:rPr>
          <w:rFonts w:ascii="Verdana" w:hAnsi="Verdana"/>
          <w:sz w:val="20"/>
        </w:rPr>
        <w:t>t</w:t>
      </w:r>
      <w:r w:rsidR="00C05018" w:rsidRPr="008D38D4">
        <w:rPr>
          <w:rFonts w:ascii="Verdana" w:hAnsi="Verdana"/>
          <w:sz w:val="20"/>
        </w:rPr>
        <w:t xml:space="preserve">he recommendations of the </w:t>
      </w:r>
      <w:r w:rsidR="00674777">
        <w:rPr>
          <w:rFonts w:ascii="Verdana" w:hAnsi="Verdana"/>
          <w:sz w:val="20"/>
        </w:rPr>
        <w:t>Modernising Child, Youth and Family</w:t>
      </w:r>
      <w:r w:rsidR="00872E4C">
        <w:rPr>
          <w:rFonts w:ascii="Verdana" w:hAnsi="Verdana"/>
          <w:sz w:val="20"/>
        </w:rPr>
        <w:t xml:space="preserve"> Expert Panel</w:t>
      </w:r>
      <w:r w:rsidR="007027E4">
        <w:rPr>
          <w:rFonts w:ascii="Verdana" w:hAnsi="Verdana"/>
          <w:sz w:val="20"/>
        </w:rPr>
        <w:t xml:space="preserve"> (</w:t>
      </w:r>
      <w:r w:rsidR="00872E4C">
        <w:rPr>
          <w:rFonts w:ascii="Verdana" w:hAnsi="Verdana"/>
          <w:sz w:val="20"/>
        </w:rPr>
        <w:t xml:space="preserve">the </w:t>
      </w:r>
      <w:r w:rsidR="007027E4">
        <w:rPr>
          <w:rFonts w:ascii="Verdana" w:hAnsi="Verdana"/>
          <w:sz w:val="20"/>
        </w:rPr>
        <w:t>Expert Panel)</w:t>
      </w:r>
      <w:r w:rsidR="00C05018" w:rsidRPr="008D38D4">
        <w:rPr>
          <w:rFonts w:ascii="Verdana" w:hAnsi="Verdana"/>
          <w:sz w:val="20"/>
        </w:rPr>
        <w:t xml:space="preserve"> were developed independently as part of a process that included broad consultation and expert input. </w:t>
      </w:r>
      <w:r w:rsidR="00D33628">
        <w:rPr>
          <w:rFonts w:ascii="Verdana" w:hAnsi="Verdana"/>
          <w:sz w:val="20"/>
        </w:rPr>
        <w:t>However, only</w:t>
      </w:r>
      <w:r w:rsidR="00C05018" w:rsidRPr="008D38D4">
        <w:rPr>
          <w:rFonts w:ascii="Verdana" w:hAnsi="Verdana"/>
          <w:sz w:val="20"/>
        </w:rPr>
        <w:t xml:space="preserve"> targeted consultation on these specific proposals has been possible in the time available</w:t>
      </w:r>
      <w:r w:rsidR="00C02B6D" w:rsidRPr="008D38D4">
        <w:rPr>
          <w:rFonts w:ascii="Verdana" w:hAnsi="Verdana"/>
          <w:sz w:val="20"/>
        </w:rPr>
        <w:t xml:space="preserve"> </w:t>
      </w:r>
    </w:p>
    <w:p w:rsidR="00A165A6" w:rsidRPr="008D38D4" w:rsidRDefault="00B82003" w:rsidP="008D38D4">
      <w:pPr>
        <w:pStyle w:val="Bullet-list"/>
        <w:spacing w:before="120" w:after="120"/>
        <w:ind w:left="1077" w:right="170" w:hanging="357"/>
        <w:rPr>
          <w:rFonts w:ascii="Verdana" w:hAnsi="Verdana"/>
          <w:sz w:val="20"/>
        </w:rPr>
      </w:pPr>
      <w:r>
        <w:rPr>
          <w:rFonts w:ascii="Verdana" w:hAnsi="Verdana"/>
          <w:sz w:val="20"/>
        </w:rPr>
        <w:t>a</w:t>
      </w:r>
      <w:r w:rsidR="00C05018" w:rsidRPr="008D38D4">
        <w:rPr>
          <w:rFonts w:ascii="Verdana" w:hAnsi="Verdana"/>
          <w:sz w:val="20"/>
        </w:rPr>
        <w:t xml:space="preserve">gency </w:t>
      </w:r>
      <w:r w:rsidR="00A165A6" w:rsidRPr="008D38D4">
        <w:rPr>
          <w:rFonts w:ascii="Verdana" w:hAnsi="Verdana"/>
          <w:sz w:val="20"/>
        </w:rPr>
        <w:t>consultation has been undertaken on the impacts on agencies as part of the proc</w:t>
      </w:r>
      <w:r w:rsidR="00C05018" w:rsidRPr="008D38D4">
        <w:rPr>
          <w:rFonts w:ascii="Verdana" w:hAnsi="Verdana"/>
          <w:sz w:val="20"/>
        </w:rPr>
        <w:t>ess of development</w:t>
      </w:r>
      <w:r w:rsidR="00DD7321" w:rsidRPr="008D38D4">
        <w:rPr>
          <w:rFonts w:ascii="Verdana" w:hAnsi="Verdana"/>
          <w:sz w:val="20"/>
        </w:rPr>
        <w:t xml:space="preserve"> </w:t>
      </w:r>
      <w:r w:rsidR="00C05018" w:rsidRPr="008D38D4">
        <w:rPr>
          <w:rFonts w:ascii="Verdana" w:hAnsi="Verdana"/>
          <w:sz w:val="20"/>
        </w:rPr>
        <w:t xml:space="preserve">of this RIS, </w:t>
      </w:r>
      <w:r w:rsidR="00A165A6" w:rsidRPr="008D38D4">
        <w:rPr>
          <w:rFonts w:ascii="Verdana" w:hAnsi="Verdana"/>
          <w:sz w:val="20"/>
        </w:rPr>
        <w:t>but this has been done within limited timeframes</w:t>
      </w:r>
    </w:p>
    <w:p w:rsidR="002F20D3" w:rsidRPr="008D38D4" w:rsidRDefault="00B82003" w:rsidP="008D38D4">
      <w:pPr>
        <w:numPr>
          <w:ilvl w:val="0"/>
          <w:numId w:val="7"/>
        </w:numPr>
        <w:spacing w:before="120" w:after="120" w:line="280" w:lineRule="exact"/>
        <w:ind w:left="1077" w:right="170" w:hanging="357"/>
        <w:rPr>
          <w:rFonts w:ascii="Verdana" w:hAnsi="Verdana"/>
          <w:sz w:val="20"/>
        </w:rPr>
      </w:pPr>
      <w:proofErr w:type="gramStart"/>
      <w:r>
        <w:rPr>
          <w:rFonts w:ascii="Verdana" w:hAnsi="Verdana"/>
          <w:sz w:val="20"/>
        </w:rPr>
        <w:t>t</w:t>
      </w:r>
      <w:r w:rsidR="002F20D3" w:rsidRPr="008D38D4">
        <w:rPr>
          <w:rFonts w:ascii="Verdana" w:hAnsi="Verdana"/>
          <w:sz w:val="20"/>
        </w:rPr>
        <w:t>he</w:t>
      </w:r>
      <w:proofErr w:type="gramEnd"/>
      <w:r w:rsidR="002F20D3" w:rsidRPr="008D38D4">
        <w:rPr>
          <w:rFonts w:ascii="Verdana" w:hAnsi="Verdana"/>
          <w:sz w:val="20"/>
        </w:rPr>
        <w:t xml:space="preserve"> RIS provides only a general indication of the relative scope and magnitude of the options’ operational implications, as detailed design work o</w:t>
      </w:r>
      <w:r w:rsidR="00401CCD" w:rsidRPr="008D38D4">
        <w:rPr>
          <w:rFonts w:ascii="Verdana" w:hAnsi="Verdana"/>
          <w:sz w:val="20"/>
        </w:rPr>
        <w:t>n</w:t>
      </w:r>
      <w:r w:rsidR="002F20D3" w:rsidRPr="008D38D4">
        <w:rPr>
          <w:rFonts w:ascii="Verdana" w:hAnsi="Verdana"/>
          <w:sz w:val="20"/>
        </w:rPr>
        <w:t xml:space="preserve"> the broader operating model </w:t>
      </w:r>
      <w:r w:rsidR="00D33628">
        <w:rPr>
          <w:rFonts w:ascii="Verdana" w:hAnsi="Verdana"/>
          <w:sz w:val="20"/>
        </w:rPr>
        <w:t>is occurring in parallel</w:t>
      </w:r>
      <w:r w:rsidR="001A4C85" w:rsidRPr="008D38D4">
        <w:rPr>
          <w:rFonts w:ascii="Verdana" w:hAnsi="Verdana"/>
          <w:sz w:val="20"/>
        </w:rPr>
        <w:t>.</w:t>
      </w:r>
    </w:p>
    <w:tbl>
      <w:tblPr>
        <w:tblW w:w="0" w:type="auto"/>
        <w:tblInd w:w="108" w:type="dxa"/>
        <w:tblLook w:val="01E0" w:firstRow="1" w:lastRow="1" w:firstColumn="1" w:lastColumn="1" w:noHBand="0" w:noVBand="0"/>
      </w:tblPr>
      <w:tblGrid>
        <w:gridCol w:w="5039"/>
        <w:gridCol w:w="1198"/>
        <w:gridCol w:w="2694"/>
      </w:tblGrid>
      <w:tr w:rsidR="00A165A6" w:rsidRPr="008D38D4" w:rsidTr="00A165A6">
        <w:tc>
          <w:tcPr>
            <w:tcW w:w="5039" w:type="dxa"/>
            <w:tcBorders>
              <w:bottom w:val="single" w:sz="8" w:space="0" w:color="auto"/>
            </w:tcBorders>
            <w:shd w:val="clear" w:color="auto" w:fill="auto"/>
          </w:tcPr>
          <w:p w:rsidR="00A32A57" w:rsidRDefault="00A32A57" w:rsidP="008D38D4">
            <w:pPr>
              <w:spacing w:line="280" w:lineRule="exact"/>
              <w:jc w:val="both"/>
              <w:rPr>
                <w:rFonts w:ascii="Verdana" w:hAnsi="Verdana"/>
                <w:sz w:val="20"/>
              </w:rPr>
            </w:pPr>
          </w:p>
          <w:p w:rsidR="00A32A57" w:rsidRPr="008D38D4" w:rsidRDefault="00A32A57" w:rsidP="008D38D4">
            <w:pPr>
              <w:spacing w:line="280" w:lineRule="exact"/>
              <w:jc w:val="both"/>
              <w:rPr>
                <w:rFonts w:ascii="Verdana" w:hAnsi="Verdana"/>
                <w:sz w:val="20"/>
              </w:rPr>
            </w:pPr>
          </w:p>
        </w:tc>
        <w:tc>
          <w:tcPr>
            <w:tcW w:w="1198" w:type="dxa"/>
            <w:shd w:val="clear" w:color="auto" w:fill="auto"/>
          </w:tcPr>
          <w:p w:rsidR="00A165A6" w:rsidRPr="008D38D4" w:rsidRDefault="00A165A6" w:rsidP="008D38D4">
            <w:pPr>
              <w:tabs>
                <w:tab w:val="left" w:pos="5940"/>
              </w:tabs>
              <w:spacing w:line="280" w:lineRule="exact"/>
              <w:jc w:val="both"/>
              <w:rPr>
                <w:rFonts w:ascii="Verdana" w:hAnsi="Verdana"/>
                <w:sz w:val="20"/>
              </w:rPr>
            </w:pPr>
          </w:p>
        </w:tc>
        <w:tc>
          <w:tcPr>
            <w:tcW w:w="2694" w:type="dxa"/>
            <w:tcBorders>
              <w:bottom w:val="single" w:sz="8" w:space="0" w:color="auto"/>
            </w:tcBorders>
            <w:shd w:val="clear" w:color="auto" w:fill="auto"/>
          </w:tcPr>
          <w:p w:rsidR="00A165A6" w:rsidRPr="008D38D4" w:rsidRDefault="00A165A6" w:rsidP="008D38D4">
            <w:pPr>
              <w:tabs>
                <w:tab w:val="left" w:pos="5940"/>
              </w:tabs>
              <w:spacing w:line="280" w:lineRule="exact"/>
              <w:jc w:val="both"/>
              <w:rPr>
                <w:rFonts w:ascii="Verdana" w:hAnsi="Verdana"/>
                <w:sz w:val="20"/>
              </w:rPr>
            </w:pPr>
          </w:p>
        </w:tc>
      </w:tr>
      <w:tr w:rsidR="00A165A6" w:rsidRPr="008D38D4" w:rsidTr="00A165A6">
        <w:tc>
          <w:tcPr>
            <w:tcW w:w="5039" w:type="dxa"/>
            <w:tcBorders>
              <w:top w:val="single" w:sz="8" w:space="0" w:color="auto"/>
            </w:tcBorders>
            <w:shd w:val="clear" w:color="auto" w:fill="auto"/>
          </w:tcPr>
          <w:p w:rsidR="00A165A6" w:rsidRPr="008D38D4" w:rsidRDefault="0072741A" w:rsidP="008D38D4">
            <w:pPr>
              <w:pStyle w:val="Text"/>
              <w:spacing w:before="0" w:after="0" w:line="280" w:lineRule="exact"/>
              <w:ind w:right="170"/>
              <w:rPr>
                <w:rFonts w:ascii="Verdana" w:hAnsi="Verdana" w:cs="Arial"/>
                <w:sz w:val="20"/>
                <w:lang w:val="en-NZ"/>
              </w:rPr>
            </w:pPr>
            <w:r>
              <w:rPr>
                <w:rFonts w:ascii="Verdana" w:hAnsi="Verdana" w:cs="Arial"/>
                <w:sz w:val="20"/>
                <w:lang w:val="en-NZ"/>
              </w:rPr>
              <w:t>Sean Maxwell</w:t>
            </w:r>
          </w:p>
          <w:p w:rsidR="00A165A6" w:rsidRPr="008D38D4" w:rsidRDefault="0072741A" w:rsidP="008D38D4">
            <w:pPr>
              <w:pStyle w:val="Text"/>
              <w:spacing w:before="0" w:after="0" w:line="280" w:lineRule="exact"/>
              <w:ind w:right="170"/>
              <w:rPr>
                <w:rFonts w:ascii="Verdana" w:hAnsi="Verdana" w:cs="Arial"/>
                <w:sz w:val="20"/>
                <w:lang w:val="en-NZ"/>
              </w:rPr>
            </w:pPr>
            <w:r>
              <w:rPr>
                <w:rFonts w:ascii="Verdana" w:hAnsi="Verdana" w:cs="Arial"/>
                <w:sz w:val="20"/>
                <w:lang w:val="en-NZ"/>
              </w:rPr>
              <w:t>General Manager, CYF Legislative Reform</w:t>
            </w:r>
          </w:p>
          <w:p w:rsidR="00A165A6" w:rsidRPr="008D38D4" w:rsidRDefault="00A165A6" w:rsidP="008D38D4">
            <w:pPr>
              <w:pStyle w:val="Text"/>
              <w:spacing w:before="0" w:after="0" w:line="280" w:lineRule="exact"/>
              <w:ind w:right="170"/>
              <w:rPr>
                <w:rFonts w:ascii="Verdana" w:hAnsi="Verdana" w:cs="Arial"/>
                <w:sz w:val="20"/>
                <w:lang w:val="en-NZ"/>
              </w:rPr>
            </w:pPr>
            <w:r w:rsidRPr="008D38D4">
              <w:rPr>
                <w:rFonts w:ascii="Verdana" w:hAnsi="Verdana" w:cs="Arial"/>
                <w:sz w:val="20"/>
                <w:lang w:val="en-NZ"/>
              </w:rPr>
              <w:t>Ministry of Social Development</w:t>
            </w:r>
          </w:p>
          <w:p w:rsidR="00A165A6" w:rsidRPr="008D38D4" w:rsidRDefault="00A165A6" w:rsidP="008D38D4">
            <w:pPr>
              <w:pStyle w:val="SignatureText"/>
              <w:spacing w:before="0" w:line="280" w:lineRule="exact"/>
              <w:jc w:val="both"/>
              <w:rPr>
                <w:rFonts w:ascii="Verdana" w:hAnsi="Verdana"/>
                <w:sz w:val="20"/>
              </w:rPr>
            </w:pPr>
          </w:p>
        </w:tc>
        <w:tc>
          <w:tcPr>
            <w:tcW w:w="1198" w:type="dxa"/>
            <w:shd w:val="clear" w:color="auto" w:fill="auto"/>
          </w:tcPr>
          <w:p w:rsidR="00A165A6" w:rsidRPr="008D38D4" w:rsidRDefault="00A165A6" w:rsidP="008D38D4">
            <w:pPr>
              <w:tabs>
                <w:tab w:val="left" w:pos="5940"/>
              </w:tabs>
              <w:spacing w:after="0" w:line="280" w:lineRule="exact"/>
              <w:jc w:val="both"/>
              <w:rPr>
                <w:rFonts w:ascii="Verdana" w:hAnsi="Verdana"/>
                <w:sz w:val="20"/>
              </w:rPr>
            </w:pPr>
          </w:p>
        </w:tc>
        <w:tc>
          <w:tcPr>
            <w:tcW w:w="2694" w:type="dxa"/>
            <w:tcBorders>
              <w:top w:val="single" w:sz="8" w:space="0" w:color="auto"/>
            </w:tcBorders>
            <w:shd w:val="clear" w:color="auto" w:fill="auto"/>
          </w:tcPr>
          <w:p w:rsidR="00A165A6" w:rsidRPr="008D38D4" w:rsidRDefault="00A165A6" w:rsidP="008D38D4">
            <w:pPr>
              <w:pStyle w:val="SignatureText"/>
              <w:spacing w:before="0" w:line="280" w:lineRule="exact"/>
              <w:jc w:val="both"/>
              <w:rPr>
                <w:rFonts w:ascii="Verdana" w:hAnsi="Verdana"/>
                <w:sz w:val="20"/>
              </w:rPr>
            </w:pPr>
            <w:r w:rsidRPr="008D38D4">
              <w:rPr>
                <w:rFonts w:ascii="Verdana" w:hAnsi="Verdana"/>
                <w:sz w:val="20"/>
              </w:rPr>
              <w:t>Date</w:t>
            </w:r>
          </w:p>
        </w:tc>
      </w:tr>
    </w:tbl>
    <w:p w:rsidR="005D3C2C" w:rsidRPr="008D38D4" w:rsidRDefault="00A165A6" w:rsidP="00FD5CE2">
      <w:pPr>
        <w:pStyle w:val="Heading2"/>
        <w:spacing w:line="240" w:lineRule="auto"/>
        <w:rPr>
          <w:rFonts w:ascii="Verdana" w:hAnsi="Verdana"/>
          <w:sz w:val="20"/>
          <w:szCs w:val="20"/>
          <w:u w:val="single"/>
        </w:rPr>
      </w:pPr>
      <w:r w:rsidRPr="008D38D4">
        <w:rPr>
          <w:rFonts w:ascii="Verdana" w:hAnsi="Verdana"/>
          <w:sz w:val="20"/>
          <w:szCs w:val="20"/>
        </w:rPr>
        <w:br w:type="page"/>
      </w:r>
    </w:p>
    <w:p w:rsidR="00A165A6" w:rsidRPr="008D38D4" w:rsidRDefault="00A165A6" w:rsidP="00FD5CE2">
      <w:pPr>
        <w:keepNext/>
        <w:tabs>
          <w:tab w:val="left" w:pos="567"/>
        </w:tabs>
        <w:spacing w:before="240" w:after="180" w:line="240" w:lineRule="auto"/>
        <w:outlineLvl w:val="1"/>
        <w:rPr>
          <w:rFonts w:ascii="Verdana" w:hAnsi="Verdana"/>
          <w:b/>
          <w:color w:val="335087"/>
          <w:spacing w:val="20"/>
          <w:w w:val="90"/>
          <w:sz w:val="28"/>
          <w:szCs w:val="28"/>
        </w:rPr>
      </w:pPr>
      <w:bookmarkStart w:id="55" w:name="_Toc460924507"/>
      <w:bookmarkEnd w:id="12"/>
      <w:bookmarkEnd w:id="13"/>
      <w:bookmarkEnd w:id="14"/>
      <w:bookmarkEnd w:id="15"/>
      <w:bookmarkEnd w:id="16"/>
      <w:bookmarkEnd w:id="17"/>
      <w:r w:rsidRPr="008D38D4">
        <w:rPr>
          <w:rFonts w:ascii="Verdana" w:hAnsi="Verdana"/>
          <w:b/>
          <w:color w:val="335087"/>
          <w:spacing w:val="20"/>
          <w:w w:val="90"/>
          <w:sz w:val="28"/>
          <w:szCs w:val="28"/>
        </w:rPr>
        <w:lastRenderedPageBreak/>
        <w:t>Executive summary</w:t>
      </w:r>
      <w:bookmarkEnd w:id="55"/>
      <w:r w:rsidRPr="008D38D4">
        <w:rPr>
          <w:rFonts w:ascii="Verdana" w:hAnsi="Verdana"/>
          <w:b/>
          <w:color w:val="335087"/>
          <w:spacing w:val="20"/>
          <w:w w:val="90"/>
          <w:sz w:val="28"/>
          <w:szCs w:val="28"/>
        </w:rPr>
        <w:t xml:space="preserve"> </w:t>
      </w:r>
    </w:p>
    <w:p w:rsidR="007B40C0" w:rsidRDefault="00A165A6" w:rsidP="00053FCC">
      <w:pPr>
        <w:numPr>
          <w:ilvl w:val="0"/>
          <w:numId w:val="10"/>
        </w:numPr>
        <w:spacing w:before="120" w:after="120" w:line="280" w:lineRule="exact"/>
        <w:ind w:left="567" w:hanging="567"/>
        <w:rPr>
          <w:rFonts w:ascii="Verdana" w:hAnsi="Verdana"/>
          <w:sz w:val="20"/>
        </w:rPr>
      </w:pPr>
      <w:r w:rsidRPr="0001508A">
        <w:rPr>
          <w:rFonts w:ascii="Verdana" w:hAnsi="Verdana"/>
          <w:sz w:val="20"/>
        </w:rPr>
        <w:t xml:space="preserve">The proposals discussed in this RIS form part of the </w:t>
      </w:r>
      <w:r w:rsidR="004A5FBC" w:rsidRPr="0001508A">
        <w:rPr>
          <w:rFonts w:ascii="Verdana" w:hAnsi="Verdana"/>
          <w:sz w:val="20"/>
        </w:rPr>
        <w:t xml:space="preserve">far reaching </w:t>
      </w:r>
      <w:r w:rsidRPr="0001508A">
        <w:rPr>
          <w:rFonts w:ascii="Verdana" w:hAnsi="Verdana"/>
          <w:sz w:val="20"/>
        </w:rPr>
        <w:t xml:space="preserve">reform programme </w:t>
      </w:r>
      <w:r w:rsidR="00D33628">
        <w:rPr>
          <w:rFonts w:ascii="Verdana" w:hAnsi="Verdana"/>
          <w:sz w:val="20"/>
        </w:rPr>
        <w:t>being undertaken</w:t>
      </w:r>
      <w:r w:rsidRPr="0001508A">
        <w:rPr>
          <w:rFonts w:ascii="Verdana" w:hAnsi="Verdana"/>
          <w:sz w:val="20"/>
        </w:rPr>
        <w:t xml:space="preserve"> by the Government </w:t>
      </w:r>
      <w:r w:rsidR="00D33628">
        <w:rPr>
          <w:rFonts w:ascii="Verdana" w:hAnsi="Verdana"/>
          <w:sz w:val="20"/>
        </w:rPr>
        <w:t>to ensure that all</w:t>
      </w:r>
      <w:r w:rsidR="007B40C0">
        <w:rPr>
          <w:rFonts w:ascii="Verdana" w:hAnsi="Verdana"/>
          <w:sz w:val="20"/>
        </w:rPr>
        <w:t xml:space="preserve"> children and young people are in loving families and communities where they can be safe, strong, connected and able to flourish [SOC-16-Min-0022 refers]. </w:t>
      </w:r>
    </w:p>
    <w:p w:rsidR="00A165A6" w:rsidRPr="0001508A" w:rsidRDefault="007B40C0" w:rsidP="0016400C">
      <w:pPr>
        <w:numPr>
          <w:ilvl w:val="0"/>
          <w:numId w:val="10"/>
        </w:numPr>
        <w:spacing w:before="120" w:after="120" w:line="280" w:lineRule="exact"/>
        <w:ind w:left="567" w:hanging="567"/>
        <w:rPr>
          <w:rFonts w:ascii="Verdana" w:hAnsi="Verdana"/>
          <w:sz w:val="20"/>
        </w:rPr>
      </w:pPr>
      <w:r>
        <w:rPr>
          <w:rFonts w:ascii="Verdana" w:hAnsi="Verdana"/>
          <w:sz w:val="20"/>
        </w:rPr>
        <w:t xml:space="preserve">The Cabinet Social Policy Committee </w:t>
      </w:r>
      <w:r w:rsidR="00FF72A4">
        <w:rPr>
          <w:rFonts w:ascii="Verdana" w:hAnsi="Verdana"/>
          <w:sz w:val="20"/>
        </w:rPr>
        <w:t xml:space="preserve">(SOC) </w:t>
      </w:r>
      <w:r>
        <w:rPr>
          <w:rFonts w:ascii="Verdana" w:hAnsi="Verdana"/>
          <w:sz w:val="20"/>
        </w:rPr>
        <w:t>agree</w:t>
      </w:r>
      <w:r w:rsidR="00FF72A4">
        <w:rPr>
          <w:rFonts w:ascii="Verdana" w:hAnsi="Verdana"/>
          <w:sz w:val="20"/>
        </w:rPr>
        <w:t>d</w:t>
      </w:r>
      <w:r>
        <w:rPr>
          <w:rFonts w:ascii="Verdana" w:hAnsi="Verdana"/>
          <w:sz w:val="20"/>
        </w:rPr>
        <w:t xml:space="preserve"> that major reform is required to the Children, Young Persons and Their Families Act 1989 (the CYPF Act) and related legislation to give effect to the </w:t>
      </w:r>
      <w:r w:rsidR="007D706A">
        <w:rPr>
          <w:rFonts w:ascii="Verdana" w:hAnsi="Verdana"/>
          <w:sz w:val="20"/>
        </w:rPr>
        <w:t xml:space="preserve">proposed </w:t>
      </w:r>
      <w:r>
        <w:rPr>
          <w:rFonts w:ascii="Verdana" w:hAnsi="Verdana"/>
          <w:sz w:val="20"/>
        </w:rPr>
        <w:t xml:space="preserve">new operating model </w:t>
      </w:r>
      <w:r w:rsidR="007D706A">
        <w:rPr>
          <w:rFonts w:ascii="Verdana" w:hAnsi="Verdana"/>
          <w:sz w:val="20"/>
        </w:rPr>
        <w:t>[SOC -16-Min-0024</w:t>
      </w:r>
      <w:r w:rsidR="00FF72A4">
        <w:rPr>
          <w:rFonts w:ascii="Verdana" w:hAnsi="Verdana"/>
          <w:sz w:val="20"/>
        </w:rPr>
        <w:t xml:space="preserve"> refers</w:t>
      </w:r>
      <w:r w:rsidR="007D706A">
        <w:rPr>
          <w:rFonts w:ascii="Verdana" w:hAnsi="Verdana"/>
          <w:sz w:val="20"/>
        </w:rPr>
        <w:t xml:space="preserve">]. </w:t>
      </w:r>
    </w:p>
    <w:p w:rsidR="00D7196D" w:rsidRPr="0001508A" w:rsidRDefault="007D706A" w:rsidP="0016400C">
      <w:pPr>
        <w:numPr>
          <w:ilvl w:val="0"/>
          <w:numId w:val="10"/>
        </w:numPr>
        <w:spacing w:before="120" w:after="120" w:line="280" w:lineRule="exact"/>
        <w:ind w:left="567" w:hanging="567"/>
        <w:rPr>
          <w:rFonts w:ascii="Verdana" w:hAnsi="Verdana"/>
          <w:sz w:val="20"/>
          <w:lang w:val="en-NZ"/>
        </w:rPr>
      </w:pPr>
      <w:r>
        <w:rPr>
          <w:rFonts w:ascii="Verdana" w:hAnsi="Verdana"/>
          <w:sz w:val="20"/>
          <w:lang w:val="en-NZ"/>
        </w:rPr>
        <w:t>SOC</w:t>
      </w:r>
      <w:r w:rsidR="00E5394D" w:rsidRPr="0001508A">
        <w:rPr>
          <w:rFonts w:ascii="Verdana" w:hAnsi="Verdana"/>
          <w:sz w:val="20"/>
          <w:lang w:val="en-NZ"/>
        </w:rPr>
        <w:t xml:space="preserve"> </w:t>
      </w:r>
      <w:r w:rsidR="00FF72A4">
        <w:rPr>
          <w:rFonts w:ascii="Verdana" w:hAnsi="Verdana"/>
          <w:sz w:val="20"/>
          <w:lang w:val="en-NZ"/>
        </w:rPr>
        <w:t xml:space="preserve">has </w:t>
      </w:r>
      <w:r w:rsidR="00C05018" w:rsidRPr="0001508A">
        <w:rPr>
          <w:rFonts w:ascii="Verdana" w:hAnsi="Verdana"/>
          <w:sz w:val="20"/>
          <w:lang w:val="en-NZ"/>
        </w:rPr>
        <w:t>agreed to a bold and urgent overhaul of the system</w:t>
      </w:r>
      <w:r w:rsidR="00E5394D" w:rsidRPr="0001508A">
        <w:rPr>
          <w:rFonts w:ascii="Verdana" w:hAnsi="Verdana"/>
          <w:sz w:val="20"/>
          <w:lang w:val="en-NZ"/>
        </w:rPr>
        <w:t xml:space="preserve"> </w:t>
      </w:r>
      <w:r w:rsidR="00C05018" w:rsidRPr="0001508A">
        <w:rPr>
          <w:rFonts w:ascii="Verdana" w:hAnsi="Verdana"/>
          <w:sz w:val="20"/>
          <w:lang w:val="en-NZ"/>
        </w:rPr>
        <w:t>and requested a report-back on possible areas of legislative reform</w:t>
      </w:r>
      <w:r w:rsidR="00D7196D" w:rsidRPr="0001508A">
        <w:rPr>
          <w:rFonts w:ascii="Verdana" w:hAnsi="Verdana"/>
          <w:sz w:val="20"/>
          <w:lang w:val="en-NZ"/>
        </w:rPr>
        <w:t>, including:</w:t>
      </w:r>
    </w:p>
    <w:p w:rsidR="00D7196D" w:rsidRPr="0001508A" w:rsidRDefault="00D7196D" w:rsidP="00BF3E35">
      <w:pPr>
        <w:numPr>
          <w:ilvl w:val="1"/>
          <w:numId w:val="15"/>
        </w:numPr>
        <w:spacing w:before="120" w:after="120" w:line="280" w:lineRule="exact"/>
        <w:ind w:left="1152"/>
        <w:rPr>
          <w:rFonts w:ascii="Verdana" w:hAnsi="Verdana"/>
          <w:sz w:val="20"/>
          <w:lang w:val="en-NZ"/>
        </w:rPr>
      </w:pPr>
      <w:r w:rsidRPr="0001508A">
        <w:rPr>
          <w:rFonts w:ascii="Verdana" w:hAnsi="Verdana"/>
          <w:sz w:val="20"/>
          <w:lang w:val="en-NZ"/>
        </w:rPr>
        <w:t>new and amended provisions to further embed the voice of children at a</w:t>
      </w:r>
      <w:r w:rsidR="00C5658D">
        <w:rPr>
          <w:rFonts w:ascii="Verdana" w:hAnsi="Verdana"/>
          <w:sz w:val="20"/>
          <w:lang w:val="en-NZ"/>
        </w:rPr>
        <w:t>n individual and systemic level</w:t>
      </w:r>
      <w:r w:rsidRPr="0001508A">
        <w:rPr>
          <w:rFonts w:ascii="Verdana" w:hAnsi="Verdana"/>
          <w:sz w:val="20"/>
          <w:lang w:val="en-NZ"/>
        </w:rPr>
        <w:t xml:space="preserve"> </w:t>
      </w:r>
    </w:p>
    <w:p w:rsidR="00D7196D" w:rsidRPr="0001508A" w:rsidRDefault="00D7196D" w:rsidP="00BF3E35">
      <w:pPr>
        <w:numPr>
          <w:ilvl w:val="1"/>
          <w:numId w:val="15"/>
        </w:numPr>
        <w:spacing w:before="120" w:after="120" w:line="240" w:lineRule="auto"/>
        <w:ind w:left="1152"/>
        <w:rPr>
          <w:rFonts w:ascii="Verdana" w:hAnsi="Verdana"/>
          <w:sz w:val="20"/>
          <w:lang w:val="en-NZ"/>
        </w:rPr>
      </w:pPr>
      <w:r w:rsidRPr="0001508A">
        <w:rPr>
          <w:rFonts w:ascii="Verdana" w:hAnsi="Verdana"/>
          <w:sz w:val="20"/>
          <w:lang w:val="en-NZ"/>
        </w:rPr>
        <w:t>updat</w:t>
      </w:r>
      <w:r w:rsidR="00C5658D">
        <w:rPr>
          <w:rFonts w:ascii="Verdana" w:hAnsi="Verdana"/>
          <w:sz w:val="20"/>
          <w:lang w:val="en-NZ"/>
        </w:rPr>
        <w:t>ing</w:t>
      </w:r>
      <w:r w:rsidRPr="0001508A">
        <w:rPr>
          <w:rFonts w:ascii="Verdana" w:hAnsi="Verdana"/>
          <w:sz w:val="20"/>
          <w:lang w:val="en-NZ"/>
        </w:rPr>
        <w:t xml:space="preserve"> current provisions to achieve a better focus on children’s rights</w:t>
      </w:r>
    </w:p>
    <w:p w:rsidR="00C05018" w:rsidRPr="0001508A" w:rsidRDefault="00D7196D" w:rsidP="00BF3E35">
      <w:pPr>
        <w:numPr>
          <w:ilvl w:val="1"/>
          <w:numId w:val="15"/>
        </w:numPr>
        <w:spacing w:before="120" w:after="120" w:line="240" w:lineRule="auto"/>
        <w:ind w:left="1152"/>
        <w:rPr>
          <w:rFonts w:ascii="Verdana" w:hAnsi="Verdana"/>
          <w:sz w:val="20"/>
          <w:lang w:val="en-NZ"/>
        </w:rPr>
      </w:pPr>
      <w:proofErr w:type="gramStart"/>
      <w:r w:rsidRPr="0001508A">
        <w:rPr>
          <w:rFonts w:ascii="Verdana" w:hAnsi="Verdana"/>
          <w:sz w:val="20"/>
          <w:lang w:val="en-NZ"/>
        </w:rPr>
        <w:t>introducing</w:t>
      </w:r>
      <w:proofErr w:type="gramEnd"/>
      <w:r w:rsidRPr="0001508A">
        <w:rPr>
          <w:rFonts w:ascii="Verdana" w:hAnsi="Verdana"/>
          <w:sz w:val="20"/>
          <w:lang w:val="en-NZ"/>
        </w:rPr>
        <w:t xml:space="preserve"> new and amended provisions to support stable and loving care from the earliest opportunity </w:t>
      </w:r>
      <w:r w:rsidR="00C05018" w:rsidRPr="0001508A">
        <w:rPr>
          <w:rFonts w:ascii="Verdana" w:hAnsi="Verdana"/>
          <w:sz w:val="20"/>
          <w:lang w:val="en-NZ"/>
        </w:rPr>
        <w:t xml:space="preserve"> [SOC-16-Min-0024 refers].</w:t>
      </w:r>
    </w:p>
    <w:p w:rsidR="0001508A" w:rsidRDefault="0001508A" w:rsidP="00595574">
      <w:pPr>
        <w:pStyle w:val="ListParagraph"/>
        <w:numPr>
          <w:ilvl w:val="0"/>
          <w:numId w:val="10"/>
        </w:numPr>
        <w:spacing w:before="120" w:after="120"/>
        <w:ind w:left="567" w:hanging="567"/>
        <w:rPr>
          <w:rFonts w:ascii="Verdana" w:hAnsi="Verdana"/>
          <w:sz w:val="20"/>
          <w:lang w:val="en-NZ"/>
        </w:rPr>
      </w:pPr>
      <w:r>
        <w:rPr>
          <w:rFonts w:ascii="Verdana" w:hAnsi="Verdana"/>
          <w:sz w:val="20"/>
          <w:lang w:val="en-NZ"/>
        </w:rPr>
        <w:t>SOC agreed that the new operating model should</w:t>
      </w:r>
      <w:r w:rsidR="00595574">
        <w:rPr>
          <w:rFonts w:ascii="Verdana" w:hAnsi="Verdana"/>
          <w:sz w:val="20"/>
          <w:lang w:val="en-NZ"/>
        </w:rPr>
        <w:t>, amongst other things, place a high degree of specific focus on improving outcomes for M</w:t>
      </w:r>
      <w:r w:rsidR="00E80DBB">
        <w:rPr>
          <w:rFonts w:ascii="Verdana" w:hAnsi="Verdana"/>
          <w:sz w:val="20"/>
          <w:lang w:val="en-NZ"/>
        </w:rPr>
        <w:t>ā</w:t>
      </w:r>
      <w:r w:rsidR="00595574">
        <w:rPr>
          <w:rFonts w:ascii="Verdana" w:hAnsi="Verdana"/>
          <w:sz w:val="20"/>
          <w:lang w:val="en-NZ"/>
        </w:rPr>
        <w:t>ori children and young people</w:t>
      </w:r>
      <w:r w:rsidR="00C5658D">
        <w:rPr>
          <w:rFonts w:ascii="Verdana" w:hAnsi="Verdana"/>
          <w:sz w:val="20"/>
          <w:lang w:val="en-NZ"/>
        </w:rPr>
        <w:t xml:space="preserve"> </w:t>
      </w:r>
      <w:r w:rsidR="00595574">
        <w:rPr>
          <w:rFonts w:ascii="Verdana" w:hAnsi="Verdana"/>
          <w:sz w:val="20"/>
          <w:lang w:val="en-NZ"/>
        </w:rPr>
        <w:t>[SOC-16-Min-0022 refers].</w:t>
      </w:r>
    </w:p>
    <w:p w:rsidR="00EF28C5" w:rsidRPr="00987F27" w:rsidRDefault="00EF28C5" w:rsidP="00595574">
      <w:pPr>
        <w:numPr>
          <w:ilvl w:val="0"/>
          <w:numId w:val="10"/>
        </w:numPr>
        <w:spacing w:before="120" w:after="120"/>
        <w:ind w:left="567" w:hanging="567"/>
        <w:rPr>
          <w:rFonts w:ascii="Verdana" w:hAnsi="Verdana"/>
          <w:sz w:val="20"/>
        </w:rPr>
      </w:pPr>
      <w:r w:rsidRPr="00987F27">
        <w:rPr>
          <w:rFonts w:ascii="Verdana" w:hAnsi="Verdana"/>
          <w:sz w:val="20"/>
        </w:rPr>
        <w:t>SOC agreed</w:t>
      </w:r>
      <w:r>
        <w:rPr>
          <w:rFonts w:ascii="Verdana" w:hAnsi="Verdana"/>
          <w:sz w:val="20"/>
        </w:rPr>
        <w:t xml:space="preserve"> to specific measures intended to </w:t>
      </w:r>
      <w:r w:rsidR="00B30C5E">
        <w:rPr>
          <w:rFonts w:ascii="Verdana" w:hAnsi="Verdana"/>
          <w:sz w:val="20"/>
        </w:rPr>
        <w:t xml:space="preserve">improve outcomes for </w:t>
      </w:r>
      <w:r>
        <w:rPr>
          <w:rFonts w:ascii="Verdana" w:hAnsi="Verdana"/>
          <w:sz w:val="20"/>
        </w:rPr>
        <w:t>M</w:t>
      </w:r>
      <w:r w:rsidR="00E80DBB">
        <w:rPr>
          <w:rFonts w:ascii="Verdana" w:hAnsi="Verdana"/>
          <w:sz w:val="20"/>
        </w:rPr>
        <w:t>ā</w:t>
      </w:r>
      <w:r>
        <w:rPr>
          <w:rFonts w:ascii="Verdana" w:hAnsi="Verdana"/>
          <w:sz w:val="20"/>
        </w:rPr>
        <w:t>ori children and young people in the future system. These features are</w:t>
      </w:r>
      <w:r w:rsidRPr="00987F27">
        <w:rPr>
          <w:rFonts w:ascii="Verdana" w:hAnsi="Verdana"/>
          <w:sz w:val="20"/>
        </w:rPr>
        <w:t xml:space="preserve">: </w:t>
      </w:r>
    </w:p>
    <w:p w:rsidR="00EF28C5" w:rsidRDefault="00EF28C5" w:rsidP="00EF28C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 xml:space="preserve">the design of </w:t>
      </w:r>
      <w:r w:rsidR="00FF72A4">
        <w:rPr>
          <w:rFonts w:ascii="Verdana" w:hAnsi="Verdana"/>
          <w:sz w:val="20"/>
          <w:lang w:val="en-NZ"/>
        </w:rPr>
        <w:t>a</w:t>
      </w:r>
      <w:r>
        <w:rPr>
          <w:rFonts w:ascii="Verdana" w:hAnsi="Verdana"/>
          <w:sz w:val="20"/>
          <w:lang w:val="en-NZ"/>
        </w:rPr>
        <w:t xml:space="preserve"> new operating model to have high and explicit expectations and targets to improve outcomes for vulnerable M</w:t>
      </w:r>
      <w:r w:rsidR="00E80DBB">
        <w:rPr>
          <w:rFonts w:ascii="Verdana" w:hAnsi="Verdana"/>
          <w:sz w:val="20"/>
          <w:lang w:val="en-NZ"/>
        </w:rPr>
        <w:t>ā</w:t>
      </w:r>
      <w:r>
        <w:rPr>
          <w:rFonts w:ascii="Verdana" w:hAnsi="Verdana"/>
          <w:sz w:val="20"/>
          <w:lang w:val="en-NZ"/>
        </w:rPr>
        <w:t>ori children and young people, and their wh</w:t>
      </w:r>
      <w:r w:rsidR="00E80DBB">
        <w:rPr>
          <w:rFonts w:ascii="Verdana" w:hAnsi="Verdana"/>
          <w:sz w:val="20"/>
          <w:lang w:val="en-NZ"/>
        </w:rPr>
        <w:t>ā</w:t>
      </w:r>
      <w:r>
        <w:rPr>
          <w:rFonts w:ascii="Verdana" w:hAnsi="Verdana"/>
          <w:sz w:val="20"/>
          <w:lang w:val="en-NZ"/>
        </w:rPr>
        <w:t>nau</w:t>
      </w:r>
    </w:p>
    <w:p w:rsidR="00EF28C5" w:rsidRDefault="00EF28C5" w:rsidP="00EF28C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the new operating model should have a future target of improving outcomes for vulnerable M</w:t>
      </w:r>
      <w:r w:rsidR="00E80DBB">
        <w:rPr>
          <w:rFonts w:ascii="Verdana" w:hAnsi="Verdana"/>
          <w:sz w:val="20"/>
          <w:lang w:val="en-NZ"/>
        </w:rPr>
        <w:t>ā</w:t>
      </w:r>
      <w:r>
        <w:rPr>
          <w:rFonts w:ascii="Verdana" w:hAnsi="Verdana"/>
          <w:sz w:val="20"/>
          <w:lang w:val="en-NZ"/>
        </w:rPr>
        <w:t>ori children and young people</w:t>
      </w:r>
    </w:p>
    <w:p w:rsidR="00EF28C5" w:rsidRDefault="00EF28C5" w:rsidP="00EF28C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strategic partnerships with iwi and M</w:t>
      </w:r>
      <w:r w:rsidR="00E80DBB">
        <w:rPr>
          <w:rFonts w:ascii="Verdana" w:hAnsi="Verdana"/>
          <w:sz w:val="20"/>
          <w:lang w:val="en-NZ"/>
        </w:rPr>
        <w:t>ā</w:t>
      </w:r>
      <w:r>
        <w:rPr>
          <w:rFonts w:ascii="Verdana" w:hAnsi="Verdana"/>
          <w:sz w:val="20"/>
          <w:lang w:val="en-NZ"/>
        </w:rPr>
        <w:t xml:space="preserve">ori organisations, and </w:t>
      </w:r>
      <w:proofErr w:type="spellStart"/>
      <w:r>
        <w:rPr>
          <w:rFonts w:ascii="Verdana" w:hAnsi="Verdana"/>
          <w:sz w:val="20"/>
          <w:lang w:val="en-NZ"/>
        </w:rPr>
        <w:t>Wh</w:t>
      </w:r>
      <w:proofErr w:type="spellEnd"/>
      <w:r w:rsidR="00B82003">
        <w:rPr>
          <w:rFonts w:ascii="Verdana" w:hAnsi="Verdana"/>
          <w:sz w:val="20"/>
        </w:rPr>
        <w:t>ā</w:t>
      </w:r>
      <w:proofErr w:type="spellStart"/>
      <w:r>
        <w:rPr>
          <w:rFonts w:ascii="Verdana" w:hAnsi="Verdana"/>
          <w:sz w:val="20"/>
          <w:lang w:val="en-NZ"/>
        </w:rPr>
        <w:t>nau</w:t>
      </w:r>
      <w:proofErr w:type="spellEnd"/>
      <w:r>
        <w:rPr>
          <w:rFonts w:ascii="Verdana" w:hAnsi="Verdana"/>
          <w:sz w:val="20"/>
          <w:lang w:val="en-NZ"/>
        </w:rPr>
        <w:t xml:space="preserve"> Ora Commissioning Agencies to promote opportunity and innovation from organisations interested in improving outcomes for vulnerable M</w:t>
      </w:r>
      <w:r w:rsidR="00E80DBB">
        <w:rPr>
          <w:rFonts w:ascii="Verdana" w:hAnsi="Verdana"/>
          <w:sz w:val="20"/>
          <w:lang w:val="en-NZ"/>
        </w:rPr>
        <w:t>ā</w:t>
      </w:r>
      <w:r>
        <w:rPr>
          <w:rFonts w:ascii="Verdana" w:hAnsi="Verdana"/>
          <w:sz w:val="20"/>
          <w:lang w:val="en-NZ"/>
        </w:rPr>
        <w:t>ori children, young people, and their wh</w:t>
      </w:r>
      <w:r w:rsidR="00E80DBB">
        <w:rPr>
          <w:rFonts w:ascii="Verdana" w:hAnsi="Verdana"/>
          <w:sz w:val="20"/>
          <w:lang w:val="en-NZ"/>
        </w:rPr>
        <w:t>ā</w:t>
      </w:r>
      <w:r>
        <w:rPr>
          <w:rFonts w:ascii="Verdana" w:hAnsi="Verdana"/>
          <w:sz w:val="20"/>
          <w:lang w:val="en-NZ"/>
        </w:rPr>
        <w:t>nau</w:t>
      </w:r>
    </w:p>
    <w:p w:rsidR="00EF28C5" w:rsidRPr="00A92EF9" w:rsidRDefault="00EF28C5" w:rsidP="00EF28C5">
      <w:pPr>
        <w:numPr>
          <w:ilvl w:val="1"/>
          <w:numId w:val="10"/>
        </w:numPr>
        <w:tabs>
          <w:tab w:val="left" w:pos="1134"/>
        </w:tabs>
        <w:spacing w:before="120" w:after="120"/>
        <w:ind w:left="1077" w:right="170" w:hanging="357"/>
        <w:rPr>
          <w:rFonts w:ascii="Verdana" w:hAnsi="Verdana"/>
          <w:sz w:val="20"/>
          <w:lang w:val="en-NZ"/>
        </w:rPr>
      </w:pPr>
      <w:proofErr w:type="gramStart"/>
      <w:r>
        <w:rPr>
          <w:rFonts w:ascii="Verdana" w:hAnsi="Verdana"/>
          <w:sz w:val="20"/>
          <w:lang w:val="en-NZ"/>
        </w:rPr>
        <w:t>t</w:t>
      </w:r>
      <w:r w:rsidRPr="00A92EF9">
        <w:rPr>
          <w:rFonts w:ascii="Verdana" w:hAnsi="Verdana"/>
          <w:sz w:val="20"/>
          <w:lang w:val="en-NZ"/>
        </w:rPr>
        <w:t>he</w:t>
      </w:r>
      <w:proofErr w:type="gramEnd"/>
      <w:r w:rsidRPr="00A92EF9">
        <w:rPr>
          <w:rFonts w:ascii="Verdana" w:hAnsi="Verdana"/>
          <w:sz w:val="20"/>
          <w:lang w:val="en-NZ"/>
        </w:rPr>
        <w:t xml:space="preserve"> commencement of reporting progress towards improving outcomes for vulnerable M</w:t>
      </w:r>
      <w:r w:rsidR="00E80DBB">
        <w:rPr>
          <w:rFonts w:ascii="Verdana" w:hAnsi="Verdana"/>
          <w:sz w:val="20"/>
          <w:lang w:val="en-NZ"/>
        </w:rPr>
        <w:t>ā</w:t>
      </w:r>
      <w:r w:rsidRPr="00A92EF9">
        <w:rPr>
          <w:rFonts w:ascii="Verdana" w:hAnsi="Verdana"/>
          <w:sz w:val="20"/>
          <w:lang w:val="en-NZ"/>
        </w:rPr>
        <w:t>ori children and young people [SOC-16-MIN-002</w:t>
      </w:r>
      <w:r w:rsidR="00595574">
        <w:rPr>
          <w:rFonts w:ascii="Verdana" w:hAnsi="Verdana"/>
          <w:sz w:val="20"/>
          <w:lang w:val="en-NZ"/>
        </w:rPr>
        <w:t>3</w:t>
      </w:r>
      <w:r w:rsidRPr="00A92EF9">
        <w:rPr>
          <w:rFonts w:ascii="Verdana" w:hAnsi="Verdana"/>
          <w:sz w:val="20"/>
          <w:lang w:val="en-NZ"/>
        </w:rPr>
        <w:t xml:space="preserve"> refers]</w:t>
      </w:r>
      <w:r>
        <w:rPr>
          <w:rFonts w:ascii="Verdana" w:hAnsi="Verdana"/>
          <w:sz w:val="20"/>
          <w:lang w:val="en-NZ"/>
        </w:rPr>
        <w:t>.</w:t>
      </w:r>
    </w:p>
    <w:p w:rsidR="00D7196D" w:rsidRDefault="00D7196D" w:rsidP="00FF72A4">
      <w:pPr>
        <w:numPr>
          <w:ilvl w:val="0"/>
          <w:numId w:val="10"/>
        </w:numPr>
        <w:spacing w:before="120" w:after="120" w:line="240" w:lineRule="auto"/>
        <w:ind w:left="567" w:hanging="567"/>
        <w:rPr>
          <w:rFonts w:ascii="Verdana" w:hAnsi="Verdana"/>
          <w:sz w:val="20"/>
          <w:lang w:val="en-NZ"/>
        </w:rPr>
      </w:pPr>
      <w:r w:rsidRPr="0001508A">
        <w:rPr>
          <w:rFonts w:ascii="Verdana" w:hAnsi="Verdana"/>
          <w:sz w:val="20"/>
          <w:lang w:val="en-NZ"/>
        </w:rPr>
        <w:t>This RIS covers legislative amendments to</w:t>
      </w:r>
      <w:r w:rsidR="00BC1268">
        <w:rPr>
          <w:rFonts w:ascii="Verdana" w:hAnsi="Verdana"/>
          <w:sz w:val="20"/>
          <w:lang w:val="en-NZ"/>
        </w:rPr>
        <w:t xml:space="preserve"> Part 1 of the CYPF Act that</w:t>
      </w:r>
      <w:r w:rsidRPr="0001508A">
        <w:rPr>
          <w:rFonts w:ascii="Verdana" w:hAnsi="Verdana"/>
          <w:sz w:val="20"/>
          <w:lang w:val="en-NZ"/>
        </w:rPr>
        <w:t>:</w:t>
      </w:r>
    </w:p>
    <w:p w:rsidR="00D7196D" w:rsidRPr="0001508A" w:rsidRDefault="00D7196D" w:rsidP="00BF3E35">
      <w:pPr>
        <w:numPr>
          <w:ilvl w:val="1"/>
          <w:numId w:val="16"/>
        </w:numPr>
        <w:spacing w:before="120" w:after="120" w:line="280" w:lineRule="exact"/>
        <w:ind w:left="1077" w:right="170" w:hanging="357"/>
        <w:rPr>
          <w:rFonts w:ascii="Verdana" w:hAnsi="Verdana"/>
          <w:sz w:val="20"/>
          <w:lang w:val="en-NZ"/>
        </w:rPr>
      </w:pPr>
      <w:r w:rsidRPr="0001508A">
        <w:rPr>
          <w:rFonts w:ascii="Verdana" w:hAnsi="Verdana"/>
          <w:sz w:val="20"/>
          <w:lang w:val="en-NZ"/>
        </w:rPr>
        <w:t xml:space="preserve">update the </w:t>
      </w:r>
      <w:r w:rsidR="00C00656">
        <w:rPr>
          <w:rFonts w:ascii="Verdana" w:hAnsi="Verdana"/>
          <w:sz w:val="20"/>
          <w:lang w:val="en-NZ"/>
        </w:rPr>
        <w:t xml:space="preserve">purposes and </w:t>
      </w:r>
      <w:r w:rsidRPr="0001508A">
        <w:rPr>
          <w:rFonts w:ascii="Verdana" w:hAnsi="Verdana"/>
          <w:sz w:val="20"/>
          <w:lang w:val="en-NZ"/>
        </w:rPr>
        <w:t xml:space="preserve">general principles </w:t>
      </w:r>
      <w:r w:rsidR="003470E2">
        <w:rPr>
          <w:rFonts w:ascii="Verdana" w:hAnsi="Verdana"/>
          <w:sz w:val="20"/>
          <w:lang w:val="en-NZ"/>
        </w:rPr>
        <w:t xml:space="preserve">of the CYPF Act </w:t>
      </w:r>
      <w:r w:rsidRPr="0001508A">
        <w:rPr>
          <w:rFonts w:ascii="Verdana" w:hAnsi="Verdana"/>
          <w:sz w:val="20"/>
          <w:lang w:val="en-NZ"/>
        </w:rPr>
        <w:t xml:space="preserve">to </w:t>
      </w:r>
      <w:r w:rsidR="00873906">
        <w:rPr>
          <w:rFonts w:ascii="Verdana" w:hAnsi="Verdana"/>
          <w:sz w:val="20"/>
          <w:lang w:val="en-NZ"/>
        </w:rPr>
        <w:t>support</w:t>
      </w:r>
      <w:r w:rsidR="007D706A">
        <w:rPr>
          <w:rFonts w:ascii="Verdana" w:hAnsi="Verdana"/>
          <w:sz w:val="20"/>
          <w:lang w:val="en-NZ"/>
        </w:rPr>
        <w:t xml:space="preserve"> the new operating model </w:t>
      </w:r>
      <w:r w:rsidR="00C00656">
        <w:rPr>
          <w:rFonts w:ascii="Verdana" w:hAnsi="Verdana"/>
          <w:sz w:val="20"/>
          <w:lang w:val="en-NZ"/>
        </w:rPr>
        <w:t xml:space="preserve">to </w:t>
      </w:r>
      <w:r w:rsidRPr="0001508A">
        <w:rPr>
          <w:rFonts w:ascii="Verdana" w:hAnsi="Verdana"/>
          <w:sz w:val="20"/>
          <w:lang w:val="en-NZ"/>
        </w:rPr>
        <w:t xml:space="preserve">focus </w:t>
      </w:r>
      <w:r w:rsidR="00873906">
        <w:rPr>
          <w:rFonts w:ascii="Verdana" w:hAnsi="Verdana"/>
          <w:sz w:val="20"/>
          <w:lang w:val="en-NZ"/>
        </w:rPr>
        <w:t xml:space="preserve">more strongly </w:t>
      </w:r>
      <w:r w:rsidRPr="0001508A">
        <w:rPr>
          <w:rFonts w:ascii="Verdana" w:hAnsi="Verdana"/>
          <w:sz w:val="20"/>
          <w:lang w:val="en-NZ"/>
        </w:rPr>
        <w:t xml:space="preserve">on </w:t>
      </w:r>
      <w:r w:rsidR="00C00656">
        <w:rPr>
          <w:rFonts w:ascii="Verdana" w:hAnsi="Verdana"/>
          <w:sz w:val="20"/>
          <w:lang w:val="en-NZ"/>
        </w:rPr>
        <w:t>achieving positive outcomes for</w:t>
      </w:r>
      <w:r w:rsidR="003470E2">
        <w:rPr>
          <w:rFonts w:ascii="Verdana" w:hAnsi="Verdana"/>
          <w:sz w:val="20"/>
          <w:lang w:val="en-NZ"/>
        </w:rPr>
        <w:t xml:space="preserve"> Māori children </w:t>
      </w:r>
      <w:r w:rsidR="004A5FBC" w:rsidRPr="0001508A">
        <w:rPr>
          <w:rFonts w:ascii="Verdana" w:hAnsi="Verdana"/>
          <w:sz w:val="20"/>
          <w:lang w:val="en-NZ"/>
        </w:rPr>
        <w:t>and young people</w:t>
      </w:r>
    </w:p>
    <w:p w:rsidR="00D7196D" w:rsidRPr="0001508A" w:rsidRDefault="00B94475" w:rsidP="00BF3E35">
      <w:pPr>
        <w:numPr>
          <w:ilvl w:val="1"/>
          <w:numId w:val="16"/>
        </w:numPr>
        <w:spacing w:before="120" w:after="120" w:line="280" w:lineRule="exact"/>
        <w:ind w:left="1077" w:right="170" w:hanging="357"/>
        <w:rPr>
          <w:rFonts w:ascii="Verdana" w:hAnsi="Verdana"/>
          <w:sz w:val="20"/>
          <w:lang w:val="en-NZ"/>
        </w:rPr>
      </w:pPr>
      <w:proofErr w:type="gramStart"/>
      <w:r>
        <w:rPr>
          <w:rFonts w:ascii="Verdana" w:hAnsi="Verdana"/>
          <w:sz w:val="20"/>
          <w:lang w:val="en-NZ"/>
        </w:rPr>
        <w:t>strengthen</w:t>
      </w:r>
      <w:proofErr w:type="gramEnd"/>
      <w:r>
        <w:rPr>
          <w:rFonts w:ascii="Verdana" w:hAnsi="Verdana"/>
          <w:sz w:val="20"/>
          <w:lang w:val="en-NZ"/>
        </w:rPr>
        <w:t xml:space="preserve"> existing duties of </w:t>
      </w:r>
      <w:r w:rsidR="00FD0F58">
        <w:rPr>
          <w:rFonts w:ascii="Verdana" w:hAnsi="Verdana"/>
          <w:sz w:val="20"/>
          <w:lang w:val="en-NZ"/>
        </w:rPr>
        <w:t xml:space="preserve">the </w:t>
      </w:r>
      <w:r>
        <w:rPr>
          <w:rFonts w:ascii="Verdana" w:hAnsi="Verdana"/>
          <w:sz w:val="20"/>
          <w:lang w:val="en-NZ"/>
        </w:rPr>
        <w:t xml:space="preserve">chief executive </w:t>
      </w:r>
      <w:r w:rsidR="00CA513D">
        <w:rPr>
          <w:rFonts w:ascii="Verdana" w:hAnsi="Verdana"/>
          <w:sz w:val="20"/>
          <w:lang w:val="en-NZ"/>
        </w:rPr>
        <w:t xml:space="preserve">(CE) </w:t>
      </w:r>
      <w:r>
        <w:rPr>
          <w:rFonts w:ascii="Verdana" w:hAnsi="Verdana"/>
          <w:sz w:val="20"/>
          <w:lang w:val="en-NZ"/>
        </w:rPr>
        <w:t>to give greater recognition and respect to the principles of the Treaty of Waitangi.</w:t>
      </w:r>
    </w:p>
    <w:p w:rsidR="00C05018" w:rsidRPr="00572645" w:rsidRDefault="00D7196D" w:rsidP="00674777">
      <w:pPr>
        <w:numPr>
          <w:ilvl w:val="0"/>
          <w:numId w:val="10"/>
        </w:numPr>
        <w:spacing w:before="120" w:after="120" w:line="280" w:lineRule="exact"/>
        <w:ind w:left="567" w:hanging="567"/>
        <w:rPr>
          <w:rFonts w:ascii="Verdana" w:hAnsi="Verdana"/>
          <w:sz w:val="20"/>
        </w:rPr>
      </w:pPr>
      <w:r w:rsidRPr="0001508A">
        <w:rPr>
          <w:rFonts w:ascii="Verdana" w:hAnsi="Verdana"/>
          <w:sz w:val="20"/>
          <w:lang w:val="en-NZ"/>
        </w:rPr>
        <w:t>O</w:t>
      </w:r>
      <w:r w:rsidR="00C05018" w:rsidRPr="0001508A">
        <w:rPr>
          <w:rFonts w:ascii="Verdana" w:hAnsi="Verdana"/>
          <w:sz w:val="20"/>
          <w:lang w:val="en-NZ"/>
        </w:rPr>
        <w:t>fficials have worked closely with other agencies and stakeholders to develop the legislative proposals. The Youth Advisory Panel</w:t>
      </w:r>
      <w:r w:rsidR="003470E2">
        <w:rPr>
          <w:rFonts w:ascii="Verdana" w:hAnsi="Verdana"/>
          <w:sz w:val="20"/>
          <w:lang w:val="en-NZ"/>
        </w:rPr>
        <w:t>,</w:t>
      </w:r>
      <w:r w:rsidR="006931AE" w:rsidRPr="0001508A">
        <w:rPr>
          <w:rFonts w:ascii="Verdana" w:hAnsi="Verdana"/>
          <w:sz w:val="20"/>
          <w:lang w:val="en-NZ"/>
        </w:rPr>
        <w:t xml:space="preserve"> Te Puni K</w:t>
      </w:r>
      <w:r w:rsidR="00873906">
        <w:rPr>
          <w:rFonts w:ascii="Verdana" w:hAnsi="Verdana"/>
          <w:sz w:val="20"/>
          <w:lang w:val="en-NZ"/>
        </w:rPr>
        <w:t>ō</w:t>
      </w:r>
      <w:r w:rsidR="006931AE" w:rsidRPr="0001508A">
        <w:rPr>
          <w:rFonts w:ascii="Verdana" w:hAnsi="Verdana"/>
          <w:sz w:val="20"/>
          <w:lang w:val="en-NZ"/>
        </w:rPr>
        <w:t>kiri</w:t>
      </w:r>
      <w:r w:rsidR="003470E2">
        <w:rPr>
          <w:rFonts w:ascii="Verdana" w:hAnsi="Verdana"/>
          <w:sz w:val="20"/>
          <w:lang w:val="en-NZ"/>
        </w:rPr>
        <w:t>, and the Crown Law Office</w:t>
      </w:r>
      <w:r w:rsidR="006931AE" w:rsidRPr="0001508A">
        <w:rPr>
          <w:rFonts w:ascii="Verdana" w:hAnsi="Verdana"/>
          <w:sz w:val="20"/>
          <w:lang w:val="en-NZ"/>
        </w:rPr>
        <w:t xml:space="preserve"> </w:t>
      </w:r>
      <w:r w:rsidR="00C05018" w:rsidRPr="0001508A">
        <w:rPr>
          <w:rFonts w:ascii="Verdana" w:hAnsi="Verdana"/>
          <w:sz w:val="20"/>
          <w:lang w:val="en-NZ"/>
        </w:rPr>
        <w:t>in particular were active in contributing to the propos</w:t>
      </w:r>
      <w:r w:rsidR="00E80DBB">
        <w:rPr>
          <w:rFonts w:ascii="Verdana" w:hAnsi="Verdana"/>
          <w:sz w:val="20"/>
          <w:lang w:val="en-NZ"/>
        </w:rPr>
        <w:t>als</w:t>
      </w:r>
      <w:r w:rsidR="00C05018" w:rsidRPr="0001508A">
        <w:rPr>
          <w:rFonts w:ascii="Verdana" w:hAnsi="Verdana"/>
          <w:sz w:val="20"/>
          <w:lang w:val="en-NZ"/>
        </w:rPr>
        <w:t>.</w:t>
      </w:r>
    </w:p>
    <w:p w:rsidR="00572645" w:rsidRDefault="00572645" w:rsidP="00572645">
      <w:pPr>
        <w:spacing w:before="120" w:after="120" w:line="280" w:lineRule="exact"/>
        <w:ind w:left="567"/>
        <w:rPr>
          <w:rFonts w:ascii="Verdana" w:hAnsi="Verdana"/>
          <w:sz w:val="20"/>
        </w:rPr>
      </w:pPr>
    </w:p>
    <w:p w:rsidR="008375B7" w:rsidRPr="0001508A" w:rsidRDefault="008375B7" w:rsidP="00572645">
      <w:pPr>
        <w:spacing w:before="120" w:after="120" w:line="280" w:lineRule="exact"/>
        <w:ind w:left="567"/>
        <w:rPr>
          <w:rFonts w:ascii="Verdana" w:hAnsi="Verdana"/>
          <w:sz w:val="20"/>
        </w:rPr>
      </w:pPr>
    </w:p>
    <w:p w:rsidR="00A165A6" w:rsidRPr="0016400C" w:rsidRDefault="00A165A6" w:rsidP="005957E7">
      <w:pPr>
        <w:spacing w:line="240" w:lineRule="auto"/>
        <w:rPr>
          <w:rFonts w:ascii="Verdana" w:hAnsi="Verdana"/>
          <w:b/>
          <w:color w:val="335087"/>
          <w:spacing w:val="20"/>
          <w:w w:val="90"/>
          <w:sz w:val="28"/>
          <w:szCs w:val="28"/>
        </w:rPr>
      </w:pPr>
      <w:r w:rsidRPr="0016400C">
        <w:rPr>
          <w:rFonts w:ascii="Verdana" w:hAnsi="Verdana"/>
          <w:b/>
          <w:color w:val="335087"/>
          <w:spacing w:val="20"/>
          <w:w w:val="90"/>
          <w:sz w:val="28"/>
          <w:szCs w:val="28"/>
        </w:rPr>
        <w:lastRenderedPageBreak/>
        <w:t>Policy context</w:t>
      </w:r>
    </w:p>
    <w:p w:rsidR="009376A5" w:rsidRPr="0016400C" w:rsidRDefault="00B967FA" w:rsidP="009376A5">
      <w:pPr>
        <w:pStyle w:val="Heading4"/>
        <w:rPr>
          <w:rFonts w:ascii="Verdana" w:hAnsi="Verdana"/>
          <w:b/>
          <w:i w:val="0"/>
        </w:rPr>
      </w:pPr>
      <w:r w:rsidRPr="0016400C">
        <w:rPr>
          <w:rFonts w:ascii="Verdana" w:hAnsi="Verdana"/>
          <w:b/>
          <w:i w:val="0"/>
        </w:rPr>
        <w:t>Reducing the over-representation of M</w:t>
      </w:r>
      <w:r w:rsidRPr="0016400C">
        <w:rPr>
          <w:rFonts w:ascii="Verdana" w:hAnsi="Verdana" w:cs="Arial"/>
          <w:b/>
          <w:i w:val="0"/>
        </w:rPr>
        <w:t>ā</w:t>
      </w:r>
      <w:r w:rsidRPr="0016400C">
        <w:rPr>
          <w:rFonts w:ascii="Verdana" w:hAnsi="Verdana"/>
          <w:b/>
          <w:i w:val="0"/>
        </w:rPr>
        <w:t>ori children and young people in the future system</w:t>
      </w:r>
    </w:p>
    <w:p w:rsidR="009376A5" w:rsidRDefault="009376A5" w:rsidP="00156C6C">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Government has determined that a far reaching reform of care and protection and youth justice services is required to achieve better outcomes for vulnerable children through an unequivocally child-centred approach.  </w:t>
      </w:r>
    </w:p>
    <w:p w:rsidR="009376A5" w:rsidRPr="00CC03CA" w:rsidRDefault="009376A5" w:rsidP="00156C6C">
      <w:pPr>
        <w:numPr>
          <w:ilvl w:val="0"/>
          <w:numId w:val="10"/>
        </w:numPr>
        <w:spacing w:before="120" w:after="120"/>
        <w:ind w:left="567" w:hanging="567"/>
        <w:rPr>
          <w:rFonts w:ascii="Verdana" w:hAnsi="Verdana"/>
          <w:sz w:val="20"/>
          <w:lang w:val="en-NZ"/>
        </w:rPr>
      </w:pPr>
      <w:r w:rsidRPr="00CC03CA">
        <w:rPr>
          <w:rFonts w:ascii="Verdana" w:hAnsi="Verdana"/>
          <w:sz w:val="20"/>
          <w:lang w:val="en-NZ"/>
        </w:rPr>
        <w:t>The changes proposed represent a fundamental shift, driving the most significant and</w:t>
      </w:r>
      <w:r w:rsidR="00156C6C">
        <w:rPr>
          <w:rFonts w:ascii="Verdana" w:hAnsi="Verdana"/>
          <w:sz w:val="20"/>
          <w:lang w:val="en-NZ"/>
        </w:rPr>
        <w:t xml:space="preserve"> comprehensive change</w:t>
      </w:r>
      <w:r w:rsidRPr="00CC03CA">
        <w:rPr>
          <w:rFonts w:ascii="Verdana" w:hAnsi="Verdana"/>
          <w:sz w:val="20"/>
          <w:lang w:val="en-NZ"/>
        </w:rPr>
        <w:t xml:space="preserve"> since the CYPF Act was passed.  </w:t>
      </w:r>
    </w:p>
    <w:p w:rsidR="009376A5" w:rsidRPr="00CC03CA" w:rsidRDefault="009376A5" w:rsidP="00156C6C">
      <w:pPr>
        <w:numPr>
          <w:ilvl w:val="0"/>
          <w:numId w:val="10"/>
        </w:numPr>
        <w:spacing w:before="120" w:after="120"/>
        <w:ind w:left="567" w:hanging="567"/>
        <w:rPr>
          <w:rFonts w:ascii="Verdana" w:hAnsi="Verdana"/>
          <w:sz w:val="20"/>
          <w:lang w:val="en-NZ"/>
        </w:rPr>
      </w:pPr>
      <w:r w:rsidRPr="00CC03CA">
        <w:rPr>
          <w:rFonts w:ascii="Verdana" w:hAnsi="Verdana"/>
          <w:sz w:val="20"/>
          <w:lang w:val="en-NZ"/>
        </w:rPr>
        <w:t xml:space="preserve">Almost 30 years ago, the CYPF Act sought to reset the model from the previous one of professional determination and judgements to one with much greater involvement of </w:t>
      </w:r>
      <w:r w:rsidR="00295D4B">
        <w:rPr>
          <w:rFonts w:ascii="Verdana" w:hAnsi="Verdana"/>
          <w:sz w:val="20"/>
          <w:lang w:val="en-NZ"/>
        </w:rPr>
        <w:t>whānau, hapū and iwi</w:t>
      </w:r>
      <w:r w:rsidRPr="00CC03CA">
        <w:rPr>
          <w:rFonts w:ascii="Verdana" w:hAnsi="Verdana"/>
          <w:sz w:val="20"/>
          <w:lang w:val="en-NZ"/>
        </w:rPr>
        <w:t xml:space="preserve"> in decision-making.</w:t>
      </w:r>
    </w:p>
    <w:p w:rsidR="00E80DBB" w:rsidRPr="003C4CAF" w:rsidRDefault="009376A5" w:rsidP="00E80DBB">
      <w:pPr>
        <w:numPr>
          <w:ilvl w:val="0"/>
          <w:numId w:val="10"/>
        </w:numPr>
        <w:spacing w:before="120" w:after="120" w:line="280" w:lineRule="exact"/>
        <w:ind w:left="567" w:hanging="567"/>
        <w:rPr>
          <w:rFonts w:ascii="Verdana" w:hAnsi="Verdana"/>
          <w:sz w:val="20"/>
          <w:lang w:val="en-NZ"/>
        </w:rPr>
      </w:pPr>
      <w:r w:rsidRPr="00CC03CA">
        <w:rPr>
          <w:rFonts w:ascii="Verdana" w:hAnsi="Verdana"/>
          <w:sz w:val="20"/>
          <w:lang w:val="en-NZ"/>
        </w:rPr>
        <w:t xml:space="preserve">Results, however, have not been as </w:t>
      </w:r>
      <w:r w:rsidR="00B75F3A">
        <w:rPr>
          <w:rFonts w:ascii="Verdana" w:hAnsi="Verdana"/>
          <w:sz w:val="20"/>
          <w:lang w:val="en-NZ"/>
        </w:rPr>
        <w:t>expect</w:t>
      </w:r>
      <w:r w:rsidRPr="00CC03CA">
        <w:rPr>
          <w:rFonts w:ascii="Verdana" w:hAnsi="Verdana"/>
          <w:sz w:val="20"/>
          <w:lang w:val="en-NZ"/>
        </w:rPr>
        <w:t xml:space="preserve">ed. </w:t>
      </w:r>
      <w:r w:rsidR="00E80DBB" w:rsidRPr="003C4CAF">
        <w:rPr>
          <w:rFonts w:ascii="Verdana" w:hAnsi="Verdana"/>
          <w:sz w:val="20"/>
          <w:lang w:val="en-NZ"/>
        </w:rPr>
        <w:t>Young Māori are disproportionately represented in families with high levels of need and disadvantage and are nearly four times more likely to have a parent who was involved with C</w:t>
      </w:r>
      <w:r w:rsidR="00674777">
        <w:rPr>
          <w:rFonts w:ascii="Verdana" w:hAnsi="Verdana"/>
          <w:sz w:val="20"/>
          <w:lang w:val="en-NZ"/>
        </w:rPr>
        <w:t xml:space="preserve">hild, </w:t>
      </w:r>
      <w:r w:rsidR="00E80DBB" w:rsidRPr="003C4CAF">
        <w:rPr>
          <w:rFonts w:ascii="Verdana" w:hAnsi="Verdana"/>
          <w:sz w:val="20"/>
          <w:lang w:val="en-NZ"/>
        </w:rPr>
        <w:t>Y</w:t>
      </w:r>
      <w:r w:rsidR="00674777">
        <w:rPr>
          <w:rFonts w:ascii="Verdana" w:hAnsi="Verdana"/>
          <w:sz w:val="20"/>
          <w:lang w:val="en-NZ"/>
        </w:rPr>
        <w:t xml:space="preserve">outh and </w:t>
      </w:r>
      <w:r w:rsidR="00E80DBB" w:rsidRPr="003C4CAF">
        <w:rPr>
          <w:rFonts w:ascii="Verdana" w:hAnsi="Verdana"/>
          <w:sz w:val="20"/>
          <w:lang w:val="en-NZ"/>
        </w:rPr>
        <w:t>F</w:t>
      </w:r>
      <w:r w:rsidR="00674777">
        <w:rPr>
          <w:rFonts w:ascii="Verdana" w:hAnsi="Verdana"/>
          <w:sz w:val="20"/>
          <w:lang w:val="en-NZ"/>
        </w:rPr>
        <w:t>amily (CYF)</w:t>
      </w:r>
      <w:r w:rsidR="00E80DBB" w:rsidRPr="003C4CAF">
        <w:rPr>
          <w:rFonts w:ascii="Verdana" w:hAnsi="Verdana"/>
          <w:sz w:val="20"/>
          <w:lang w:val="en-NZ"/>
        </w:rPr>
        <w:t xml:space="preserve"> as a child. There are compounding life course problems, and therefore lifetime costs. This is both a factor in and a result of the disparity between Māori and non-Māori generally</w:t>
      </w:r>
      <w:r w:rsidR="00E80DBB" w:rsidRPr="003C4CAF">
        <w:rPr>
          <w:rFonts w:ascii="Verdana" w:hAnsi="Verdana"/>
          <w:sz w:val="20"/>
          <w:vertAlign w:val="superscript"/>
          <w:lang w:val="en-NZ"/>
        </w:rPr>
        <w:footnoteReference w:id="1"/>
      </w:r>
      <w:r w:rsidR="00E80DBB" w:rsidRPr="003C4CAF">
        <w:rPr>
          <w:rFonts w:ascii="Verdana" w:hAnsi="Verdana"/>
          <w:sz w:val="20"/>
          <w:vertAlign w:val="superscript"/>
          <w:lang w:val="en-NZ"/>
        </w:rPr>
        <w:t xml:space="preserve"> </w:t>
      </w:r>
      <w:r w:rsidR="00E80DBB" w:rsidRPr="003C4CAF">
        <w:rPr>
          <w:rFonts w:ascii="Verdana" w:hAnsi="Verdana"/>
          <w:sz w:val="20"/>
          <w:lang w:val="en-NZ"/>
        </w:rPr>
        <w:t>and unless addressed, the generational cycles are likely to continue.</w:t>
      </w:r>
    </w:p>
    <w:p w:rsidR="000F43B5" w:rsidRPr="00595574" w:rsidRDefault="00D33628" w:rsidP="00E80DBB">
      <w:pPr>
        <w:numPr>
          <w:ilvl w:val="0"/>
          <w:numId w:val="10"/>
        </w:numPr>
        <w:spacing w:before="120" w:after="120"/>
        <w:ind w:left="567" w:hanging="567"/>
        <w:rPr>
          <w:rFonts w:ascii="Verdana" w:hAnsi="Verdana"/>
          <w:sz w:val="20"/>
          <w:lang w:val="en-NZ"/>
        </w:rPr>
      </w:pPr>
      <w:r>
        <w:rPr>
          <w:rFonts w:ascii="Verdana" w:eastAsia="Calibri" w:hAnsi="Verdana" w:cs="Calibri"/>
          <w:sz w:val="20"/>
          <w:lang w:val="en-NZ" w:eastAsia="en-US"/>
        </w:rPr>
        <w:t>Further, t</w:t>
      </w:r>
      <w:r w:rsidR="000F43B5">
        <w:rPr>
          <w:rFonts w:ascii="Verdana" w:eastAsia="Calibri" w:hAnsi="Verdana" w:cs="Calibri"/>
          <w:sz w:val="20"/>
          <w:lang w:val="en-NZ" w:eastAsia="en-US"/>
        </w:rPr>
        <w:t xml:space="preserve">he Expert Panel anticipated </w:t>
      </w:r>
      <w:r w:rsidR="00B30C5E">
        <w:rPr>
          <w:rFonts w:ascii="Verdana" w:hAnsi="Verdana"/>
          <w:sz w:val="20"/>
          <w:lang w:val="en-NZ"/>
        </w:rPr>
        <w:t>an increased number of</w:t>
      </w:r>
      <w:r w:rsidR="00B30C5E">
        <w:rPr>
          <w:rFonts w:ascii="Verdana" w:eastAsia="Calibri" w:hAnsi="Verdana" w:cs="Calibri"/>
          <w:sz w:val="20"/>
          <w:lang w:val="en-NZ" w:eastAsia="en-US"/>
        </w:rPr>
        <w:t xml:space="preserve"> vulnerable Māori children engaged with the system due to an increasing Māori youth population and underlying social and economic factors</w:t>
      </w:r>
      <w:r w:rsidR="000F43B5">
        <w:rPr>
          <w:rFonts w:ascii="Verdana" w:eastAsia="Calibri" w:hAnsi="Verdana" w:cs="Calibri"/>
          <w:sz w:val="20"/>
          <w:lang w:val="en-NZ" w:eastAsia="en-US"/>
        </w:rPr>
        <w:t>.</w:t>
      </w:r>
      <w:r w:rsidR="000F43B5">
        <w:rPr>
          <w:rStyle w:val="FootnoteReference"/>
          <w:rFonts w:eastAsia="Calibri" w:cs="Calibri"/>
          <w:lang w:val="en-NZ" w:eastAsia="en-US"/>
        </w:rPr>
        <w:footnoteReference w:id="2"/>
      </w:r>
    </w:p>
    <w:p w:rsidR="00295D4B" w:rsidRPr="003C4CAF" w:rsidRDefault="00E80DBB" w:rsidP="00156C6C">
      <w:pPr>
        <w:numPr>
          <w:ilvl w:val="0"/>
          <w:numId w:val="10"/>
        </w:numPr>
        <w:spacing w:before="120" w:after="120"/>
        <w:ind w:left="567" w:hanging="567"/>
        <w:rPr>
          <w:rFonts w:ascii="Verdana" w:hAnsi="Verdana"/>
          <w:sz w:val="20"/>
          <w:lang w:val="en-NZ"/>
        </w:rPr>
      </w:pPr>
      <w:r>
        <w:rPr>
          <w:rFonts w:ascii="Verdana" w:hAnsi="Verdana"/>
          <w:sz w:val="20"/>
          <w:lang w:val="en-NZ"/>
        </w:rPr>
        <w:t xml:space="preserve">As with others involved with </w:t>
      </w:r>
      <w:r w:rsidR="00800629">
        <w:rPr>
          <w:rFonts w:ascii="Verdana" w:hAnsi="Verdana"/>
          <w:sz w:val="20"/>
          <w:lang w:val="en-NZ"/>
        </w:rPr>
        <w:t>the CYF system, M</w:t>
      </w:r>
      <w:r w:rsidR="00C93E1C">
        <w:rPr>
          <w:rFonts w:ascii="Verdana" w:hAnsi="Verdana"/>
          <w:sz w:val="20"/>
          <w:lang w:val="en-NZ"/>
        </w:rPr>
        <w:t>ā</w:t>
      </w:r>
      <w:r w:rsidR="00800629">
        <w:rPr>
          <w:rFonts w:ascii="Verdana" w:hAnsi="Verdana"/>
          <w:sz w:val="20"/>
          <w:lang w:val="en-NZ"/>
        </w:rPr>
        <w:t>ori children and young people who have required</w:t>
      </w:r>
      <w:r w:rsidR="00C93E1C">
        <w:rPr>
          <w:rFonts w:ascii="Verdana" w:hAnsi="Verdana"/>
          <w:sz w:val="20"/>
          <w:lang w:val="en-NZ"/>
        </w:rPr>
        <w:t xml:space="preserve"> the intervention of the care, protection, and youth justice system</w:t>
      </w:r>
      <w:r w:rsidR="00873906">
        <w:rPr>
          <w:rFonts w:ascii="Verdana" w:hAnsi="Verdana"/>
          <w:sz w:val="20"/>
          <w:lang w:val="en-NZ"/>
        </w:rPr>
        <w:t>s experience</w:t>
      </w:r>
      <w:r w:rsidR="00C93E1C">
        <w:rPr>
          <w:rFonts w:ascii="Verdana" w:hAnsi="Verdana"/>
          <w:sz w:val="20"/>
          <w:lang w:val="en-NZ"/>
        </w:rPr>
        <w:t xml:space="preserve"> </w:t>
      </w:r>
      <w:r w:rsidR="00D33628">
        <w:rPr>
          <w:rFonts w:ascii="Verdana" w:hAnsi="Verdana"/>
          <w:sz w:val="20"/>
          <w:lang w:val="en-NZ"/>
        </w:rPr>
        <w:t>significant</w:t>
      </w:r>
      <w:r w:rsidR="00C93E1C">
        <w:rPr>
          <w:rFonts w:ascii="Verdana" w:hAnsi="Verdana"/>
          <w:sz w:val="20"/>
          <w:lang w:val="en-NZ"/>
        </w:rPr>
        <w:t xml:space="preserve">ly worse outcomes as adults. </w:t>
      </w:r>
      <w:r w:rsidR="00D33628">
        <w:rPr>
          <w:rFonts w:ascii="Verdana" w:hAnsi="Verdana"/>
          <w:sz w:val="20"/>
          <w:lang w:val="en-NZ"/>
        </w:rPr>
        <w:t>This results in considerable g</w:t>
      </w:r>
      <w:r w:rsidR="00C93E1C">
        <w:rPr>
          <w:rFonts w:ascii="Verdana" w:hAnsi="Verdana"/>
          <w:sz w:val="20"/>
          <w:lang w:val="en-NZ"/>
        </w:rPr>
        <w:t xml:space="preserve">overnment spend in lifetime costs – most of which relates to </w:t>
      </w:r>
      <w:r w:rsidR="00D33628">
        <w:rPr>
          <w:rFonts w:ascii="Verdana" w:hAnsi="Verdana"/>
          <w:sz w:val="20"/>
          <w:lang w:val="en-NZ"/>
        </w:rPr>
        <w:t xml:space="preserve">negative spending through the </w:t>
      </w:r>
      <w:r w:rsidR="00C93E1C">
        <w:rPr>
          <w:rFonts w:ascii="Verdana" w:hAnsi="Verdana"/>
          <w:sz w:val="20"/>
          <w:lang w:val="en-NZ"/>
        </w:rPr>
        <w:t>benefit receipt and involvement in the adult criminal justice system (where Māori are also over-represented)</w:t>
      </w:r>
      <w:r>
        <w:rPr>
          <w:rFonts w:ascii="Verdana" w:hAnsi="Verdana"/>
          <w:sz w:val="20"/>
          <w:lang w:val="en-NZ"/>
        </w:rPr>
        <w:t>.</w:t>
      </w:r>
    </w:p>
    <w:p w:rsidR="00040420" w:rsidRPr="00572645" w:rsidRDefault="001A2409" w:rsidP="00040420">
      <w:pPr>
        <w:pStyle w:val="ListParagraph"/>
        <w:numPr>
          <w:ilvl w:val="0"/>
          <w:numId w:val="10"/>
        </w:numPr>
        <w:autoSpaceDE w:val="0"/>
        <w:autoSpaceDN w:val="0"/>
        <w:adjustRightInd w:val="0"/>
        <w:spacing w:before="120" w:after="120"/>
        <w:ind w:left="567" w:hanging="567"/>
        <w:contextualSpacing w:val="0"/>
        <w:rPr>
          <w:rFonts w:ascii="Verdana" w:hAnsi="Verdana"/>
          <w:b/>
          <w:i/>
        </w:rPr>
      </w:pPr>
      <w:r w:rsidRPr="00156C6C">
        <w:rPr>
          <w:rFonts w:ascii="Verdana" w:eastAsia="Calibri" w:hAnsi="Verdana" w:cs="Calibri"/>
          <w:sz w:val="20"/>
          <w:lang w:val="en-NZ" w:eastAsia="en-US"/>
        </w:rPr>
        <w:t xml:space="preserve">Previous reviews of CYF have sought to </w:t>
      </w:r>
      <w:r w:rsidR="00040420">
        <w:rPr>
          <w:rFonts w:ascii="Verdana" w:eastAsia="Calibri" w:hAnsi="Verdana" w:cs="Calibri"/>
          <w:sz w:val="20"/>
          <w:lang w:val="en-NZ" w:eastAsia="en-US"/>
        </w:rPr>
        <w:t xml:space="preserve">address these issues and </w:t>
      </w:r>
      <w:r w:rsidRPr="00156C6C">
        <w:rPr>
          <w:rFonts w:ascii="Verdana" w:eastAsia="Calibri" w:hAnsi="Verdana" w:cs="Calibri"/>
          <w:sz w:val="20"/>
          <w:lang w:val="en-NZ" w:eastAsia="en-US"/>
        </w:rPr>
        <w:t>reduce the high number of Māori</w:t>
      </w:r>
      <w:r w:rsidR="00040420">
        <w:rPr>
          <w:rFonts w:ascii="Verdana" w:eastAsia="Calibri" w:hAnsi="Verdana" w:cs="Calibri"/>
          <w:sz w:val="20"/>
          <w:lang w:val="en-NZ" w:eastAsia="en-US"/>
        </w:rPr>
        <w:t xml:space="preserve"> children and young people within the system. However, these reviews largely failed to achieve the results desired for Māori and non-Māori children. </w:t>
      </w:r>
      <w:r w:rsidRPr="00156C6C">
        <w:rPr>
          <w:rFonts w:ascii="Verdana" w:eastAsia="Calibri" w:hAnsi="Verdana" w:cs="Calibri"/>
          <w:sz w:val="20"/>
          <w:lang w:val="en-NZ" w:eastAsia="en-US"/>
        </w:rPr>
        <w:t xml:space="preserve"> </w:t>
      </w:r>
      <w:r w:rsidR="00040420">
        <w:rPr>
          <w:rFonts w:ascii="Verdana" w:eastAsia="Calibri" w:hAnsi="Verdana" w:cs="Calibri"/>
          <w:sz w:val="20"/>
          <w:lang w:val="en-NZ" w:eastAsia="en-US"/>
        </w:rPr>
        <w:t xml:space="preserve">Notably such past reforms were not backed up by the level of legislative support proposed now. </w:t>
      </w:r>
    </w:p>
    <w:p w:rsidR="009376A5" w:rsidRPr="005957E7" w:rsidRDefault="009376A5" w:rsidP="00040420">
      <w:pPr>
        <w:autoSpaceDE w:val="0"/>
        <w:autoSpaceDN w:val="0"/>
        <w:adjustRightInd w:val="0"/>
        <w:spacing w:before="120" w:after="120"/>
        <w:rPr>
          <w:rFonts w:ascii="Verdana" w:hAnsi="Verdana"/>
          <w:b/>
          <w:sz w:val="24"/>
          <w:szCs w:val="24"/>
        </w:rPr>
      </w:pPr>
      <w:r w:rsidRPr="005957E7">
        <w:rPr>
          <w:rFonts w:ascii="Verdana" w:hAnsi="Verdana"/>
          <w:b/>
          <w:i/>
          <w:sz w:val="24"/>
          <w:szCs w:val="24"/>
        </w:rPr>
        <w:t>Investing in New Zealand’s Children a</w:t>
      </w:r>
      <w:r w:rsidR="00873906" w:rsidRPr="005957E7">
        <w:rPr>
          <w:rFonts w:ascii="Verdana" w:hAnsi="Verdana"/>
          <w:b/>
          <w:i/>
          <w:sz w:val="24"/>
          <w:szCs w:val="24"/>
        </w:rPr>
        <w:t xml:space="preserve">nd their Families: </w:t>
      </w:r>
      <w:r w:rsidR="00873906" w:rsidRPr="005957E7">
        <w:rPr>
          <w:rFonts w:ascii="Verdana" w:hAnsi="Verdana"/>
          <w:b/>
          <w:sz w:val="24"/>
          <w:szCs w:val="24"/>
        </w:rPr>
        <w:t>Policy and l</w:t>
      </w:r>
      <w:r w:rsidRPr="005957E7">
        <w:rPr>
          <w:rFonts w:ascii="Verdana" w:hAnsi="Verdana"/>
          <w:b/>
          <w:sz w:val="24"/>
          <w:szCs w:val="24"/>
        </w:rPr>
        <w:t xml:space="preserve">egislation </w:t>
      </w:r>
    </w:p>
    <w:p w:rsidR="00D521E8" w:rsidRPr="00595574" w:rsidRDefault="00D521E8" w:rsidP="00D521E8">
      <w:pPr>
        <w:pStyle w:val="ListParagraph"/>
        <w:numPr>
          <w:ilvl w:val="0"/>
          <w:numId w:val="10"/>
        </w:numPr>
        <w:autoSpaceDE w:val="0"/>
        <w:autoSpaceDN w:val="0"/>
        <w:adjustRightInd w:val="0"/>
        <w:spacing w:before="120" w:after="120"/>
        <w:ind w:left="567" w:hanging="567"/>
        <w:contextualSpacing w:val="0"/>
        <w:rPr>
          <w:rFonts w:ascii="Verdana" w:hAnsi="Verdana"/>
          <w:sz w:val="20"/>
          <w:lang w:val="en-NZ"/>
        </w:rPr>
      </w:pPr>
      <w:r>
        <w:rPr>
          <w:rFonts w:ascii="Verdana" w:eastAsia="Calibri" w:hAnsi="Verdana" w:cs="Calibri"/>
          <w:sz w:val="20"/>
          <w:lang w:val="en-NZ" w:eastAsia="en-US"/>
        </w:rPr>
        <w:t>The Expert Panel</w:t>
      </w:r>
      <w:r>
        <w:rPr>
          <w:rStyle w:val="FootnoteReference"/>
          <w:rFonts w:eastAsia="Calibri" w:cs="Calibri"/>
          <w:lang w:val="en-NZ" w:eastAsia="en-US"/>
        </w:rPr>
        <w:footnoteReference w:id="3"/>
      </w:r>
      <w:r>
        <w:rPr>
          <w:rFonts w:ascii="Verdana" w:eastAsia="Calibri" w:hAnsi="Verdana" w:cs="Calibri"/>
          <w:sz w:val="20"/>
          <w:lang w:val="en-NZ" w:eastAsia="en-US"/>
        </w:rPr>
        <w:t xml:space="preserve"> considered that:</w:t>
      </w:r>
    </w:p>
    <w:p w:rsidR="00D521E8" w:rsidRPr="00595574" w:rsidRDefault="00D521E8" w:rsidP="00BC1268">
      <w:pPr>
        <w:autoSpaceDE w:val="0"/>
        <w:autoSpaceDN w:val="0"/>
        <w:adjustRightInd w:val="0"/>
        <w:spacing w:before="120" w:after="120"/>
        <w:ind w:left="993" w:right="170" w:firstLine="11"/>
        <w:rPr>
          <w:rFonts w:ascii="Verdana" w:hAnsi="Verdana"/>
          <w:i/>
          <w:sz w:val="20"/>
          <w:lang w:val="en-NZ"/>
        </w:rPr>
      </w:pPr>
      <w:r>
        <w:rPr>
          <w:rFonts w:ascii="Verdana" w:hAnsi="Verdana"/>
          <w:i/>
          <w:sz w:val="20"/>
          <w:lang w:val="en-NZ"/>
        </w:rPr>
        <w:t xml:space="preserve">A future where vulnerable Māori children and young people are able to live in stable, loving homes and </w:t>
      </w:r>
      <w:proofErr w:type="spellStart"/>
      <w:r>
        <w:rPr>
          <w:rFonts w:ascii="Verdana" w:hAnsi="Verdana"/>
          <w:i/>
          <w:sz w:val="20"/>
          <w:lang w:val="en-NZ"/>
        </w:rPr>
        <w:t>wh</w:t>
      </w:r>
      <w:proofErr w:type="spellEnd"/>
      <w:r w:rsidR="00B82003">
        <w:rPr>
          <w:rFonts w:ascii="Verdana" w:hAnsi="Verdana"/>
          <w:sz w:val="20"/>
        </w:rPr>
        <w:t>ā</w:t>
      </w:r>
      <w:proofErr w:type="spellStart"/>
      <w:r>
        <w:rPr>
          <w:rFonts w:ascii="Verdana" w:hAnsi="Verdana"/>
          <w:i/>
          <w:sz w:val="20"/>
          <w:lang w:val="en-NZ"/>
        </w:rPr>
        <w:t>nau</w:t>
      </w:r>
      <w:proofErr w:type="spellEnd"/>
      <w:r>
        <w:rPr>
          <w:rFonts w:ascii="Verdana" w:hAnsi="Verdana"/>
          <w:i/>
          <w:sz w:val="20"/>
          <w:lang w:val="en-NZ"/>
        </w:rPr>
        <w:t xml:space="preserve"> are enabled and supported to provide this environment is the aspiration. New Zealand can reach this endpoint through </w:t>
      </w:r>
      <w:r>
        <w:rPr>
          <w:rFonts w:ascii="Verdana" w:hAnsi="Verdana"/>
          <w:i/>
          <w:sz w:val="20"/>
          <w:lang w:val="en-NZ"/>
        </w:rPr>
        <w:lastRenderedPageBreak/>
        <w:t>deliberate and careful navigation that encourages greater innovation and new approaches.</w:t>
      </w:r>
    </w:p>
    <w:p w:rsidR="00040420" w:rsidRDefault="009376A5" w:rsidP="009376A5">
      <w:pPr>
        <w:numPr>
          <w:ilvl w:val="0"/>
          <w:numId w:val="10"/>
        </w:numPr>
        <w:spacing w:before="120" w:after="120"/>
        <w:ind w:left="567" w:hanging="567"/>
        <w:rPr>
          <w:rFonts w:ascii="Verdana" w:hAnsi="Verdana"/>
          <w:sz w:val="20"/>
        </w:rPr>
      </w:pPr>
      <w:r w:rsidRPr="00040420">
        <w:rPr>
          <w:rFonts w:ascii="Verdana" w:hAnsi="Verdana"/>
          <w:sz w:val="20"/>
          <w:lang w:val="en-NZ"/>
        </w:rPr>
        <w:t>On</w:t>
      </w:r>
      <w:r w:rsidRPr="00040420">
        <w:rPr>
          <w:rFonts w:ascii="Verdana" w:hAnsi="Verdana"/>
          <w:sz w:val="20"/>
        </w:rPr>
        <w:t xml:space="preserve"> 30 March 2016, SOC agreed that major reform is required to the CYPF Act [SOC-16-MIN-0024 refers], and to give effect to the new operating model</w:t>
      </w:r>
      <w:r w:rsidR="00040420" w:rsidRPr="00040420">
        <w:rPr>
          <w:rFonts w:ascii="Verdana" w:hAnsi="Verdana"/>
          <w:sz w:val="20"/>
        </w:rPr>
        <w:t xml:space="preserve">. </w:t>
      </w:r>
      <w:r w:rsidRPr="00040420">
        <w:rPr>
          <w:rFonts w:ascii="Verdana" w:hAnsi="Verdana"/>
          <w:sz w:val="20"/>
        </w:rPr>
        <w:t xml:space="preserve"> </w:t>
      </w:r>
    </w:p>
    <w:p w:rsidR="009376A5" w:rsidRPr="00040420" w:rsidRDefault="009376A5" w:rsidP="009376A5">
      <w:pPr>
        <w:numPr>
          <w:ilvl w:val="0"/>
          <w:numId w:val="10"/>
        </w:numPr>
        <w:spacing w:before="120" w:after="120"/>
        <w:ind w:left="567" w:hanging="567"/>
        <w:rPr>
          <w:rFonts w:ascii="Verdana" w:hAnsi="Verdana"/>
          <w:sz w:val="20"/>
        </w:rPr>
      </w:pPr>
      <w:r w:rsidRPr="00040420">
        <w:rPr>
          <w:rFonts w:ascii="Verdana" w:hAnsi="Verdana"/>
          <w:sz w:val="20"/>
        </w:rPr>
        <w:t>SOC also agreed</w:t>
      </w:r>
      <w:r w:rsidR="00AC5EC1" w:rsidRPr="00040420">
        <w:rPr>
          <w:rFonts w:ascii="Verdana" w:hAnsi="Verdana"/>
          <w:sz w:val="20"/>
        </w:rPr>
        <w:t xml:space="preserve"> to specific measures intended to reduce the over-representation of M</w:t>
      </w:r>
      <w:r w:rsidR="00E80DBB" w:rsidRPr="00040420">
        <w:rPr>
          <w:rFonts w:ascii="Verdana" w:hAnsi="Verdana"/>
          <w:sz w:val="20"/>
        </w:rPr>
        <w:t>ā</w:t>
      </w:r>
      <w:r w:rsidR="00AC5EC1" w:rsidRPr="00040420">
        <w:rPr>
          <w:rFonts w:ascii="Verdana" w:hAnsi="Verdana"/>
          <w:sz w:val="20"/>
        </w:rPr>
        <w:t xml:space="preserve">ori children and young people in the future system. These </w:t>
      </w:r>
      <w:r w:rsidR="00A92EF9" w:rsidRPr="00040420">
        <w:rPr>
          <w:rFonts w:ascii="Verdana" w:hAnsi="Verdana"/>
          <w:sz w:val="20"/>
        </w:rPr>
        <w:t>feat</w:t>
      </w:r>
      <w:r w:rsidR="00AC5EC1" w:rsidRPr="00040420">
        <w:rPr>
          <w:rFonts w:ascii="Verdana" w:hAnsi="Verdana"/>
          <w:sz w:val="20"/>
        </w:rPr>
        <w:t xml:space="preserve">ures </w:t>
      </w:r>
      <w:r w:rsidR="00A92EF9" w:rsidRPr="00040420">
        <w:rPr>
          <w:rFonts w:ascii="Verdana" w:hAnsi="Verdana"/>
          <w:sz w:val="20"/>
        </w:rPr>
        <w:t>ar</w:t>
      </w:r>
      <w:r w:rsidR="00AC5EC1" w:rsidRPr="00040420">
        <w:rPr>
          <w:rFonts w:ascii="Verdana" w:hAnsi="Verdana"/>
          <w:sz w:val="20"/>
        </w:rPr>
        <w:t>e</w:t>
      </w:r>
      <w:r w:rsidRPr="00040420">
        <w:rPr>
          <w:rFonts w:ascii="Verdana" w:hAnsi="Verdana"/>
          <w:sz w:val="20"/>
        </w:rPr>
        <w:t xml:space="preserve">: </w:t>
      </w:r>
    </w:p>
    <w:p w:rsidR="00A92EF9" w:rsidRDefault="00A92EF9" w:rsidP="009376A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the design of the new operating model to have high and explicit expectations and targets to improve outcomes for vulnerable M</w:t>
      </w:r>
      <w:r w:rsidR="00BC1268">
        <w:rPr>
          <w:rFonts w:ascii="Verdana" w:hAnsi="Verdana"/>
          <w:sz w:val="20"/>
          <w:lang w:val="en-NZ"/>
        </w:rPr>
        <w:t>ā</w:t>
      </w:r>
      <w:r>
        <w:rPr>
          <w:rFonts w:ascii="Verdana" w:hAnsi="Verdana"/>
          <w:sz w:val="20"/>
          <w:lang w:val="en-NZ"/>
        </w:rPr>
        <w:t>ori children</w:t>
      </w:r>
      <w:r w:rsidR="00873906">
        <w:rPr>
          <w:rFonts w:ascii="Verdana" w:hAnsi="Verdana"/>
          <w:sz w:val="20"/>
          <w:lang w:val="en-NZ"/>
        </w:rPr>
        <w:t xml:space="preserve">, </w:t>
      </w:r>
      <w:r>
        <w:rPr>
          <w:rFonts w:ascii="Verdana" w:hAnsi="Verdana"/>
          <w:sz w:val="20"/>
          <w:lang w:val="en-NZ"/>
        </w:rPr>
        <w:t>young people and their wh</w:t>
      </w:r>
      <w:r w:rsidR="00BC1268">
        <w:rPr>
          <w:rFonts w:ascii="Verdana" w:hAnsi="Verdana"/>
          <w:sz w:val="20"/>
          <w:lang w:val="en-NZ"/>
        </w:rPr>
        <w:t>ā</w:t>
      </w:r>
      <w:r>
        <w:rPr>
          <w:rFonts w:ascii="Verdana" w:hAnsi="Verdana"/>
          <w:sz w:val="20"/>
          <w:lang w:val="en-NZ"/>
        </w:rPr>
        <w:t>nau</w:t>
      </w:r>
    </w:p>
    <w:p w:rsidR="00A92EF9" w:rsidRDefault="00A92EF9" w:rsidP="009376A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the new operating model should have a future target of improving outcomes for vulnerable M</w:t>
      </w:r>
      <w:r w:rsidR="00BC1268">
        <w:rPr>
          <w:rFonts w:ascii="Verdana" w:hAnsi="Verdana"/>
          <w:sz w:val="20"/>
          <w:lang w:val="en-NZ"/>
        </w:rPr>
        <w:t>ā</w:t>
      </w:r>
      <w:r>
        <w:rPr>
          <w:rFonts w:ascii="Verdana" w:hAnsi="Verdana"/>
          <w:sz w:val="20"/>
          <w:lang w:val="en-NZ"/>
        </w:rPr>
        <w:t>ori children and young people</w:t>
      </w:r>
    </w:p>
    <w:p w:rsidR="00A92EF9" w:rsidRDefault="00A92EF9" w:rsidP="009376A5">
      <w:pPr>
        <w:numPr>
          <w:ilvl w:val="1"/>
          <w:numId w:val="10"/>
        </w:numPr>
        <w:tabs>
          <w:tab w:val="left" w:pos="1134"/>
        </w:tabs>
        <w:spacing w:before="120" w:after="120"/>
        <w:ind w:left="1077" w:right="170" w:hanging="357"/>
        <w:rPr>
          <w:rFonts w:ascii="Verdana" w:hAnsi="Verdana"/>
          <w:sz w:val="20"/>
          <w:lang w:val="en-NZ"/>
        </w:rPr>
      </w:pPr>
      <w:r>
        <w:rPr>
          <w:rFonts w:ascii="Verdana" w:hAnsi="Verdana"/>
          <w:sz w:val="20"/>
          <w:lang w:val="en-NZ"/>
        </w:rPr>
        <w:t>strategic partnerships with iwi</w:t>
      </w:r>
      <w:r w:rsidR="00873906">
        <w:rPr>
          <w:rFonts w:ascii="Verdana" w:hAnsi="Verdana"/>
          <w:sz w:val="20"/>
          <w:lang w:val="en-NZ"/>
        </w:rPr>
        <w:t xml:space="preserve">, </w:t>
      </w:r>
      <w:r>
        <w:rPr>
          <w:rFonts w:ascii="Verdana" w:hAnsi="Verdana"/>
          <w:sz w:val="20"/>
          <w:lang w:val="en-NZ"/>
        </w:rPr>
        <w:t>M</w:t>
      </w:r>
      <w:r w:rsidR="00BC1268">
        <w:rPr>
          <w:rFonts w:ascii="Verdana" w:hAnsi="Verdana"/>
          <w:sz w:val="20"/>
          <w:lang w:val="en-NZ"/>
        </w:rPr>
        <w:t>ā</w:t>
      </w:r>
      <w:r>
        <w:rPr>
          <w:rFonts w:ascii="Verdana" w:hAnsi="Verdana"/>
          <w:sz w:val="20"/>
          <w:lang w:val="en-NZ"/>
        </w:rPr>
        <w:t>ori organisations, and Wh</w:t>
      </w:r>
      <w:r w:rsidR="00BC1268">
        <w:rPr>
          <w:rFonts w:ascii="Verdana" w:hAnsi="Verdana"/>
          <w:sz w:val="20"/>
          <w:lang w:val="en-NZ"/>
        </w:rPr>
        <w:t>ā</w:t>
      </w:r>
      <w:r>
        <w:rPr>
          <w:rFonts w:ascii="Verdana" w:hAnsi="Verdana"/>
          <w:sz w:val="20"/>
          <w:lang w:val="en-NZ"/>
        </w:rPr>
        <w:t>nau Ora Commissioning Agencies to promote opportunity and innovation from organisations interested in improving outcomes for vulnerable M</w:t>
      </w:r>
      <w:r w:rsidR="00BC1268">
        <w:rPr>
          <w:rFonts w:ascii="Verdana" w:hAnsi="Verdana"/>
          <w:sz w:val="20"/>
          <w:lang w:val="en-NZ"/>
        </w:rPr>
        <w:t>ā</w:t>
      </w:r>
      <w:r>
        <w:rPr>
          <w:rFonts w:ascii="Verdana" w:hAnsi="Verdana"/>
          <w:sz w:val="20"/>
          <w:lang w:val="en-NZ"/>
        </w:rPr>
        <w:t>ori children, young people and their wh</w:t>
      </w:r>
      <w:r w:rsidR="00BC1268">
        <w:rPr>
          <w:rFonts w:ascii="Verdana" w:hAnsi="Verdana"/>
          <w:sz w:val="20"/>
          <w:lang w:val="en-NZ"/>
        </w:rPr>
        <w:t>ā</w:t>
      </w:r>
      <w:r>
        <w:rPr>
          <w:rFonts w:ascii="Verdana" w:hAnsi="Verdana"/>
          <w:sz w:val="20"/>
          <w:lang w:val="en-NZ"/>
        </w:rPr>
        <w:t>nau</w:t>
      </w:r>
    </w:p>
    <w:p w:rsidR="009376A5" w:rsidRPr="00A92EF9" w:rsidRDefault="00A92EF9" w:rsidP="009376A5">
      <w:pPr>
        <w:numPr>
          <w:ilvl w:val="1"/>
          <w:numId w:val="10"/>
        </w:numPr>
        <w:tabs>
          <w:tab w:val="left" w:pos="1134"/>
        </w:tabs>
        <w:spacing w:before="120" w:after="120"/>
        <w:ind w:left="1077" w:right="170" w:hanging="357"/>
        <w:rPr>
          <w:rFonts w:ascii="Verdana" w:hAnsi="Verdana"/>
          <w:sz w:val="20"/>
          <w:lang w:val="en-NZ"/>
        </w:rPr>
      </w:pPr>
      <w:proofErr w:type="gramStart"/>
      <w:r>
        <w:rPr>
          <w:rFonts w:ascii="Verdana" w:hAnsi="Verdana"/>
          <w:sz w:val="20"/>
          <w:lang w:val="en-NZ"/>
        </w:rPr>
        <w:t>t</w:t>
      </w:r>
      <w:r w:rsidRPr="00A92EF9">
        <w:rPr>
          <w:rFonts w:ascii="Verdana" w:hAnsi="Verdana"/>
          <w:sz w:val="20"/>
          <w:lang w:val="en-NZ"/>
        </w:rPr>
        <w:t>he</w:t>
      </w:r>
      <w:proofErr w:type="gramEnd"/>
      <w:r w:rsidRPr="00A92EF9">
        <w:rPr>
          <w:rFonts w:ascii="Verdana" w:hAnsi="Verdana"/>
          <w:sz w:val="20"/>
          <w:lang w:val="en-NZ"/>
        </w:rPr>
        <w:t xml:space="preserve"> immediate commencement of public reporting progress towards improving outcomes for vulnerable M</w:t>
      </w:r>
      <w:r w:rsidR="00BC1268">
        <w:rPr>
          <w:rFonts w:ascii="Verdana" w:hAnsi="Verdana"/>
          <w:sz w:val="20"/>
          <w:lang w:val="en-NZ"/>
        </w:rPr>
        <w:t>ā</w:t>
      </w:r>
      <w:r w:rsidRPr="00A92EF9">
        <w:rPr>
          <w:rFonts w:ascii="Verdana" w:hAnsi="Verdana"/>
          <w:sz w:val="20"/>
          <w:lang w:val="en-NZ"/>
        </w:rPr>
        <w:t xml:space="preserve">ori children and young people </w:t>
      </w:r>
      <w:r w:rsidR="009376A5" w:rsidRPr="00A92EF9">
        <w:rPr>
          <w:rFonts w:ascii="Verdana" w:hAnsi="Verdana"/>
          <w:sz w:val="20"/>
          <w:lang w:val="en-NZ"/>
        </w:rPr>
        <w:t>[SOC-16-MIN-002</w:t>
      </w:r>
      <w:r w:rsidR="00C5658D">
        <w:rPr>
          <w:rFonts w:ascii="Verdana" w:hAnsi="Verdana"/>
          <w:sz w:val="20"/>
          <w:lang w:val="en-NZ"/>
        </w:rPr>
        <w:t>3</w:t>
      </w:r>
      <w:r w:rsidR="009376A5" w:rsidRPr="00A92EF9">
        <w:rPr>
          <w:rFonts w:ascii="Verdana" w:hAnsi="Verdana"/>
          <w:sz w:val="20"/>
          <w:lang w:val="en-NZ"/>
        </w:rPr>
        <w:t xml:space="preserve"> refers]</w:t>
      </w:r>
      <w:r>
        <w:rPr>
          <w:rFonts w:ascii="Verdana" w:hAnsi="Verdana"/>
          <w:sz w:val="20"/>
          <w:lang w:val="en-NZ"/>
        </w:rPr>
        <w:t>.</w:t>
      </w:r>
    </w:p>
    <w:p w:rsidR="009376A5" w:rsidRPr="0016400C" w:rsidRDefault="009376A5" w:rsidP="008B752C">
      <w:pPr>
        <w:spacing w:before="120" w:after="120"/>
        <w:rPr>
          <w:rFonts w:ascii="Verdana" w:hAnsi="Verdana"/>
          <w:b/>
          <w:sz w:val="24"/>
          <w:szCs w:val="24"/>
        </w:rPr>
      </w:pPr>
      <w:r w:rsidRPr="0016400C">
        <w:rPr>
          <w:rFonts w:ascii="Verdana" w:hAnsi="Verdana"/>
          <w:b/>
          <w:sz w:val="24"/>
          <w:szCs w:val="24"/>
        </w:rPr>
        <w:t>Signalling and driving fundamental and wide-ranging reform</w:t>
      </w:r>
    </w:p>
    <w:p w:rsidR="009376A5" w:rsidRPr="00987F27" w:rsidRDefault="009376A5" w:rsidP="009376A5">
      <w:pPr>
        <w:numPr>
          <w:ilvl w:val="0"/>
          <w:numId w:val="10"/>
        </w:numPr>
        <w:spacing w:before="120" w:after="120"/>
        <w:ind w:left="567" w:hanging="567"/>
        <w:rPr>
          <w:rFonts w:ascii="Verdana" w:hAnsi="Verdana"/>
          <w:sz w:val="20"/>
          <w:lang w:val="en-NZ"/>
        </w:rPr>
      </w:pPr>
      <w:r w:rsidRPr="00987F27">
        <w:rPr>
          <w:rFonts w:ascii="Verdana" w:hAnsi="Verdana"/>
          <w:sz w:val="20"/>
          <w:lang w:val="en-NZ"/>
        </w:rPr>
        <w:t>The CYPF Act sought to establish a new model of social work, with a much stronger focus on family</w:t>
      </w:r>
      <w:r w:rsidR="00873906">
        <w:rPr>
          <w:rFonts w:ascii="Verdana" w:hAnsi="Verdana"/>
          <w:sz w:val="20"/>
          <w:lang w:val="en-NZ"/>
        </w:rPr>
        <w:t xml:space="preserve">, </w:t>
      </w:r>
      <w:r w:rsidR="00D77C31">
        <w:rPr>
          <w:rFonts w:ascii="Verdana" w:hAnsi="Verdana"/>
          <w:sz w:val="20"/>
          <w:lang w:val="en-NZ"/>
        </w:rPr>
        <w:t>whānau, hapū and iwi</w:t>
      </w:r>
      <w:r w:rsidRPr="00987F27">
        <w:rPr>
          <w:rFonts w:ascii="Verdana" w:hAnsi="Verdana"/>
          <w:sz w:val="20"/>
          <w:lang w:val="en-NZ"/>
        </w:rPr>
        <w:t xml:space="preserve"> participation and decision-making than </w:t>
      </w:r>
      <w:r w:rsidRPr="00987F27">
        <w:rPr>
          <w:rFonts w:ascii="Verdana" w:hAnsi="Verdana"/>
          <w:sz w:val="20"/>
        </w:rPr>
        <w:t>under the earlier Children and Young Persons Act 1974</w:t>
      </w:r>
      <w:r w:rsidRPr="00987F27">
        <w:rPr>
          <w:rFonts w:ascii="Verdana" w:hAnsi="Verdana"/>
          <w:sz w:val="20"/>
          <w:lang w:val="en-NZ"/>
        </w:rPr>
        <w:t xml:space="preserve">.  </w:t>
      </w:r>
    </w:p>
    <w:p w:rsidR="009376A5" w:rsidRPr="00987F27" w:rsidRDefault="009376A5" w:rsidP="009376A5">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It signalled and set the direction of social work action, service delivery and performance monitoring, through legislated principles, objects, duties and powers. </w:t>
      </w:r>
    </w:p>
    <w:p w:rsidR="009376A5" w:rsidRPr="00987F27" w:rsidRDefault="009376A5" w:rsidP="009376A5">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The principles of the CYPF Act seek to inform and underpin all aspects of practice, including judicial decision-making about matters such as the removal and placement of children. This is </w:t>
      </w:r>
      <w:r w:rsidR="008B752C">
        <w:rPr>
          <w:rFonts w:ascii="Verdana" w:hAnsi="Verdana"/>
          <w:sz w:val="20"/>
          <w:lang w:val="en-NZ"/>
        </w:rPr>
        <w:t>comparable</w:t>
      </w:r>
      <w:r w:rsidRPr="00987F27">
        <w:rPr>
          <w:rFonts w:ascii="Verdana" w:hAnsi="Verdana"/>
          <w:sz w:val="20"/>
          <w:lang w:val="en-NZ"/>
        </w:rPr>
        <w:t xml:space="preserve"> to the way the amended Social Security Act 1964 principles (section </w:t>
      </w:r>
      <w:proofErr w:type="spellStart"/>
      <w:r w:rsidRPr="00987F27">
        <w:rPr>
          <w:rFonts w:ascii="Verdana" w:hAnsi="Verdana"/>
          <w:sz w:val="20"/>
          <w:lang w:val="en-NZ"/>
        </w:rPr>
        <w:t>1B</w:t>
      </w:r>
      <w:proofErr w:type="spellEnd"/>
      <w:r w:rsidRPr="00987F27">
        <w:rPr>
          <w:rFonts w:ascii="Verdana" w:hAnsi="Verdana"/>
          <w:sz w:val="20"/>
          <w:lang w:val="en-NZ"/>
        </w:rPr>
        <w:t>) direct the “work focused” operating model for income support and employment services.</w:t>
      </w:r>
    </w:p>
    <w:p w:rsidR="009376A5" w:rsidRPr="00987F27" w:rsidRDefault="009376A5" w:rsidP="009376A5">
      <w:pPr>
        <w:numPr>
          <w:ilvl w:val="0"/>
          <w:numId w:val="10"/>
        </w:numPr>
        <w:spacing w:before="120" w:after="120"/>
        <w:ind w:left="567" w:hanging="567"/>
        <w:rPr>
          <w:rFonts w:ascii="Verdana" w:hAnsi="Verdana"/>
          <w:sz w:val="20"/>
          <w:lang w:val="en-NZ"/>
        </w:rPr>
      </w:pPr>
      <w:r w:rsidRPr="00987F27">
        <w:rPr>
          <w:rFonts w:ascii="Verdana" w:hAnsi="Verdana"/>
          <w:sz w:val="20"/>
          <w:lang w:val="en-NZ"/>
        </w:rPr>
        <w:t xml:space="preserve">Alongside the practice framework, the CYPF Act informs public understanding and expectations of the role of the care and protection system in particular critical decision making regarding if, when and how to report suspected abuse and neglect, the level of harm at which such reporting is expected, and the role of the agency in areas such as prevention. Legislative change in a number of comparable jurisdictions has been used to reset these decisions and expectations.  </w:t>
      </w:r>
    </w:p>
    <w:p w:rsidR="00EA667C" w:rsidRDefault="00D77C31" w:rsidP="009376A5">
      <w:pPr>
        <w:numPr>
          <w:ilvl w:val="0"/>
          <w:numId w:val="10"/>
        </w:numPr>
        <w:spacing w:before="120" w:after="120"/>
        <w:ind w:left="567" w:hanging="567"/>
        <w:rPr>
          <w:rFonts w:ascii="Verdana" w:hAnsi="Verdana"/>
          <w:sz w:val="20"/>
          <w:lang w:val="en-NZ"/>
        </w:rPr>
      </w:pPr>
      <w:r>
        <w:rPr>
          <w:rFonts w:ascii="Verdana" w:hAnsi="Verdana"/>
          <w:sz w:val="20"/>
          <w:lang w:val="en-NZ"/>
        </w:rPr>
        <w:t>Significant reform of the</w:t>
      </w:r>
      <w:r w:rsidR="009376A5" w:rsidRPr="00987F27">
        <w:rPr>
          <w:rFonts w:ascii="Verdana" w:hAnsi="Verdana"/>
          <w:sz w:val="20"/>
          <w:lang w:val="en-NZ"/>
        </w:rPr>
        <w:t xml:space="preserve"> CYPF Act offers an </w:t>
      </w:r>
      <w:r>
        <w:rPr>
          <w:rFonts w:ascii="Verdana" w:hAnsi="Verdana"/>
          <w:sz w:val="20"/>
          <w:lang w:val="en-NZ"/>
        </w:rPr>
        <w:t>opportunity to signal</w:t>
      </w:r>
      <w:r w:rsidR="009376A5" w:rsidRPr="00987F27">
        <w:rPr>
          <w:rFonts w:ascii="Verdana" w:hAnsi="Verdana"/>
          <w:sz w:val="20"/>
          <w:lang w:val="en-NZ"/>
        </w:rPr>
        <w:t xml:space="preserve"> support </w:t>
      </w:r>
      <w:r>
        <w:rPr>
          <w:rFonts w:ascii="Verdana" w:hAnsi="Verdana"/>
          <w:sz w:val="20"/>
          <w:lang w:val="en-NZ"/>
        </w:rPr>
        <w:t xml:space="preserve">for a different and innovative approach to how we address and support </w:t>
      </w:r>
      <w:r w:rsidR="005F5CAD">
        <w:rPr>
          <w:rFonts w:ascii="Verdana" w:hAnsi="Verdana"/>
          <w:sz w:val="20"/>
          <w:lang w:val="en-NZ"/>
        </w:rPr>
        <w:t xml:space="preserve">the needs and aspirations of </w:t>
      </w:r>
      <w:r>
        <w:rPr>
          <w:rFonts w:ascii="Verdana" w:hAnsi="Verdana"/>
          <w:sz w:val="20"/>
          <w:lang w:val="en-NZ"/>
        </w:rPr>
        <w:t>M</w:t>
      </w:r>
      <w:r w:rsidR="00E80DBB">
        <w:rPr>
          <w:rFonts w:ascii="Verdana" w:hAnsi="Verdana"/>
          <w:sz w:val="20"/>
          <w:lang w:val="en-NZ"/>
        </w:rPr>
        <w:t>ā</w:t>
      </w:r>
      <w:r>
        <w:rPr>
          <w:rFonts w:ascii="Verdana" w:hAnsi="Verdana"/>
          <w:sz w:val="20"/>
          <w:lang w:val="en-NZ"/>
        </w:rPr>
        <w:t>ori children</w:t>
      </w:r>
      <w:r w:rsidR="005F5CAD">
        <w:rPr>
          <w:rFonts w:ascii="Verdana" w:hAnsi="Verdana"/>
          <w:sz w:val="20"/>
          <w:lang w:val="en-NZ"/>
        </w:rPr>
        <w:t>,</w:t>
      </w:r>
      <w:r>
        <w:rPr>
          <w:rFonts w:ascii="Verdana" w:hAnsi="Verdana"/>
          <w:sz w:val="20"/>
          <w:lang w:val="en-NZ"/>
        </w:rPr>
        <w:t xml:space="preserve"> young people</w:t>
      </w:r>
      <w:r w:rsidR="005F5CAD">
        <w:rPr>
          <w:rFonts w:ascii="Verdana" w:hAnsi="Verdana"/>
          <w:sz w:val="20"/>
          <w:lang w:val="en-NZ"/>
        </w:rPr>
        <w:t xml:space="preserve"> and their families who come into</w:t>
      </w:r>
      <w:r w:rsidR="00873906">
        <w:rPr>
          <w:rFonts w:ascii="Verdana" w:hAnsi="Verdana"/>
          <w:sz w:val="20"/>
          <w:lang w:val="en-NZ"/>
        </w:rPr>
        <w:t xml:space="preserve"> contact with the</w:t>
      </w:r>
      <w:r w:rsidR="005F5CAD">
        <w:rPr>
          <w:rFonts w:ascii="Verdana" w:hAnsi="Verdana"/>
          <w:sz w:val="20"/>
          <w:lang w:val="en-NZ"/>
        </w:rPr>
        <w:t xml:space="preserve"> care</w:t>
      </w:r>
      <w:r w:rsidR="00873906">
        <w:rPr>
          <w:rFonts w:ascii="Verdana" w:hAnsi="Verdana"/>
          <w:sz w:val="20"/>
          <w:lang w:val="en-NZ"/>
        </w:rPr>
        <w:t xml:space="preserve"> and protection,</w:t>
      </w:r>
      <w:r w:rsidR="005F5CAD">
        <w:rPr>
          <w:rFonts w:ascii="Verdana" w:hAnsi="Verdana"/>
          <w:sz w:val="20"/>
          <w:lang w:val="en-NZ"/>
        </w:rPr>
        <w:t xml:space="preserve"> and youth </w:t>
      </w:r>
      <w:r>
        <w:rPr>
          <w:rFonts w:ascii="Verdana" w:hAnsi="Verdana"/>
          <w:sz w:val="20"/>
          <w:lang w:val="en-NZ"/>
        </w:rPr>
        <w:t>justice</w:t>
      </w:r>
      <w:r w:rsidR="00873906">
        <w:rPr>
          <w:rFonts w:ascii="Verdana" w:hAnsi="Verdana"/>
          <w:sz w:val="20"/>
          <w:lang w:val="en-NZ"/>
        </w:rPr>
        <w:t xml:space="preserve"> systems</w:t>
      </w:r>
      <w:r w:rsidR="005F5CAD">
        <w:rPr>
          <w:rFonts w:ascii="Verdana" w:hAnsi="Verdana"/>
          <w:sz w:val="20"/>
          <w:lang w:val="en-NZ"/>
        </w:rPr>
        <w:t xml:space="preserve">. </w:t>
      </w:r>
      <w:r w:rsidR="00C5658D">
        <w:rPr>
          <w:rFonts w:ascii="Verdana" w:hAnsi="Verdana"/>
          <w:sz w:val="20"/>
          <w:lang w:val="en-NZ"/>
        </w:rPr>
        <w:t>This includes looking at how the Ministry</w:t>
      </w:r>
      <w:r w:rsidR="008135DF">
        <w:rPr>
          <w:rFonts w:ascii="Verdana" w:hAnsi="Verdana"/>
          <w:sz w:val="20"/>
          <w:lang w:val="en-NZ"/>
        </w:rPr>
        <w:t xml:space="preserve"> for Vulnerable Children, Oranga Tamariki (MVCOT)</w:t>
      </w:r>
      <w:r w:rsidR="00C5658D">
        <w:rPr>
          <w:rFonts w:ascii="Verdana" w:hAnsi="Verdana"/>
          <w:sz w:val="20"/>
          <w:lang w:val="en-NZ"/>
        </w:rPr>
        <w:t xml:space="preserve"> can work more effectively with iwi and Māori organisations. </w:t>
      </w:r>
    </w:p>
    <w:p w:rsidR="00D75CA5" w:rsidRDefault="00040420" w:rsidP="009376A5">
      <w:pPr>
        <w:numPr>
          <w:ilvl w:val="0"/>
          <w:numId w:val="10"/>
        </w:numPr>
        <w:spacing w:before="120" w:after="120"/>
        <w:ind w:left="567" w:hanging="567"/>
        <w:rPr>
          <w:rFonts w:ascii="Verdana" w:hAnsi="Verdana"/>
          <w:sz w:val="20"/>
          <w:lang w:val="en-NZ"/>
        </w:rPr>
      </w:pPr>
      <w:r>
        <w:rPr>
          <w:rFonts w:ascii="Verdana" w:hAnsi="Verdana"/>
          <w:sz w:val="20"/>
          <w:lang w:val="en-NZ"/>
        </w:rPr>
        <w:t xml:space="preserve">Reforms propose </w:t>
      </w:r>
      <w:r w:rsidR="008135DF">
        <w:rPr>
          <w:rFonts w:ascii="Verdana" w:hAnsi="Verdana"/>
          <w:sz w:val="20"/>
          <w:lang w:val="en-NZ"/>
        </w:rPr>
        <w:t>MVCOT</w:t>
      </w:r>
      <w:r w:rsidR="008135DF" w:rsidDel="008135DF">
        <w:rPr>
          <w:rFonts w:ascii="Verdana" w:hAnsi="Verdana"/>
          <w:sz w:val="20"/>
          <w:lang w:val="en-NZ"/>
        </w:rPr>
        <w:t xml:space="preserve"> </w:t>
      </w:r>
      <w:r w:rsidR="00D75CA5">
        <w:rPr>
          <w:rFonts w:ascii="Verdana" w:hAnsi="Verdana"/>
          <w:sz w:val="20"/>
          <w:lang w:val="en-NZ"/>
        </w:rPr>
        <w:t>look</w:t>
      </w:r>
      <w:r>
        <w:rPr>
          <w:rFonts w:ascii="Verdana" w:hAnsi="Verdana"/>
          <w:sz w:val="20"/>
          <w:lang w:val="en-NZ"/>
        </w:rPr>
        <w:t>s to</w:t>
      </w:r>
      <w:r w:rsidR="00D75CA5">
        <w:rPr>
          <w:rFonts w:ascii="Verdana" w:hAnsi="Verdana"/>
          <w:sz w:val="20"/>
          <w:lang w:val="en-NZ"/>
        </w:rPr>
        <w:t xml:space="preserve"> how it can “better</w:t>
      </w:r>
      <w:r>
        <w:rPr>
          <w:rFonts w:ascii="Verdana" w:hAnsi="Verdana"/>
          <w:sz w:val="20"/>
          <w:lang w:val="en-NZ"/>
        </w:rPr>
        <w:t xml:space="preserve"> use the natural attributes of </w:t>
      </w:r>
      <w:r w:rsidR="00D75CA5">
        <w:rPr>
          <w:rFonts w:ascii="Verdana" w:hAnsi="Verdana"/>
          <w:sz w:val="20"/>
          <w:lang w:val="en-NZ"/>
        </w:rPr>
        <w:t>iwi and M</w:t>
      </w:r>
      <w:r w:rsidR="00E80DBB">
        <w:rPr>
          <w:rFonts w:ascii="Verdana" w:hAnsi="Verdana"/>
          <w:sz w:val="20"/>
          <w:lang w:val="en-NZ"/>
        </w:rPr>
        <w:t>ā</w:t>
      </w:r>
      <w:r w:rsidR="00D75CA5">
        <w:rPr>
          <w:rFonts w:ascii="Verdana" w:hAnsi="Verdana"/>
          <w:sz w:val="20"/>
          <w:lang w:val="en-NZ"/>
        </w:rPr>
        <w:t>ori organisations and communities to serve the needs of vulnerable M</w:t>
      </w:r>
      <w:r w:rsidR="00E80DBB">
        <w:rPr>
          <w:rFonts w:ascii="Verdana" w:hAnsi="Verdana"/>
          <w:sz w:val="20"/>
          <w:lang w:val="en-NZ"/>
        </w:rPr>
        <w:t>ā</w:t>
      </w:r>
      <w:r w:rsidR="00D75CA5">
        <w:rPr>
          <w:rFonts w:ascii="Verdana" w:hAnsi="Verdana"/>
          <w:sz w:val="20"/>
          <w:lang w:val="en-NZ"/>
        </w:rPr>
        <w:t xml:space="preserve">ori </w:t>
      </w:r>
      <w:r w:rsidR="00D75CA5">
        <w:rPr>
          <w:rFonts w:ascii="Verdana" w:hAnsi="Verdana"/>
          <w:sz w:val="20"/>
          <w:lang w:val="en-NZ"/>
        </w:rPr>
        <w:lastRenderedPageBreak/>
        <w:t>children, young people and their wh</w:t>
      </w:r>
      <w:r w:rsidR="000947A5">
        <w:rPr>
          <w:rFonts w:ascii="Verdana" w:hAnsi="Verdana"/>
          <w:sz w:val="20"/>
          <w:lang w:val="en-NZ"/>
        </w:rPr>
        <w:t>ā</w:t>
      </w:r>
      <w:r w:rsidR="00D75CA5">
        <w:rPr>
          <w:rFonts w:ascii="Verdana" w:hAnsi="Verdana"/>
          <w:sz w:val="20"/>
          <w:lang w:val="en-NZ"/>
        </w:rPr>
        <w:t>nau.”</w:t>
      </w:r>
      <w:r w:rsidR="00D75CA5">
        <w:rPr>
          <w:rStyle w:val="FootnoteReference"/>
          <w:lang w:val="en-NZ"/>
        </w:rPr>
        <w:footnoteReference w:id="4"/>
      </w:r>
      <w:r w:rsidR="00D75CA5">
        <w:rPr>
          <w:rFonts w:ascii="Verdana" w:hAnsi="Verdana"/>
          <w:sz w:val="20"/>
          <w:lang w:val="en-NZ"/>
        </w:rPr>
        <w:t xml:space="preserve"> Approaches to partnership wi</w:t>
      </w:r>
      <w:r w:rsidR="00EA667C">
        <w:rPr>
          <w:rFonts w:ascii="Verdana" w:hAnsi="Verdana"/>
          <w:sz w:val="20"/>
          <w:lang w:val="en-NZ"/>
        </w:rPr>
        <w:t>th iwi and M</w:t>
      </w:r>
      <w:r w:rsidR="00E80DBB">
        <w:rPr>
          <w:rFonts w:ascii="Verdana" w:hAnsi="Verdana"/>
          <w:sz w:val="20"/>
          <w:lang w:val="en-NZ"/>
        </w:rPr>
        <w:t>ā</w:t>
      </w:r>
      <w:r w:rsidR="00EA667C">
        <w:rPr>
          <w:rFonts w:ascii="Verdana" w:hAnsi="Verdana"/>
          <w:sz w:val="20"/>
          <w:lang w:val="en-NZ"/>
        </w:rPr>
        <w:t>ori organisations are</w:t>
      </w:r>
      <w:r w:rsidR="00D75CA5">
        <w:rPr>
          <w:rFonts w:ascii="Verdana" w:hAnsi="Verdana"/>
          <w:sz w:val="20"/>
          <w:lang w:val="en-NZ"/>
        </w:rPr>
        <w:t xml:space="preserve"> already underway within </w:t>
      </w:r>
      <w:r w:rsidR="00873906">
        <w:rPr>
          <w:rFonts w:ascii="Verdana" w:hAnsi="Verdana"/>
          <w:sz w:val="20"/>
          <w:lang w:val="en-NZ"/>
        </w:rPr>
        <w:t xml:space="preserve">the </w:t>
      </w:r>
      <w:r w:rsidR="00EA667C">
        <w:rPr>
          <w:rFonts w:ascii="Verdana" w:hAnsi="Verdana"/>
          <w:sz w:val="20"/>
          <w:lang w:val="en-NZ"/>
        </w:rPr>
        <w:t>social</w:t>
      </w:r>
      <w:r w:rsidR="00D75CA5">
        <w:rPr>
          <w:rFonts w:ascii="Verdana" w:hAnsi="Verdana"/>
          <w:sz w:val="20"/>
          <w:lang w:val="en-NZ"/>
        </w:rPr>
        <w:t xml:space="preserve"> sector</w:t>
      </w:r>
      <w:r w:rsidR="00873906">
        <w:rPr>
          <w:rFonts w:ascii="Verdana" w:hAnsi="Verdana"/>
          <w:sz w:val="20"/>
          <w:lang w:val="en-NZ"/>
        </w:rPr>
        <w:t>,</w:t>
      </w:r>
      <w:r w:rsidR="00EA667C">
        <w:rPr>
          <w:rFonts w:ascii="Verdana" w:hAnsi="Verdana"/>
          <w:sz w:val="20"/>
          <w:lang w:val="en-NZ"/>
        </w:rPr>
        <w:t xml:space="preserve"> but </w:t>
      </w:r>
      <w:r w:rsidR="00BC1268">
        <w:rPr>
          <w:rFonts w:ascii="Verdana" w:hAnsi="Verdana"/>
          <w:sz w:val="20"/>
          <w:lang w:val="en-NZ"/>
        </w:rPr>
        <w:t xml:space="preserve">further steps </w:t>
      </w:r>
      <w:r>
        <w:rPr>
          <w:rFonts w:ascii="Verdana" w:hAnsi="Verdana"/>
          <w:sz w:val="20"/>
          <w:lang w:val="en-NZ"/>
        </w:rPr>
        <w:t>would assist</w:t>
      </w:r>
      <w:r w:rsidR="00EA667C">
        <w:rPr>
          <w:rFonts w:ascii="Verdana" w:hAnsi="Verdana"/>
          <w:sz w:val="20"/>
          <w:lang w:val="en-NZ"/>
        </w:rPr>
        <w:t xml:space="preserve"> to </w:t>
      </w:r>
      <w:r w:rsidR="007666FD">
        <w:rPr>
          <w:rFonts w:ascii="Verdana" w:hAnsi="Verdana"/>
          <w:sz w:val="20"/>
          <w:lang w:val="en-NZ"/>
        </w:rPr>
        <w:t>facilitat</w:t>
      </w:r>
      <w:r w:rsidR="00EA667C">
        <w:rPr>
          <w:rFonts w:ascii="Verdana" w:hAnsi="Verdana"/>
          <w:sz w:val="20"/>
          <w:lang w:val="en-NZ"/>
        </w:rPr>
        <w:t>e active participation and partnership.</w:t>
      </w:r>
      <w:r w:rsidR="00EA667C">
        <w:rPr>
          <w:rStyle w:val="FootnoteReference"/>
          <w:lang w:val="en-NZ"/>
        </w:rPr>
        <w:footnoteReference w:id="5"/>
      </w:r>
    </w:p>
    <w:p w:rsidR="00B16192" w:rsidRPr="00AC5EC1" w:rsidRDefault="00AB0815" w:rsidP="00B16192">
      <w:pPr>
        <w:numPr>
          <w:ilvl w:val="0"/>
          <w:numId w:val="10"/>
        </w:numPr>
        <w:spacing w:before="120" w:after="120"/>
        <w:ind w:left="567" w:hanging="567"/>
        <w:rPr>
          <w:rFonts w:ascii="Verdana" w:hAnsi="Verdana"/>
          <w:sz w:val="20"/>
        </w:rPr>
      </w:pPr>
      <w:r>
        <w:rPr>
          <w:rFonts w:ascii="Verdana" w:hAnsi="Verdana"/>
          <w:sz w:val="20"/>
          <w:lang w:val="en-NZ"/>
        </w:rPr>
        <w:t>Targeted changes to the</w:t>
      </w:r>
      <w:r w:rsidR="005F5CAD">
        <w:rPr>
          <w:rFonts w:ascii="Verdana" w:hAnsi="Verdana"/>
          <w:sz w:val="20"/>
          <w:lang w:val="en-NZ"/>
        </w:rPr>
        <w:t xml:space="preserve"> CYPF Act</w:t>
      </w:r>
      <w:r w:rsidR="009376A5" w:rsidRPr="00987F27">
        <w:rPr>
          <w:rFonts w:ascii="Verdana" w:hAnsi="Verdana"/>
          <w:sz w:val="20"/>
          <w:lang w:val="en-NZ"/>
        </w:rPr>
        <w:t xml:space="preserve"> send a clear message a</w:t>
      </w:r>
      <w:r w:rsidR="005F5CAD">
        <w:rPr>
          <w:rFonts w:ascii="Verdana" w:hAnsi="Verdana"/>
          <w:sz w:val="20"/>
          <w:lang w:val="en-NZ"/>
        </w:rPr>
        <w:t>bout</w:t>
      </w:r>
      <w:r w:rsidR="009376A5" w:rsidRPr="00987F27">
        <w:rPr>
          <w:rFonts w:ascii="Verdana" w:hAnsi="Verdana"/>
          <w:sz w:val="20"/>
          <w:lang w:val="en-NZ"/>
        </w:rPr>
        <w:t xml:space="preserve"> </w:t>
      </w:r>
      <w:r w:rsidR="00D77C31">
        <w:rPr>
          <w:rFonts w:ascii="Verdana" w:hAnsi="Verdana"/>
          <w:sz w:val="20"/>
          <w:lang w:val="en-NZ"/>
        </w:rPr>
        <w:t xml:space="preserve">a desire to </w:t>
      </w:r>
      <w:r w:rsidR="009376A5" w:rsidRPr="00987F27">
        <w:rPr>
          <w:rFonts w:ascii="Verdana" w:hAnsi="Verdana"/>
          <w:sz w:val="20"/>
          <w:lang w:val="en-NZ"/>
        </w:rPr>
        <w:t>change the behaviour of actors within the care and protec</w:t>
      </w:r>
      <w:r w:rsidR="00B16192">
        <w:rPr>
          <w:rFonts w:ascii="Verdana" w:hAnsi="Verdana"/>
          <w:sz w:val="20"/>
          <w:lang w:val="en-NZ"/>
        </w:rPr>
        <w:t>tion</w:t>
      </w:r>
      <w:r w:rsidR="00873906">
        <w:rPr>
          <w:rFonts w:ascii="Verdana" w:hAnsi="Verdana"/>
          <w:sz w:val="20"/>
          <w:lang w:val="en-NZ"/>
        </w:rPr>
        <w:t>,</w:t>
      </w:r>
      <w:r w:rsidR="00B16192">
        <w:rPr>
          <w:rFonts w:ascii="Verdana" w:hAnsi="Verdana"/>
          <w:sz w:val="20"/>
          <w:lang w:val="en-NZ"/>
        </w:rPr>
        <w:t xml:space="preserve"> and youth justice system</w:t>
      </w:r>
      <w:r w:rsidR="00873906">
        <w:rPr>
          <w:rFonts w:ascii="Verdana" w:hAnsi="Verdana"/>
          <w:sz w:val="20"/>
          <w:lang w:val="en-NZ"/>
        </w:rPr>
        <w:t>s</w:t>
      </w:r>
      <w:r w:rsidR="00B16192">
        <w:rPr>
          <w:rFonts w:ascii="Verdana" w:hAnsi="Verdana"/>
          <w:sz w:val="20"/>
          <w:lang w:val="en-NZ"/>
        </w:rPr>
        <w:t xml:space="preserve">. These legislative changes will </w:t>
      </w:r>
      <w:r w:rsidR="00B82003">
        <w:rPr>
          <w:rFonts w:ascii="Verdana" w:hAnsi="Verdana"/>
          <w:sz w:val="20"/>
          <w:lang w:val="en-NZ"/>
        </w:rPr>
        <w:t>reinforce and enhance</w:t>
      </w:r>
      <w:r w:rsidR="00B16192">
        <w:rPr>
          <w:rFonts w:ascii="Verdana" w:hAnsi="Verdana"/>
          <w:sz w:val="20"/>
          <w:lang w:val="en-NZ"/>
        </w:rPr>
        <w:t xml:space="preserve"> major </w:t>
      </w:r>
      <w:r>
        <w:rPr>
          <w:rFonts w:ascii="Verdana" w:hAnsi="Verdana"/>
          <w:sz w:val="20"/>
          <w:lang w:val="en-NZ"/>
        </w:rPr>
        <w:t xml:space="preserve">non-legislative </w:t>
      </w:r>
      <w:r w:rsidR="00B16192">
        <w:rPr>
          <w:rFonts w:ascii="Verdana" w:hAnsi="Verdana"/>
          <w:sz w:val="20"/>
          <w:lang w:val="en-NZ"/>
        </w:rPr>
        <w:t xml:space="preserve">initiatives that will </w:t>
      </w:r>
      <w:r w:rsidR="00B82003">
        <w:rPr>
          <w:rFonts w:ascii="Verdana" w:hAnsi="Verdana"/>
          <w:sz w:val="20"/>
          <w:lang w:val="en-NZ"/>
        </w:rPr>
        <w:t>deliver</w:t>
      </w:r>
      <w:r w:rsidR="00B16192">
        <w:rPr>
          <w:rFonts w:ascii="Verdana" w:hAnsi="Verdana"/>
          <w:sz w:val="20"/>
          <w:lang w:val="en-NZ"/>
        </w:rPr>
        <w:t xml:space="preserve"> improved outcomes for </w:t>
      </w:r>
      <w:r w:rsidR="00046A5E">
        <w:rPr>
          <w:rFonts w:ascii="Verdana" w:hAnsi="Verdana"/>
          <w:sz w:val="20"/>
          <w:lang w:val="en-NZ"/>
        </w:rPr>
        <w:t>Māori</w:t>
      </w:r>
      <w:r w:rsidR="00873906">
        <w:rPr>
          <w:rFonts w:ascii="Verdana" w:hAnsi="Verdana"/>
          <w:sz w:val="20"/>
          <w:lang w:val="en-NZ"/>
        </w:rPr>
        <w:t>,</w:t>
      </w:r>
      <w:r w:rsidR="00B16192">
        <w:rPr>
          <w:rFonts w:ascii="Verdana" w:hAnsi="Verdana"/>
          <w:sz w:val="20"/>
          <w:lang w:val="en-NZ"/>
        </w:rPr>
        <w:t xml:space="preserve"> such as the investment approach. </w:t>
      </w:r>
    </w:p>
    <w:p w:rsidR="009376A5" w:rsidRPr="00F963D9" w:rsidRDefault="009376A5" w:rsidP="009376A5">
      <w:pPr>
        <w:numPr>
          <w:ilvl w:val="0"/>
          <w:numId w:val="10"/>
        </w:numPr>
        <w:spacing w:before="120" w:after="120"/>
        <w:ind w:left="567" w:hanging="567"/>
        <w:rPr>
          <w:rFonts w:ascii="Verdana" w:hAnsi="Verdana"/>
          <w:b/>
          <w:color w:val="335087"/>
          <w:spacing w:val="20"/>
          <w:w w:val="90"/>
          <w:sz w:val="20"/>
        </w:rPr>
      </w:pPr>
      <w:r w:rsidRPr="00F963D9">
        <w:rPr>
          <w:rFonts w:ascii="Verdana" w:hAnsi="Verdana"/>
          <w:sz w:val="20"/>
          <w:lang w:val="en-NZ"/>
        </w:rPr>
        <w:t xml:space="preserve">With this in mind legislative options seek to direct behavioural change and enable operational development, rather than tightly proscribe practice where this is not seen as necessary to achieve policy intent. </w:t>
      </w:r>
      <w:r w:rsidR="00A108E0" w:rsidRPr="00F963D9">
        <w:rPr>
          <w:rFonts w:ascii="Verdana" w:hAnsi="Verdana"/>
          <w:sz w:val="20"/>
          <w:lang w:val="en-NZ"/>
        </w:rPr>
        <w:t>A complementary and supportive range of n</w:t>
      </w:r>
      <w:r w:rsidRPr="00F963D9">
        <w:rPr>
          <w:rFonts w:ascii="Verdana" w:hAnsi="Verdana"/>
          <w:sz w:val="20"/>
          <w:lang w:val="en-NZ"/>
        </w:rPr>
        <w:t xml:space="preserve">on-legislative </w:t>
      </w:r>
      <w:r w:rsidR="00873906">
        <w:rPr>
          <w:rFonts w:ascii="Verdana" w:hAnsi="Verdana"/>
          <w:sz w:val="20"/>
          <w:lang w:val="en-NZ"/>
        </w:rPr>
        <w:t>tool</w:t>
      </w:r>
      <w:r w:rsidRPr="00F963D9">
        <w:rPr>
          <w:rFonts w:ascii="Verdana" w:hAnsi="Verdana"/>
          <w:sz w:val="20"/>
          <w:lang w:val="en-NZ"/>
        </w:rPr>
        <w:t>s</w:t>
      </w:r>
      <w:r w:rsidR="00A108E0" w:rsidRPr="00F963D9">
        <w:rPr>
          <w:rFonts w:ascii="Verdana" w:hAnsi="Verdana"/>
          <w:sz w:val="20"/>
          <w:lang w:val="en-NZ"/>
        </w:rPr>
        <w:t>, such as practice guidelines, policies, performance measures</w:t>
      </w:r>
      <w:r w:rsidRPr="00F963D9">
        <w:rPr>
          <w:rFonts w:ascii="Verdana" w:hAnsi="Verdana"/>
          <w:sz w:val="20"/>
          <w:lang w:val="en-NZ"/>
        </w:rPr>
        <w:t xml:space="preserve"> </w:t>
      </w:r>
      <w:r w:rsidR="00A108E0" w:rsidRPr="00F963D9">
        <w:rPr>
          <w:rFonts w:ascii="Verdana" w:hAnsi="Verdana"/>
          <w:sz w:val="20"/>
          <w:lang w:val="en-NZ"/>
        </w:rPr>
        <w:t>and the investment approach will be used</w:t>
      </w:r>
      <w:r w:rsidRPr="00F963D9">
        <w:rPr>
          <w:rFonts w:ascii="Verdana" w:hAnsi="Verdana"/>
          <w:sz w:val="20"/>
          <w:lang w:val="en-NZ"/>
        </w:rPr>
        <w:t xml:space="preserve"> </w:t>
      </w:r>
      <w:r w:rsidR="00A108E0" w:rsidRPr="00F963D9">
        <w:rPr>
          <w:rFonts w:ascii="Verdana" w:hAnsi="Verdana"/>
          <w:sz w:val="20"/>
          <w:lang w:val="en-NZ"/>
        </w:rPr>
        <w:t>to</w:t>
      </w:r>
      <w:r w:rsidRPr="00F963D9">
        <w:rPr>
          <w:rFonts w:ascii="Verdana" w:hAnsi="Verdana"/>
          <w:sz w:val="20"/>
          <w:lang w:val="en-NZ"/>
        </w:rPr>
        <w:t xml:space="preserve"> </w:t>
      </w:r>
      <w:r w:rsidR="007D706A">
        <w:rPr>
          <w:rFonts w:ascii="Verdana" w:hAnsi="Verdana"/>
          <w:sz w:val="20"/>
          <w:lang w:val="en-NZ"/>
        </w:rPr>
        <w:t>further reinforce and achieve</w:t>
      </w:r>
      <w:r w:rsidRPr="00F963D9">
        <w:rPr>
          <w:rFonts w:ascii="Verdana" w:hAnsi="Verdana"/>
          <w:sz w:val="20"/>
          <w:lang w:val="en-NZ"/>
        </w:rPr>
        <w:t xml:space="preserve"> Government’s policy intent</w:t>
      </w:r>
      <w:r w:rsidR="007D706A">
        <w:rPr>
          <w:rFonts w:ascii="Verdana" w:hAnsi="Verdana"/>
          <w:sz w:val="20"/>
          <w:lang w:val="en-NZ"/>
        </w:rPr>
        <w:t xml:space="preserve"> for system-wide reform</w:t>
      </w:r>
      <w:r w:rsidRPr="00F963D9">
        <w:rPr>
          <w:rFonts w:ascii="Verdana" w:hAnsi="Verdana"/>
          <w:sz w:val="20"/>
          <w:lang w:val="en-NZ"/>
        </w:rPr>
        <w:t>.</w:t>
      </w:r>
      <w:r w:rsidR="00040420">
        <w:rPr>
          <w:rFonts w:ascii="Verdana" w:hAnsi="Verdana"/>
          <w:sz w:val="20"/>
          <w:lang w:val="en-NZ"/>
        </w:rPr>
        <w:t xml:space="preserve"> </w:t>
      </w:r>
    </w:p>
    <w:p w:rsidR="009F2420" w:rsidRDefault="009F2420" w:rsidP="005957E7">
      <w:pPr>
        <w:spacing w:line="240" w:lineRule="auto"/>
        <w:rPr>
          <w:b/>
          <w:color w:val="335087"/>
          <w:spacing w:val="20"/>
          <w:w w:val="90"/>
          <w:sz w:val="32"/>
          <w:szCs w:val="24"/>
        </w:rPr>
      </w:pPr>
      <w:bookmarkStart w:id="56" w:name="_Toc460924508"/>
      <w:bookmarkStart w:id="57" w:name="_Toc244580364"/>
      <w:bookmarkStart w:id="58" w:name="_Toc244587040"/>
      <w:bookmarkStart w:id="59" w:name="_Toc244857274"/>
      <w:bookmarkStart w:id="60" w:name="_Toc244912539"/>
      <w:bookmarkStart w:id="61" w:name="_Toc244916996"/>
      <w:bookmarkStart w:id="62" w:name="_Toc362368105"/>
      <w:bookmarkStart w:id="63" w:name="_Toc362434946"/>
      <w:bookmarkStart w:id="64" w:name="_Toc362589332"/>
      <w:bookmarkStart w:id="65" w:name="_Toc362619032"/>
      <w:bookmarkStart w:id="66" w:name="_Toc362940596"/>
      <w:bookmarkStart w:id="67" w:name="_Toc363047104"/>
      <w:r>
        <w:rPr>
          <w:b/>
          <w:color w:val="335087"/>
          <w:spacing w:val="20"/>
          <w:w w:val="90"/>
          <w:sz w:val="32"/>
          <w:szCs w:val="24"/>
        </w:rPr>
        <w:t>Status quo and problem definition</w:t>
      </w:r>
      <w:bookmarkEnd w:id="56"/>
    </w:p>
    <w:p w:rsidR="00B86C28" w:rsidRPr="009376A5" w:rsidRDefault="00B86C28" w:rsidP="00C5658D">
      <w:pPr>
        <w:pStyle w:val="Heading4"/>
        <w:spacing w:after="0"/>
        <w:rPr>
          <w:rFonts w:ascii="Verdana" w:hAnsi="Verdana"/>
          <w:b/>
          <w:i w:val="0"/>
        </w:rPr>
      </w:pPr>
      <w:r w:rsidRPr="009376A5">
        <w:rPr>
          <w:rFonts w:ascii="Verdana" w:hAnsi="Verdana"/>
          <w:b/>
          <w:i w:val="0"/>
        </w:rPr>
        <w:t xml:space="preserve">Māori children and young people experience worse outcomes and </w:t>
      </w:r>
      <w:r w:rsidR="00BC1268">
        <w:rPr>
          <w:rFonts w:ascii="Verdana" w:hAnsi="Verdana"/>
          <w:b/>
          <w:i w:val="0"/>
        </w:rPr>
        <w:t xml:space="preserve">are </w:t>
      </w:r>
      <w:r w:rsidRPr="009376A5">
        <w:rPr>
          <w:rFonts w:ascii="Verdana" w:hAnsi="Verdana"/>
          <w:b/>
          <w:i w:val="0"/>
        </w:rPr>
        <w:t>over-represent</w:t>
      </w:r>
      <w:r w:rsidR="00BC1268">
        <w:rPr>
          <w:rFonts w:ascii="Verdana" w:hAnsi="Verdana"/>
          <w:b/>
          <w:i w:val="0"/>
        </w:rPr>
        <w:t>ed</w:t>
      </w:r>
      <w:r w:rsidRPr="009376A5">
        <w:rPr>
          <w:rFonts w:ascii="Verdana" w:hAnsi="Verdana"/>
          <w:b/>
          <w:i w:val="0"/>
        </w:rPr>
        <w:t xml:space="preserve"> in the system</w:t>
      </w:r>
    </w:p>
    <w:p w:rsidR="00B86C28" w:rsidRPr="008E6ACB" w:rsidRDefault="00873906" w:rsidP="00B86C28">
      <w:pPr>
        <w:numPr>
          <w:ilvl w:val="0"/>
          <w:numId w:val="10"/>
        </w:numPr>
        <w:spacing w:before="120" w:after="120" w:line="280" w:lineRule="exact"/>
        <w:ind w:left="567" w:hanging="567"/>
        <w:rPr>
          <w:rFonts w:ascii="Verdana" w:hAnsi="Verdana"/>
          <w:sz w:val="20"/>
          <w:lang w:val="en-NZ"/>
        </w:rPr>
      </w:pPr>
      <w:r>
        <w:rPr>
          <w:rFonts w:ascii="Verdana" w:hAnsi="Verdana"/>
          <w:sz w:val="20"/>
          <w:lang w:val="en-NZ"/>
        </w:rPr>
        <w:t xml:space="preserve">A separate </w:t>
      </w:r>
      <w:r w:rsidR="000F43B5" w:rsidRPr="008E6ACB">
        <w:rPr>
          <w:rFonts w:ascii="Verdana" w:hAnsi="Verdana"/>
          <w:sz w:val="20"/>
          <w:lang w:val="en-NZ"/>
        </w:rPr>
        <w:t xml:space="preserve">RIS </w:t>
      </w:r>
      <w:r>
        <w:rPr>
          <w:rFonts w:ascii="Verdana" w:hAnsi="Verdana"/>
          <w:sz w:val="20"/>
          <w:lang w:val="en-NZ"/>
        </w:rPr>
        <w:t>on</w:t>
      </w:r>
      <w:r w:rsidR="000F43B5" w:rsidRPr="008E6ACB">
        <w:rPr>
          <w:rFonts w:ascii="Verdana" w:hAnsi="Verdana"/>
          <w:sz w:val="20"/>
          <w:lang w:val="en-NZ"/>
        </w:rPr>
        <w:t xml:space="preserve"> the </w:t>
      </w:r>
      <w:r w:rsidR="00550760" w:rsidRPr="00873906">
        <w:rPr>
          <w:rFonts w:ascii="Verdana" w:hAnsi="Verdana"/>
          <w:i/>
          <w:sz w:val="20"/>
          <w:lang w:val="en-NZ"/>
        </w:rPr>
        <w:t xml:space="preserve">Foundations for a </w:t>
      </w:r>
      <w:r w:rsidR="000F43B5" w:rsidRPr="00873906">
        <w:rPr>
          <w:rFonts w:ascii="Verdana" w:hAnsi="Verdana"/>
          <w:i/>
          <w:sz w:val="20"/>
          <w:lang w:val="en-NZ"/>
        </w:rPr>
        <w:t>Child</w:t>
      </w:r>
      <w:r w:rsidR="00550760" w:rsidRPr="00873906">
        <w:rPr>
          <w:rFonts w:ascii="Verdana" w:hAnsi="Verdana"/>
          <w:i/>
          <w:sz w:val="20"/>
          <w:lang w:val="en-NZ"/>
        </w:rPr>
        <w:t>-</w:t>
      </w:r>
      <w:r w:rsidR="001E0269" w:rsidRPr="00873906">
        <w:rPr>
          <w:rFonts w:ascii="Verdana" w:hAnsi="Verdana"/>
          <w:i/>
          <w:sz w:val="20"/>
          <w:lang w:val="en-NZ"/>
        </w:rPr>
        <w:t>c</w:t>
      </w:r>
      <w:r w:rsidR="000F43B5" w:rsidRPr="00873906">
        <w:rPr>
          <w:rFonts w:ascii="Verdana" w:hAnsi="Verdana"/>
          <w:i/>
          <w:sz w:val="20"/>
          <w:lang w:val="en-NZ"/>
        </w:rPr>
        <w:t>entred System</w:t>
      </w:r>
      <w:r w:rsidR="000F43B5" w:rsidRPr="008E6ACB">
        <w:rPr>
          <w:rFonts w:ascii="Verdana" w:hAnsi="Verdana"/>
          <w:sz w:val="20"/>
          <w:lang w:val="en-NZ"/>
        </w:rPr>
        <w:t xml:space="preserve"> refers to the </w:t>
      </w:r>
      <w:r w:rsidR="007D706A">
        <w:rPr>
          <w:rFonts w:ascii="Verdana" w:hAnsi="Verdana"/>
          <w:sz w:val="20"/>
          <w:lang w:val="en-NZ"/>
        </w:rPr>
        <w:t>issues within</w:t>
      </w:r>
      <w:r w:rsidR="000F43B5" w:rsidRPr="008E6ACB">
        <w:rPr>
          <w:rFonts w:ascii="Verdana" w:hAnsi="Verdana"/>
          <w:sz w:val="20"/>
          <w:lang w:val="en-NZ"/>
        </w:rPr>
        <w:t xml:space="preserve"> the current system and its failure to be sufficiently child-centred. Many of the short comings identified in that RIS are equally applicable to the discussion about the experiences of M</w:t>
      </w:r>
      <w:r w:rsidR="00B86C28" w:rsidRPr="008E6ACB">
        <w:rPr>
          <w:rFonts w:ascii="Verdana" w:hAnsi="Verdana"/>
          <w:sz w:val="20"/>
          <w:lang w:val="en-NZ"/>
        </w:rPr>
        <w:t>ā</w:t>
      </w:r>
      <w:r w:rsidR="000F43B5" w:rsidRPr="008E6ACB">
        <w:rPr>
          <w:rFonts w:ascii="Verdana" w:hAnsi="Verdana"/>
          <w:sz w:val="20"/>
          <w:lang w:val="en-NZ"/>
        </w:rPr>
        <w:t>ori children and young people</w:t>
      </w:r>
      <w:r w:rsidR="00B86C28" w:rsidRPr="008E6ACB">
        <w:rPr>
          <w:rFonts w:ascii="Verdana" w:hAnsi="Verdana"/>
          <w:sz w:val="20"/>
          <w:lang w:val="en-NZ"/>
        </w:rPr>
        <w:t xml:space="preserve"> who have required the intervention of t</w:t>
      </w:r>
      <w:r>
        <w:rPr>
          <w:rFonts w:ascii="Verdana" w:hAnsi="Verdana"/>
          <w:sz w:val="20"/>
          <w:lang w:val="en-NZ"/>
        </w:rPr>
        <w:t>he care and</w:t>
      </w:r>
      <w:r w:rsidR="00B86C28" w:rsidRPr="008E6ACB">
        <w:rPr>
          <w:rFonts w:ascii="Verdana" w:hAnsi="Verdana"/>
          <w:sz w:val="20"/>
          <w:lang w:val="en-NZ"/>
        </w:rPr>
        <w:t xml:space="preserve"> protection, and youth justice system</w:t>
      </w:r>
      <w:r w:rsidR="007D706A">
        <w:rPr>
          <w:rFonts w:ascii="Verdana" w:hAnsi="Verdana"/>
          <w:sz w:val="20"/>
          <w:lang w:val="en-NZ"/>
        </w:rPr>
        <w:t>s</w:t>
      </w:r>
      <w:r w:rsidR="00B86C28" w:rsidRPr="008E6ACB">
        <w:rPr>
          <w:rFonts w:ascii="Verdana" w:hAnsi="Verdana"/>
          <w:sz w:val="20"/>
          <w:lang w:val="en-NZ"/>
        </w:rPr>
        <w:t xml:space="preserve">. Māori children and young people are over-represented in </w:t>
      </w:r>
      <w:r w:rsidR="007D706A">
        <w:rPr>
          <w:rFonts w:ascii="Verdana" w:hAnsi="Verdana"/>
          <w:sz w:val="20"/>
          <w:lang w:val="en-NZ"/>
        </w:rPr>
        <w:t>bo</w:t>
      </w:r>
      <w:r w:rsidR="005417C3">
        <w:rPr>
          <w:rFonts w:ascii="Verdana" w:hAnsi="Verdana"/>
          <w:sz w:val="20"/>
          <w:lang w:val="en-NZ"/>
        </w:rPr>
        <w:t>th</w:t>
      </w:r>
      <w:r w:rsidR="00B86C28" w:rsidRPr="008E6ACB">
        <w:rPr>
          <w:rFonts w:ascii="Verdana" w:hAnsi="Verdana"/>
          <w:sz w:val="20"/>
          <w:lang w:val="en-NZ"/>
        </w:rPr>
        <w:t xml:space="preserve"> system</w:t>
      </w:r>
      <w:r w:rsidR="005417C3">
        <w:rPr>
          <w:rFonts w:ascii="Verdana" w:hAnsi="Verdana"/>
          <w:sz w:val="20"/>
          <w:lang w:val="en-NZ"/>
        </w:rPr>
        <w:t>s</w:t>
      </w:r>
      <w:r w:rsidR="00B86C28" w:rsidRPr="008E6ACB">
        <w:rPr>
          <w:rFonts w:ascii="Verdana" w:hAnsi="Verdana"/>
          <w:sz w:val="20"/>
          <w:lang w:val="en-NZ"/>
        </w:rPr>
        <w:t xml:space="preserve"> and experience particularly poor outcomes. </w:t>
      </w:r>
    </w:p>
    <w:p w:rsidR="00B86C28" w:rsidRPr="003C4CAF" w:rsidRDefault="00B86C28" w:rsidP="00B86C28">
      <w:pPr>
        <w:numPr>
          <w:ilvl w:val="0"/>
          <w:numId w:val="10"/>
        </w:numPr>
        <w:spacing w:before="120" w:after="120" w:line="280" w:lineRule="exact"/>
        <w:ind w:left="567" w:hanging="567"/>
        <w:rPr>
          <w:rFonts w:ascii="Verdana" w:hAnsi="Verdana"/>
          <w:sz w:val="20"/>
          <w:lang w:val="en-NZ"/>
        </w:rPr>
      </w:pPr>
      <w:r w:rsidRPr="003C4CAF">
        <w:rPr>
          <w:rFonts w:ascii="Verdana" w:hAnsi="Verdana"/>
          <w:sz w:val="20"/>
          <w:lang w:val="en-NZ"/>
        </w:rPr>
        <w:t xml:space="preserve">Young Māori are disproportionately represented in families with high levels of need and disadvantage and are nearly four times more likely to have a parent who was involved with CYF as a child. There are compounding life course </w:t>
      </w:r>
      <w:proofErr w:type="gramStart"/>
      <w:r w:rsidRPr="003C4CAF">
        <w:rPr>
          <w:rFonts w:ascii="Verdana" w:hAnsi="Verdana"/>
          <w:sz w:val="20"/>
          <w:lang w:val="en-NZ"/>
        </w:rPr>
        <w:t>problems,</w:t>
      </w:r>
      <w:proofErr w:type="gramEnd"/>
      <w:r w:rsidRPr="003C4CAF">
        <w:rPr>
          <w:rFonts w:ascii="Verdana" w:hAnsi="Verdana"/>
          <w:sz w:val="20"/>
          <w:lang w:val="en-NZ"/>
        </w:rPr>
        <w:t xml:space="preserve"> and therefore forward lifetime costs for Māori children and young people who come into contact with CYF. This is undoubtedly both a factor in and a result of the disparity between Māori and non-Māori generally</w:t>
      </w:r>
      <w:r w:rsidRPr="003C4CAF">
        <w:rPr>
          <w:rFonts w:ascii="Verdana" w:hAnsi="Verdana"/>
          <w:sz w:val="20"/>
          <w:vertAlign w:val="superscript"/>
          <w:lang w:val="en-NZ"/>
        </w:rPr>
        <w:footnoteReference w:id="6"/>
      </w:r>
      <w:r w:rsidRPr="003C4CAF">
        <w:rPr>
          <w:rFonts w:ascii="Verdana" w:hAnsi="Verdana"/>
          <w:sz w:val="20"/>
          <w:vertAlign w:val="superscript"/>
          <w:lang w:val="en-NZ"/>
        </w:rPr>
        <w:t xml:space="preserve"> </w:t>
      </w:r>
      <w:r w:rsidRPr="003C4CAF">
        <w:rPr>
          <w:rFonts w:ascii="Verdana" w:hAnsi="Verdana"/>
          <w:sz w:val="20"/>
          <w:lang w:val="en-NZ"/>
        </w:rPr>
        <w:t>and unless addressed, the generational cycles are likely to continue.</w:t>
      </w:r>
    </w:p>
    <w:p w:rsidR="00B86C28" w:rsidRPr="003C4CAF" w:rsidRDefault="00B86C28" w:rsidP="00B86C28">
      <w:pPr>
        <w:numPr>
          <w:ilvl w:val="0"/>
          <w:numId w:val="10"/>
        </w:numPr>
        <w:spacing w:before="120" w:after="120"/>
        <w:ind w:left="567" w:hanging="567"/>
        <w:rPr>
          <w:rFonts w:ascii="Verdana" w:hAnsi="Verdana"/>
          <w:sz w:val="20"/>
          <w:lang w:val="en-NZ"/>
        </w:rPr>
      </w:pPr>
      <w:r w:rsidRPr="003C4CAF">
        <w:rPr>
          <w:rFonts w:ascii="Verdana" w:hAnsi="Verdana"/>
          <w:sz w:val="20"/>
          <w:lang w:val="en-NZ"/>
        </w:rPr>
        <w:t>Current preventative services are not effectively reaching these children and young people, and the system is failing to adequately respond to safeguard thei</w:t>
      </w:r>
      <w:r w:rsidR="00873906">
        <w:rPr>
          <w:rFonts w:ascii="Verdana" w:hAnsi="Verdana"/>
          <w:sz w:val="20"/>
          <w:lang w:val="en-NZ"/>
        </w:rPr>
        <w:t xml:space="preserve">r safety and wellbeing. In 2014, </w:t>
      </w:r>
      <w:r w:rsidRPr="003C4CAF">
        <w:rPr>
          <w:rFonts w:ascii="Verdana" w:hAnsi="Verdana"/>
          <w:sz w:val="20"/>
          <w:lang w:val="en-NZ"/>
        </w:rPr>
        <w:t xml:space="preserve">eight out of every 10 Māori children and young people who were subject to a </w:t>
      </w:r>
      <w:r w:rsidR="00881E86">
        <w:rPr>
          <w:rFonts w:ascii="Verdana" w:hAnsi="Verdana"/>
          <w:sz w:val="20"/>
          <w:lang w:val="en-NZ"/>
        </w:rPr>
        <w:t>“</w:t>
      </w:r>
      <w:r w:rsidRPr="003C4CAF">
        <w:rPr>
          <w:rFonts w:ascii="Verdana" w:hAnsi="Verdana"/>
          <w:sz w:val="20"/>
          <w:lang w:val="en-NZ"/>
        </w:rPr>
        <w:t>Report of Concern</w:t>
      </w:r>
      <w:r w:rsidR="00881E86">
        <w:rPr>
          <w:rFonts w:ascii="Verdana" w:hAnsi="Verdana"/>
          <w:sz w:val="20"/>
          <w:lang w:val="en-NZ"/>
        </w:rPr>
        <w:t>”</w:t>
      </w:r>
      <w:r w:rsidRPr="003C4CAF">
        <w:rPr>
          <w:rFonts w:ascii="Verdana" w:hAnsi="Verdana"/>
          <w:sz w:val="20"/>
          <w:lang w:val="en-NZ"/>
        </w:rPr>
        <w:t xml:space="preserve"> were already known to CYF, compared to five out of every 10 for non-Māori.</w:t>
      </w:r>
    </w:p>
    <w:p w:rsidR="00B86C28" w:rsidRDefault="00E24F11" w:rsidP="009376A5">
      <w:pPr>
        <w:numPr>
          <w:ilvl w:val="0"/>
          <w:numId w:val="10"/>
        </w:numPr>
        <w:spacing w:before="120" w:after="120"/>
        <w:ind w:left="567" w:hanging="567"/>
        <w:rPr>
          <w:rFonts w:ascii="Verdana" w:hAnsi="Verdana"/>
          <w:sz w:val="20"/>
          <w:lang w:val="en-NZ"/>
        </w:rPr>
      </w:pPr>
      <w:r>
        <w:rPr>
          <w:rFonts w:ascii="Verdana" w:hAnsi="Verdana"/>
          <w:sz w:val="20"/>
          <w:lang w:val="en-NZ"/>
        </w:rPr>
        <w:t>Young Māori also comprise 60% of young people in the youth justice system</w:t>
      </w:r>
      <w:r w:rsidR="00873906">
        <w:rPr>
          <w:rFonts w:ascii="Verdana" w:hAnsi="Verdana"/>
          <w:sz w:val="20"/>
          <w:lang w:val="en-NZ"/>
        </w:rPr>
        <w:t>,</w:t>
      </w:r>
      <w:r>
        <w:rPr>
          <w:rFonts w:ascii="Verdana" w:hAnsi="Verdana"/>
          <w:sz w:val="20"/>
          <w:lang w:val="en-NZ"/>
        </w:rPr>
        <w:t xml:space="preserve"> even though they comprise 25% of children and young people aged between 10 and 16 years. The level of over-representation increases as the intensity of intervention increases. For example, while five out of every 10 young people cautioned by Police are Māori, seven out of 10</w:t>
      </w:r>
      <w:r w:rsidR="007348CF">
        <w:rPr>
          <w:rFonts w:ascii="Verdana" w:hAnsi="Verdana"/>
          <w:sz w:val="20"/>
          <w:lang w:val="en-NZ"/>
        </w:rPr>
        <w:t xml:space="preserve"> subject to a Court-imposed supervision order are M</w:t>
      </w:r>
      <w:r w:rsidR="00C5658D">
        <w:rPr>
          <w:rFonts w:ascii="Verdana" w:hAnsi="Verdana"/>
          <w:sz w:val="20"/>
          <w:lang w:val="en-NZ"/>
        </w:rPr>
        <w:t>ā</w:t>
      </w:r>
      <w:r w:rsidR="007348CF">
        <w:rPr>
          <w:rFonts w:ascii="Verdana" w:hAnsi="Verdana"/>
          <w:sz w:val="20"/>
          <w:lang w:val="en-NZ"/>
        </w:rPr>
        <w:t>ori.</w:t>
      </w:r>
    </w:p>
    <w:p w:rsidR="00361F6D" w:rsidRPr="009F2420" w:rsidRDefault="00873906" w:rsidP="0016400C">
      <w:pPr>
        <w:pStyle w:val="Heading4"/>
        <w:spacing w:before="120" w:after="120"/>
      </w:pPr>
      <w:r>
        <w:rPr>
          <w:rFonts w:ascii="Verdana" w:hAnsi="Verdana"/>
          <w:b/>
          <w:i w:val="0"/>
          <w:lang w:val="en-NZ"/>
        </w:rPr>
        <w:lastRenderedPageBreak/>
        <w:t>The</w:t>
      </w:r>
      <w:r w:rsidR="00FE5FEE">
        <w:rPr>
          <w:rFonts w:ascii="Verdana" w:hAnsi="Verdana"/>
          <w:b/>
          <w:i w:val="0"/>
          <w:lang w:val="en-NZ"/>
        </w:rPr>
        <w:t xml:space="preserve"> s</w:t>
      </w:r>
      <w:r w:rsidR="000C27B6">
        <w:rPr>
          <w:rFonts w:ascii="Verdana" w:hAnsi="Verdana"/>
          <w:b/>
          <w:i w:val="0"/>
          <w:lang w:val="en-NZ"/>
        </w:rPr>
        <w:t>ystem fails to connect</w:t>
      </w:r>
      <w:r w:rsidR="00361F6D">
        <w:rPr>
          <w:rFonts w:ascii="Verdana" w:hAnsi="Verdana"/>
          <w:b/>
          <w:i w:val="0"/>
          <w:lang w:val="en-NZ"/>
        </w:rPr>
        <w:t xml:space="preserve"> M</w:t>
      </w:r>
      <w:r w:rsidR="000947A5">
        <w:rPr>
          <w:rFonts w:ascii="Verdana" w:hAnsi="Verdana"/>
          <w:b/>
          <w:i w:val="0"/>
          <w:lang w:val="en-NZ"/>
        </w:rPr>
        <w:t>ā</w:t>
      </w:r>
      <w:r w:rsidR="00361F6D">
        <w:rPr>
          <w:rFonts w:ascii="Verdana" w:hAnsi="Verdana"/>
          <w:b/>
          <w:i w:val="0"/>
          <w:lang w:val="en-NZ"/>
        </w:rPr>
        <w:t xml:space="preserve">ori children and young people </w:t>
      </w:r>
      <w:r w:rsidR="000C27B6">
        <w:rPr>
          <w:rFonts w:ascii="Verdana" w:hAnsi="Verdana"/>
          <w:b/>
          <w:i w:val="0"/>
          <w:lang w:val="en-NZ"/>
        </w:rPr>
        <w:t xml:space="preserve">with their </w:t>
      </w:r>
      <w:r w:rsidR="00FE5FEE">
        <w:rPr>
          <w:rFonts w:ascii="Verdana" w:hAnsi="Verdana"/>
          <w:b/>
          <w:i w:val="0"/>
          <w:lang w:val="en-NZ"/>
        </w:rPr>
        <w:t>whānau</w:t>
      </w:r>
      <w:r w:rsidR="000C27B6">
        <w:rPr>
          <w:rFonts w:ascii="Verdana" w:hAnsi="Verdana"/>
          <w:b/>
          <w:i w:val="0"/>
          <w:lang w:val="en-NZ"/>
        </w:rPr>
        <w:t>, their culture and identity</w:t>
      </w:r>
    </w:p>
    <w:p w:rsidR="007348CF" w:rsidRPr="003C4CAF" w:rsidRDefault="005B6D99" w:rsidP="0016400C">
      <w:pPr>
        <w:numPr>
          <w:ilvl w:val="0"/>
          <w:numId w:val="10"/>
        </w:numPr>
        <w:spacing w:before="120" w:after="120"/>
        <w:ind w:left="567" w:hanging="567"/>
        <w:rPr>
          <w:rFonts w:ascii="Verdana" w:hAnsi="Verdana"/>
          <w:sz w:val="20"/>
          <w:lang w:val="en-NZ"/>
        </w:rPr>
      </w:pPr>
      <w:r>
        <w:rPr>
          <w:rFonts w:ascii="Verdana" w:hAnsi="Verdana"/>
          <w:sz w:val="20"/>
          <w:lang w:val="en-NZ"/>
        </w:rPr>
        <w:t>C</w:t>
      </w:r>
      <w:r w:rsidR="007348CF" w:rsidRPr="003C4CAF">
        <w:rPr>
          <w:rFonts w:ascii="Verdana" w:hAnsi="Verdana"/>
          <w:sz w:val="20"/>
          <w:lang w:val="en-NZ"/>
        </w:rPr>
        <w:t xml:space="preserve">hildren and young people </w:t>
      </w:r>
      <w:r w:rsidR="00FE5FEE">
        <w:rPr>
          <w:rFonts w:ascii="Verdana" w:hAnsi="Verdana"/>
          <w:sz w:val="20"/>
          <w:lang w:val="en-NZ"/>
        </w:rPr>
        <w:t xml:space="preserve">who have been involved with </w:t>
      </w:r>
      <w:r w:rsidR="0015386F">
        <w:rPr>
          <w:rFonts w:ascii="Verdana" w:hAnsi="Verdana"/>
          <w:sz w:val="20"/>
          <w:lang w:val="en-NZ"/>
        </w:rPr>
        <w:t xml:space="preserve">the </w:t>
      </w:r>
      <w:r>
        <w:rPr>
          <w:rFonts w:ascii="Verdana" w:hAnsi="Verdana"/>
          <w:sz w:val="20"/>
          <w:lang w:val="en-NZ"/>
        </w:rPr>
        <w:t>care and protection</w:t>
      </w:r>
      <w:r w:rsidR="00FE5FEE">
        <w:rPr>
          <w:rFonts w:ascii="Verdana" w:hAnsi="Verdana"/>
          <w:sz w:val="20"/>
          <w:lang w:val="en-NZ"/>
        </w:rPr>
        <w:t>,</w:t>
      </w:r>
      <w:r>
        <w:rPr>
          <w:rFonts w:ascii="Verdana" w:hAnsi="Verdana"/>
          <w:sz w:val="20"/>
          <w:lang w:val="en-NZ"/>
        </w:rPr>
        <w:t xml:space="preserve"> and youth justice systems have spoken</w:t>
      </w:r>
      <w:r w:rsidR="007348CF" w:rsidRPr="003C4CAF">
        <w:rPr>
          <w:rFonts w:ascii="Verdana" w:hAnsi="Verdana"/>
          <w:sz w:val="20"/>
          <w:lang w:val="en-NZ"/>
        </w:rPr>
        <w:t xml:space="preserve"> most strongly about an overwhelming desire to belong. Cultural identity, although not the sole determinant, </w:t>
      </w:r>
      <w:r w:rsidR="00FE5FEE">
        <w:rPr>
          <w:rFonts w:ascii="Verdana" w:hAnsi="Verdana"/>
          <w:sz w:val="20"/>
          <w:lang w:val="en-NZ"/>
        </w:rPr>
        <w:t xml:space="preserve">can </w:t>
      </w:r>
      <w:r w:rsidR="007348CF" w:rsidRPr="003C4CAF">
        <w:rPr>
          <w:rFonts w:ascii="Verdana" w:hAnsi="Verdana"/>
          <w:sz w:val="20"/>
          <w:lang w:val="en-NZ"/>
        </w:rPr>
        <w:t>form a strong part of that belonging. When children and young people did not have their need for identity met they were vulnerable to seeking those connections from people or networks that could be harmful.</w:t>
      </w:r>
    </w:p>
    <w:p w:rsidR="007348CF" w:rsidRDefault="007348CF" w:rsidP="007348CF">
      <w:pPr>
        <w:numPr>
          <w:ilvl w:val="0"/>
          <w:numId w:val="10"/>
        </w:numPr>
        <w:spacing w:before="120" w:after="120"/>
        <w:ind w:left="567" w:hanging="567"/>
        <w:rPr>
          <w:rFonts w:ascii="Verdana" w:hAnsi="Verdana"/>
          <w:sz w:val="20"/>
          <w:lang w:val="en-NZ"/>
        </w:rPr>
      </w:pPr>
      <w:r w:rsidRPr="003C4CAF">
        <w:rPr>
          <w:rFonts w:ascii="Verdana" w:hAnsi="Verdana"/>
          <w:sz w:val="20"/>
          <w:lang w:val="en-NZ"/>
        </w:rPr>
        <w:t>Māori young people within the system reported a lack of understanding they sometimes encountered from caregivers and social workers to the importance of culture. They felt they had to become strong self-advocates to ensure these needs were met. The ability to play this role is not one that many vulnerable children will have.</w:t>
      </w:r>
    </w:p>
    <w:p w:rsidR="00B16192" w:rsidRPr="0098731C" w:rsidRDefault="006929DD" w:rsidP="00B16192">
      <w:pPr>
        <w:numPr>
          <w:ilvl w:val="0"/>
          <w:numId w:val="10"/>
        </w:numPr>
        <w:spacing w:before="120" w:after="120"/>
        <w:ind w:left="567" w:hanging="567"/>
        <w:rPr>
          <w:rFonts w:ascii="Verdana" w:hAnsi="Verdana"/>
          <w:sz w:val="20"/>
        </w:rPr>
      </w:pPr>
      <w:r>
        <w:rPr>
          <w:rFonts w:ascii="Verdana" w:hAnsi="Verdana"/>
          <w:sz w:val="20"/>
        </w:rPr>
        <w:t>At the same time</w:t>
      </w:r>
      <w:r w:rsidR="00FE5FEE">
        <w:rPr>
          <w:rFonts w:ascii="Verdana" w:hAnsi="Verdana"/>
          <w:sz w:val="20"/>
        </w:rPr>
        <w:t>,</w:t>
      </w:r>
      <w:r>
        <w:rPr>
          <w:rFonts w:ascii="Verdana" w:hAnsi="Verdana"/>
          <w:sz w:val="20"/>
        </w:rPr>
        <w:t xml:space="preserve"> c</w:t>
      </w:r>
      <w:r w:rsidR="00B16192" w:rsidRPr="0098731C">
        <w:rPr>
          <w:rFonts w:ascii="Verdana" w:hAnsi="Verdana"/>
          <w:sz w:val="20"/>
        </w:rPr>
        <w:t xml:space="preserve">aregivers and practitioners report a </w:t>
      </w:r>
      <w:r w:rsidR="00B16192">
        <w:rPr>
          <w:rFonts w:ascii="Verdana" w:hAnsi="Verdana"/>
          <w:sz w:val="20"/>
        </w:rPr>
        <w:t>number of challenges</w:t>
      </w:r>
      <w:r w:rsidR="00B16192" w:rsidRPr="0098731C">
        <w:rPr>
          <w:rFonts w:ascii="Verdana" w:hAnsi="Verdana"/>
          <w:sz w:val="20"/>
        </w:rPr>
        <w:t xml:space="preserve"> in attempting to meet the identity and cultural needs of Māori children and young people</w:t>
      </w:r>
      <w:r w:rsidR="00B16192">
        <w:rPr>
          <w:rFonts w:ascii="Verdana" w:hAnsi="Verdana"/>
          <w:sz w:val="20"/>
        </w:rPr>
        <w:t xml:space="preserve">. These included the absence of any clear </w:t>
      </w:r>
      <w:r>
        <w:rPr>
          <w:rFonts w:ascii="Verdana" w:hAnsi="Verdana"/>
          <w:sz w:val="20"/>
        </w:rPr>
        <w:t xml:space="preserve">legislative </w:t>
      </w:r>
      <w:r w:rsidR="00B16192">
        <w:rPr>
          <w:rFonts w:ascii="Verdana" w:hAnsi="Verdana"/>
          <w:sz w:val="20"/>
        </w:rPr>
        <w:t xml:space="preserve">direction, and a lack of resourcing to support the cultural needs of Māori children and young people. </w:t>
      </w:r>
    </w:p>
    <w:p w:rsidR="0006032B" w:rsidRPr="003C4CAF" w:rsidRDefault="00EE61EE" w:rsidP="00BC1268">
      <w:pPr>
        <w:numPr>
          <w:ilvl w:val="0"/>
          <w:numId w:val="10"/>
        </w:numPr>
        <w:spacing w:before="120" w:after="120" w:line="280" w:lineRule="exact"/>
        <w:ind w:left="567" w:hanging="567"/>
        <w:rPr>
          <w:rFonts w:ascii="Verdana" w:hAnsi="Verdana"/>
          <w:sz w:val="20"/>
        </w:rPr>
      </w:pPr>
      <w:r>
        <w:rPr>
          <w:rFonts w:ascii="Verdana" w:hAnsi="Verdana"/>
          <w:sz w:val="20"/>
        </w:rPr>
        <w:t>T</w:t>
      </w:r>
      <w:r w:rsidR="0006032B" w:rsidRPr="003C4CAF">
        <w:rPr>
          <w:rFonts w:ascii="Verdana" w:hAnsi="Verdana"/>
          <w:sz w:val="20"/>
        </w:rPr>
        <w:t xml:space="preserve">he principles </w:t>
      </w:r>
      <w:r w:rsidR="0006032B">
        <w:rPr>
          <w:rFonts w:ascii="Verdana" w:hAnsi="Verdana"/>
          <w:sz w:val="20"/>
        </w:rPr>
        <w:t>in section 5 of the CYPF Act</w:t>
      </w:r>
      <w:r>
        <w:rPr>
          <w:rFonts w:ascii="Verdana" w:hAnsi="Verdana"/>
          <w:sz w:val="20"/>
        </w:rPr>
        <w:t>, which</w:t>
      </w:r>
      <w:r w:rsidR="0006032B">
        <w:rPr>
          <w:rFonts w:ascii="Verdana" w:hAnsi="Verdana"/>
          <w:sz w:val="20"/>
        </w:rPr>
        <w:t xml:space="preserve"> </w:t>
      </w:r>
      <w:r w:rsidR="0006032B" w:rsidRPr="003C4CAF">
        <w:rPr>
          <w:rFonts w:ascii="Verdana" w:hAnsi="Verdana"/>
          <w:sz w:val="20"/>
        </w:rPr>
        <w:t xml:space="preserve">are </w:t>
      </w:r>
      <w:r w:rsidR="00574CE3" w:rsidRPr="00987F27">
        <w:rPr>
          <w:rFonts w:ascii="Verdana" w:hAnsi="Verdana"/>
          <w:sz w:val="20"/>
          <w:lang w:val="en-NZ"/>
        </w:rPr>
        <w:t>central to decisions and actions that are taken under the Act by a range of professionals in relation to children and young people</w:t>
      </w:r>
      <w:r>
        <w:rPr>
          <w:rFonts w:ascii="Verdana" w:hAnsi="Verdana"/>
          <w:sz w:val="20"/>
          <w:lang w:val="en-NZ"/>
        </w:rPr>
        <w:t xml:space="preserve">, </w:t>
      </w:r>
      <w:r w:rsidR="0006032B">
        <w:rPr>
          <w:rFonts w:ascii="Verdana" w:hAnsi="Verdana"/>
          <w:sz w:val="20"/>
        </w:rPr>
        <w:t>refer to</w:t>
      </w:r>
      <w:r w:rsidR="0006032B" w:rsidRPr="003C4CAF">
        <w:rPr>
          <w:rFonts w:ascii="Verdana" w:hAnsi="Verdana"/>
          <w:sz w:val="20"/>
        </w:rPr>
        <w:t>:</w:t>
      </w:r>
    </w:p>
    <w:p w:rsidR="00D37180" w:rsidRPr="00D37180" w:rsidRDefault="00D37180" w:rsidP="00D37180">
      <w:pPr>
        <w:numPr>
          <w:ilvl w:val="1"/>
          <w:numId w:val="10"/>
        </w:numPr>
        <w:spacing w:before="120" w:after="120" w:line="280" w:lineRule="exact"/>
        <w:ind w:left="1077" w:right="170" w:hanging="357"/>
        <w:rPr>
          <w:rFonts w:ascii="Verdana" w:hAnsi="Verdana"/>
          <w:sz w:val="20"/>
        </w:rPr>
      </w:pPr>
      <w:r w:rsidRPr="00D37180">
        <w:rPr>
          <w:rFonts w:ascii="Verdana" w:hAnsi="Verdana"/>
          <w:sz w:val="20"/>
        </w:rPr>
        <w:t>the family, whānau, hap</w:t>
      </w:r>
      <w:r>
        <w:rPr>
          <w:rFonts w:ascii="Verdana" w:hAnsi="Verdana"/>
          <w:sz w:val="20"/>
        </w:rPr>
        <w:t>ū</w:t>
      </w:r>
      <w:r w:rsidRPr="00D37180">
        <w:rPr>
          <w:rFonts w:ascii="Verdana" w:hAnsi="Verdana"/>
          <w:sz w:val="20"/>
        </w:rPr>
        <w:t>, iwi and usual caregiver hav</w:t>
      </w:r>
      <w:r>
        <w:rPr>
          <w:rFonts w:ascii="Verdana" w:hAnsi="Verdana"/>
          <w:sz w:val="20"/>
        </w:rPr>
        <w:t>ing</w:t>
      </w:r>
      <w:r w:rsidRPr="00D37180">
        <w:rPr>
          <w:rFonts w:ascii="Verdana" w:hAnsi="Verdana"/>
          <w:sz w:val="20"/>
        </w:rPr>
        <w:t xml:space="preserve"> a voice and a role in decisions made about the child or young person </w:t>
      </w:r>
    </w:p>
    <w:p w:rsidR="00D37180" w:rsidRPr="00D37180" w:rsidRDefault="00D37180" w:rsidP="00D37180">
      <w:pPr>
        <w:pStyle w:val="ReportBody2"/>
        <w:numPr>
          <w:ilvl w:val="1"/>
          <w:numId w:val="10"/>
        </w:numPr>
        <w:spacing w:line="280" w:lineRule="exact"/>
        <w:ind w:left="1077" w:right="170" w:hanging="357"/>
      </w:pPr>
      <w:r w:rsidRPr="00D37180">
        <w:t xml:space="preserve">wherever possible, the relationship between the child or young person and their family, whānau and usual caregiver is respected, supported and strengthened </w:t>
      </w:r>
    </w:p>
    <w:p w:rsidR="0006032B" w:rsidRPr="00D37180" w:rsidRDefault="00D37180" w:rsidP="00D37180">
      <w:pPr>
        <w:numPr>
          <w:ilvl w:val="1"/>
          <w:numId w:val="10"/>
        </w:numPr>
        <w:spacing w:before="120" w:after="120" w:line="280" w:lineRule="exact"/>
        <w:ind w:left="1077" w:right="170" w:hanging="357"/>
        <w:rPr>
          <w:rFonts w:ascii="Verdana" w:hAnsi="Verdana"/>
          <w:sz w:val="20"/>
        </w:rPr>
      </w:pPr>
      <w:r>
        <w:rPr>
          <w:rFonts w:ascii="Verdana" w:hAnsi="Verdana"/>
          <w:sz w:val="20"/>
        </w:rPr>
        <w:t>consideration being</w:t>
      </w:r>
      <w:r w:rsidRPr="00D37180">
        <w:rPr>
          <w:rFonts w:ascii="Verdana" w:hAnsi="Verdana"/>
          <w:sz w:val="20"/>
        </w:rPr>
        <w:t xml:space="preserve"> given to the significance of the child or young person’s wider whānau, hap</w:t>
      </w:r>
      <w:r>
        <w:rPr>
          <w:rFonts w:ascii="Verdana" w:hAnsi="Verdana"/>
          <w:sz w:val="20"/>
        </w:rPr>
        <w:t>ū</w:t>
      </w:r>
      <w:r w:rsidRPr="00D37180">
        <w:rPr>
          <w:rFonts w:ascii="Verdana" w:hAnsi="Verdana"/>
          <w:sz w:val="20"/>
        </w:rPr>
        <w:t xml:space="preserve"> and iwi, and links to whakapapa or their equivalents in the culture of the child or young person </w:t>
      </w:r>
    </w:p>
    <w:p w:rsidR="00EE61EE" w:rsidRDefault="00EE61EE" w:rsidP="00EE61EE">
      <w:pPr>
        <w:numPr>
          <w:ilvl w:val="0"/>
          <w:numId w:val="10"/>
        </w:numPr>
        <w:spacing w:before="120" w:after="120" w:line="280" w:lineRule="exact"/>
        <w:ind w:left="567" w:hanging="567"/>
        <w:rPr>
          <w:rFonts w:ascii="Verdana" w:hAnsi="Verdana"/>
          <w:sz w:val="20"/>
        </w:rPr>
      </w:pPr>
      <w:r>
        <w:rPr>
          <w:rFonts w:ascii="Verdana" w:hAnsi="Verdana"/>
          <w:sz w:val="20"/>
        </w:rPr>
        <w:t xml:space="preserve">The CYPF Act does not set </w:t>
      </w:r>
      <w:r w:rsidR="005526A7">
        <w:rPr>
          <w:rFonts w:ascii="Verdana" w:hAnsi="Verdana"/>
          <w:sz w:val="20"/>
        </w:rPr>
        <w:t>clear direction</w:t>
      </w:r>
      <w:r>
        <w:rPr>
          <w:rFonts w:ascii="Verdana" w:hAnsi="Verdana"/>
          <w:sz w:val="20"/>
        </w:rPr>
        <w:t xml:space="preserve"> that practitioners will consider</w:t>
      </w:r>
      <w:r w:rsidRPr="0006032B">
        <w:rPr>
          <w:rFonts w:ascii="Verdana" w:hAnsi="Verdana"/>
          <w:sz w:val="20"/>
        </w:rPr>
        <w:t xml:space="preserve"> supporting the cultural needs of young Māori outside of generic references to whānau, hap</w:t>
      </w:r>
      <w:r>
        <w:rPr>
          <w:rFonts w:ascii="Verdana" w:hAnsi="Verdana"/>
          <w:sz w:val="20"/>
        </w:rPr>
        <w:t>ū</w:t>
      </w:r>
      <w:r w:rsidRPr="0006032B">
        <w:rPr>
          <w:rFonts w:ascii="Verdana" w:hAnsi="Verdana"/>
          <w:sz w:val="20"/>
        </w:rPr>
        <w:t xml:space="preserve"> and iwi, and the importance of cultural connection</w:t>
      </w:r>
      <w:r>
        <w:rPr>
          <w:rFonts w:ascii="Verdana" w:hAnsi="Verdana"/>
          <w:sz w:val="20"/>
        </w:rPr>
        <w:t>s.</w:t>
      </w:r>
    </w:p>
    <w:p w:rsidR="00EE61EE" w:rsidRDefault="005526A7" w:rsidP="00374CE0">
      <w:pPr>
        <w:numPr>
          <w:ilvl w:val="0"/>
          <w:numId w:val="10"/>
        </w:numPr>
        <w:spacing w:before="120" w:after="120" w:line="280" w:lineRule="exact"/>
        <w:ind w:left="567" w:hanging="567"/>
        <w:rPr>
          <w:rFonts w:ascii="Verdana" w:hAnsi="Verdana"/>
          <w:sz w:val="20"/>
        </w:rPr>
      </w:pPr>
      <w:r>
        <w:rPr>
          <w:rFonts w:ascii="Verdana" w:hAnsi="Verdana"/>
          <w:sz w:val="20"/>
        </w:rPr>
        <w:t>Updating the CYPF Act to take into account modern perspectives about the importance of culture and a sense of identity to the well-being of Māori children and young people wi</w:t>
      </w:r>
      <w:r w:rsidR="00D50B87">
        <w:rPr>
          <w:rFonts w:ascii="Verdana" w:hAnsi="Verdana"/>
          <w:sz w:val="20"/>
        </w:rPr>
        <w:t>ll address this gap.</w:t>
      </w:r>
    </w:p>
    <w:p w:rsidR="007348CF" w:rsidRDefault="007348CF" w:rsidP="00374CE0">
      <w:pPr>
        <w:numPr>
          <w:ilvl w:val="0"/>
          <w:numId w:val="10"/>
        </w:numPr>
        <w:spacing w:before="120" w:after="120" w:line="280" w:lineRule="exact"/>
        <w:ind w:left="567" w:hanging="567"/>
        <w:rPr>
          <w:rFonts w:ascii="Verdana" w:hAnsi="Verdana"/>
          <w:sz w:val="20"/>
        </w:rPr>
      </w:pPr>
      <w:r w:rsidRPr="00A67E67">
        <w:rPr>
          <w:rFonts w:ascii="Verdana" w:hAnsi="Verdana"/>
          <w:sz w:val="20"/>
        </w:rPr>
        <w:t xml:space="preserve">A clearer focus on addressing the needs of Māori children and young people within Part </w:t>
      </w:r>
      <w:r w:rsidR="00FE5FEE">
        <w:rPr>
          <w:rFonts w:ascii="Verdana" w:hAnsi="Verdana"/>
          <w:sz w:val="20"/>
        </w:rPr>
        <w:t>1</w:t>
      </w:r>
      <w:r w:rsidRPr="00A67E67">
        <w:rPr>
          <w:rFonts w:ascii="Verdana" w:hAnsi="Verdana"/>
          <w:sz w:val="20"/>
        </w:rPr>
        <w:t xml:space="preserve"> of the CYPF Act will set a clear intent and direction for the system, and combined with practice guidelines, policy settings and staff training, is an important part of delivering the changes needed.</w:t>
      </w:r>
      <w:r w:rsidR="006929DD">
        <w:rPr>
          <w:rFonts w:ascii="Verdana" w:hAnsi="Verdana"/>
          <w:sz w:val="20"/>
        </w:rPr>
        <w:t xml:space="preserve"> The </w:t>
      </w:r>
      <w:r w:rsidR="00AB0815" w:rsidRPr="00FE5FEE">
        <w:rPr>
          <w:rFonts w:ascii="Verdana" w:hAnsi="Verdana"/>
          <w:i/>
          <w:sz w:val="20"/>
        </w:rPr>
        <w:t>Foundations for a C</w:t>
      </w:r>
      <w:r w:rsidR="006929DD" w:rsidRPr="00FE5FEE">
        <w:rPr>
          <w:rFonts w:ascii="Verdana" w:hAnsi="Verdana"/>
          <w:i/>
          <w:sz w:val="20"/>
        </w:rPr>
        <w:t>hild-centre</w:t>
      </w:r>
      <w:r w:rsidR="00AB0815" w:rsidRPr="00FE5FEE">
        <w:rPr>
          <w:rFonts w:ascii="Verdana" w:hAnsi="Verdana"/>
          <w:i/>
          <w:sz w:val="20"/>
        </w:rPr>
        <w:t>d</w:t>
      </w:r>
      <w:r w:rsidR="006929DD" w:rsidRPr="00FE5FEE">
        <w:rPr>
          <w:rFonts w:ascii="Verdana" w:hAnsi="Verdana"/>
          <w:i/>
          <w:sz w:val="20"/>
        </w:rPr>
        <w:t xml:space="preserve"> </w:t>
      </w:r>
      <w:r w:rsidR="001E0269" w:rsidRPr="00FE5FEE">
        <w:rPr>
          <w:rFonts w:ascii="Verdana" w:hAnsi="Verdana"/>
          <w:i/>
          <w:sz w:val="20"/>
        </w:rPr>
        <w:t>S</w:t>
      </w:r>
      <w:r w:rsidR="006929DD" w:rsidRPr="00FE5FEE">
        <w:rPr>
          <w:rFonts w:ascii="Verdana" w:hAnsi="Verdana"/>
          <w:i/>
          <w:sz w:val="20"/>
        </w:rPr>
        <w:t>ystem</w:t>
      </w:r>
      <w:r w:rsidR="006929DD">
        <w:rPr>
          <w:rFonts w:ascii="Verdana" w:hAnsi="Verdana"/>
          <w:sz w:val="20"/>
        </w:rPr>
        <w:t xml:space="preserve"> RIS sets out the </w:t>
      </w:r>
      <w:r w:rsidR="00AB0815">
        <w:rPr>
          <w:rFonts w:ascii="Verdana" w:hAnsi="Verdana"/>
          <w:sz w:val="20"/>
        </w:rPr>
        <w:t xml:space="preserve">critical </w:t>
      </w:r>
      <w:r w:rsidR="006929DD">
        <w:rPr>
          <w:rFonts w:ascii="Verdana" w:hAnsi="Verdana"/>
          <w:sz w:val="20"/>
        </w:rPr>
        <w:t>role that sections</w:t>
      </w:r>
      <w:r w:rsidR="00AB0815">
        <w:rPr>
          <w:rFonts w:ascii="Verdana" w:hAnsi="Verdana"/>
          <w:sz w:val="20"/>
        </w:rPr>
        <w:t xml:space="preserve"> 4 and 5</w:t>
      </w:r>
      <w:r w:rsidR="006929DD">
        <w:rPr>
          <w:rFonts w:ascii="Verdana" w:hAnsi="Verdana"/>
          <w:sz w:val="20"/>
        </w:rPr>
        <w:t xml:space="preserve"> of the CYPF Act</w:t>
      </w:r>
      <w:r w:rsidR="00AB0815">
        <w:rPr>
          <w:rFonts w:ascii="Verdana" w:hAnsi="Verdana"/>
          <w:sz w:val="20"/>
        </w:rPr>
        <w:t xml:space="preserve"> play</w:t>
      </w:r>
      <w:r w:rsidR="006929DD">
        <w:rPr>
          <w:rFonts w:ascii="Verdana" w:hAnsi="Verdana"/>
          <w:sz w:val="20"/>
        </w:rPr>
        <w:t xml:space="preserve"> in </w:t>
      </w:r>
      <w:r w:rsidR="00AB0815">
        <w:rPr>
          <w:rFonts w:ascii="Verdana" w:hAnsi="Verdana"/>
          <w:sz w:val="20"/>
        </w:rPr>
        <w:t xml:space="preserve">everyday decision-making in </w:t>
      </w:r>
      <w:r w:rsidR="006929DD">
        <w:rPr>
          <w:rFonts w:ascii="Verdana" w:hAnsi="Verdana"/>
          <w:sz w:val="20"/>
        </w:rPr>
        <w:t>more detail.</w:t>
      </w:r>
    </w:p>
    <w:p w:rsidR="007348CF" w:rsidRPr="00F61837" w:rsidRDefault="005B7479" w:rsidP="007348CF">
      <w:pPr>
        <w:spacing w:before="120" w:after="120"/>
        <w:rPr>
          <w:rFonts w:ascii="Verdana" w:hAnsi="Verdana"/>
          <w:b/>
          <w:sz w:val="24"/>
          <w:szCs w:val="24"/>
          <w:lang w:val="en-NZ"/>
        </w:rPr>
      </w:pPr>
      <w:r>
        <w:rPr>
          <w:rFonts w:ascii="Verdana" w:hAnsi="Verdana"/>
          <w:b/>
          <w:sz w:val="24"/>
          <w:szCs w:val="24"/>
          <w:lang w:val="en-NZ"/>
        </w:rPr>
        <w:t>Prior reviews of CYF failed to</w:t>
      </w:r>
      <w:r w:rsidR="00574CE3" w:rsidRPr="00F61837">
        <w:rPr>
          <w:rFonts w:ascii="Verdana" w:hAnsi="Verdana"/>
          <w:b/>
          <w:sz w:val="24"/>
          <w:szCs w:val="24"/>
          <w:lang w:val="en-NZ"/>
        </w:rPr>
        <w:t xml:space="preserve"> empower </w:t>
      </w:r>
      <w:r>
        <w:rPr>
          <w:rFonts w:ascii="Verdana" w:hAnsi="Verdana"/>
          <w:b/>
          <w:sz w:val="24"/>
          <w:szCs w:val="24"/>
          <w:lang w:val="en-NZ"/>
        </w:rPr>
        <w:t>substantive change</w:t>
      </w:r>
      <w:r w:rsidR="00F61837">
        <w:rPr>
          <w:rFonts w:ascii="Verdana" w:hAnsi="Verdana"/>
          <w:b/>
          <w:sz w:val="24"/>
          <w:szCs w:val="24"/>
          <w:lang w:val="en-NZ"/>
        </w:rPr>
        <w:t xml:space="preserve"> </w:t>
      </w:r>
    </w:p>
    <w:p w:rsidR="0053456B" w:rsidRDefault="005B6D99" w:rsidP="00053FCC">
      <w:pPr>
        <w:numPr>
          <w:ilvl w:val="0"/>
          <w:numId w:val="10"/>
        </w:numPr>
        <w:spacing w:before="120" w:after="120"/>
        <w:ind w:left="567" w:hanging="567"/>
        <w:rPr>
          <w:rFonts w:ascii="Verdana" w:hAnsi="Verdana"/>
          <w:sz w:val="20"/>
          <w:lang w:val="en-NZ"/>
        </w:rPr>
      </w:pPr>
      <w:r>
        <w:rPr>
          <w:rFonts w:ascii="Verdana" w:hAnsi="Verdana"/>
          <w:sz w:val="20"/>
          <w:lang w:val="en-NZ"/>
        </w:rPr>
        <w:t>S</w:t>
      </w:r>
      <w:r w:rsidR="001C69D6">
        <w:rPr>
          <w:rFonts w:ascii="Verdana" w:hAnsi="Verdana"/>
          <w:sz w:val="20"/>
          <w:lang w:val="en-NZ"/>
        </w:rPr>
        <w:t xml:space="preserve">uccessive reviews of CYF </w:t>
      </w:r>
      <w:r>
        <w:rPr>
          <w:rFonts w:ascii="Verdana" w:hAnsi="Verdana"/>
          <w:sz w:val="20"/>
          <w:lang w:val="en-NZ"/>
        </w:rPr>
        <w:t xml:space="preserve">have failed to </w:t>
      </w:r>
      <w:r w:rsidR="001C69D6">
        <w:rPr>
          <w:rFonts w:ascii="Verdana" w:hAnsi="Verdana"/>
          <w:sz w:val="20"/>
          <w:lang w:val="en-NZ"/>
        </w:rPr>
        <w:t>empower or deliver c</w:t>
      </w:r>
      <w:r>
        <w:rPr>
          <w:rFonts w:ascii="Verdana" w:hAnsi="Verdana"/>
          <w:sz w:val="20"/>
          <w:lang w:val="en-NZ"/>
        </w:rPr>
        <w:t xml:space="preserve">hange for Māori </w:t>
      </w:r>
      <w:r w:rsidR="00401FDE">
        <w:rPr>
          <w:rFonts w:ascii="Verdana" w:hAnsi="Verdana"/>
          <w:sz w:val="20"/>
          <w:lang w:val="en-NZ"/>
        </w:rPr>
        <w:t xml:space="preserve">children </w:t>
      </w:r>
      <w:r>
        <w:rPr>
          <w:rFonts w:ascii="Verdana" w:hAnsi="Verdana"/>
          <w:sz w:val="20"/>
          <w:lang w:val="en-NZ"/>
        </w:rPr>
        <w:t>or young people</w:t>
      </w:r>
      <w:r w:rsidR="001C69D6">
        <w:rPr>
          <w:rFonts w:ascii="Verdana" w:hAnsi="Verdana"/>
          <w:sz w:val="20"/>
          <w:lang w:val="en-NZ"/>
        </w:rPr>
        <w:t xml:space="preserve">. </w:t>
      </w:r>
      <w:r w:rsidR="00F61837">
        <w:rPr>
          <w:rFonts w:ascii="Verdana" w:hAnsi="Verdana"/>
          <w:sz w:val="20"/>
          <w:lang w:val="en-NZ"/>
        </w:rPr>
        <w:t>Part of the explanation for this is that th</w:t>
      </w:r>
      <w:r w:rsidR="001B4231">
        <w:rPr>
          <w:rFonts w:ascii="Verdana" w:hAnsi="Verdana"/>
          <w:sz w:val="20"/>
          <w:lang w:val="en-NZ"/>
        </w:rPr>
        <w:t>ose reviews failed to provide the impetus</w:t>
      </w:r>
      <w:r w:rsidR="005B7479">
        <w:rPr>
          <w:rFonts w:ascii="Verdana" w:hAnsi="Verdana"/>
          <w:sz w:val="20"/>
          <w:lang w:val="en-NZ"/>
        </w:rPr>
        <w:t xml:space="preserve"> required </w:t>
      </w:r>
      <w:proofErr w:type="gramStart"/>
      <w:r w:rsidR="005B7479">
        <w:rPr>
          <w:rFonts w:ascii="Verdana" w:hAnsi="Verdana"/>
          <w:sz w:val="20"/>
          <w:lang w:val="en-NZ"/>
        </w:rPr>
        <w:t>to support</w:t>
      </w:r>
      <w:proofErr w:type="gramEnd"/>
      <w:r w:rsidR="005B7479">
        <w:rPr>
          <w:rFonts w:ascii="Verdana" w:hAnsi="Verdana"/>
          <w:sz w:val="20"/>
          <w:lang w:val="en-NZ"/>
        </w:rPr>
        <w:t xml:space="preserve"> the transformational change required to deliver improved outcomes for Māori. </w:t>
      </w:r>
      <w:r w:rsidR="0053456B">
        <w:rPr>
          <w:rFonts w:ascii="Verdana" w:hAnsi="Verdana"/>
          <w:sz w:val="20"/>
          <w:lang w:val="en-NZ"/>
        </w:rPr>
        <w:t>This is despite section 7(2</w:t>
      </w:r>
      <w:proofErr w:type="gramStart"/>
      <w:r w:rsidR="0053456B">
        <w:rPr>
          <w:rFonts w:ascii="Verdana" w:hAnsi="Verdana"/>
          <w:sz w:val="20"/>
          <w:lang w:val="en-NZ"/>
        </w:rPr>
        <w:t>)(</w:t>
      </w:r>
      <w:proofErr w:type="gramEnd"/>
      <w:r w:rsidR="0053456B">
        <w:rPr>
          <w:rFonts w:ascii="Verdana" w:hAnsi="Verdana"/>
          <w:sz w:val="20"/>
          <w:lang w:val="en-NZ"/>
        </w:rPr>
        <w:t xml:space="preserve">c)(ii) of the CYPF </w:t>
      </w:r>
      <w:r w:rsidR="0053456B">
        <w:rPr>
          <w:rFonts w:ascii="Verdana" w:hAnsi="Verdana"/>
          <w:sz w:val="20"/>
          <w:lang w:val="en-NZ"/>
        </w:rPr>
        <w:lastRenderedPageBreak/>
        <w:t xml:space="preserve">Act that requires </w:t>
      </w:r>
      <w:r w:rsidR="0053456B" w:rsidRPr="00F2042C">
        <w:rPr>
          <w:rFonts w:ascii="Verdana" w:hAnsi="Verdana"/>
          <w:sz w:val="20"/>
          <w:lang w:val="en-NZ"/>
        </w:rPr>
        <w:t xml:space="preserve">the </w:t>
      </w:r>
      <w:r w:rsidR="00CA513D">
        <w:rPr>
          <w:rFonts w:ascii="Verdana" w:hAnsi="Verdana"/>
          <w:sz w:val="20"/>
          <w:lang w:val="en-NZ"/>
        </w:rPr>
        <w:t>CE</w:t>
      </w:r>
      <w:r w:rsidR="0053456B" w:rsidRPr="00F2042C">
        <w:rPr>
          <w:rFonts w:ascii="Verdana" w:hAnsi="Verdana"/>
          <w:sz w:val="20"/>
          <w:lang w:val="en-NZ"/>
        </w:rPr>
        <w:t xml:space="preserve"> to</w:t>
      </w:r>
      <w:r w:rsidR="0053456B">
        <w:rPr>
          <w:rFonts w:ascii="Verdana" w:hAnsi="Verdana"/>
          <w:sz w:val="20"/>
          <w:lang w:val="en-NZ"/>
        </w:rPr>
        <w:t xml:space="preserve"> ensure policies and services p</w:t>
      </w:r>
      <w:r w:rsidR="0053456B" w:rsidRPr="00F2042C">
        <w:rPr>
          <w:rFonts w:ascii="Verdana" w:hAnsi="Verdana"/>
          <w:sz w:val="20"/>
          <w:lang w:val="en-NZ"/>
        </w:rPr>
        <w:t>ay “particular regard for the values, culture, and beliefs of the Māori people”</w:t>
      </w:r>
      <w:r w:rsidR="0053456B">
        <w:rPr>
          <w:rFonts w:ascii="Verdana" w:hAnsi="Verdana"/>
          <w:sz w:val="20"/>
          <w:lang w:val="en-NZ"/>
        </w:rPr>
        <w:t>.</w:t>
      </w:r>
    </w:p>
    <w:p w:rsidR="00301F5E" w:rsidRDefault="00301F5E" w:rsidP="009376A5">
      <w:pPr>
        <w:numPr>
          <w:ilvl w:val="0"/>
          <w:numId w:val="10"/>
        </w:numPr>
        <w:spacing w:before="120" w:after="120"/>
        <w:ind w:left="567" w:hanging="567"/>
        <w:rPr>
          <w:rFonts w:ascii="Verdana" w:hAnsi="Verdana"/>
          <w:sz w:val="20"/>
          <w:lang w:val="en-NZ"/>
        </w:rPr>
      </w:pPr>
      <w:r>
        <w:rPr>
          <w:rFonts w:ascii="Verdana" w:hAnsi="Verdana"/>
          <w:sz w:val="20"/>
          <w:lang w:val="en-NZ"/>
        </w:rPr>
        <w:t>The lack of meaningful change for Māori</w:t>
      </w:r>
      <w:r w:rsidR="008C236B">
        <w:rPr>
          <w:rFonts w:ascii="Verdana" w:hAnsi="Verdana"/>
          <w:sz w:val="20"/>
          <w:lang w:val="en-NZ"/>
        </w:rPr>
        <w:t xml:space="preserve">, in the face of </w:t>
      </w:r>
      <w:r w:rsidR="004933D7">
        <w:rPr>
          <w:rFonts w:ascii="Verdana" w:hAnsi="Verdana"/>
          <w:sz w:val="20"/>
          <w:lang w:val="en-NZ"/>
        </w:rPr>
        <w:t>clear evidence that the system has consistently failed to improve responsiveness to the</w:t>
      </w:r>
      <w:r w:rsidR="00FE5FEE">
        <w:rPr>
          <w:rFonts w:ascii="Verdana" w:hAnsi="Verdana"/>
          <w:sz w:val="20"/>
          <w:lang w:val="en-NZ"/>
        </w:rPr>
        <w:t>ir</w:t>
      </w:r>
      <w:r w:rsidR="004933D7">
        <w:rPr>
          <w:rFonts w:ascii="Verdana" w:hAnsi="Verdana"/>
          <w:sz w:val="20"/>
          <w:lang w:val="en-NZ"/>
        </w:rPr>
        <w:t xml:space="preserve"> needs</w:t>
      </w:r>
      <w:r w:rsidR="008C236B">
        <w:rPr>
          <w:rFonts w:ascii="Verdana" w:hAnsi="Verdana"/>
          <w:sz w:val="20"/>
          <w:lang w:val="en-NZ"/>
        </w:rPr>
        <w:t>,</w:t>
      </w:r>
      <w:r>
        <w:rPr>
          <w:rFonts w:ascii="Verdana" w:hAnsi="Verdana"/>
          <w:sz w:val="20"/>
          <w:lang w:val="en-NZ"/>
        </w:rPr>
        <w:t xml:space="preserve"> has been described as disempowering.</w:t>
      </w:r>
      <w:r>
        <w:rPr>
          <w:rStyle w:val="FootnoteReference"/>
          <w:lang w:val="en-NZ"/>
        </w:rPr>
        <w:footnoteReference w:id="7"/>
      </w:r>
      <w:r>
        <w:rPr>
          <w:rFonts w:ascii="Verdana" w:hAnsi="Verdana"/>
          <w:sz w:val="20"/>
          <w:lang w:val="en-NZ"/>
        </w:rPr>
        <w:t xml:space="preserve"> This in turn has resulted in increasing mis</w:t>
      </w:r>
      <w:r w:rsidR="005B6D99">
        <w:rPr>
          <w:rFonts w:ascii="Verdana" w:hAnsi="Verdana"/>
          <w:sz w:val="20"/>
          <w:lang w:val="en-NZ"/>
        </w:rPr>
        <w:t xml:space="preserve">trust in a system that appears </w:t>
      </w:r>
      <w:r>
        <w:rPr>
          <w:rFonts w:ascii="Verdana" w:hAnsi="Verdana"/>
          <w:sz w:val="20"/>
          <w:lang w:val="en-NZ"/>
        </w:rPr>
        <w:t>unwilling</w:t>
      </w:r>
      <w:r w:rsidR="00881E86">
        <w:rPr>
          <w:rFonts w:ascii="Verdana" w:hAnsi="Verdana"/>
          <w:sz w:val="20"/>
          <w:lang w:val="en-NZ"/>
        </w:rPr>
        <w:t xml:space="preserve"> or unable</w:t>
      </w:r>
      <w:r>
        <w:rPr>
          <w:rFonts w:ascii="Verdana" w:hAnsi="Verdana"/>
          <w:sz w:val="20"/>
          <w:lang w:val="en-NZ"/>
        </w:rPr>
        <w:t xml:space="preserve"> to adapt to the circumstances surrounding Māori children and young people</w:t>
      </w:r>
      <w:r w:rsidR="0053456B">
        <w:rPr>
          <w:rFonts w:ascii="Verdana" w:hAnsi="Verdana"/>
          <w:sz w:val="20"/>
          <w:lang w:val="en-NZ"/>
        </w:rPr>
        <w:t>.</w:t>
      </w:r>
      <w:r>
        <w:rPr>
          <w:rFonts w:ascii="Verdana" w:hAnsi="Verdana"/>
          <w:sz w:val="20"/>
          <w:lang w:val="en-NZ"/>
        </w:rPr>
        <w:t xml:space="preserve"> </w:t>
      </w:r>
    </w:p>
    <w:p w:rsidR="0054419B" w:rsidRDefault="008C236B" w:rsidP="004933D7">
      <w:pPr>
        <w:numPr>
          <w:ilvl w:val="0"/>
          <w:numId w:val="10"/>
        </w:numPr>
        <w:spacing w:before="120" w:after="120"/>
        <w:ind w:left="567" w:hanging="567"/>
        <w:rPr>
          <w:rFonts w:ascii="Verdana" w:hAnsi="Verdana"/>
          <w:sz w:val="20"/>
          <w:lang w:val="en-NZ"/>
        </w:rPr>
      </w:pPr>
      <w:r>
        <w:rPr>
          <w:rFonts w:ascii="Verdana" w:hAnsi="Verdana"/>
          <w:sz w:val="20"/>
          <w:lang w:val="en-NZ"/>
        </w:rPr>
        <w:t>Of</w:t>
      </w:r>
      <w:r w:rsidR="005B7479">
        <w:rPr>
          <w:rFonts w:ascii="Verdana" w:hAnsi="Verdana"/>
          <w:sz w:val="20"/>
          <w:lang w:val="en-NZ"/>
        </w:rPr>
        <w:t xml:space="preserve"> particular</w:t>
      </w:r>
      <w:r>
        <w:rPr>
          <w:rFonts w:ascii="Verdana" w:hAnsi="Verdana"/>
          <w:sz w:val="20"/>
          <w:lang w:val="en-NZ"/>
        </w:rPr>
        <w:t xml:space="preserve"> note is that successive</w:t>
      </w:r>
      <w:r w:rsidR="005B7479">
        <w:rPr>
          <w:rFonts w:ascii="Verdana" w:hAnsi="Verdana"/>
          <w:sz w:val="20"/>
          <w:lang w:val="en-NZ"/>
        </w:rPr>
        <w:t xml:space="preserve"> reviews </w:t>
      </w:r>
      <w:r>
        <w:rPr>
          <w:rFonts w:ascii="Verdana" w:hAnsi="Verdana"/>
          <w:sz w:val="20"/>
          <w:lang w:val="en-NZ"/>
        </w:rPr>
        <w:t xml:space="preserve">have </w:t>
      </w:r>
      <w:r w:rsidR="005B7479">
        <w:rPr>
          <w:rFonts w:ascii="Verdana" w:hAnsi="Verdana"/>
          <w:sz w:val="20"/>
          <w:lang w:val="en-NZ"/>
        </w:rPr>
        <w:t>failed to provide a</w:t>
      </w:r>
      <w:r w:rsidR="00F61837">
        <w:rPr>
          <w:rFonts w:ascii="Verdana" w:hAnsi="Verdana"/>
          <w:sz w:val="20"/>
          <w:lang w:val="en-NZ"/>
        </w:rPr>
        <w:t xml:space="preserve"> mandate or </w:t>
      </w:r>
      <w:r w:rsidR="005B7479">
        <w:rPr>
          <w:rFonts w:ascii="Verdana" w:hAnsi="Verdana"/>
          <w:sz w:val="20"/>
          <w:lang w:val="en-NZ"/>
        </w:rPr>
        <w:t>opportunity</w:t>
      </w:r>
      <w:r w:rsidR="001B4231">
        <w:rPr>
          <w:rFonts w:ascii="Verdana" w:hAnsi="Verdana"/>
          <w:sz w:val="20"/>
          <w:lang w:val="en-NZ"/>
        </w:rPr>
        <w:t xml:space="preserve"> for Māori leadership </w:t>
      </w:r>
      <w:r w:rsidR="005B7479">
        <w:rPr>
          <w:rFonts w:ascii="Verdana" w:hAnsi="Verdana"/>
          <w:sz w:val="20"/>
          <w:lang w:val="en-NZ"/>
        </w:rPr>
        <w:t xml:space="preserve">to participate </w:t>
      </w:r>
      <w:r>
        <w:rPr>
          <w:rFonts w:ascii="Verdana" w:hAnsi="Verdana"/>
          <w:sz w:val="20"/>
          <w:lang w:val="en-NZ"/>
        </w:rPr>
        <w:t xml:space="preserve">in a meaningful way </w:t>
      </w:r>
      <w:r w:rsidR="00FE5FEE">
        <w:rPr>
          <w:rFonts w:ascii="Verdana" w:hAnsi="Verdana"/>
          <w:sz w:val="20"/>
          <w:lang w:val="en-NZ"/>
        </w:rPr>
        <w:t>in</w:t>
      </w:r>
      <w:r>
        <w:rPr>
          <w:rFonts w:ascii="Verdana" w:hAnsi="Verdana"/>
          <w:sz w:val="20"/>
          <w:lang w:val="en-NZ"/>
        </w:rPr>
        <w:t xml:space="preserve"> decision-making at a</w:t>
      </w:r>
      <w:r w:rsidR="005B7479">
        <w:rPr>
          <w:rFonts w:ascii="Verdana" w:hAnsi="Verdana"/>
          <w:sz w:val="20"/>
          <w:lang w:val="en-NZ"/>
        </w:rPr>
        <w:t xml:space="preserve"> level where they could </w:t>
      </w:r>
      <w:r w:rsidR="00F61837">
        <w:rPr>
          <w:rFonts w:ascii="Verdana" w:hAnsi="Verdana"/>
          <w:sz w:val="20"/>
          <w:lang w:val="en-NZ"/>
        </w:rPr>
        <w:t>direct or influenc</w:t>
      </w:r>
      <w:r w:rsidR="005B7479">
        <w:rPr>
          <w:rFonts w:ascii="Verdana" w:hAnsi="Verdana"/>
          <w:sz w:val="20"/>
          <w:lang w:val="en-NZ"/>
        </w:rPr>
        <w:t>e</w:t>
      </w:r>
      <w:r w:rsidR="001B4231">
        <w:rPr>
          <w:rFonts w:ascii="Verdana" w:hAnsi="Verdana"/>
          <w:sz w:val="20"/>
          <w:lang w:val="en-NZ"/>
        </w:rPr>
        <w:t xml:space="preserve"> </w:t>
      </w:r>
      <w:r w:rsidR="005B7479">
        <w:rPr>
          <w:rFonts w:ascii="Verdana" w:hAnsi="Verdana"/>
          <w:sz w:val="20"/>
          <w:lang w:val="en-NZ"/>
        </w:rPr>
        <w:t>the</w:t>
      </w:r>
      <w:r w:rsidR="00F61837">
        <w:rPr>
          <w:rFonts w:ascii="Verdana" w:hAnsi="Verdana"/>
          <w:sz w:val="20"/>
          <w:lang w:val="en-NZ"/>
        </w:rPr>
        <w:t xml:space="preserve"> system </w:t>
      </w:r>
      <w:r w:rsidR="005B7479">
        <w:rPr>
          <w:rFonts w:ascii="Verdana" w:hAnsi="Verdana"/>
          <w:sz w:val="20"/>
          <w:lang w:val="en-NZ"/>
        </w:rPr>
        <w:t>to</w:t>
      </w:r>
      <w:r w:rsidR="0054419B">
        <w:rPr>
          <w:rFonts w:ascii="Verdana" w:hAnsi="Verdana"/>
          <w:sz w:val="20"/>
          <w:lang w:val="en-NZ"/>
        </w:rPr>
        <w:t xml:space="preserve"> deliver</w:t>
      </w:r>
      <w:r w:rsidR="005B7479">
        <w:rPr>
          <w:rFonts w:ascii="Verdana" w:hAnsi="Verdana"/>
          <w:sz w:val="20"/>
          <w:lang w:val="en-NZ"/>
        </w:rPr>
        <w:t xml:space="preserve"> more effective</w:t>
      </w:r>
      <w:r w:rsidR="001B4231">
        <w:rPr>
          <w:rFonts w:ascii="Verdana" w:hAnsi="Verdana"/>
          <w:sz w:val="20"/>
          <w:lang w:val="en-NZ"/>
        </w:rPr>
        <w:t xml:space="preserve"> </w:t>
      </w:r>
      <w:r w:rsidR="005B7479">
        <w:rPr>
          <w:rFonts w:ascii="Verdana" w:hAnsi="Verdana"/>
          <w:sz w:val="20"/>
          <w:lang w:val="en-NZ"/>
        </w:rPr>
        <w:t>support</w:t>
      </w:r>
      <w:r w:rsidR="0054419B">
        <w:rPr>
          <w:rFonts w:ascii="Verdana" w:hAnsi="Verdana"/>
          <w:sz w:val="20"/>
          <w:lang w:val="en-NZ"/>
        </w:rPr>
        <w:t xml:space="preserve"> to</w:t>
      </w:r>
      <w:r w:rsidR="001B4231">
        <w:rPr>
          <w:rFonts w:ascii="Verdana" w:hAnsi="Verdana"/>
          <w:sz w:val="20"/>
          <w:lang w:val="en-NZ"/>
        </w:rPr>
        <w:t xml:space="preserve"> Māori children and young people.</w:t>
      </w:r>
    </w:p>
    <w:p w:rsidR="006A2F5A" w:rsidRDefault="005B6D99" w:rsidP="004933D7">
      <w:pPr>
        <w:numPr>
          <w:ilvl w:val="0"/>
          <w:numId w:val="10"/>
        </w:numPr>
        <w:spacing w:before="120" w:after="120"/>
        <w:ind w:left="567" w:hanging="567"/>
        <w:rPr>
          <w:rFonts w:ascii="Verdana" w:hAnsi="Verdana"/>
          <w:sz w:val="20"/>
          <w:lang w:val="en-NZ"/>
        </w:rPr>
      </w:pPr>
      <w:r>
        <w:rPr>
          <w:rFonts w:ascii="Verdana" w:hAnsi="Verdana"/>
          <w:sz w:val="20"/>
          <w:lang w:val="en-NZ"/>
        </w:rPr>
        <w:t>I</w:t>
      </w:r>
      <w:r w:rsidR="0054419B">
        <w:rPr>
          <w:rFonts w:ascii="Verdana" w:hAnsi="Verdana"/>
          <w:sz w:val="20"/>
          <w:lang w:val="en-NZ"/>
        </w:rPr>
        <w:t xml:space="preserve">t </w:t>
      </w:r>
      <w:r>
        <w:rPr>
          <w:rFonts w:ascii="Verdana" w:hAnsi="Verdana"/>
          <w:sz w:val="20"/>
          <w:lang w:val="en-NZ"/>
        </w:rPr>
        <w:t xml:space="preserve">is </w:t>
      </w:r>
      <w:r w:rsidR="0054419B">
        <w:rPr>
          <w:rFonts w:ascii="Verdana" w:hAnsi="Verdana"/>
          <w:sz w:val="20"/>
          <w:lang w:val="en-NZ"/>
        </w:rPr>
        <w:t>unlikely that any future department and wider system will achieve the change required without such participation.</w:t>
      </w:r>
      <w:r w:rsidR="001B4231">
        <w:rPr>
          <w:rFonts w:ascii="Verdana" w:hAnsi="Verdana"/>
          <w:sz w:val="20"/>
          <w:lang w:val="en-NZ"/>
        </w:rPr>
        <w:t xml:space="preserve"> </w:t>
      </w:r>
      <w:r w:rsidR="0015386F">
        <w:rPr>
          <w:rFonts w:ascii="Verdana" w:hAnsi="Verdana"/>
          <w:sz w:val="20"/>
          <w:lang w:val="en-NZ"/>
        </w:rPr>
        <w:t>I</w:t>
      </w:r>
      <w:r w:rsidR="00A97FD1">
        <w:rPr>
          <w:rFonts w:ascii="Verdana" w:hAnsi="Verdana"/>
          <w:sz w:val="20"/>
          <w:lang w:val="en-NZ"/>
        </w:rPr>
        <w:t>wi organisations and M</w:t>
      </w:r>
      <w:r w:rsidR="0015386F">
        <w:rPr>
          <w:rFonts w:ascii="Verdana" w:hAnsi="Verdana"/>
          <w:sz w:val="20"/>
          <w:lang w:val="en-NZ"/>
        </w:rPr>
        <w:t>ā</w:t>
      </w:r>
      <w:r w:rsidR="00A97FD1">
        <w:rPr>
          <w:rFonts w:ascii="Verdana" w:hAnsi="Verdana"/>
          <w:sz w:val="20"/>
          <w:lang w:val="en-NZ"/>
        </w:rPr>
        <w:t xml:space="preserve">ori organisations are better placed to </w:t>
      </w:r>
      <w:r w:rsidR="00A211F3">
        <w:rPr>
          <w:rFonts w:ascii="Verdana" w:hAnsi="Verdana"/>
          <w:sz w:val="20"/>
          <w:lang w:val="en-NZ"/>
        </w:rPr>
        <w:t>work with</w:t>
      </w:r>
      <w:r w:rsidR="00A97FD1">
        <w:rPr>
          <w:rFonts w:ascii="Verdana" w:hAnsi="Verdana"/>
          <w:sz w:val="20"/>
          <w:lang w:val="en-NZ"/>
        </w:rPr>
        <w:t xml:space="preserve"> </w:t>
      </w:r>
      <w:r w:rsidR="008135DF">
        <w:rPr>
          <w:rFonts w:ascii="Verdana" w:hAnsi="Verdana"/>
          <w:sz w:val="20"/>
          <w:lang w:val="en-NZ"/>
        </w:rPr>
        <w:t>MVCOT</w:t>
      </w:r>
      <w:r w:rsidR="008135DF" w:rsidDel="008135DF">
        <w:rPr>
          <w:rFonts w:ascii="Verdana" w:hAnsi="Verdana"/>
          <w:sz w:val="20"/>
          <w:lang w:val="en-NZ"/>
        </w:rPr>
        <w:t xml:space="preserve"> </w:t>
      </w:r>
      <w:r w:rsidR="00A211F3">
        <w:rPr>
          <w:rFonts w:ascii="Verdana" w:hAnsi="Verdana"/>
          <w:sz w:val="20"/>
          <w:lang w:val="en-NZ"/>
        </w:rPr>
        <w:t xml:space="preserve">and support Māori children, young people and their whānau </w:t>
      </w:r>
      <w:r w:rsidR="00A97FD1">
        <w:rPr>
          <w:rFonts w:ascii="Verdana" w:hAnsi="Verdana"/>
          <w:sz w:val="20"/>
          <w:lang w:val="en-NZ"/>
        </w:rPr>
        <w:t>now than they were at the commencement of the CYPF Act</w:t>
      </w:r>
      <w:r w:rsidR="00A211F3" w:rsidRPr="00A108E0">
        <w:rPr>
          <w:rFonts w:ascii="Verdana" w:hAnsi="Verdana"/>
          <w:sz w:val="20"/>
          <w:lang w:val="en-NZ"/>
        </w:rPr>
        <w:t>.</w:t>
      </w:r>
      <w:r w:rsidR="00A97FD1">
        <w:rPr>
          <w:rFonts w:ascii="Verdana" w:hAnsi="Verdana"/>
          <w:sz w:val="20"/>
          <w:lang w:val="en-NZ"/>
        </w:rPr>
        <w:t xml:space="preserve"> </w:t>
      </w:r>
    </w:p>
    <w:p w:rsidR="00F2042C" w:rsidRDefault="004C34C4" w:rsidP="009376A5">
      <w:pPr>
        <w:numPr>
          <w:ilvl w:val="0"/>
          <w:numId w:val="10"/>
        </w:numPr>
        <w:spacing w:before="120" w:after="120"/>
        <w:ind w:left="567" w:hanging="567"/>
        <w:rPr>
          <w:rFonts w:ascii="Verdana" w:hAnsi="Verdana"/>
          <w:sz w:val="20"/>
          <w:lang w:val="en-NZ"/>
        </w:rPr>
      </w:pPr>
      <w:r>
        <w:rPr>
          <w:rFonts w:ascii="Verdana" w:hAnsi="Verdana"/>
          <w:sz w:val="20"/>
          <w:lang w:val="en-NZ"/>
        </w:rPr>
        <w:t>Th</w:t>
      </w:r>
      <w:r w:rsidR="00A67E67">
        <w:rPr>
          <w:rFonts w:ascii="Verdana" w:hAnsi="Verdana"/>
          <w:sz w:val="20"/>
          <w:lang w:val="en-NZ"/>
        </w:rPr>
        <w:t xml:space="preserve">e </w:t>
      </w:r>
      <w:r w:rsidR="00881E86">
        <w:rPr>
          <w:rFonts w:ascii="Verdana" w:hAnsi="Verdana"/>
          <w:sz w:val="20"/>
          <w:lang w:val="en-NZ"/>
        </w:rPr>
        <w:t xml:space="preserve">past </w:t>
      </w:r>
      <w:r w:rsidR="00A67E67">
        <w:rPr>
          <w:rFonts w:ascii="Verdana" w:hAnsi="Verdana"/>
          <w:sz w:val="20"/>
          <w:lang w:val="en-NZ"/>
        </w:rPr>
        <w:t xml:space="preserve">absence of any </w:t>
      </w:r>
      <w:r w:rsidR="00FE5FEE">
        <w:rPr>
          <w:rFonts w:ascii="Verdana" w:hAnsi="Verdana"/>
          <w:sz w:val="20"/>
          <w:lang w:val="en-NZ"/>
        </w:rPr>
        <w:t xml:space="preserve">legislative </w:t>
      </w:r>
      <w:r w:rsidR="00C5658D">
        <w:rPr>
          <w:rFonts w:ascii="Verdana" w:hAnsi="Verdana"/>
          <w:sz w:val="20"/>
          <w:lang w:val="en-NZ"/>
        </w:rPr>
        <w:t>impetus or direction</w:t>
      </w:r>
      <w:r w:rsidR="00A67E67">
        <w:rPr>
          <w:rFonts w:ascii="Verdana" w:hAnsi="Verdana"/>
          <w:sz w:val="20"/>
          <w:lang w:val="en-NZ"/>
        </w:rPr>
        <w:t xml:space="preserve"> to develop strategic partnership</w:t>
      </w:r>
      <w:r w:rsidR="00B93D49">
        <w:rPr>
          <w:rFonts w:ascii="Verdana" w:hAnsi="Verdana"/>
          <w:sz w:val="20"/>
          <w:lang w:val="en-NZ"/>
        </w:rPr>
        <w:t>s</w:t>
      </w:r>
      <w:r w:rsidR="006A2F5A">
        <w:rPr>
          <w:rFonts w:ascii="Verdana" w:hAnsi="Verdana"/>
          <w:sz w:val="20"/>
          <w:lang w:val="en-NZ"/>
        </w:rPr>
        <w:t xml:space="preserve"> involving iwi and M</w:t>
      </w:r>
      <w:r w:rsidR="00C5658D">
        <w:rPr>
          <w:rFonts w:ascii="Verdana" w:hAnsi="Verdana"/>
          <w:sz w:val="20"/>
          <w:lang w:val="en-NZ"/>
        </w:rPr>
        <w:t>ā</w:t>
      </w:r>
      <w:r w:rsidR="006A2F5A">
        <w:rPr>
          <w:rFonts w:ascii="Verdana" w:hAnsi="Verdana"/>
          <w:sz w:val="20"/>
          <w:lang w:val="en-NZ"/>
        </w:rPr>
        <w:t>ori leadership</w:t>
      </w:r>
      <w:r>
        <w:rPr>
          <w:rFonts w:ascii="Verdana" w:hAnsi="Verdana"/>
          <w:sz w:val="20"/>
          <w:lang w:val="en-NZ"/>
        </w:rPr>
        <w:t xml:space="preserve"> appears </w:t>
      </w:r>
      <w:r w:rsidR="00C5658D">
        <w:rPr>
          <w:rFonts w:ascii="Verdana" w:hAnsi="Verdana"/>
          <w:sz w:val="20"/>
          <w:lang w:val="en-NZ"/>
        </w:rPr>
        <w:t>to be at odds with</w:t>
      </w:r>
      <w:r>
        <w:rPr>
          <w:rFonts w:ascii="Verdana" w:hAnsi="Verdana"/>
          <w:sz w:val="20"/>
          <w:lang w:val="en-NZ"/>
        </w:rPr>
        <w:t xml:space="preserve"> the over-representation of M</w:t>
      </w:r>
      <w:r w:rsidR="00C5658D">
        <w:rPr>
          <w:rFonts w:ascii="Verdana" w:hAnsi="Verdana"/>
          <w:sz w:val="20"/>
          <w:lang w:val="en-NZ"/>
        </w:rPr>
        <w:t>ā</w:t>
      </w:r>
      <w:r>
        <w:rPr>
          <w:rFonts w:ascii="Verdana" w:hAnsi="Verdana"/>
          <w:sz w:val="20"/>
          <w:lang w:val="en-NZ"/>
        </w:rPr>
        <w:t xml:space="preserve">ori within the care and protection, and youth justice systems, </w:t>
      </w:r>
      <w:r w:rsidR="00A67E67">
        <w:rPr>
          <w:rFonts w:ascii="Verdana" w:hAnsi="Verdana"/>
          <w:sz w:val="20"/>
          <w:lang w:val="en-NZ"/>
        </w:rPr>
        <w:t xml:space="preserve">and </w:t>
      </w:r>
      <w:r>
        <w:rPr>
          <w:rFonts w:ascii="Verdana" w:hAnsi="Verdana"/>
          <w:sz w:val="20"/>
          <w:lang w:val="en-NZ"/>
        </w:rPr>
        <w:t xml:space="preserve">the poor outcomes experienced by young people </w:t>
      </w:r>
      <w:r w:rsidR="00B93D49">
        <w:rPr>
          <w:rFonts w:ascii="Verdana" w:hAnsi="Verdana"/>
          <w:sz w:val="20"/>
          <w:lang w:val="en-NZ"/>
        </w:rPr>
        <w:t>following their transition out of the system</w:t>
      </w:r>
      <w:r w:rsidR="0054419B">
        <w:rPr>
          <w:rFonts w:ascii="Verdana" w:hAnsi="Verdana"/>
          <w:sz w:val="20"/>
          <w:lang w:val="en-NZ"/>
        </w:rPr>
        <w:t>.</w:t>
      </w:r>
      <w:r w:rsidR="00F61837">
        <w:rPr>
          <w:rFonts w:ascii="Verdana" w:hAnsi="Verdana"/>
          <w:sz w:val="20"/>
          <w:lang w:val="en-NZ"/>
        </w:rPr>
        <w:t xml:space="preserve"> </w:t>
      </w:r>
    </w:p>
    <w:p w:rsidR="00A5130E" w:rsidRDefault="00F2042C" w:rsidP="00A5130E">
      <w:pPr>
        <w:spacing w:before="120" w:after="120"/>
        <w:rPr>
          <w:rFonts w:ascii="Verdana" w:hAnsi="Verdana"/>
          <w:b/>
          <w:sz w:val="24"/>
          <w:szCs w:val="24"/>
          <w:lang w:val="en-NZ"/>
        </w:rPr>
      </w:pPr>
      <w:r>
        <w:rPr>
          <w:rFonts w:ascii="Verdana" w:hAnsi="Verdana"/>
          <w:b/>
          <w:sz w:val="24"/>
          <w:szCs w:val="24"/>
          <w:lang w:val="en-NZ"/>
        </w:rPr>
        <w:t>A lack of accountability to M</w:t>
      </w:r>
      <w:r w:rsidR="00C5658D">
        <w:rPr>
          <w:rFonts w:ascii="Verdana" w:hAnsi="Verdana"/>
          <w:b/>
          <w:sz w:val="24"/>
          <w:szCs w:val="24"/>
          <w:lang w:val="en-NZ"/>
        </w:rPr>
        <w:t>ā</w:t>
      </w:r>
      <w:r>
        <w:rPr>
          <w:rFonts w:ascii="Verdana" w:hAnsi="Verdana"/>
          <w:b/>
          <w:sz w:val="24"/>
          <w:szCs w:val="24"/>
          <w:lang w:val="en-NZ"/>
        </w:rPr>
        <w:t>ori children and their wh</w:t>
      </w:r>
      <w:r w:rsidR="007666FD">
        <w:rPr>
          <w:rFonts w:ascii="Verdana" w:hAnsi="Verdana"/>
          <w:b/>
          <w:sz w:val="24"/>
          <w:szCs w:val="24"/>
          <w:lang w:val="en-NZ"/>
        </w:rPr>
        <w:t>ā</w:t>
      </w:r>
      <w:r>
        <w:rPr>
          <w:rFonts w:ascii="Verdana" w:hAnsi="Verdana"/>
          <w:b/>
          <w:sz w:val="24"/>
          <w:szCs w:val="24"/>
          <w:lang w:val="en-NZ"/>
        </w:rPr>
        <w:t>nau</w:t>
      </w:r>
    </w:p>
    <w:p w:rsidR="00B93D49" w:rsidRDefault="00B93D49" w:rsidP="0053456B">
      <w:pPr>
        <w:numPr>
          <w:ilvl w:val="0"/>
          <w:numId w:val="10"/>
        </w:numPr>
        <w:spacing w:before="120" w:after="120"/>
        <w:ind w:left="567" w:hanging="567"/>
        <w:rPr>
          <w:rFonts w:ascii="Verdana" w:hAnsi="Verdana"/>
          <w:sz w:val="20"/>
          <w:lang w:val="en-NZ"/>
        </w:rPr>
      </w:pPr>
      <w:r>
        <w:rPr>
          <w:rFonts w:ascii="Verdana" w:hAnsi="Verdana"/>
          <w:sz w:val="20"/>
          <w:lang w:val="en-NZ"/>
        </w:rPr>
        <w:t>Section</w:t>
      </w:r>
      <w:r w:rsidR="0053456B" w:rsidRPr="00F2042C">
        <w:rPr>
          <w:rFonts w:ascii="Verdana" w:hAnsi="Verdana"/>
          <w:sz w:val="20"/>
          <w:lang w:val="en-NZ"/>
        </w:rPr>
        <w:t xml:space="preserve"> 7</w:t>
      </w:r>
      <w:r w:rsidR="004933D7">
        <w:rPr>
          <w:rFonts w:ascii="Verdana" w:hAnsi="Verdana"/>
          <w:sz w:val="20"/>
          <w:lang w:val="en-NZ"/>
        </w:rPr>
        <w:t xml:space="preserve">(1) </w:t>
      </w:r>
      <w:r>
        <w:rPr>
          <w:rFonts w:ascii="Verdana" w:hAnsi="Verdana"/>
          <w:sz w:val="20"/>
          <w:lang w:val="en-NZ"/>
        </w:rPr>
        <w:t>of</w:t>
      </w:r>
      <w:r w:rsidR="0053456B" w:rsidRPr="00F2042C">
        <w:rPr>
          <w:rFonts w:ascii="Verdana" w:hAnsi="Verdana"/>
          <w:sz w:val="20"/>
          <w:lang w:val="en-NZ"/>
        </w:rPr>
        <w:t xml:space="preserve"> the CYPF Act requires the </w:t>
      </w:r>
      <w:r w:rsidR="00CA513D">
        <w:rPr>
          <w:rFonts w:ascii="Verdana" w:hAnsi="Verdana"/>
          <w:sz w:val="20"/>
          <w:lang w:val="en-NZ"/>
        </w:rPr>
        <w:t>CE</w:t>
      </w:r>
      <w:r w:rsidR="0053456B" w:rsidRPr="00F2042C">
        <w:rPr>
          <w:rFonts w:ascii="Verdana" w:hAnsi="Verdana"/>
          <w:sz w:val="20"/>
          <w:lang w:val="en-NZ"/>
        </w:rPr>
        <w:t xml:space="preserve"> to</w:t>
      </w:r>
      <w:r w:rsidR="00A9311D">
        <w:rPr>
          <w:rFonts w:ascii="Verdana" w:hAnsi="Verdana"/>
          <w:sz w:val="20"/>
          <w:lang w:val="en-NZ"/>
        </w:rPr>
        <w:t xml:space="preserve"> take proactive and prompt measures to ensure that the objects of the Act</w:t>
      </w:r>
      <w:r w:rsidR="005C51F0">
        <w:rPr>
          <w:rFonts w:ascii="Verdana" w:hAnsi="Verdana"/>
          <w:sz w:val="20"/>
          <w:lang w:val="en-NZ"/>
        </w:rPr>
        <w:t xml:space="preserve"> are reached</w:t>
      </w:r>
      <w:r w:rsidR="00A9311D">
        <w:rPr>
          <w:rFonts w:ascii="Verdana" w:hAnsi="Verdana"/>
          <w:sz w:val="20"/>
          <w:lang w:val="en-NZ"/>
        </w:rPr>
        <w:t>, including th</w:t>
      </w:r>
      <w:r w:rsidR="005C51F0">
        <w:rPr>
          <w:rFonts w:ascii="Verdana" w:hAnsi="Verdana"/>
          <w:sz w:val="20"/>
          <w:lang w:val="en-NZ"/>
        </w:rPr>
        <w:t xml:space="preserve">at </w:t>
      </w:r>
      <w:r w:rsidR="00881E86">
        <w:rPr>
          <w:rFonts w:ascii="Verdana" w:hAnsi="Verdana"/>
          <w:sz w:val="20"/>
          <w:lang w:val="en-NZ"/>
        </w:rPr>
        <w:t xml:space="preserve">the </w:t>
      </w:r>
      <w:r w:rsidR="005C51F0">
        <w:rPr>
          <w:rFonts w:ascii="Verdana" w:hAnsi="Verdana"/>
          <w:sz w:val="20"/>
          <w:lang w:val="en-NZ"/>
        </w:rPr>
        <w:t xml:space="preserve">well-being of children is advanced by the promotion of services that are appropriate </w:t>
      </w:r>
      <w:r w:rsidR="005C51F0">
        <w:rPr>
          <w:rFonts w:ascii="Verdana" w:hAnsi="Verdana"/>
          <w:i/>
          <w:sz w:val="20"/>
          <w:lang w:val="en-NZ"/>
        </w:rPr>
        <w:t>having regard to the needs, values, and beliefs of particular cultural and ethnic groups</w:t>
      </w:r>
      <w:r w:rsidR="004933D7">
        <w:rPr>
          <w:rFonts w:ascii="Verdana" w:hAnsi="Verdana"/>
          <w:i/>
          <w:sz w:val="20"/>
          <w:lang w:val="en-NZ"/>
        </w:rPr>
        <w:t xml:space="preserve"> </w:t>
      </w:r>
      <w:r w:rsidR="004933D7">
        <w:rPr>
          <w:rFonts w:ascii="Verdana" w:hAnsi="Verdana"/>
          <w:sz w:val="20"/>
          <w:lang w:val="en-NZ"/>
        </w:rPr>
        <w:t>(section 4(a</w:t>
      </w:r>
      <w:proofErr w:type="gramStart"/>
      <w:r w:rsidR="004933D7">
        <w:rPr>
          <w:rFonts w:ascii="Verdana" w:hAnsi="Verdana"/>
          <w:sz w:val="20"/>
          <w:lang w:val="en-NZ"/>
        </w:rPr>
        <w:t>)(</w:t>
      </w:r>
      <w:proofErr w:type="gramEnd"/>
      <w:r w:rsidR="004933D7">
        <w:rPr>
          <w:rFonts w:ascii="Verdana" w:hAnsi="Verdana"/>
          <w:sz w:val="20"/>
          <w:lang w:val="en-NZ"/>
        </w:rPr>
        <w:t>i))</w:t>
      </w:r>
      <w:r w:rsidR="005C51F0">
        <w:rPr>
          <w:rFonts w:ascii="Verdana" w:hAnsi="Verdana"/>
          <w:sz w:val="20"/>
          <w:lang w:val="en-NZ"/>
        </w:rPr>
        <w:t xml:space="preserve">. As part of this duty the </w:t>
      </w:r>
      <w:r w:rsidR="00CA513D">
        <w:rPr>
          <w:rFonts w:ascii="Verdana" w:hAnsi="Verdana"/>
          <w:sz w:val="20"/>
          <w:lang w:val="en-NZ"/>
        </w:rPr>
        <w:t>CE</w:t>
      </w:r>
      <w:r w:rsidR="005C51F0">
        <w:rPr>
          <w:rFonts w:ascii="Verdana" w:hAnsi="Verdana"/>
          <w:sz w:val="20"/>
          <w:lang w:val="en-NZ"/>
        </w:rPr>
        <w:t xml:space="preserve"> is required to</w:t>
      </w:r>
      <w:r>
        <w:rPr>
          <w:rFonts w:ascii="Verdana" w:hAnsi="Verdana"/>
          <w:sz w:val="20"/>
          <w:lang w:val="en-NZ"/>
        </w:rPr>
        <w:t>:</w:t>
      </w:r>
    </w:p>
    <w:p w:rsidR="00A9311D" w:rsidRDefault="00A9311D" w:rsidP="00BF3E35">
      <w:pPr>
        <w:pStyle w:val="ListParagraph"/>
        <w:numPr>
          <w:ilvl w:val="0"/>
          <w:numId w:val="22"/>
        </w:numPr>
        <w:spacing w:before="120" w:after="120"/>
        <w:ind w:left="1077" w:right="170" w:hanging="357"/>
        <w:rPr>
          <w:rFonts w:ascii="Verdana" w:hAnsi="Verdana"/>
          <w:sz w:val="20"/>
          <w:lang w:val="en-NZ"/>
        </w:rPr>
      </w:pPr>
      <w:r>
        <w:rPr>
          <w:rFonts w:ascii="Verdana" w:hAnsi="Verdana"/>
          <w:sz w:val="20"/>
          <w:lang w:val="en-NZ"/>
        </w:rPr>
        <w:t>monitor, and advise the Minister on, the effect of social policies and social issues on children, young persons, families, whānau, hapū, iwi and family groups</w:t>
      </w:r>
      <w:r w:rsidR="005C51F0">
        <w:rPr>
          <w:rFonts w:ascii="Verdana" w:hAnsi="Verdana"/>
          <w:sz w:val="20"/>
          <w:lang w:val="en-NZ"/>
        </w:rPr>
        <w:t xml:space="preserve"> (section 7(2)(a))</w:t>
      </w:r>
    </w:p>
    <w:p w:rsidR="00B82003" w:rsidRDefault="00B82003" w:rsidP="00B82003">
      <w:pPr>
        <w:pStyle w:val="ListParagraph"/>
        <w:spacing w:before="120" w:after="120"/>
        <w:ind w:left="1077" w:right="170"/>
        <w:rPr>
          <w:rFonts w:ascii="Verdana" w:hAnsi="Verdana"/>
          <w:sz w:val="20"/>
          <w:lang w:val="en-NZ"/>
        </w:rPr>
      </w:pPr>
    </w:p>
    <w:p w:rsidR="005C51F0" w:rsidRPr="005C51F0" w:rsidRDefault="0053456B" w:rsidP="00BF3E35">
      <w:pPr>
        <w:pStyle w:val="ListParagraph"/>
        <w:numPr>
          <w:ilvl w:val="0"/>
          <w:numId w:val="22"/>
        </w:numPr>
        <w:spacing w:before="120" w:after="120"/>
        <w:ind w:left="1077" w:right="170" w:hanging="357"/>
        <w:contextualSpacing w:val="0"/>
        <w:rPr>
          <w:rFonts w:ascii="Verdana" w:hAnsi="Verdana"/>
          <w:sz w:val="20"/>
          <w:lang w:val="en-NZ"/>
        </w:rPr>
      </w:pPr>
      <w:proofErr w:type="gramStart"/>
      <w:r w:rsidRPr="005C51F0">
        <w:rPr>
          <w:rFonts w:ascii="Verdana" w:hAnsi="Verdana"/>
          <w:sz w:val="20"/>
          <w:lang w:val="en-NZ"/>
        </w:rPr>
        <w:t>ens</w:t>
      </w:r>
      <w:r w:rsidR="005C51F0" w:rsidRPr="005C51F0">
        <w:rPr>
          <w:rFonts w:ascii="Verdana" w:hAnsi="Verdana"/>
          <w:sz w:val="20"/>
          <w:lang w:val="en-NZ"/>
        </w:rPr>
        <w:t>ure</w:t>
      </w:r>
      <w:proofErr w:type="gramEnd"/>
      <w:r w:rsidR="005C51F0" w:rsidRPr="005C51F0">
        <w:rPr>
          <w:rFonts w:ascii="Verdana" w:hAnsi="Verdana"/>
          <w:sz w:val="20"/>
          <w:lang w:val="en-NZ"/>
        </w:rPr>
        <w:t xml:space="preserve"> policies and services have </w:t>
      </w:r>
      <w:r w:rsidRPr="005C51F0">
        <w:rPr>
          <w:rFonts w:ascii="Verdana" w:hAnsi="Verdana"/>
          <w:sz w:val="20"/>
          <w:lang w:val="en-NZ"/>
        </w:rPr>
        <w:t>particular regard for the values, culture, a</w:t>
      </w:r>
      <w:r w:rsidR="00A9311D" w:rsidRPr="005C51F0">
        <w:rPr>
          <w:rFonts w:ascii="Verdana" w:hAnsi="Verdana"/>
          <w:sz w:val="20"/>
          <w:lang w:val="en-NZ"/>
        </w:rPr>
        <w:t>nd beliefs of the Māori people</w:t>
      </w:r>
      <w:r w:rsidR="005C51F0" w:rsidRPr="005C51F0">
        <w:rPr>
          <w:rFonts w:ascii="Verdana" w:hAnsi="Verdana"/>
          <w:sz w:val="20"/>
          <w:lang w:val="en-NZ"/>
        </w:rPr>
        <w:t xml:space="preserve"> (section 7(2)(c)(ii))</w:t>
      </w:r>
      <w:r w:rsidR="00674777">
        <w:rPr>
          <w:rFonts w:ascii="Verdana" w:hAnsi="Verdana"/>
          <w:sz w:val="20"/>
          <w:lang w:val="en-NZ"/>
        </w:rPr>
        <w:t>.</w:t>
      </w:r>
    </w:p>
    <w:p w:rsidR="00A9311D" w:rsidRDefault="00B37082" w:rsidP="00AE6074">
      <w:pPr>
        <w:pStyle w:val="ListParagraph"/>
        <w:numPr>
          <w:ilvl w:val="0"/>
          <w:numId w:val="10"/>
        </w:numPr>
        <w:spacing w:before="120" w:after="120"/>
        <w:ind w:left="567" w:hanging="567"/>
        <w:contextualSpacing w:val="0"/>
        <w:rPr>
          <w:rFonts w:ascii="Verdana" w:hAnsi="Verdana"/>
          <w:sz w:val="20"/>
          <w:lang w:val="en-NZ"/>
        </w:rPr>
      </w:pPr>
      <w:r w:rsidRPr="00F963D9">
        <w:rPr>
          <w:rFonts w:ascii="Verdana" w:hAnsi="Verdana"/>
          <w:sz w:val="20"/>
          <w:lang w:val="en-NZ"/>
        </w:rPr>
        <w:t xml:space="preserve">Despite </w:t>
      </w:r>
      <w:r w:rsidR="005C51F0" w:rsidRPr="00F963D9">
        <w:rPr>
          <w:rFonts w:ascii="Verdana" w:hAnsi="Verdana"/>
          <w:sz w:val="20"/>
          <w:lang w:val="en-NZ"/>
        </w:rPr>
        <w:t>these</w:t>
      </w:r>
      <w:r w:rsidRPr="00F963D9">
        <w:rPr>
          <w:rFonts w:ascii="Verdana" w:hAnsi="Verdana"/>
          <w:sz w:val="20"/>
          <w:lang w:val="en-NZ"/>
        </w:rPr>
        <w:t xml:space="preserve"> </w:t>
      </w:r>
      <w:r w:rsidR="00881E86">
        <w:rPr>
          <w:rFonts w:ascii="Verdana" w:hAnsi="Verdana"/>
          <w:sz w:val="20"/>
          <w:lang w:val="en-NZ"/>
        </w:rPr>
        <w:t>duties</w:t>
      </w:r>
      <w:r w:rsidR="00FE5FEE">
        <w:rPr>
          <w:rFonts w:ascii="Verdana" w:hAnsi="Verdana"/>
          <w:sz w:val="20"/>
          <w:lang w:val="en-NZ"/>
        </w:rPr>
        <w:t>,</w:t>
      </w:r>
      <w:r w:rsidR="004933D7" w:rsidRPr="00F963D9">
        <w:rPr>
          <w:rFonts w:ascii="Verdana" w:hAnsi="Verdana"/>
          <w:sz w:val="20"/>
          <w:lang w:val="en-NZ"/>
        </w:rPr>
        <w:t xml:space="preserve"> there is no clear evidence that these duties have resulted in meaningful change for Māori. </w:t>
      </w:r>
    </w:p>
    <w:p w:rsidR="009102EF" w:rsidRPr="009102EF" w:rsidRDefault="009102EF" w:rsidP="005526A7">
      <w:pPr>
        <w:pStyle w:val="ListParagraph"/>
        <w:numPr>
          <w:ilvl w:val="0"/>
          <w:numId w:val="10"/>
        </w:numPr>
        <w:spacing w:before="120" w:after="120"/>
        <w:ind w:left="567" w:hanging="567"/>
        <w:contextualSpacing w:val="0"/>
        <w:rPr>
          <w:rFonts w:ascii="Verdana" w:hAnsi="Verdana"/>
          <w:sz w:val="20"/>
          <w:lang w:val="en-NZ"/>
        </w:rPr>
      </w:pPr>
      <w:r w:rsidRPr="009102EF">
        <w:rPr>
          <w:rFonts w:ascii="Verdana" w:hAnsi="Verdana"/>
          <w:sz w:val="20"/>
          <w:lang w:val="en-NZ"/>
        </w:rPr>
        <w:t xml:space="preserve">Legislative changes </w:t>
      </w:r>
      <w:r>
        <w:rPr>
          <w:rFonts w:ascii="Verdana" w:hAnsi="Verdana"/>
          <w:sz w:val="20"/>
          <w:lang w:val="en-NZ"/>
        </w:rPr>
        <w:t>will</w:t>
      </w:r>
      <w:r w:rsidRPr="009102EF">
        <w:rPr>
          <w:rFonts w:ascii="Verdana" w:hAnsi="Verdana"/>
          <w:sz w:val="20"/>
          <w:lang w:val="en-NZ"/>
        </w:rPr>
        <w:t xml:space="preserve"> draw greater attention to</w:t>
      </w:r>
      <w:r w:rsidR="00701A4B" w:rsidRPr="009102EF">
        <w:rPr>
          <w:rFonts w:ascii="Verdana" w:hAnsi="Verdana"/>
          <w:sz w:val="20"/>
          <w:lang w:val="en-NZ"/>
        </w:rPr>
        <w:t xml:space="preserve"> </w:t>
      </w:r>
      <w:r w:rsidRPr="009102EF">
        <w:rPr>
          <w:rFonts w:ascii="Verdana" w:hAnsi="Verdana"/>
          <w:sz w:val="20"/>
          <w:lang w:val="en-NZ"/>
        </w:rPr>
        <w:t>the need to:</w:t>
      </w:r>
    </w:p>
    <w:p w:rsidR="009102EF" w:rsidRDefault="00701A4B" w:rsidP="00BF3E35">
      <w:pPr>
        <w:pStyle w:val="ListParagraph"/>
        <w:numPr>
          <w:ilvl w:val="0"/>
          <w:numId w:val="33"/>
        </w:numPr>
        <w:spacing w:before="120" w:after="120"/>
        <w:ind w:left="1077" w:right="170" w:hanging="357"/>
        <w:contextualSpacing w:val="0"/>
        <w:rPr>
          <w:rFonts w:ascii="Verdana" w:hAnsi="Verdana"/>
          <w:sz w:val="20"/>
          <w:lang w:val="en-NZ"/>
        </w:rPr>
      </w:pPr>
      <w:r w:rsidRPr="009102EF">
        <w:rPr>
          <w:rFonts w:ascii="Verdana" w:hAnsi="Verdana"/>
          <w:sz w:val="20"/>
          <w:lang w:val="en-NZ"/>
        </w:rPr>
        <w:t>ensur</w:t>
      </w:r>
      <w:r w:rsidR="009102EF">
        <w:rPr>
          <w:rFonts w:ascii="Verdana" w:hAnsi="Verdana"/>
          <w:sz w:val="20"/>
          <w:lang w:val="en-NZ"/>
        </w:rPr>
        <w:t>e</w:t>
      </w:r>
      <w:r w:rsidRPr="009102EF">
        <w:rPr>
          <w:rFonts w:ascii="Verdana" w:hAnsi="Verdana"/>
          <w:sz w:val="20"/>
          <w:lang w:val="en-NZ"/>
        </w:rPr>
        <w:t xml:space="preserve"> that perform</w:t>
      </w:r>
      <w:r w:rsidR="009102EF">
        <w:rPr>
          <w:rFonts w:ascii="Verdana" w:hAnsi="Verdana"/>
          <w:sz w:val="20"/>
          <w:lang w:val="en-NZ"/>
        </w:rPr>
        <w:t xml:space="preserve">ance targets </w:t>
      </w:r>
      <w:r w:rsidR="00EE61EE">
        <w:rPr>
          <w:rFonts w:ascii="Verdana" w:hAnsi="Verdana"/>
          <w:sz w:val="20"/>
          <w:lang w:val="en-NZ"/>
        </w:rPr>
        <w:t xml:space="preserve">directed at improving life outcomes for Māori </w:t>
      </w:r>
      <w:r w:rsidR="009102EF">
        <w:rPr>
          <w:rFonts w:ascii="Verdana" w:hAnsi="Verdana"/>
          <w:sz w:val="20"/>
          <w:lang w:val="en-NZ"/>
        </w:rPr>
        <w:t>are being reached and</w:t>
      </w:r>
      <w:r w:rsidRPr="009102EF">
        <w:rPr>
          <w:rFonts w:ascii="Verdana" w:hAnsi="Verdana"/>
          <w:sz w:val="20"/>
          <w:lang w:val="en-NZ"/>
        </w:rPr>
        <w:t xml:space="preserve"> reported on in a visible or transparent way</w:t>
      </w:r>
    </w:p>
    <w:p w:rsidR="0053456B" w:rsidRDefault="009102EF" w:rsidP="00BF3E35">
      <w:pPr>
        <w:pStyle w:val="ListParagraph"/>
        <w:numPr>
          <w:ilvl w:val="0"/>
          <w:numId w:val="33"/>
        </w:numPr>
        <w:spacing w:before="120" w:after="120"/>
        <w:ind w:left="1077" w:right="170" w:hanging="357"/>
        <w:contextualSpacing w:val="0"/>
        <w:rPr>
          <w:rFonts w:ascii="Verdana" w:hAnsi="Verdana"/>
          <w:sz w:val="20"/>
          <w:lang w:val="en-NZ"/>
        </w:rPr>
      </w:pPr>
      <w:proofErr w:type="gramStart"/>
      <w:r>
        <w:rPr>
          <w:rFonts w:ascii="Verdana" w:hAnsi="Verdana"/>
          <w:sz w:val="20"/>
          <w:lang w:val="en-NZ"/>
        </w:rPr>
        <w:t>provide</w:t>
      </w:r>
      <w:proofErr w:type="gramEnd"/>
      <w:r>
        <w:rPr>
          <w:rFonts w:ascii="Verdana" w:hAnsi="Verdana"/>
          <w:sz w:val="20"/>
          <w:lang w:val="en-NZ"/>
        </w:rPr>
        <w:t xml:space="preserve"> a</w:t>
      </w:r>
      <w:r w:rsidR="00701A4B" w:rsidRPr="009102EF">
        <w:rPr>
          <w:rFonts w:ascii="Verdana" w:hAnsi="Verdana"/>
          <w:sz w:val="20"/>
          <w:lang w:val="en-NZ"/>
        </w:rPr>
        <w:t xml:space="preserve"> </w:t>
      </w:r>
      <w:r w:rsidR="0053456B" w:rsidRPr="009102EF">
        <w:rPr>
          <w:rFonts w:ascii="Verdana" w:hAnsi="Verdana"/>
          <w:sz w:val="20"/>
          <w:lang w:val="en-NZ"/>
        </w:rPr>
        <w:t xml:space="preserve">clear process for </w:t>
      </w:r>
      <w:r w:rsidR="00701A4B" w:rsidRPr="009102EF">
        <w:rPr>
          <w:rFonts w:ascii="Verdana" w:hAnsi="Verdana"/>
          <w:sz w:val="20"/>
          <w:lang w:val="en-NZ"/>
        </w:rPr>
        <w:t xml:space="preserve">allowing Māori to </w:t>
      </w:r>
      <w:r w:rsidR="00064E51" w:rsidRPr="009102EF">
        <w:rPr>
          <w:rFonts w:ascii="Verdana" w:hAnsi="Verdana"/>
          <w:sz w:val="20"/>
          <w:lang w:val="en-NZ"/>
        </w:rPr>
        <w:t>provide feedback on the impact of social policies on Māori</w:t>
      </w:r>
      <w:r w:rsidR="008B752C" w:rsidRPr="009102EF">
        <w:rPr>
          <w:rFonts w:ascii="Verdana" w:hAnsi="Verdana"/>
          <w:sz w:val="20"/>
          <w:lang w:val="en-NZ"/>
        </w:rPr>
        <w:t xml:space="preserve"> or</w:t>
      </w:r>
      <w:r w:rsidR="00064E51" w:rsidRPr="009102EF">
        <w:rPr>
          <w:rFonts w:ascii="Verdana" w:hAnsi="Verdana"/>
          <w:sz w:val="20"/>
          <w:lang w:val="en-NZ"/>
        </w:rPr>
        <w:t xml:space="preserve"> </w:t>
      </w:r>
      <w:r w:rsidR="00FE5FEE" w:rsidRPr="009102EF">
        <w:rPr>
          <w:rFonts w:ascii="Verdana" w:hAnsi="Verdana"/>
          <w:sz w:val="20"/>
          <w:lang w:val="en-NZ"/>
        </w:rPr>
        <w:t>to provide</w:t>
      </w:r>
      <w:r w:rsidR="00064E51" w:rsidRPr="009102EF">
        <w:rPr>
          <w:rFonts w:ascii="Verdana" w:hAnsi="Verdana"/>
          <w:sz w:val="20"/>
          <w:lang w:val="en-NZ"/>
        </w:rPr>
        <w:t xml:space="preserve"> input into the development of policies and services that</w:t>
      </w:r>
      <w:r w:rsidR="0053456B" w:rsidRPr="009102EF">
        <w:rPr>
          <w:rFonts w:ascii="Verdana" w:hAnsi="Verdana"/>
          <w:sz w:val="20"/>
          <w:lang w:val="en-NZ"/>
        </w:rPr>
        <w:t xml:space="preserve"> take into account </w:t>
      </w:r>
      <w:r w:rsidR="00064E51" w:rsidRPr="009102EF">
        <w:rPr>
          <w:rFonts w:ascii="Verdana" w:hAnsi="Verdana"/>
          <w:sz w:val="20"/>
          <w:lang w:val="en-NZ"/>
        </w:rPr>
        <w:t>th</w:t>
      </w:r>
      <w:r w:rsidR="0053456B" w:rsidRPr="009102EF">
        <w:rPr>
          <w:rFonts w:ascii="Verdana" w:hAnsi="Verdana"/>
          <w:sz w:val="20"/>
          <w:lang w:val="en-NZ"/>
        </w:rPr>
        <w:t>e</w:t>
      </w:r>
      <w:r w:rsidR="00064E51" w:rsidRPr="009102EF">
        <w:rPr>
          <w:rFonts w:ascii="Verdana" w:hAnsi="Verdana"/>
          <w:sz w:val="20"/>
          <w:lang w:val="en-NZ"/>
        </w:rPr>
        <w:t>ir</w:t>
      </w:r>
      <w:r w:rsidR="0053456B" w:rsidRPr="009102EF">
        <w:rPr>
          <w:rFonts w:ascii="Verdana" w:hAnsi="Verdana"/>
          <w:sz w:val="20"/>
          <w:lang w:val="en-NZ"/>
        </w:rPr>
        <w:t xml:space="preserve"> values, culture and beliefs</w:t>
      </w:r>
      <w:r w:rsidR="00064E51" w:rsidRPr="009102EF">
        <w:rPr>
          <w:rFonts w:ascii="Verdana" w:hAnsi="Verdana"/>
          <w:sz w:val="20"/>
          <w:lang w:val="en-NZ"/>
        </w:rPr>
        <w:t>.</w:t>
      </w:r>
    </w:p>
    <w:p w:rsidR="00AB0815" w:rsidRDefault="00AB0815" w:rsidP="00AB0815">
      <w:pPr>
        <w:spacing w:before="120" w:after="120"/>
        <w:rPr>
          <w:rFonts w:ascii="Verdana" w:hAnsi="Verdana"/>
          <w:b/>
          <w:sz w:val="24"/>
          <w:szCs w:val="24"/>
          <w:lang w:val="en-NZ"/>
        </w:rPr>
      </w:pPr>
      <w:r>
        <w:rPr>
          <w:rFonts w:ascii="Verdana" w:hAnsi="Verdana"/>
          <w:b/>
          <w:sz w:val="24"/>
          <w:szCs w:val="24"/>
          <w:lang w:val="en-NZ"/>
        </w:rPr>
        <w:t xml:space="preserve">Crisis-driven responses to working with Māori </w:t>
      </w:r>
    </w:p>
    <w:p w:rsidR="00AB0815" w:rsidRDefault="00AB0815"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 xml:space="preserve">There are a number of initiatives underway which allow iwi, Māori and Māori organisations to engage with </w:t>
      </w:r>
      <w:r w:rsidR="00046A5E">
        <w:rPr>
          <w:rFonts w:ascii="Verdana" w:hAnsi="Verdana"/>
          <w:sz w:val="20"/>
          <w:lang w:val="en-NZ"/>
        </w:rPr>
        <w:t>MSD</w:t>
      </w:r>
      <w:r>
        <w:rPr>
          <w:rFonts w:ascii="Verdana" w:hAnsi="Verdana"/>
          <w:sz w:val="20"/>
          <w:lang w:val="en-NZ"/>
        </w:rPr>
        <w:t xml:space="preserve"> and CYF over the design and delivery of services </w:t>
      </w:r>
      <w:r>
        <w:rPr>
          <w:rFonts w:ascii="Verdana" w:hAnsi="Verdana"/>
          <w:sz w:val="20"/>
          <w:lang w:val="en-NZ"/>
        </w:rPr>
        <w:lastRenderedPageBreak/>
        <w:t>for young Māori. These initiatives are designed to respond to concerns raised by individual iwi about the numbers of children and young people in CYF care.</w:t>
      </w:r>
    </w:p>
    <w:p w:rsidR="00AB0815" w:rsidRDefault="00AB0815"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The initiatives are supported by memoranda of understanding between CYF and the six individual iwi, who also receive funding from MSD to run these programmes.</w:t>
      </w:r>
    </w:p>
    <w:p w:rsidR="00AB0815" w:rsidRDefault="00AB0815"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Although such initiatives are supported through Part 8 of the CYPF Act, the Act does not promote a coherent or cohesive approach to looking at how services can be designed and delivered to support improved outcomes for Māori on a proactive basis. They also appear to operate at arms-length from other social sector initiatives that have aspirations to improve outcomes for Māori.</w:t>
      </w:r>
    </w:p>
    <w:p w:rsidR="00000EDA" w:rsidRPr="002668EA" w:rsidRDefault="00000EDA" w:rsidP="00AD38BD">
      <w:pPr>
        <w:keepNext/>
        <w:spacing w:before="240" w:after="180" w:line="240" w:lineRule="auto"/>
        <w:outlineLvl w:val="1"/>
        <w:rPr>
          <w:rFonts w:ascii="Verdana" w:hAnsi="Verdana"/>
          <w:b/>
          <w:color w:val="335087"/>
          <w:spacing w:val="20"/>
          <w:w w:val="90"/>
          <w:sz w:val="28"/>
          <w:szCs w:val="28"/>
        </w:rPr>
      </w:pPr>
      <w:bookmarkStart w:id="68" w:name="_Toc460924509"/>
      <w:r w:rsidRPr="002668EA">
        <w:rPr>
          <w:rFonts w:ascii="Verdana" w:hAnsi="Verdana"/>
          <w:b/>
          <w:color w:val="335087"/>
          <w:spacing w:val="20"/>
          <w:w w:val="90"/>
          <w:sz w:val="28"/>
          <w:szCs w:val="28"/>
        </w:rPr>
        <w:t>Objectives</w:t>
      </w:r>
      <w:bookmarkEnd w:id="57"/>
      <w:bookmarkEnd w:id="58"/>
      <w:bookmarkEnd w:id="59"/>
      <w:bookmarkEnd w:id="60"/>
      <w:bookmarkEnd w:id="61"/>
      <w:bookmarkEnd w:id="62"/>
      <w:bookmarkEnd w:id="63"/>
      <w:bookmarkEnd w:id="64"/>
      <w:bookmarkEnd w:id="65"/>
      <w:bookmarkEnd w:id="66"/>
      <w:bookmarkEnd w:id="67"/>
      <w:bookmarkEnd w:id="68"/>
    </w:p>
    <w:p w:rsidR="002668EA" w:rsidRPr="00332167" w:rsidRDefault="002668EA" w:rsidP="00332167">
      <w:pPr>
        <w:pStyle w:val="ListParagraph"/>
        <w:numPr>
          <w:ilvl w:val="0"/>
          <w:numId w:val="10"/>
        </w:numPr>
        <w:spacing w:before="120" w:after="120"/>
        <w:ind w:left="567" w:hanging="567"/>
        <w:contextualSpacing w:val="0"/>
        <w:rPr>
          <w:rFonts w:ascii="Verdana" w:hAnsi="Verdana"/>
          <w:sz w:val="20"/>
          <w:lang w:val="en-NZ"/>
        </w:rPr>
      </w:pPr>
      <w:bookmarkStart w:id="69" w:name="_Toc244580365"/>
      <w:bookmarkStart w:id="70" w:name="_Toc244587041"/>
      <w:bookmarkStart w:id="71" w:name="_Toc244857275"/>
      <w:bookmarkStart w:id="72" w:name="_Toc244912540"/>
      <w:bookmarkStart w:id="73" w:name="_Toc244916997"/>
      <w:bookmarkStart w:id="74" w:name="_Toc362368106"/>
      <w:bookmarkStart w:id="75" w:name="_Toc362434947"/>
      <w:bookmarkStart w:id="76" w:name="_Toc362589333"/>
      <w:bookmarkStart w:id="77" w:name="_Toc362619033"/>
      <w:bookmarkStart w:id="78" w:name="_Toc362940597"/>
      <w:bookmarkStart w:id="79" w:name="_Toc363047105"/>
      <w:r w:rsidRPr="00332167">
        <w:rPr>
          <w:rFonts w:ascii="Verdana" w:hAnsi="Verdana"/>
          <w:sz w:val="20"/>
          <w:lang w:val="en-NZ"/>
        </w:rPr>
        <w:t>The Expert Panel’s final report sets out six high-level system objectives for a child-centred system:</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Ensure that children have the earliest opportunity for a loving and stable family</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Address the full range of needs for each child</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Prevent harm and re-victimisation of children</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Help children to heal and recover</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Support children to become flourishing adults</w:t>
      </w:r>
    </w:p>
    <w:p w:rsidR="002668EA" w:rsidRPr="002668EA" w:rsidRDefault="002668EA" w:rsidP="00BF3E35">
      <w:pPr>
        <w:pStyle w:val="Bullet1"/>
        <w:numPr>
          <w:ilvl w:val="0"/>
          <w:numId w:val="12"/>
        </w:numPr>
        <w:tabs>
          <w:tab w:val="clear" w:pos="454"/>
          <w:tab w:val="clear" w:pos="964"/>
          <w:tab w:val="num" w:pos="1134"/>
        </w:tabs>
        <w:spacing w:before="120" w:after="120"/>
        <w:ind w:left="1077" w:right="170" w:hanging="357"/>
        <w:rPr>
          <w:rFonts w:ascii="Verdana" w:hAnsi="Verdana"/>
          <w:sz w:val="20"/>
        </w:rPr>
      </w:pPr>
      <w:r w:rsidRPr="002668EA">
        <w:rPr>
          <w:rFonts w:ascii="Verdana" w:hAnsi="Verdana"/>
          <w:sz w:val="20"/>
        </w:rPr>
        <w:t>Help children and young people to take responsibility for their actions and live crime-free lives.</w:t>
      </w:r>
    </w:p>
    <w:p w:rsidR="002668EA" w:rsidRPr="00332167" w:rsidRDefault="002668EA"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The proposals included in this RIS focus on </w:t>
      </w:r>
      <w:r w:rsidR="00FE5FEE" w:rsidRPr="00332167">
        <w:rPr>
          <w:rFonts w:ascii="Verdana" w:hAnsi="Verdana"/>
          <w:sz w:val="20"/>
          <w:lang w:val="en-NZ"/>
        </w:rPr>
        <w:t>each of</w:t>
      </w:r>
      <w:r w:rsidRPr="00332167">
        <w:rPr>
          <w:rFonts w:ascii="Verdana" w:hAnsi="Verdana"/>
          <w:sz w:val="20"/>
          <w:lang w:val="en-NZ"/>
        </w:rPr>
        <w:t xml:space="preserve"> these objectives.</w:t>
      </w:r>
      <w:r w:rsidR="00FE5FEE" w:rsidRPr="00332167">
        <w:rPr>
          <w:rFonts w:ascii="Verdana" w:hAnsi="Verdana"/>
          <w:sz w:val="20"/>
          <w:lang w:val="en-NZ"/>
        </w:rPr>
        <w:t xml:space="preserve"> </w:t>
      </w:r>
      <w:r w:rsidRPr="00332167">
        <w:rPr>
          <w:rFonts w:ascii="Verdana" w:hAnsi="Verdana"/>
          <w:sz w:val="20"/>
          <w:lang w:val="en-NZ"/>
        </w:rPr>
        <w:t xml:space="preserve">The overall purpose of these proposals is to reduce the over-representation of Māori children and young people in the care and protection, and youth justice systems and to </w:t>
      </w:r>
      <w:r w:rsidR="00B56142" w:rsidRPr="00332167">
        <w:rPr>
          <w:rFonts w:ascii="Verdana" w:hAnsi="Verdana"/>
          <w:sz w:val="20"/>
          <w:lang w:val="en-NZ"/>
        </w:rPr>
        <w:t>sec</w:t>
      </w:r>
      <w:r w:rsidRPr="00332167">
        <w:rPr>
          <w:rFonts w:ascii="Verdana" w:hAnsi="Verdana"/>
          <w:sz w:val="20"/>
          <w:lang w:val="en-NZ"/>
        </w:rPr>
        <w:t xml:space="preserve">ure </w:t>
      </w:r>
      <w:r w:rsidR="00D60B51" w:rsidRPr="00332167">
        <w:rPr>
          <w:rFonts w:ascii="Verdana" w:hAnsi="Verdana"/>
          <w:sz w:val="20"/>
          <w:lang w:val="en-NZ"/>
        </w:rPr>
        <w:t>better life</w:t>
      </w:r>
      <w:r w:rsidRPr="00332167">
        <w:rPr>
          <w:rFonts w:ascii="Verdana" w:hAnsi="Verdana"/>
          <w:sz w:val="20"/>
          <w:lang w:val="en-NZ"/>
        </w:rPr>
        <w:t xml:space="preserve"> outcome</w:t>
      </w:r>
      <w:r w:rsidR="00B56142" w:rsidRPr="00332167">
        <w:rPr>
          <w:rFonts w:ascii="Verdana" w:hAnsi="Verdana"/>
          <w:sz w:val="20"/>
          <w:lang w:val="en-NZ"/>
        </w:rPr>
        <w:t>s</w:t>
      </w:r>
      <w:r w:rsidRPr="00332167">
        <w:rPr>
          <w:rFonts w:ascii="Verdana" w:hAnsi="Verdana"/>
          <w:sz w:val="20"/>
          <w:lang w:val="en-NZ"/>
        </w:rPr>
        <w:t xml:space="preserve"> for young Māori who have been in the system</w:t>
      </w:r>
      <w:r w:rsidR="00B56142" w:rsidRPr="00332167">
        <w:rPr>
          <w:rFonts w:ascii="Verdana" w:hAnsi="Verdana"/>
          <w:sz w:val="20"/>
          <w:lang w:val="en-NZ"/>
        </w:rPr>
        <w:t>.</w:t>
      </w:r>
    </w:p>
    <w:p w:rsidR="002668EA" w:rsidRPr="00332167" w:rsidRDefault="002668EA"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 key objectives for the proposals are that they:</w:t>
      </w:r>
    </w:p>
    <w:p w:rsidR="00247003" w:rsidRPr="002668EA" w:rsidRDefault="00247003" w:rsidP="00BF3E35">
      <w:pPr>
        <w:pStyle w:val="ReportBody2"/>
        <w:numPr>
          <w:ilvl w:val="0"/>
          <w:numId w:val="25"/>
        </w:numPr>
        <w:ind w:left="1077" w:right="170" w:hanging="357"/>
        <w:rPr>
          <w:rFonts w:eastAsia="Calibri"/>
        </w:rPr>
      </w:pPr>
      <w:r>
        <w:rPr>
          <w:rFonts w:eastAsia="Calibri"/>
          <w:i/>
        </w:rPr>
        <w:t>address the cultural and identity needs</w:t>
      </w:r>
      <w:r w:rsidRPr="002668EA">
        <w:rPr>
          <w:rFonts w:eastAsia="Calibri"/>
        </w:rPr>
        <w:t xml:space="preserve"> for </w:t>
      </w:r>
      <w:r>
        <w:rPr>
          <w:rFonts w:eastAsia="Calibri"/>
        </w:rPr>
        <w:t xml:space="preserve">Māori </w:t>
      </w:r>
      <w:r w:rsidRPr="002668EA">
        <w:rPr>
          <w:rFonts w:eastAsia="Calibri"/>
        </w:rPr>
        <w:t>children</w:t>
      </w:r>
      <w:r>
        <w:rPr>
          <w:rFonts w:eastAsia="Calibri"/>
        </w:rPr>
        <w:t>,</w:t>
      </w:r>
      <w:r w:rsidRPr="002668EA">
        <w:rPr>
          <w:rFonts w:eastAsia="Calibri"/>
        </w:rPr>
        <w:t xml:space="preserve"> young people</w:t>
      </w:r>
      <w:r w:rsidR="00FE5FEE">
        <w:rPr>
          <w:rFonts w:eastAsia="Calibri"/>
        </w:rPr>
        <w:t>,</w:t>
      </w:r>
      <w:r>
        <w:rPr>
          <w:rFonts w:eastAsia="Calibri"/>
        </w:rPr>
        <w:t xml:space="preserve"> their families and whānau</w:t>
      </w:r>
      <w:r w:rsidRPr="002668EA">
        <w:rPr>
          <w:rFonts w:eastAsia="Calibri"/>
        </w:rPr>
        <w:t xml:space="preserve"> to </w:t>
      </w:r>
      <w:r>
        <w:rPr>
          <w:rFonts w:eastAsia="Calibri"/>
        </w:rPr>
        <w:t xml:space="preserve">provide them with a sense of belonging and help them achieve better life </w:t>
      </w:r>
      <w:r w:rsidRPr="002668EA">
        <w:rPr>
          <w:rFonts w:eastAsia="Calibri"/>
        </w:rPr>
        <w:t>outcomes</w:t>
      </w:r>
    </w:p>
    <w:p w:rsidR="00247003" w:rsidRPr="002668EA" w:rsidRDefault="00247003" w:rsidP="00BF3E35">
      <w:pPr>
        <w:pStyle w:val="ReportBody2"/>
        <w:numPr>
          <w:ilvl w:val="0"/>
          <w:numId w:val="25"/>
        </w:numPr>
        <w:ind w:left="1077" w:right="170" w:hanging="357"/>
        <w:rPr>
          <w:rFonts w:eastAsia="Calibri"/>
        </w:rPr>
      </w:pPr>
      <w:r>
        <w:rPr>
          <w:rFonts w:eastAsia="Calibri"/>
          <w:i/>
        </w:rPr>
        <w:t xml:space="preserve">identify opportunities to increase participation </w:t>
      </w:r>
      <w:r w:rsidRPr="00363E39">
        <w:rPr>
          <w:rFonts w:eastAsia="Calibri"/>
        </w:rPr>
        <w:t>of iwi and Māori organisations</w:t>
      </w:r>
      <w:r w:rsidRPr="002668EA">
        <w:rPr>
          <w:rFonts w:eastAsia="Calibri"/>
        </w:rPr>
        <w:t xml:space="preserve"> </w:t>
      </w:r>
      <w:r>
        <w:rPr>
          <w:rFonts w:eastAsia="Calibri"/>
        </w:rPr>
        <w:t>in the design, development and delivery of policies and services to Māori children, young people and their families and whānau</w:t>
      </w:r>
    </w:p>
    <w:p w:rsidR="00247003" w:rsidRPr="00623089" w:rsidRDefault="00247003" w:rsidP="00BF3E35">
      <w:pPr>
        <w:pStyle w:val="ReportBody2"/>
        <w:numPr>
          <w:ilvl w:val="0"/>
          <w:numId w:val="25"/>
        </w:numPr>
        <w:ind w:left="1077" w:right="170" w:hanging="357"/>
        <w:rPr>
          <w:rFonts w:eastAsia="Calibri"/>
          <w:lang w:val="mi-NZ"/>
        </w:rPr>
      </w:pPr>
      <w:r w:rsidRPr="00363E39">
        <w:rPr>
          <w:rFonts w:eastAsia="Calibri"/>
          <w:i/>
          <w:lang w:val="mi-NZ"/>
        </w:rPr>
        <w:t xml:space="preserve">provide greater clarity and transparency </w:t>
      </w:r>
      <w:r w:rsidRPr="00623089">
        <w:t xml:space="preserve">about the </w:t>
      </w:r>
      <w:r>
        <w:t xml:space="preserve">accountability of the </w:t>
      </w:r>
      <w:r w:rsidR="00CA513D">
        <w:t>CE</w:t>
      </w:r>
      <w:r>
        <w:t xml:space="preserve"> to ensure policies and services deliver</w:t>
      </w:r>
      <w:r w:rsidRPr="00623089">
        <w:t xml:space="preserve"> better life outcomes for Māori children and young people</w:t>
      </w:r>
      <w:r>
        <w:t xml:space="preserve"> who come to the attention of </w:t>
      </w:r>
      <w:r w:rsidR="008135DF">
        <w:t>MVCOT</w:t>
      </w:r>
      <w:r>
        <w:t>.</w:t>
      </w:r>
    </w:p>
    <w:p w:rsidR="008335CB" w:rsidRPr="00332167" w:rsidRDefault="008335CB"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These objectives will be included as criteria against which the options will be assessed, along with further criteria:</w:t>
      </w:r>
    </w:p>
    <w:p w:rsidR="0028362C" w:rsidRPr="00CD5F38" w:rsidRDefault="0028362C" w:rsidP="00BF3E35">
      <w:pPr>
        <w:numPr>
          <w:ilvl w:val="1"/>
          <w:numId w:val="17"/>
        </w:numPr>
        <w:spacing w:before="120" w:after="120"/>
        <w:ind w:left="1077" w:right="170" w:hanging="357"/>
        <w:rPr>
          <w:rFonts w:ascii="Verdana" w:hAnsi="Verdana"/>
          <w:sz w:val="20"/>
        </w:rPr>
      </w:pPr>
      <w:r w:rsidRPr="00CD5F38">
        <w:rPr>
          <w:rFonts w:ascii="Verdana" w:hAnsi="Verdana"/>
          <w:b/>
          <w:sz w:val="20"/>
        </w:rPr>
        <w:t>Likely effectiveness</w:t>
      </w:r>
      <w:r w:rsidRPr="00CD5F38">
        <w:rPr>
          <w:rFonts w:ascii="Verdana" w:hAnsi="Verdana"/>
          <w:sz w:val="20"/>
        </w:rPr>
        <w:t xml:space="preserve"> - the extent to which the proposals meet the objectives stated above </w:t>
      </w:r>
    </w:p>
    <w:p w:rsidR="0028362C" w:rsidRPr="00CD5F38" w:rsidRDefault="0028362C" w:rsidP="00BF3E35">
      <w:pPr>
        <w:numPr>
          <w:ilvl w:val="1"/>
          <w:numId w:val="17"/>
        </w:numPr>
        <w:spacing w:before="120" w:after="120"/>
        <w:ind w:left="1077" w:right="170" w:hanging="357"/>
        <w:rPr>
          <w:rFonts w:ascii="Verdana" w:hAnsi="Verdana"/>
          <w:sz w:val="20"/>
        </w:rPr>
      </w:pPr>
      <w:r w:rsidRPr="00CD5F38">
        <w:rPr>
          <w:rFonts w:ascii="Verdana" w:hAnsi="Verdana"/>
          <w:b/>
          <w:sz w:val="20"/>
        </w:rPr>
        <w:t>Durability</w:t>
      </w:r>
      <w:r w:rsidRPr="00CD5F38">
        <w:rPr>
          <w:rFonts w:ascii="Verdana" w:hAnsi="Verdana"/>
          <w:sz w:val="20"/>
        </w:rPr>
        <w:t xml:space="preserve"> - the extent to which proposals are likely to achieve sustained change in the direction sought and support the long-term transformation required to implement the new operating model for vulne</w:t>
      </w:r>
      <w:r w:rsidR="00CD5F38">
        <w:rPr>
          <w:rFonts w:ascii="Verdana" w:hAnsi="Verdana"/>
          <w:sz w:val="20"/>
        </w:rPr>
        <w:t>rable children and young people</w:t>
      </w:r>
    </w:p>
    <w:p w:rsidR="0028362C" w:rsidRPr="00CD5F38" w:rsidRDefault="00FA79AE" w:rsidP="00BF3E35">
      <w:pPr>
        <w:numPr>
          <w:ilvl w:val="1"/>
          <w:numId w:val="17"/>
        </w:numPr>
        <w:spacing w:before="120" w:after="120"/>
        <w:ind w:left="1077" w:right="170" w:hanging="357"/>
        <w:rPr>
          <w:rFonts w:ascii="Verdana" w:hAnsi="Verdana"/>
          <w:sz w:val="20"/>
        </w:rPr>
      </w:pPr>
      <w:r w:rsidRPr="00CD5F38">
        <w:rPr>
          <w:rFonts w:ascii="Verdana" w:hAnsi="Verdana"/>
          <w:b/>
          <w:sz w:val="20"/>
        </w:rPr>
        <w:lastRenderedPageBreak/>
        <w:t>Practicality</w:t>
      </w:r>
      <w:r w:rsidR="0028362C" w:rsidRPr="00CD5F38">
        <w:rPr>
          <w:rFonts w:ascii="Verdana" w:hAnsi="Verdana"/>
          <w:sz w:val="20"/>
        </w:rPr>
        <w:t xml:space="preserve"> - the extent to which proposals are practical, clear, and easy to understand incl</w:t>
      </w:r>
      <w:r w:rsidR="00CD5F38">
        <w:rPr>
          <w:rFonts w:ascii="Verdana" w:hAnsi="Verdana"/>
          <w:sz w:val="20"/>
        </w:rPr>
        <w:t>uding clarity for practitioners</w:t>
      </w:r>
      <w:r w:rsidR="0028362C" w:rsidRPr="00CD5F38">
        <w:rPr>
          <w:rFonts w:ascii="Verdana" w:hAnsi="Verdana"/>
          <w:sz w:val="20"/>
        </w:rPr>
        <w:t xml:space="preserve"> </w:t>
      </w:r>
    </w:p>
    <w:p w:rsidR="0028362C" w:rsidRPr="00CD5F38" w:rsidRDefault="0028362C" w:rsidP="00BF3E35">
      <w:pPr>
        <w:numPr>
          <w:ilvl w:val="1"/>
          <w:numId w:val="17"/>
        </w:numPr>
        <w:spacing w:before="120" w:after="120"/>
        <w:ind w:left="1077" w:right="170" w:hanging="357"/>
        <w:rPr>
          <w:rFonts w:ascii="Verdana" w:hAnsi="Verdana"/>
          <w:sz w:val="20"/>
        </w:rPr>
      </w:pPr>
      <w:r w:rsidRPr="00CD5F38">
        <w:rPr>
          <w:rFonts w:ascii="Verdana" w:hAnsi="Verdana"/>
          <w:b/>
          <w:sz w:val="20"/>
        </w:rPr>
        <w:t>Fiscal and operational impact</w:t>
      </w:r>
      <w:r w:rsidRPr="00CD5F38">
        <w:rPr>
          <w:rFonts w:ascii="Verdana" w:hAnsi="Verdana"/>
          <w:sz w:val="20"/>
        </w:rPr>
        <w:t xml:space="preserve"> - the extent to which proposals achieve the objectives above while minimising the compliance costs and the operational implications of the proposal</w:t>
      </w:r>
    </w:p>
    <w:p w:rsidR="0028362C" w:rsidRPr="00CD5F38" w:rsidRDefault="0028362C" w:rsidP="00BF3E35">
      <w:pPr>
        <w:numPr>
          <w:ilvl w:val="1"/>
          <w:numId w:val="17"/>
        </w:numPr>
        <w:spacing w:before="120" w:after="120"/>
        <w:ind w:left="1077" w:right="170" w:hanging="357"/>
        <w:rPr>
          <w:rFonts w:ascii="Verdana" w:hAnsi="Verdana"/>
          <w:sz w:val="20"/>
        </w:rPr>
      </w:pPr>
      <w:r w:rsidRPr="00CD5F38">
        <w:rPr>
          <w:rFonts w:ascii="Verdana" w:hAnsi="Verdana"/>
          <w:b/>
          <w:sz w:val="20"/>
        </w:rPr>
        <w:t>Fairness and equity</w:t>
      </w:r>
      <w:r w:rsidRPr="00CD5F38">
        <w:rPr>
          <w:rFonts w:ascii="Verdana" w:hAnsi="Verdana"/>
          <w:sz w:val="20"/>
        </w:rPr>
        <w:t xml:space="preserve"> - the extent to which proposals promote fairness and treat similar cohorts in a consistent wa</w:t>
      </w:r>
      <w:r w:rsidR="00CD5F38">
        <w:rPr>
          <w:rFonts w:ascii="Verdana" w:hAnsi="Verdana"/>
          <w:sz w:val="20"/>
        </w:rPr>
        <w:t>y</w:t>
      </w:r>
      <w:r w:rsidRPr="00CD5F38">
        <w:rPr>
          <w:rFonts w:ascii="Verdana" w:hAnsi="Verdana"/>
          <w:sz w:val="20"/>
        </w:rPr>
        <w:t xml:space="preserve">  </w:t>
      </w:r>
    </w:p>
    <w:p w:rsidR="0028362C" w:rsidRPr="00CD5F38" w:rsidRDefault="0028362C" w:rsidP="00BF3E35">
      <w:pPr>
        <w:numPr>
          <w:ilvl w:val="1"/>
          <w:numId w:val="17"/>
        </w:numPr>
        <w:spacing w:before="120" w:after="120"/>
        <w:ind w:left="1077" w:right="170" w:hanging="357"/>
        <w:rPr>
          <w:rFonts w:ascii="Verdana" w:hAnsi="Verdana"/>
          <w:sz w:val="20"/>
        </w:rPr>
      </w:pPr>
      <w:r w:rsidRPr="00CD5F38">
        <w:rPr>
          <w:rFonts w:ascii="Verdana" w:hAnsi="Verdana"/>
          <w:b/>
          <w:sz w:val="20"/>
        </w:rPr>
        <w:t>Interaction with other legislation provisions and planned reforms</w:t>
      </w:r>
      <w:r w:rsidRPr="00CD5F38">
        <w:rPr>
          <w:rFonts w:ascii="Verdana" w:hAnsi="Verdana"/>
          <w:sz w:val="20"/>
        </w:rPr>
        <w:t xml:space="preserve"> - the extent to which proposals align with, and do not hinder,</w:t>
      </w:r>
      <w:r w:rsidR="00FA79AE" w:rsidRPr="00CD5F38">
        <w:rPr>
          <w:rFonts w:ascii="Verdana" w:hAnsi="Verdana"/>
          <w:sz w:val="20"/>
        </w:rPr>
        <w:t xml:space="preserve"> relevant</w:t>
      </w:r>
      <w:r w:rsidRPr="00CD5F38">
        <w:rPr>
          <w:rFonts w:ascii="Verdana" w:hAnsi="Verdana"/>
          <w:sz w:val="20"/>
        </w:rPr>
        <w:t xml:space="preserve"> </w:t>
      </w:r>
      <w:r w:rsidR="00CD5F38">
        <w:rPr>
          <w:rFonts w:ascii="Verdana" w:hAnsi="Verdana"/>
          <w:sz w:val="20"/>
        </w:rPr>
        <w:t>legislation or planned reforms</w:t>
      </w:r>
    </w:p>
    <w:p w:rsidR="0028362C" w:rsidRPr="00CD5F38" w:rsidRDefault="0028362C" w:rsidP="00BF3E35">
      <w:pPr>
        <w:numPr>
          <w:ilvl w:val="1"/>
          <w:numId w:val="17"/>
        </w:numPr>
        <w:spacing w:before="120" w:after="120"/>
        <w:ind w:left="1077" w:right="170" w:hanging="357"/>
        <w:rPr>
          <w:rFonts w:ascii="Verdana" w:hAnsi="Verdana" w:cstheme="minorHAnsi"/>
          <w:sz w:val="20"/>
          <w:lang w:val="en-NZ"/>
        </w:rPr>
      </w:pPr>
      <w:r w:rsidRPr="00CD5F38">
        <w:rPr>
          <w:rFonts w:ascii="Verdana" w:hAnsi="Verdana"/>
          <w:b/>
          <w:sz w:val="20"/>
        </w:rPr>
        <w:t>Consistency with the principles of Treaty of Waitangi, United Nations Convention on the Rights of the Child and other relevant international obligations</w:t>
      </w:r>
      <w:r w:rsidRPr="00CD5F38">
        <w:rPr>
          <w:rFonts w:ascii="Verdana" w:hAnsi="Verdana"/>
          <w:sz w:val="20"/>
        </w:rPr>
        <w:t xml:space="preserve"> - the extent to which proposals meet New Zealand’s international obligations</w:t>
      </w:r>
    </w:p>
    <w:p w:rsidR="000A29B1" w:rsidRPr="00CD5F38" w:rsidRDefault="000A29B1" w:rsidP="00BF3E35">
      <w:pPr>
        <w:numPr>
          <w:ilvl w:val="1"/>
          <w:numId w:val="17"/>
        </w:numPr>
        <w:spacing w:before="120" w:after="120"/>
        <w:ind w:left="1077" w:right="170" w:hanging="357"/>
        <w:rPr>
          <w:rFonts w:ascii="Verdana" w:hAnsi="Verdana"/>
          <w:sz w:val="20"/>
        </w:rPr>
      </w:pPr>
      <w:r w:rsidRPr="00CD5F38">
        <w:rPr>
          <w:rFonts w:ascii="Verdana" w:hAnsi="Verdana"/>
          <w:b/>
          <w:sz w:val="20"/>
        </w:rPr>
        <w:t>Compatibility with other Government objectives (including social investment)</w:t>
      </w:r>
      <w:r w:rsidR="00CD5F38">
        <w:rPr>
          <w:rFonts w:ascii="Verdana" w:hAnsi="Verdana"/>
          <w:b/>
          <w:sz w:val="20"/>
        </w:rPr>
        <w:t xml:space="preserve"> </w:t>
      </w:r>
      <w:r w:rsidRPr="00CD5F38">
        <w:rPr>
          <w:rFonts w:ascii="Verdana" w:hAnsi="Verdana"/>
          <w:sz w:val="20"/>
        </w:rPr>
        <w:t>-</w:t>
      </w:r>
      <w:r w:rsidR="00CD5F38">
        <w:rPr>
          <w:rFonts w:ascii="Verdana" w:hAnsi="Verdana"/>
          <w:sz w:val="20"/>
        </w:rPr>
        <w:t xml:space="preserve"> </w:t>
      </w:r>
      <w:r w:rsidRPr="00CD5F38">
        <w:rPr>
          <w:rFonts w:ascii="Verdana" w:hAnsi="Verdana"/>
          <w:sz w:val="20"/>
        </w:rPr>
        <w:t xml:space="preserve">the extent to which the proposals align with the investment approach. </w:t>
      </w:r>
    </w:p>
    <w:p w:rsidR="0028362C" w:rsidRPr="00332167" w:rsidRDefault="00FE5FEE"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We have used a</w:t>
      </w:r>
      <w:r w:rsidR="0028362C" w:rsidRPr="00332167">
        <w:rPr>
          <w:rFonts w:ascii="Verdana" w:hAnsi="Verdana"/>
          <w:sz w:val="20"/>
          <w:lang w:val="en-NZ"/>
        </w:rPr>
        <w:t xml:space="preserve"> child impact assessment tool </w:t>
      </w:r>
      <w:r w:rsidR="00C22ABA" w:rsidRPr="00332167">
        <w:rPr>
          <w:rFonts w:ascii="Verdana" w:hAnsi="Verdana"/>
          <w:sz w:val="20"/>
          <w:lang w:val="en-NZ"/>
        </w:rPr>
        <w:t>to assess whether the proposals are consistent with UNCROC.</w:t>
      </w:r>
      <w:r w:rsidR="0028362C" w:rsidRPr="00332167">
        <w:rPr>
          <w:rFonts w:ascii="Verdana" w:hAnsi="Verdana"/>
          <w:sz w:val="20"/>
          <w:lang w:val="en-NZ"/>
        </w:rPr>
        <w:t xml:space="preserve"> </w:t>
      </w:r>
    </w:p>
    <w:p w:rsidR="006931AE" w:rsidRPr="00332167" w:rsidRDefault="00000EDA" w:rsidP="00332167">
      <w:pPr>
        <w:pStyle w:val="ListParagraph"/>
        <w:numPr>
          <w:ilvl w:val="0"/>
          <w:numId w:val="10"/>
        </w:numPr>
        <w:spacing w:before="120" w:after="120"/>
        <w:ind w:left="567" w:hanging="567"/>
        <w:contextualSpacing w:val="0"/>
        <w:rPr>
          <w:rFonts w:ascii="Verdana" w:hAnsi="Verdana"/>
          <w:sz w:val="20"/>
          <w:lang w:val="en-NZ"/>
        </w:rPr>
      </w:pPr>
      <w:bookmarkStart w:id="80" w:name="_Toc244580366"/>
      <w:bookmarkStart w:id="81" w:name="_Toc244587042"/>
      <w:bookmarkStart w:id="82" w:name="_Toc244857276"/>
      <w:bookmarkStart w:id="83" w:name="_Toc244912541"/>
      <w:bookmarkStart w:id="84" w:name="_Toc244916998"/>
      <w:bookmarkStart w:id="85" w:name="_Toc362368107"/>
      <w:bookmarkStart w:id="86" w:name="_Toc362434948"/>
      <w:bookmarkStart w:id="87" w:name="_Toc362589334"/>
      <w:bookmarkStart w:id="88" w:name="_Toc362619034"/>
      <w:bookmarkStart w:id="89" w:name="_Toc362940598"/>
      <w:bookmarkStart w:id="90" w:name="_Toc363047106"/>
      <w:bookmarkEnd w:id="69"/>
      <w:bookmarkEnd w:id="70"/>
      <w:bookmarkEnd w:id="71"/>
      <w:bookmarkEnd w:id="72"/>
      <w:bookmarkEnd w:id="73"/>
      <w:bookmarkEnd w:id="74"/>
      <w:bookmarkEnd w:id="75"/>
      <w:bookmarkEnd w:id="76"/>
      <w:bookmarkEnd w:id="77"/>
      <w:bookmarkEnd w:id="78"/>
      <w:bookmarkEnd w:id="79"/>
      <w:r w:rsidRPr="00332167">
        <w:rPr>
          <w:rFonts w:ascii="Verdana" w:hAnsi="Verdana"/>
          <w:sz w:val="20"/>
          <w:lang w:val="en-NZ"/>
        </w:rPr>
        <w:t>Detailed option analysis is set out in th</w:t>
      </w:r>
      <w:r w:rsidR="00C03817" w:rsidRPr="00332167">
        <w:rPr>
          <w:rFonts w:ascii="Verdana" w:hAnsi="Verdana"/>
          <w:sz w:val="20"/>
          <w:lang w:val="en-NZ"/>
        </w:rPr>
        <w:t>e table on the following pages</w:t>
      </w:r>
      <w:r w:rsidR="00CA513D" w:rsidRPr="00332167">
        <w:rPr>
          <w:rFonts w:ascii="Verdana" w:hAnsi="Verdana"/>
          <w:sz w:val="20"/>
          <w:lang w:val="en-NZ"/>
        </w:rPr>
        <w:t>.</w:t>
      </w:r>
    </w:p>
    <w:p w:rsidR="007E1C95" w:rsidRPr="006931AE" w:rsidRDefault="007E1C95" w:rsidP="009716C3">
      <w:pPr>
        <w:spacing w:before="120" w:after="120" w:line="280" w:lineRule="exact"/>
      </w:pPr>
      <w:r w:rsidRPr="006931AE">
        <w:rPr>
          <w:b/>
          <w:color w:val="335087"/>
          <w:spacing w:val="20"/>
          <w:w w:val="90"/>
          <w:sz w:val="32"/>
          <w:szCs w:val="24"/>
        </w:rPr>
        <w:t>Options and impact analysis</w:t>
      </w:r>
    </w:p>
    <w:p w:rsidR="00000EDA" w:rsidRPr="00332167" w:rsidRDefault="007E1C95" w:rsidP="00332167">
      <w:pPr>
        <w:pStyle w:val="ListParagraph"/>
        <w:numPr>
          <w:ilvl w:val="0"/>
          <w:numId w:val="10"/>
        </w:numPr>
        <w:spacing w:before="120" w:after="120"/>
        <w:ind w:left="567" w:hanging="567"/>
        <w:contextualSpacing w:val="0"/>
        <w:rPr>
          <w:rFonts w:ascii="Verdana" w:hAnsi="Verdana"/>
          <w:sz w:val="20"/>
          <w:lang w:val="en-NZ"/>
        </w:rPr>
        <w:sectPr w:rsidR="00000EDA" w:rsidRPr="00332167" w:rsidSect="003327EA">
          <w:headerReference w:type="default" r:id="rId9"/>
          <w:footerReference w:type="default" r:id="rId10"/>
          <w:footerReference w:type="first" r:id="rId11"/>
          <w:pgSz w:w="11907" w:h="16840" w:code="9"/>
          <w:pgMar w:top="1418" w:right="1418" w:bottom="1134" w:left="1418" w:header="454" w:footer="454" w:gutter="0"/>
          <w:cols w:space="720"/>
          <w:titlePg/>
          <w:docGrid w:linePitch="299"/>
        </w:sectPr>
      </w:pPr>
      <w:r w:rsidRPr="00332167">
        <w:rPr>
          <w:rFonts w:ascii="Verdana" w:hAnsi="Verdana"/>
          <w:sz w:val="20"/>
          <w:lang w:val="en-NZ"/>
        </w:rPr>
        <w:t xml:space="preserve">Each of the options for reforms </w:t>
      </w:r>
      <w:r w:rsidR="00FE5FEE" w:rsidRPr="00332167">
        <w:rPr>
          <w:rFonts w:ascii="Verdana" w:hAnsi="Verdana"/>
          <w:sz w:val="20"/>
          <w:lang w:val="en-NZ"/>
        </w:rPr>
        <w:t>in the following section</w:t>
      </w:r>
      <w:r w:rsidR="005242A4" w:rsidRPr="00332167">
        <w:rPr>
          <w:rFonts w:ascii="Verdana" w:hAnsi="Verdana"/>
          <w:sz w:val="20"/>
          <w:lang w:val="en-NZ"/>
        </w:rPr>
        <w:t xml:space="preserve"> has been </w:t>
      </w:r>
      <w:r w:rsidRPr="00332167">
        <w:rPr>
          <w:rFonts w:ascii="Verdana" w:hAnsi="Verdana"/>
          <w:sz w:val="20"/>
          <w:lang w:val="en-NZ"/>
        </w:rPr>
        <w:t xml:space="preserve">considered across the eight </w:t>
      </w:r>
      <w:r w:rsidR="005242A4" w:rsidRPr="00332167">
        <w:rPr>
          <w:rFonts w:ascii="Verdana" w:hAnsi="Verdana"/>
          <w:sz w:val="20"/>
          <w:lang w:val="en-NZ"/>
        </w:rPr>
        <w:t>objectives listed above</w:t>
      </w:r>
      <w:r w:rsidRPr="00332167">
        <w:rPr>
          <w:rFonts w:ascii="Verdana" w:hAnsi="Verdana"/>
          <w:sz w:val="20"/>
          <w:lang w:val="en-NZ"/>
        </w:rPr>
        <w:t xml:space="preserve">. The results are summarised </w:t>
      </w:r>
      <w:r w:rsidR="00FA79AE" w:rsidRPr="00332167">
        <w:rPr>
          <w:rFonts w:ascii="Verdana" w:hAnsi="Verdana"/>
          <w:sz w:val="20"/>
          <w:lang w:val="en-NZ"/>
        </w:rPr>
        <w:t xml:space="preserve">on page </w:t>
      </w:r>
      <w:r w:rsidR="005242A4" w:rsidRPr="00332167">
        <w:rPr>
          <w:rFonts w:ascii="Verdana" w:hAnsi="Verdana"/>
          <w:sz w:val="20"/>
          <w:lang w:val="en-NZ"/>
        </w:rPr>
        <w:t>1</w:t>
      </w:r>
      <w:r w:rsidR="00674777" w:rsidRPr="00332167">
        <w:rPr>
          <w:rFonts w:ascii="Verdana" w:hAnsi="Verdana"/>
          <w:sz w:val="20"/>
          <w:lang w:val="en-NZ"/>
        </w:rPr>
        <w:t>3</w:t>
      </w:r>
      <w:r w:rsidR="006931AE" w:rsidRPr="00332167">
        <w:rPr>
          <w:rFonts w:ascii="Verdana" w:hAnsi="Verdana"/>
          <w:sz w:val="20"/>
          <w:lang w:val="en-NZ"/>
        </w:rPr>
        <w:t xml:space="preserve"> </w:t>
      </w:r>
      <w:r w:rsidRPr="00332167">
        <w:rPr>
          <w:rFonts w:ascii="Verdana" w:hAnsi="Verdana"/>
          <w:sz w:val="20"/>
          <w:lang w:val="en-NZ"/>
        </w:rPr>
        <w:t>below.</w:t>
      </w:r>
    </w:p>
    <w:p w:rsidR="0028362C" w:rsidRPr="00DF508A" w:rsidRDefault="0028362C" w:rsidP="00DF508A">
      <w:pPr>
        <w:rPr>
          <w:b/>
          <w:sz w:val="24"/>
          <w:szCs w:val="24"/>
        </w:rPr>
      </w:pPr>
      <w:bookmarkStart w:id="91" w:name="_Toc460924510"/>
      <w:r w:rsidRPr="00DF508A">
        <w:rPr>
          <w:b/>
          <w:sz w:val="24"/>
          <w:szCs w:val="24"/>
        </w:rPr>
        <w:lastRenderedPageBreak/>
        <w:t xml:space="preserve">Option and impact analysis </w:t>
      </w:r>
      <w:bookmarkEnd w:id="91"/>
    </w:p>
    <w:tbl>
      <w:tblPr>
        <w:tblW w:w="5148" w:type="pct"/>
        <w:tblInd w:w="-17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598"/>
        <w:gridCol w:w="4667"/>
        <w:gridCol w:w="4242"/>
        <w:gridCol w:w="6794"/>
        <w:gridCol w:w="4813"/>
      </w:tblGrid>
      <w:tr w:rsidR="005F6DE8" w:rsidRPr="004C563C" w:rsidTr="0008783D">
        <w:trPr>
          <w:tblHeader/>
        </w:trPr>
        <w:tc>
          <w:tcPr>
            <w:tcW w:w="353"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Option</w:t>
            </w:r>
          </w:p>
        </w:tc>
        <w:tc>
          <w:tcPr>
            <w:tcW w:w="1057"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Features </w:t>
            </w:r>
          </w:p>
        </w:tc>
        <w:tc>
          <w:tcPr>
            <w:tcW w:w="961" w:type="pct"/>
            <w:shd w:val="clear" w:color="auto" w:fill="31849B"/>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Implications and impacts</w:t>
            </w:r>
          </w:p>
        </w:tc>
        <w:tc>
          <w:tcPr>
            <w:tcW w:w="1538"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Benefits</w:t>
            </w:r>
          </w:p>
        </w:tc>
        <w:tc>
          <w:tcPr>
            <w:tcW w:w="1090" w:type="pct"/>
            <w:shd w:val="clear" w:color="auto" w:fill="31849B"/>
            <w:hideMark/>
          </w:tcPr>
          <w:p w:rsidR="0028362C" w:rsidRPr="004C563C" w:rsidRDefault="0028362C" w:rsidP="006D5487">
            <w:pPr>
              <w:spacing w:after="0" w:line="240" w:lineRule="auto"/>
              <w:rPr>
                <w:rFonts w:cs="Arial"/>
                <w:b/>
                <w:bCs/>
                <w:color w:val="FFFFFF"/>
                <w:sz w:val="18"/>
                <w:szCs w:val="18"/>
              </w:rPr>
            </w:pPr>
            <w:r w:rsidRPr="004C563C">
              <w:rPr>
                <w:rFonts w:cs="Arial"/>
                <w:b/>
                <w:bCs/>
                <w:color w:val="FFFFFF"/>
                <w:sz w:val="18"/>
                <w:szCs w:val="18"/>
              </w:rPr>
              <w:t xml:space="preserve">Issues/Risks </w:t>
            </w:r>
          </w:p>
        </w:tc>
      </w:tr>
      <w:tr w:rsidR="005F6DE8" w:rsidRPr="004C563C" w:rsidTr="0008783D">
        <w:trPr>
          <w:trHeight w:val="2627"/>
        </w:trPr>
        <w:tc>
          <w:tcPr>
            <w:tcW w:w="353" w:type="pct"/>
            <w:shd w:val="clear" w:color="auto" w:fill="auto"/>
          </w:tcPr>
          <w:p w:rsidR="0028362C" w:rsidRDefault="00BE745D" w:rsidP="005957E7">
            <w:pPr>
              <w:spacing w:after="0" w:line="240" w:lineRule="auto"/>
              <w:rPr>
                <w:rFonts w:cs="Arial"/>
                <w:b/>
                <w:bCs/>
                <w:sz w:val="18"/>
                <w:szCs w:val="18"/>
              </w:rPr>
            </w:pPr>
            <w:r>
              <w:rPr>
                <w:rFonts w:cs="Arial"/>
                <w:b/>
                <w:bCs/>
                <w:sz w:val="18"/>
                <w:szCs w:val="18"/>
              </w:rPr>
              <w:t>Option 1</w:t>
            </w:r>
            <w:r w:rsidR="0028362C">
              <w:rPr>
                <w:rFonts w:cs="Arial"/>
                <w:b/>
                <w:bCs/>
                <w:sz w:val="18"/>
                <w:szCs w:val="18"/>
              </w:rPr>
              <w:t xml:space="preserve"> (status quo)</w:t>
            </w:r>
          </w:p>
          <w:p w:rsidR="0028362C" w:rsidRDefault="0028362C" w:rsidP="005957E7">
            <w:pPr>
              <w:spacing w:after="0" w:line="240" w:lineRule="auto"/>
              <w:rPr>
                <w:rFonts w:cs="Arial"/>
                <w:b/>
                <w:bCs/>
                <w:sz w:val="18"/>
                <w:szCs w:val="18"/>
              </w:rPr>
            </w:pPr>
          </w:p>
          <w:p w:rsidR="0028362C" w:rsidRPr="00C331CB" w:rsidRDefault="0028362C" w:rsidP="005957E7">
            <w:pPr>
              <w:spacing w:after="0" w:line="240" w:lineRule="auto"/>
              <w:rPr>
                <w:rFonts w:cs="Arial"/>
                <w:bCs/>
                <w:sz w:val="18"/>
                <w:szCs w:val="18"/>
              </w:rPr>
            </w:pPr>
            <w:r w:rsidRPr="00C331CB">
              <w:rPr>
                <w:rFonts w:cs="Arial"/>
                <w:bCs/>
                <w:sz w:val="18"/>
                <w:szCs w:val="18"/>
              </w:rPr>
              <w:t xml:space="preserve">No </w:t>
            </w:r>
            <w:r w:rsidR="0099770A">
              <w:rPr>
                <w:rFonts w:cs="Arial"/>
                <w:bCs/>
                <w:sz w:val="18"/>
                <w:szCs w:val="18"/>
              </w:rPr>
              <w:t xml:space="preserve">additional </w:t>
            </w:r>
            <w:r w:rsidRPr="00C331CB">
              <w:rPr>
                <w:rFonts w:cs="Arial"/>
                <w:bCs/>
                <w:sz w:val="18"/>
                <w:szCs w:val="18"/>
              </w:rPr>
              <w:t>measures in the legislation relating to Māori children and young people</w:t>
            </w:r>
          </w:p>
          <w:p w:rsidR="0028362C" w:rsidRDefault="0028362C" w:rsidP="005957E7">
            <w:pPr>
              <w:spacing w:after="0" w:line="240" w:lineRule="auto"/>
              <w:rPr>
                <w:rFonts w:cs="Arial"/>
                <w:b/>
                <w:bCs/>
                <w:sz w:val="18"/>
                <w:szCs w:val="18"/>
              </w:rPr>
            </w:pPr>
          </w:p>
          <w:p w:rsidR="0028362C" w:rsidRDefault="00DA1EE3" w:rsidP="005957E7">
            <w:pPr>
              <w:spacing w:after="0" w:line="240" w:lineRule="auto"/>
              <w:rPr>
                <w:rFonts w:cs="Arial"/>
                <w:b/>
                <w:bCs/>
                <w:sz w:val="18"/>
                <w:szCs w:val="18"/>
              </w:rPr>
            </w:pPr>
            <w:r>
              <w:rPr>
                <w:rFonts w:cs="Arial"/>
                <w:b/>
                <w:bCs/>
                <w:sz w:val="18"/>
                <w:szCs w:val="18"/>
              </w:rPr>
              <w:t>Non-regulatory option</w:t>
            </w:r>
          </w:p>
          <w:p w:rsidR="009716C3" w:rsidRDefault="009716C3" w:rsidP="005957E7">
            <w:pPr>
              <w:spacing w:after="0" w:line="240" w:lineRule="auto"/>
              <w:rPr>
                <w:rFonts w:cs="Arial"/>
                <w:b/>
                <w:bCs/>
                <w:sz w:val="18"/>
                <w:szCs w:val="18"/>
              </w:rPr>
            </w:pPr>
          </w:p>
          <w:p w:rsidR="009716C3" w:rsidRPr="005417C3" w:rsidRDefault="009716C3" w:rsidP="005957E7">
            <w:pPr>
              <w:spacing w:after="0" w:line="240" w:lineRule="auto"/>
              <w:rPr>
                <w:rFonts w:cs="Arial"/>
                <w:bCs/>
                <w:sz w:val="18"/>
                <w:szCs w:val="18"/>
              </w:rPr>
            </w:pPr>
            <w:r w:rsidRPr="005417C3">
              <w:rPr>
                <w:rFonts w:cs="Arial"/>
                <w:bCs/>
                <w:sz w:val="18"/>
                <w:szCs w:val="18"/>
              </w:rPr>
              <w:t>Not preferred</w:t>
            </w:r>
          </w:p>
        </w:tc>
        <w:tc>
          <w:tcPr>
            <w:tcW w:w="1057" w:type="pct"/>
            <w:shd w:val="clear" w:color="auto" w:fill="auto"/>
          </w:tcPr>
          <w:p w:rsidR="0028362C" w:rsidRPr="00046A5E" w:rsidRDefault="0028362C" w:rsidP="005957E7">
            <w:pPr>
              <w:spacing w:after="0" w:line="240" w:lineRule="auto"/>
              <w:rPr>
                <w:rFonts w:cs="Arial"/>
                <w:sz w:val="18"/>
                <w:szCs w:val="18"/>
              </w:rPr>
            </w:pPr>
            <w:r w:rsidRPr="00046A5E">
              <w:rPr>
                <w:rFonts w:cs="Arial"/>
                <w:sz w:val="18"/>
                <w:szCs w:val="18"/>
              </w:rPr>
              <w:t>No specific purpose or principles relating to Māori children or young people are added to</w:t>
            </w:r>
            <w:r w:rsidR="005417C3" w:rsidRPr="00046A5E">
              <w:rPr>
                <w:rFonts w:cs="Arial"/>
                <w:sz w:val="18"/>
                <w:szCs w:val="18"/>
              </w:rPr>
              <w:t xml:space="preserve"> improve</w:t>
            </w:r>
            <w:r w:rsidRPr="00046A5E">
              <w:rPr>
                <w:rFonts w:cs="Arial"/>
                <w:sz w:val="18"/>
                <w:szCs w:val="18"/>
              </w:rPr>
              <w:t xml:space="preserve"> the legislation. </w:t>
            </w:r>
          </w:p>
          <w:p w:rsidR="0028362C" w:rsidRPr="00046A5E" w:rsidRDefault="0028362C" w:rsidP="005957E7">
            <w:pPr>
              <w:spacing w:after="0" w:line="240" w:lineRule="auto"/>
              <w:rPr>
                <w:rFonts w:cs="Arial"/>
                <w:sz w:val="18"/>
                <w:szCs w:val="18"/>
              </w:rPr>
            </w:pPr>
          </w:p>
          <w:p w:rsidR="0028362C" w:rsidRPr="00046A5E" w:rsidRDefault="0028362C" w:rsidP="005957E7">
            <w:pPr>
              <w:spacing w:after="0" w:line="240" w:lineRule="auto"/>
              <w:rPr>
                <w:rFonts w:cs="Arial"/>
                <w:sz w:val="18"/>
                <w:szCs w:val="18"/>
              </w:rPr>
            </w:pPr>
            <w:r w:rsidRPr="00046A5E">
              <w:rPr>
                <w:rFonts w:cs="Arial"/>
                <w:sz w:val="18"/>
                <w:szCs w:val="18"/>
              </w:rPr>
              <w:t>Policies and practice guidelines are used to introduce the changes sought.</w:t>
            </w:r>
            <w:r w:rsidR="005242A4" w:rsidRPr="00046A5E">
              <w:rPr>
                <w:rFonts w:cs="Arial"/>
                <w:sz w:val="18"/>
                <w:szCs w:val="18"/>
              </w:rPr>
              <w:t xml:space="preserve"> An i</w:t>
            </w:r>
            <w:r w:rsidR="00A108E0" w:rsidRPr="00046A5E">
              <w:rPr>
                <w:rFonts w:cs="Arial"/>
                <w:sz w:val="18"/>
                <w:szCs w:val="18"/>
              </w:rPr>
              <w:t xml:space="preserve">nvestment approach </w:t>
            </w:r>
            <w:r w:rsidR="005242A4" w:rsidRPr="00046A5E">
              <w:rPr>
                <w:rFonts w:cs="Arial"/>
                <w:sz w:val="18"/>
                <w:szCs w:val="18"/>
              </w:rPr>
              <w:t>is</w:t>
            </w:r>
            <w:r w:rsidR="00A108E0" w:rsidRPr="00046A5E">
              <w:rPr>
                <w:rFonts w:cs="Arial"/>
                <w:sz w:val="18"/>
                <w:szCs w:val="18"/>
              </w:rPr>
              <w:t xml:space="preserve"> used to </w:t>
            </w:r>
            <w:r w:rsidR="00611481" w:rsidRPr="00046A5E">
              <w:rPr>
                <w:rFonts w:cs="Arial"/>
                <w:sz w:val="18"/>
                <w:szCs w:val="18"/>
              </w:rPr>
              <w:t xml:space="preserve">support interventions aimed at improving outcomes for </w:t>
            </w:r>
            <w:r w:rsidR="00046A5E">
              <w:rPr>
                <w:rFonts w:cs="Arial"/>
                <w:sz w:val="18"/>
                <w:szCs w:val="18"/>
              </w:rPr>
              <w:t>Māori</w:t>
            </w:r>
            <w:r w:rsidR="00611481" w:rsidRPr="00046A5E">
              <w:rPr>
                <w:rFonts w:cs="Arial"/>
                <w:sz w:val="18"/>
                <w:szCs w:val="18"/>
              </w:rPr>
              <w:t>.</w:t>
            </w:r>
          </w:p>
          <w:p w:rsidR="00F45FF2" w:rsidRPr="00046A5E" w:rsidRDefault="00F45FF2" w:rsidP="005957E7">
            <w:pPr>
              <w:spacing w:after="0" w:line="240" w:lineRule="auto"/>
              <w:rPr>
                <w:rFonts w:cs="Arial"/>
                <w:sz w:val="18"/>
                <w:szCs w:val="18"/>
              </w:rPr>
            </w:pPr>
          </w:p>
          <w:p w:rsidR="00F45FF2" w:rsidRPr="00913EDB" w:rsidRDefault="00F45FF2" w:rsidP="005957E7">
            <w:pPr>
              <w:spacing w:after="0" w:line="240" w:lineRule="auto"/>
              <w:rPr>
                <w:rFonts w:cs="Arial"/>
                <w:sz w:val="18"/>
                <w:szCs w:val="18"/>
              </w:rPr>
            </w:pPr>
            <w:r w:rsidRPr="00046A5E">
              <w:rPr>
                <w:rFonts w:cs="Arial"/>
                <w:sz w:val="18"/>
                <w:szCs w:val="18"/>
              </w:rPr>
              <w:t xml:space="preserve">The CYPF Act currently sets out the general duties of the MSD </w:t>
            </w:r>
            <w:r w:rsidR="006E27B2" w:rsidRPr="00046A5E">
              <w:rPr>
                <w:rFonts w:cs="Arial"/>
                <w:sz w:val="18"/>
                <w:szCs w:val="18"/>
              </w:rPr>
              <w:t>CE</w:t>
            </w:r>
            <w:r w:rsidRPr="00046A5E">
              <w:rPr>
                <w:rFonts w:cs="Arial"/>
                <w:sz w:val="18"/>
                <w:szCs w:val="18"/>
              </w:rPr>
              <w:t xml:space="preserve"> such</w:t>
            </w:r>
            <w:r w:rsidR="00CA513D" w:rsidRPr="00046A5E">
              <w:rPr>
                <w:rFonts w:cs="Arial"/>
                <w:sz w:val="18"/>
                <w:szCs w:val="18"/>
              </w:rPr>
              <w:t>,</w:t>
            </w:r>
            <w:r w:rsidRPr="00046A5E">
              <w:rPr>
                <w:rFonts w:cs="Arial"/>
                <w:sz w:val="18"/>
                <w:szCs w:val="18"/>
              </w:rPr>
              <w:t xml:space="preserve"> as the duty to monitor and advise on the effect of social policies and issues on children and families,</w:t>
            </w:r>
            <w:r w:rsidR="00CA6547">
              <w:rPr>
                <w:rFonts w:cs="Arial"/>
                <w:sz w:val="18"/>
                <w:szCs w:val="18"/>
              </w:rPr>
              <w:t xml:space="preserve"> the duty to</w:t>
            </w:r>
            <w:r w:rsidRPr="00046A5E">
              <w:rPr>
                <w:rFonts w:cs="Arial"/>
                <w:sz w:val="18"/>
                <w:szCs w:val="18"/>
              </w:rPr>
              <w:t xml:space="preserve"> promote child abuse awareness and prevention, and </w:t>
            </w:r>
            <w:r w:rsidR="00CA6547">
              <w:rPr>
                <w:rFonts w:cs="Arial"/>
                <w:sz w:val="18"/>
                <w:szCs w:val="18"/>
              </w:rPr>
              <w:t xml:space="preserve">the duty to </w:t>
            </w:r>
            <w:r w:rsidRPr="00046A5E">
              <w:rPr>
                <w:rFonts w:cs="Arial"/>
                <w:sz w:val="18"/>
                <w:szCs w:val="18"/>
              </w:rPr>
              <w:t xml:space="preserve">promote </w:t>
            </w:r>
            <w:r w:rsidRPr="007A28B6">
              <w:rPr>
                <w:rFonts w:cs="Arial"/>
                <w:sz w:val="18"/>
                <w:szCs w:val="18"/>
              </w:rPr>
              <w:t>policies to assist children and families</w:t>
            </w:r>
            <w:r w:rsidR="00CA513D" w:rsidRPr="00901C28">
              <w:rPr>
                <w:rFonts w:cs="Arial"/>
                <w:sz w:val="18"/>
                <w:szCs w:val="18"/>
              </w:rPr>
              <w:t>.</w:t>
            </w:r>
          </w:p>
          <w:p w:rsidR="00F45FF2" w:rsidRPr="009D007C" w:rsidRDefault="00F45FF2" w:rsidP="00046A5E">
            <w:pPr>
              <w:spacing w:after="0" w:line="240" w:lineRule="auto"/>
              <w:rPr>
                <w:rFonts w:cs="Arial"/>
                <w:sz w:val="18"/>
                <w:szCs w:val="18"/>
              </w:rPr>
            </w:pPr>
          </w:p>
          <w:p w:rsidR="00F45FF2" w:rsidRPr="00CA6547" w:rsidRDefault="00F45FF2" w:rsidP="00046A5E">
            <w:pPr>
              <w:spacing w:after="0" w:line="240" w:lineRule="auto"/>
              <w:rPr>
                <w:rFonts w:cs="Arial"/>
                <w:sz w:val="18"/>
                <w:szCs w:val="18"/>
              </w:rPr>
            </w:pPr>
            <w:r w:rsidRPr="009D007C">
              <w:rPr>
                <w:rFonts w:cs="Arial"/>
                <w:sz w:val="18"/>
                <w:szCs w:val="18"/>
              </w:rPr>
              <w:t xml:space="preserve">The </w:t>
            </w:r>
            <w:r w:rsidR="006E27B2" w:rsidRPr="009D007C">
              <w:rPr>
                <w:rFonts w:cs="Arial"/>
                <w:sz w:val="18"/>
                <w:szCs w:val="18"/>
              </w:rPr>
              <w:t>CE</w:t>
            </w:r>
            <w:r w:rsidRPr="00B82003">
              <w:rPr>
                <w:rFonts w:cs="Arial"/>
                <w:sz w:val="18"/>
                <w:szCs w:val="18"/>
              </w:rPr>
              <w:t xml:space="preserve"> would be required to report against new performance target</w:t>
            </w:r>
            <w:r w:rsidRPr="00CA6547">
              <w:rPr>
                <w:rFonts w:cs="Arial"/>
                <w:sz w:val="18"/>
                <w:szCs w:val="18"/>
              </w:rPr>
              <w:t xml:space="preserve">s designed to address over-representation of Māori and lack of participation. </w:t>
            </w:r>
          </w:p>
          <w:p w:rsidR="00F45FF2" w:rsidRPr="000C0983" w:rsidRDefault="00F45FF2" w:rsidP="00046A5E">
            <w:pPr>
              <w:spacing w:after="0" w:line="240" w:lineRule="auto"/>
              <w:rPr>
                <w:rFonts w:cs="Arial"/>
                <w:sz w:val="18"/>
                <w:szCs w:val="18"/>
              </w:rPr>
            </w:pPr>
          </w:p>
          <w:p w:rsidR="00F45FF2" w:rsidRPr="000C0983" w:rsidRDefault="00F45FF2" w:rsidP="00046A5E">
            <w:pPr>
              <w:spacing w:after="0" w:line="240" w:lineRule="auto"/>
              <w:rPr>
                <w:rFonts w:cs="Arial"/>
                <w:sz w:val="18"/>
                <w:szCs w:val="18"/>
              </w:rPr>
            </w:pPr>
            <w:r w:rsidRPr="000C0983">
              <w:rPr>
                <w:rFonts w:cs="Arial"/>
                <w:sz w:val="18"/>
                <w:szCs w:val="18"/>
              </w:rPr>
              <w:t>The application of an investment approach will help determine investment priorities.</w:t>
            </w:r>
          </w:p>
          <w:p w:rsidR="00F45FF2" w:rsidRPr="000C0983" w:rsidRDefault="00F45FF2" w:rsidP="00046A5E">
            <w:pPr>
              <w:spacing w:after="0" w:line="240" w:lineRule="auto"/>
              <w:rPr>
                <w:rFonts w:cs="Arial"/>
                <w:sz w:val="18"/>
                <w:szCs w:val="18"/>
              </w:rPr>
            </w:pPr>
          </w:p>
        </w:tc>
        <w:tc>
          <w:tcPr>
            <w:tcW w:w="961" w:type="pct"/>
            <w:shd w:val="clear" w:color="auto" w:fill="auto"/>
          </w:tcPr>
          <w:p w:rsidR="0099770A" w:rsidRPr="000C0983" w:rsidRDefault="0099770A" w:rsidP="00332167">
            <w:pPr>
              <w:numPr>
                <w:ilvl w:val="0"/>
                <w:numId w:val="8"/>
              </w:numPr>
              <w:spacing w:after="0" w:line="240" w:lineRule="auto"/>
              <w:ind w:left="357" w:hanging="357"/>
              <w:rPr>
                <w:rFonts w:cs="Arial"/>
                <w:sz w:val="18"/>
                <w:szCs w:val="18"/>
              </w:rPr>
            </w:pPr>
            <w:r w:rsidRPr="000C0983">
              <w:rPr>
                <w:rFonts w:cs="Arial"/>
                <w:sz w:val="18"/>
                <w:szCs w:val="18"/>
              </w:rPr>
              <w:t>Practitioners and caregivers have no consistent</w:t>
            </w:r>
            <w:r w:rsidR="005242A4" w:rsidRPr="000C0983">
              <w:rPr>
                <w:rFonts w:cs="Arial"/>
                <w:sz w:val="18"/>
                <w:szCs w:val="18"/>
              </w:rPr>
              <w:t>,</w:t>
            </w:r>
            <w:r w:rsidRPr="000C0983">
              <w:rPr>
                <w:rFonts w:cs="Arial"/>
                <w:sz w:val="18"/>
                <w:szCs w:val="18"/>
              </w:rPr>
              <w:t xml:space="preserve"> clear direction about the importance of addressing cultural needs of children and young people.</w:t>
            </w:r>
          </w:p>
          <w:p w:rsidR="005242A4" w:rsidRPr="000C0983" w:rsidRDefault="005242A4" w:rsidP="00332167">
            <w:pPr>
              <w:spacing w:after="0" w:line="240" w:lineRule="auto"/>
              <w:ind w:left="357"/>
              <w:rPr>
                <w:rFonts w:cs="Arial"/>
                <w:sz w:val="18"/>
                <w:szCs w:val="18"/>
              </w:rPr>
            </w:pPr>
          </w:p>
          <w:p w:rsidR="001E693E" w:rsidRPr="00332167" w:rsidRDefault="0099770A" w:rsidP="00332167">
            <w:pPr>
              <w:numPr>
                <w:ilvl w:val="0"/>
                <w:numId w:val="8"/>
              </w:numPr>
              <w:spacing w:after="0" w:line="240" w:lineRule="auto"/>
              <w:ind w:left="357" w:hanging="357"/>
              <w:rPr>
                <w:rFonts w:cs="Arial"/>
                <w:sz w:val="18"/>
                <w:szCs w:val="18"/>
              </w:rPr>
            </w:pPr>
            <w:r w:rsidRPr="001E693E">
              <w:rPr>
                <w:rFonts w:cs="Arial"/>
                <w:sz w:val="18"/>
                <w:szCs w:val="18"/>
              </w:rPr>
              <w:t>M</w:t>
            </w:r>
            <w:r w:rsidR="00391E76" w:rsidRPr="001E693E">
              <w:rPr>
                <w:rFonts w:cs="Arial"/>
                <w:sz w:val="18"/>
                <w:szCs w:val="18"/>
              </w:rPr>
              <w:t>ā</w:t>
            </w:r>
            <w:r w:rsidRPr="001E693E">
              <w:rPr>
                <w:rFonts w:cs="Arial"/>
                <w:sz w:val="18"/>
                <w:szCs w:val="18"/>
              </w:rPr>
              <w:t xml:space="preserve">ori children and young people </w:t>
            </w:r>
            <w:r w:rsidR="00D60B51" w:rsidRPr="001E693E">
              <w:rPr>
                <w:rFonts w:cs="Arial"/>
                <w:sz w:val="18"/>
                <w:szCs w:val="18"/>
              </w:rPr>
              <w:t>are unlikely t</w:t>
            </w:r>
            <w:r w:rsidRPr="001E693E">
              <w:rPr>
                <w:rFonts w:cs="Arial"/>
                <w:sz w:val="18"/>
                <w:szCs w:val="18"/>
              </w:rPr>
              <w:t xml:space="preserve">o </w:t>
            </w:r>
            <w:r w:rsidR="00D60B51" w:rsidRPr="001E693E">
              <w:rPr>
                <w:rFonts w:cs="Arial"/>
                <w:sz w:val="18"/>
                <w:szCs w:val="18"/>
              </w:rPr>
              <w:t>experience</w:t>
            </w:r>
            <w:r w:rsidR="005242A4" w:rsidRPr="001E693E">
              <w:rPr>
                <w:rFonts w:cs="Arial"/>
                <w:sz w:val="18"/>
                <w:szCs w:val="18"/>
              </w:rPr>
              <w:t xml:space="preserve"> a</w:t>
            </w:r>
            <w:r w:rsidR="00D60B51" w:rsidRPr="001E693E">
              <w:rPr>
                <w:rFonts w:cs="Arial"/>
                <w:sz w:val="18"/>
                <w:szCs w:val="18"/>
              </w:rPr>
              <w:t xml:space="preserve"> sense of belonging and identity on </w:t>
            </w:r>
            <w:r w:rsidR="00881E86" w:rsidRPr="001E693E">
              <w:rPr>
                <w:rFonts w:cs="Arial"/>
                <w:sz w:val="18"/>
                <w:szCs w:val="18"/>
              </w:rPr>
              <w:t xml:space="preserve">a </w:t>
            </w:r>
            <w:r w:rsidR="00D60B51" w:rsidRPr="001E693E">
              <w:rPr>
                <w:rFonts w:cs="Arial"/>
                <w:sz w:val="18"/>
                <w:szCs w:val="18"/>
              </w:rPr>
              <w:t>consistent basis</w:t>
            </w:r>
            <w:r w:rsidR="001E693E" w:rsidRPr="00332167">
              <w:rPr>
                <w:rFonts w:cs="Arial"/>
                <w:sz w:val="18"/>
                <w:szCs w:val="18"/>
              </w:rPr>
              <w:t>.</w:t>
            </w:r>
          </w:p>
          <w:p w:rsidR="001E693E" w:rsidRPr="00332167" w:rsidRDefault="001E693E" w:rsidP="00332167">
            <w:pPr>
              <w:spacing w:after="0" w:line="240" w:lineRule="auto"/>
              <w:ind w:left="357"/>
              <w:rPr>
                <w:rFonts w:cs="Arial"/>
                <w:sz w:val="18"/>
                <w:szCs w:val="18"/>
              </w:rPr>
            </w:pPr>
          </w:p>
          <w:p w:rsidR="001E693E" w:rsidRPr="00332167" w:rsidRDefault="001E693E" w:rsidP="00332167">
            <w:pPr>
              <w:spacing w:after="0" w:line="240" w:lineRule="auto"/>
              <w:ind w:left="357"/>
              <w:rPr>
                <w:rFonts w:cs="Arial"/>
                <w:sz w:val="18"/>
                <w:szCs w:val="18"/>
              </w:rPr>
            </w:pPr>
          </w:p>
          <w:p w:rsidR="0028362C" w:rsidRPr="00046A5E" w:rsidRDefault="0028362C" w:rsidP="001E693E">
            <w:pPr>
              <w:pStyle w:val="ListParagraph"/>
              <w:spacing w:before="120" w:after="120" w:line="280" w:lineRule="exact"/>
              <w:ind w:left="360"/>
              <w:contextualSpacing w:val="0"/>
              <w:rPr>
                <w:rFonts w:cs="Arial"/>
                <w:sz w:val="18"/>
                <w:szCs w:val="18"/>
              </w:rPr>
            </w:pPr>
          </w:p>
        </w:tc>
        <w:tc>
          <w:tcPr>
            <w:tcW w:w="1538" w:type="pct"/>
            <w:shd w:val="clear" w:color="auto" w:fill="auto"/>
          </w:tcPr>
          <w:p w:rsidR="0028362C" w:rsidRPr="00913EDB" w:rsidRDefault="005F6DE8" w:rsidP="001E693E">
            <w:pPr>
              <w:pStyle w:val="ListParagraph"/>
              <w:numPr>
                <w:ilvl w:val="0"/>
                <w:numId w:val="8"/>
              </w:numPr>
              <w:spacing w:after="0" w:line="240" w:lineRule="auto"/>
              <w:contextualSpacing w:val="0"/>
              <w:rPr>
                <w:rFonts w:eastAsia="Calibri" w:cs="Arial"/>
                <w:sz w:val="18"/>
                <w:szCs w:val="18"/>
              </w:rPr>
            </w:pPr>
            <w:r w:rsidRPr="00046A5E">
              <w:rPr>
                <w:rFonts w:eastAsia="Calibri" w:cs="Arial"/>
                <w:i/>
                <w:sz w:val="18"/>
                <w:szCs w:val="18"/>
              </w:rPr>
              <w:t>Fiscal and o</w:t>
            </w:r>
            <w:r w:rsidR="0028362C" w:rsidRPr="00046A5E">
              <w:rPr>
                <w:rFonts w:eastAsia="Calibri" w:cs="Arial"/>
                <w:i/>
                <w:sz w:val="18"/>
                <w:szCs w:val="18"/>
              </w:rPr>
              <w:t>perational impact</w:t>
            </w:r>
            <w:r w:rsidR="0028362C" w:rsidRPr="00046A5E">
              <w:rPr>
                <w:rFonts w:eastAsia="Calibri" w:cs="Arial"/>
                <w:sz w:val="18"/>
                <w:szCs w:val="18"/>
              </w:rPr>
              <w:t xml:space="preserve"> – </w:t>
            </w:r>
            <w:r w:rsidR="005242A4" w:rsidRPr="00046A5E">
              <w:rPr>
                <w:rFonts w:eastAsia="Calibri" w:cs="Arial"/>
                <w:sz w:val="18"/>
                <w:szCs w:val="18"/>
              </w:rPr>
              <w:t>C</w:t>
            </w:r>
            <w:r w:rsidR="00D60B51" w:rsidRPr="00046A5E">
              <w:rPr>
                <w:rFonts w:eastAsia="Calibri" w:cs="Arial"/>
                <w:sz w:val="18"/>
                <w:szCs w:val="18"/>
              </w:rPr>
              <w:t>hanges to policies and operational guidance are lik</w:t>
            </w:r>
            <w:r w:rsidR="00D60B51" w:rsidRPr="007A28B6">
              <w:rPr>
                <w:rFonts w:eastAsia="Calibri" w:cs="Arial"/>
                <w:sz w:val="18"/>
                <w:szCs w:val="18"/>
              </w:rPr>
              <w:t>ely to cause least disruption to existing services and incur least additional cost</w:t>
            </w:r>
            <w:r w:rsidR="0028362C" w:rsidRPr="00901C28">
              <w:rPr>
                <w:rFonts w:eastAsia="Calibri" w:cs="Arial"/>
                <w:sz w:val="18"/>
                <w:szCs w:val="18"/>
              </w:rPr>
              <w:t xml:space="preserve">. </w:t>
            </w:r>
          </w:p>
          <w:p w:rsidR="005957E7" w:rsidRPr="009D007C" w:rsidRDefault="005957E7" w:rsidP="005957E7">
            <w:pPr>
              <w:pStyle w:val="ListParagraph"/>
              <w:spacing w:after="0" w:line="240" w:lineRule="auto"/>
              <w:ind w:left="357"/>
              <w:contextualSpacing w:val="0"/>
              <w:rPr>
                <w:rFonts w:eastAsia="Calibri" w:cs="Arial"/>
                <w:sz w:val="18"/>
                <w:szCs w:val="18"/>
              </w:rPr>
            </w:pPr>
          </w:p>
          <w:p w:rsidR="005F6DE8" w:rsidRPr="000C0983" w:rsidRDefault="005F6DE8" w:rsidP="001E693E">
            <w:pPr>
              <w:pStyle w:val="ListParagraph"/>
              <w:numPr>
                <w:ilvl w:val="0"/>
                <w:numId w:val="8"/>
              </w:numPr>
              <w:spacing w:after="0" w:line="240" w:lineRule="auto"/>
              <w:contextualSpacing w:val="0"/>
              <w:rPr>
                <w:rFonts w:eastAsia="Calibri" w:cs="Arial"/>
                <w:sz w:val="18"/>
                <w:szCs w:val="18"/>
              </w:rPr>
            </w:pPr>
            <w:r w:rsidRPr="009D007C">
              <w:rPr>
                <w:rFonts w:eastAsia="Calibri" w:cs="Arial"/>
                <w:i/>
                <w:sz w:val="18"/>
                <w:szCs w:val="18"/>
              </w:rPr>
              <w:t xml:space="preserve">Fairness and equity </w:t>
            </w:r>
            <w:r w:rsidRPr="009D007C">
              <w:rPr>
                <w:rFonts w:eastAsia="Calibri" w:cs="Arial"/>
                <w:sz w:val="18"/>
                <w:szCs w:val="18"/>
              </w:rPr>
              <w:t xml:space="preserve">– </w:t>
            </w:r>
            <w:r w:rsidR="005242A4" w:rsidRPr="00B82003">
              <w:rPr>
                <w:rFonts w:eastAsia="Calibri" w:cs="Arial"/>
                <w:sz w:val="18"/>
                <w:szCs w:val="18"/>
              </w:rPr>
              <w:t>O</w:t>
            </w:r>
            <w:r w:rsidR="005037F8" w:rsidRPr="00B82003">
              <w:rPr>
                <w:rFonts w:eastAsia="Calibri" w:cs="Arial"/>
                <w:sz w:val="18"/>
                <w:szCs w:val="18"/>
              </w:rPr>
              <w:t>perational guidance may lead to some low level improvement</w:t>
            </w:r>
            <w:r w:rsidR="00AF77DF" w:rsidRPr="00CA6547">
              <w:rPr>
                <w:rFonts w:eastAsia="Calibri" w:cs="Arial"/>
                <w:sz w:val="18"/>
                <w:szCs w:val="18"/>
              </w:rPr>
              <w:t xml:space="preserve">s </w:t>
            </w:r>
            <w:r w:rsidR="005037F8" w:rsidRPr="00CA6547">
              <w:rPr>
                <w:rFonts w:eastAsia="Calibri" w:cs="Arial"/>
                <w:sz w:val="18"/>
                <w:szCs w:val="18"/>
              </w:rPr>
              <w:t>(with incremental benefits</w:t>
            </w:r>
            <w:proofErr w:type="gramStart"/>
            <w:r w:rsidR="005037F8" w:rsidRPr="00CA6547">
              <w:rPr>
                <w:rFonts w:eastAsia="Calibri" w:cs="Arial"/>
                <w:sz w:val="18"/>
                <w:szCs w:val="18"/>
              </w:rPr>
              <w:t>)  but</w:t>
            </w:r>
            <w:proofErr w:type="gramEnd"/>
            <w:r w:rsidR="005037F8" w:rsidRPr="00CA6547">
              <w:rPr>
                <w:rFonts w:eastAsia="Calibri" w:cs="Arial"/>
                <w:sz w:val="18"/>
                <w:szCs w:val="18"/>
              </w:rPr>
              <w:t xml:space="preserve"> </w:t>
            </w:r>
            <w:r w:rsidR="005242A4" w:rsidRPr="00CA6547">
              <w:rPr>
                <w:rFonts w:eastAsia="Calibri" w:cs="Arial"/>
                <w:sz w:val="18"/>
                <w:szCs w:val="18"/>
              </w:rPr>
              <w:t xml:space="preserve">are </w:t>
            </w:r>
            <w:r w:rsidR="005037F8" w:rsidRPr="00CA6547">
              <w:rPr>
                <w:rFonts w:eastAsia="Calibri" w:cs="Arial"/>
                <w:sz w:val="18"/>
                <w:szCs w:val="18"/>
              </w:rPr>
              <w:t>un</w:t>
            </w:r>
            <w:r w:rsidR="00AF77DF" w:rsidRPr="00CA6547">
              <w:rPr>
                <w:rFonts w:eastAsia="Calibri" w:cs="Arial"/>
                <w:sz w:val="18"/>
                <w:szCs w:val="18"/>
              </w:rPr>
              <w:t xml:space="preserve">likely to result in </w:t>
            </w:r>
            <w:r w:rsidR="005037F8" w:rsidRPr="000C0983">
              <w:rPr>
                <w:rFonts w:eastAsia="Calibri" w:cs="Arial"/>
                <w:sz w:val="18"/>
                <w:szCs w:val="18"/>
              </w:rPr>
              <w:t xml:space="preserve">transformational </w:t>
            </w:r>
            <w:r w:rsidR="00AF77DF" w:rsidRPr="000C0983">
              <w:rPr>
                <w:rFonts w:eastAsia="Calibri" w:cs="Arial"/>
                <w:sz w:val="18"/>
                <w:szCs w:val="18"/>
              </w:rPr>
              <w:t>changes</w:t>
            </w:r>
            <w:r w:rsidR="005242A4" w:rsidRPr="000C0983">
              <w:rPr>
                <w:rFonts w:eastAsia="Calibri" w:cs="Arial"/>
                <w:sz w:val="18"/>
                <w:szCs w:val="18"/>
              </w:rPr>
              <w:t xml:space="preserve"> that result in equitable outcomes for Māori</w:t>
            </w:r>
            <w:r w:rsidR="005957E7" w:rsidRPr="000C0983">
              <w:rPr>
                <w:rFonts w:eastAsia="Calibri" w:cs="Arial"/>
                <w:sz w:val="18"/>
                <w:szCs w:val="18"/>
              </w:rPr>
              <w:t>.</w:t>
            </w:r>
          </w:p>
          <w:p w:rsidR="005957E7" w:rsidRPr="000C0983" w:rsidRDefault="005957E7" w:rsidP="005957E7">
            <w:pPr>
              <w:pStyle w:val="ListParagraph"/>
              <w:spacing w:after="0" w:line="240" w:lineRule="auto"/>
              <w:ind w:left="357"/>
              <w:contextualSpacing w:val="0"/>
              <w:rPr>
                <w:rFonts w:eastAsia="Calibri" w:cs="Arial"/>
                <w:sz w:val="18"/>
                <w:szCs w:val="18"/>
              </w:rPr>
            </w:pPr>
          </w:p>
          <w:p w:rsidR="00DA1EE3" w:rsidRPr="000C0983" w:rsidRDefault="00DA1EE3" w:rsidP="001E693E">
            <w:pPr>
              <w:pStyle w:val="ListParagraph"/>
              <w:numPr>
                <w:ilvl w:val="0"/>
                <w:numId w:val="8"/>
              </w:numPr>
              <w:spacing w:after="0" w:line="240" w:lineRule="auto"/>
              <w:contextualSpacing w:val="0"/>
              <w:rPr>
                <w:rFonts w:eastAsia="Calibri" w:cs="Arial"/>
                <w:sz w:val="18"/>
                <w:szCs w:val="18"/>
              </w:rPr>
            </w:pPr>
            <w:r w:rsidRPr="000C0983">
              <w:rPr>
                <w:rFonts w:eastAsia="Calibri" w:cs="Arial"/>
                <w:i/>
                <w:sz w:val="18"/>
                <w:szCs w:val="18"/>
              </w:rPr>
              <w:t xml:space="preserve">Durability </w:t>
            </w:r>
            <w:r w:rsidR="00AF77DF" w:rsidRPr="000C0983">
              <w:rPr>
                <w:rFonts w:eastAsia="Calibri" w:cs="Arial"/>
                <w:i/>
                <w:sz w:val="18"/>
                <w:szCs w:val="18"/>
              </w:rPr>
              <w:t>–</w:t>
            </w:r>
            <w:r w:rsidRPr="000C0983">
              <w:rPr>
                <w:rFonts w:eastAsia="Calibri" w:cs="Arial"/>
                <w:i/>
                <w:sz w:val="18"/>
                <w:szCs w:val="18"/>
              </w:rPr>
              <w:t xml:space="preserve"> </w:t>
            </w:r>
            <w:r w:rsidR="005242A4" w:rsidRPr="000C0983">
              <w:rPr>
                <w:rFonts w:eastAsia="Calibri" w:cs="Arial"/>
                <w:sz w:val="18"/>
                <w:szCs w:val="18"/>
              </w:rPr>
              <w:t>O</w:t>
            </w:r>
            <w:r w:rsidR="00AF77DF" w:rsidRPr="000C0983">
              <w:rPr>
                <w:rFonts w:eastAsia="Calibri" w:cs="Arial"/>
                <w:sz w:val="18"/>
                <w:szCs w:val="18"/>
              </w:rPr>
              <w:t xml:space="preserve">perational guidance and policies provide </w:t>
            </w:r>
            <w:r w:rsidRPr="000C0983">
              <w:rPr>
                <w:rFonts w:eastAsia="Calibri" w:cs="Arial"/>
                <w:sz w:val="18"/>
                <w:szCs w:val="18"/>
              </w:rPr>
              <w:t>flexibility to allo</w:t>
            </w:r>
            <w:r w:rsidR="00AF77DF" w:rsidRPr="000C0983">
              <w:rPr>
                <w:rFonts w:eastAsia="Calibri" w:cs="Arial"/>
                <w:sz w:val="18"/>
                <w:szCs w:val="18"/>
              </w:rPr>
              <w:t xml:space="preserve">w the operating model to evolve and adapt to changing </w:t>
            </w:r>
            <w:r w:rsidR="005242A4" w:rsidRPr="000C0983">
              <w:rPr>
                <w:rFonts w:eastAsia="Calibri" w:cs="Arial"/>
                <w:sz w:val="18"/>
                <w:szCs w:val="18"/>
              </w:rPr>
              <w:t>priorities</w:t>
            </w:r>
            <w:r w:rsidR="005957E7" w:rsidRPr="000C0983">
              <w:rPr>
                <w:rFonts w:eastAsia="Calibri" w:cs="Arial"/>
                <w:sz w:val="18"/>
                <w:szCs w:val="18"/>
              </w:rPr>
              <w:t>.</w:t>
            </w:r>
          </w:p>
          <w:p w:rsidR="005957E7" w:rsidRPr="000C0983" w:rsidRDefault="005957E7" w:rsidP="005957E7">
            <w:pPr>
              <w:pStyle w:val="ListParagraph"/>
              <w:spacing w:after="0" w:line="240" w:lineRule="auto"/>
              <w:ind w:left="357"/>
              <w:contextualSpacing w:val="0"/>
              <w:rPr>
                <w:rFonts w:eastAsia="Calibri" w:cs="Arial"/>
                <w:sz w:val="18"/>
                <w:szCs w:val="18"/>
              </w:rPr>
            </w:pPr>
          </w:p>
          <w:p w:rsidR="00F45FF2" w:rsidRPr="00046A5E" w:rsidRDefault="00F45FF2" w:rsidP="001E693E">
            <w:pPr>
              <w:numPr>
                <w:ilvl w:val="0"/>
                <w:numId w:val="8"/>
              </w:numPr>
              <w:spacing w:after="0" w:line="240" w:lineRule="auto"/>
              <w:rPr>
                <w:rFonts w:eastAsia="Calibri" w:cs="Arial"/>
                <w:i/>
                <w:sz w:val="18"/>
                <w:szCs w:val="18"/>
              </w:rPr>
            </w:pPr>
            <w:r w:rsidRPr="000C0983">
              <w:rPr>
                <w:rFonts w:cs="Arial"/>
                <w:i/>
                <w:sz w:val="18"/>
                <w:szCs w:val="18"/>
              </w:rPr>
              <w:t xml:space="preserve">Likely effectiveness – </w:t>
            </w:r>
            <w:r w:rsidRPr="000C0983">
              <w:rPr>
                <w:rFonts w:cs="Arial"/>
                <w:sz w:val="18"/>
                <w:szCs w:val="18"/>
              </w:rPr>
              <w:t>Non-</w:t>
            </w:r>
            <w:r w:rsidRPr="000C0983">
              <w:rPr>
                <w:rFonts w:eastAsia="Calibri" w:cs="Arial"/>
                <w:sz w:val="18"/>
                <w:szCs w:val="18"/>
              </w:rPr>
              <w:t xml:space="preserve">legislative arrangements, such as performance targets addressing </w:t>
            </w:r>
            <w:r w:rsidRPr="00046A5E">
              <w:rPr>
                <w:rFonts w:eastAsia="Calibri" w:cs="Arial"/>
                <w:sz w:val="18"/>
                <w:szCs w:val="18"/>
              </w:rPr>
              <w:t xml:space="preserve">over-representation of Māori will go some way towards prioritising commitments of </w:t>
            </w:r>
            <w:r w:rsidR="008135DF" w:rsidRPr="00046A5E">
              <w:rPr>
                <w:rFonts w:eastAsia="Calibri" w:cs="Arial"/>
                <w:sz w:val="18"/>
                <w:szCs w:val="18"/>
              </w:rPr>
              <w:t>MVCOT</w:t>
            </w:r>
            <w:r w:rsidRPr="00046A5E">
              <w:rPr>
                <w:rFonts w:eastAsia="Calibri" w:cs="Arial"/>
                <w:sz w:val="18"/>
                <w:szCs w:val="18"/>
              </w:rPr>
              <w:t xml:space="preserve"> in key areas (but not to same extent as legislation)</w:t>
            </w:r>
            <w:r w:rsidR="005957E7" w:rsidRPr="00046A5E">
              <w:rPr>
                <w:rFonts w:eastAsia="Calibri" w:cs="Arial"/>
                <w:sz w:val="18"/>
                <w:szCs w:val="18"/>
              </w:rPr>
              <w:t>.</w:t>
            </w:r>
          </w:p>
          <w:p w:rsidR="005957E7" w:rsidRPr="00046A5E" w:rsidRDefault="005957E7" w:rsidP="005957E7">
            <w:pPr>
              <w:spacing w:after="0" w:line="240" w:lineRule="auto"/>
              <w:ind w:left="357"/>
              <w:rPr>
                <w:rFonts w:eastAsia="Calibri" w:cs="Arial"/>
                <w:i/>
                <w:sz w:val="18"/>
                <w:szCs w:val="18"/>
              </w:rPr>
            </w:pPr>
          </w:p>
          <w:p w:rsidR="00DA1EE3" w:rsidRPr="00046A5E" w:rsidRDefault="00DA1EE3" w:rsidP="00046A5E">
            <w:pPr>
              <w:spacing w:after="0" w:line="240" w:lineRule="auto"/>
              <w:ind w:left="357"/>
              <w:rPr>
                <w:rFonts w:eastAsia="Calibri" w:cs="Arial"/>
                <w:i/>
                <w:sz w:val="18"/>
                <w:szCs w:val="18"/>
              </w:rPr>
            </w:pPr>
          </w:p>
        </w:tc>
        <w:tc>
          <w:tcPr>
            <w:tcW w:w="1090" w:type="pct"/>
            <w:shd w:val="clear" w:color="auto" w:fill="auto"/>
          </w:tcPr>
          <w:p w:rsidR="0028362C" w:rsidRPr="00046A5E" w:rsidRDefault="005242A4" w:rsidP="005957E7">
            <w:pPr>
              <w:pStyle w:val="ListParagraph"/>
              <w:numPr>
                <w:ilvl w:val="0"/>
                <w:numId w:val="8"/>
              </w:numPr>
              <w:spacing w:after="0" w:line="240" w:lineRule="auto"/>
              <w:ind w:left="357" w:hanging="357"/>
              <w:contextualSpacing w:val="0"/>
              <w:rPr>
                <w:rFonts w:cs="Arial"/>
                <w:sz w:val="18"/>
                <w:szCs w:val="18"/>
              </w:rPr>
            </w:pPr>
            <w:r w:rsidRPr="00046A5E">
              <w:rPr>
                <w:rFonts w:cs="Arial"/>
                <w:i/>
                <w:sz w:val="18"/>
                <w:szCs w:val="18"/>
              </w:rPr>
              <w:t>Likely e</w:t>
            </w:r>
            <w:r w:rsidR="0028362C" w:rsidRPr="00046A5E">
              <w:rPr>
                <w:rFonts w:cs="Arial"/>
                <w:i/>
                <w:sz w:val="18"/>
                <w:szCs w:val="18"/>
              </w:rPr>
              <w:t>ffectiveness</w:t>
            </w:r>
            <w:r w:rsidR="00DF635E" w:rsidRPr="00046A5E">
              <w:rPr>
                <w:rFonts w:cs="Arial"/>
                <w:i/>
                <w:sz w:val="18"/>
                <w:szCs w:val="18"/>
              </w:rPr>
              <w:t xml:space="preserve"> </w:t>
            </w:r>
            <w:r w:rsidR="0028362C" w:rsidRPr="00046A5E">
              <w:rPr>
                <w:rFonts w:cs="Arial"/>
                <w:sz w:val="18"/>
                <w:szCs w:val="18"/>
              </w:rPr>
              <w:t xml:space="preserve">– Policy practice guidelines </w:t>
            </w:r>
            <w:r w:rsidR="00046A5E">
              <w:rPr>
                <w:rFonts w:cs="Arial"/>
                <w:sz w:val="18"/>
                <w:szCs w:val="18"/>
              </w:rPr>
              <w:t xml:space="preserve">to date </w:t>
            </w:r>
            <w:r w:rsidR="0028362C" w:rsidRPr="00046A5E">
              <w:rPr>
                <w:rFonts w:cs="Arial"/>
                <w:sz w:val="18"/>
                <w:szCs w:val="18"/>
              </w:rPr>
              <w:t>have not achieved a greater focus on the needs of Māori children and young people, or delivered a more child-centred approach.</w:t>
            </w:r>
            <w:r w:rsidR="00CA513D" w:rsidRPr="00046A5E">
              <w:rPr>
                <w:rFonts w:cs="Arial"/>
                <w:sz w:val="18"/>
                <w:szCs w:val="18"/>
              </w:rPr>
              <w:t xml:space="preserve"> Non-legislative directions are unlikely to provide for desired levels of transparency or provide opportunities for </w:t>
            </w:r>
            <w:r w:rsidR="00046A5E">
              <w:rPr>
                <w:rFonts w:cs="Arial"/>
                <w:sz w:val="18"/>
                <w:szCs w:val="18"/>
              </w:rPr>
              <w:t>Māori</w:t>
            </w:r>
            <w:r w:rsidR="00CA513D" w:rsidRPr="00046A5E">
              <w:rPr>
                <w:rFonts w:cs="Arial"/>
                <w:sz w:val="18"/>
                <w:szCs w:val="18"/>
              </w:rPr>
              <w:t xml:space="preserve">, iwi and others to participate in decision-making on </w:t>
            </w:r>
            <w:r w:rsidR="00046A5E">
              <w:rPr>
                <w:rFonts w:cs="Arial"/>
                <w:sz w:val="18"/>
                <w:szCs w:val="18"/>
              </w:rPr>
              <w:t xml:space="preserve">a </w:t>
            </w:r>
            <w:r w:rsidR="00CA513D" w:rsidRPr="00046A5E">
              <w:rPr>
                <w:rFonts w:cs="Arial"/>
                <w:sz w:val="18"/>
                <w:szCs w:val="18"/>
              </w:rPr>
              <w:t xml:space="preserve">proactive </w:t>
            </w:r>
            <w:proofErr w:type="gramStart"/>
            <w:r w:rsidR="00CA513D" w:rsidRPr="00046A5E">
              <w:rPr>
                <w:rFonts w:cs="Arial"/>
                <w:sz w:val="18"/>
                <w:szCs w:val="18"/>
              </w:rPr>
              <w:t>basis</w:t>
            </w:r>
            <w:r w:rsidR="001E693E">
              <w:rPr>
                <w:rFonts w:cs="Arial"/>
                <w:sz w:val="18"/>
                <w:szCs w:val="18"/>
              </w:rPr>
              <w:t xml:space="preserve"> </w:t>
            </w:r>
            <w:r w:rsidR="005957E7" w:rsidRPr="00046A5E">
              <w:rPr>
                <w:rFonts w:cs="Arial"/>
                <w:sz w:val="18"/>
                <w:szCs w:val="18"/>
              </w:rPr>
              <w:t>.</w:t>
            </w:r>
            <w:proofErr w:type="gramEnd"/>
          </w:p>
          <w:p w:rsidR="005957E7" w:rsidRPr="00046A5E" w:rsidRDefault="005957E7" w:rsidP="005957E7">
            <w:pPr>
              <w:pStyle w:val="ListParagraph"/>
              <w:spacing w:after="0" w:line="240" w:lineRule="auto"/>
              <w:ind w:left="357"/>
              <w:contextualSpacing w:val="0"/>
              <w:rPr>
                <w:rFonts w:cs="Arial"/>
                <w:sz w:val="18"/>
                <w:szCs w:val="18"/>
              </w:rPr>
            </w:pPr>
          </w:p>
          <w:p w:rsidR="005242A4" w:rsidRPr="000E3DCB" w:rsidRDefault="000A29B1" w:rsidP="005957E7">
            <w:pPr>
              <w:pStyle w:val="ListParagraph"/>
              <w:numPr>
                <w:ilvl w:val="0"/>
                <w:numId w:val="8"/>
              </w:numPr>
              <w:spacing w:after="0" w:line="240" w:lineRule="auto"/>
              <w:ind w:left="357" w:hanging="357"/>
              <w:contextualSpacing w:val="0"/>
              <w:rPr>
                <w:rFonts w:cs="Arial"/>
                <w:sz w:val="18"/>
                <w:szCs w:val="18"/>
              </w:rPr>
            </w:pPr>
            <w:r w:rsidRPr="00046A5E">
              <w:rPr>
                <w:rFonts w:cs="Arial"/>
                <w:i/>
                <w:sz w:val="18"/>
                <w:szCs w:val="18"/>
              </w:rPr>
              <w:t xml:space="preserve">Compatibility with other government objectives including the investment approach </w:t>
            </w:r>
            <w:r w:rsidR="0028362C" w:rsidRPr="00046A5E">
              <w:rPr>
                <w:rFonts w:cs="Arial"/>
                <w:sz w:val="18"/>
                <w:szCs w:val="18"/>
              </w:rPr>
              <w:t xml:space="preserve">– </w:t>
            </w:r>
            <w:r w:rsidR="005242A4" w:rsidRPr="00046A5E">
              <w:rPr>
                <w:rFonts w:cs="Arial"/>
                <w:sz w:val="18"/>
                <w:szCs w:val="18"/>
              </w:rPr>
              <w:t>W</w:t>
            </w:r>
            <w:r w:rsidR="006F3BA8" w:rsidRPr="00046A5E">
              <w:rPr>
                <w:rFonts w:cs="Arial"/>
                <w:sz w:val="18"/>
                <w:szCs w:val="18"/>
              </w:rPr>
              <w:t>ithout clearer legislative direction</w:t>
            </w:r>
            <w:r w:rsidR="00046A5E">
              <w:rPr>
                <w:rFonts w:cs="Arial"/>
                <w:sz w:val="18"/>
                <w:szCs w:val="18"/>
              </w:rPr>
              <w:t>,</w:t>
            </w:r>
            <w:r w:rsidR="006F3BA8" w:rsidRPr="00046A5E">
              <w:rPr>
                <w:rFonts w:cs="Arial"/>
                <w:sz w:val="18"/>
                <w:szCs w:val="18"/>
              </w:rPr>
              <w:t xml:space="preserve"> </w:t>
            </w:r>
            <w:r w:rsidR="0028362C" w:rsidRPr="00046A5E">
              <w:rPr>
                <w:rFonts w:cs="Arial"/>
                <w:sz w:val="18"/>
                <w:szCs w:val="18"/>
              </w:rPr>
              <w:t>this approach will not deliver a focus on</w:t>
            </w:r>
            <w:r w:rsidR="006F3BA8" w:rsidRPr="007A28B6">
              <w:rPr>
                <w:rFonts w:cs="Arial"/>
                <w:sz w:val="18"/>
                <w:szCs w:val="18"/>
              </w:rPr>
              <w:t xml:space="preserve"> culture and identity of</w:t>
            </w:r>
            <w:r w:rsidR="0028362C" w:rsidRPr="000E3DCB">
              <w:rPr>
                <w:rFonts w:cs="Arial"/>
                <w:sz w:val="18"/>
                <w:szCs w:val="18"/>
              </w:rPr>
              <w:t xml:space="preserve"> </w:t>
            </w:r>
            <w:r w:rsidR="002B2CFF" w:rsidRPr="000E3DCB">
              <w:rPr>
                <w:rFonts w:cs="Arial"/>
                <w:sz w:val="18"/>
                <w:szCs w:val="18"/>
              </w:rPr>
              <w:t>Māori</w:t>
            </w:r>
            <w:r w:rsidR="0028362C" w:rsidRPr="000E3DCB">
              <w:rPr>
                <w:rFonts w:cs="Arial"/>
                <w:sz w:val="18"/>
                <w:szCs w:val="18"/>
              </w:rPr>
              <w:t>.</w:t>
            </w:r>
          </w:p>
          <w:p w:rsidR="005957E7" w:rsidRPr="00901C28" w:rsidRDefault="005957E7" w:rsidP="005957E7">
            <w:pPr>
              <w:pStyle w:val="ListParagraph"/>
              <w:spacing w:after="0" w:line="240" w:lineRule="auto"/>
              <w:ind w:left="357"/>
              <w:contextualSpacing w:val="0"/>
              <w:rPr>
                <w:rFonts w:cs="Arial"/>
                <w:sz w:val="18"/>
                <w:szCs w:val="18"/>
              </w:rPr>
            </w:pPr>
          </w:p>
          <w:p w:rsidR="0028362C" w:rsidRPr="00E057EF" w:rsidRDefault="0028362C" w:rsidP="00E057EF">
            <w:pPr>
              <w:pStyle w:val="ListParagraph"/>
              <w:numPr>
                <w:ilvl w:val="0"/>
                <w:numId w:val="8"/>
              </w:numPr>
              <w:spacing w:after="0" w:line="240" w:lineRule="auto"/>
              <w:ind w:left="357" w:hanging="357"/>
              <w:contextualSpacing w:val="0"/>
              <w:rPr>
                <w:rFonts w:eastAsia="Calibri" w:cs="Arial"/>
                <w:i/>
                <w:sz w:val="18"/>
                <w:szCs w:val="18"/>
              </w:rPr>
            </w:pPr>
            <w:r w:rsidRPr="00913EDB">
              <w:rPr>
                <w:rFonts w:cs="Arial"/>
                <w:i/>
                <w:sz w:val="18"/>
                <w:szCs w:val="18"/>
              </w:rPr>
              <w:t>Durability</w:t>
            </w:r>
            <w:r w:rsidR="00DA1EE3" w:rsidRPr="009D007C">
              <w:rPr>
                <w:rFonts w:cs="Arial"/>
                <w:sz w:val="18"/>
                <w:szCs w:val="18"/>
              </w:rPr>
              <w:t xml:space="preserve"> – </w:t>
            </w:r>
            <w:r w:rsidR="005242A4" w:rsidRPr="009D007C">
              <w:rPr>
                <w:rFonts w:cs="Arial"/>
                <w:sz w:val="18"/>
                <w:szCs w:val="18"/>
              </w:rPr>
              <w:t>T</w:t>
            </w:r>
            <w:r w:rsidR="00DA1EE3" w:rsidRPr="009D007C">
              <w:rPr>
                <w:rFonts w:cs="Arial"/>
                <w:sz w:val="18"/>
                <w:szCs w:val="18"/>
              </w:rPr>
              <w:t>his option</w:t>
            </w:r>
            <w:r w:rsidRPr="00B82003">
              <w:rPr>
                <w:rFonts w:cs="Arial"/>
                <w:sz w:val="18"/>
                <w:szCs w:val="18"/>
              </w:rPr>
              <w:t xml:space="preserve"> is unlikely to achieve </w:t>
            </w:r>
            <w:r w:rsidR="006F3BA8" w:rsidRPr="00B82003">
              <w:rPr>
                <w:rFonts w:cs="Arial"/>
                <w:sz w:val="18"/>
                <w:szCs w:val="18"/>
              </w:rPr>
              <w:t xml:space="preserve">confidence amongst Māori that </w:t>
            </w:r>
            <w:r w:rsidR="006F3BA8" w:rsidRPr="000C0983">
              <w:rPr>
                <w:rFonts w:cs="Arial"/>
                <w:sz w:val="18"/>
                <w:szCs w:val="18"/>
              </w:rPr>
              <w:t>any change will be sustained</w:t>
            </w:r>
            <w:r w:rsidRPr="000C0983">
              <w:rPr>
                <w:rFonts w:cs="Arial"/>
                <w:sz w:val="18"/>
                <w:szCs w:val="18"/>
              </w:rPr>
              <w:t>.</w:t>
            </w:r>
            <w:r w:rsidR="00046A5E">
              <w:rPr>
                <w:rFonts w:cs="Arial"/>
                <w:sz w:val="18"/>
                <w:szCs w:val="18"/>
              </w:rPr>
              <w:t xml:space="preserve"> </w:t>
            </w:r>
            <w:r w:rsidR="00E057EF">
              <w:rPr>
                <w:rFonts w:cs="Arial"/>
                <w:sz w:val="18"/>
                <w:szCs w:val="18"/>
              </w:rPr>
              <w:t>U</w:t>
            </w:r>
            <w:r w:rsidR="00046A5E" w:rsidRPr="00324F01">
              <w:rPr>
                <w:rFonts w:eastAsia="Calibri" w:cs="Arial"/>
                <w:sz w:val="18"/>
                <w:szCs w:val="18"/>
              </w:rPr>
              <w:t>nlikely to provide confidence that long-standing issues will be resolved.</w:t>
            </w:r>
          </w:p>
          <w:p w:rsidR="005957E7" w:rsidRPr="00E057EF" w:rsidRDefault="005957E7" w:rsidP="005957E7">
            <w:pPr>
              <w:pStyle w:val="ListParagraph"/>
              <w:spacing w:after="0" w:line="240" w:lineRule="auto"/>
              <w:ind w:left="357"/>
              <w:contextualSpacing w:val="0"/>
              <w:rPr>
                <w:rFonts w:cs="Arial"/>
                <w:sz w:val="18"/>
                <w:szCs w:val="18"/>
              </w:rPr>
            </w:pPr>
          </w:p>
          <w:p w:rsidR="00E057EF" w:rsidRPr="00E057EF" w:rsidRDefault="0028362C" w:rsidP="00E057EF">
            <w:pPr>
              <w:pStyle w:val="ListParagraph"/>
              <w:numPr>
                <w:ilvl w:val="0"/>
                <w:numId w:val="8"/>
              </w:numPr>
              <w:spacing w:after="0" w:line="240" w:lineRule="auto"/>
              <w:ind w:left="357" w:hanging="357"/>
              <w:contextualSpacing w:val="0"/>
              <w:rPr>
                <w:rFonts w:eastAsia="Calibri" w:cs="Arial"/>
                <w:i/>
                <w:sz w:val="18"/>
                <w:szCs w:val="18"/>
              </w:rPr>
            </w:pPr>
            <w:r w:rsidRPr="00E057EF">
              <w:rPr>
                <w:rFonts w:cs="Arial"/>
                <w:i/>
                <w:sz w:val="18"/>
                <w:szCs w:val="18"/>
              </w:rPr>
              <w:t xml:space="preserve">Consistency with the Treaty of Waitangi, UNCROC and other international obligations </w:t>
            </w:r>
            <w:r w:rsidRPr="00E057EF">
              <w:rPr>
                <w:rFonts w:cs="Arial"/>
                <w:sz w:val="18"/>
                <w:szCs w:val="18"/>
              </w:rPr>
              <w:t>– Although this approach is no</w:t>
            </w:r>
            <w:r w:rsidR="00046A5E">
              <w:rPr>
                <w:rFonts w:cs="Arial"/>
                <w:sz w:val="18"/>
                <w:szCs w:val="18"/>
              </w:rPr>
              <w:t>t</w:t>
            </w:r>
            <w:r w:rsidRPr="00046A5E">
              <w:rPr>
                <w:rFonts w:cs="Arial"/>
                <w:sz w:val="18"/>
                <w:szCs w:val="18"/>
              </w:rPr>
              <w:t xml:space="preserve"> inconsistent with these obligations, it does not advance them within the system</w:t>
            </w:r>
            <w:r w:rsidR="001E693E">
              <w:rPr>
                <w:rFonts w:cs="Arial"/>
                <w:sz w:val="18"/>
                <w:szCs w:val="18"/>
              </w:rPr>
              <w:t xml:space="preserve">; NZ will be out of step with other comparable jurisdictions that include specific measures to address over-representation of indigenous children and youth in statutory care. </w:t>
            </w:r>
          </w:p>
          <w:p w:rsidR="00F45FF2" w:rsidRPr="00E057EF" w:rsidRDefault="00CA513D" w:rsidP="00E057EF">
            <w:pPr>
              <w:spacing w:after="0" w:line="240" w:lineRule="auto"/>
              <w:rPr>
                <w:rFonts w:eastAsia="Calibri" w:cs="Arial"/>
                <w:i/>
                <w:sz w:val="18"/>
                <w:szCs w:val="18"/>
              </w:rPr>
            </w:pPr>
            <w:r w:rsidRPr="00E057EF">
              <w:rPr>
                <w:rFonts w:cs="Arial"/>
                <w:sz w:val="18"/>
                <w:szCs w:val="18"/>
              </w:rPr>
              <w:t xml:space="preserve"> </w:t>
            </w:r>
          </w:p>
          <w:p w:rsidR="005957E7" w:rsidRPr="009D007C" w:rsidRDefault="00F45FF2" w:rsidP="005957E7">
            <w:pPr>
              <w:numPr>
                <w:ilvl w:val="0"/>
                <w:numId w:val="19"/>
              </w:numPr>
              <w:spacing w:after="0" w:line="240" w:lineRule="auto"/>
              <w:rPr>
                <w:rFonts w:cs="Arial"/>
                <w:sz w:val="18"/>
                <w:szCs w:val="18"/>
              </w:rPr>
            </w:pPr>
            <w:r w:rsidRPr="00E057EF">
              <w:rPr>
                <w:rFonts w:cs="Arial"/>
                <w:i/>
                <w:sz w:val="18"/>
                <w:szCs w:val="18"/>
              </w:rPr>
              <w:t xml:space="preserve">Interaction with other legislative proposals and planned reforms </w:t>
            </w:r>
            <w:r w:rsidR="00DF635E" w:rsidRPr="007A28B6">
              <w:rPr>
                <w:rFonts w:cs="Arial"/>
                <w:i/>
                <w:sz w:val="18"/>
                <w:szCs w:val="18"/>
              </w:rPr>
              <w:t xml:space="preserve">- </w:t>
            </w:r>
            <w:r w:rsidR="00B82003">
              <w:rPr>
                <w:rFonts w:eastAsia="Calibri" w:cs="Arial"/>
                <w:sz w:val="18"/>
                <w:szCs w:val="18"/>
              </w:rPr>
              <w:t>Ap</w:t>
            </w:r>
            <w:r w:rsidRPr="000E3DCB">
              <w:rPr>
                <w:rFonts w:eastAsia="Calibri" w:cs="Arial"/>
                <w:sz w:val="18"/>
                <w:szCs w:val="18"/>
              </w:rPr>
              <w:t>proach may impact on effectiveness of other system-wide changes</w:t>
            </w:r>
            <w:r w:rsidR="00CA513D" w:rsidRPr="00901C28">
              <w:rPr>
                <w:rFonts w:eastAsia="Calibri" w:cs="Arial"/>
                <w:sz w:val="18"/>
                <w:szCs w:val="18"/>
              </w:rPr>
              <w:t>.</w:t>
            </w:r>
            <w:r w:rsidRPr="00913EDB">
              <w:rPr>
                <w:rFonts w:eastAsia="Calibri" w:cs="Arial"/>
                <w:i/>
                <w:sz w:val="18"/>
                <w:szCs w:val="18"/>
              </w:rPr>
              <w:t xml:space="preserve"> </w:t>
            </w:r>
          </w:p>
          <w:p w:rsidR="005957E7" w:rsidRPr="009D007C" w:rsidRDefault="005957E7" w:rsidP="005957E7">
            <w:pPr>
              <w:spacing w:after="0" w:line="240" w:lineRule="auto"/>
              <w:ind w:left="360"/>
              <w:rPr>
                <w:rFonts w:cs="Arial"/>
                <w:sz w:val="18"/>
                <w:szCs w:val="18"/>
              </w:rPr>
            </w:pPr>
          </w:p>
        </w:tc>
      </w:tr>
      <w:tr w:rsidR="00F45FF2" w:rsidRPr="004C563C" w:rsidTr="0008783D">
        <w:trPr>
          <w:trHeight w:val="2627"/>
        </w:trPr>
        <w:tc>
          <w:tcPr>
            <w:tcW w:w="353" w:type="pct"/>
            <w:shd w:val="clear" w:color="auto" w:fill="auto"/>
          </w:tcPr>
          <w:p w:rsidR="00F45FF2" w:rsidRDefault="00F45FF2" w:rsidP="005957E7">
            <w:pPr>
              <w:spacing w:after="0" w:line="240" w:lineRule="auto"/>
              <w:rPr>
                <w:rFonts w:cs="Arial"/>
                <w:b/>
                <w:bCs/>
                <w:sz w:val="18"/>
                <w:szCs w:val="18"/>
              </w:rPr>
            </w:pPr>
            <w:r>
              <w:rPr>
                <w:rFonts w:cs="Arial"/>
                <w:b/>
                <w:bCs/>
                <w:sz w:val="18"/>
                <w:szCs w:val="18"/>
              </w:rPr>
              <w:t xml:space="preserve">Option 2 </w:t>
            </w:r>
          </w:p>
          <w:p w:rsidR="00F45FF2" w:rsidRDefault="00F45FF2" w:rsidP="005957E7">
            <w:pPr>
              <w:spacing w:after="0" w:line="240" w:lineRule="auto"/>
              <w:rPr>
                <w:rFonts w:cs="Arial"/>
                <w:b/>
                <w:bCs/>
                <w:sz w:val="18"/>
                <w:szCs w:val="18"/>
              </w:rPr>
            </w:pPr>
          </w:p>
          <w:p w:rsidR="00F45FF2" w:rsidRDefault="00F45FF2" w:rsidP="005957E7">
            <w:pPr>
              <w:spacing w:after="0" w:line="240" w:lineRule="auto"/>
              <w:rPr>
                <w:rFonts w:cs="Arial"/>
                <w:bCs/>
                <w:sz w:val="18"/>
                <w:szCs w:val="18"/>
              </w:rPr>
            </w:pPr>
            <w:r>
              <w:rPr>
                <w:rFonts w:cs="Arial"/>
                <w:bCs/>
                <w:sz w:val="18"/>
                <w:szCs w:val="18"/>
              </w:rPr>
              <w:t>Include new purpose</w:t>
            </w:r>
            <w:r w:rsidR="00BF5773">
              <w:rPr>
                <w:rFonts w:cs="Arial"/>
                <w:bCs/>
                <w:sz w:val="18"/>
                <w:szCs w:val="18"/>
              </w:rPr>
              <w:t xml:space="preserve"> statements</w:t>
            </w:r>
            <w:r>
              <w:rPr>
                <w:rFonts w:cs="Arial"/>
                <w:bCs/>
                <w:sz w:val="18"/>
                <w:szCs w:val="18"/>
              </w:rPr>
              <w:t xml:space="preserve"> </w:t>
            </w:r>
            <w:r w:rsidR="00BF5773">
              <w:rPr>
                <w:rFonts w:cs="Arial"/>
                <w:bCs/>
                <w:sz w:val="18"/>
                <w:szCs w:val="18"/>
              </w:rPr>
              <w:t>in</w:t>
            </w:r>
            <w:r>
              <w:rPr>
                <w:rFonts w:cs="Arial"/>
                <w:bCs/>
                <w:sz w:val="18"/>
                <w:szCs w:val="18"/>
              </w:rPr>
              <w:t xml:space="preserve"> the CYPF Act </w:t>
            </w:r>
            <w:r w:rsidRPr="0008783D">
              <w:rPr>
                <w:rFonts w:cs="Arial"/>
                <w:bCs/>
                <w:sz w:val="18"/>
                <w:szCs w:val="18"/>
              </w:rPr>
              <w:t xml:space="preserve">to be considered and applied when working with </w:t>
            </w:r>
            <w:r w:rsidR="00BF5773">
              <w:rPr>
                <w:rFonts w:cs="Arial"/>
                <w:bCs/>
                <w:sz w:val="18"/>
                <w:szCs w:val="18"/>
              </w:rPr>
              <w:t>Māori children and young people</w:t>
            </w:r>
          </w:p>
          <w:p w:rsidR="00F45FF2" w:rsidRDefault="00F45FF2" w:rsidP="00046A5E">
            <w:pPr>
              <w:spacing w:after="0" w:line="240" w:lineRule="auto"/>
              <w:rPr>
                <w:rFonts w:cs="Arial"/>
                <w:bCs/>
                <w:sz w:val="18"/>
                <w:szCs w:val="18"/>
              </w:rPr>
            </w:pPr>
          </w:p>
          <w:p w:rsidR="00F45FF2" w:rsidRDefault="00F45FF2" w:rsidP="00046A5E">
            <w:pPr>
              <w:spacing w:after="0" w:line="240" w:lineRule="auto"/>
              <w:rPr>
                <w:rFonts w:cs="Arial"/>
                <w:b/>
                <w:bCs/>
                <w:sz w:val="18"/>
                <w:szCs w:val="18"/>
              </w:rPr>
            </w:pPr>
            <w:r>
              <w:rPr>
                <w:rFonts w:cs="Arial"/>
                <w:b/>
                <w:bCs/>
                <w:sz w:val="18"/>
                <w:szCs w:val="18"/>
              </w:rPr>
              <w:t>Regulatory option</w:t>
            </w:r>
          </w:p>
          <w:p w:rsidR="00F45FF2" w:rsidRDefault="00F45FF2" w:rsidP="00046A5E">
            <w:pPr>
              <w:spacing w:after="0" w:line="240" w:lineRule="auto"/>
              <w:rPr>
                <w:rFonts w:cs="Arial"/>
                <w:b/>
                <w:bCs/>
                <w:sz w:val="18"/>
                <w:szCs w:val="18"/>
              </w:rPr>
            </w:pPr>
          </w:p>
          <w:p w:rsidR="00F45FF2" w:rsidRDefault="00F45FF2" w:rsidP="00046A5E">
            <w:pPr>
              <w:spacing w:after="0" w:line="240" w:lineRule="auto"/>
              <w:rPr>
                <w:rFonts w:cs="Arial"/>
                <w:b/>
                <w:bCs/>
                <w:sz w:val="18"/>
                <w:szCs w:val="18"/>
              </w:rPr>
            </w:pPr>
            <w:r>
              <w:rPr>
                <w:rFonts w:cs="Arial"/>
                <w:b/>
                <w:bCs/>
                <w:sz w:val="18"/>
                <w:szCs w:val="18"/>
              </w:rPr>
              <w:t>PREFERRED</w:t>
            </w:r>
          </w:p>
        </w:tc>
        <w:tc>
          <w:tcPr>
            <w:tcW w:w="1057" w:type="pct"/>
            <w:shd w:val="clear" w:color="auto" w:fill="auto"/>
          </w:tcPr>
          <w:p w:rsidR="00996B02" w:rsidRPr="00046A5E" w:rsidRDefault="00996B02" w:rsidP="005957E7">
            <w:pPr>
              <w:spacing w:after="0" w:line="240" w:lineRule="auto"/>
              <w:rPr>
                <w:rFonts w:cs="Arial"/>
                <w:sz w:val="18"/>
                <w:szCs w:val="18"/>
              </w:rPr>
            </w:pPr>
            <w:r w:rsidRPr="00046A5E">
              <w:rPr>
                <w:rFonts w:cs="Arial"/>
                <w:sz w:val="18"/>
                <w:szCs w:val="18"/>
              </w:rPr>
              <w:t xml:space="preserve">The CYPF Act </w:t>
            </w:r>
            <w:r w:rsidR="00BF5773" w:rsidRPr="00046A5E">
              <w:rPr>
                <w:rFonts w:cs="Arial"/>
                <w:sz w:val="18"/>
                <w:szCs w:val="18"/>
              </w:rPr>
              <w:t xml:space="preserve">would  include two new purpose statements </w:t>
            </w:r>
            <w:r w:rsidRPr="00046A5E">
              <w:rPr>
                <w:rFonts w:cs="Arial"/>
                <w:sz w:val="18"/>
                <w:szCs w:val="18"/>
              </w:rPr>
              <w:t>directly relevant to Māori children and young people:</w:t>
            </w:r>
          </w:p>
          <w:p w:rsidR="005957E7" w:rsidRPr="00046A5E" w:rsidRDefault="005957E7" w:rsidP="005957E7">
            <w:pPr>
              <w:spacing w:after="0" w:line="240" w:lineRule="auto"/>
              <w:rPr>
                <w:rFonts w:cs="Arial"/>
                <w:sz w:val="18"/>
                <w:szCs w:val="18"/>
              </w:rPr>
            </w:pPr>
          </w:p>
          <w:p w:rsidR="00F45FF2" w:rsidRPr="00901C28" w:rsidRDefault="00996B02" w:rsidP="005957E7">
            <w:pPr>
              <w:numPr>
                <w:ilvl w:val="0"/>
                <w:numId w:val="8"/>
              </w:numPr>
              <w:spacing w:after="0" w:line="240" w:lineRule="auto"/>
              <w:ind w:left="357" w:hanging="357"/>
              <w:rPr>
                <w:rFonts w:cs="Arial"/>
                <w:sz w:val="18"/>
                <w:szCs w:val="18"/>
              </w:rPr>
            </w:pPr>
            <w:r w:rsidRPr="00046A5E">
              <w:rPr>
                <w:rFonts w:eastAsia="Calibri" w:cs="Arial"/>
                <w:sz w:val="18"/>
                <w:szCs w:val="18"/>
              </w:rPr>
              <w:t xml:space="preserve">to </w:t>
            </w:r>
            <w:r w:rsidR="00D00124" w:rsidRPr="00046A5E">
              <w:rPr>
                <w:rFonts w:eastAsia="Calibri" w:cs="Arial"/>
                <w:sz w:val="18"/>
                <w:szCs w:val="18"/>
              </w:rPr>
              <w:t xml:space="preserve">recognise </w:t>
            </w:r>
            <w:r w:rsidR="00002A25">
              <w:rPr>
                <w:rFonts w:eastAsia="Calibri" w:cs="Arial"/>
                <w:sz w:val="18"/>
                <w:szCs w:val="18"/>
              </w:rPr>
              <w:t>mana tamaiti</w:t>
            </w:r>
            <w:r w:rsidR="00D00124" w:rsidRPr="00046A5E">
              <w:rPr>
                <w:rFonts w:eastAsia="Calibri" w:cs="Arial"/>
                <w:sz w:val="18"/>
                <w:szCs w:val="18"/>
              </w:rPr>
              <w:t>, whakapapa and the whanaungatanga of every M</w:t>
            </w:r>
            <w:r w:rsidR="00D00124" w:rsidRPr="007A28B6">
              <w:rPr>
                <w:rFonts w:eastAsia="Calibri" w:cs="Arial"/>
                <w:sz w:val="18"/>
                <w:szCs w:val="18"/>
              </w:rPr>
              <w:t>āori child and young person</w:t>
            </w:r>
          </w:p>
          <w:p w:rsidR="005957E7" w:rsidRPr="00913EDB" w:rsidRDefault="005957E7" w:rsidP="005957E7">
            <w:pPr>
              <w:spacing w:after="0" w:line="240" w:lineRule="auto"/>
              <w:ind w:left="357"/>
              <w:rPr>
                <w:rFonts w:cs="Arial"/>
                <w:sz w:val="18"/>
                <w:szCs w:val="18"/>
              </w:rPr>
            </w:pPr>
          </w:p>
          <w:p w:rsidR="00D00124" w:rsidRPr="00E057EF" w:rsidRDefault="00D00124" w:rsidP="005957E7">
            <w:pPr>
              <w:numPr>
                <w:ilvl w:val="0"/>
                <w:numId w:val="8"/>
              </w:numPr>
              <w:spacing w:after="0" w:line="240" w:lineRule="auto"/>
              <w:ind w:left="357" w:hanging="357"/>
              <w:rPr>
                <w:rFonts w:cs="Arial"/>
                <w:sz w:val="18"/>
                <w:szCs w:val="18"/>
              </w:rPr>
            </w:pPr>
            <w:r w:rsidRPr="009D007C">
              <w:rPr>
                <w:rFonts w:eastAsia="Calibri" w:cs="Arial"/>
                <w:sz w:val="18"/>
                <w:szCs w:val="18"/>
              </w:rPr>
              <w:t>to promote an approach that</w:t>
            </w:r>
            <w:r w:rsidR="001E693E">
              <w:rPr>
                <w:rFonts w:eastAsia="Calibri" w:cs="Arial"/>
                <w:sz w:val="18"/>
                <w:szCs w:val="18"/>
              </w:rPr>
              <w:t xml:space="preserve"> supports capability </w:t>
            </w:r>
            <w:r w:rsidR="00332167">
              <w:rPr>
                <w:rFonts w:eastAsia="Calibri" w:cs="Arial"/>
                <w:sz w:val="18"/>
                <w:szCs w:val="18"/>
              </w:rPr>
              <w:t>building</w:t>
            </w:r>
            <w:r w:rsidR="001E693E">
              <w:rPr>
                <w:rFonts w:eastAsia="Calibri" w:cs="Arial"/>
                <w:sz w:val="18"/>
                <w:szCs w:val="18"/>
              </w:rPr>
              <w:t xml:space="preserve"> at a </w:t>
            </w:r>
            <w:r w:rsidRPr="009D007C">
              <w:rPr>
                <w:rFonts w:eastAsia="Calibri" w:cs="Arial"/>
                <w:sz w:val="18"/>
                <w:szCs w:val="18"/>
              </w:rPr>
              <w:t xml:space="preserve">whānau </w:t>
            </w:r>
            <w:r w:rsidR="001E693E">
              <w:rPr>
                <w:rFonts w:eastAsia="Calibri" w:cs="Arial"/>
                <w:sz w:val="18"/>
                <w:szCs w:val="18"/>
              </w:rPr>
              <w:t xml:space="preserve">level </w:t>
            </w:r>
            <w:r w:rsidRPr="009D007C">
              <w:rPr>
                <w:rFonts w:eastAsia="Calibri" w:cs="Arial"/>
                <w:sz w:val="18"/>
                <w:szCs w:val="18"/>
              </w:rPr>
              <w:t xml:space="preserve"> </w:t>
            </w:r>
          </w:p>
          <w:p w:rsidR="005957E7" w:rsidRPr="00E057EF" w:rsidRDefault="005957E7" w:rsidP="005957E7">
            <w:pPr>
              <w:spacing w:after="0" w:line="240" w:lineRule="auto"/>
              <w:rPr>
                <w:rFonts w:cs="Arial"/>
                <w:sz w:val="18"/>
                <w:szCs w:val="18"/>
              </w:rPr>
            </w:pPr>
          </w:p>
          <w:p w:rsidR="00BF5773" w:rsidRPr="00E057EF" w:rsidRDefault="00BF5773" w:rsidP="005957E7">
            <w:pPr>
              <w:spacing w:after="0" w:line="240" w:lineRule="auto"/>
              <w:rPr>
                <w:rFonts w:cs="Arial"/>
                <w:sz w:val="18"/>
                <w:szCs w:val="18"/>
              </w:rPr>
            </w:pPr>
            <w:r w:rsidRPr="00E057EF">
              <w:rPr>
                <w:rFonts w:eastAsia="Calibri" w:cs="Arial"/>
                <w:sz w:val="18"/>
                <w:szCs w:val="18"/>
              </w:rPr>
              <w:t xml:space="preserve">These purposes statements </w:t>
            </w:r>
            <w:r w:rsidR="00E057EF">
              <w:rPr>
                <w:rFonts w:eastAsia="Calibri" w:cs="Arial"/>
                <w:sz w:val="18"/>
                <w:szCs w:val="18"/>
              </w:rPr>
              <w:t xml:space="preserve">will </w:t>
            </w:r>
            <w:r w:rsidRPr="00E057EF">
              <w:rPr>
                <w:rFonts w:cs="Arial"/>
                <w:bCs/>
                <w:sz w:val="18"/>
                <w:szCs w:val="18"/>
              </w:rPr>
              <w:t>signal the importance of identity and sense of belonging</w:t>
            </w:r>
            <w:r w:rsidR="00E057EF">
              <w:rPr>
                <w:rFonts w:cs="Arial"/>
                <w:bCs/>
                <w:sz w:val="18"/>
                <w:szCs w:val="18"/>
              </w:rPr>
              <w:t xml:space="preserve"> for M</w:t>
            </w:r>
            <w:r w:rsidR="00E057EF" w:rsidRPr="00324F01">
              <w:rPr>
                <w:rFonts w:eastAsia="Calibri" w:cs="Arial"/>
                <w:sz w:val="18"/>
                <w:szCs w:val="18"/>
              </w:rPr>
              <w:t>ā</w:t>
            </w:r>
            <w:r w:rsidR="00E057EF">
              <w:rPr>
                <w:rFonts w:eastAsia="Calibri" w:cs="Arial"/>
                <w:sz w:val="18"/>
                <w:szCs w:val="18"/>
              </w:rPr>
              <w:t>ori</w:t>
            </w:r>
            <w:r w:rsidRPr="00E057EF">
              <w:rPr>
                <w:rFonts w:cs="Arial"/>
                <w:bCs/>
                <w:sz w:val="18"/>
                <w:szCs w:val="18"/>
              </w:rPr>
              <w:t>.</w:t>
            </w:r>
          </w:p>
        </w:tc>
        <w:tc>
          <w:tcPr>
            <w:tcW w:w="961" w:type="pct"/>
            <w:shd w:val="clear" w:color="auto" w:fill="auto"/>
          </w:tcPr>
          <w:p w:rsidR="002B4561" w:rsidRPr="00913EDB" w:rsidRDefault="002B4561" w:rsidP="005957E7">
            <w:pPr>
              <w:numPr>
                <w:ilvl w:val="0"/>
                <w:numId w:val="8"/>
              </w:numPr>
              <w:spacing w:after="0" w:line="240" w:lineRule="auto"/>
              <w:ind w:left="357" w:hanging="357"/>
              <w:rPr>
                <w:rFonts w:cs="Arial"/>
                <w:sz w:val="18"/>
                <w:szCs w:val="18"/>
              </w:rPr>
            </w:pPr>
            <w:r w:rsidRPr="007A28B6">
              <w:rPr>
                <w:rFonts w:cs="Arial"/>
                <w:sz w:val="18"/>
                <w:szCs w:val="18"/>
              </w:rPr>
              <w:t xml:space="preserve">Inclusion of the concepts of </w:t>
            </w:r>
            <w:r w:rsidR="00002A25">
              <w:rPr>
                <w:rFonts w:cs="Arial"/>
                <w:sz w:val="18"/>
                <w:szCs w:val="18"/>
              </w:rPr>
              <w:t>mana tamaiti</w:t>
            </w:r>
            <w:r w:rsidRPr="000E3DCB">
              <w:rPr>
                <w:rFonts w:cs="Arial"/>
                <w:sz w:val="18"/>
                <w:szCs w:val="18"/>
              </w:rPr>
              <w:t xml:space="preserve">, whakapapa and whanaungatanga assist with a clearer articulation of how to give effect to a child-centred approach, particularly in relation to </w:t>
            </w:r>
            <w:r w:rsidRPr="00901C28">
              <w:rPr>
                <w:rFonts w:eastAsia="Calibri" w:cs="Arial"/>
                <w:sz w:val="18"/>
                <w:szCs w:val="18"/>
              </w:rPr>
              <w:t>Māori children and young people.</w:t>
            </w:r>
          </w:p>
          <w:p w:rsidR="005957E7" w:rsidRPr="009D007C" w:rsidRDefault="005957E7" w:rsidP="005957E7">
            <w:pPr>
              <w:spacing w:after="0" w:line="240" w:lineRule="auto"/>
              <w:ind w:left="357"/>
              <w:rPr>
                <w:rFonts w:cs="Arial"/>
                <w:sz w:val="18"/>
                <w:szCs w:val="18"/>
              </w:rPr>
            </w:pPr>
          </w:p>
          <w:p w:rsidR="002B4561" w:rsidRPr="00CA6547" w:rsidRDefault="002B4561" w:rsidP="005957E7">
            <w:pPr>
              <w:numPr>
                <w:ilvl w:val="0"/>
                <w:numId w:val="8"/>
              </w:numPr>
              <w:spacing w:after="0" w:line="240" w:lineRule="auto"/>
              <w:ind w:left="357" w:hanging="357"/>
              <w:rPr>
                <w:rFonts w:cs="Arial"/>
                <w:sz w:val="18"/>
                <w:szCs w:val="18"/>
              </w:rPr>
            </w:pPr>
            <w:r w:rsidRPr="009D007C">
              <w:rPr>
                <w:rFonts w:cs="Arial"/>
                <w:sz w:val="18"/>
                <w:szCs w:val="18"/>
              </w:rPr>
              <w:t>Having a</w:t>
            </w:r>
            <w:r w:rsidR="00046A5E" w:rsidRPr="009D007C">
              <w:rPr>
                <w:rFonts w:cs="Arial"/>
                <w:sz w:val="18"/>
                <w:szCs w:val="18"/>
              </w:rPr>
              <w:t xml:space="preserve"> </w:t>
            </w:r>
            <w:r w:rsidRPr="00B82003">
              <w:rPr>
                <w:rFonts w:cs="Arial"/>
                <w:sz w:val="18"/>
                <w:szCs w:val="18"/>
              </w:rPr>
              <w:t>high level of participation from</w:t>
            </w:r>
            <w:r w:rsidR="00B82003">
              <w:rPr>
                <w:rFonts w:cs="Arial"/>
                <w:sz w:val="18"/>
                <w:szCs w:val="18"/>
              </w:rPr>
              <w:t>,</w:t>
            </w:r>
            <w:r w:rsidRPr="00B82003">
              <w:rPr>
                <w:rFonts w:cs="Arial"/>
                <w:sz w:val="18"/>
                <w:szCs w:val="18"/>
              </w:rPr>
              <w:t xml:space="preserve"> </w:t>
            </w:r>
            <w:r w:rsidR="00B82003" w:rsidRPr="00B82003">
              <w:rPr>
                <w:rFonts w:cs="Arial"/>
                <w:sz w:val="18"/>
                <w:szCs w:val="18"/>
              </w:rPr>
              <w:t>and</w:t>
            </w:r>
            <w:r w:rsidRPr="00B82003">
              <w:rPr>
                <w:rFonts w:cs="Arial"/>
                <w:sz w:val="18"/>
                <w:szCs w:val="18"/>
              </w:rPr>
              <w:t xml:space="preserve"> responsibility within</w:t>
            </w:r>
            <w:r w:rsidR="00B82003">
              <w:rPr>
                <w:rFonts w:cs="Arial"/>
                <w:sz w:val="18"/>
                <w:szCs w:val="18"/>
              </w:rPr>
              <w:t>,</w:t>
            </w:r>
            <w:r w:rsidRPr="00B82003">
              <w:rPr>
                <w:rFonts w:cs="Arial"/>
                <w:sz w:val="18"/>
                <w:szCs w:val="18"/>
              </w:rPr>
              <w:t xml:space="preserve"> family and whānau in relation to children and young people is consistent with a child-centred approach.</w:t>
            </w:r>
          </w:p>
          <w:p w:rsidR="005957E7" w:rsidRPr="000C0983" w:rsidRDefault="005957E7" w:rsidP="005957E7">
            <w:pPr>
              <w:spacing w:after="0" w:line="240" w:lineRule="auto"/>
              <w:rPr>
                <w:rFonts w:cs="Arial"/>
                <w:sz w:val="18"/>
                <w:szCs w:val="18"/>
              </w:rPr>
            </w:pPr>
          </w:p>
          <w:p w:rsidR="002B4561" w:rsidRPr="000C0983" w:rsidRDefault="00236D4B" w:rsidP="005957E7">
            <w:pPr>
              <w:numPr>
                <w:ilvl w:val="0"/>
                <w:numId w:val="8"/>
              </w:numPr>
              <w:spacing w:after="0" w:line="240" w:lineRule="auto"/>
              <w:ind w:left="357" w:hanging="357"/>
              <w:rPr>
                <w:rFonts w:cs="Arial"/>
                <w:sz w:val="18"/>
                <w:szCs w:val="18"/>
              </w:rPr>
            </w:pPr>
            <w:r w:rsidRPr="000C0983">
              <w:rPr>
                <w:rFonts w:eastAsia="Calibri" w:cs="Arial"/>
                <w:sz w:val="18"/>
                <w:szCs w:val="18"/>
              </w:rPr>
              <w:t>Māori children and young people are likely to have better connections to their culture, and consequently a better sense of self and identity.</w:t>
            </w:r>
            <w:r w:rsidR="002B4561" w:rsidRPr="000C0983">
              <w:rPr>
                <w:rFonts w:eastAsia="Calibri" w:cs="Arial"/>
                <w:sz w:val="18"/>
                <w:szCs w:val="18"/>
              </w:rPr>
              <w:t xml:space="preserve"> </w:t>
            </w:r>
          </w:p>
          <w:p w:rsidR="005957E7" w:rsidRPr="000C0983" w:rsidRDefault="005957E7" w:rsidP="005957E7">
            <w:pPr>
              <w:spacing w:after="0" w:line="240" w:lineRule="auto"/>
              <w:rPr>
                <w:rFonts w:cs="Arial"/>
                <w:sz w:val="18"/>
                <w:szCs w:val="18"/>
              </w:rPr>
            </w:pPr>
          </w:p>
          <w:p w:rsidR="00F45FF2" w:rsidRPr="000C0983" w:rsidRDefault="002B4561" w:rsidP="005957E7">
            <w:pPr>
              <w:numPr>
                <w:ilvl w:val="0"/>
                <w:numId w:val="8"/>
              </w:numPr>
              <w:spacing w:after="0" w:line="240" w:lineRule="auto"/>
              <w:ind w:left="357" w:hanging="357"/>
              <w:rPr>
                <w:rFonts w:cs="Arial"/>
                <w:sz w:val="18"/>
                <w:szCs w:val="18"/>
              </w:rPr>
            </w:pPr>
            <w:r w:rsidRPr="000C0983">
              <w:rPr>
                <w:rFonts w:eastAsia="Calibri" w:cs="Arial"/>
                <w:sz w:val="18"/>
                <w:szCs w:val="18"/>
              </w:rPr>
              <w:t>Identity, connection and</w:t>
            </w:r>
            <w:r w:rsidR="00236D4B" w:rsidRPr="000C0983">
              <w:rPr>
                <w:rFonts w:cs="Arial"/>
                <w:sz w:val="18"/>
                <w:szCs w:val="18"/>
              </w:rPr>
              <w:t xml:space="preserve"> </w:t>
            </w:r>
            <w:r w:rsidRPr="000C0983">
              <w:rPr>
                <w:rFonts w:cs="Arial"/>
                <w:sz w:val="18"/>
                <w:szCs w:val="18"/>
              </w:rPr>
              <w:t>belonging are central to a child’s wellbeing.</w:t>
            </w:r>
            <w:r w:rsidR="00236D4B" w:rsidRPr="000C0983">
              <w:rPr>
                <w:rFonts w:cs="Arial"/>
                <w:sz w:val="18"/>
                <w:szCs w:val="18"/>
              </w:rPr>
              <w:t xml:space="preserve">                                                                                                   </w:t>
            </w:r>
          </w:p>
        </w:tc>
        <w:tc>
          <w:tcPr>
            <w:tcW w:w="1538" w:type="pct"/>
            <w:shd w:val="clear" w:color="auto" w:fill="auto"/>
          </w:tcPr>
          <w:p w:rsidR="00B83C5D" w:rsidRPr="00E057EF" w:rsidRDefault="00E057EF" w:rsidP="005957E7">
            <w:pPr>
              <w:pStyle w:val="ListParagraph"/>
              <w:numPr>
                <w:ilvl w:val="0"/>
                <w:numId w:val="8"/>
              </w:numPr>
              <w:spacing w:after="0" w:line="240" w:lineRule="auto"/>
              <w:ind w:left="357" w:hanging="357"/>
              <w:contextualSpacing w:val="0"/>
              <w:rPr>
                <w:rFonts w:eastAsia="Calibri" w:cs="Arial"/>
                <w:sz w:val="18"/>
                <w:szCs w:val="18"/>
              </w:rPr>
            </w:pPr>
            <w:r>
              <w:rPr>
                <w:rFonts w:cs="Arial"/>
                <w:i/>
                <w:sz w:val="18"/>
                <w:szCs w:val="18"/>
              </w:rPr>
              <w:t>Likely e</w:t>
            </w:r>
            <w:r w:rsidRPr="00E057EF">
              <w:rPr>
                <w:rFonts w:cs="Arial"/>
                <w:i/>
                <w:sz w:val="18"/>
                <w:szCs w:val="18"/>
              </w:rPr>
              <w:t xml:space="preserve">ffectiveness </w:t>
            </w:r>
            <w:r w:rsidRPr="00E057EF">
              <w:rPr>
                <w:rFonts w:cs="Arial"/>
                <w:sz w:val="18"/>
                <w:szCs w:val="18"/>
              </w:rPr>
              <w:t>-</w:t>
            </w:r>
            <w:r w:rsidR="00B83C5D" w:rsidRPr="00E057EF">
              <w:rPr>
                <w:rFonts w:cs="Arial"/>
                <w:sz w:val="18"/>
                <w:szCs w:val="18"/>
              </w:rPr>
              <w:t xml:space="preserve"> S</w:t>
            </w:r>
            <w:r w:rsidR="00B83C5D" w:rsidRPr="00E057EF">
              <w:rPr>
                <w:rFonts w:eastAsia="Calibri" w:cs="Arial"/>
                <w:sz w:val="18"/>
                <w:szCs w:val="18"/>
              </w:rPr>
              <w:t xml:space="preserve">pecific purpose statements will </w:t>
            </w:r>
            <w:r w:rsidR="001E693E">
              <w:rPr>
                <w:rFonts w:eastAsia="Calibri" w:cs="Arial"/>
                <w:sz w:val="18"/>
                <w:szCs w:val="18"/>
              </w:rPr>
              <w:t xml:space="preserve">help </w:t>
            </w:r>
            <w:r w:rsidR="00B83C5D" w:rsidRPr="00E057EF">
              <w:rPr>
                <w:rFonts w:eastAsia="Calibri" w:cs="Arial"/>
                <w:sz w:val="18"/>
                <w:szCs w:val="18"/>
              </w:rPr>
              <w:t xml:space="preserve">set expectations and prioritise the professional resources required to achieve </w:t>
            </w:r>
            <w:r>
              <w:rPr>
                <w:rFonts w:eastAsia="Calibri" w:cs="Arial"/>
                <w:sz w:val="18"/>
                <w:szCs w:val="18"/>
              </w:rPr>
              <w:t xml:space="preserve">a </w:t>
            </w:r>
            <w:r w:rsidR="00B83C5D" w:rsidRPr="00E057EF">
              <w:rPr>
                <w:rFonts w:eastAsia="Calibri" w:cs="Arial"/>
                <w:sz w:val="18"/>
                <w:szCs w:val="18"/>
              </w:rPr>
              <w:t>more culturally inclusive and responsive practice</w:t>
            </w:r>
            <w:r>
              <w:rPr>
                <w:rFonts w:eastAsia="Calibri" w:cs="Arial"/>
                <w:sz w:val="18"/>
                <w:szCs w:val="18"/>
              </w:rPr>
              <w:t xml:space="preserve">. </w:t>
            </w:r>
            <w:r w:rsidR="00B83C5D" w:rsidRPr="00E057EF">
              <w:rPr>
                <w:rFonts w:eastAsia="Calibri" w:cs="Arial"/>
                <w:sz w:val="18"/>
                <w:szCs w:val="18"/>
              </w:rPr>
              <w:t>Th</w:t>
            </w:r>
            <w:r>
              <w:rPr>
                <w:rFonts w:eastAsia="Calibri" w:cs="Arial"/>
                <w:sz w:val="18"/>
                <w:szCs w:val="18"/>
              </w:rPr>
              <w:t>is</w:t>
            </w:r>
            <w:r w:rsidR="00B83C5D" w:rsidRPr="00E057EF">
              <w:rPr>
                <w:rFonts w:eastAsia="Calibri" w:cs="Arial"/>
                <w:sz w:val="18"/>
                <w:szCs w:val="18"/>
              </w:rPr>
              <w:t xml:space="preserve"> will signal the importance placed by the Government on achieving positive change for Māori. </w:t>
            </w:r>
          </w:p>
          <w:p w:rsidR="005957E7" w:rsidRPr="007A28B6" w:rsidRDefault="005957E7" w:rsidP="005957E7">
            <w:pPr>
              <w:pStyle w:val="ListParagraph"/>
              <w:spacing w:after="0" w:line="240" w:lineRule="auto"/>
              <w:ind w:left="357"/>
              <w:contextualSpacing w:val="0"/>
              <w:rPr>
                <w:rFonts w:eastAsia="Calibri" w:cs="Arial"/>
                <w:sz w:val="18"/>
                <w:szCs w:val="18"/>
              </w:rPr>
            </w:pPr>
          </w:p>
          <w:p w:rsidR="00B83C5D" w:rsidRPr="007A28B6" w:rsidRDefault="00B83C5D" w:rsidP="005957E7">
            <w:pPr>
              <w:pStyle w:val="ListParagraph"/>
              <w:numPr>
                <w:ilvl w:val="0"/>
                <w:numId w:val="8"/>
              </w:numPr>
              <w:spacing w:after="0" w:line="240" w:lineRule="auto"/>
              <w:ind w:left="357" w:hanging="357"/>
              <w:contextualSpacing w:val="0"/>
              <w:rPr>
                <w:rFonts w:eastAsia="Calibri" w:cs="Arial"/>
                <w:sz w:val="18"/>
                <w:szCs w:val="18"/>
              </w:rPr>
            </w:pPr>
            <w:r w:rsidRPr="00901C28">
              <w:rPr>
                <w:rFonts w:cs="Arial"/>
                <w:i/>
                <w:sz w:val="18"/>
                <w:szCs w:val="18"/>
              </w:rPr>
              <w:t xml:space="preserve">Compatibility with other government objectives including the investment approach - </w:t>
            </w:r>
            <w:r w:rsidRPr="00913EDB">
              <w:rPr>
                <w:rFonts w:cs="Arial"/>
                <w:sz w:val="18"/>
                <w:szCs w:val="18"/>
              </w:rPr>
              <w:t>Increasing the focus on Māori is likely to re</w:t>
            </w:r>
            <w:r w:rsidR="00E057EF" w:rsidRPr="009D007C">
              <w:rPr>
                <w:rFonts w:cs="Arial"/>
                <w:sz w:val="18"/>
                <w:szCs w:val="18"/>
              </w:rPr>
              <w:t>sult in better outcome</w:t>
            </w:r>
            <w:r w:rsidR="00E057EF">
              <w:rPr>
                <w:rFonts w:cs="Arial"/>
                <w:sz w:val="18"/>
                <w:szCs w:val="18"/>
              </w:rPr>
              <w:t>s,</w:t>
            </w:r>
            <w:r w:rsidRPr="00E057EF">
              <w:rPr>
                <w:rFonts w:cs="Arial"/>
                <w:sz w:val="18"/>
                <w:szCs w:val="18"/>
              </w:rPr>
              <w:t xml:space="preserve"> and therefore reduce future liability.</w:t>
            </w:r>
          </w:p>
          <w:p w:rsidR="005957E7" w:rsidRPr="00901C28" w:rsidRDefault="005957E7" w:rsidP="005957E7">
            <w:pPr>
              <w:spacing w:after="0" w:line="240" w:lineRule="auto"/>
              <w:rPr>
                <w:rFonts w:eastAsia="Calibri" w:cs="Arial"/>
                <w:sz w:val="18"/>
                <w:szCs w:val="18"/>
              </w:rPr>
            </w:pPr>
          </w:p>
          <w:p w:rsidR="00B83C5D" w:rsidRPr="00CA6547" w:rsidRDefault="00B83C5D" w:rsidP="005957E7">
            <w:pPr>
              <w:pStyle w:val="ListParagraph"/>
              <w:numPr>
                <w:ilvl w:val="0"/>
                <w:numId w:val="8"/>
              </w:numPr>
              <w:spacing w:after="0" w:line="240" w:lineRule="auto"/>
              <w:ind w:left="357" w:hanging="357"/>
              <w:contextualSpacing w:val="0"/>
              <w:rPr>
                <w:rFonts w:eastAsia="Calibri" w:cs="Arial"/>
                <w:sz w:val="18"/>
                <w:szCs w:val="18"/>
              </w:rPr>
            </w:pPr>
            <w:r w:rsidRPr="00913EDB">
              <w:rPr>
                <w:rFonts w:cs="Arial"/>
                <w:i/>
                <w:sz w:val="18"/>
                <w:szCs w:val="18"/>
              </w:rPr>
              <w:t>Durability –</w:t>
            </w:r>
            <w:r w:rsidRPr="009D007C">
              <w:rPr>
                <w:rFonts w:cs="Arial"/>
                <w:i/>
                <w:sz w:val="18"/>
                <w:szCs w:val="18"/>
              </w:rPr>
              <w:t xml:space="preserve"> </w:t>
            </w:r>
            <w:r w:rsidR="00B82003">
              <w:rPr>
                <w:rFonts w:cs="Arial"/>
                <w:sz w:val="18"/>
                <w:szCs w:val="18"/>
              </w:rPr>
              <w:t>Pr</w:t>
            </w:r>
            <w:r w:rsidRPr="009D007C">
              <w:rPr>
                <w:rFonts w:cs="Arial"/>
                <w:sz w:val="18"/>
                <w:szCs w:val="18"/>
              </w:rPr>
              <w:t>omotes system</w:t>
            </w:r>
            <w:r w:rsidRPr="00B82003">
              <w:rPr>
                <w:rFonts w:cs="Arial"/>
                <w:sz w:val="18"/>
                <w:szCs w:val="18"/>
              </w:rPr>
              <w:t xml:space="preserve"> change and at practice level (including operational changes)</w:t>
            </w:r>
            <w:r w:rsidR="00CA6547">
              <w:rPr>
                <w:rFonts w:cs="Arial"/>
                <w:sz w:val="18"/>
                <w:szCs w:val="18"/>
              </w:rPr>
              <w:t>,</w:t>
            </w:r>
            <w:r w:rsidRPr="00CA6547">
              <w:rPr>
                <w:rFonts w:cs="Arial"/>
                <w:sz w:val="18"/>
                <w:szCs w:val="18"/>
              </w:rPr>
              <w:t xml:space="preserve"> and</w:t>
            </w:r>
            <w:r w:rsidR="00CA6547">
              <w:rPr>
                <w:rFonts w:cs="Arial"/>
                <w:sz w:val="18"/>
                <w:szCs w:val="18"/>
              </w:rPr>
              <w:t xml:space="preserve"> promotes</w:t>
            </w:r>
            <w:r w:rsidRPr="00CA6547">
              <w:rPr>
                <w:rFonts w:cs="Arial"/>
                <w:sz w:val="18"/>
                <w:szCs w:val="18"/>
              </w:rPr>
              <w:t xml:space="preserve"> durable long-term solutions.</w:t>
            </w:r>
          </w:p>
          <w:p w:rsidR="005957E7" w:rsidRPr="000C0983" w:rsidRDefault="005957E7" w:rsidP="005957E7">
            <w:pPr>
              <w:spacing w:after="0" w:line="240" w:lineRule="auto"/>
              <w:rPr>
                <w:rFonts w:eastAsia="Calibri" w:cs="Arial"/>
                <w:sz w:val="18"/>
                <w:szCs w:val="18"/>
              </w:rPr>
            </w:pPr>
          </w:p>
          <w:p w:rsidR="00B83C5D" w:rsidRPr="000C0983" w:rsidRDefault="00B83C5D" w:rsidP="005957E7">
            <w:pPr>
              <w:pStyle w:val="ListParagraph"/>
              <w:numPr>
                <w:ilvl w:val="0"/>
                <w:numId w:val="8"/>
              </w:numPr>
              <w:spacing w:after="0" w:line="240" w:lineRule="auto"/>
              <w:ind w:left="357" w:hanging="357"/>
              <w:contextualSpacing w:val="0"/>
              <w:rPr>
                <w:rFonts w:eastAsia="Calibri" w:cs="Arial"/>
                <w:sz w:val="18"/>
                <w:szCs w:val="18"/>
              </w:rPr>
            </w:pPr>
            <w:r w:rsidRPr="000C0983">
              <w:rPr>
                <w:rFonts w:cs="Arial"/>
                <w:i/>
                <w:sz w:val="18"/>
                <w:szCs w:val="18"/>
              </w:rPr>
              <w:t xml:space="preserve">Consistency with the Treaty of Waitangi, UNCROC and other international obligations – </w:t>
            </w:r>
            <w:r w:rsidRPr="000C0983">
              <w:rPr>
                <w:rFonts w:cs="Arial"/>
                <w:sz w:val="18"/>
                <w:szCs w:val="18"/>
              </w:rPr>
              <w:t xml:space="preserve">This approach is consistent with the Treaty of Waitangi and international obligations such as UNCROC. </w:t>
            </w:r>
          </w:p>
          <w:p w:rsidR="005957E7" w:rsidRPr="000C0983" w:rsidRDefault="005957E7" w:rsidP="005957E7">
            <w:pPr>
              <w:spacing w:after="0" w:line="240" w:lineRule="auto"/>
              <w:rPr>
                <w:rFonts w:eastAsia="Calibri" w:cs="Arial"/>
                <w:sz w:val="18"/>
                <w:szCs w:val="18"/>
              </w:rPr>
            </w:pPr>
          </w:p>
          <w:p w:rsidR="00B83C5D" w:rsidRPr="000C0983" w:rsidRDefault="00B83C5D" w:rsidP="005957E7">
            <w:pPr>
              <w:pStyle w:val="ListParagraph"/>
              <w:numPr>
                <w:ilvl w:val="0"/>
                <w:numId w:val="8"/>
              </w:numPr>
              <w:spacing w:after="0" w:line="240" w:lineRule="auto"/>
              <w:ind w:left="357" w:hanging="357"/>
              <w:contextualSpacing w:val="0"/>
              <w:rPr>
                <w:rFonts w:cs="Arial"/>
                <w:sz w:val="18"/>
                <w:szCs w:val="18"/>
              </w:rPr>
            </w:pPr>
            <w:r w:rsidRPr="000C0983">
              <w:rPr>
                <w:rFonts w:eastAsia="Calibri" w:cs="Arial"/>
                <w:i/>
                <w:sz w:val="18"/>
                <w:szCs w:val="18"/>
              </w:rPr>
              <w:t xml:space="preserve">Interaction with other legislation and planned reforms </w:t>
            </w:r>
            <w:r w:rsidRPr="000C0983">
              <w:rPr>
                <w:rFonts w:eastAsia="Calibri" w:cs="Arial"/>
                <w:sz w:val="18"/>
                <w:szCs w:val="18"/>
              </w:rPr>
              <w:t>– Is likely to complement other proposed reforms and make other changes more effective for Māori.</w:t>
            </w:r>
          </w:p>
          <w:p w:rsidR="005957E7" w:rsidRPr="000C0983" w:rsidRDefault="005957E7" w:rsidP="005957E7">
            <w:pPr>
              <w:spacing w:after="0" w:line="240" w:lineRule="auto"/>
              <w:rPr>
                <w:rFonts w:cs="Arial"/>
                <w:sz w:val="18"/>
                <w:szCs w:val="18"/>
              </w:rPr>
            </w:pPr>
          </w:p>
          <w:p w:rsidR="00F45FF2" w:rsidRPr="000E3DCB" w:rsidRDefault="00B83C5D" w:rsidP="00E057EF">
            <w:pPr>
              <w:pStyle w:val="ListParagraph"/>
              <w:numPr>
                <w:ilvl w:val="0"/>
                <w:numId w:val="8"/>
              </w:numPr>
              <w:spacing w:after="0" w:line="240" w:lineRule="auto"/>
              <w:ind w:left="357" w:hanging="357"/>
              <w:contextualSpacing w:val="0"/>
              <w:rPr>
                <w:rFonts w:eastAsia="Calibri" w:cs="Arial"/>
                <w:i/>
                <w:sz w:val="18"/>
                <w:szCs w:val="18"/>
              </w:rPr>
            </w:pPr>
            <w:r w:rsidRPr="000E3DCB">
              <w:rPr>
                <w:rFonts w:eastAsia="Calibri" w:cs="Arial"/>
                <w:i/>
                <w:sz w:val="18"/>
                <w:szCs w:val="18"/>
              </w:rPr>
              <w:t xml:space="preserve">Fairness and equity </w:t>
            </w:r>
            <w:r w:rsidRPr="000E3DCB">
              <w:rPr>
                <w:rFonts w:eastAsia="Calibri" w:cs="Arial"/>
                <w:sz w:val="18"/>
                <w:szCs w:val="18"/>
              </w:rPr>
              <w:t xml:space="preserve">– </w:t>
            </w:r>
            <w:r w:rsidR="001E693E">
              <w:rPr>
                <w:rFonts w:eastAsia="Calibri" w:cs="Arial"/>
                <w:sz w:val="18"/>
                <w:szCs w:val="18"/>
              </w:rPr>
              <w:t xml:space="preserve">will contribute </w:t>
            </w:r>
            <w:r w:rsidRPr="000E3DCB">
              <w:rPr>
                <w:rFonts w:eastAsia="Calibri" w:cs="Arial"/>
                <w:sz w:val="18"/>
                <w:szCs w:val="18"/>
              </w:rPr>
              <w:t xml:space="preserve">to improvements in outcomes </w:t>
            </w:r>
            <w:r w:rsidR="00E057EF">
              <w:rPr>
                <w:rFonts w:eastAsia="Calibri" w:cs="Arial"/>
                <w:sz w:val="18"/>
                <w:szCs w:val="18"/>
              </w:rPr>
              <w:t>for M</w:t>
            </w:r>
            <w:r w:rsidR="00E057EF" w:rsidRPr="00324F01">
              <w:rPr>
                <w:rFonts w:eastAsia="Calibri" w:cs="Arial"/>
                <w:sz w:val="18"/>
                <w:szCs w:val="18"/>
              </w:rPr>
              <w:t>ā</w:t>
            </w:r>
            <w:r w:rsidR="00E057EF">
              <w:rPr>
                <w:rFonts w:eastAsia="Calibri" w:cs="Arial"/>
                <w:sz w:val="18"/>
                <w:szCs w:val="18"/>
              </w:rPr>
              <w:t>ori</w:t>
            </w:r>
            <w:r w:rsidRPr="00E057EF">
              <w:rPr>
                <w:rFonts w:eastAsia="Calibri" w:cs="Arial"/>
                <w:sz w:val="18"/>
                <w:szCs w:val="18"/>
              </w:rPr>
              <w:t xml:space="preserve"> and</w:t>
            </w:r>
            <w:r w:rsidR="00E057EF">
              <w:rPr>
                <w:rFonts w:eastAsia="Calibri" w:cs="Arial"/>
                <w:sz w:val="18"/>
                <w:szCs w:val="18"/>
              </w:rPr>
              <w:t>,</w:t>
            </w:r>
            <w:r w:rsidRPr="00E057EF">
              <w:rPr>
                <w:rFonts w:eastAsia="Calibri" w:cs="Arial"/>
                <w:sz w:val="18"/>
                <w:szCs w:val="18"/>
              </w:rPr>
              <w:t xml:space="preserve"> over time</w:t>
            </w:r>
            <w:r w:rsidR="00E057EF">
              <w:rPr>
                <w:rFonts w:eastAsia="Calibri" w:cs="Arial"/>
                <w:sz w:val="18"/>
                <w:szCs w:val="18"/>
              </w:rPr>
              <w:t>,</w:t>
            </w:r>
            <w:r w:rsidRPr="00E057EF">
              <w:rPr>
                <w:rFonts w:eastAsia="Calibri" w:cs="Arial"/>
                <w:sz w:val="18"/>
                <w:szCs w:val="18"/>
              </w:rPr>
              <w:t xml:space="preserve"> address over-representation in the system.</w:t>
            </w:r>
          </w:p>
          <w:p w:rsidR="000E3DCB" w:rsidRPr="000E3DCB" w:rsidRDefault="000E3DCB" w:rsidP="000E3DCB">
            <w:pPr>
              <w:spacing w:after="0" w:line="240" w:lineRule="auto"/>
              <w:rPr>
                <w:rFonts w:eastAsia="Calibri" w:cs="Arial"/>
                <w:i/>
                <w:sz w:val="18"/>
                <w:szCs w:val="18"/>
              </w:rPr>
            </w:pPr>
          </w:p>
        </w:tc>
        <w:tc>
          <w:tcPr>
            <w:tcW w:w="1090" w:type="pct"/>
            <w:shd w:val="clear" w:color="auto" w:fill="auto"/>
          </w:tcPr>
          <w:p w:rsidR="00BF5773" w:rsidRPr="000C0983" w:rsidRDefault="00BF5773" w:rsidP="005957E7">
            <w:pPr>
              <w:pStyle w:val="ListParagraph"/>
              <w:numPr>
                <w:ilvl w:val="0"/>
                <w:numId w:val="8"/>
              </w:numPr>
              <w:spacing w:after="0" w:line="240" w:lineRule="auto"/>
              <w:ind w:left="357" w:hanging="357"/>
              <w:contextualSpacing w:val="0"/>
              <w:rPr>
                <w:rFonts w:cs="Arial"/>
                <w:sz w:val="18"/>
                <w:szCs w:val="18"/>
              </w:rPr>
            </w:pPr>
            <w:r w:rsidRPr="007A28B6">
              <w:rPr>
                <w:rFonts w:eastAsia="Calibri" w:cs="Arial"/>
                <w:i/>
                <w:sz w:val="18"/>
                <w:szCs w:val="18"/>
              </w:rPr>
              <w:t>Fiscal and o</w:t>
            </w:r>
            <w:r w:rsidRPr="000E3DCB">
              <w:rPr>
                <w:rFonts w:eastAsia="Calibri" w:cs="Arial"/>
                <w:i/>
                <w:sz w:val="18"/>
                <w:szCs w:val="18"/>
              </w:rPr>
              <w:t>perational impact</w:t>
            </w:r>
            <w:r w:rsidRPr="000E3DCB">
              <w:rPr>
                <w:rFonts w:eastAsia="Calibri" w:cs="Arial"/>
                <w:sz w:val="18"/>
                <w:szCs w:val="18"/>
              </w:rPr>
              <w:t xml:space="preserve"> </w:t>
            </w:r>
            <w:r w:rsidRPr="000E3DCB">
              <w:rPr>
                <w:rFonts w:eastAsia="Calibri" w:cs="Arial"/>
                <w:i/>
                <w:sz w:val="18"/>
                <w:szCs w:val="18"/>
              </w:rPr>
              <w:t>and practicality</w:t>
            </w:r>
            <w:r w:rsidRPr="000E3DCB">
              <w:rPr>
                <w:rFonts w:cs="Arial"/>
                <w:sz w:val="18"/>
                <w:szCs w:val="18"/>
              </w:rPr>
              <w:t xml:space="preserve"> – Will require </w:t>
            </w:r>
            <w:r w:rsidRPr="00901C28">
              <w:rPr>
                <w:rFonts w:cs="Arial"/>
                <w:sz w:val="18"/>
                <w:szCs w:val="18"/>
              </w:rPr>
              <w:t xml:space="preserve">additional </w:t>
            </w:r>
            <w:r w:rsidRPr="00913EDB">
              <w:rPr>
                <w:rFonts w:cs="Arial"/>
                <w:sz w:val="18"/>
                <w:szCs w:val="18"/>
              </w:rPr>
              <w:t xml:space="preserve">resources, training and guidance </w:t>
            </w:r>
            <w:r w:rsidRPr="009D007C">
              <w:rPr>
                <w:rFonts w:cs="Arial"/>
                <w:sz w:val="18"/>
                <w:szCs w:val="18"/>
              </w:rPr>
              <w:t>for practitioners to understand what th</w:t>
            </w:r>
            <w:r w:rsidRPr="00B82003">
              <w:rPr>
                <w:rFonts w:cs="Arial"/>
                <w:sz w:val="18"/>
                <w:szCs w:val="18"/>
              </w:rPr>
              <w:t>ese purpose statements</w:t>
            </w:r>
            <w:r w:rsidRPr="00CA6547">
              <w:rPr>
                <w:rFonts w:cs="Arial"/>
                <w:sz w:val="18"/>
                <w:szCs w:val="18"/>
              </w:rPr>
              <w:t xml:space="preserve"> mean</w:t>
            </w:r>
            <w:r w:rsidR="00E057EF" w:rsidRPr="00CA6547">
              <w:rPr>
                <w:rFonts w:cs="Arial"/>
                <w:sz w:val="18"/>
                <w:szCs w:val="18"/>
              </w:rPr>
              <w:t xml:space="preserve"> for</w:t>
            </w:r>
            <w:r w:rsidRPr="00CA6547">
              <w:rPr>
                <w:rFonts w:cs="Arial"/>
                <w:sz w:val="18"/>
                <w:szCs w:val="18"/>
              </w:rPr>
              <w:t xml:space="preserve"> everyday practice and how they can </w:t>
            </w:r>
            <w:r w:rsidRPr="000C0983">
              <w:rPr>
                <w:rFonts w:cs="Arial"/>
                <w:sz w:val="18"/>
                <w:szCs w:val="18"/>
              </w:rPr>
              <w:t xml:space="preserve">be applied. </w:t>
            </w:r>
          </w:p>
          <w:p w:rsidR="00F45FF2" w:rsidRPr="000C0983" w:rsidRDefault="00F45FF2" w:rsidP="005957E7">
            <w:pPr>
              <w:spacing w:after="0" w:line="240" w:lineRule="auto"/>
              <w:ind w:left="357"/>
              <w:rPr>
                <w:rFonts w:cs="Arial"/>
                <w:i/>
                <w:sz w:val="18"/>
                <w:szCs w:val="18"/>
              </w:rPr>
            </w:pPr>
          </w:p>
        </w:tc>
      </w:tr>
      <w:tr w:rsidR="005F6DE8" w:rsidRPr="004C563C" w:rsidTr="00BF5773">
        <w:trPr>
          <w:trHeight w:val="1877"/>
        </w:trPr>
        <w:tc>
          <w:tcPr>
            <w:tcW w:w="353" w:type="pct"/>
            <w:shd w:val="clear" w:color="auto" w:fill="auto"/>
          </w:tcPr>
          <w:p w:rsidR="0028362C" w:rsidRDefault="00C331CB" w:rsidP="00BF5773">
            <w:pPr>
              <w:spacing w:after="0" w:line="240" w:lineRule="auto"/>
              <w:rPr>
                <w:rFonts w:cs="Arial"/>
                <w:b/>
                <w:bCs/>
                <w:sz w:val="18"/>
                <w:szCs w:val="18"/>
              </w:rPr>
            </w:pPr>
            <w:r>
              <w:rPr>
                <w:rFonts w:cs="Arial"/>
                <w:b/>
                <w:bCs/>
                <w:sz w:val="18"/>
                <w:szCs w:val="18"/>
              </w:rPr>
              <w:lastRenderedPageBreak/>
              <w:t xml:space="preserve">Option </w:t>
            </w:r>
            <w:r w:rsidR="00F45FF2">
              <w:rPr>
                <w:rFonts w:cs="Arial"/>
                <w:b/>
                <w:bCs/>
                <w:sz w:val="18"/>
                <w:szCs w:val="18"/>
              </w:rPr>
              <w:t>3</w:t>
            </w:r>
            <w:r w:rsidR="0028362C">
              <w:rPr>
                <w:rFonts w:cs="Arial"/>
                <w:b/>
                <w:bCs/>
                <w:sz w:val="18"/>
                <w:szCs w:val="18"/>
              </w:rPr>
              <w:t xml:space="preserve"> </w:t>
            </w:r>
          </w:p>
          <w:p w:rsidR="0028362C" w:rsidRDefault="0028362C" w:rsidP="00BF5773">
            <w:pPr>
              <w:spacing w:after="0" w:line="240" w:lineRule="auto"/>
              <w:rPr>
                <w:rFonts w:cs="Arial"/>
                <w:b/>
                <w:bCs/>
                <w:sz w:val="18"/>
                <w:szCs w:val="18"/>
              </w:rPr>
            </w:pPr>
          </w:p>
          <w:p w:rsidR="0004693F" w:rsidRPr="0008783D" w:rsidRDefault="0004693F" w:rsidP="005957E7">
            <w:pPr>
              <w:spacing w:after="0" w:line="240" w:lineRule="auto"/>
              <w:rPr>
                <w:rFonts w:cs="Arial"/>
                <w:bCs/>
                <w:sz w:val="18"/>
                <w:szCs w:val="18"/>
              </w:rPr>
            </w:pPr>
            <w:r>
              <w:rPr>
                <w:rFonts w:cs="Arial"/>
                <w:bCs/>
                <w:sz w:val="18"/>
                <w:szCs w:val="18"/>
              </w:rPr>
              <w:t>Include</w:t>
            </w:r>
            <w:r w:rsidR="00C43B47">
              <w:rPr>
                <w:rFonts w:cs="Arial"/>
                <w:bCs/>
                <w:sz w:val="18"/>
                <w:szCs w:val="18"/>
              </w:rPr>
              <w:t xml:space="preserve"> </w:t>
            </w:r>
            <w:r>
              <w:rPr>
                <w:rFonts w:cs="Arial"/>
                <w:bCs/>
                <w:sz w:val="18"/>
                <w:szCs w:val="18"/>
              </w:rPr>
              <w:t xml:space="preserve">new </w:t>
            </w:r>
            <w:r w:rsidR="00996B02">
              <w:rPr>
                <w:rFonts w:cs="Arial"/>
                <w:bCs/>
                <w:sz w:val="18"/>
                <w:szCs w:val="18"/>
              </w:rPr>
              <w:t xml:space="preserve">general </w:t>
            </w:r>
            <w:r>
              <w:rPr>
                <w:rFonts w:cs="Arial"/>
                <w:bCs/>
                <w:sz w:val="18"/>
                <w:szCs w:val="18"/>
              </w:rPr>
              <w:t>principle</w:t>
            </w:r>
            <w:r w:rsidR="00996B02">
              <w:rPr>
                <w:rFonts w:cs="Arial"/>
                <w:bCs/>
                <w:sz w:val="18"/>
                <w:szCs w:val="18"/>
              </w:rPr>
              <w:t>s</w:t>
            </w:r>
            <w:r w:rsidR="00C43B47">
              <w:rPr>
                <w:rFonts w:cs="Arial"/>
                <w:bCs/>
                <w:sz w:val="18"/>
                <w:szCs w:val="18"/>
              </w:rPr>
              <w:t xml:space="preserve"> into</w:t>
            </w:r>
            <w:r>
              <w:rPr>
                <w:rFonts w:cs="Arial"/>
                <w:bCs/>
                <w:sz w:val="18"/>
                <w:szCs w:val="18"/>
              </w:rPr>
              <w:t xml:space="preserve"> the CYPF Act </w:t>
            </w:r>
            <w:r w:rsidRPr="0008783D">
              <w:rPr>
                <w:rFonts w:cs="Arial"/>
                <w:bCs/>
                <w:sz w:val="18"/>
                <w:szCs w:val="18"/>
              </w:rPr>
              <w:t xml:space="preserve">to be considered and applied when working with Māori children and young people </w:t>
            </w:r>
          </w:p>
          <w:p w:rsidR="0004693F" w:rsidRDefault="0004693F" w:rsidP="005957E7">
            <w:pPr>
              <w:spacing w:after="0" w:line="240" w:lineRule="auto"/>
              <w:rPr>
                <w:rFonts w:cs="Arial"/>
                <w:bCs/>
                <w:sz w:val="18"/>
                <w:szCs w:val="18"/>
              </w:rPr>
            </w:pPr>
          </w:p>
          <w:p w:rsidR="0028362C" w:rsidRDefault="0028362C" w:rsidP="00046A5E">
            <w:pPr>
              <w:spacing w:after="0" w:line="240" w:lineRule="auto"/>
              <w:rPr>
                <w:rFonts w:cs="Arial"/>
                <w:b/>
                <w:bCs/>
                <w:sz w:val="18"/>
                <w:szCs w:val="18"/>
              </w:rPr>
            </w:pPr>
            <w:r>
              <w:rPr>
                <w:rFonts w:cs="Arial"/>
                <w:b/>
                <w:bCs/>
                <w:sz w:val="18"/>
                <w:szCs w:val="18"/>
              </w:rPr>
              <w:t>Regulatory option</w:t>
            </w:r>
          </w:p>
          <w:p w:rsidR="00C331CB" w:rsidRDefault="00C331CB" w:rsidP="00046A5E">
            <w:pPr>
              <w:spacing w:after="0" w:line="240" w:lineRule="auto"/>
              <w:rPr>
                <w:rFonts w:cs="Arial"/>
                <w:b/>
                <w:bCs/>
                <w:sz w:val="18"/>
                <w:szCs w:val="18"/>
              </w:rPr>
            </w:pPr>
          </w:p>
          <w:p w:rsidR="00C331CB" w:rsidRDefault="005417C3" w:rsidP="00046A5E">
            <w:pPr>
              <w:spacing w:after="0" w:line="240" w:lineRule="auto"/>
              <w:rPr>
                <w:rFonts w:cs="Arial"/>
                <w:b/>
                <w:bCs/>
                <w:sz w:val="18"/>
                <w:szCs w:val="18"/>
              </w:rPr>
            </w:pPr>
            <w:r>
              <w:rPr>
                <w:rFonts w:cs="Arial"/>
                <w:b/>
                <w:bCs/>
                <w:sz w:val="18"/>
                <w:szCs w:val="18"/>
              </w:rPr>
              <w:t>PREFERRED</w:t>
            </w:r>
          </w:p>
        </w:tc>
        <w:tc>
          <w:tcPr>
            <w:tcW w:w="1057" w:type="pct"/>
            <w:shd w:val="clear" w:color="auto" w:fill="auto"/>
          </w:tcPr>
          <w:p w:rsidR="0004693F" w:rsidRDefault="0004693F" w:rsidP="00BF5773">
            <w:pPr>
              <w:spacing w:after="0" w:line="240" w:lineRule="auto"/>
              <w:rPr>
                <w:rFonts w:cs="Arial"/>
                <w:sz w:val="18"/>
                <w:szCs w:val="18"/>
              </w:rPr>
            </w:pPr>
            <w:r>
              <w:rPr>
                <w:rFonts w:cs="Arial"/>
                <w:sz w:val="18"/>
                <w:szCs w:val="18"/>
              </w:rPr>
              <w:t xml:space="preserve">The CYPF Act would  include </w:t>
            </w:r>
            <w:r w:rsidR="00996B02">
              <w:rPr>
                <w:rFonts w:cs="Arial"/>
                <w:sz w:val="18"/>
                <w:szCs w:val="18"/>
              </w:rPr>
              <w:t xml:space="preserve">two </w:t>
            </w:r>
            <w:r>
              <w:rPr>
                <w:rFonts w:cs="Arial"/>
                <w:sz w:val="18"/>
                <w:szCs w:val="18"/>
              </w:rPr>
              <w:t xml:space="preserve">new </w:t>
            </w:r>
            <w:r w:rsidR="00C43B47">
              <w:rPr>
                <w:rFonts w:cs="Arial"/>
                <w:sz w:val="18"/>
                <w:szCs w:val="18"/>
              </w:rPr>
              <w:t>general principle</w:t>
            </w:r>
            <w:r w:rsidR="00996B02">
              <w:rPr>
                <w:rFonts w:cs="Arial"/>
                <w:sz w:val="18"/>
                <w:szCs w:val="18"/>
              </w:rPr>
              <w:t>s</w:t>
            </w:r>
            <w:r>
              <w:rPr>
                <w:rFonts w:cs="Arial"/>
                <w:sz w:val="18"/>
                <w:szCs w:val="18"/>
              </w:rPr>
              <w:t xml:space="preserve"> directly relevant to Māori children and young people:</w:t>
            </w:r>
          </w:p>
          <w:p w:rsidR="00BF5773" w:rsidRDefault="00BF5773" w:rsidP="00BF5773">
            <w:pPr>
              <w:spacing w:after="0" w:line="240" w:lineRule="auto"/>
              <w:rPr>
                <w:rFonts w:cs="Arial"/>
                <w:sz w:val="18"/>
                <w:szCs w:val="18"/>
              </w:rPr>
            </w:pPr>
          </w:p>
          <w:p w:rsidR="0028362C" w:rsidRPr="00BF5773" w:rsidRDefault="00996B02" w:rsidP="00BF5773">
            <w:pPr>
              <w:pStyle w:val="ListParagraph"/>
              <w:numPr>
                <w:ilvl w:val="0"/>
                <w:numId w:val="24"/>
              </w:numPr>
              <w:spacing w:after="0" w:line="240" w:lineRule="auto"/>
              <w:ind w:left="315" w:hanging="283"/>
              <w:contextualSpacing w:val="0"/>
              <w:rPr>
                <w:rFonts w:cs="Arial"/>
                <w:i/>
                <w:sz w:val="18"/>
                <w:szCs w:val="18"/>
              </w:rPr>
            </w:pPr>
            <w:r>
              <w:rPr>
                <w:rFonts w:cs="Arial"/>
                <w:sz w:val="18"/>
                <w:szCs w:val="18"/>
              </w:rPr>
              <w:t>to protect the wellbeing and mana of Māori children and young people</w:t>
            </w:r>
            <w:r w:rsidR="00D00124">
              <w:rPr>
                <w:rFonts w:cs="Arial"/>
                <w:sz w:val="18"/>
                <w:szCs w:val="18"/>
              </w:rPr>
              <w:t xml:space="preserve"> by recognising the whakapapa and whanaungatanga responsibilities and obligations of whānau, hapū and iwi</w:t>
            </w:r>
          </w:p>
          <w:p w:rsidR="00BF5773" w:rsidRPr="00BF5773" w:rsidRDefault="00BF5773" w:rsidP="00BF5773">
            <w:pPr>
              <w:pStyle w:val="ListParagraph"/>
              <w:spacing w:after="0" w:line="240" w:lineRule="auto"/>
              <w:ind w:left="315"/>
              <w:contextualSpacing w:val="0"/>
              <w:rPr>
                <w:rFonts w:cs="Arial"/>
                <w:i/>
                <w:sz w:val="18"/>
                <w:szCs w:val="18"/>
              </w:rPr>
            </w:pPr>
          </w:p>
          <w:p w:rsidR="00D00124" w:rsidRPr="006369FF" w:rsidRDefault="00232B01" w:rsidP="00BF5773">
            <w:pPr>
              <w:pStyle w:val="ListParagraph"/>
              <w:numPr>
                <w:ilvl w:val="0"/>
                <w:numId w:val="24"/>
              </w:numPr>
              <w:spacing w:after="0" w:line="240" w:lineRule="auto"/>
              <w:ind w:left="315" w:hanging="283"/>
              <w:contextualSpacing w:val="0"/>
              <w:rPr>
                <w:rFonts w:cs="Arial"/>
                <w:i/>
                <w:sz w:val="18"/>
                <w:szCs w:val="18"/>
              </w:rPr>
            </w:pPr>
            <w:proofErr w:type="gramStart"/>
            <w:r>
              <w:rPr>
                <w:rFonts w:cs="Arial"/>
                <w:sz w:val="18"/>
                <w:szCs w:val="18"/>
              </w:rPr>
              <w:t>r</w:t>
            </w:r>
            <w:r w:rsidR="00D00124">
              <w:rPr>
                <w:rFonts w:cs="Arial"/>
                <w:sz w:val="18"/>
                <w:szCs w:val="18"/>
              </w:rPr>
              <w:t>ecognising</w:t>
            </w:r>
            <w:proofErr w:type="gramEnd"/>
            <w:r w:rsidR="00D00124">
              <w:rPr>
                <w:rFonts w:cs="Arial"/>
                <w:sz w:val="18"/>
                <w:szCs w:val="18"/>
              </w:rPr>
              <w:t xml:space="preserve"> the importance of whakapapa and whanaungatanga; wherever possible, whānau, hapū and iwi can participate in decisions made about Māori children and young people.</w:t>
            </w:r>
          </w:p>
        </w:tc>
        <w:tc>
          <w:tcPr>
            <w:tcW w:w="961" w:type="pct"/>
            <w:shd w:val="clear" w:color="auto" w:fill="auto"/>
          </w:tcPr>
          <w:p w:rsidR="002E3ED9" w:rsidRDefault="005242A4" w:rsidP="00BF5773">
            <w:pPr>
              <w:numPr>
                <w:ilvl w:val="0"/>
                <w:numId w:val="8"/>
              </w:numPr>
              <w:spacing w:after="0" w:line="240" w:lineRule="auto"/>
              <w:ind w:left="357" w:hanging="357"/>
              <w:rPr>
                <w:rFonts w:cs="Arial"/>
                <w:sz w:val="18"/>
                <w:szCs w:val="18"/>
              </w:rPr>
            </w:pPr>
            <w:r>
              <w:rPr>
                <w:rFonts w:eastAsia="Calibri" w:cs="Arial"/>
                <w:sz w:val="18"/>
                <w:szCs w:val="18"/>
              </w:rPr>
              <w:t>Māori children and young people are likely to have better connections</w:t>
            </w:r>
            <w:r w:rsidRPr="005D7B82">
              <w:rPr>
                <w:rFonts w:eastAsia="Calibri" w:cs="Arial"/>
                <w:sz w:val="18"/>
                <w:szCs w:val="18"/>
              </w:rPr>
              <w:t xml:space="preserve"> to their culture</w:t>
            </w:r>
            <w:r>
              <w:rPr>
                <w:rFonts w:eastAsia="Calibri" w:cs="Arial"/>
                <w:sz w:val="18"/>
                <w:szCs w:val="18"/>
              </w:rPr>
              <w:t>, and consequently a better sense of self and identity</w:t>
            </w:r>
            <w:r w:rsidR="00904B83">
              <w:rPr>
                <w:rFonts w:eastAsia="Calibri" w:cs="Arial"/>
                <w:sz w:val="18"/>
                <w:szCs w:val="18"/>
              </w:rPr>
              <w:t>.</w:t>
            </w:r>
            <w:r>
              <w:rPr>
                <w:rFonts w:cs="Arial"/>
                <w:sz w:val="18"/>
                <w:szCs w:val="18"/>
              </w:rPr>
              <w:t xml:space="preserve"> </w:t>
            </w:r>
          </w:p>
          <w:p w:rsidR="00BF5773" w:rsidRDefault="00BF5773" w:rsidP="00BF5773">
            <w:pPr>
              <w:spacing w:after="0" w:line="240" w:lineRule="auto"/>
              <w:ind w:left="357"/>
              <w:rPr>
                <w:rFonts w:cs="Arial"/>
                <w:sz w:val="18"/>
                <w:szCs w:val="18"/>
              </w:rPr>
            </w:pPr>
          </w:p>
          <w:p w:rsidR="0028362C" w:rsidRDefault="006369FF" w:rsidP="00BF5773">
            <w:pPr>
              <w:numPr>
                <w:ilvl w:val="0"/>
                <w:numId w:val="8"/>
              </w:numPr>
              <w:spacing w:after="0" w:line="240" w:lineRule="auto"/>
              <w:ind w:left="357" w:hanging="357"/>
              <w:rPr>
                <w:rFonts w:cs="Arial"/>
                <w:sz w:val="18"/>
                <w:szCs w:val="18"/>
              </w:rPr>
            </w:pPr>
            <w:r>
              <w:rPr>
                <w:rFonts w:cs="Arial"/>
                <w:sz w:val="18"/>
                <w:szCs w:val="18"/>
              </w:rPr>
              <w:t xml:space="preserve">Practitioners and caregivers will have greater clarity </w:t>
            </w:r>
            <w:r w:rsidR="00774C31">
              <w:rPr>
                <w:rFonts w:cs="Arial"/>
                <w:sz w:val="18"/>
                <w:szCs w:val="18"/>
              </w:rPr>
              <w:t>about how</w:t>
            </w:r>
            <w:r w:rsidR="0028362C">
              <w:rPr>
                <w:rFonts w:cs="Arial"/>
                <w:sz w:val="18"/>
                <w:szCs w:val="18"/>
              </w:rPr>
              <w:t xml:space="preserve"> Māori children and young people should be treated by the system. This is likely to result in an increased focus on meeting their needs.</w:t>
            </w:r>
          </w:p>
          <w:p w:rsidR="006369FF" w:rsidRPr="00F45FF2" w:rsidRDefault="006369FF" w:rsidP="00BF5773">
            <w:pPr>
              <w:spacing w:after="0" w:line="240" w:lineRule="auto"/>
              <w:rPr>
                <w:rFonts w:cs="Arial"/>
                <w:sz w:val="18"/>
                <w:szCs w:val="18"/>
              </w:rPr>
            </w:pPr>
          </w:p>
        </w:tc>
        <w:tc>
          <w:tcPr>
            <w:tcW w:w="1538" w:type="pct"/>
            <w:shd w:val="clear" w:color="auto" w:fill="auto"/>
          </w:tcPr>
          <w:p w:rsidR="000E3DCB" w:rsidRPr="00E057EF" w:rsidRDefault="000E3DCB" w:rsidP="000E3DCB">
            <w:pPr>
              <w:pStyle w:val="ListParagraph"/>
              <w:numPr>
                <w:ilvl w:val="0"/>
                <w:numId w:val="8"/>
              </w:numPr>
              <w:spacing w:after="0" w:line="240" w:lineRule="auto"/>
              <w:ind w:left="357" w:hanging="357"/>
              <w:contextualSpacing w:val="0"/>
              <w:rPr>
                <w:rFonts w:eastAsia="Calibri" w:cs="Arial"/>
                <w:sz w:val="18"/>
                <w:szCs w:val="18"/>
              </w:rPr>
            </w:pPr>
            <w:r>
              <w:rPr>
                <w:rFonts w:cs="Arial"/>
                <w:i/>
                <w:sz w:val="18"/>
                <w:szCs w:val="18"/>
              </w:rPr>
              <w:t>Likely e</w:t>
            </w:r>
            <w:r w:rsidRPr="00E057EF">
              <w:rPr>
                <w:rFonts w:cs="Arial"/>
                <w:i/>
                <w:sz w:val="18"/>
                <w:szCs w:val="18"/>
              </w:rPr>
              <w:t xml:space="preserve">ffectiveness </w:t>
            </w:r>
            <w:r w:rsidRPr="00E057EF">
              <w:rPr>
                <w:rFonts w:cs="Arial"/>
                <w:sz w:val="18"/>
                <w:szCs w:val="18"/>
              </w:rPr>
              <w:t>- S</w:t>
            </w:r>
            <w:r w:rsidRPr="00E057EF">
              <w:rPr>
                <w:rFonts w:eastAsia="Calibri" w:cs="Arial"/>
                <w:sz w:val="18"/>
                <w:szCs w:val="18"/>
              </w:rPr>
              <w:t xml:space="preserve">pecific </w:t>
            </w:r>
            <w:r w:rsidR="00757C95">
              <w:rPr>
                <w:rFonts w:eastAsia="Calibri" w:cs="Arial"/>
                <w:sz w:val="18"/>
                <w:szCs w:val="18"/>
              </w:rPr>
              <w:t>principles</w:t>
            </w:r>
            <w:r w:rsidRPr="00E057EF">
              <w:rPr>
                <w:rFonts w:eastAsia="Calibri" w:cs="Arial"/>
                <w:sz w:val="18"/>
                <w:szCs w:val="18"/>
              </w:rPr>
              <w:t xml:space="preserve"> will </w:t>
            </w:r>
            <w:r w:rsidR="00CA036A">
              <w:rPr>
                <w:rFonts w:eastAsia="Calibri" w:cs="Arial"/>
                <w:sz w:val="18"/>
                <w:szCs w:val="18"/>
              </w:rPr>
              <w:t>help re</w:t>
            </w:r>
            <w:r w:rsidRPr="00E057EF">
              <w:rPr>
                <w:rFonts w:eastAsia="Calibri" w:cs="Arial"/>
                <w:sz w:val="18"/>
                <w:szCs w:val="18"/>
              </w:rPr>
              <w:t xml:space="preserve">set expectations and prioritise the professional resources required to achieve </w:t>
            </w:r>
            <w:r>
              <w:rPr>
                <w:rFonts w:eastAsia="Calibri" w:cs="Arial"/>
                <w:sz w:val="18"/>
                <w:szCs w:val="18"/>
              </w:rPr>
              <w:t xml:space="preserve">a </w:t>
            </w:r>
            <w:r w:rsidRPr="00E057EF">
              <w:rPr>
                <w:rFonts w:eastAsia="Calibri" w:cs="Arial"/>
                <w:sz w:val="18"/>
                <w:szCs w:val="18"/>
              </w:rPr>
              <w:t>more culturally inclusive and responsive practice</w:t>
            </w:r>
            <w:r>
              <w:rPr>
                <w:rFonts w:eastAsia="Calibri" w:cs="Arial"/>
                <w:sz w:val="18"/>
                <w:szCs w:val="18"/>
              </w:rPr>
              <w:t xml:space="preserve">. </w:t>
            </w:r>
            <w:r w:rsidRPr="00E057EF">
              <w:rPr>
                <w:rFonts w:eastAsia="Calibri" w:cs="Arial"/>
                <w:sz w:val="18"/>
                <w:szCs w:val="18"/>
              </w:rPr>
              <w:t>Th</w:t>
            </w:r>
            <w:r>
              <w:rPr>
                <w:rFonts w:eastAsia="Calibri" w:cs="Arial"/>
                <w:sz w:val="18"/>
                <w:szCs w:val="18"/>
              </w:rPr>
              <w:t>is</w:t>
            </w:r>
            <w:r w:rsidRPr="00E057EF">
              <w:rPr>
                <w:rFonts w:eastAsia="Calibri" w:cs="Arial"/>
                <w:sz w:val="18"/>
                <w:szCs w:val="18"/>
              </w:rPr>
              <w:t xml:space="preserve"> will signal the importance placed by the Government on achieving positive change for Māori. </w:t>
            </w:r>
          </w:p>
          <w:p w:rsidR="000E3DCB" w:rsidRPr="007A28B6" w:rsidRDefault="000E3DCB" w:rsidP="000E3DCB">
            <w:pPr>
              <w:pStyle w:val="ListParagraph"/>
              <w:spacing w:after="0" w:line="240" w:lineRule="auto"/>
              <w:ind w:left="357"/>
              <w:contextualSpacing w:val="0"/>
              <w:rPr>
                <w:rFonts w:eastAsia="Calibri" w:cs="Arial"/>
                <w:sz w:val="18"/>
                <w:szCs w:val="18"/>
              </w:rPr>
            </w:pPr>
          </w:p>
          <w:p w:rsidR="000E3DCB" w:rsidRPr="007A28B6"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Compatibility with other government objectives including the investment approach - </w:t>
            </w:r>
            <w:r w:rsidRPr="00324F01">
              <w:rPr>
                <w:rFonts w:cs="Arial"/>
                <w:sz w:val="18"/>
                <w:szCs w:val="18"/>
              </w:rPr>
              <w:t>Increasing the focus on Māori is likely to result in better outcome</w:t>
            </w:r>
            <w:r>
              <w:rPr>
                <w:rFonts w:cs="Arial"/>
                <w:sz w:val="18"/>
                <w:szCs w:val="18"/>
              </w:rPr>
              <w:t>s,</w:t>
            </w:r>
            <w:r w:rsidRPr="00E057EF">
              <w:rPr>
                <w:rFonts w:cs="Arial"/>
                <w:sz w:val="18"/>
                <w:szCs w:val="18"/>
              </w:rPr>
              <w:t xml:space="preserve"> and therefore reduce future liability.</w:t>
            </w:r>
          </w:p>
          <w:p w:rsidR="000E3DCB" w:rsidRPr="00324F01" w:rsidRDefault="000E3DCB" w:rsidP="000E3DCB">
            <w:pPr>
              <w:spacing w:after="0" w:line="240" w:lineRule="auto"/>
              <w:rPr>
                <w:rFonts w:eastAsia="Calibri" w:cs="Arial"/>
                <w:sz w:val="18"/>
                <w:szCs w:val="18"/>
              </w:rPr>
            </w:pPr>
          </w:p>
          <w:p w:rsidR="000E3DCB" w:rsidRPr="00324F01"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Durability – </w:t>
            </w:r>
            <w:r w:rsidRPr="00324F01">
              <w:rPr>
                <w:rFonts w:cs="Arial"/>
                <w:sz w:val="18"/>
                <w:szCs w:val="18"/>
              </w:rPr>
              <w:t xml:space="preserve">promotes system change and at practice level (including operational changes) and </w:t>
            </w:r>
            <w:r w:rsidR="00CA6547">
              <w:rPr>
                <w:rFonts w:cs="Arial"/>
                <w:sz w:val="18"/>
                <w:szCs w:val="18"/>
              </w:rPr>
              <w:t xml:space="preserve">promotes </w:t>
            </w:r>
            <w:r w:rsidR="00CA036A">
              <w:rPr>
                <w:rFonts w:cs="Arial"/>
                <w:sz w:val="18"/>
                <w:szCs w:val="18"/>
              </w:rPr>
              <w:t>culturally responsive decision making on a consistent basis</w:t>
            </w:r>
            <w:r w:rsidRPr="00324F01">
              <w:rPr>
                <w:rFonts w:cs="Arial"/>
                <w:sz w:val="18"/>
                <w:szCs w:val="18"/>
              </w:rPr>
              <w:t>.</w:t>
            </w:r>
          </w:p>
          <w:p w:rsidR="000E3DCB" w:rsidRPr="00324F01" w:rsidRDefault="000E3DCB" w:rsidP="000E3DCB">
            <w:pPr>
              <w:spacing w:after="0" w:line="240" w:lineRule="auto"/>
              <w:rPr>
                <w:rFonts w:eastAsia="Calibri" w:cs="Arial"/>
                <w:sz w:val="18"/>
                <w:szCs w:val="18"/>
              </w:rPr>
            </w:pPr>
          </w:p>
          <w:p w:rsidR="000E3DCB" w:rsidRPr="00324F01"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Consistency with the Treaty of Waitangi, UNCROC and other international obligations – </w:t>
            </w:r>
            <w:r w:rsidRPr="00324F01">
              <w:rPr>
                <w:rFonts w:cs="Arial"/>
                <w:sz w:val="18"/>
                <w:szCs w:val="18"/>
              </w:rPr>
              <w:t xml:space="preserve">This approach is consistent with the Treaty of Waitangi and international obligations such as UNCROC. </w:t>
            </w:r>
          </w:p>
          <w:p w:rsidR="000E3DCB" w:rsidRPr="00324F01" w:rsidRDefault="000E3DCB" w:rsidP="000E3DCB">
            <w:pPr>
              <w:spacing w:after="0" w:line="240" w:lineRule="auto"/>
              <w:rPr>
                <w:rFonts w:eastAsia="Calibri" w:cs="Arial"/>
                <w:sz w:val="18"/>
                <w:szCs w:val="18"/>
              </w:rPr>
            </w:pPr>
          </w:p>
          <w:p w:rsidR="000E3DCB" w:rsidRPr="000E3DCB" w:rsidRDefault="000E3DCB" w:rsidP="000E3DCB">
            <w:pPr>
              <w:pStyle w:val="ListParagraph"/>
              <w:numPr>
                <w:ilvl w:val="0"/>
                <w:numId w:val="8"/>
              </w:numPr>
              <w:spacing w:after="0" w:line="240" w:lineRule="auto"/>
              <w:ind w:left="357" w:hanging="357"/>
              <w:contextualSpacing w:val="0"/>
              <w:rPr>
                <w:rFonts w:cs="Arial"/>
                <w:sz w:val="18"/>
                <w:szCs w:val="18"/>
              </w:rPr>
            </w:pPr>
            <w:r w:rsidRPr="00324F01">
              <w:rPr>
                <w:rFonts w:eastAsia="Calibri" w:cs="Arial"/>
                <w:i/>
                <w:sz w:val="18"/>
                <w:szCs w:val="18"/>
              </w:rPr>
              <w:t xml:space="preserve">Interaction with other legislation and planned reforms </w:t>
            </w:r>
            <w:r w:rsidRPr="00324F01">
              <w:rPr>
                <w:rFonts w:eastAsia="Calibri" w:cs="Arial"/>
                <w:sz w:val="18"/>
                <w:szCs w:val="18"/>
              </w:rPr>
              <w:t>– Is likely to complement other proposed reforms and make other changes more effective for Māori.</w:t>
            </w:r>
          </w:p>
          <w:p w:rsidR="000E3DCB" w:rsidRPr="000E3DCB" w:rsidRDefault="000E3DCB" w:rsidP="000E3DCB">
            <w:pPr>
              <w:pStyle w:val="ListParagraph"/>
              <w:spacing w:after="0" w:line="240" w:lineRule="auto"/>
              <w:ind w:left="357"/>
              <w:contextualSpacing w:val="0"/>
              <w:rPr>
                <w:rFonts w:cs="Arial"/>
                <w:sz w:val="18"/>
                <w:szCs w:val="18"/>
              </w:rPr>
            </w:pPr>
          </w:p>
          <w:p w:rsidR="005957E7" w:rsidRPr="000E3DCB" w:rsidRDefault="000E3DCB" w:rsidP="000E3DCB">
            <w:pPr>
              <w:pStyle w:val="ListParagraph"/>
              <w:numPr>
                <w:ilvl w:val="0"/>
                <w:numId w:val="8"/>
              </w:numPr>
              <w:spacing w:after="0" w:line="240" w:lineRule="auto"/>
              <w:ind w:left="357" w:hanging="357"/>
              <w:contextualSpacing w:val="0"/>
              <w:rPr>
                <w:rFonts w:cs="Arial"/>
                <w:sz w:val="18"/>
                <w:szCs w:val="18"/>
              </w:rPr>
            </w:pPr>
            <w:r w:rsidRPr="000E3DCB">
              <w:rPr>
                <w:rFonts w:eastAsia="Calibri" w:cs="Arial"/>
                <w:i/>
                <w:sz w:val="18"/>
                <w:szCs w:val="18"/>
              </w:rPr>
              <w:t xml:space="preserve">Fairness and equity </w:t>
            </w:r>
            <w:r w:rsidRPr="000E3DCB">
              <w:rPr>
                <w:rFonts w:eastAsia="Calibri" w:cs="Arial"/>
                <w:sz w:val="18"/>
                <w:szCs w:val="18"/>
              </w:rPr>
              <w:t>– Is likely to lead to improvements in outcomes for Māori and, over time, address over-representation in the system.</w:t>
            </w:r>
          </w:p>
          <w:p w:rsidR="000E3DCB" w:rsidRPr="000E3DCB" w:rsidRDefault="000E3DCB" w:rsidP="000E3DCB">
            <w:pPr>
              <w:spacing w:after="0" w:line="240" w:lineRule="auto"/>
              <w:rPr>
                <w:rFonts w:cs="Arial"/>
                <w:sz w:val="18"/>
                <w:szCs w:val="18"/>
              </w:rPr>
            </w:pPr>
          </w:p>
        </w:tc>
        <w:tc>
          <w:tcPr>
            <w:tcW w:w="1090" w:type="pct"/>
            <w:shd w:val="clear" w:color="auto" w:fill="auto"/>
          </w:tcPr>
          <w:p w:rsidR="0028362C" w:rsidRDefault="005F6DE8" w:rsidP="00757C95">
            <w:pPr>
              <w:pStyle w:val="ListParagraph"/>
              <w:spacing w:after="0" w:line="240" w:lineRule="auto"/>
              <w:ind w:left="357"/>
              <w:contextualSpacing w:val="0"/>
              <w:rPr>
                <w:rFonts w:cs="Arial"/>
                <w:sz w:val="18"/>
                <w:szCs w:val="18"/>
              </w:rPr>
            </w:pPr>
            <w:r w:rsidRPr="00757C95">
              <w:rPr>
                <w:rFonts w:eastAsia="Calibri" w:cs="Arial"/>
                <w:i/>
                <w:sz w:val="18"/>
                <w:szCs w:val="18"/>
              </w:rPr>
              <w:t>Fiscal and o</w:t>
            </w:r>
            <w:r w:rsidR="0028362C" w:rsidRPr="00757C95">
              <w:rPr>
                <w:rFonts w:eastAsia="Calibri" w:cs="Arial"/>
                <w:i/>
                <w:sz w:val="18"/>
                <w:szCs w:val="18"/>
              </w:rPr>
              <w:t>perational impact</w:t>
            </w:r>
            <w:r w:rsidR="0028362C" w:rsidRPr="00757C95">
              <w:rPr>
                <w:rFonts w:eastAsia="Calibri" w:cs="Arial"/>
                <w:sz w:val="18"/>
                <w:szCs w:val="18"/>
              </w:rPr>
              <w:t xml:space="preserve"> </w:t>
            </w:r>
            <w:r w:rsidR="0028362C" w:rsidRPr="00757C95">
              <w:rPr>
                <w:rFonts w:eastAsia="Calibri" w:cs="Arial"/>
                <w:i/>
                <w:sz w:val="18"/>
                <w:szCs w:val="18"/>
              </w:rPr>
              <w:t xml:space="preserve">and </w:t>
            </w:r>
            <w:r w:rsidR="00C331CB" w:rsidRPr="00757C95">
              <w:rPr>
                <w:rFonts w:eastAsia="Calibri" w:cs="Arial"/>
                <w:i/>
                <w:sz w:val="18"/>
                <w:szCs w:val="18"/>
              </w:rPr>
              <w:t>p</w:t>
            </w:r>
            <w:r w:rsidR="0066669F" w:rsidRPr="00757C95">
              <w:rPr>
                <w:rFonts w:eastAsia="Calibri" w:cs="Arial"/>
                <w:i/>
                <w:sz w:val="18"/>
                <w:szCs w:val="18"/>
              </w:rPr>
              <w:t>racticality</w:t>
            </w:r>
            <w:r w:rsidR="0028362C" w:rsidRPr="00757C95">
              <w:rPr>
                <w:rFonts w:cs="Arial"/>
                <w:sz w:val="18"/>
                <w:szCs w:val="18"/>
              </w:rPr>
              <w:t xml:space="preserve"> – </w:t>
            </w:r>
            <w:r w:rsidR="00E7765C" w:rsidRPr="00757C95">
              <w:rPr>
                <w:rFonts w:cs="Arial"/>
                <w:sz w:val="18"/>
                <w:szCs w:val="18"/>
              </w:rPr>
              <w:t>Will</w:t>
            </w:r>
            <w:r w:rsidR="00D15D36" w:rsidRPr="00757C95">
              <w:rPr>
                <w:rFonts w:cs="Arial"/>
                <w:sz w:val="18"/>
                <w:szCs w:val="18"/>
              </w:rPr>
              <w:t xml:space="preserve"> require </w:t>
            </w:r>
            <w:r w:rsidR="0028362C" w:rsidRPr="00757C95">
              <w:rPr>
                <w:rFonts w:cs="Arial"/>
                <w:sz w:val="18"/>
                <w:szCs w:val="18"/>
              </w:rPr>
              <w:t xml:space="preserve">additional </w:t>
            </w:r>
            <w:r w:rsidR="00D15D36" w:rsidRPr="00757C95">
              <w:rPr>
                <w:rFonts w:cs="Arial"/>
                <w:sz w:val="18"/>
                <w:szCs w:val="18"/>
              </w:rPr>
              <w:t xml:space="preserve">resources, training and guidance </w:t>
            </w:r>
            <w:r w:rsidR="0028362C" w:rsidRPr="00757C95">
              <w:rPr>
                <w:rFonts w:cs="Arial"/>
                <w:sz w:val="18"/>
                <w:szCs w:val="18"/>
              </w:rPr>
              <w:t xml:space="preserve">for </w:t>
            </w:r>
            <w:r w:rsidR="00D15D36" w:rsidRPr="00757C95">
              <w:rPr>
                <w:rFonts w:cs="Arial"/>
                <w:sz w:val="18"/>
                <w:szCs w:val="18"/>
              </w:rPr>
              <w:t xml:space="preserve">caregivers and </w:t>
            </w:r>
            <w:r w:rsidR="0028362C" w:rsidRPr="00757C95">
              <w:rPr>
                <w:rFonts w:cs="Arial"/>
                <w:sz w:val="18"/>
                <w:szCs w:val="18"/>
              </w:rPr>
              <w:t>practitioners to support them to understand what th</w:t>
            </w:r>
            <w:r w:rsidR="00D15D36" w:rsidRPr="00757C95">
              <w:rPr>
                <w:rFonts w:cs="Arial"/>
                <w:sz w:val="18"/>
                <w:szCs w:val="18"/>
              </w:rPr>
              <w:t>ese</w:t>
            </w:r>
            <w:r w:rsidR="0028362C" w:rsidRPr="00757C95">
              <w:rPr>
                <w:rFonts w:cs="Arial"/>
                <w:sz w:val="18"/>
                <w:szCs w:val="18"/>
              </w:rPr>
              <w:t xml:space="preserve"> principle</w:t>
            </w:r>
            <w:r w:rsidR="00D15D36" w:rsidRPr="00757C95">
              <w:rPr>
                <w:rFonts w:cs="Arial"/>
                <w:sz w:val="18"/>
                <w:szCs w:val="18"/>
              </w:rPr>
              <w:t>s</w:t>
            </w:r>
            <w:r w:rsidR="0028362C" w:rsidRPr="00757C95">
              <w:rPr>
                <w:rFonts w:cs="Arial"/>
                <w:sz w:val="18"/>
                <w:szCs w:val="18"/>
              </w:rPr>
              <w:t xml:space="preserve"> mean</w:t>
            </w:r>
            <w:r w:rsidR="00CA036A">
              <w:rPr>
                <w:rFonts w:cs="Arial"/>
                <w:sz w:val="18"/>
                <w:szCs w:val="18"/>
              </w:rPr>
              <w:t xml:space="preserve"> and how to apply them in </w:t>
            </w:r>
            <w:r w:rsidR="00D15D36" w:rsidRPr="00CA6547">
              <w:rPr>
                <w:rFonts w:cs="Arial"/>
                <w:sz w:val="18"/>
                <w:szCs w:val="18"/>
              </w:rPr>
              <w:t>everyday</w:t>
            </w:r>
            <w:r w:rsidR="0028362C" w:rsidRPr="00CA6547">
              <w:rPr>
                <w:rFonts w:cs="Arial"/>
                <w:sz w:val="18"/>
                <w:szCs w:val="18"/>
              </w:rPr>
              <w:t xml:space="preserve"> practice</w:t>
            </w:r>
            <w:r w:rsidR="002E3ED9" w:rsidRPr="00CA6547">
              <w:rPr>
                <w:rFonts w:cs="Arial"/>
                <w:sz w:val="18"/>
                <w:szCs w:val="18"/>
              </w:rPr>
              <w:t>.</w:t>
            </w:r>
            <w:r w:rsidR="00757C95">
              <w:rPr>
                <w:rFonts w:cs="Arial"/>
                <w:sz w:val="18"/>
                <w:szCs w:val="18"/>
              </w:rPr>
              <w:t xml:space="preserve"> </w:t>
            </w:r>
            <w:r w:rsidR="002E3ED9" w:rsidRPr="00757C95">
              <w:rPr>
                <w:rFonts w:cs="Arial"/>
                <w:sz w:val="18"/>
                <w:szCs w:val="18"/>
              </w:rPr>
              <w:t>This w</w:t>
            </w:r>
            <w:r w:rsidR="00D15D36" w:rsidRPr="00757C95">
              <w:rPr>
                <w:rFonts w:cs="Arial"/>
                <w:sz w:val="18"/>
                <w:szCs w:val="18"/>
              </w:rPr>
              <w:t>ill require practitioners to develop networks with local Māori, iwi and hapū to build cultural awareness and understanding</w:t>
            </w:r>
            <w:r w:rsidR="0028362C" w:rsidRPr="00757C95">
              <w:rPr>
                <w:rFonts w:cs="Arial"/>
                <w:sz w:val="18"/>
                <w:szCs w:val="18"/>
              </w:rPr>
              <w:t xml:space="preserve">.  </w:t>
            </w:r>
          </w:p>
          <w:p w:rsidR="001160EE" w:rsidRDefault="001160EE" w:rsidP="00757C95">
            <w:pPr>
              <w:pStyle w:val="ListParagraph"/>
              <w:spacing w:after="0" w:line="240" w:lineRule="auto"/>
              <w:ind w:left="357"/>
              <w:contextualSpacing w:val="0"/>
              <w:rPr>
                <w:rFonts w:cs="Arial"/>
                <w:sz w:val="18"/>
                <w:szCs w:val="18"/>
              </w:rPr>
            </w:pPr>
          </w:p>
          <w:p w:rsidR="001160EE" w:rsidRPr="000E3DCB" w:rsidRDefault="001160EE" w:rsidP="001160EE">
            <w:pPr>
              <w:pStyle w:val="ListParagraph"/>
              <w:numPr>
                <w:ilvl w:val="0"/>
                <w:numId w:val="8"/>
              </w:numPr>
              <w:spacing w:after="0" w:line="240" w:lineRule="auto"/>
              <w:ind w:left="357" w:hanging="357"/>
              <w:contextualSpacing w:val="0"/>
              <w:rPr>
                <w:rFonts w:cs="Arial"/>
                <w:sz w:val="18"/>
                <w:szCs w:val="18"/>
              </w:rPr>
            </w:pPr>
            <w:r w:rsidRPr="00324F01">
              <w:rPr>
                <w:rFonts w:eastAsia="Calibri" w:cs="Arial"/>
                <w:i/>
                <w:sz w:val="18"/>
                <w:szCs w:val="18"/>
              </w:rPr>
              <w:t xml:space="preserve">Interaction with other legislation and planned reforms </w:t>
            </w:r>
            <w:r w:rsidRPr="00324F01">
              <w:rPr>
                <w:rFonts w:eastAsia="Calibri" w:cs="Arial"/>
                <w:sz w:val="18"/>
                <w:szCs w:val="18"/>
              </w:rPr>
              <w:t xml:space="preserve">– </w:t>
            </w:r>
            <w:r>
              <w:rPr>
                <w:rFonts w:eastAsia="Calibri" w:cs="Arial"/>
                <w:sz w:val="18"/>
                <w:szCs w:val="18"/>
              </w:rPr>
              <w:t xml:space="preserve">the principles need to align with the other principles in the </w:t>
            </w:r>
            <w:r w:rsidR="00332167">
              <w:rPr>
                <w:rFonts w:eastAsia="Calibri" w:cs="Arial"/>
                <w:sz w:val="18"/>
                <w:szCs w:val="18"/>
              </w:rPr>
              <w:t xml:space="preserve">Act. </w:t>
            </w:r>
            <w:r>
              <w:rPr>
                <w:rFonts w:eastAsia="Calibri" w:cs="Arial"/>
                <w:sz w:val="18"/>
                <w:szCs w:val="18"/>
              </w:rPr>
              <w:t xml:space="preserve">Alignment will be achieved through training, resources and the new practice framework.   </w:t>
            </w:r>
            <w:r w:rsidRPr="00324F01">
              <w:rPr>
                <w:rFonts w:eastAsia="Calibri" w:cs="Arial"/>
                <w:sz w:val="18"/>
                <w:szCs w:val="18"/>
              </w:rPr>
              <w:t>.</w:t>
            </w:r>
          </w:p>
          <w:p w:rsidR="001160EE" w:rsidRPr="00757C95" w:rsidRDefault="001160EE" w:rsidP="00757C95">
            <w:pPr>
              <w:pStyle w:val="ListParagraph"/>
              <w:spacing w:after="0" w:line="240" w:lineRule="auto"/>
              <w:ind w:left="357"/>
              <w:contextualSpacing w:val="0"/>
              <w:rPr>
                <w:rFonts w:cs="Arial"/>
                <w:sz w:val="18"/>
                <w:szCs w:val="18"/>
              </w:rPr>
            </w:pPr>
          </w:p>
          <w:p w:rsidR="005F6DE8" w:rsidRPr="00C331CB" w:rsidRDefault="005F6DE8" w:rsidP="00BF5773">
            <w:pPr>
              <w:spacing w:after="0" w:line="240" w:lineRule="auto"/>
              <w:rPr>
                <w:rFonts w:cs="Arial"/>
                <w:sz w:val="18"/>
                <w:szCs w:val="18"/>
              </w:rPr>
            </w:pPr>
          </w:p>
        </w:tc>
      </w:tr>
      <w:tr w:rsidR="00150330" w:rsidRPr="004C563C" w:rsidTr="00904B83">
        <w:trPr>
          <w:trHeight w:val="1877"/>
        </w:trPr>
        <w:tc>
          <w:tcPr>
            <w:tcW w:w="353" w:type="pct"/>
            <w:shd w:val="clear" w:color="auto" w:fill="auto"/>
          </w:tcPr>
          <w:p w:rsidR="00150330" w:rsidRDefault="00150330" w:rsidP="00BF5773">
            <w:pPr>
              <w:spacing w:after="0" w:line="240" w:lineRule="auto"/>
              <w:rPr>
                <w:rFonts w:cs="Arial"/>
                <w:b/>
                <w:bCs/>
                <w:sz w:val="18"/>
                <w:szCs w:val="18"/>
              </w:rPr>
            </w:pPr>
            <w:r>
              <w:rPr>
                <w:rFonts w:cs="Arial"/>
                <w:b/>
                <w:bCs/>
                <w:sz w:val="18"/>
                <w:szCs w:val="18"/>
              </w:rPr>
              <w:t>Option 4</w:t>
            </w:r>
          </w:p>
          <w:p w:rsidR="00150330" w:rsidRDefault="00150330" w:rsidP="005957E7">
            <w:pPr>
              <w:spacing w:after="0" w:line="240" w:lineRule="auto"/>
              <w:rPr>
                <w:rFonts w:cs="Arial"/>
                <w:b/>
                <w:bCs/>
                <w:sz w:val="18"/>
                <w:szCs w:val="18"/>
              </w:rPr>
            </w:pPr>
          </w:p>
          <w:p w:rsidR="00150330" w:rsidRDefault="00384F63" w:rsidP="005957E7">
            <w:pPr>
              <w:spacing w:after="0" w:line="240" w:lineRule="auto"/>
              <w:rPr>
                <w:rFonts w:cs="Arial"/>
                <w:b/>
                <w:bCs/>
                <w:sz w:val="18"/>
                <w:szCs w:val="18"/>
              </w:rPr>
            </w:pPr>
            <w:r>
              <w:rPr>
                <w:rFonts w:cs="Arial"/>
                <w:bCs/>
                <w:sz w:val="18"/>
                <w:szCs w:val="18"/>
              </w:rPr>
              <w:t>Amend</w:t>
            </w:r>
            <w:r w:rsidR="00CA036A">
              <w:rPr>
                <w:rFonts w:cs="Arial"/>
                <w:bCs/>
                <w:sz w:val="18"/>
                <w:szCs w:val="18"/>
              </w:rPr>
              <w:t xml:space="preserve"> care and protection</w:t>
            </w:r>
            <w:r w:rsidR="00150330">
              <w:rPr>
                <w:rFonts w:cs="Arial"/>
                <w:bCs/>
                <w:sz w:val="18"/>
                <w:szCs w:val="18"/>
              </w:rPr>
              <w:t xml:space="preserve"> principles</w:t>
            </w:r>
            <w:r>
              <w:rPr>
                <w:rFonts w:cs="Arial"/>
                <w:bCs/>
                <w:sz w:val="18"/>
                <w:szCs w:val="18"/>
              </w:rPr>
              <w:t xml:space="preserve"> in</w:t>
            </w:r>
            <w:r w:rsidR="00150330">
              <w:rPr>
                <w:rFonts w:cs="Arial"/>
                <w:bCs/>
                <w:sz w:val="18"/>
                <w:szCs w:val="18"/>
              </w:rPr>
              <w:t xml:space="preserve"> the CYPF Act </w:t>
            </w:r>
            <w:r w:rsidR="00150330" w:rsidRPr="0008783D">
              <w:rPr>
                <w:rFonts w:cs="Arial"/>
                <w:bCs/>
                <w:sz w:val="18"/>
                <w:szCs w:val="18"/>
              </w:rPr>
              <w:t xml:space="preserve">to </w:t>
            </w:r>
            <w:r>
              <w:rPr>
                <w:rFonts w:cs="Arial"/>
                <w:bCs/>
                <w:sz w:val="18"/>
                <w:szCs w:val="18"/>
              </w:rPr>
              <w:t xml:space="preserve">reflect the views, </w:t>
            </w:r>
            <w:r w:rsidR="00002A25">
              <w:rPr>
                <w:rFonts w:cs="Arial"/>
                <w:bCs/>
                <w:sz w:val="18"/>
                <w:szCs w:val="18"/>
              </w:rPr>
              <w:t>mana tamaiti</w:t>
            </w:r>
            <w:r>
              <w:rPr>
                <w:rFonts w:cs="Arial"/>
                <w:bCs/>
                <w:sz w:val="18"/>
                <w:szCs w:val="18"/>
              </w:rPr>
              <w:t>, whakapapa and whanaungatanga of M</w:t>
            </w:r>
            <w:r w:rsidR="00150330" w:rsidRPr="0008783D">
              <w:rPr>
                <w:rFonts w:cs="Arial"/>
                <w:bCs/>
                <w:sz w:val="18"/>
                <w:szCs w:val="18"/>
              </w:rPr>
              <w:t>āori children and young people</w:t>
            </w:r>
          </w:p>
          <w:p w:rsidR="00150330" w:rsidRDefault="00150330" w:rsidP="00046A5E">
            <w:pPr>
              <w:spacing w:after="0" w:line="240" w:lineRule="auto"/>
              <w:rPr>
                <w:rFonts w:cs="Arial"/>
                <w:b/>
                <w:bCs/>
                <w:sz w:val="18"/>
                <w:szCs w:val="18"/>
              </w:rPr>
            </w:pPr>
          </w:p>
          <w:p w:rsidR="00150330" w:rsidRDefault="00150330" w:rsidP="00046A5E">
            <w:pPr>
              <w:spacing w:after="0" w:line="240" w:lineRule="auto"/>
              <w:rPr>
                <w:rFonts w:cs="Arial"/>
                <w:b/>
                <w:bCs/>
                <w:sz w:val="18"/>
                <w:szCs w:val="18"/>
              </w:rPr>
            </w:pPr>
            <w:r>
              <w:rPr>
                <w:rFonts w:cs="Arial"/>
                <w:b/>
                <w:bCs/>
                <w:sz w:val="18"/>
                <w:szCs w:val="18"/>
              </w:rPr>
              <w:t>Regulatory option</w:t>
            </w:r>
          </w:p>
          <w:p w:rsidR="00150330" w:rsidRDefault="00150330" w:rsidP="00046A5E">
            <w:pPr>
              <w:spacing w:after="0" w:line="240" w:lineRule="auto"/>
              <w:rPr>
                <w:rFonts w:cs="Arial"/>
                <w:b/>
                <w:bCs/>
                <w:sz w:val="18"/>
                <w:szCs w:val="18"/>
              </w:rPr>
            </w:pPr>
          </w:p>
          <w:p w:rsidR="00150330" w:rsidRDefault="00150330" w:rsidP="00046A5E">
            <w:pPr>
              <w:spacing w:after="0" w:line="240" w:lineRule="auto"/>
              <w:rPr>
                <w:rFonts w:cs="Arial"/>
                <w:b/>
                <w:bCs/>
                <w:sz w:val="18"/>
                <w:szCs w:val="18"/>
              </w:rPr>
            </w:pPr>
            <w:r>
              <w:rPr>
                <w:rFonts w:cs="Arial"/>
                <w:b/>
                <w:bCs/>
                <w:sz w:val="18"/>
                <w:szCs w:val="18"/>
              </w:rPr>
              <w:t>PREFERRED</w:t>
            </w:r>
          </w:p>
        </w:tc>
        <w:tc>
          <w:tcPr>
            <w:tcW w:w="1057" w:type="pct"/>
            <w:shd w:val="clear" w:color="auto" w:fill="auto"/>
          </w:tcPr>
          <w:p w:rsidR="00757C95" w:rsidRDefault="00757C95" w:rsidP="00757C95">
            <w:pPr>
              <w:spacing w:after="0" w:line="240" w:lineRule="auto"/>
              <w:rPr>
                <w:rFonts w:cs="Arial"/>
                <w:sz w:val="18"/>
                <w:szCs w:val="18"/>
              </w:rPr>
            </w:pPr>
            <w:r>
              <w:rPr>
                <w:rFonts w:cs="Arial"/>
                <w:sz w:val="18"/>
                <w:szCs w:val="18"/>
              </w:rPr>
              <w:t>The CYPF Act would be amended to include that:</w:t>
            </w:r>
          </w:p>
          <w:p w:rsidR="00757C95" w:rsidRPr="00757C95" w:rsidRDefault="00757C95" w:rsidP="00757C95">
            <w:pPr>
              <w:spacing w:after="0" w:line="240" w:lineRule="auto"/>
              <w:rPr>
                <w:rFonts w:cs="Arial"/>
                <w:sz w:val="18"/>
                <w:szCs w:val="18"/>
              </w:rPr>
            </w:pPr>
          </w:p>
          <w:p w:rsidR="004A124E" w:rsidRDefault="00757C95" w:rsidP="00BF5773">
            <w:pPr>
              <w:pStyle w:val="ListParagraph"/>
              <w:numPr>
                <w:ilvl w:val="0"/>
                <w:numId w:val="24"/>
              </w:numPr>
              <w:spacing w:after="0" w:line="240" w:lineRule="auto"/>
              <w:ind w:left="315" w:hanging="283"/>
              <w:contextualSpacing w:val="0"/>
              <w:rPr>
                <w:rFonts w:cs="Arial"/>
                <w:sz w:val="18"/>
                <w:szCs w:val="18"/>
              </w:rPr>
            </w:pPr>
            <w:r>
              <w:rPr>
                <w:rFonts w:cs="Arial"/>
                <w:sz w:val="18"/>
                <w:szCs w:val="18"/>
              </w:rPr>
              <w:t>a</w:t>
            </w:r>
            <w:r w:rsidR="00384F63">
              <w:rPr>
                <w:rFonts w:cs="Arial"/>
                <w:sz w:val="18"/>
                <w:szCs w:val="18"/>
              </w:rPr>
              <w:t xml:space="preserve">ny intervention with </w:t>
            </w:r>
            <w:r w:rsidR="00A60544">
              <w:rPr>
                <w:rFonts w:cs="Arial"/>
                <w:sz w:val="18"/>
                <w:szCs w:val="18"/>
              </w:rPr>
              <w:t>whānau</w:t>
            </w:r>
            <w:r w:rsidR="00384F63">
              <w:rPr>
                <w:rFonts w:cs="Arial"/>
                <w:sz w:val="18"/>
                <w:szCs w:val="18"/>
              </w:rPr>
              <w:t xml:space="preserve"> should recognise and respect the views, </w:t>
            </w:r>
            <w:r w:rsidR="00002A25">
              <w:rPr>
                <w:rFonts w:cs="Arial"/>
                <w:sz w:val="18"/>
                <w:szCs w:val="18"/>
              </w:rPr>
              <w:t>mana tamaiti</w:t>
            </w:r>
            <w:r w:rsidR="00384F63">
              <w:rPr>
                <w:rFonts w:cs="Arial"/>
                <w:sz w:val="18"/>
                <w:szCs w:val="18"/>
              </w:rPr>
              <w:t xml:space="preserve"> and whakapapa of Māori children and young people, and whanaungatanga responsibilities and obligations</w:t>
            </w:r>
          </w:p>
          <w:p w:rsidR="00BF5773" w:rsidRDefault="00BF5773" w:rsidP="00BF5773">
            <w:pPr>
              <w:pStyle w:val="ListParagraph"/>
              <w:spacing w:after="0" w:line="240" w:lineRule="auto"/>
              <w:ind w:left="315"/>
              <w:contextualSpacing w:val="0"/>
              <w:rPr>
                <w:rFonts w:cs="Arial"/>
                <w:sz w:val="18"/>
                <w:szCs w:val="18"/>
              </w:rPr>
            </w:pPr>
          </w:p>
          <w:p w:rsidR="00150330" w:rsidRDefault="00757C95" w:rsidP="00BF5773">
            <w:pPr>
              <w:pStyle w:val="ListParagraph"/>
              <w:numPr>
                <w:ilvl w:val="0"/>
                <w:numId w:val="24"/>
              </w:numPr>
              <w:spacing w:after="0" w:line="240" w:lineRule="auto"/>
              <w:ind w:left="315" w:hanging="283"/>
              <w:contextualSpacing w:val="0"/>
              <w:rPr>
                <w:rFonts w:cs="Arial"/>
                <w:sz w:val="18"/>
                <w:szCs w:val="18"/>
              </w:rPr>
            </w:pPr>
            <w:r>
              <w:rPr>
                <w:rFonts w:cs="Arial"/>
                <w:sz w:val="18"/>
                <w:szCs w:val="18"/>
              </w:rPr>
              <w:t>w</w:t>
            </w:r>
            <w:r w:rsidR="004A124E">
              <w:rPr>
                <w:rFonts w:cs="Arial"/>
                <w:sz w:val="18"/>
                <w:szCs w:val="18"/>
              </w:rPr>
              <w:t>here a child or young person is at risk of being removed from their family, whenever practicable</w:t>
            </w:r>
            <w:r w:rsidR="00A64EFE">
              <w:rPr>
                <w:rFonts w:cs="Arial"/>
                <w:sz w:val="18"/>
                <w:szCs w:val="18"/>
              </w:rPr>
              <w:t>, whānau,</w:t>
            </w:r>
            <w:r w:rsidR="007A28B6">
              <w:rPr>
                <w:rFonts w:cs="Arial"/>
                <w:sz w:val="18"/>
                <w:szCs w:val="18"/>
              </w:rPr>
              <w:t xml:space="preserve"> hapū and iwi should be assisted to enable them to provide a safe, stable and loving home in accordance with whakapapa and whanaungatanga</w:t>
            </w:r>
            <w:r w:rsidR="004A124E">
              <w:rPr>
                <w:rFonts w:cs="Arial"/>
                <w:sz w:val="18"/>
                <w:szCs w:val="18"/>
              </w:rPr>
              <w:t xml:space="preserve"> </w:t>
            </w:r>
            <w:r w:rsidR="00384F63">
              <w:rPr>
                <w:rFonts w:cs="Arial"/>
                <w:sz w:val="18"/>
                <w:szCs w:val="18"/>
              </w:rPr>
              <w:t xml:space="preserve"> </w:t>
            </w:r>
          </w:p>
          <w:p w:rsidR="00BF5773" w:rsidRPr="00BF5773" w:rsidRDefault="00BF5773" w:rsidP="00BF5773">
            <w:pPr>
              <w:spacing w:after="0" w:line="240" w:lineRule="auto"/>
              <w:rPr>
                <w:rFonts w:cs="Arial"/>
                <w:sz w:val="18"/>
                <w:szCs w:val="18"/>
              </w:rPr>
            </w:pPr>
          </w:p>
          <w:p w:rsidR="003F5BB3" w:rsidRDefault="00757C95" w:rsidP="00BF5773">
            <w:pPr>
              <w:pStyle w:val="ListParagraph"/>
              <w:numPr>
                <w:ilvl w:val="0"/>
                <w:numId w:val="24"/>
              </w:numPr>
              <w:spacing w:after="0" w:line="240" w:lineRule="auto"/>
              <w:ind w:left="315" w:hanging="283"/>
              <w:contextualSpacing w:val="0"/>
              <w:rPr>
                <w:rFonts w:cs="Arial"/>
                <w:sz w:val="18"/>
                <w:szCs w:val="18"/>
              </w:rPr>
            </w:pPr>
            <w:r>
              <w:rPr>
                <w:rFonts w:cs="Arial"/>
                <w:sz w:val="18"/>
                <w:szCs w:val="18"/>
              </w:rPr>
              <w:t>w</w:t>
            </w:r>
            <w:r w:rsidR="003F5BB3">
              <w:rPr>
                <w:rFonts w:cs="Arial"/>
                <w:sz w:val="18"/>
                <w:szCs w:val="18"/>
              </w:rPr>
              <w:t>hen determining placement where a child or young person is removed from his or her immediate family</w:t>
            </w:r>
            <w:r w:rsidR="00A60544">
              <w:rPr>
                <w:rFonts w:cs="Arial"/>
                <w:sz w:val="18"/>
                <w:szCs w:val="18"/>
              </w:rPr>
              <w:t xml:space="preserve">, whānau, or caregivers, </w:t>
            </w:r>
            <w:r w:rsidR="0065716E">
              <w:rPr>
                <w:rFonts w:cs="Arial"/>
                <w:sz w:val="18"/>
                <w:szCs w:val="18"/>
              </w:rPr>
              <w:t>the following principles will apply:</w:t>
            </w:r>
          </w:p>
          <w:p w:rsidR="00BF5773" w:rsidRPr="005957E7" w:rsidRDefault="00BF5773" w:rsidP="005957E7">
            <w:pPr>
              <w:spacing w:after="0" w:line="240" w:lineRule="auto"/>
              <w:rPr>
                <w:rFonts w:cs="Arial"/>
                <w:sz w:val="18"/>
                <w:szCs w:val="18"/>
              </w:rPr>
            </w:pPr>
          </w:p>
          <w:p w:rsidR="0065716E" w:rsidRDefault="0065716E" w:rsidP="00BF5773">
            <w:pPr>
              <w:pStyle w:val="ListParagraph"/>
              <w:numPr>
                <w:ilvl w:val="0"/>
                <w:numId w:val="44"/>
              </w:numPr>
              <w:spacing w:after="0" w:line="240" w:lineRule="auto"/>
              <w:contextualSpacing w:val="0"/>
              <w:rPr>
                <w:rFonts w:cs="Arial"/>
                <w:sz w:val="18"/>
                <w:szCs w:val="18"/>
              </w:rPr>
            </w:pPr>
            <w:r>
              <w:rPr>
                <w:rFonts w:cs="Arial"/>
                <w:sz w:val="18"/>
                <w:szCs w:val="18"/>
              </w:rPr>
              <w:t>decisions in relation to Māori children and young people should take into account the</w:t>
            </w:r>
            <w:r w:rsidR="007A28B6">
              <w:rPr>
                <w:rFonts w:cs="Arial"/>
                <w:sz w:val="18"/>
                <w:szCs w:val="18"/>
              </w:rPr>
              <w:t xml:space="preserve"> </w:t>
            </w:r>
            <w:r>
              <w:rPr>
                <w:rFonts w:cs="Arial"/>
                <w:sz w:val="18"/>
                <w:szCs w:val="18"/>
              </w:rPr>
              <w:t xml:space="preserve">importance of their views, </w:t>
            </w:r>
            <w:r w:rsidR="00002A25">
              <w:rPr>
                <w:rFonts w:cs="Arial"/>
                <w:sz w:val="18"/>
                <w:szCs w:val="18"/>
              </w:rPr>
              <w:t>mana tamaiti</w:t>
            </w:r>
            <w:r>
              <w:rPr>
                <w:rFonts w:cs="Arial"/>
                <w:sz w:val="18"/>
                <w:szCs w:val="18"/>
              </w:rPr>
              <w:t>, whakapapa and whanaungatanga</w:t>
            </w:r>
          </w:p>
          <w:p w:rsidR="00BF5773" w:rsidRDefault="00BF5773" w:rsidP="00BF5773">
            <w:pPr>
              <w:pStyle w:val="ListParagraph"/>
              <w:spacing w:after="0" w:line="240" w:lineRule="auto"/>
              <w:ind w:left="1035"/>
              <w:contextualSpacing w:val="0"/>
              <w:rPr>
                <w:rFonts w:cs="Arial"/>
                <w:sz w:val="18"/>
                <w:szCs w:val="18"/>
              </w:rPr>
            </w:pPr>
          </w:p>
          <w:p w:rsidR="0065716E" w:rsidRDefault="0065716E" w:rsidP="00BF5773">
            <w:pPr>
              <w:pStyle w:val="ListParagraph"/>
              <w:numPr>
                <w:ilvl w:val="0"/>
                <w:numId w:val="44"/>
              </w:numPr>
              <w:spacing w:after="0" w:line="240" w:lineRule="auto"/>
              <w:contextualSpacing w:val="0"/>
              <w:rPr>
                <w:rFonts w:cs="Arial"/>
                <w:sz w:val="18"/>
                <w:szCs w:val="18"/>
              </w:rPr>
            </w:pPr>
            <w:proofErr w:type="gramStart"/>
            <w:r>
              <w:rPr>
                <w:rFonts w:cs="Arial"/>
                <w:sz w:val="18"/>
                <w:szCs w:val="18"/>
              </w:rPr>
              <w:t>honouring</w:t>
            </w:r>
            <w:proofErr w:type="gramEnd"/>
            <w:r>
              <w:rPr>
                <w:rFonts w:cs="Arial"/>
                <w:sz w:val="18"/>
                <w:szCs w:val="18"/>
              </w:rPr>
              <w:t xml:space="preserve"> whanaungatanga and the whakapapa of child or young person is important and should continue to occur wherever the child or young person shall live. </w:t>
            </w:r>
          </w:p>
          <w:p w:rsidR="005957E7" w:rsidRPr="005957E7" w:rsidRDefault="005957E7" w:rsidP="005957E7">
            <w:pPr>
              <w:spacing w:after="0" w:line="240" w:lineRule="auto"/>
              <w:rPr>
                <w:rFonts w:cs="Arial"/>
                <w:sz w:val="18"/>
                <w:szCs w:val="18"/>
              </w:rPr>
            </w:pPr>
          </w:p>
        </w:tc>
        <w:tc>
          <w:tcPr>
            <w:tcW w:w="961" w:type="pct"/>
            <w:shd w:val="clear" w:color="auto" w:fill="auto"/>
          </w:tcPr>
          <w:p w:rsidR="00CA036A" w:rsidRDefault="00CA036A" w:rsidP="00BF5773">
            <w:pPr>
              <w:numPr>
                <w:ilvl w:val="0"/>
                <w:numId w:val="8"/>
              </w:numPr>
              <w:spacing w:after="0" w:line="240" w:lineRule="auto"/>
              <w:ind w:left="357" w:hanging="357"/>
              <w:rPr>
                <w:rFonts w:eastAsia="Calibri" w:cs="Arial"/>
                <w:sz w:val="18"/>
                <w:szCs w:val="18"/>
              </w:rPr>
            </w:pPr>
            <w:r>
              <w:rPr>
                <w:rFonts w:eastAsia="Calibri" w:cs="Arial"/>
                <w:sz w:val="18"/>
                <w:szCs w:val="18"/>
              </w:rPr>
              <w:t>These changes will be read alongside those proposed above (amending s</w:t>
            </w:r>
            <w:r w:rsidR="00332167">
              <w:rPr>
                <w:rFonts w:eastAsia="Calibri" w:cs="Arial"/>
                <w:sz w:val="18"/>
                <w:szCs w:val="18"/>
              </w:rPr>
              <w:t xml:space="preserve">ection </w:t>
            </w:r>
            <w:r>
              <w:rPr>
                <w:rFonts w:eastAsia="Calibri" w:cs="Arial"/>
                <w:sz w:val="18"/>
                <w:szCs w:val="18"/>
              </w:rPr>
              <w:t>5 general principles) and other general principles in s</w:t>
            </w:r>
            <w:r w:rsidR="00332167">
              <w:rPr>
                <w:rFonts w:eastAsia="Calibri" w:cs="Arial"/>
                <w:sz w:val="18"/>
                <w:szCs w:val="18"/>
              </w:rPr>
              <w:t xml:space="preserve">ection </w:t>
            </w:r>
            <w:r>
              <w:rPr>
                <w:rFonts w:eastAsia="Calibri" w:cs="Arial"/>
                <w:sz w:val="18"/>
                <w:szCs w:val="18"/>
              </w:rPr>
              <w:t>5.</w:t>
            </w:r>
          </w:p>
          <w:p w:rsidR="00D153A4" w:rsidRDefault="00D153A4" w:rsidP="00D153A4">
            <w:pPr>
              <w:spacing w:after="0" w:line="240" w:lineRule="auto"/>
              <w:ind w:left="357"/>
              <w:rPr>
                <w:rFonts w:eastAsia="Calibri" w:cs="Arial"/>
                <w:sz w:val="18"/>
                <w:szCs w:val="18"/>
              </w:rPr>
            </w:pPr>
          </w:p>
          <w:p w:rsidR="00D153A4" w:rsidRPr="00D153A4" w:rsidRDefault="00CA036A" w:rsidP="00D153A4">
            <w:pPr>
              <w:numPr>
                <w:ilvl w:val="0"/>
                <w:numId w:val="8"/>
              </w:numPr>
              <w:spacing w:after="0" w:line="240" w:lineRule="auto"/>
              <w:ind w:left="357" w:hanging="357"/>
              <w:rPr>
                <w:rFonts w:eastAsia="Calibri" w:cs="Arial"/>
                <w:sz w:val="18"/>
                <w:szCs w:val="18"/>
              </w:rPr>
            </w:pPr>
            <w:r>
              <w:rPr>
                <w:rFonts w:eastAsia="Calibri" w:cs="Arial"/>
                <w:sz w:val="18"/>
                <w:szCs w:val="18"/>
              </w:rPr>
              <w:t>Practitioners</w:t>
            </w:r>
            <w:r w:rsidR="00D153A4">
              <w:rPr>
                <w:rFonts w:eastAsia="Calibri" w:cs="Arial"/>
                <w:sz w:val="18"/>
                <w:szCs w:val="18"/>
              </w:rPr>
              <w:t>, caregivers and those exercising functions under the Act</w:t>
            </w:r>
            <w:r>
              <w:rPr>
                <w:rFonts w:eastAsia="Calibri" w:cs="Arial"/>
                <w:sz w:val="18"/>
                <w:szCs w:val="18"/>
              </w:rPr>
              <w:t xml:space="preserve"> </w:t>
            </w:r>
            <w:r w:rsidR="00D153A4">
              <w:rPr>
                <w:rFonts w:eastAsia="Calibri" w:cs="Arial"/>
                <w:sz w:val="18"/>
                <w:szCs w:val="18"/>
              </w:rPr>
              <w:t>are guided in the steps that need to be taken to involve w</w:t>
            </w:r>
            <w:r w:rsidR="008F7516">
              <w:rPr>
                <w:rFonts w:cs="Arial"/>
                <w:sz w:val="18"/>
                <w:szCs w:val="18"/>
              </w:rPr>
              <w:t xml:space="preserve">hānau, hapū and iwi </w:t>
            </w:r>
            <w:r w:rsidR="00332167">
              <w:rPr>
                <w:rFonts w:cs="Arial"/>
                <w:sz w:val="18"/>
                <w:szCs w:val="18"/>
              </w:rPr>
              <w:t>in critical decision making e</w:t>
            </w:r>
            <w:r w:rsidR="00D153A4">
              <w:rPr>
                <w:rFonts w:cs="Arial"/>
                <w:sz w:val="18"/>
                <w:szCs w:val="18"/>
              </w:rPr>
              <w:t xml:space="preserve">g placements.  </w:t>
            </w:r>
          </w:p>
          <w:p w:rsidR="00150330" w:rsidRDefault="00150330" w:rsidP="00D153A4">
            <w:pPr>
              <w:spacing w:after="0" w:line="240" w:lineRule="auto"/>
              <w:ind w:left="357"/>
              <w:rPr>
                <w:rFonts w:eastAsia="Calibri" w:cs="Arial"/>
                <w:sz w:val="18"/>
                <w:szCs w:val="18"/>
              </w:rPr>
            </w:pPr>
          </w:p>
        </w:tc>
        <w:tc>
          <w:tcPr>
            <w:tcW w:w="1538" w:type="pct"/>
            <w:shd w:val="clear" w:color="auto" w:fill="auto"/>
          </w:tcPr>
          <w:p w:rsidR="000E3DCB" w:rsidRPr="00E057EF" w:rsidRDefault="000E3DCB" w:rsidP="000E3DCB">
            <w:pPr>
              <w:pStyle w:val="ListParagraph"/>
              <w:numPr>
                <w:ilvl w:val="0"/>
                <w:numId w:val="8"/>
              </w:numPr>
              <w:spacing w:after="0" w:line="240" w:lineRule="auto"/>
              <w:ind w:left="357" w:hanging="357"/>
              <w:contextualSpacing w:val="0"/>
              <w:rPr>
                <w:rFonts w:eastAsia="Calibri" w:cs="Arial"/>
                <w:sz w:val="18"/>
                <w:szCs w:val="18"/>
              </w:rPr>
            </w:pPr>
            <w:r>
              <w:rPr>
                <w:rFonts w:cs="Arial"/>
                <w:i/>
                <w:sz w:val="18"/>
                <w:szCs w:val="18"/>
              </w:rPr>
              <w:t>Likely e</w:t>
            </w:r>
            <w:r w:rsidRPr="00E057EF">
              <w:rPr>
                <w:rFonts w:cs="Arial"/>
                <w:i/>
                <w:sz w:val="18"/>
                <w:szCs w:val="18"/>
              </w:rPr>
              <w:t xml:space="preserve">ffectiveness </w:t>
            </w:r>
            <w:r w:rsidRPr="00E057EF">
              <w:rPr>
                <w:rFonts w:cs="Arial"/>
                <w:sz w:val="18"/>
                <w:szCs w:val="18"/>
              </w:rPr>
              <w:t>- S</w:t>
            </w:r>
            <w:r w:rsidRPr="00E057EF">
              <w:rPr>
                <w:rFonts w:eastAsia="Calibri" w:cs="Arial"/>
                <w:sz w:val="18"/>
                <w:szCs w:val="18"/>
              </w:rPr>
              <w:t xml:space="preserve">pecific purpose statements will set expectations and prioritise the professional resources required to achieve </w:t>
            </w:r>
            <w:r>
              <w:rPr>
                <w:rFonts w:eastAsia="Calibri" w:cs="Arial"/>
                <w:sz w:val="18"/>
                <w:szCs w:val="18"/>
              </w:rPr>
              <w:t xml:space="preserve">a </w:t>
            </w:r>
            <w:r w:rsidRPr="00E057EF">
              <w:rPr>
                <w:rFonts w:eastAsia="Calibri" w:cs="Arial"/>
                <w:sz w:val="18"/>
                <w:szCs w:val="18"/>
              </w:rPr>
              <w:t>more culturally inclusive and responsive practice</w:t>
            </w:r>
            <w:r>
              <w:rPr>
                <w:rFonts w:eastAsia="Calibri" w:cs="Arial"/>
                <w:sz w:val="18"/>
                <w:szCs w:val="18"/>
              </w:rPr>
              <w:t xml:space="preserve">. </w:t>
            </w:r>
            <w:r w:rsidRPr="00E057EF">
              <w:rPr>
                <w:rFonts w:eastAsia="Calibri" w:cs="Arial"/>
                <w:sz w:val="18"/>
                <w:szCs w:val="18"/>
              </w:rPr>
              <w:t>Th</w:t>
            </w:r>
            <w:r>
              <w:rPr>
                <w:rFonts w:eastAsia="Calibri" w:cs="Arial"/>
                <w:sz w:val="18"/>
                <w:szCs w:val="18"/>
              </w:rPr>
              <w:t>is</w:t>
            </w:r>
            <w:r w:rsidRPr="00E057EF">
              <w:rPr>
                <w:rFonts w:eastAsia="Calibri" w:cs="Arial"/>
                <w:sz w:val="18"/>
                <w:szCs w:val="18"/>
              </w:rPr>
              <w:t xml:space="preserve"> will signal the importance placed by the Government on achieving positive change for Māori. </w:t>
            </w:r>
          </w:p>
          <w:p w:rsidR="000E3DCB" w:rsidRPr="007A28B6" w:rsidRDefault="000E3DCB" w:rsidP="000E3DCB">
            <w:pPr>
              <w:pStyle w:val="ListParagraph"/>
              <w:spacing w:after="0" w:line="240" w:lineRule="auto"/>
              <w:ind w:left="357"/>
              <w:contextualSpacing w:val="0"/>
              <w:rPr>
                <w:rFonts w:eastAsia="Calibri" w:cs="Arial"/>
                <w:sz w:val="18"/>
                <w:szCs w:val="18"/>
              </w:rPr>
            </w:pPr>
          </w:p>
          <w:p w:rsidR="000E3DCB" w:rsidRPr="007A28B6"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Compatibility with other government objectives including the investment approach - </w:t>
            </w:r>
            <w:r w:rsidRPr="00324F01">
              <w:rPr>
                <w:rFonts w:cs="Arial"/>
                <w:sz w:val="18"/>
                <w:szCs w:val="18"/>
              </w:rPr>
              <w:t>Increasing the focus on Māori is likely to result in better outcome</w:t>
            </w:r>
            <w:r>
              <w:rPr>
                <w:rFonts w:cs="Arial"/>
                <w:sz w:val="18"/>
                <w:szCs w:val="18"/>
              </w:rPr>
              <w:t>s,</w:t>
            </w:r>
            <w:r w:rsidRPr="00E057EF">
              <w:rPr>
                <w:rFonts w:cs="Arial"/>
                <w:sz w:val="18"/>
                <w:szCs w:val="18"/>
              </w:rPr>
              <w:t xml:space="preserve"> and therefore reduce future liability.</w:t>
            </w:r>
          </w:p>
          <w:p w:rsidR="000E3DCB" w:rsidRPr="00324F01" w:rsidRDefault="000E3DCB" w:rsidP="000E3DCB">
            <w:pPr>
              <w:spacing w:after="0" w:line="240" w:lineRule="auto"/>
              <w:rPr>
                <w:rFonts w:eastAsia="Calibri" w:cs="Arial"/>
                <w:sz w:val="18"/>
                <w:szCs w:val="18"/>
              </w:rPr>
            </w:pPr>
          </w:p>
          <w:p w:rsidR="000E3DCB" w:rsidRPr="00324F01"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Durability – </w:t>
            </w:r>
            <w:r w:rsidRPr="00324F01">
              <w:rPr>
                <w:rFonts w:cs="Arial"/>
                <w:sz w:val="18"/>
                <w:szCs w:val="18"/>
              </w:rPr>
              <w:t>promotes system change and at practice level (including operational changes) and durable long-term solutions.</w:t>
            </w:r>
          </w:p>
          <w:p w:rsidR="000E3DCB" w:rsidRPr="00324F01" w:rsidRDefault="000E3DCB" w:rsidP="000E3DCB">
            <w:pPr>
              <w:spacing w:after="0" w:line="240" w:lineRule="auto"/>
              <w:rPr>
                <w:rFonts w:eastAsia="Calibri" w:cs="Arial"/>
                <w:sz w:val="18"/>
                <w:szCs w:val="18"/>
              </w:rPr>
            </w:pPr>
          </w:p>
          <w:p w:rsidR="000E3DCB" w:rsidRPr="00324F01" w:rsidRDefault="000E3DCB" w:rsidP="000E3DCB">
            <w:pPr>
              <w:pStyle w:val="ListParagraph"/>
              <w:numPr>
                <w:ilvl w:val="0"/>
                <w:numId w:val="8"/>
              </w:numPr>
              <w:spacing w:after="0" w:line="240" w:lineRule="auto"/>
              <w:ind w:left="357" w:hanging="357"/>
              <w:contextualSpacing w:val="0"/>
              <w:rPr>
                <w:rFonts w:eastAsia="Calibri" w:cs="Arial"/>
                <w:sz w:val="18"/>
                <w:szCs w:val="18"/>
              </w:rPr>
            </w:pPr>
            <w:r w:rsidRPr="00324F01">
              <w:rPr>
                <w:rFonts w:cs="Arial"/>
                <w:i/>
                <w:sz w:val="18"/>
                <w:szCs w:val="18"/>
              </w:rPr>
              <w:t xml:space="preserve">Consistency with the Treaty of Waitangi, UNCROC and other international obligations – </w:t>
            </w:r>
            <w:r w:rsidRPr="00324F01">
              <w:rPr>
                <w:rFonts w:cs="Arial"/>
                <w:sz w:val="18"/>
                <w:szCs w:val="18"/>
              </w:rPr>
              <w:t xml:space="preserve">This approach is consistent with the Treaty of Waitangi and international obligations such as UNCROC. </w:t>
            </w:r>
          </w:p>
          <w:p w:rsidR="000E3DCB" w:rsidRPr="00324F01" w:rsidRDefault="000E3DCB" w:rsidP="000E3DCB">
            <w:pPr>
              <w:spacing w:after="0" w:line="240" w:lineRule="auto"/>
              <w:rPr>
                <w:rFonts w:eastAsia="Calibri" w:cs="Arial"/>
                <w:sz w:val="18"/>
                <w:szCs w:val="18"/>
              </w:rPr>
            </w:pPr>
          </w:p>
          <w:p w:rsidR="000E3DCB" w:rsidRPr="00324F01" w:rsidRDefault="000E3DCB" w:rsidP="000E3DCB">
            <w:pPr>
              <w:pStyle w:val="ListParagraph"/>
              <w:numPr>
                <w:ilvl w:val="0"/>
                <w:numId w:val="8"/>
              </w:numPr>
              <w:spacing w:after="0" w:line="240" w:lineRule="auto"/>
              <w:ind w:left="357" w:hanging="357"/>
              <w:contextualSpacing w:val="0"/>
              <w:rPr>
                <w:rFonts w:cs="Arial"/>
                <w:sz w:val="18"/>
                <w:szCs w:val="18"/>
              </w:rPr>
            </w:pPr>
            <w:r w:rsidRPr="00324F01">
              <w:rPr>
                <w:rFonts w:eastAsia="Calibri" w:cs="Arial"/>
                <w:i/>
                <w:sz w:val="18"/>
                <w:szCs w:val="18"/>
              </w:rPr>
              <w:t xml:space="preserve">Interaction with other legislation and planned reforms </w:t>
            </w:r>
            <w:r w:rsidRPr="00324F01">
              <w:rPr>
                <w:rFonts w:eastAsia="Calibri" w:cs="Arial"/>
                <w:sz w:val="18"/>
                <w:szCs w:val="18"/>
              </w:rPr>
              <w:t>– Is likely to complement other proposed reforms and make other changes more effective for Māori.</w:t>
            </w:r>
          </w:p>
          <w:p w:rsidR="000E3DCB" w:rsidRPr="00324F01" w:rsidRDefault="000E3DCB" w:rsidP="000E3DCB">
            <w:pPr>
              <w:spacing w:after="0" w:line="240" w:lineRule="auto"/>
              <w:rPr>
                <w:rFonts w:cs="Arial"/>
                <w:sz w:val="18"/>
                <w:szCs w:val="18"/>
              </w:rPr>
            </w:pPr>
          </w:p>
          <w:p w:rsidR="00150330" w:rsidRPr="00D153A4" w:rsidRDefault="000E3DCB" w:rsidP="000E3DCB">
            <w:pPr>
              <w:pStyle w:val="ListParagraph"/>
              <w:numPr>
                <w:ilvl w:val="0"/>
                <w:numId w:val="8"/>
              </w:numPr>
              <w:spacing w:after="0" w:line="240" w:lineRule="auto"/>
              <w:ind w:left="357" w:hanging="357"/>
              <w:contextualSpacing w:val="0"/>
              <w:rPr>
                <w:rFonts w:cs="Arial"/>
                <w:i/>
                <w:sz w:val="18"/>
                <w:szCs w:val="18"/>
              </w:rPr>
            </w:pPr>
            <w:r w:rsidRPr="00324F01">
              <w:rPr>
                <w:rFonts w:eastAsia="Calibri" w:cs="Arial"/>
                <w:i/>
                <w:sz w:val="18"/>
                <w:szCs w:val="18"/>
              </w:rPr>
              <w:t xml:space="preserve">Fairness and equity </w:t>
            </w:r>
            <w:r w:rsidRPr="00324F01">
              <w:rPr>
                <w:rFonts w:eastAsia="Calibri" w:cs="Arial"/>
                <w:sz w:val="18"/>
                <w:szCs w:val="18"/>
              </w:rPr>
              <w:t xml:space="preserve">– Is likely to lead to improvements in outcomes </w:t>
            </w:r>
            <w:r>
              <w:rPr>
                <w:rFonts w:eastAsia="Calibri" w:cs="Arial"/>
                <w:sz w:val="18"/>
                <w:szCs w:val="18"/>
              </w:rPr>
              <w:t>for M</w:t>
            </w:r>
            <w:r w:rsidRPr="00324F01">
              <w:rPr>
                <w:rFonts w:eastAsia="Calibri" w:cs="Arial"/>
                <w:sz w:val="18"/>
                <w:szCs w:val="18"/>
              </w:rPr>
              <w:t>ā</w:t>
            </w:r>
            <w:r>
              <w:rPr>
                <w:rFonts w:eastAsia="Calibri" w:cs="Arial"/>
                <w:sz w:val="18"/>
                <w:szCs w:val="18"/>
              </w:rPr>
              <w:t>ori</w:t>
            </w:r>
            <w:r w:rsidRPr="00E057EF">
              <w:rPr>
                <w:rFonts w:eastAsia="Calibri" w:cs="Arial"/>
                <w:sz w:val="18"/>
                <w:szCs w:val="18"/>
              </w:rPr>
              <w:t xml:space="preserve"> and</w:t>
            </w:r>
            <w:r>
              <w:rPr>
                <w:rFonts w:eastAsia="Calibri" w:cs="Arial"/>
                <w:sz w:val="18"/>
                <w:szCs w:val="18"/>
              </w:rPr>
              <w:t>,</w:t>
            </w:r>
            <w:r w:rsidRPr="00E057EF">
              <w:rPr>
                <w:rFonts w:eastAsia="Calibri" w:cs="Arial"/>
                <w:sz w:val="18"/>
                <w:szCs w:val="18"/>
              </w:rPr>
              <w:t xml:space="preserve"> over time</w:t>
            </w:r>
            <w:r>
              <w:rPr>
                <w:rFonts w:eastAsia="Calibri" w:cs="Arial"/>
                <w:sz w:val="18"/>
                <w:szCs w:val="18"/>
              </w:rPr>
              <w:t>,</w:t>
            </w:r>
            <w:r w:rsidRPr="00E057EF">
              <w:rPr>
                <w:rFonts w:eastAsia="Calibri" w:cs="Arial"/>
                <w:sz w:val="18"/>
                <w:szCs w:val="18"/>
              </w:rPr>
              <w:t xml:space="preserve"> address over-representation in the system.</w:t>
            </w:r>
          </w:p>
          <w:p w:rsidR="00D153A4" w:rsidRPr="00D153A4" w:rsidRDefault="00D153A4" w:rsidP="00D153A4">
            <w:pPr>
              <w:pStyle w:val="ListParagraph"/>
              <w:rPr>
                <w:rFonts w:cs="Arial"/>
                <w:i/>
                <w:sz w:val="18"/>
                <w:szCs w:val="18"/>
              </w:rPr>
            </w:pPr>
          </w:p>
          <w:p w:rsidR="00D153A4" w:rsidRPr="00D804D8" w:rsidRDefault="00D153A4" w:rsidP="00D153A4">
            <w:pPr>
              <w:pStyle w:val="ListParagraph"/>
              <w:spacing w:after="0" w:line="240" w:lineRule="auto"/>
              <w:ind w:left="357"/>
              <w:contextualSpacing w:val="0"/>
              <w:rPr>
                <w:rFonts w:cs="Arial"/>
                <w:i/>
                <w:sz w:val="18"/>
                <w:szCs w:val="18"/>
              </w:rPr>
            </w:pPr>
          </w:p>
        </w:tc>
        <w:tc>
          <w:tcPr>
            <w:tcW w:w="1090" w:type="pct"/>
            <w:shd w:val="clear" w:color="auto" w:fill="auto"/>
          </w:tcPr>
          <w:p w:rsidR="000E3DCB" w:rsidRPr="000C0983" w:rsidRDefault="000E3DCB" w:rsidP="00757C95">
            <w:pPr>
              <w:pStyle w:val="ListParagraph"/>
              <w:numPr>
                <w:ilvl w:val="0"/>
                <w:numId w:val="8"/>
              </w:numPr>
              <w:spacing w:after="0" w:line="240" w:lineRule="auto"/>
              <w:ind w:left="357" w:hanging="357"/>
              <w:contextualSpacing w:val="0"/>
              <w:rPr>
                <w:rFonts w:cs="Arial"/>
                <w:sz w:val="18"/>
                <w:szCs w:val="18"/>
              </w:rPr>
            </w:pPr>
            <w:r w:rsidRPr="00757C95">
              <w:rPr>
                <w:rFonts w:eastAsia="Calibri" w:cs="Arial"/>
                <w:i/>
                <w:sz w:val="18"/>
                <w:szCs w:val="18"/>
              </w:rPr>
              <w:t>Fiscal and operational impact</w:t>
            </w:r>
            <w:r w:rsidRPr="00757C95">
              <w:rPr>
                <w:rFonts w:eastAsia="Calibri" w:cs="Arial"/>
                <w:sz w:val="18"/>
                <w:szCs w:val="18"/>
              </w:rPr>
              <w:t xml:space="preserve"> </w:t>
            </w:r>
            <w:r w:rsidRPr="00757C95">
              <w:rPr>
                <w:rFonts w:eastAsia="Calibri" w:cs="Arial"/>
                <w:i/>
                <w:sz w:val="18"/>
                <w:szCs w:val="18"/>
              </w:rPr>
              <w:t>and practicality</w:t>
            </w:r>
            <w:r w:rsidRPr="00757C95">
              <w:rPr>
                <w:rFonts w:cs="Arial"/>
                <w:sz w:val="18"/>
                <w:szCs w:val="18"/>
              </w:rPr>
              <w:t xml:space="preserve"> – Will require </w:t>
            </w:r>
            <w:r w:rsidRPr="00CA6547">
              <w:rPr>
                <w:rFonts w:cs="Arial"/>
                <w:sz w:val="18"/>
                <w:szCs w:val="18"/>
              </w:rPr>
              <w:t>additional resources, training and guidance for caregivers and practitioners to support them to understand what these principles mean for everyday practice. This will require practitioners to develop networks with local Māori, iwi and hapū to build cultural awareness and unders</w:t>
            </w:r>
            <w:r w:rsidRPr="000C0983">
              <w:rPr>
                <w:rFonts w:cs="Arial"/>
                <w:sz w:val="18"/>
                <w:szCs w:val="18"/>
              </w:rPr>
              <w:t xml:space="preserve">tanding.  </w:t>
            </w:r>
          </w:p>
          <w:p w:rsidR="00150330" w:rsidRDefault="00150330" w:rsidP="000E3DCB">
            <w:pPr>
              <w:pStyle w:val="ListParagraph"/>
              <w:spacing w:after="0" w:line="240" w:lineRule="auto"/>
              <w:ind w:left="357"/>
              <w:contextualSpacing w:val="0"/>
              <w:rPr>
                <w:rFonts w:eastAsia="Calibri" w:cs="Arial"/>
                <w:i/>
                <w:sz w:val="18"/>
                <w:szCs w:val="18"/>
              </w:rPr>
            </w:pPr>
          </w:p>
        </w:tc>
      </w:tr>
      <w:tr w:rsidR="00F45FF2" w:rsidRPr="004C563C" w:rsidTr="00757C95">
        <w:trPr>
          <w:trHeight w:val="2160"/>
        </w:trPr>
        <w:tc>
          <w:tcPr>
            <w:tcW w:w="353" w:type="pct"/>
            <w:shd w:val="clear" w:color="auto" w:fill="auto"/>
          </w:tcPr>
          <w:p w:rsidR="00F45FF2" w:rsidRDefault="00F45FF2" w:rsidP="000E3DCB">
            <w:pPr>
              <w:spacing w:after="0"/>
              <w:rPr>
                <w:rFonts w:cs="Arial"/>
                <w:b/>
                <w:bCs/>
                <w:sz w:val="18"/>
                <w:szCs w:val="18"/>
              </w:rPr>
            </w:pPr>
            <w:r>
              <w:rPr>
                <w:rFonts w:cs="Arial"/>
                <w:b/>
                <w:bCs/>
                <w:sz w:val="18"/>
                <w:szCs w:val="18"/>
              </w:rPr>
              <w:t xml:space="preserve">Option </w:t>
            </w:r>
            <w:r w:rsidR="00150330">
              <w:rPr>
                <w:rFonts w:cs="Arial"/>
                <w:b/>
                <w:bCs/>
                <w:sz w:val="18"/>
                <w:szCs w:val="18"/>
              </w:rPr>
              <w:t>5</w:t>
            </w:r>
            <w:r>
              <w:rPr>
                <w:rFonts w:cs="Arial"/>
                <w:b/>
                <w:bCs/>
                <w:sz w:val="18"/>
                <w:szCs w:val="18"/>
              </w:rPr>
              <w:t xml:space="preserve"> </w:t>
            </w:r>
          </w:p>
          <w:p w:rsidR="00F45FF2" w:rsidRDefault="00F45FF2" w:rsidP="00BF5773">
            <w:pPr>
              <w:spacing w:after="0"/>
              <w:rPr>
                <w:rFonts w:cs="Arial"/>
                <w:b/>
                <w:bCs/>
                <w:sz w:val="18"/>
                <w:szCs w:val="18"/>
              </w:rPr>
            </w:pPr>
          </w:p>
          <w:p w:rsidR="00F45FF2" w:rsidRPr="005957E7" w:rsidRDefault="00384F63" w:rsidP="00BF5773">
            <w:pPr>
              <w:spacing w:after="0" w:line="240" w:lineRule="auto"/>
              <w:rPr>
                <w:rFonts w:cs="Arial"/>
                <w:bCs/>
                <w:sz w:val="18"/>
                <w:szCs w:val="18"/>
              </w:rPr>
            </w:pPr>
            <w:r>
              <w:rPr>
                <w:rFonts w:cs="Arial"/>
                <w:bCs/>
                <w:sz w:val="18"/>
                <w:szCs w:val="18"/>
              </w:rPr>
              <w:t>Broaden</w:t>
            </w:r>
            <w:r w:rsidR="00F45FF2" w:rsidRPr="00674777">
              <w:rPr>
                <w:rFonts w:cs="Arial"/>
                <w:bCs/>
                <w:sz w:val="18"/>
                <w:szCs w:val="18"/>
              </w:rPr>
              <w:t xml:space="preserve"> and clarify </w:t>
            </w:r>
            <w:r w:rsidR="00150330">
              <w:rPr>
                <w:rFonts w:cs="Arial"/>
                <w:bCs/>
                <w:sz w:val="18"/>
                <w:szCs w:val="18"/>
              </w:rPr>
              <w:t xml:space="preserve">the </w:t>
            </w:r>
            <w:r w:rsidR="00F45FF2" w:rsidRPr="00674777">
              <w:rPr>
                <w:rFonts w:cs="Arial"/>
                <w:bCs/>
                <w:sz w:val="18"/>
                <w:szCs w:val="18"/>
              </w:rPr>
              <w:t xml:space="preserve">scope of </w:t>
            </w:r>
            <w:r w:rsidR="006E27B2">
              <w:rPr>
                <w:rFonts w:cs="Arial"/>
                <w:bCs/>
                <w:sz w:val="18"/>
                <w:szCs w:val="18"/>
              </w:rPr>
              <w:t>CE’s</w:t>
            </w:r>
            <w:r w:rsidR="00F45FF2" w:rsidRPr="00674777">
              <w:rPr>
                <w:rFonts w:cs="Arial"/>
                <w:bCs/>
                <w:sz w:val="18"/>
                <w:szCs w:val="18"/>
              </w:rPr>
              <w:t xml:space="preserve"> duties in order to recognise and respect the Treaty of Waitangi</w:t>
            </w:r>
          </w:p>
          <w:p w:rsidR="00F45FF2" w:rsidRDefault="00F45FF2" w:rsidP="00BF5773">
            <w:pPr>
              <w:spacing w:after="0"/>
              <w:rPr>
                <w:rFonts w:cs="Arial"/>
                <w:b/>
                <w:bCs/>
                <w:sz w:val="18"/>
                <w:szCs w:val="18"/>
              </w:rPr>
            </w:pPr>
          </w:p>
          <w:p w:rsidR="00F45FF2" w:rsidRDefault="00F45FF2" w:rsidP="005957E7">
            <w:pPr>
              <w:spacing w:after="0" w:line="240" w:lineRule="auto"/>
              <w:rPr>
                <w:rFonts w:cs="Arial"/>
                <w:b/>
                <w:bCs/>
                <w:sz w:val="18"/>
                <w:szCs w:val="18"/>
              </w:rPr>
            </w:pPr>
            <w:r>
              <w:rPr>
                <w:rFonts w:cs="Arial"/>
                <w:b/>
                <w:bCs/>
                <w:sz w:val="18"/>
                <w:szCs w:val="18"/>
              </w:rPr>
              <w:lastRenderedPageBreak/>
              <w:t>Regulatory option</w:t>
            </w:r>
          </w:p>
          <w:p w:rsidR="00F45FF2" w:rsidRDefault="00F45FF2" w:rsidP="005957E7">
            <w:pPr>
              <w:spacing w:after="0" w:line="240" w:lineRule="auto"/>
              <w:rPr>
                <w:rFonts w:cs="Arial"/>
                <w:b/>
                <w:bCs/>
                <w:sz w:val="18"/>
                <w:szCs w:val="18"/>
              </w:rPr>
            </w:pPr>
          </w:p>
          <w:p w:rsidR="00F45FF2" w:rsidRDefault="00F45FF2" w:rsidP="005957E7">
            <w:pPr>
              <w:spacing w:after="0" w:line="240" w:lineRule="auto"/>
              <w:rPr>
                <w:rFonts w:cs="Arial"/>
                <w:b/>
                <w:bCs/>
                <w:sz w:val="18"/>
                <w:szCs w:val="18"/>
              </w:rPr>
            </w:pPr>
            <w:r>
              <w:rPr>
                <w:rFonts w:cs="Arial"/>
                <w:b/>
                <w:bCs/>
                <w:sz w:val="18"/>
                <w:szCs w:val="18"/>
              </w:rPr>
              <w:t>PREFERRED</w:t>
            </w:r>
          </w:p>
        </w:tc>
        <w:tc>
          <w:tcPr>
            <w:tcW w:w="1057" w:type="pct"/>
            <w:shd w:val="clear" w:color="auto" w:fill="auto"/>
          </w:tcPr>
          <w:p w:rsidR="00757C95" w:rsidRDefault="00757C95" w:rsidP="00046A5E">
            <w:pPr>
              <w:spacing w:after="0" w:line="240" w:lineRule="auto"/>
              <w:rPr>
                <w:rFonts w:cs="Arial"/>
                <w:bCs/>
                <w:sz w:val="18"/>
                <w:szCs w:val="18"/>
              </w:rPr>
            </w:pPr>
            <w:r>
              <w:rPr>
                <w:rFonts w:cs="Arial"/>
                <w:bCs/>
                <w:sz w:val="18"/>
                <w:szCs w:val="18"/>
              </w:rPr>
              <w:lastRenderedPageBreak/>
              <w:t>Duties in the CYPF Act will be broadened and will clarify the CE’s duty to recognise and respect the treaty of Waitangi. In doing so:</w:t>
            </w:r>
          </w:p>
          <w:p w:rsidR="00757C95" w:rsidRDefault="00757C95" w:rsidP="00046A5E">
            <w:pPr>
              <w:spacing w:after="0" w:line="240" w:lineRule="auto"/>
              <w:rPr>
                <w:rFonts w:cs="Arial"/>
                <w:bCs/>
                <w:sz w:val="18"/>
                <w:szCs w:val="18"/>
              </w:rPr>
            </w:pPr>
          </w:p>
          <w:p w:rsidR="000A2507" w:rsidRDefault="00757C95" w:rsidP="00CA6547">
            <w:pPr>
              <w:numPr>
                <w:ilvl w:val="0"/>
                <w:numId w:val="8"/>
              </w:numPr>
              <w:spacing w:after="0" w:line="240" w:lineRule="auto"/>
              <w:ind w:left="357" w:hanging="357"/>
              <w:rPr>
                <w:rFonts w:cs="Arial"/>
                <w:sz w:val="18"/>
                <w:szCs w:val="18"/>
              </w:rPr>
            </w:pPr>
            <w:r>
              <w:rPr>
                <w:rFonts w:cs="Arial"/>
                <w:sz w:val="18"/>
                <w:szCs w:val="18"/>
              </w:rPr>
              <w:t>t</w:t>
            </w:r>
            <w:r w:rsidR="000A2507" w:rsidRPr="00757C95">
              <w:rPr>
                <w:rFonts w:cs="Arial"/>
                <w:sz w:val="18"/>
                <w:szCs w:val="18"/>
              </w:rPr>
              <w:t xml:space="preserve">he policies and practices adopted by MVCOT that impact the wellbeing of children and young people have the objective of </w:t>
            </w:r>
            <w:r w:rsidR="000A2507" w:rsidRPr="00CA6547">
              <w:rPr>
                <w:rFonts w:cs="Arial"/>
                <w:sz w:val="18"/>
                <w:szCs w:val="18"/>
              </w:rPr>
              <w:t>reducing disparities by setting measurable outcomes for M</w:t>
            </w:r>
            <w:r w:rsidR="000A2507">
              <w:rPr>
                <w:rFonts w:cs="Arial"/>
                <w:sz w:val="18"/>
                <w:szCs w:val="18"/>
              </w:rPr>
              <w:t>āori children and young people who</w:t>
            </w:r>
            <w:r>
              <w:rPr>
                <w:rFonts w:cs="Arial"/>
                <w:sz w:val="18"/>
                <w:szCs w:val="18"/>
              </w:rPr>
              <w:t xml:space="preserve"> come to the attention of MVCOT</w:t>
            </w:r>
          </w:p>
          <w:p w:rsidR="0050356D" w:rsidRDefault="0050356D" w:rsidP="00CA6547">
            <w:pPr>
              <w:spacing w:after="0" w:line="240" w:lineRule="auto"/>
              <w:ind w:left="357"/>
              <w:rPr>
                <w:rFonts w:cs="Arial"/>
                <w:sz w:val="18"/>
                <w:szCs w:val="18"/>
              </w:rPr>
            </w:pPr>
          </w:p>
          <w:p w:rsidR="00757C95" w:rsidRDefault="00757C95" w:rsidP="00CA6547">
            <w:pPr>
              <w:numPr>
                <w:ilvl w:val="0"/>
                <w:numId w:val="8"/>
              </w:numPr>
              <w:spacing w:after="0" w:line="240" w:lineRule="auto"/>
              <w:ind w:left="357" w:hanging="357"/>
              <w:rPr>
                <w:rFonts w:cs="Arial"/>
                <w:sz w:val="18"/>
                <w:szCs w:val="18"/>
              </w:rPr>
            </w:pPr>
            <w:r>
              <w:rPr>
                <w:rFonts w:cs="Arial"/>
                <w:sz w:val="18"/>
                <w:szCs w:val="18"/>
              </w:rPr>
              <w:t>t</w:t>
            </w:r>
            <w:r w:rsidR="0050356D">
              <w:rPr>
                <w:rFonts w:cs="Arial"/>
                <w:sz w:val="18"/>
                <w:szCs w:val="18"/>
              </w:rPr>
              <w:t xml:space="preserve">he policies, practices and services of MVCOT will have regard to the mana and whakapapa of </w:t>
            </w:r>
            <w:r w:rsidR="0050356D">
              <w:rPr>
                <w:rFonts w:cs="Arial"/>
                <w:sz w:val="18"/>
                <w:szCs w:val="18"/>
              </w:rPr>
              <w:lastRenderedPageBreak/>
              <w:t>children and young people, and whanaungatanga responsibilities of the wh</w:t>
            </w:r>
            <w:r>
              <w:rPr>
                <w:rFonts w:cs="Arial"/>
                <w:sz w:val="18"/>
                <w:szCs w:val="18"/>
              </w:rPr>
              <w:t>ānau, hapū and iwi</w:t>
            </w:r>
          </w:p>
          <w:p w:rsidR="00B83C5D" w:rsidRDefault="00757C95" w:rsidP="00757C95">
            <w:pPr>
              <w:spacing w:after="0" w:line="240" w:lineRule="auto"/>
              <w:rPr>
                <w:rFonts w:cs="Arial"/>
                <w:sz w:val="18"/>
                <w:szCs w:val="18"/>
              </w:rPr>
            </w:pPr>
            <w:r>
              <w:rPr>
                <w:rFonts w:cs="Arial"/>
                <w:sz w:val="18"/>
                <w:szCs w:val="18"/>
              </w:rPr>
              <w:t xml:space="preserve"> </w:t>
            </w:r>
          </w:p>
          <w:p w:rsidR="00F45FF2" w:rsidRPr="00757C95" w:rsidRDefault="0050356D" w:rsidP="00CA6547">
            <w:pPr>
              <w:numPr>
                <w:ilvl w:val="0"/>
                <w:numId w:val="8"/>
              </w:numPr>
              <w:spacing w:after="0" w:line="240" w:lineRule="auto"/>
              <w:ind w:left="357" w:hanging="357"/>
              <w:rPr>
                <w:rFonts w:cs="Arial"/>
                <w:sz w:val="18"/>
                <w:szCs w:val="18"/>
              </w:rPr>
            </w:pPr>
            <w:r>
              <w:rPr>
                <w:rFonts w:cs="Arial"/>
                <w:sz w:val="18"/>
                <w:szCs w:val="18"/>
              </w:rPr>
              <w:t>MVCOT will seek to develop strategic partnerships with iwi and Mā</w:t>
            </w:r>
            <w:r w:rsidR="00B83C5D">
              <w:rPr>
                <w:rFonts w:cs="Arial"/>
                <w:sz w:val="18"/>
                <w:szCs w:val="18"/>
              </w:rPr>
              <w:t>ori o</w:t>
            </w:r>
            <w:r w:rsidR="00757C95">
              <w:rPr>
                <w:rFonts w:cs="Arial"/>
                <w:sz w:val="18"/>
                <w:szCs w:val="18"/>
              </w:rPr>
              <w:t>rganisations</w:t>
            </w:r>
          </w:p>
          <w:p w:rsidR="00B83C5D" w:rsidRPr="00757C95" w:rsidRDefault="00B83C5D" w:rsidP="00CA6547">
            <w:pPr>
              <w:spacing w:after="0" w:line="240" w:lineRule="auto"/>
              <w:ind w:left="357"/>
              <w:rPr>
                <w:rFonts w:cs="Arial"/>
                <w:sz w:val="18"/>
                <w:szCs w:val="18"/>
              </w:rPr>
            </w:pPr>
          </w:p>
          <w:p w:rsidR="00B83C5D" w:rsidRDefault="00757C95" w:rsidP="00CA6547">
            <w:pPr>
              <w:numPr>
                <w:ilvl w:val="0"/>
                <w:numId w:val="8"/>
              </w:numPr>
              <w:spacing w:after="0" w:line="240" w:lineRule="auto"/>
              <w:ind w:left="357" w:hanging="357"/>
              <w:rPr>
                <w:rFonts w:cs="Arial"/>
                <w:sz w:val="18"/>
                <w:szCs w:val="18"/>
              </w:rPr>
            </w:pPr>
            <w:r>
              <w:rPr>
                <w:rFonts w:cs="Arial"/>
                <w:sz w:val="18"/>
                <w:szCs w:val="18"/>
              </w:rPr>
              <w:t>t</w:t>
            </w:r>
            <w:r w:rsidR="00B83C5D" w:rsidRPr="00757C95">
              <w:rPr>
                <w:rFonts w:cs="Arial"/>
                <w:sz w:val="18"/>
                <w:szCs w:val="18"/>
              </w:rPr>
              <w:t>he CE will report annually</w:t>
            </w:r>
            <w:r w:rsidR="00D153A4">
              <w:rPr>
                <w:rFonts w:cs="Arial"/>
                <w:sz w:val="18"/>
                <w:szCs w:val="18"/>
              </w:rPr>
              <w:t xml:space="preserve"> and publicly</w:t>
            </w:r>
            <w:r w:rsidR="00B83C5D" w:rsidRPr="00757C95">
              <w:rPr>
                <w:rFonts w:cs="Arial"/>
                <w:sz w:val="18"/>
                <w:szCs w:val="18"/>
              </w:rPr>
              <w:t xml:space="preserve"> on the measures taken in relation to these stated duties, including the impact of these measures in improving outcomes for M</w:t>
            </w:r>
            <w:r w:rsidR="00B83C5D">
              <w:rPr>
                <w:rFonts w:cs="Arial"/>
                <w:sz w:val="18"/>
                <w:szCs w:val="18"/>
              </w:rPr>
              <w:t>āori who come to the attention of MVCOT and the steps to be taken in the immediate future.</w:t>
            </w:r>
            <w:r w:rsidR="000E3DCB">
              <w:rPr>
                <w:rFonts w:cs="Arial"/>
                <w:sz w:val="18"/>
                <w:szCs w:val="18"/>
              </w:rPr>
              <w:br/>
            </w:r>
          </w:p>
          <w:p w:rsidR="000E3DCB" w:rsidRDefault="000E3DCB" w:rsidP="000E3DCB">
            <w:pPr>
              <w:spacing w:after="0" w:line="240" w:lineRule="auto"/>
              <w:rPr>
                <w:rFonts w:cs="Arial"/>
                <w:bCs/>
                <w:sz w:val="18"/>
                <w:szCs w:val="18"/>
              </w:rPr>
            </w:pPr>
            <w:r w:rsidRPr="00187EA2">
              <w:rPr>
                <w:rFonts w:cs="Arial"/>
                <w:bCs/>
                <w:sz w:val="18"/>
                <w:szCs w:val="18"/>
              </w:rPr>
              <w:t>Changes to legislative duties will be accompanied by changes to performance measures and operational policies.</w:t>
            </w:r>
          </w:p>
          <w:p w:rsidR="000E3DCB" w:rsidRPr="005957E7" w:rsidRDefault="000E3DCB" w:rsidP="005957E7">
            <w:pPr>
              <w:spacing w:after="0" w:line="240" w:lineRule="auto"/>
              <w:rPr>
                <w:rFonts w:cs="Arial"/>
                <w:bCs/>
                <w:sz w:val="18"/>
                <w:szCs w:val="18"/>
              </w:rPr>
            </w:pPr>
          </w:p>
        </w:tc>
        <w:tc>
          <w:tcPr>
            <w:tcW w:w="961" w:type="pct"/>
            <w:shd w:val="clear" w:color="auto" w:fill="auto"/>
          </w:tcPr>
          <w:p w:rsidR="00F45FF2" w:rsidRDefault="00F45FF2" w:rsidP="005957E7">
            <w:pPr>
              <w:numPr>
                <w:ilvl w:val="0"/>
                <w:numId w:val="8"/>
              </w:numPr>
              <w:spacing w:after="0" w:line="240" w:lineRule="auto"/>
              <w:ind w:left="357" w:hanging="357"/>
              <w:rPr>
                <w:rFonts w:cs="Arial"/>
                <w:sz w:val="18"/>
                <w:szCs w:val="18"/>
              </w:rPr>
            </w:pPr>
            <w:r>
              <w:rPr>
                <w:rFonts w:cs="Arial"/>
                <w:sz w:val="18"/>
                <w:szCs w:val="18"/>
              </w:rPr>
              <w:lastRenderedPageBreak/>
              <w:t>Māori children, young people and families across the service continuum would be more likely to receive a responsive service</w:t>
            </w:r>
            <w:r w:rsidR="00904B83">
              <w:rPr>
                <w:rFonts w:cs="Arial"/>
                <w:sz w:val="18"/>
                <w:szCs w:val="18"/>
              </w:rPr>
              <w:t>.</w:t>
            </w:r>
          </w:p>
          <w:p w:rsidR="00BF5773" w:rsidRDefault="00BF5773" w:rsidP="00BF5773">
            <w:pPr>
              <w:spacing w:after="0" w:line="240" w:lineRule="auto"/>
              <w:ind w:left="357"/>
              <w:rPr>
                <w:rFonts w:cs="Arial"/>
                <w:sz w:val="18"/>
                <w:szCs w:val="18"/>
              </w:rPr>
            </w:pPr>
          </w:p>
          <w:p w:rsidR="00F45FF2" w:rsidRDefault="00F45FF2" w:rsidP="00BF5773">
            <w:pPr>
              <w:numPr>
                <w:ilvl w:val="0"/>
                <w:numId w:val="8"/>
              </w:numPr>
              <w:spacing w:after="0" w:line="240" w:lineRule="auto"/>
              <w:ind w:left="357" w:hanging="357"/>
              <w:rPr>
                <w:rFonts w:cs="Arial"/>
                <w:sz w:val="18"/>
                <w:szCs w:val="18"/>
              </w:rPr>
            </w:pPr>
            <w:r>
              <w:rPr>
                <w:rFonts w:cs="Arial"/>
                <w:sz w:val="18"/>
                <w:szCs w:val="18"/>
              </w:rPr>
              <w:t>Iwi and Māori organisations will have a clearer mandate and role in providing support, advice and guidance on achieving better outcomes for Māori children, young people and their families</w:t>
            </w:r>
            <w:r w:rsidR="00904B83">
              <w:rPr>
                <w:rFonts w:cs="Arial"/>
                <w:sz w:val="18"/>
                <w:szCs w:val="18"/>
              </w:rPr>
              <w:t>.</w:t>
            </w:r>
          </w:p>
          <w:p w:rsidR="00BF5773" w:rsidRDefault="00BF5773" w:rsidP="005957E7">
            <w:pPr>
              <w:spacing w:after="0" w:line="240" w:lineRule="auto"/>
              <w:rPr>
                <w:rFonts w:cs="Arial"/>
                <w:sz w:val="18"/>
                <w:szCs w:val="18"/>
              </w:rPr>
            </w:pPr>
          </w:p>
          <w:p w:rsidR="00F45FF2" w:rsidRDefault="00F45FF2" w:rsidP="005957E7">
            <w:pPr>
              <w:numPr>
                <w:ilvl w:val="0"/>
                <w:numId w:val="8"/>
              </w:numPr>
              <w:spacing w:after="0" w:line="240" w:lineRule="auto"/>
              <w:ind w:left="357" w:hanging="357"/>
              <w:rPr>
                <w:rFonts w:cs="Arial"/>
                <w:sz w:val="18"/>
                <w:szCs w:val="18"/>
              </w:rPr>
            </w:pPr>
            <w:r>
              <w:rPr>
                <w:rFonts w:cs="Arial"/>
                <w:sz w:val="18"/>
                <w:szCs w:val="18"/>
              </w:rPr>
              <w:t xml:space="preserve">Stakeholders have greater awareness about </w:t>
            </w:r>
            <w:r w:rsidR="008135DF">
              <w:rPr>
                <w:sz w:val="18"/>
                <w:szCs w:val="18"/>
              </w:rPr>
              <w:t>MVCOT</w:t>
            </w:r>
            <w:r>
              <w:rPr>
                <w:rFonts w:cs="Arial"/>
                <w:sz w:val="18"/>
                <w:szCs w:val="18"/>
              </w:rPr>
              <w:t xml:space="preserve">’s commitment to achieving </w:t>
            </w:r>
            <w:r>
              <w:rPr>
                <w:rFonts w:cs="Arial"/>
                <w:sz w:val="18"/>
                <w:szCs w:val="18"/>
              </w:rPr>
              <w:lastRenderedPageBreak/>
              <w:t>transformational change for Māori</w:t>
            </w:r>
            <w:r w:rsidR="000E3DCB">
              <w:rPr>
                <w:rFonts w:cs="Arial"/>
                <w:sz w:val="18"/>
                <w:szCs w:val="18"/>
              </w:rPr>
              <w:t>.</w:t>
            </w:r>
          </w:p>
          <w:p w:rsidR="00BF5773" w:rsidRDefault="00BF5773" w:rsidP="005957E7">
            <w:pPr>
              <w:spacing w:after="0" w:line="240" w:lineRule="auto"/>
              <w:rPr>
                <w:rFonts w:cs="Arial"/>
                <w:sz w:val="18"/>
                <w:szCs w:val="18"/>
              </w:rPr>
            </w:pPr>
          </w:p>
          <w:p w:rsidR="00F45FF2" w:rsidRPr="00D153A4" w:rsidRDefault="00DF635E" w:rsidP="005957E7">
            <w:pPr>
              <w:numPr>
                <w:ilvl w:val="0"/>
                <w:numId w:val="8"/>
              </w:numPr>
              <w:spacing w:after="0" w:line="240" w:lineRule="auto"/>
              <w:ind w:left="357" w:hanging="357"/>
              <w:rPr>
                <w:rFonts w:cs="Arial"/>
                <w:sz w:val="18"/>
                <w:szCs w:val="18"/>
              </w:rPr>
            </w:pPr>
            <w:r w:rsidRPr="00D153A4">
              <w:rPr>
                <w:rFonts w:cs="Arial"/>
                <w:sz w:val="18"/>
                <w:szCs w:val="18"/>
              </w:rPr>
              <w:t>There is an i</w:t>
            </w:r>
            <w:r w:rsidR="00F45FF2" w:rsidRPr="00D153A4">
              <w:rPr>
                <w:rFonts w:cs="Arial"/>
                <w:sz w:val="18"/>
                <w:szCs w:val="18"/>
              </w:rPr>
              <w:t>ncreased level of transparency and accountability for how effective changes will be in driving better outcomes</w:t>
            </w:r>
            <w:r w:rsidR="00D153A4" w:rsidRPr="00D153A4">
              <w:rPr>
                <w:rFonts w:cs="Arial"/>
                <w:sz w:val="18"/>
                <w:szCs w:val="18"/>
              </w:rPr>
              <w:t xml:space="preserve"> and in relation to the CE’s </w:t>
            </w:r>
            <w:r w:rsidR="00D153A4">
              <w:rPr>
                <w:rFonts w:cs="Arial"/>
                <w:sz w:val="18"/>
                <w:szCs w:val="18"/>
              </w:rPr>
              <w:t>res</w:t>
            </w:r>
            <w:r w:rsidR="00F45FF2" w:rsidRPr="00D153A4">
              <w:rPr>
                <w:rFonts w:cs="Arial"/>
                <w:sz w:val="18"/>
                <w:szCs w:val="18"/>
              </w:rPr>
              <w:t>ponsibilities for delivering improved outcomes</w:t>
            </w:r>
            <w:r w:rsidR="00904B83" w:rsidRPr="00D153A4">
              <w:rPr>
                <w:rFonts w:cs="Arial"/>
                <w:sz w:val="18"/>
                <w:szCs w:val="18"/>
              </w:rPr>
              <w:t>.</w:t>
            </w:r>
          </w:p>
          <w:p w:rsidR="00BF5773" w:rsidRDefault="00BF5773" w:rsidP="005957E7">
            <w:pPr>
              <w:spacing w:after="0" w:line="240" w:lineRule="auto"/>
              <w:rPr>
                <w:rFonts w:cs="Arial"/>
                <w:sz w:val="18"/>
                <w:szCs w:val="18"/>
              </w:rPr>
            </w:pPr>
          </w:p>
          <w:p w:rsidR="00F45FF2" w:rsidRPr="00A91E81" w:rsidRDefault="00DF635E" w:rsidP="005957E7">
            <w:pPr>
              <w:numPr>
                <w:ilvl w:val="0"/>
                <w:numId w:val="8"/>
              </w:numPr>
              <w:spacing w:after="0" w:line="240" w:lineRule="auto"/>
              <w:ind w:left="357" w:hanging="357"/>
              <w:rPr>
                <w:rFonts w:eastAsia="Calibri" w:cs="Arial"/>
                <w:sz w:val="18"/>
                <w:szCs w:val="18"/>
              </w:rPr>
            </w:pPr>
            <w:r>
              <w:rPr>
                <w:rFonts w:cs="Arial"/>
                <w:sz w:val="18"/>
                <w:szCs w:val="18"/>
              </w:rPr>
              <w:t xml:space="preserve">The </w:t>
            </w:r>
            <w:r w:rsidR="006E27B2">
              <w:rPr>
                <w:rFonts w:cs="Arial"/>
                <w:sz w:val="18"/>
                <w:szCs w:val="18"/>
              </w:rPr>
              <w:t>CE</w:t>
            </w:r>
            <w:r w:rsidR="00F45FF2">
              <w:rPr>
                <w:rFonts w:cs="Arial"/>
                <w:sz w:val="18"/>
                <w:szCs w:val="18"/>
              </w:rPr>
              <w:t xml:space="preserve"> will need to establish appropriate processes, networks and support structures to give effect to duties</w:t>
            </w:r>
            <w:r w:rsidR="00904B83">
              <w:rPr>
                <w:rFonts w:cs="Arial"/>
                <w:sz w:val="18"/>
                <w:szCs w:val="18"/>
              </w:rPr>
              <w:t>.</w:t>
            </w:r>
          </w:p>
          <w:p w:rsidR="00A91E81" w:rsidRDefault="00A91E81" w:rsidP="00A91E81">
            <w:pPr>
              <w:spacing w:after="0" w:line="240" w:lineRule="auto"/>
              <w:rPr>
                <w:rFonts w:eastAsia="Calibri" w:cs="Arial"/>
                <w:sz w:val="18"/>
                <w:szCs w:val="18"/>
              </w:rPr>
            </w:pPr>
          </w:p>
        </w:tc>
        <w:tc>
          <w:tcPr>
            <w:tcW w:w="1538" w:type="pct"/>
            <w:shd w:val="clear" w:color="auto" w:fill="auto"/>
          </w:tcPr>
          <w:p w:rsidR="00F45FF2" w:rsidRPr="00BF5773" w:rsidRDefault="00E057EF" w:rsidP="005957E7">
            <w:pPr>
              <w:pStyle w:val="Bullet-list"/>
              <w:numPr>
                <w:ilvl w:val="0"/>
                <w:numId w:val="8"/>
              </w:numPr>
              <w:spacing w:after="0" w:line="240" w:lineRule="auto"/>
              <w:rPr>
                <w:rFonts w:eastAsia="Calibri" w:cs="Arial"/>
                <w:i/>
                <w:sz w:val="18"/>
                <w:szCs w:val="18"/>
              </w:rPr>
            </w:pPr>
            <w:r>
              <w:rPr>
                <w:rFonts w:ascii="Arial Mäori" w:eastAsia="Calibri" w:hAnsi="Arial Mäori" w:cs="Arial"/>
                <w:i/>
                <w:sz w:val="18"/>
                <w:szCs w:val="18"/>
                <w:lang w:val="mi-NZ"/>
              </w:rPr>
              <w:lastRenderedPageBreak/>
              <w:t xml:space="preserve">Likely effectiveness </w:t>
            </w:r>
            <w:r w:rsidR="00F45FF2">
              <w:rPr>
                <w:rFonts w:ascii="Arial Mäori" w:eastAsia="Calibri" w:hAnsi="Arial Mäori" w:cs="Arial"/>
                <w:sz w:val="18"/>
                <w:szCs w:val="18"/>
                <w:lang w:val="mi-NZ"/>
              </w:rPr>
              <w:t>– Goes significantly further than Option 1 in addressing objectives relating to achieving better outcomes for M</w:t>
            </w:r>
            <w:r w:rsidR="00F45FF2">
              <w:rPr>
                <w:rFonts w:eastAsia="Calibri" w:cs="Arial"/>
                <w:sz w:val="18"/>
                <w:szCs w:val="18"/>
                <w:lang w:val="mi-NZ"/>
              </w:rPr>
              <w:t>ā</w:t>
            </w:r>
            <w:r w:rsidR="00F45FF2">
              <w:rPr>
                <w:rFonts w:ascii="Arial Mäori" w:eastAsia="Calibri" w:hAnsi="Arial Mäori" w:cs="Arial"/>
                <w:sz w:val="18"/>
                <w:szCs w:val="18"/>
                <w:lang w:val="mi-NZ"/>
              </w:rPr>
              <w:t xml:space="preserve">ori. Supports </w:t>
            </w:r>
            <w:r w:rsidR="008135DF">
              <w:rPr>
                <w:sz w:val="18"/>
                <w:szCs w:val="18"/>
              </w:rPr>
              <w:t>MVCOT</w:t>
            </w:r>
            <w:r w:rsidR="008135DF">
              <w:rPr>
                <w:rFonts w:ascii="Arial Mäori" w:eastAsia="Calibri" w:hAnsi="Arial Mäori" w:cs="Arial"/>
                <w:sz w:val="18"/>
                <w:szCs w:val="18"/>
                <w:lang w:val="mi-NZ"/>
              </w:rPr>
              <w:t xml:space="preserve"> </w:t>
            </w:r>
            <w:r w:rsidR="00F45FF2">
              <w:rPr>
                <w:rFonts w:ascii="Arial Mäori" w:eastAsia="Calibri" w:hAnsi="Arial Mäori" w:cs="Arial"/>
                <w:sz w:val="18"/>
                <w:szCs w:val="18"/>
                <w:lang w:val="mi-NZ"/>
              </w:rPr>
              <w:t>to deliver systemic change that will have a wider influence</w:t>
            </w:r>
            <w:r w:rsidR="00904B83">
              <w:rPr>
                <w:rFonts w:ascii="Arial Mäori" w:eastAsia="Calibri" w:hAnsi="Arial Mäori" w:cs="Arial"/>
                <w:sz w:val="18"/>
                <w:szCs w:val="18"/>
                <w:lang w:val="mi-NZ"/>
              </w:rPr>
              <w:t>.</w:t>
            </w:r>
          </w:p>
          <w:p w:rsidR="00BF5773" w:rsidRPr="00FF1C38" w:rsidRDefault="00BF5773" w:rsidP="00BF5773">
            <w:pPr>
              <w:pStyle w:val="Bullet-list"/>
              <w:numPr>
                <w:ilvl w:val="0"/>
                <w:numId w:val="0"/>
              </w:numPr>
              <w:spacing w:after="0" w:line="240" w:lineRule="auto"/>
              <w:ind w:left="360"/>
              <w:rPr>
                <w:rFonts w:eastAsia="Calibri" w:cs="Arial"/>
                <w:i/>
                <w:sz w:val="18"/>
                <w:szCs w:val="18"/>
              </w:rPr>
            </w:pPr>
          </w:p>
          <w:p w:rsidR="00F45FF2" w:rsidRPr="005957E7" w:rsidRDefault="00F45FF2" w:rsidP="00BF5773">
            <w:pPr>
              <w:numPr>
                <w:ilvl w:val="0"/>
                <w:numId w:val="8"/>
              </w:numPr>
              <w:spacing w:after="0" w:line="240" w:lineRule="auto"/>
              <w:rPr>
                <w:rFonts w:eastAsia="Calibri" w:cs="Arial"/>
                <w:i/>
                <w:sz w:val="18"/>
                <w:szCs w:val="18"/>
              </w:rPr>
            </w:pPr>
            <w:r w:rsidRPr="002F6F10">
              <w:rPr>
                <w:rFonts w:eastAsia="Calibri" w:cs="Arial"/>
                <w:i/>
                <w:sz w:val="18"/>
                <w:szCs w:val="18"/>
              </w:rPr>
              <w:t xml:space="preserve">Durability </w:t>
            </w:r>
            <w:r w:rsidRPr="002F6F10">
              <w:rPr>
                <w:rFonts w:eastAsia="Calibri" w:cs="Arial"/>
                <w:i/>
                <w:sz w:val="18"/>
                <w:szCs w:val="18"/>
              </w:rPr>
              <w:softHyphen/>
            </w:r>
            <w:r w:rsidRPr="002F6F10">
              <w:rPr>
                <w:rFonts w:eastAsia="Calibri" w:cs="Arial"/>
                <w:sz w:val="18"/>
                <w:szCs w:val="18"/>
              </w:rPr>
              <w:t xml:space="preserve">– </w:t>
            </w:r>
            <w:r>
              <w:rPr>
                <w:rFonts w:eastAsia="Calibri" w:cs="Arial"/>
                <w:sz w:val="18"/>
                <w:szCs w:val="18"/>
              </w:rPr>
              <w:t>Provides transparency and accountability</w:t>
            </w:r>
            <w:r w:rsidR="0086003F">
              <w:rPr>
                <w:rFonts w:eastAsia="Calibri" w:cs="Arial"/>
                <w:sz w:val="18"/>
                <w:szCs w:val="18"/>
              </w:rPr>
              <w:t xml:space="preserve"> and embeds the importance of a consistent focus on achieving better outcomes for Māori; </w:t>
            </w:r>
            <w:r w:rsidRPr="002F6F10">
              <w:rPr>
                <w:rFonts w:eastAsia="Calibri" w:cs="Arial"/>
                <w:sz w:val="18"/>
                <w:szCs w:val="18"/>
              </w:rPr>
              <w:t>will provide greater confidence in the appropriateness of services delivered for Māori</w:t>
            </w:r>
            <w:r w:rsidR="0086003F">
              <w:rPr>
                <w:rFonts w:eastAsia="Calibri" w:cs="Arial"/>
                <w:sz w:val="18"/>
                <w:szCs w:val="18"/>
              </w:rPr>
              <w:t xml:space="preserve"> </w:t>
            </w:r>
            <w:r w:rsidR="00332167">
              <w:rPr>
                <w:rFonts w:eastAsia="Calibri" w:cs="Arial"/>
                <w:sz w:val="18"/>
                <w:szCs w:val="18"/>
              </w:rPr>
              <w:t xml:space="preserve">and </w:t>
            </w:r>
            <w:r w:rsidR="00332167" w:rsidRPr="002F6F10">
              <w:rPr>
                <w:rFonts w:eastAsia="Calibri" w:cs="Arial"/>
                <w:sz w:val="18"/>
                <w:szCs w:val="18"/>
              </w:rPr>
              <w:t>drive</w:t>
            </w:r>
            <w:r w:rsidRPr="002F6F10">
              <w:rPr>
                <w:rFonts w:eastAsia="Calibri" w:cs="Arial"/>
                <w:sz w:val="18"/>
                <w:szCs w:val="18"/>
              </w:rPr>
              <w:t xml:space="preserve"> greater community support</w:t>
            </w:r>
            <w:r>
              <w:rPr>
                <w:rFonts w:eastAsia="Calibri" w:cs="Arial"/>
                <w:sz w:val="18"/>
                <w:szCs w:val="18"/>
              </w:rPr>
              <w:t xml:space="preserve"> and collaboration</w:t>
            </w:r>
            <w:r w:rsidR="0086003F">
              <w:rPr>
                <w:rFonts w:eastAsia="Calibri" w:cs="Arial"/>
                <w:sz w:val="18"/>
                <w:szCs w:val="18"/>
              </w:rPr>
              <w:t>.</w:t>
            </w:r>
          </w:p>
          <w:p w:rsidR="00BF5773" w:rsidRPr="002F6F10" w:rsidRDefault="00BF5773" w:rsidP="005957E7">
            <w:pPr>
              <w:spacing w:after="0" w:line="240" w:lineRule="auto"/>
              <w:rPr>
                <w:rFonts w:eastAsia="Calibri" w:cs="Arial"/>
                <w:i/>
                <w:sz w:val="18"/>
                <w:szCs w:val="18"/>
              </w:rPr>
            </w:pPr>
          </w:p>
          <w:p w:rsidR="00F45FF2" w:rsidRPr="005957E7" w:rsidRDefault="00F45FF2" w:rsidP="005957E7">
            <w:pPr>
              <w:numPr>
                <w:ilvl w:val="0"/>
                <w:numId w:val="8"/>
              </w:numPr>
              <w:spacing w:after="0" w:line="240" w:lineRule="auto"/>
              <w:rPr>
                <w:rFonts w:eastAsia="Calibri" w:cs="Arial"/>
                <w:i/>
                <w:sz w:val="18"/>
                <w:szCs w:val="18"/>
              </w:rPr>
            </w:pPr>
            <w:r w:rsidRPr="005957E7">
              <w:rPr>
                <w:rFonts w:eastAsia="Calibri" w:cs="Arial"/>
                <w:i/>
                <w:sz w:val="18"/>
                <w:szCs w:val="18"/>
              </w:rPr>
              <w:t>C</w:t>
            </w:r>
            <w:r w:rsidRPr="008F7516">
              <w:rPr>
                <w:rFonts w:eastAsia="Calibri" w:cs="Arial"/>
                <w:i/>
                <w:sz w:val="18"/>
                <w:szCs w:val="18"/>
              </w:rPr>
              <w:t>o</w:t>
            </w:r>
            <w:r>
              <w:rPr>
                <w:rFonts w:eastAsia="Calibri" w:cs="Arial"/>
                <w:i/>
                <w:sz w:val="18"/>
                <w:szCs w:val="18"/>
              </w:rPr>
              <w:t xml:space="preserve">nsistency with the Treaty of Waitangi and international obligations – </w:t>
            </w:r>
            <w:r w:rsidR="000E3DCB">
              <w:rPr>
                <w:rFonts w:eastAsia="Calibri" w:cs="Arial"/>
                <w:sz w:val="18"/>
                <w:szCs w:val="18"/>
              </w:rPr>
              <w:t>T</w:t>
            </w:r>
            <w:r w:rsidR="008F7516">
              <w:rPr>
                <w:rFonts w:eastAsia="Calibri" w:cs="Arial"/>
                <w:sz w:val="18"/>
                <w:szCs w:val="18"/>
              </w:rPr>
              <w:t>here</w:t>
            </w:r>
            <w:r>
              <w:rPr>
                <w:rFonts w:eastAsia="Calibri" w:cs="Arial"/>
                <w:sz w:val="18"/>
                <w:szCs w:val="18"/>
              </w:rPr>
              <w:t xml:space="preserve"> is a significantly increased likelihood of reforms achieving key objectives such as reducing over-representation of Māori children in populations of concern</w:t>
            </w:r>
            <w:r>
              <w:rPr>
                <w:rFonts w:eastAsia="Calibri" w:cs="Arial"/>
                <w:i/>
                <w:sz w:val="18"/>
                <w:szCs w:val="18"/>
              </w:rPr>
              <w:t xml:space="preserve">. </w:t>
            </w:r>
            <w:r w:rsidR="00CA6547">
              <w:rPr>
                <w:rFonts w:eastAsia="Calibri" w:cs="Arial"/>
                <w:sz w:val="18"/>
                <w:szCs w:val="18"/>
              </w:rPr>
              <w:lastRenderedPageBreak/>
              <w:t>This is l</w:t>
            </w:r>
            <w:r>
              <w:rPr>
                <w:rFonts w:eastAsia="Calibri" w:cs="Arial"/>
                <w:sz w:val="18"/>
                <w:szCs w:val="18"/>
              </w:rPr>
              <w:t>ikely to result in development of strategic partnerships at local and national level as innovative approaches to delivering services evolve</w:t>
            </w:r>
            <w:r w:rsidR="00904B83">
              <w:rPr>
                <w:rFonts w:eastAsia="Calibri" w:cs="Arial"/>
                <w:sz w:val="18"/>
                <w:szCs w:val="18"/>
              </w:rPr>
              <w:t>.</w:t>
            </w:r>
          </w:p>
          <w:p w:rsidR="00BF5773" w:rsidRDefault="00BF5773" w:rsidP="005957E7">
            <w:pPr>
              <w:spacing w:after="0" w:line="240" w:lineRule="auto"/>
              <w:rPr>
                <w:rFonts w:eastAsia="Calibri" w:cs="Arial"/>
                <w:i/>
                <w:sz w:val="18"/>
                <w:szCs w:val="18"/>
              </w:rPr>
            </w:pPr>
          </w:p>
          <w:p w:rsidR="00F45FF2" w:rsidRPr="005957E7" w:rsidRDefault="00F45FF2" w:rsidP="005957E7">
            <w:pPr>
              <w:numPr>
                <w:ilvl w:val="0"/>
                <w:numId w:val="8"/>
              </w:numPr>
              <w:spacing w:after="0" w:line="240" w:lineRule="auto"/>
              <w:rPr>
                <w:rFonts w:eastAsia="Calibri" w:cs="Arial"/>
                <w:i/>
                <w:sz w:val="18"/>
                <w:szCs w:val="18"/>
              </w:rPr>
            </w:pPr>
            <w:r>
              <w:rPr>
                <w:rFonts w:eastAsia="Calibri" w:cs="Arial"/>
                <w:i/>
                <w:sz w:val="18"/>
                <w:szCs w:val="18"/>
              </w:rPr>
              <w:t>Alignment with investment approach</w:t>
            </w:r>
            <w:r>
              <w:rPr>
                <w:rFonts w:eastAsia="Calibri" w:cs="Arial"/>
                <w:sz w:val="18"/>
                <w:szCs w:val="18"/>
              </w:rPr>
              <w:t xml:space="preserve"> – </w:t>
            </w:r>
            <w:r>
              <w:rPr>
                <w:sz w:val="18"/>
                <w:szCs w:val="18"/>
              </w:rPr>
              <w:t>Clear alignment</w:t>
            </w:r>
            <w:r w:rsidRPr="00AD769E">
              <w:rPr>
                <w:sz w:val="18"/>
                <w:szCs w:val="18"/>
              </w:rPr>
              <w:t xml:space="preserve"> with an investment approach. Retains flexibility to target </w:t>
            </w:r>
            <w:r>
              <w:rPr>
                <w:sz w:val="18"/>
                <w:szCs w:val="18"/>
              </w:rPr>
              <w:t>prevention activities to where they are</w:t>
            </w:r>
            <w:r w:rsidRPr="00AD769E">
              <w:rPr>
                <w:sz w:val="18"/>
                <w:szCs w:val="18"/>
              </w:rPr>
              <w:t xml:space="preserve"> needed</w:t>
            </w:r>
            <w:r>
              <w:rPr>
                <w:sz w:val="18"/>
                <w:szCs w:val="18"/>
              </w:rPr>
              <w:t xml:space="preserve"> based on available evidence</w:t>
            </w:r>
            <w:r w:rsidR="00904B83">
              <w:rPr>
                <w:sz w:val="18"/>
                <w:szCs w:val="18"/>
              </w:rPr>
              <w:t>.</w:t>
            </w:r>
          </w:p>
          <w:p w:rsidR="00BF5773" w:rsidRPr="00630C4A" w:rsidRDefault="00BF5773" w:rsidP="005957E7">
            <w:pPr>
              <w:spacing w:after="0" w:line="240" w:lineRule="auto"/>
              <w:rPr>
                <w:rFonts w:eastAsia="Calibri" w:cs="Arial"/>
                <w:i/>
                <w:sz w:val="18"/>
                <w:szCs w:val="18"/>
              </w:rPr>
            </w:pPr>
          </w:p>
          <w:p w:rsidR="00F45FF2" w:rsidRPr="00CF46A4" w:rsidRDefault="00F45FF2" w:rsidP="005957E7">
            <w:pPr>
              <w:numPr>
                <w:ilvl w:val="0"/>
                <w:numId w:val="8"/>
              </w:numPr>
              <w:spacing w:after="0" w:line="240" w:lineRule="auto"/>
              <w:rPr>
                <w:rFonts w:eastAsia="Calibri" w:cs="Arial"/>
                <w:i/>
                <w:sz w:val="18"/>
                <w:szCs w:val="18"/>
              </w:rPr>
            </w:pPr>
            <w:r>
              <w:rPr>
                <w:rFonts w:eastAsia="Calibri" w:cs="Arial"/>
                <w:i/>
                <w:sz w:val="18"/>
                <w:szCs w:val="18"/>
              </w:rPr>
              <w:t xml:space="preserve">Fairness and equity </w:t>
            </w:r>
            <w:r>
              <w:rPr>
                <w:rFonts w:eastAsia="Calibri" w:cs="Arial"/>
                <w:sz w:val="18"/>
                <w:szCs w:val="18"/>
              </w:rPr>
              <w:t>– Provides greater confidence that improvements in outcomes will be addressed and over time address over-representation in the system</w:t>
            </w:r>
            <w:r w:rsidR="00904B83">
              <w:rPr>
                <w:rFonts w:eastAsia="Calibri" w:cs="Arial"/>
                <w:sz w:val="18"/>
                <w:szCs w:val="18"/>
              </w:rPr>
              <w:t>.</w:t>
            </w:r>
          </w:p>
          <w:p w:rsidR="00F45FF2" w:rsidRPr="00D804D8" w:rsidRDefault="00F45FF2" w:rsidP="005957E7">
            <w:pPr>
              <w:pStyle w:val="ListParagraph"/>
              <w:spacing w:after="0" w:line="240" w:lineRule="auto"/>
              <w:ind w:left="357"/>
              <w:contextualSpacing w:val="0"/>
              <w:rPr>
                <w:rFonts w:cs="Arial"/>
                <w:i/>
                <w:sz w:val="18"/>
                <w:szCs w:val="18"/>
              </w:rPr>
            </w:pPr>
          </w:p>
        </w:tc>
        <w:tc>
          <w:tcPr>
            <w:tcW w:w="1090" w:type="pct"/>
            <w:shd w:val="clear" w:color="auto" w:fill="auto"/>
          </w:tcPr>
          <w:p w:rsidR="00F45FF2" w:rsidRPr="002F6F10" w:rsidRDefault="00F45FF2" w:rsidP="00BF5773">
            <w:pPr>
              <w:numPr>
                <w:ilvl w:val="0"/>
                <w:numId w:val="19"/>
              </w:numPr>
              <w:spacing w:after="0" w:line="240" w:lineRule="auto"/>
              <w:rPr>
                <w:rFonts w:eastAsia="Calibri" w:cs="Arial"/>
                <w:sz w:val="18"/>
                <w:szCs w:val="18"/>
              </w:rPr>
            </w:pPr>
            <w:r w:rsidRPr="002F6F10">
              <w:rPr>
                <w:rFonts w:eastAsia="Calibri" w:cs="Arial"/>
                <w:i/>
                <w:sz w:val="18"/>
                <w:szCs w:val="18"/>
              </w:rPr>
              <w:lastRenderedPageBreak/>
              <w:t>Fiscal and operational impact</w:t>
            </w:r>
            <w:r w:rsidR="00A91E81">
              <w:rPr>
                <w:rFonts w:eastAsia="Calibri" w:cs="Arial"/>
                <w:sz w:val="18"/>
                <w:szCs w:val="18"/>
              </w:rPr>
              <w:t xml:space="preserve"> – P</w:t>
            </w:r>
            <w:r w:rsidRPr="002F6F10">
              <w:rPr>
                <w:rFonts w:eastAsia="Calibri" w:cs="Arial"/>
                <w:sz w:val="18"/>
                <w:szCs w:val="18"/>
              </w:rPr>
              <w:t>laces</w:t>
            </w:r>
            <w:r w:rsidR="00BF5773">
              <w:rPr>
                <w:rFonts w:eastAsia="Calibri" w:cs="Arial"/>
                <w:sz w:val="18"/>
                <w:szCs w:val="18"/>
              </w:rPr>
              <w:t xml:space="preserve"> significant commitment on MVCOT</w:t>
            </w:r>
            <w:r w:rsidRPr="002F6F10">
              <w:rPr>
                <w:rFonts w:eastAsia="Calibri" w:cs="Arial"/>
                <w:sz w:val="18"/>
                <w:szCs w:val="18"/>
              </w:rPr>
              <w:t xml:space="preserve"> to improve how it works with Māori </w:t>
            </w:r>
            <w:r>
              <w:rPr>
                <w:rFonts w:eastAsia="Calibri" w:cs="Arial"/>
                <w:sz w:val="18"/>
                <w:szCs w:val="18"/>
              </w:rPr>
              <w:t xml:space="preserve">and communities </w:t>
            </w:r>
            <w:r w:rsidRPr="002F6F10">
              <w:rPr>
                <w:rFonts w:eastAsia="Calibri" w:cs="Arial"/>
                <w:sz w:val="18"/>
                <w:szCs w:val="18"/>
              </w:rPr>
              <w:t>across New Zealand.</w:t>
            </w:r>
            <w:r>
              <w:rPr>
                <w:rFonts w:eastAsia="Calibri" w:cs="Arial"/>
                <w:sz w:val="18"/>
                <w:szCs w:val="18"/>
              </w:rPr>
              <w:t xml:space="preserve"> </w:t>
            </w:r>
            <w:r w:rsidR="00332167">
              <w:rPr>
                <w:rFonts w:eastAsia="Calibri" w:cs="Arial"/>
                <w:sz w:val="18"/>
                <w:szCs w:val="18"/>
              </w:rPr>
              <w:t>Commitment could</w:t>
            </w:r>
            <w:r w:rsidR="00814C47">
              <w:rPr>
                <w:rFonts w:eastAsia="Calibri" w:cs="Arial"/>
                <w:sz w:val="18"/>
                <w:szCs w:val="18"/>
              </w:rPr>
              <w:t xml:space="preserve"> </w:t>
            </w:r>
            <w:r>
              <w:rPr>
                <w:rFonts w:eastAsia="Calibri" w:cs="Arial"/>
                <w:sz w:val="18"/>
                <w:szCs w:val="18"/>
              </w:rPr>
              <w:t>be time and resource</w:t>
            </w:r>
            <w:r w:rsidR="00814C47">
              <w:rPr>
                <w:rFonts w:eastAsia="Calibri" w:cs="Arial"/>
                <w:sz w:val="18"/>
                <w:szCs w:val="18"/>
              </w:rPr>
              <w:t xml:space="preserve"> intensive </w:t>
            </w:r>
            <w:r>
              <w:rPr>
                <w:rFonts w:eastAsia="Calibri" w:cs="Arial"/>
                <w:sz w:val="18"/>
                <w:szCs w:val="18"/>
              </w:rPr>
              <w:t>in initial stages until relationships become established</w:t>
            </w:r>
            <w:r w:rsidR="00A91E81">
              <w:rPr>
                <w:rFonts w:eastAsia="Calibri" w:cs="Arial"/>
                <w:sz w:val="18"/>
                <w:szCs w:val="18"/>
              </w:rPr>
              <w:t>,</w:t>
            </w:r>
            <w:r>
              <w:rPr>
                <w:rFonts w:eastAsia="Calibri" w:cs="Arial"/>
                <w:sz w:val="18"/>
                <w:szCs w:val="18"/>
              </w:rPr>
              <w:t xml:space="preserve"> and new approaches to practice and the delivery of services are embedded. </w:t>
            </w:r>
          </w:p>
          <w:p w:rsidR="00F45FF2" w:rsidRDefault="00F45FF2" w:rsidP="005957E7">
            <w:pPr>
              <w:pStyle w:val="ListParagraph"/>
              <w:spacing w:after="0" w:line="240" w:lineRule="auto"/>
              <w:ind w:left="357"/>
              <w:contextualSpacing w:val="0"/>
              <w:rPr>
                <w:rFonts w:eastAsia="Calibri" w:cs="Arial"/>
                <w:i/>
                <w:sz w:val="18"/>
                <w:szCs w:val="18"/>
              </w:rPr>
            </w:pPr>
          </w:p>
        </w:tc>
      </w:tr>
    </w:tbl>
    <w:p w:rsidR="00000EDA" w:rsidRPr="00893A25" w:rsidRDefault="00000EDA" w:rsidP="006931AE">
      <w:pPr>
        <w:sectPr w:rsidR="00000EDA" w:rsidRPr="00893A25" w:rsidSect="00376585">
          <w:headerReference w:type="even" r:id="rId12"/>
          <w:headerReference w:type="default" r:id="rId13"/>
          <w:headerReference w:type="first" r:id="rId14"/>
          <w:pgSz w:w="23814" w:h="16840" w:orient="landscape" w:code="8"/>
          <w:pgMar w:top="1418" w:right="1418" w:bottom="1418" w:left="1134" w:header="454" w:footer="454" w:gutter="0"/>
          <w:paperSrc w:first="7" w:other="7"/>
          <w:cols w:space="720"/>
          <w:titlePg/>
          <w:docGrid w:linePitch="299"/>
        </w:sectPr>
      </w:pPr>
    </w:p>
    <w:p w:rsidR="00000EDA" w:rsidRPr="00490533" w:rsidRDefault="0063691B" w:rsidP="00AD38BD">
      <w:pPr>
        <w:keepNext/>
        <w:spacing w:before="240" w:after="180" w:line="240" w:lineRule="auto"/>
        <w:outlineLvl w:val="1"/>
        <w:rPr>
          <w:rFonts w:ascii="Verdana" w:hAnsi="Verdana"/>
          <w:b/>
          <w:color w:val="335087"/>
          <w:spacing w:val="20"/>
          <w:w w:val="90"/>
          <w:sz w:val="28"/>
          <w:szCs w:val="28"/>
        </w:rPr>
      </w:pPr>
      <w:bookmarkStart w:id="92" w:name="_Toc460924520"/>
      <w:bookmarkEnd w:id="80"/>
      <w:bookmarkEnd w:id="81"/>
      <w:bookmarkEnd w:id="82"/>
      <w:bookmarkEnd w:id="83"/>
      <w:bookmarkEnd w:id="84"/>
      <w:bookmarkEnd w:id="85"/>
      <w:bookmarkEnd w:id="86"/>
      <w:bookmarkEnd w:id="87"/>
      <w:bookmarkEnd w:id="88"/>
      <w:bookmarkEnd w:id="89"/>
      <w:bookmarkEnd w:id="90"/>
      <w:r w:rsidRPr="00490533">
        <w:rPr>
          <w:rFonts w:ascii="Verdana" w:hAnsi="Verdana"/>
          <w:b/>
          <w:color w:val="335087"/>
          <w:spacing w:val="20"/>
          <w:w w:val="90"/>
          <w:sz w:val="28"/>
          <w:szCs w:val="28"/>
        </w:rPr>
        <w:lastRenderedPageBreak/>
        <w:t>Options and impact analysis</w:t>
      </w:r>
      <w:bookmarkEnd w:id="92"/>
    </w:p>
    <w:p w:rsidR="00FA79AE" w:rsidRPr="00332167" w:rsidRDefault="00FA79AE"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Each of the options for reforms to the foundations of the system within the CYPF Act was considered across the eight themes/issues being addressed in this RIS. Impact analysis ratings listed below:</w:t>
      </w:r>
    </w:p>
    <w:tbl>
      <w:tblPr>
        <w:tblStyle w:val="TableGrid"/>
        <w:tblW w:w="0" w:type="auto"/>
        <w:tblLook w:val="04A0" w:firstRow="1" w:lastRow="0" w:firstColumn="1" w:lastColumn="0" w:noHBand="0" w:noVBand="1"/>
      </w:tblPr>
      <w:tblGrid>
        <w:gridCol w:w="1885"/>
        <w:gridCol w:w="1886"/>
        <w:gridCol w:w="1886"/>
        <w:gridCol w:w="1886"/>
        <w:gridCol w:w="1779"/>
      </w:tblGrid>
      <w:tr w:rsidR="00FA79AE" w:rsidTr="0048216D">
        <w:tc>
          <w:tcPr>
            <w:tcW w:w="1885" w:type="dxa"/>
            <w:shd w:val="clear" w:color="auto" w:fill="FF0000"/>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Much worse</w:t>
            </w:r>
          </w:p>
        </w:tc>
        <w:tc>
          <w:tcPr>
            <w:tcW w:w="1886" w:type="dxa"/>
            <w:shd w:val="clear" w:color="auto" w:fill="FFC000"/>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Worse</w:t>
            </w:r>
          </w:p>
        </w:tc>
        <w:tc>
          <w:tcPr>
            <w:tcW w:w="1886" w:type="dxa"/>
            <w:shd w:val="clear" w:color="auto" w:fill="FFFFFF" w:themeFill="background1"/>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w:t>
            </w:r>
            <w:r>
              <w:rPr>
                <w:rFonts w:ascii="Verdana" w:hAnsi="Verdana"/>
                <w:sz w:val="16"/>
                <w:szCs w:val="16"/>
              </w:rPr>
              <w:t>0</w:t>
            </w:r>
            <w:r w:rsidRPr="006402EF">
              <w:rPr>
                <w:rFonts w:ascii="Verdana" w:hAnsi="Verdana"/>
                <w:sz w:val="16"/>
                <w:szCs w:val="16"/>
              </w:rPr>
              <w:t>] = Neutral</w:t>
            </w:r>
          </w:p>
        </w:tc>
        <w:tc>
          <w:tcPr>
            <w:tcW w:w="1886" w:type="dxa"/>
            <w:shd w:val="clear" w:color="auto" w:fill="92D050"/>
          </w:tcPr>
          <w:p w:rsidR="00FA79AE" w:rsidRPr="006402EF" w:rsidRDefault="00FA79AE" w:rsidP="001148F8">
            <w:pPr>
              <w:spacing w:after="120" w:line="240" w:lineRule="auto"/>
              <w:rPr>
                <w:rFonts w:ascii="Verdana" w:hAnsi="Verdana"/>
                <w:sz w:val="16"/>
                <w:szCs w:val="16"/>
              </w:rPr>
            </w:pPr>
            <w:r w:rsidRPr="006402EF">
              <w:rPr>
                <w:rFonts w:ascii="Verdana" w:hAnsi="Verdana"/>
                <w:sz w:val="16"/>
                <w:szCs w:val="16"/>
              </w:rPr>
              <w:t>[+] = Better</w:t>
            </w:r>
          </w:p>
        </w:tc>
        <w:tc>
          <w:tcPr>
            <w:tcW w:w="1779" w:type="dxa"/>
            <w:shd w:val="clear" w:color="auto" w:fill="00B050"/>
          </w:tcPr>
          <w:p w:rsidR="00FA79AE" w:rsidRPr="006402EF" w:rsidRDefault="00FA79AE" w:rsidP="001148F8">
            <w:pPr>
              <w:spacing w:after="120" w:line="240" w:lineRule="auto"/>
              <w:ind w:right="-108"/>
              <w:rPr>
                <w:rFonts w:ascii="Verdana" w:hAnsi="Verdana"/>
                <w:sz w:val="16"/>
                <w:szCs w:val="16"/>
              </w:rPr>
            </w:pPr>
            <w:r w:rsidRPr="006402EF">
              <w:rPr>
                <w:rFonts w:ascii="Verdana" w:hAnsi="Verdana"/>
                <w:sz w:val="16"/>
                <w:szCs w:val="16"/>
              </w:rPr>
              <w:t>[++] = Much Better</w:t>
            </w:r>
          </w:p>
        </w:tc>
      </w:tr>
    </w:tbl>
    <w:p w:rsidR="00FA79AE" w:rsidRPr="008E4111" w:rsidRDefault="00FA79AE" w:rsidP="00FA79AE">
      <w:pPr>
        <w:spacing w:after="0" w:line="240" w:lineRule="auto"/>
        <w:ind w:left="-142"/>
        <w:jc w:val="center"/>
        <w:rPr>
          <w:rFonts w:ascii="Verdana" w:hAnsi="Verdana"/>
          <w:sz w:val="20"/>
        </w:rPr>
      </w:pPr>
    </w:p>
    <w:tbl>
      <w:tblPr>
        <w:tblStyle w:val="TableGrid"/>
        <w:tblW w:w="9636" w:type="dxa"/>
        <w:jc w:val="center"/>
        <w:tblInd w:w="-248" w:type="dxa"/>
        <w:tblLayout w:type="fixed"/>
        <w:tblLook w:val="04A0" w:firstRow="1" w:lastRow="0" w:firstColumn="1" w:lastColumn="0" w:noHBand="0" w:noVBand="1"/>
      </w:tblPr>
      <w:tblGrid>
        <w:gridCol w:w="8"/>
        <w:gridCol w:w="899"/>
        <w:gridCol w:w="1005"/>
        <w:gridCol w:w="993"/>
        <w:gridCol w:w="853"/>
        <w:gridCol w:w="993"/>
        <w:gridCol w:w="992"/>
        <w:gridCol w:w="1134"/>
        <w:gridCol w:w="1417"/>
        <w:gridCol w:w="1342"/>
      </w:tblGrid>
      <w:tr w:rsidR="00FA79AE" w:rsidRPr="00F43E82" w:rsidTr="00023694">
        <w:trPr>
          <w:gridBefore w:val="1"/>
          <w:wBefore w:w="8" w:type="dxa"/>
          <w:jc w:val="center"/>
        </w:trPr>
        <w:tc>
          <w:tcPr>
            <w:tcW w:w="899" w:type="dxa"/>
            <w:shd w:val="clear" w:color="auto" w:fill="D9D9D9" w:themeFill="background1" w:themeFillShade="D9"/>
          </w:tcPr>
          <w:p w:rsidR="00FA79AE" w:rsidRPr="00F43E82" w:rsidRDefault="00FA79AE" w:rsidP="001148F8">
            <w:pPr>
              <w:spacing w:after="0" w:line="240" w:lineRule="auto"/>
              <w:rPr>
                <w:sz w:val="18"/>
                <w:szCs w:val="18"/>
              </w:rPr>
            </w:pPr>
            <w:r w:rsidRPr="00F43E82">
              <w:rPr>
                <w:sz w:val="18"/>
                <w:szCs w:val="18"/>
              </w:rPr>
              <w:t>Options</w:t>
            </w:r>
          </w:p>
        </w:tc>
        <w:tc>
          <w:tcPr>
            <w:tcW w:w="1005" w:type="dxa"/>
          </w:tcPr>
          <w:p w:rsidR="00FA79AE" w:rsidRPr="00F43E82" w:rsidRDefault="00A91E81" w:rsidP="00A91E81">
            <w:pPr>
              <w:spacing w:after="0" w:line="240" w:lineRule="auto"/>
              <w:rPr>
                <w:sz w:val="18"/>
                <w:szCs w:val="18"/>
              </w:rPr>
            </w:pPr>
            <w:r>
              <w:rPr>
                <w:sz w:val="18"/>
                <w:szCs w:val="18"/>
              </w:rPr>
              <w:t>Likely e</w:t>
            </w:r>
            <w:r w:rsidR="00FA79AE">
              <w:rPr>
                <w:sz w:val="18"/>
                <w:szCs w:val="18"/>
              </w:rPr>
              <w:t xml:space="preserve">ffectiveness </w:t>
            </w:r>
          </w:p>
        </w:tc>
        <w:tc>
          <w:tcPr>
            <w:tcW w:w="993" w:type="dxa"/>
          </w:tcPr>
          <w:p w:rsidR="00FA79AE" w:rsidRPr="00F43E82" w:rsidRDefault="00FA79AE" w:rsidP="001148F8">
            <w:pPr>
              <w:spacing w:after="0" w:line="240" w:lineRule="auto"/>
              <w:rPr>
                <w:sz w:val="18"/>
                <w:szCs w:val="18"/>
              </w:rPr>
            </w:pPr>
            <w:r w:rsidRPr="00F43E82">
              <w:rPr>
                <w:sz w:val="18"/>
                <w:szCs w:val="18"/>
              </w:rPr>
              <w:t>Durability</w:t>
            </w:r>
          </w:p>
        </w:tc>
        <w:tc>
          <w:tcPr>
            <w:tcW w:w="853" w:type="dxa"/>
          </w:tcPr>
          <w:p w:rsidR="00FA79AE" w:rsidRPr="00F43E82" w:rsidRDefault="00FA79AE" w:rsidP="001148F8">
            <w:pPr>
              <w:spacing w:after="0" w:line="240" w:lineRule="auto"/>
              <w:rPr>
                <w:sz w:val="18"/>
                <w:szCs w:val="18"/>
              </w:rPr>
            </w:pPr>
            <w:r>
              <w:rPr>
                <w:sz w:val="18"/>
                <w:szCs w:val="18"/>
              </w:rPr>
              <w:t>Practicality</w:t>
            </w:r>
          </w:p>
        </w:tc>
        <w:tc>
          <w:tcPr>
            <w:tcW w:w="993" w:type="dxa"/>
          </w:tcPr>
          <w:p w:rsidR="00FA79AE" w:rsidRPr="00F43E82" w:rsidRDefault="00FA79AE" w:rsidP="001148F8">
            <w:pPr>
              <w:spacing w:after="0" w:line="240" w:lineRule="auto"/>
              <w:rPr>
                <w:sz w:val="18"/>
                <w:szCs w:val="18"/>
              </w:rPr>
            </w:pPr>
            <w:r w:rsidRPr="00F43E82">
              <w:rPr>
                <w:sz w:val="18"/>
                <w:szCs w:val="18"/>
              </w:rPr>
              <w:t>Fiscal and operational impact</w:t>
            </w:r>
          </w:p>
        </w:tc>
        <w:tc>
          <w:tcPr>
            <w:tcW w:w="992" w:type="dxa"/>
          </w:tcPr>
          <w:p w:rsidR="00FA79AE" w:rsidRPr="00F43E82" w:rsidRDefault="00FA79AE" w:rsidP="001148F8">
            <w:pPr>
              <w:spacing w:after="0" w:line="240" w:lineRule="auto"/>
              <w:rPr>
                <w:sz w:val="18"/>
                <w:szCs w:val="18"/>
              </w:rPr>
            </w:pPr>
            <w:r w:rsidRPr="00F43E82">
              <w:rPr>
                <w:sz w:val="18"/>
                <w:szCs w:val="18"/>
              </w:rPr>
              <w:t>Fairness and equity</w:t>
            </w:r>
          </w:p>
        </w:tc>
        <w:tc>
          <w:tcPr>
            <w:tcW w:w="1134" w:type="dxa"/>
          </w:tcPr>
          <w:p w:rsidR="00FA79AE" w:rsidRPr="00F43E82" w:rsidRDefault="00FA79AE" w:rsidP="00A91E81">
            <w:pPr>
              <w:spacing w:after="0" w:line="240" w:lineRule="auto"/>
              <w:rPr>
                <w:sz w:val="18"/>
                <w:szCs w:val="18"/>
              </w:rPr>
            </w:pPr>
            <w:r w:rsidRPr="00F43E82">
              <w:rPr>
                <w:sz w:val="18"/>
                <w:szCs w:val="18"/>
              </w:rPr>
              <w:t xml:space="preserve">Interaction with </w:t>
            </w:r>
            <w:r>
              <w:rPr>
                <w:sz w:val="18"/>
                <w:szCs w:val="18"/>
              </w:rPr>
              <w:t>other</w:t>
            </w:r>
            <w:r w:rsidRPr="00F43E82">
              <w:rPr>
                <w:sz w:val="18"/>
                <w:szCs w:val="18"/>
              </w:rPr>
              <w:t xml:space="preserve"> legislation provisions </w:t>
            </w:r>
          </w:p>
        </w:tc>
        <w:tc>
          <w:tcPr>
            <w:tcW w:w="1417" w:type="dxa"/>
          </w:tcPr>
          <w:p w:rsidR="00FA79AE" w:rsidRPr="00F43E82" w:rsidRDefault="00FA79AE" w:rsidP="00A91E81">
            <w:pPr>
              <w:spacing w:after="0" w:line="240" w:lineRule="auto"/>
              <w:rPr>
                <w:sz w:val="18"/>
                <w:szCs w:val="18"/>
              </w:rPr>
            </w:pPr>
            <w:r w:rsidRPr="00F43E82">
              <w:rPr>
                <w:sz w:val="18"/>
                <w:szCs w:val="18"/>
              </w:rPr>
              <w:t xml:space="preserve">Consistency with the Treaty of Waitangi, UNCROC </w:t>
            </w:r>
          </w:p>
        </w:tc>
        <w:tc>
          <w:tcPr>
            <w:tcW w:w="1342" w:type="dxa"/>
          </w:tcPr>
          <w:p w:rsidR="00FA79AE" w:rsidRPr="00F43E82" w:rsidRDefault="00FA79AE" w:rsidP="00A91E81">
            <w:pPr>
              <w:spacing w:after="0" w:line="240" w:lineRule="auto"/>
              <w:rPr>
                <w:sz w:val="18"/>
                <w:szCs w:val="18"/>
              </w:rPr>
            </w:pPr>
            <w:r>
              <w:rPr>
                <w:sz w:val="18"/>
                <w:szCs w:val="18"/>
              </w:rPr>
              <w:t xml:space="preserve">Compatibility with other Government objectives </w:t>
            </w:r>
          </w:p>
        </w:tc>
      </w:tr>
      <w:tr w:rsidR="00FA79AE" w:rsidRPr="00F43E82" w:rsidTr="00023694">
        <w:trPr>
          <w:jc w:val="center"/>
        </w:trPr>
        <w:tc>
          <w:tcPr>
            <w:tcW w:w="907" w:type="dxa"/>
            <w:gridSpan w:val="2"/>
          </w:tcPr>
          <w:p w:rsidR="00FA79AE" w:rsidRPr="00F43E82" w:rsidRDefault="00FA79AE" w:rsidP="001148F8">
            <w:pPr>
              <w:spacing w:beforeLines="20" w:before="48" w:afterLines="20" w:after="48" w:line="240" w:lineRule="auto"/>
              <w:rPr>
                <w:sz w:val="18"/>
                <w:szCs w:val="18"/>
              </w:rPr>
            </w:pPr>
            <w:r>
              <w:rPr>
                <w:sz w:val="18"/>
                <w:szCs w:val="18"/>
              </w:rPr>
              <w:t>Option 1</w:t>
            </w:r>
          </w:p>
        </w:tc>
        <w:tc>
          <w:tcPr>
            <w:tcW w:w="1005" w:type="dxa"/>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3"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853" w:type="dxa"/>
          </w:tcPr>
          <w:p w:rsidR="00FA79AE" w:rsidRPr="00F43E82" w:rsidRDefault="00023694" w:rsidP="001148F8">
            <w:pPr>
              <w:spacing w:beforeLines="20" w:before="48" w:afterLines="20" w:after="48" w:line="240" w:lineRule="auto"/>
              <w:jc w:val="center"/>
              <w:rPr>
                <w:sz w:val="18"/>
                <w:szCs w:val="18"/>
              </w:rPr>
            </w:pPr>
            <w:r>
              <w:rPr>
                <w:sz w:val="18"/>
                <w:szCs w:val="18"/>
              </w:rPr>
              <w:t>0</w:t>
            </w:r>
          </w:p>
        </w:tc>
        <w:tc>
          <w:tcPr>
            <w:tcW w:w="993" w:type="dxa"/>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tcPr>
          <w:p w:rsidR="00FA79AE" w:rsidRPr="00F43E82" w:rsidRDefault="00023694" w:rsidP="001148F8">
            <w:pPr>
              <w:spacing w:beforeLines="20" w:before="48" w:afterLines="20" w:after="48" w:line="240" w:lineRule="auto"/>
              <w:jc w:val="center"/>
              <w:rPr>
                <w:sz w:val="18"/>
                <w:szCs w:val="18"/>
              </w:rPr>
            </w:pPr>
            <w:r>
              <w:rPr>
                <w:sz w:val="18"/>
                <w:szCs w:val="18"/>
              </w:rPr>
              <w:t>0</w:t>
            </w:r>
          </w:p>
        </w:tc>
        <w:tc>
          <w:tcPr>
            <w:tcW w:w="1134"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417" w:type="dxa"/>
          </w:tcPr>
          <w:p w:rsidR="00FA79AE" w:rsidRPr="00F43E82" w:rsidRDefault="00FA79AE" w:rsidP="001148F8">
            <w:pPr>
              <w:spacing w:beforeLines="20" w:before="48" w:afterLines="20" w:after="48" w:line="240" w:lineRule="auto"/>
              <w:jc w:val="center"/>
              <w:rPr>
                <w:sz w:val="18"/>
                <w:szCs w:val="18"/>
              </w:rPr>
            </w:pPr>
            <w:r w:rsidRPr="00F43E82">
              <w:rPr>
                <w:sz w:val="18"/>
                <w:szCs w:val="18"/>
              </w:rPr>
              <w:t>0</w:t>
            </w:r>
          </w:p>
        </w:tc>
        <w:tc>
          <w:tcPr>
            <w:tcW w:w="1342" w:type="dxa"/>
          </w:tcPr>
          <w:p w:rsidR="00FA79AE" w:rsidRPr="00F43E82" w:rsidRDefault="00FA79AE" w:rsidP="001148F8">
            <w:pPr>
              <w:spacing w:beforeLines="20" w:before="48" w:afterLines="20" w:after="48" w:line="240" w:lineRule="auto"/>
              <w:jc w:val="center"/>
              <w:rPr>
                <w:sz w:val="18"/>
                <w:szCs w:val="18"/>
              </w:rPr>
            </w:pPr>
            <w:r>
              <w:rPr>
                <w:sz w:val="18"/>
                <w:szCs w:val="18"/>
              </w:rPr>
              <w:t>0</w:t>
            </w:r>
          </w:p>
        </w:tc>
      </w:tr>
      <w:tr w:rsidR="00FA79AE" w:rsidRPr="00F43E82" w:rsidTr="00A91E81">
        <w:trPr>
          <w:jc w:val="center"/>
        </w:trPr>
        <w:tc>
          <w:tcPr>
            <w:tcW w:w="907" w:type="dxa"/>
            <w:gridSpan w:val="2"/>
            <w:shd w:val="clear" w:color="auto" w:fill="FFFFFF" w:themeFill="background1"/>
          </w:tcPr>
          <w:p w:rsidR="00FA79AE" w:rsidRPr="009716C3" w:rsidRDefault="0063208F" w:rsidP="001148F8">
            <w:pPr>
              <w:spacing w:beforeLines="20" w:before="48" w:afterLines="20" w:after="48" w:line="240" w:lineRule="auto"/>
              <w:rPr>
                <w:b/>
                <w:sz w:val="18"/>
                <w:szCs w:val="18"/>
              </w:rPr>
            </w:pPr>
            <w:r>
              <w:rPr>
                <w:b/>
                <w:sz w:val="18"/>
                <w:szCs w:val="18"/>
              </w:rPr>
              <w:t>Option 2</w:t>
            </w:r>
          </w:p>
        </w:tc>
        <w:tc>
          <w:tcPr>
            <w:tcW w:w="1005" w:type="dxa"/>
            <w:shd w:val="clear" w:color="auto" w:fill="92D050"/>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993" w:type="dxa"/>
            <w:shd w:val="clear" w:color="auto" w:fill="92D050"/>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853"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023694" w:rsidP="001148F8">
            <w:pPr>
              <w:spacing w:beforeLines="20" w:before="48" w:afterLines="20" w:after="48" w:line="240" w:lineRule="auto"/>
              <w:jc w:val="center"/>
              <w:rPr>
                <w:sz w:val="18"/>
                <w:szCs w:val="18"/>
              </w:rPr>
            </w:pPr>
            <w:r>
              <w:rPr>
                <w:sz w:val="18"/>
                <w:szCs w:val="18"/>
              </w:rPr>
              <w:t>0</w:t>
            </w:r>
          </w:p>
        </w:tc>
        <w:tc>
          <w:tcPr>
            <w:tcW w:w="992"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134"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c>
          <w:tcPr>
            <w:tcW w:w="1417" w:type="dxa"/>
            <w:shd w:val="clear" w:color="auto" w:fill="92D050"/>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1342" w:type="dxa"/>
            <w:shd w:val="clear" w:color="auto" w:fill="92D050"/>
          </w:tcPr>
          <w:p w:rsidR="00FA79AE" w:rsidRPr="00F43E82" w:rsidRDefault="00A91E81" w:rsidP="001148F8">
            <w:pPr>
              <w:spacing w:beforeLines="20" w:before="48" w:afterLines="20" w:after="48" w:line="240" w:lineRule="auto"/>
              <w:jc w:val="center"/>
              <w:rPr>
                <w:sz w:val="18"/>
                <w:szCs w:val="18"/>
              </w:rPr>
            </w:pPr>
            <w:r>
              <w:rPr>
                <w:sz w:val="18"/>
                <w:szCs w:val="18"/>
              </w:rPr>
              <w:t>+</w:t>
            </w:r>
          </w:p>
        </w:tc>
      </w:tr>
      <w:tr w:rsidR="00FA79AE" w:rsidRPr="00F43E82" w:rsidTr="000C0983">
        <w:trPr>
          <w:jc w:val="center"/>
        </w:trPr>
        <w:tc>
          <w:tcPr>
            <w:tcW w:w="907" w:type="dxa"/>
            <w:gridSpan w:val="2"/>
            <w:shd w:val="clear" w:color="auto" w:fill="FFFFFF" w:themeFill="background1"/>
          </w:tcPr>
          <w:p w:rsidR="00FA79AE" w:rsidRPr="00A91E81" w:rsidRDefault="00FA79AE" w:rsidP="0063208F">
            <w:pPr>
              <w:spacing w:beforeLines="20" w:before="48" w:afterLines="20" w:after="48" w:line="240" w:lineRule="auto"/>
              <w:rPr>
                <w:b/>
                <w:sz w:val="18"/>
                <w:szCs w:val="18"/>
              </w:rPr>
            </w:pPr>
            <w:r w:rsidRPr="00A91E81">
              <w:rPr>
                <w:b/>
                <w:sz w:val="18"/>
                <w:szCs w:val="18"/>
              </w:rPr>
              <w:t xml:space="preserve">Option </w:t>
            </w:r>
            <w:r w:rsidR="0063208F" w:rsidRPr="00A91E81">
              <w:rPr>
                <w:b/>
                <w:sz w:val="18"/>
                <w:szCs w:val="18"/>
              </w:rPr>
              <w:t>3</w:t>
            </w:r>
          </w:p>
        </w:tc>
        <w:tc>
          <w:tcPr>
            <w:tcW w:w="1005"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993"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c>
          <w:tcPr>
            <w:tcW w:w="853" w:type="dxa"/>
            <w:shd w:val="clear" w:color="auto" w:fill="92D050"/>
          </w:tcPr>
          <w:p w:rsidR="00FA79AE" w:rsidRPr="00F43E82" w:rsidRDefault="00A91E81"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FA79AE" w:rsidP="001148F8">
            <w:pPr>
              <w:spacing w:beforeLines="20" w:before="48" w:afterLines="20" w:after="48" w:line="240" w:lineRule="auto"/>
              <w:jc w:val="center"/>
              <w:rPr>
                <w:sz w:val="18"/>
                <w:szCs w:val="18"/>
              </w:rPr>
            </w:pPr>
            <w:r>
              <w:rPr>
                <w:sz w:val="18"/>
                <w:szCs w:val="18"/>
              </w:rPr>
              <w:t>0</w:t>
            </w:r>
          </w:p>
        </w:tc>
        <w:tc>
          <w:tcPr>
            <w:tcW w:w="992" w:type="dxa"/>
            <w:shd w:val="clear" w:color="auto" w:fill="92D050"/>
          </w:tcPr>
          <w:p w:rsidR="00FA79AE" w:rsidRPr="00F43E82" w:rsidRDefault="00A91E81" w:rsidP="001148F8">
            <w:pPr>
              <w:spacing w:beforeLines="20" w:before="48" w:afterLines="20" w:after="48" w:line="240" w:lineRule="auto"/>
              <w:jc w:val="center"/>
              <w:rPr>
                <w:sz w:val="18"/>
                <w:szCs w:val="18"/>
              </w:rPr>
            </w:pPr>
            <w:r>
              <w:rPr>
                <w:sz w:val="18"/>
                <w:szCs w:val="18"/>
              </w:rPr>
              <w:t>+</w:t>
            </w:r>
          </w:p>
        </w:tc>
        <w:tc>
          <w:tcPr>
            <w:tcW w:w="1134" w:type="dxa"/>
            <w:shd w:val="clear" w:color="auto" w:fill="92D050"/>
          </w:tcPr>
          <w:p w:rsidR="00FA79AE" w:rsidRPr="00F43E82" w:rsidRDefault="00A91E81" w:rsidP="001148F8">
            <w:pPr>
              <w:spacing w:beforeLines="20" w:before="48" w:afterLines="20" w:after="48" w:line="240" w:lineRule="auto"/>
              <w:jc w:val="center"/>
              <w:rPr>
                <w:sz w:val="18"/>
                <w:szCs w:val="18"/>
              </w:rPr>
            </w:pPr>
            <w:r>
              <w:rPr>
                <w:sz w:val="18"/>
                <w:szCs w:val="18"/>
              </w:rPr>
              <w:t>+</w:t>
            </w:r>
          </w:p>
        </w:tc>
        <w:tc>
          <w:tcPr>
            <w:tcW w:w="1417"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342" w:type="dxa"/>
            <w:shd w:val="clear" w:color="auto" w:fill="92D050"/>
          </w:tcPr>
          <w:p w:rsidR="00FA79AE" w:rsidRPr="00F43E82" w:rsidRDefault="00A91E81" w:rsidP="001148F8">
            <w:pPr>
              <w:spacing w:beforeLines="20" w:before="48" w:afterLines="20" w:after="48" w:line="240" w:lineRule="auto"/>
              <w:jc w:val="center"/>
              <w:rPr>
                <w:sz w:val="18"/>
                <w:szCs w:val="18"/>
              </w:rPr>
            </w:pPr>
            <w:r>
              <w:rPr>
                <w:sz w:val="18"/>
                <w:szCs w:val="18"/>
              </w:rPr>
              <w:t>+</w:t>
            </w:r>
          </w:p>
        </w:tc>
      </w:tr>
      <w:tr w:rsidR="00FA79AE" w:rsidRPr="00F43E82" w:rsidTr="00A91E81">
        <w:trPr>
          <w:jc w:val="center"/>
        </w:trPr>
        <w:tc>
          <w:tcPr>
            <w:tcW w:w="907" w:type="dxa"/>
            <w:gridSpan w:val="2"/>
            <w:shd w:val="clear" w:color="auto" w:fill="FFFFFF" w:themeFill="background1"/>
          </w:tcPr>
          <w:p w:rsidR="00FA79AE" w:rsidRPr="00A91E81" w:rsidRDefault="00FA79AE" w:rsidP="0063208F">
            <w:pPr>
              <w:spacing w:beforeLines="20" w:before="48" w:afterLines="20" w:after="48" w:line="240" w:lineRule="auto"/>
              <w:rPr>
                <w:b/>
                <w:sz w:val="18"/>
                <w:szCs w:val="18"/>
              </w:rPr>
            </w:pPr>
            <w:r w:rsidRPr="00A91E81">
              <w:rPr>
                <w:b/>
                <w:sz w:val="18"/>
                <w:szCs w:val="18"/>
              </w:rPr>
              <w:t xml:space="preserve">Option </w:t>
            </w:r>
            <w:r w:rsidR="0063208F" w:rsidRPr="00A91E81">
              <w:rPr>
                <w:b/>
                <w:sz w:val="18"/>
                <w:szCs w:val="18"/>
              </w:rPr>
              <w:t>4</w:t>
            </w:r>
          </w:p>
        </w:tc>
        <w:tc>
          <w:tcPr>
            <w:tcW w:w="1005" w:type="dxa"/>
            <w:shd w:val="clear" w:color="auto" w:fill="92D050"/>
          </w:tcPr>
          <w:p w:rsidR="00FA79AE" w:rsidRPr="00F43E82" w:rsidRDefault="00FA79AE" w:rsidP="001148F8">
            <w:pPr>
              <w:spacing w:beforeLines="20" w:before="48" w:afterLines="20" w:after="48" w:line="240" w:lineRule="auto"/>
              <w:jc w:val="center"/>
              <w:rPr>
                <w:sz w:val="18"/>
                <w:szCs w:val="18"/>
              </w:rPr>
            </w:pPr>
            <w:r w:rsidRPr="00F43E82">
              <w:rPr>
                <w:sz w:val="18"/>
                <w:szCs w:val="18"/>
              </w:rPr>
              <w:t>+</w:t>
            </w:r>
          </w:p>
        </w:tc>
        <w:tc>
          <w:tcPr>
            <w:tcW w:w="993"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853"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c>
          <w:tcPr>
            <w:tcW w:w="993" w:type="dxa"/>
            <w:shd w:val="clear" w:color="auto" w:fill="FFFFFF" w:themeFill="background1"/>
          </w:tcPr>
          <w:p w:rsidR="00FA79AE" w:rsidRPr="00F43E82" w:rsidRDefault="00A91E81" w:rsidP="001148F8">
            <w:pPr>
              <w:spacing w:beforeLines="20" w:before="48" w:afterLines="20" w:after="48" w:line="240" w:lineRule="auto"/>
              <w:jc w:val="center"/>
              <w:rPr>
                <w:sz w:val="18"/>
                <w:szCs w:val="18"/>
              </w:rPr>
            </w:pPr>
            <w:r>
              <w:rPr>
                <w:sz w:val="18"/>
                <w:szCs w:val="18"/>
              </w:rPr>
              <w:t>0</w:t>
            </w:r>
          </w:p>
        </w:tc>
        <w:tc>
          <w:tcPr>
            <w:tcW w:w="992"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c>
          <w:tcPr>
            <w:tcW w:w="1134"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c>
          <w:tcPr>
            <w:tcW w:w="1417" w:type="dxa"/>
            <w:shd w:val="clear" w:color="auto" w:fill="92D050"/>
          </w:tcPr>
          <w:p w:rsidR="00FA79AE" w:rsidRPr="00F43E82" w:rsidRDefault="00FA79AE" w:rsidP="001148F8">
            <w:pPr>
              <w:spacing w:beforeLines="20" w:before="48" w:afterLines="20" w:after="48" w:line="240" w:lineRule="auto"/>
              <w:jc w:val="center"/>
              <w:rPr>
                <w:sz w:val="18"/>
                <w:szCs w:val="18"/>
              </w:rPr>
            </w:pPr>
            <w:r>
              <w:rPr>
                <w:sz w:val="18"/>
                <w:szCs w:val="18"/>
              </w:rPr>
              <w:t>+</w:t>
            </w:r>
          </w:p>
        </w:tc>
        <w:tc>
          <w:tcPr>
            <w:tcW w:w="1342" w:type="dxa"/>
            <w:shd w:val="clear" w:color="auto" w:fill="92D050"/>
          </w:tcPr>
          <w:p w:rsidR="00FA79AE" w:rsidRPr="00F43E82" w:rsidRDefault="00023694" w:rsidP="001148F8">
            <w:pPr>
              <w:spacing w:beforeLines="20" w:before="48" w:afterLines="20" w:after="48" w:line="240" w:lineRule="auto"/>
              <w:jc w:val="center"/>
              <w:rPr>
                <w:sz w:val="18"/>
                <w:szCs w:val="18"/>
              </w:rPr>
            </w:pPr>
            <w:r>
              <w:rPr>
                <w:sz w:val="18"/>
                <w:szCs w:val="18"/>
              </w:rPr>
              <w:t>+</w:t>
            </w:r>
          </w:p>
        </w:tc>
      </w:tr>
      <w:tr w:rsidR="00A60544" w:rsidRPr="00F43E82" w:rsidTr="0048216D">
        <w:trPr>
          <w:jc w:val="center"/>
        </w:trPr>
        <w:tc>
          <w:tcPr>
            <w:tcW w:w="907" w:type="dxa"/>
            <w:gridSpan w:val="2"/>
            <w:shd w:val="clear" w:color="auto" w:fill="FFFFFF" w:themeFill="background1"/>
          </w:tcPr>
          <w:p w:rsidR="00A60544" w:rsidRPr="00A91E81" w:rsidRDefault="00A60544" w:rsidP="0063208F">
            <w:pPr>
              <w:spacing w:beforeLines="20" w:before="48" w:afterLines="20" w:after="48" w:line="240" w:lineRule="auto"/>
              <w:rPr>
                <w:b/>
                <w:sz w:val="18"/>
                <w:szCs w:val="18"/>
              </w:rPr>
            </w:pPr>
            <w:r w:rsidRPr="00A91E81">
              <w:rPr>
                <w:b/>
                <w:sz w:val="18"/>
                <w:szCs w:val="18"/>
              </w:rPr>
              <w:t>Option 5</w:t>
            </w:r>
          </w:p>
        </w:tc>
        <w:tc>
          <w:tcPr>
            <w:tcW w:w="1005" w:type="dxa"/>
            <w:shd w:val="clear" w:color="auto" w:fill="00B050"/>
          </w:tcPr>
          <w:p w:rsidR="00A60544" w:rsidRPr="00F43E82" w:rsidRDefault="00A60544" w:rsidP="001148F8">
            <w:pPr>
              <w:spacing w:beforeLines="20" w:before="48" w:afterLines="20" w:after="48" w:line="240" w:lineRule="auto"/>
              <w:jc w:val="center"/>
              <w:rPr>
                <w:sz w:val="18"/>
                <w:szCs w:val="18"/>
              </w:rPr>
            </w:pPr>
            <w:r w:rsidRPr="00F43E82">
              <w:rPr>
                <w:sz w:val="18"/>
                <w:szCs w:val="18"/>
              </w:rPr>
              <w:t>+</w:t>
            </w:r>
            <w:r>
              <w:rPr>
                <w:sz w:val="18"/>
                <w:szCs w:val="18"/>
              </w:rPr>
              <w:t>+</w:t>
            </w:r>
          </w:p>
        </w:tc>
        <w:tc>
          <w:tcPr>
            <w:tcW w:w="993" w:type="dxa"/>
            <w:shd w:val="clear" w:color="auto" w:fill="00B050"/>
          </w:tcPr>
          <w:p w:rsidR="00A60544" w:rsidRDefault="00A60544" w:rsidP="001148F8">
            <w:pPr>
              <w:spacing w:beforeLines="20" w:before="48" w:afterLines="20" w:after="48" w:line="240" w:lineRule="auto"/>
              <w:jc w:val="center"/>
              <w:rPr>
                <w:sz w:val="18"/>
                <w:szCs w:val="18"/>
              </w:rPr>
            </w:pPr>
            <w:r>
              <w:rPr>
                <w:sz w:val="18"/>
                <w:szCs w:val="18"/>
              </w:rPr>
              <w:t>++</w:t>
            </w:r>
          </w:p>
        </w:tc>
        <w:tc>
          <w:tcPr>
            <w:tcW w:w="853" w:type="dxa"/>
            <w:shd w:val="clear" w:color="auto" w:fill="00B050"/>
          </w:tcPr>
          <w:p w:rsidR="00A60544" w:rsidRDefault="00A60544" w:rsidP="001148F8">
            <w:pPr>
              <w:spacing w:beforeLines="20" w:before="48" w:afterLines="20" w:after="48" w:line="240" w:lineRule="auto"/>
              <w:jc w:val="center"/>
              <w:rPr>
                <w:sz w:val="18"/>
                <w:szCs w:val="18"/>
              </w:rPr>
            </w:pPr>
            <w:r>
              <w:rPr>
                <w:sz w:val="18"/>
                <w:szCs w:val="18"/>
              </w:rPr>
              <w:t>+</w:t>
            </w:r>
          </w:p>
        </w:tc>
        <w:tc>
          <w:tcPr>
            <w:tcW w:w="993" w:type="dxa"/>
            <w:shd w:val="clear" w:color="auto" w:fill="FFC000"/>
          </w:tcPr>
          <w:p w:rsidR="00A60544" w:rsidRDefault="00A60544" w:rsidP="001148F8">
            <w:pPr>
              <w:spacing w:beforeLines="20" w:before="48" w:afterLines="20" w:after="48" w:line="240" w:lineRule="auto"/>
              <w:jc w:val="center"/>
              <w:rPr>
                <w:sz w:val="18"/>
                <w:szCs w:val="18"/>
              </w:rPr>
            </w:pPr>
            <w:r>
              <w:rPr>
                <w:sz w:val="18"/>
                <w:szCs w:val="18"/>
              </w:rPr>
              <w:t>-</w:t>
            </w:r>
          </w:p>
        </w:tc>
        <w:tc>
          <w:tcPr>
            <w:tcW w:w="992" w:type="dxa"/>
            <w:shd w:val="clear" w:color="auto" w:fill="92D050"/>
          </w:tcPr>
          <w:p w:rsidR="00A60544" w:rsidRDefault="00A60544" w:rsidP="001148F8">
            <w:pPr>
              <w:spacing w:beforeLines="20" w:before="48" w:afterLines="20" w:after="48" w:line="240" w:lineRule="auto"/>
              <w:jc w:val="center"/>
              <w:rPr>
                <w:sz w:val="18"/>
                <w:szCs w:val="18"/>
              </w:rPr>
            </w:pPr>
            <w:r>
              <w:rPr>
                <w:sz w:val="18"/>
                <w:szCs w:val="18"/>
              </w:rPr>
              <w:t>+</w:t>
            </w:r>
          </w:p>
        </w:tc>
        <w:tc>
          <w:tcPr>
            <w:tcW w:w="1134" w:type="dxa"/>
            <w:shd w:val="clear" w:color="auto" w:fill="92D050"/>
          </w:tcPr>
          <w:p w:rsidR="00A60544" w:rsidRDefault="00A60544" w:rsidP="001148F8">
            <w:pPr>
              <w:spacing w:beforeLines="20" w:before="48" w:afterLines="20" w:after="48" w:line="240" w:lineRule="auto"/>
              <w:jc w:val="center"/>
              <w:rPr>
                <w:sz w:val="18"/>
                <w:szCs w:val="18"/>
              </w:rPr>
            </w:pPr>
            <w:r>
              <w:rPr>
                <w:sz w:val="18"/>
                <w:szCs w:val="18"/>
              </w:rPr>
              <w:t>+</w:t>
            </w:r>
          </w:p>
        </w:tc>
        <w:tc>
          <w:tcPr>
            <w:tcW w:w="1417" w:type="dxa"/>
            <w:shd w:val="clear" w:color="auto" w:fill="00B050"/>
          </w:tcPr>
          <w:p w:rsidR="00A60544" w:rsidRDefault="00A60544" w:rsidP="001148F8">
            <w:pPr>
              <w:spacing w:beforeLines="20" w:before="48" w:afterLines="20" w:after="48" w:line="240" w:lineRule="auto"/>
              <w:jc w:val="center"/>
              <w:rPr>
                <w:sz w:val="18"/>
                <w:szCs w:val="18"/>
              </w:rPr>
            </w:pPr>
            <w:r>
              <w:rPr>
                <w:sz w:val="18"/>
                <w:szCs w:val="18"/>
              </w:rPr>
              <w:t>++</w:t>
            </w:r>
          </w:p>
        </w:tc>
        <w:tc>
          <w:tcPr>
            <w:tcW w:w="1342" w:type="dxa"/>
            <w:shd w:val="clear" w:color="auto" w:fill="92D050"/>
          </w:tcPr>
          <w:p w:rsidR="00A60544" w:rsidRDefault="00A60544" w:rsidP="001148F8">
            <w:pPr>
              <w:spacing w:beforeLines="20" w:before="48" w:afterLines="20" w:after="48" w:line="240" w:lineRule="auto"/>
              <w:jc w:val="center"/>
              <w:rPr>
                <w:sz w:val="18"/>
                <w:szCs w:val="18"/>
              </w:rPr>
            </w:pPr>
            <w:r>
              <w:rPr>
                <w:sz w:val="18"/>
                <w:szCs w:val="18"/>
              </w:rPr>
              <w:t>+</w:t>
            </w:r>
          </w:p>
        </w:tc>
      </w:tr>
    </w:tbl>
    <w:p w:rsidR="0063691B" w:rsidRPr="00821A23" w:rsidRDefault="0063691B" w:rsidP="00572645">
      <w:pPr>
        <w:keepNext/>
        <w:spacing w:before="240" w:line="240" w:lineRule="auto"/>
        <w:outlineLvl w:val="1"/>
        <w:rPr>
          <w:rFonts w:ascii="Verdana" w:hAnsi="Verdana"/>
          <w:b/>
          <w:color w:val="335087"/>
          <w:spacing w:val="20"/>
          <w:w w:val="90"/>
          <w:sz w:val="28"/>
          <w:szCs w:val="28"/>
        </w:rPr>
      </w:pPr>
      <w:bookmarkStart w:id="93" w:name="_Toc460924521"/>
      <w:r w:rsidRPr="00821A23">
        <w:rPr>
          <w:rFonts w:ascii="Verdana" w:hAnsi="Verdana"/>
          <w:b/>
          <w:color w:val="335087"/>
          <w:spacing w:val="20"/>
          <w:w w:val="90"/>
          <w:sz w:val="28"/>
          <w:szCs w:val="28"/>
        </w:rPr>
        <w:t>Discussion of preferred options</w:t>
      </w:r>
      <w:bookmarkEnd w:id="93"/>
    </w:p>
    <w:p w:rsidR="00B5309F" w:rsidRPr="00332167" w:rsidRDefault="00053FCC"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Option</w:t>
      </w:r>
      <w:r w:rsidR="005957E7" w:rsidRPr="00332167">
        <w:rPr>
          <w:rFonts w:ascii="Verdana" w:hAnsi="Verdana"/>
          <w:sz w:val="20"/>
          <w:lang w:val="en-NZ"/>
        </w:rPr>
        <w:t>s 2 to 5</w:t>
      </w:r>
      <w:r w:rsidRPr="00332167">
        <w:rPr>
          <w:rFonts w:ascii="Verdana" w:hAnsi="Verdana"/>
          <w:sz w:val="20"/>
          <w:lang w:val="en-NZ"/>
        </w:rPr>
        <w:t xml:space="preserve"> are preferred </w:t>
      </w:r>
      <w:r w:rsidR="00B5309F" w:rsidRPr="00332167">
        <w:rPr>
          <w:rFonts w:ascii="Verdana" w:hAnsi="Verdana"/>
          <w:sz w:val="20"/>
          <w:lang w:val="en-NZ"/>
        </w:rPr>
        <w:t xml:space="preserve">because these will best orient the organisation to achieve positive outcomes for </w:t>
      </w:r>
      <w:r w:rsidR="001947E9" w:rsidRPr="00332167">
        <w:rPr>
          <w:rFonts w:ascii="Verdana" w:hAnsi="Verdana"/>
          <w:sz w:val="20"/>
          <w:lang w:val="en-NZ"/>
        </w:rPr>
        <w:t>Māori children</w:t>
      </w:r>
      <w:r w:rsidR="00B5309F" w:rsidRPr="00332167">
        <w:rPr>
          <w:rFonts w:ascii="Verdana" w:hAnsi="Verdana"/>
          <w:sz w:val="20"/>
          <w:lang w:val="en-NZ"/>
        </w:rPr>
        <w:t xml:space="preserve"> and</w:t>
      </w:r>
      <w:r w:rsidR="001947E9" w:rsidRPr="00332167">
        <w:rPr>
          <w:rFonts w:ascii="Verdana" w:hAnsi="Verdana"/>
          <w:sz w:val="20"/>
          <w:lang w:val="en-NZ"/>
        </w:rPr>
        <w:t xml:space="preserve"> young people</w:t>
      </w:r>
      <w:r w:rsidR="00B5309F" w:rsidRPr="00332167">
        <w:rPr>
          <w:rFonts w:ascii="Verdana" w:hAnsi="Verdana"/>
          <w:sz w:val="20"/>
          <w:lang w:val="en-NZ"/>
        </w:rPr>
        <w:t>.  As a combined legislative package, these options clearly signal the importance of key Māori values to decision-making under the Act and that working in partnership with Iwi, Māori is integral to the organisation</w:t>
      </w:r>
      <w:r w:rsidR="009040F4" w:rsidRPr="00332167">
        <w:rPr>
          <w:rFonts w:ascii="Verdana" w:hAnsi="Verdana"/>
          <w:sz w:val="20"/>
          <w:lang w:val="en-NZ"/>
        </w:rPr>
        <w:t>’s</w:t>
      </w:r>
      <w:r w:rsidR="00B5309F" w:rsidRPr="00332167">
        <w:rPr>
          <w:rFonts w:ascii="Verdana" w:hAnsi="Verdana"/>
          <w:sz w:val="20"/>
          <w:lang w:val="en-NZ"/>
        </w:rPr>
        <w:t xml:space="preserve"> cultural responsiveness.  </w:t>
      </w:r>
    </w:p>
    <w:p w:rsidR="006D5487" w:rsidRDefault="00B5309F" w:rsidP="00EF3527">
      <w:pPr>
        <w:pStyle w:val="Heading4"/>
        <w:spacing w:after="0"/>
        <w:rPr>
          <w:rFonts w:ascii="Verdana" w:hAnsi="Verdana"/>
          <w:b/>
          <w:i w:val="0"/>
        </w:rPr>
      </w:pPr>
      <w:r>
        <w:rPr>
          <w:rFonts w:ascii="Verdana" w:hAnsi="Verdana"/>
          <w:b/>
          <w:i w:val="0"/>
        </w:rPr>
        <w:t>O</w:t>
      </w:r>
      <w:r w:rsidR="00FA79AE" w:rsidRPr="00821A23">
        <w:rPr>
          <w:rFonts w:ascii="Verdana" w:hAnsi="Verdana"/>
          <w:b/>
          <w:i w:val="0"/>
        </w:rPr>
        <w:t xml:space="preserve">ption </w:t>
      </w:r>
      <w:r w:rsidR="0063208F">
        <w:rPr>
          <w:rFonts w:ascii="Verdana" w:hAnsi="Verdana"/>
          <w:b/>
          <w:i w:val="0"/>
        </w:rPr>
        <w:t>2</w:t>
      </w:r>
      <w:r w:rsidR="006931AE" w:rsidRPr="00821A23">
        <w:rPr>
          <w:rFonts w:ascii="Verdana" w:hAnsi="Verdana"/>
          <w:b/>
          <w:i w:val="0"/>
        </w:rPr>
        <w:t xml:space="preserve"> </w:t>
      </w:r>
      <w:r w:rsidR="00F863E2">
        <w:rPr>
          <w:rFonts w:ascii="Verdana" w:hAnsi="Verdana"/>
          <w:b/>
          <w:i w:val="0"/>
        </w:rPr>
        <w:t>– new purposes</w:t>
      </w:r>
    </w:p>
    <w:p w:rsidR="005957E7" w:rsidRPr="00332167" w:rsidRDefault="005957E7"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Previous proposals for amendments to the CYPF Act outlined the case for updating the object/purpose statements and the general principles in section 5 to create a foundation for a more child-centred system. This approach, which was previously considered and agreed to by the Cabinet Social Policy Committee, equally applies here. </w:t>
      </w:r>
    </w:p>
    <w:p w:rsidR="00F863E2" w:rsidRPr="00332167" w:rsidRDefault="00F863E2"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Expressed as a Māori proposition, this would be a requirement to recognise and respect the mana of the child (‘</w:t>
      </w:r>
      <w:r w:rsidR="00002A25" w:rsidRPr="00332167">
        <w:rPr>
          <w:rFonts w:ascii="Verdana" w:hAnsi="Verdana"/>
          <w:sz w:val="20"/>
          <w:lang w:val="en-NZ"/>
        </w:rPr>
        <w:t>mana tamaiti</w:t>
      </w:r>
      <w:r w:rsidRPr="00332167">
        <w:rPr>
          <w:rFonts w:ascii="Verdana" w:hAnsi="Verdana"/>
          <w:sz w:val="20"/>
          <w:lang w:val="en-NZ"/>
        </w:rPr>
        <w:t>’). Whakapapa and whanaungatanga are both complementary to, and a fundamental part of, that approach.</w:t>
      </w:r>
      <w:r w:rsidR="00CA6547" w:rsidRPr="00332167">
        <w:rPr>
          <w:rFonts w:ascii="Verdana" w:hAnsi="Verdana"/>
          <w:sz w:val="20"/>
          <w:lang w:val="en-NZ"/>
        </w:rPr>
        <w:t xml:space="preserve"> </w:t>
      </w:r>
      <w:r w:rsidR="00002A25" w:rsidRPr="00332167">
        <w:rPr>
          <w:rFonts w:ascii="Verdana" w:hAnsi="Verdana"/>
          <w:sz w:val="20"/>
          <w:lang w:val="en-NZ"/>
        </w:rPr>
        <w:t>Mana tamaiti</w:t>
      </w:r>
      <w:r w:rsidRPr="00332167">
        <w:rPr>
          <w:rFonts w:ascii="Verdana" w:hAnsi="Verdana"/>
          <w:sz w:val="20"/>
          <w:lang w:val="en-NZ"/>
        </w:rPr>
        <w:t xml:space="preserve"> is a multi-dimensional concept; it speaks both to the child as an individual and as a part of a wider whanaungatanga based whole.</w:t>
      </w:r>
    </w:p>
    <w:p w:rsidR="00225C32" w:rsidRPr="00225C32" w:rsidRDefault="00225C32" w:rsidP="00EF3527">
      <w:pPr>
        <w:spacing w:after="0"/>
        <w:rPr>
          <w:rFonts w:ascii="Verdana" w:hAnsi="Verdana"/>
          <w:b/>
          <w:i/>
        </w:rPr>
      </w:pPr>
      <w:r w:rsidRPr="005957E7">
        <w:rPr>
          <w:rFonts w:ascii="Verdana" w:hAnsi="Verdana"/>
          <w:b/>
          <w:sz w:val="24"/>
          <w:szCs w:val="24"/>
        </w:rPr>
        <w:t>Option</w:t>
      </w:r>
      <w:r w:rsidR="0084005B">
        <w:rPr>
          <w:rFonts w:ascii="Verdana" w:hAnsi="Verdana"/>
          <w:b/>
          <w:sz w:val="24"/>
          <w:szCs w:val="24"/>
        </w:rPr>
        <w:t>s</w:t>
      </w:r>
      <w:r w:rsidRPr="005957E7">
        <w:rPr>
          <w:rFonts w:ascii="Verdana" w:hAnsi="Verdana"/>
          <w:b/>
          <w:sz w:val="24"/>
          <w:szCs w:val="24"/>
        </w:rPr>
        <w:t xml:space="preserve"> 3</w:t>
      </w:r>
      <w:r w:rsidR="0084005B">
        <w:rPr>
          <w:rFonts w:ascii="Verdana" w:hAnsi="Verdana"/>
          <w:b/>
          <w:sz w:val="24"/>
          <w:szCs w:val="24"/>
        </w:rPr>
        <w:t xml:space="preserve"> and 4</w:t>
      </w:r>
      <w:r w:rsidR="00F863E2">
        <w:rPr>
          <w:rFonts w:ascii="Verdana" w:hAnsi="Verdana"/>
          <w:b/>
          <w:sz w:val="24"/>
          <w:szCs w:val="24"/>
        </w:rPr>
        <w:t xml:space="preserve"> – new principles</w:t>
      </w:r>
    </w:p>
    <w:p w:rsidR="00757A87" w:rsidRPr="00332167" w:rsidRDefault="00757A87"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The proposed new </w:t>
      </w:r>
      <w:r w:rsidR="00225C32" w:rsidRPr="00332167">
        <w:rPr>
          <w:rFonts w:ascii="Verdana" w:hAnsi="Verdana"/>
          <w:sz w:val="20"/>
          <w:lang w:val="en-NZ"/>
        </w:rPr>
        <w:t xml:space="preserve">general </w:t>
      </w:r>
      <w:r w:rsidRPr="00332167">
        <w:rPr>
          <w:rFonts w:ascii="Verdana" w:hAnsi="Verdana"/>
          <w:sz w:val="20"/>
          <w:lang w:val="en-NZ"/>
        </w:rPr>
        <w:t>principle</w:t>
      </w:r>
      <w:r w:rsidR="00225C32" w:rsidRPr="00332167">
        <w:rPr>
          <w:rFonts w:ascii="Verdana" w:hAnsi="Verdana"/>
          <w:sz w:val="20"/>
          <w:lang w:val="en-NZ"/>
        </w:rPr>
        <w:t>s</w:t>
      </w:r>
      <w:r w:rsidR="008E6ACB" w:rsidRPr="00332167">
        <w:rPr>
          <w:rFonts w:ascii="Verdana" w:hAnsi="Verdana"/>
          <w:sz w:val="20"/>
          <w:lang w:val="en-NZ"/>
        </w:rPr>
        <w:t xml:space="preserve"> </w:t>
      </w:r>
      <w:r w:rsidR="00A91E81" w:rsidRPr="00332167">
        <w:rPr>
          <w:rFonts w:ascii="Verdana" w:hAnsi="Verdana"/>
          <w:sz w:val="20"/>
          <w:lang w:val="en-NZ"/>
        </w:rPr>
        <w:t>are</w:t>
      </w:r>
      <w:r w:rsidRPr="00332167">
        <w:rPr>
          <w:rFonts w:ascii="Verdana" w:hAnsi="Verdana"/>
          <w:sz w:val="20"/>
          <w:lang w:val="en-NZ"/>
        </w:rPr>
        <w:t xml:space="preserve"> aligned with the purposes and principles for a child-centred system outlined in the Foundations</w:t>
      </w:r>
      <w:r w:rsidR="00391E76" w:rsidRPr="00332167">
        <w:rPr>
          <w:rFonts w:ascii="Verdana" w:hAnsi="Verdana"/>
          <w:sz w:val="20"/>
          <w:lang w:val="en-NZ"/>
        </w:rPr>
        <w:t xml:space="preserve"> for a Child-centred system</w:t>
      </w:r>
      <w:r w:rsidRPr="00332167">
        <w:rPr>
          <w:rFonts w:ascii="Verdana" w:hAnsi="Verdana"/>
          <w:sz w:val="20"/>
          <w:lang w:val="en-NZ"/>
        </w:rPr>
        <w:t xml:space="preserve"> RIS and ensure that the approach is consistent with what a child-centred system may look like for M</w:t>
      </w:r>
      <w:r w:rsidR="00391E76" w:rsidRPr="00332167">
        <w:rPr>
          <w:rFonts w:ascii="Verdana" w:hAnsi="Verdana"/>
          <w:sz w:val="20"/>
          <w:lang w:val="en-NZ"/>
        </w:rPr>
        <w:t>ā</w:t>
      </w:r>
      <w:r w:rsidRPr="00332167">
        <w:rPr>
          <w:rFonts w:ascii="Verdana" w:hAnsi="Verdana"/>
          <w:sz w:val="20"/>
          <w:lang w:val="en-NZ"/>
        </w:rPr>
        <w:t>ori.</w:t>
      </w:r>
    </w:p>
    <w:p w:rsidR="003C5F06" w:rsidRDefault="008E6ACB" w:rsidP="00332167">
      <w:pPr>
        <w:pStyle w:val="ListParagraph"/>
        <w:numPr>
          <w:ilvl w:val="0"/>
          <w:numId w:val="10"/>
        </w:numPr>
        <w:spacing w:before="120" w:after="120"/>
        <w:ind w:left="567" w:hanging="567"/>
        <w:contextualSpacing w:val="0"/>
        <w:rPr>
          <w:rFonts w:ascii="Verdana" w:hAnsi="Verdana"/>
          <w:sz w:val="20"/>
        </w:rPr>
      </w:pPr>
      <w:r w:rsidRPr="00332167">
        <w:rPr>
          <w:rFonts w:ascii="Verdana" w:hAnsi="Verdana"/>
          <w:sz w:val="20"/>
          <w:lang w:val="en-NZ"/>
        </w:rPr>
        <w:t>The</w:t>
      </w:r>
      <w:r w:rsidR="0084005B" w:rsidRPr="00332167">
        <w:rPr>
          <w:rFonts w:ascii="Verdana" w:hAnsi="Verdana"/>
          <w:sz w:val="20"/>
          <w:lang w:val="en-NZ"/>
        </w:rPr>
        <w:t>se</w:t>
      </w:r>
      <w:r w:rsidR="00821A23" w:rsidRPr="00332167">
        <w:rPr>
          <w:rFonts w:ascii="Verdana" w:hAnsi="Verdana"/>
          <w:sz w:val="20"/>
          <w:lang w:val="en-NZ"/>
        </w:rPr>
        <w:t xml:space="preserve"> proposal</w:t>
      </w:r>
      <w:r w:rsidR="00CA6547" w:rsidRPr="00332167">
        <w:rPr>
          <w:rFonts w:ascii="Verdana" w:hAnsi="Verdana"/>
          <w:sz w:val="20"/>
          <w:lang w:val="en-NZ"/>
        </w:rPr>
        <w:t>s</w:t>
      </w:r>
      <w:r w:rsidR="00821A23" w:rsidRPr="00332167">
        <w:rPr>
          <w:rFonts w:ascii="Verdana" w:hAnsi="Verdana"/>
          <w:sz w:val="20"/>
          <w:lang w:val="en-NZ"/>
        </w:rPr>
        <w:t xml:space="preserve"> ensure that the child-centred approach is fit for purpose and </w:t>
      </w:r>
      <w:r w:rsidR="003C5F06" w:rsidRPr="00332167">
        <w:rPr>
          <w:rFonts w:ascii="Verdana" w:hAnsi="Verdana"/>
          <w:sz w:val="20"/>
          <w:lang w:val="en-NZ"/>
        </w:rPr>
        <w:t xml:space="preserve">durable. This </w:t>
      </w:r>
      <w:r w:rsidR="00332167" w:rsidRPr="00332167">
        <w:rPr>
          <w:rFonts w:ascii="Verdana" w:hAnsi="Verdana"/>
          <w:sz w:val="20"/>
          <w:lang w:val="en-NZ"/>
        </w:rPr>
        <w:t>cannot</w:t>
      </w:r>
      <w:r w:rsidR="003C5F06" w:rsidRPr="00332167">
        <w:rPr>
          <w:rFonts w:ascii="Verdana" w:hAnsi="Verdana"/>
          <w:sz w:val="20"/>
          <w:lang w:val="en-NZ"/>
        </w:rPr>
        <w:t xml:space="preserve"> be </w:t>
      </w:r>
      <w:r w:rsidR="00AD2DF7" w:rsidRPr="00332167">
        <w:rPr>
          <w:rFonts w:ascii="Verdana" w:hAnsi="Verdana"/>
          <w:sz w:val="20"/>
          <w:lang w:val="en-NZ"/>
        </w:rPr>
        <w:t>achieved</w:t>
      </w:r>
      <w:r w:rsidR="003C5F06" w:rsidRPr="00332167">
        <w:rPr>
          <w:rFonts w:ascii="Verdana" w:hAnsi="Verdana"/>
          <w:sz w:val="20"/>
          <w:lang w:val="en-NZ"/>
        </w:rPr>
        <w:t xml:space="preserve"> through operational guidance </w:t>
      </w:r>
      <w:r w:rsidR="00894FC5" w:rsidRPr="00332167">
        <w:rPr>
          <w:rFonts w:ascii="Verdana" w:hAnsi="Verdana"/>
          <w:sz w:val="20"/>
          <w:lang w:val="en-NZ"/>
        </w:rPr>
        <w:t xml:space="preserve">or performance measures </w:t>
      </w:r>
      <w:r w:rsidR="003C5F06" w:rsidRPr="00332167">
        <w:rPr>
          <w:rFonts w:ascii="Verdana" w:hAnsi="Verdana"/>
          <w:sz w:val="20"/>
          <w:lang w:val="en-NZ"/>
        </w:rPr>
        <w:t xml:space="preserve">alone. As previously noted, prior reviews were unsatisfactory as they resulted in </w:t>
      </w:r>
      <w:r w:rsidR="0063208F" w:rsidRPr="00332167">
        <w:rPr>
          <w:rFonts w:ascii="Verdana" w:hAnsi="Verdana"/>
          <w:sz w:val="20"/>
          <w:lang w:val="en-NZ"/>
        </w:rPr>
        <w:t>incoherent</w:t>
      </w:r>
      <w:r w:rsidR="003C5F06" w:rsidRPr="00332167">
        <w:rPr>
          <w:rFonts w:ascii="Verdana" w:hAnsi="Verdana"/>
          <w:sz w:val="20"/>
          <w:lang w:val="en-NZ"/>
        </w:rPr>
        <w:t xml:space="preserve"> changes that did not lead to any major change in outcomes. </w:t>
      </w:r>
      <w:r w:rsidR="003C5F06" w:rsidRPr="00332167">
        <w:rPr>
          <w:rFonts w:ascii="Verdana" w:hAnsi="Verdana"/>
          <w:sz w:val="20"/>
          <w:lang w:val="en-NZ"/>
        </w:rPr>
        <w:lastRenderedPageBreak/>
        <w:t>M</w:t>
      </w:r>
      <w:r w:rsidR="00391E76" w:rsidRPr="00332167">
        <w:rPr>
          <w:rFonts w:ascii="Verdana" w:hAnsi="Verdana"/>
          <w:sz w:val="20"/>
          <w:lang w:val="en-NZ"/>
        </w:rPr>
        <w:t>ā</w:t>
      </w:r>
      <w:r w:rsidR="003C5F06" w:rsidRPr="00332167">
        <w:rPr>
          <w:rFonts w:ascii="Verdana" w:hAnsi="Verdana"/>
          <w:sz w:val="20"/>
          <w:lang w:val="en-NZ"/>
        </w:rPr>
        <w:t xml:space="preserve">ori are seeking transformational change that </w:t>
      </w:r>
      <w:r w:rsidR="00821A23" w:rsidRPr="00332167">
        <w:rPr>
          <w:rFonts w:ascii="Verdana" w:hAnsi="Verdana"/>
          <w:sz w:val="20"/>
          <w:lang w:val="en-NZ"/>
        </w:rPr>
        <w:t>provides appropriate recognition to</w:t>
      </w:r>
      <w:r w:rsidR="00821A23">
        <w:rPr>
          <w:rFonts w:ascii="Verdana" w:hAnsi="Verdana"/>
          <w:sz w:val="20"/>
        </w:rPr>
        <w:t xml:space="preserve"> the long-standing concerns about the failure of the current system to address the needs of Māori. </w:t>
      </w:r>
    </w:p>
    <w:p w:rsidR="00821A23" w:rsidRPr="00332167" w:rsidRDefault="000710A9"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w:t>
      </w:r>
      <w:r w:rsidR="001947E9" w:rsidRPr="00332167">
        <w:rPr>
          <w:rFonts w:ascii="Verdana" w:hAnsi="Verdana"/>
          <w:sz w:val="20"/>
          <w:lang w:val="en-NZ"/>
        </w:rPr>
        <w:t xml:space="preserve"> new principle</w:t>
      </w:r>
      <w:r w:rsidR="0084005B" w:rsidRPr="00332167">
        <w:rPr>
          <w:rFonts w:ascii="Verdana" w:hAnsi="Verdana"/>
          <w:sz w:val="20"/>
          <w:lang w:val="en-NZ"/>
        </w:rPr>
        <w:t>s</w:t>
      </w:r>
      <w:r w:rsidR="006D2D42" w:rsidRPr="00332167">
        <w:rPr>
          <w:rFonts w:ascii="Verdana" w:hAnsi="Verdana"/>
          <w:sz w:val="20"/>
          <w:lang w:val="en-NZ"/>
        </w:rPr>
        <w:t xml:space="preserve">, </w:t>
      </w:r>
      <w:r w:rsidRPr="00332167">
        <w:rPr>
          <w:rFonts w:ascii="Verdana" w:hAnsi="Verdana"/>
          <w:sz w:val="20"/>
          <w:lang w:val="en-NZ"/>
        </w:rPr>
        <w:t>when combined with other changes</w:t>
      </w:r>
      <w:r w:rsidR="00762DB6" w:rsidRPr="00332167">
        <w:rPr>
          <w:rFonts w:ascii="Verdana" w:hAnsi="Verdana"/>
          <w:sz w:val="20"/>
          <w:lang w:val="en-NZ"/>
        </w:rPr>
        <w:t xml:space="preserve"> proposed as part of this legislative reform</w:t>
      </w:r>
      <w:r w:rsidRPr="00332167">
        <w:rPr>
          <w:rFonts w:ascii="Verdana" w:hAnsi="Verdana"/>
          <w:sz w:val="20"/>
          <w:lang w:val="en-NZ"/>
        </w:rPr>
        <w:t>,</w:t>
      </w:r>
      <w:r w:rsidR="00757A87" w:rsidRPr="00332167">
        <w:rPr>
          <w:rFonts w:ascii="Verdana" w:hAnsi="Verdana"/>
          <w:sz w:val="20"/>
          <w:lang w:val="en-NZ"/>
        </w:rPr>
        <w:t xml:space="preserve"> provide</w:t>
      </w:r>
      <w:r w:rsidR="003C5F06" w:rsidRPr="00332167">
        <w:rPr>
          <w:rFonts w:ascii="Verdana" w:hAnsi="Verdana"/>
          <w:sz w:val="20"/>
          <w:lang w:val="en-NZ"/>
        </w:rPr>
        <w:t xml:space="preserve"> </w:t>
      </w:r>
      <w:r w:rsidR="00821A23" w:rsidRPr="00332167">
        <w:rPr>
          <w:rFonts w:ascii="Verdana" w:hAnsi="Verdana"/>
          <w:sz w:val="20"/>
          <w:lang w:val="en-NZ"/>
        </w:rPr>
        <w:t>specific and explicit recognition to the needs of M</w:t>
      </w:r>
      <w:r w:rsidR="00391E76" w:rsidRPr="00332167">
        <w:rPr>
          <w:rFonts w:ascii="Verdana" w:hAnsi="Verdana"/>
          <w:sz w:val="20"/>
          <w:lang w:val="en-NZ"/>
        </w:rPr>
        <w:t>ā</w:t>
      </w:r>
      <w:r w:rsidR="00821A23" w:rsidRPr="00332167">
        <w:rPr>
          <w:rFonts w:ascii="Verdana" w:hAnsi="Verdana"/>
          <w:sz w:val="20"/>
          <w:lang w:val="en-NZ"/>
        </w:rPr>
        <w:t>ori</w:t>
      </w:r>
      <w:r w:rsidR="00757A87" w:rsidRPr="00332167">
        <w:rPr>
          <w:rFonts w:ascii="Verdana" w:hAnsi="Verdana"/>
          <w:sz w:val="20"/>
          <w:lang w:val="en-NZ"/>
        </w:rPr>
        <w:t xml:space="preserve">. Legislation </w:t>
      </w:r>
      <w:r w:rsidR="00821A23" w:rsidRPr="00332167">
        <w:rPr>
          <w:rFonts w:ascii="Verdana" w:hAnsi="Verdana"/>
          <w:sz w:val="20"/>
          <w:lang w:val="en-NZ"/>
        </w:rPr>
        <w:t xml:space="preserve">sends a strong and deliberate message to stakeholders about the Government’s commitment to address these needs. Legislative change </w:t>
      </w:r>
      <w:r w:rsidR="003C5F06" w:rsidRPr="00332167">
        <w:rPr>
          <w:rFonts w:ascii="Verdana" w:hAnsi="Verdana"/>
          <w:sz w:val="20"/>
          <w:lang w:val="en-NZ"/>
        </w:rPr>
        <w:t xml:space="preserve">also </w:t>
      </w:r>
      <w:r w:rsidR="00821A23" w:rsidRPr="00332167">
        <w:rPr>
          <w:rFonts w:ascii="Verdana" w:hAnsi="Verdana"/>
          <w:sz w:val="20"/>
          <w:lang w:val="en-NZ"/>
        </w:rPr>
        <w:t xml:space="preserve">reflects the Government’s desire to effect transformational change that is enduring. </w:t>
      </w:r>
    </w:p>
    <w:p w:rsidR="004445E5" w:rsidRPr="00332167" w:rsidRDefault="004445E5" w:rsidP="00332167">
      <w:pPr>
        <w:pStyle w:val="ListParagraph"/>
        <w:numPr>
          <w:ilvl w:val="0"/>
          <w:numId w:val="10"/>
        </w:numPr>
        <w:spacing w:before="120" w:after="120"/>
        <w:ind w:left="567" w:hanging="567"/>
        <w:contextualSpacing w:val="0"/>
        <w:rPr>
          <w:rFonts w:ascii="Verdana" w:hAnsi="Verdana"/>
          <w:sz w:val="20"/>
          <w:lang w:val="en-NZ"/>
        </w:rPr>
      </w:pPr>
      <w:r w:rsidRPr="000710A9">
        <w:rPr>
          <w:rFonts w:ascii="Verdana" w:hAnsi="Verdana"/>
          <w:sz w:val="20"/>
          <w:lang w:val="en-NZ"/>
        </w:rPr>
        <w:t>A number of other jurisdictions have included legislative provisions aimed at reducing the over-representation of indigenous populations in the statutory care and justice system. These jurisdictions include states in Australia, Canada and the United States</w:t>
      </w:r>
      <w:r w:rsidRPr="00332167">
        <w:rPr>
          <w:rFonts w:ascii="Verdana" w:hAnsi="Verdana"/>
          <w:sz w:val="20"/>
          <w:lang w:val="en-NZ"/>
        </w:rPr>
        <w:t xml:space="preserve">.  </w:t>
      </w:r>
    </w:p>
    <w:p w:rsidR="00155069" w:rsidRPr="00757A87" w:rsidRDefault="00AD2DF7"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 xml:space="preserve">Legislation rather than policy sends a signal in the most enduring way about </w:t>
      </w:r>
      <w:r w:rsidR="004445E5" w:rsidRPr="00757A87">
        <w:rPr>
          <w:rFonts w:ascii="Verdana" w:hAnsi="Verdana"/>
          <w:sz w:val="20"/>
          <w:lang w:val="en-NZ"/>
        </w:rPr>
        <w:t>the importanc</w:t>
      </w:r>
      <w:r w:rsidR="00881E86">
        <w:rPr>
          <w:rFonts w:ascii="Verdana" w:hAnsi="Verdana"/>
          <w:sz w:val="20"/>
          <w:lang w:val="en-NZ"/>
        </w:rPr>
        <w:t>e placed by go</w:t>
      </w:r>
      <w:r w:rsidR="004445E5" w:rsidRPr="00757A87">
        <w:rPr>
          <w:rFonts w:ascii="Verdana" w:hAnsi="Verdana"/>
          <w:sz w:val="20"/>
          <w:lang w:val="en-NZ"/>
        </w:rPr>
        <w:t>vernment on achievi</w:t>
      </w:r>
      <w:r w:rsidR="00155069" w:rsidRPr="00757A87">
        <w:rPr>
          <w:rFonts w:ascii="Verdana" w:hAnsi="Verdana"/>
          <w:sz w:val="20"/>
          <w:lang w:val="en-NZ"/>
        </w:rPr>
        <w:t>ng positive change for Māori</w:t>
      </w:r>
      <w:r>
        <w:rPr>
          <w:rFonts w:ascii="Verdana" w:hAnsi="Verdana"/>
          <w:sz w:val="20"/>
          <w:lang w:val="en-NZ"/>
        </w:rPr>
        <w:t xml:space="preserve">.  It will </w:t>
      </w:r>
      <w:r w:rsidR="00155069" w:rsidRPr="00757A87">
        <w:rPr>
          <w:rFonts w:ascii="Verdana" w:hAnsi="Verdana"/>
          <w:sz w:val="20"/>
          <w:lang w:val="en-NZ"/>
        </w:rPr>
        <w:t>provide</w:t>
      </w:r>
      <w:r w:rsidR="00762DB6">
        <w:rPr>
          <w:rFonts w:ascii="Verdana" w:hAnsi="Verdana"/>
          <w:sz w:val="20"/>
          <w:lang w:val="en-NZ"/>
        </w:rPr>
        <w:t xml:space="preserve"> the basis for a Māori-focus</w:t>
      </w:r>
      <w:r w:rsidR="00155069" w:rsidRPr="00757A87">
        <w:rPr>
          <w:rFonts w:ascii="Verdana" w:hAnsi="Verdana"/>
          <w:sz w:val="20"/>
          <w:lang w:val="en-NZ"/>
        </w:rPr>
        <w:t>ed framework to guide practitioners and provide direction for the system as a whole.</w:t>
      </w:r>
    </w:p>
    <w:p w:rsidR="00224F38" w:rsidRDefault="00224F38"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 xml:space="preserve">There is a risk that practitioners may give too much emphasis to the new </w:t>
      </w:r>
      <w:r w:rsidR="008E6ACB">
        <w:rPr>
          <w:rFonts w:ascii="Verdana" w:hAnsi="Verdana"/>
          <w:sz w:val="20"/>
          <w:lang w:val="en-NZ"/>
        </w:rPr>
        <w:t>principle</w:t>
      </w:r>
      <w:r>
        <w:rPr>
          <w:rFonts w:ascii="Verdana" w:hAnsi="Verdana"/>
          <w:sz w:val="20"/>
          <w:lang w:val="en-NZ"/>
        </w:rPr>
        <w:t xml:space="preserve"> at the expense of other considerations when working with Māori children and young people. A focus on culture and identity, whilst important, </w:t>
      </w:r>
      <w:r w:rsidR="001947E9">
        <w:rPr>
          <w:rFonts w:ascii="Verdana" w:hAnsi="Verdana"/>
          <w:sz w:val="20"/>
          <w:lang w:val="en-NZ"/>
        </w:rPr>
        <w:t>will not get better results for</w:t>
      </w:r>
      <w:r>
        <w:rPr>
          <w:rFonts w:ascii="Verdana" w:hAnsi="Verdana"/>
          <w:sz w:val="20"/>
          <w:lang w:val="en-NZ"/>
        </w:rPr>
        <w:t xml:space="preserve"> M</w:t>
      </w:r>
      <w:r w:rsidR="001947E9">
        <w:rPr>
          <w:rFonts w:ascii="Verdana" w:hAnsi="Verdana"/>
          <w:sz w:val="20"/>
          <w:lang w:val="en-NZ"/>
        </w:rPr>
        <w:t>ā</w:t>
      </w:r>
      <w:r>
        <w:rPr>
          <w:rFonts w:ascii="Verdana" w:hAnsi="Verdana"/>
          <w:sz w:val="20"/>
          <w:lang w:val="en-NZ"/>
        </w:rPr>
        <w:t>ori children and young people</w:t>
      </w:r>
      <w:r w:rsidR="001947E9">
        <w:rPr>
          <w:rFonts w:ascii="Verdana" w:hAnsi="Verdana"/>
          <w:sz w:val="20"/>
          <w:lang w:val="en-NZ"/>
        </w:rPr>
        <w:t xml:space="preserve"> by itself</w:t>
      </w:r>
      <w:r>
        <w:rPr>
          <w:rFonts w:ascii="Verdana" w:hAnsi="Verdana"/>
          <w:sz w:val="20"/>
          <w:lang w:val="en-NZ"/>
        </w:rPr>
        <w:t>.</w:t>
      </w:r>
      <w:r w:rsidR="001947E9">
        <w:rPr>
          <w:rFonts w:ascii="Verdana" w:hAnsi="Verdana"/>
          <w:sz w:val="20"/>
          <w:lang w:val="en-NZ"/>
        </w:rPr>
        <w:t xml:space="preserve"> </w:t>
      </w:r>
      <w:r w:rsidR="0084005B">
        <w:rPr>
          <w:rFonts w:ascii="Verdana" w:hAnsi="Verdana"/>
          <w:sz w:val="20"/>
          <w:lang w:val="en-NZ"/>
        </w:rPr>
        <w:t>This focus</w:t>
      </w:r>
      <w:r w:rsidR="001947E9">
        <w:rPr>
          <w:rFonts w:ascii="Verdana" w:hAnsi="Verdana"/>
          <w:sz w:val="20"/>
          <w:lang w:val="en-NZ"/>
        </w:rPr>
        <w:t xml:space="preserve"> needs to be part of wider effective practice and appropriate services.</w:t>
      </w:r>
    </w:p>
    <w:p w:rsidR="00427D82" w:rsidRPr="00757A87" w:rsidRDefault="00401FDE" w:rsidP="00332167">
      <w:pPr>
        <w:pStyle w:val="ListParagraph"/>
        <w:numPr>
          <w:ilvl w:val="0"/>
          <w:numId w:val="10"/>
        </w:numPr>
        <w:spacing w:before="120" w:after="120"/>
        <w:ind w:left="567" w:hanging="567"/>
        <w:contextualSpacing w:val="0"/>
        <w:rPr>
          <w:rFonts w:ascii="Verdana" w:hAnsi="Verdana"/>
          <w:sz w:val="20"/>
          <w:lang w:val="en-NZ"/>
        </w:rPr>
      </w:pPr>
      <w:r>
        <w:rPr>
          <w:rFonts w:ascii="Verdana" w:hAnsi="Verdana"/>
          <w:sz w:val="20"/>
          <w:lang w:val="en-NZ"/>
        </w:rPr>
        <w:t>This r</w:t>
      </w:r>
      <w:r w:rsidR="00224F38">
        <w:rPr>
          <w:rFonts w:ascii="Verdana" w:hAnsi="Verdana"/>
          <w:sz w:val="20"/>
          <w:lang w:val="en-NZ"/>
        </w:rPr>
        <w:t>isk</w:t>
      </w:r>
      <w:r w:rsidR="00427D82" w:rsidRPr="00757A87">
        <w:rPr>
          <w:rFonts w:ascii="Verdana" w:hAnsi="Verdana"/>
          <w:sz w:val="20"/>
          <w:lang w:val="en-NZ"/>
        </w:rPr>
        <w:t xml:space="preserve"> can be mitigated by clear</w:t>
      </w:r>
      <w:r w:rsidR="00762DB6">
        <w:rPr>
          <w:rFonts w:ascii="Verdana" w:hAnsi="Verdana"/>
          <w:sz w:val="20"/>
          <w:lang w:val="en-NZ"/>
        </w:rPr>
        <w:t>ly</w:t>
      </w:r>
      <w:r w:rsidR="00427D82" w:rsidRPr="00757A87">
        <w:rPr>
          <w:rFonts w:ascii="Verdana" w:hAnsi="Verdana"/>
          <w:sz w:val="20"/>
          <w:lang w:val="en-NZ"/>
        </w:rPr>
        <w:t xml:space="preserve"> signposting in the legislation that the</w:t>
      </w:r>
      <w:r w:rsidR="00224F38">
        <w:rPr>
          <w:rFonts w:ascii="Verdana" w:hAnsi="Verdana"/>
          <w:sz w:val="20"/>
          <w:lang w:val="en-NZ"/>
        </w:rPr>
        <w:t xml:space="preserve"> purpose and </w:t>
      </w:r>
      <w:r w:rsidR="00427D82" w:rsidRPr="00757A87">
        <w:rPr>
          <w:rFonts w:ascii="Verdana" w:hAnsi="Verdana"/>
          <w:sz w:val="20"/>
          <w:lang w:val="en-NZ"/>
        </w:rPr>
        <w:t xml:space="preserve">principles are additional to and do not replace any other principles in Part 1 of the </w:t>
      </w:r>
      <w:r w:rsidR="0084005B">
        <w:rPr>
          <w:rFonts w:ascii="Verdana" w:hAnsi="Verdana"/>
          <w:sz w:val="20"/>
          <w:lang w:val="en-NZ"/>
        </w:rPr>
        <w:t xml:space="preserve">CYPF </w:t>
      </w:r>
      <w:r w:rsidR="00427D82" w:rsidRPr="00757A87">
        <w:rPr>
          <w:rFonts w:ascii="Verdana" w:hAnsi="Verdana"/>
          <w:sz w:val="20"/>
          <w:lang w:val="en-NZ"/>
        </w:rPr>
        <w:t>Act</w:t>
      </w:r>
      <w:r w:rsidR="00224F38">
        <w:rPr>
          <w:rFonts w:ascii="Verdana" w:hAnsi="Verdana"/>
          <w:sz w:val="20"/>
          <w:lang w:val="en-NZ"/>
        </w:rPr>
        <w:t xml:space="preserve">. Practitioners must also be cognisant of the </w:t>
      </w:r>
      <w:r w:rsidR="00427D82" w:rsidRPr="00757A87">
        <w:rPr>
          <w:rFonts w:ascii="Verdana" w:hAnsi="Verdana"/>
          <w:sz w:val="20"/>
          <w:lang w:val="en-NZ"/>
        </w:rPr>
        <w:t>paramountcy of the wellbeing and interes</w:t>
      </w:r>
      <w:r w:rsidR="00881E86">
        <w:rPr>
          <w:rFonts w:ascii="Verdana" w:hAnsi="Verdana"/>
          <w:sz w:val="20"/>
          <w:lang w:val="en-NZ"/>
        </w:rPr>
        <w:t>ts of the child or young person</w:t>
      </w:r>
      <w:r w:rsidR="00427D82" w:rsidRPr="00757A87">
        <w:rPr>
          <w:rFonts w:ascii="Verdana" w:hAnsi="Verdana"/>
          <w:sz w:val="20"/>
          <w:lang w:val="en-NZ"/>
        </w:rPr>
        <w:t xml:space="preserve">. </w:t>
      </w:r>
      <w:r w:rsidR="00623089">
        <w:rPr>
          <w:rFonts w:ascii="Verdana" w:hAnsi="Verdana"/>
          <w:sz w:val="20"/>
          <w:lang w:val="en-NZ"/>
        </w:rPr>
        <w:t>T</w:t>
      </w:r>
      <w:r w:rsidR="00427D82" w:rsidRPr="00757A87">
        <w:rPr>
          <w:rFonts w:ascii="Verdana" w:hAnsi="Verdana"/>
          <w:sz w:val="20"/>
          <w:lang w:val="en-NZ"/>
        </w:rPr>
        <w:t xml:space="preserve">raining </w:t>
      </w:r>
      <w:r w:rsidR="00623089">
        <w:rPr>
          <w:rFonts w:ascii="Verdana" w:hAnsi="Verdana"/>
          <w:sz w:val="20"/>
          <w:lang w:val="en-NZ"/>
        </w:rPr>
        <w:t xml:space="preserve">will be provided </w:t>
      </w:r>
      <w:r w:rsidR="00427D82" w:rsidRPr="00757A87">
        <w:rPr>
          <w:rFonts w:ascii="Verdana" w:hAnsi="Verdana"/>
          <w:sz w:val="20"/>
          <w:lang w:val="en-NZ"/>
        </w:rPr>
        <w:t>for practitioners on how to use these principles</w:t>
      </w:r>
      <w:r w:rsidR="00623089">
        <w:rPr>
          <w:rFonts w:ascii="Verdana" w:hAnsi="Verdana"/>
          <w:sz w:val="20"/>
          <w:lang w:val="en-NZ"/>
        </w:rPr>
        <w:t xml:space="preserve">. </w:t>
      </w:r>
    </w:p>
    <w:p w:rsidR="00A84076" w:rsidRPr="007F0D98" w:rsidRDefault="005957E7" w:rsidP="00EF3527">
      <w:pPr>
        <w:pStyle w:val="Heading3"/>
        <w:spacing w:after="0" w:line="240" w:lineRule="auto"/>
        <w:rPr>
          <w:rFonts w:ascii="Verdana" w:hAnsi="Verdana" w:cs="Arial"/>
          <w:b w:val="0"/>
          <w:bCs/>
        </w:rPr>
      </w:pPr>
      <w:r>
        <w:rPr>
          <w:rFonts w:ascii="Verdana" w:hAnsi="Verdana" w:cs="Arial"/>
          <w:bCs/>
        </w:rPr>
        <w:t>O</w:t>
      </w:r>
      <w:r w:rsidR="00A84076" w:rsidRPr="007F0D98">
        <w:rPr>
          <w:rFonts w:ascii="Verdana" w:hAnsi="Verdana" w:cs="Arial"/>
          <w:bCs/>
        </w:rPr>
        <w:t xml:space="preserve">ption </w:t>
      </w:r>
      <w:r>
        <w:rPr>
          <w:rFonts w:ascii="Verdana" w:hAnsi="Verdana" w:cs="Arial"/>
          <w:bCs/>
        </w:rPr>
        <w:t>5</w:t>
      </w:r>
      <w:r w:rsidR="00F863E2">
        <w:rPr>
          <w:rFonts w:ascii="Verdana" w:hAnsi="Verdana" w:cs="Arial"/>
          <w:bCs/>
        </w:rPr>
        <w:t xml:space="preserve"> – broadened and clarified duties</w:t>
      </w:r>
    </w:p>
    <w:p w:rsidR="007649BF" w:rsidRPr="00332167" w:rsidRDefault="001947E9"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Option </w:t>
      </w:r>
      <w:r w:rsidR="005957E7" w:rsidRPr="00332167">
        <w:rPr>
          <w:rFonts w:ascii="Verdana" w:hAnsi="Verdana"/>
          <w:sz w:val="20"/>
          <w:lang w:val="en-NZ"/>
        </w:rPr>
        <w:t>5</w:t>
      </w:r>
      <w:r w:rsidRPr="00332167">
        <w:rPr>
          <w:rFonts w:ascii="Verdana" w:hAnsi="Verdana"/>
          <w:sz w:val="20"/>
          <w:lang w:val="en-NZ"/>
        </w:rPr>
        <w:t xml:space="preserve"> </w:t>
      </w:r>
      <w:r w:rsidR="007649BF" w:rsidRPr="00332167">
        <w:rPr>
          <w:rFonts w:ascii="Verdana" w:hAnsi="Verdana"/>
          <w:sz w:val="20"/>
          <w:lang w:val="en-NZ"/>
        </w:rPr>
        <w:t xml:space="preserve">entails broadening and clarifying the statutory duties the </w:t>
      </w:r>
      <w:r w:rsidR="006E27B2" w:rsidRPr="00332167">
        <w:rPr>
          <w:rFonts w:ascii="Verdana" w:hAnsi="Verdana"/>
          <w:sz w:val="20"/>
          <w:lang w:val="en-NZ"/>
        </w:rPr>
        <w:t xml:space="preserve">CE </w:t>
      </w:r>
      <w:r w:rsidR="007649BF" w:rsidRPr="00332167">
        <w:rPr>
          <w:rFonts w:ascii="Verdana" w:hAnsi="Verdana"/>
          <w:sz w:val="20"/>
          <w:lang w:val="en-NZ"/>
        </w:rPr>
        <w:t xml:space="preserve">already has under the CYPF Act by recognising and respecting the Treaty of Waitangi. These duties </w:t>
      </w:r>
      <w:r w:rsidR="0084005B" w:rsidRPr="00332167">
        <w:rPr>
          <w:rFonts w:ascii="Verdana" w:hAnsi="Verdana"/>
          <w:sz w:val="20"/>
          <w:lang w:val="en-NZ"/>
        </w:rPr>
        <w:t>include</w:t>
      </w:r>
      <w:r w:rsidR="00901C28" w:rsidRPr="00332167">
        <w:rPr>
          <w:rFonts w:ascii="Verdana" w:hAnsi="Verdana"/>
          <w:sz w:val="20"/>
          <w:lang w:val="en-NZ"/>
        </w:rPr>
        <w:t xml:space="preserve"> that</w:t>
      </w:r>
      <w:r w:rsidR="0084005B" w:rsidRPr="00332167">
        <w:rPr>
          <w:rFonts w:ascii="Verdana" w:hAnsi="Verdana"/>
          <w:sz w:val="20"/>
          <w:lang w:val="en-NZ"/>
        </w:rPr>
        <w:t xml:space="preserve">: </w:t>
      </w:r>
    </w:p>
    <w:p w:rsidR="007649BF" w:rsidRPr="00901C28" w:rsidRDefault="0084005B" w:rsidP="00BF3E35">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the policies and practices adopted by MVCOT that impact on the wellbeing of children have the objective of reducing disparities by setting measurable outcomes for M</w:t>
      </w:r>
      <w:r w:rsidRPr="007649BF">
        <w:rPr>
          <w:rFonts w:ascii="Verdana" w:hAnsi="Verdana" w:cs="Arial"/>
          <w:sz w:val="20"/>
        </w:rPr>
        <w:t>ā</w:t>
      </w:r>
      <w:r>
        <w:rPr>
          <w:rFonts w:ascii="Verdana" w:hAnsi="Verdana" w:cs="Arial"/>
          <w:sz w:val="20"/>
        </w:rPr>
        <w:t xml:space="preserve">ori </w:t>
      </w:r>
      <w:r w:rsidRPr="00901C28">
        <w:rPr>
          <w:rFonts w:ascii="Verdana" w:hAnsi="Verdana"/>
          <w:sz w:val="20"/>
        </w:rPr>
        <w:t>children and young people who come to the attention of MVCOT</w:t>
      </w:r>
    </w:p>
    <w:p w:rsidR="0084005B" w:rsidRPr="00901C28" w:rsidRDefault="0084005B" w:rsidP="00BF3E35">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the policies, practices and services of MVCOT will have regard to the mana and whakapapa of the child, and whanaungatanga responsibilities of the wh</w:t>
      </w:r>
      <w:r w:rsidRPr="00901C28">
        <w:rPr>
          <w:rFonts w:ascii="Verdana" w:hAnsi="Verdana"/>
          <w:sz w:val="20"/>
        </w:rPr>
        <w:t xml:space="preserve">ānau, hapū and </w:t>
      </w:r>
      <w:r w:rsidR="00901C28" w:rsidRPr="00901C28">
        <w:rPr>
          <w:rFonts w:ascii="Verdana" w:hAnsi="Verdana"/>
          <w:sz w:val="20"/>
        </w:rPr>
        <w:t>iwi</w:t>
      </w:r>
    </w:p>
    <w:p w:rsidR="00901C28" w:rsidRPr="00913EDB" w:rsidRDefault="00901C28" w:rsidP="00BF3E35">
      <w:pPr>
        <w:pStyle w:val="ListParagraph"/>
        <w:numPr>
          <w:ilvl w:val="0"/>
          <w:numId w:val="31"/>
        </w:numPr>
        <w:spacing w:before="120" w:after="120" w:line="240" w:lineRule="exact"/>
        <w:ind w:left="1077" w:right="170" w:hanging="357"/>
        <w:contextualSpacing w:val="0"/>
        <w:outlineLvl w:val="2"/>
        <w:rPr>
          <w:rFonts w:ascii="Verdana" w:hAnsi="Verdana"/>
          <w:sz w:val="20"/>
        </w:rPr>
      </w:pPr>
      <w:r w:rsidRPr="00901C28">
        <w:rPr>
          <w:rFonts w:ascii="Verdana" w:hAnsi="Verdana"/>
          <w:sz w:val="20"/>
        </w:rPr>
        <w:t xml:space="preserve">MVCOT will seek to develop </w:t>
      </w:r>
      <w:r w:rsidR="00913EDB" w:rsidRPr="00901C28">
        <w:rPr>
          <w:rFonts w:ascii="Verdana" w:hAnsi="Verdana"/>
          <w:sz w:val="20"/>
        </w:rPr>
        <w:t>strategic</w:t>
      </w:r>
      <w:r w:rsidRPr="00901C28">
        <w:rPr>
          <w:rFonts w:ascii="Verdana" w:hAnsi="Verdana"/>
          <w:sz w:val="20"/>
        </w:rPr>
        <w:t xml:space="preserve"> partnerships with </w:t>
      </w:r>
      <w:r w:rsidR="00913EDB" w:rsidRPr="00901C28">
        <w:rPr>
          <w:rFonts w:ascii="Verdana" w:hAnsi="Verdana"/>
          <w:sz w:val="20"/>
        </w:rPr>
        <w:t>iwi</w:t>
      </w:r>
      <w:r w:rsidRPr="00901C28">
        <w:rPr>
          <w:rFonts w:ascii="Verdana" w:hAnsi="Verdana"/>
          <w:sz w:val="20"/>
        </w:rPr>
        <w:t xml:space="preserve"> and Māori organisations</w:t>
      </w:r>
    </w:p>
    <w:p w:rsidR="00901C28" w:rsidRPr="00901C28" w:rsidRDefault="00901C28" w:rsidP="00BF3E35">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t</w:t>
      </w:r>
      <w:r w:rsidRPr="00901C28">
        <w:rPr>
          <w:rFonts w:ascii="Verdana" w:hAnsi="Verdana"/>
          <w:sz w:val="20"/>
        </w:rPr>
        <w:t xml:space="preserve">he CE shall report annually on the measures taken in relation to these stated duties, including the impact of these measures in improving outcomes for Māori who come to the attention of MVCOT and the steps to be </w:t>
      </w:r>
      <w:r w:rsidR="00913EDB">
        <w:rPr>
          <w:rFonts w:ascii="Verdana" w:hAnsi="Verdana"/>
          <w:sz w:val="20"/>
        </w:rPr>
        <w:t>taken</w:t>
      </w:r>
      <w:r w:rsidRPr="00901C28">
        <w:rPr>
          <w:rFonts w:ascii="Verdana" w:hAnsi="Verdana"/>
          <w:sz w:val="20"/>
        </w:rPr>
        <w:t xml:space="preserve"> in the immediate future.</w:t>
      </w:r>
    </w:p>
    <w:p w:rsidR="007649BF" w:rsidRPr="00332167" w:rsidRDefault="007649BF"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 dut</w:t>
      </w:r>
      <w:r w:rsidR="00901C28" w:rsidRPr="00332167">
        <w:rPr>
          <w:rFonts w:ascii="Verdana" w:hAnsi="Verdana"/>
          <w:sz w:val="20"/>
          <w:lang w:val="en-NZ"/>
        </w:rPr>
        <w:t>y</w:t>
      </w:r>
      <w:r w:rsidRPr="00332167">
        <w:rPr>
          <w:rFonts w:ascii="Verdana" w:hAnsi="Verdana"/>
          <w:sz w:val="20"/>
          <w:lang w:val="en-NZ"/>
        </w:rPr>
        <w:t xml:space="preserve"> </w:t>
      </w:r>
      <w:r w:rsidR="00901C28" w:rsidRPr="00332167">
        <w:rPr>
          <w:rFonts w:ascii="Verdana" w:hAnsi="Verdana"/>
          <w:sz w:val="20"/>
          <w:lang w:val="en-NZ"/>
        </w:rPr>
        <w:t>to seek to develop strategic partnerships will allow MVCOT to</w:t>
      </w:r>
      <w:r w:rsidRPr="00332167">
        <w:rPr>
          <w:rFonts w:ascii="Verdana" w:hAnsi="Verdana"/>
          <w:sz w:val="20"/>
          <w:lang w:val="en-NZ"/>
        </w:rPr>
        <w:t>:</w:t>
      </w:r>
    </w:p>
    <w:p w:rsidR="007649BF" w:rsidRPr="00901C28" w:rsidRDefault="00901C28" w:rsidP="00913EDB">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 xml:space="preserve"> provide opportunity and invite innovation from organisations interested in improving outcomes for M</w:t>
      </w:r>
      <w:r w:rsidRPr="00913EDB">
        <w:rPr>
          <w:rFonts w:ascii="Verdana" w:hAnsi="Verdana"/>
          <w:sz w:val="20"/>
        </w:rPr>
        <w:t>āori children, young people and their wh</w:t>
      </w:r>
      <w:r w:rsidRPr="009D007C">
        <w:rPr>
          <w:rFonts w:ascii="Verdana" w:hAnsi="Verdana"/>
          <w:sz w:val="20"/>
        </w:rPr>
        <w:t>ānau who come to the attention of MVCOT</w:t>
      </w:r>
    </w:p>
    <w:p w:rsidR="00901C28" w:rsidRPr="00901C28" w:rsidRDefault="00901C28" w:rsidP="00913EDB">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lastRenderedPageBreak/>
        <w:t>contribute to setting expectations and targets to improve outcomes for M</w:t>
      </w:r>
      <w:r w:rsidRPr="00913EDB">
        <w:rPr>
          <w:rFonts w:ascii="Verdana" w:hAnsi="Verdana"/>
          <w:sz w:val="20"/>
        </w:rPr>
        <w:t>āori children and  young people who come to the attention of MVCOT</w:t>
      </w:r>
    </w:p>
    <w:p w:rsidR="00901C28" w:rsidRDefault="00901C28" w:rsidP="00913EDB">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enable robust, regular and genuine exchange of information</w:t>
      </w:r>
    </w:p>
    <w:p w:rsidR="00901C28" w:rsidRPr="00901C28" w:rsidRDefault="00901C28" w:rsidP="00913EDB">
      <w:pPr>
        <w:pStyle w:val="ListParagraph"/>
        <w:numPr>
          <w:ilvl w:val="0"/>
          <w:numId w:val="31"/>
        </w:numPr>
        <w:spacing w:before="120" w:after="120" w:line="240" w:lineRule="exact"/>
        <w:ind w:left="1077" w:right="170" w:hanging="357"/>
        <w:contextualSpacing w:val="0"/>
        <w:outlineLvl w:val="2"/>
        <w:rPr>
          <w:rFonts w:ascii="Verdana" w:hAnsi="Verdana"/>
          <w:sz w:val="20"/>
        </w:rPr>
      </w:pPr>
      <w:r>
        <w:rPr>
          <w:rFonts w:ascii="Verdana" w:hAnsi="Verdana"/>
          <w:sz w:val="20"/>
        </w:rPr>
        <w:t xml:space="preserve">consider opportunities for the CE to delegate </w:t>
      </w:r>
      <w:r w:rsidR="00913EDB">
        <w:rPr>
          <w:rFonts w:ascii="Verdana" w:hAnsi="Verdana"/>
          <w:sz w:val="20"/>
        </w:rPr>
        <w:t>functions</w:t>
      </w:r>
      <w:r>
        <w:rPr>
          <w:rFonts w:ascii="Verdana" w:hAnsi="Verdana"/>
          <w:sz w:val="20"/>
        </w:rPr>
        <w:t xml:space="preserve"> to appropriately qualified people within iwi and other M</w:t>
      </w:r>
      <w:r w:rsidRPr="00913EDB">
        <w:rPr>
          <w:rFonts w:ascii="Verdana" w:hAnsi="Verdana"/>
          <w:sz w:val="20"/>
        </w:rPr>
        <w:t>āori organisations</w:t>
      </w:r>
    </w:p>
    <w:p w:rsidR="00901C28" w:rsidRPr="007649BF" w:rsidRDefault="00901C28" w:rsidP="00913EDB">
      <w:pPr>
        <w:pStyle w:val="ListParagraph"/>
        <w:numPr>
          <w:ilvl w:val="0"/>
          <w:numId w:val="31"/>
        </w:numPr>
        <w:spacing w:before="120" w:after="120" w:line="240" w:lineRule="exact"/>
        <w:ind w:left="1077" w:right="170" w:hanging="357"/>
        <w:contextualSpacing w:val="0"/>
        <w:outlineLvl w:val="2"/>
        <w:rPr>
          <w:rFonts w:ascii="Verdana" w:hAnsi="Verdana"/>
          <w:sz w:val="20"/>
        </w:rPr>
      </w:pPr>
      <w:proofErr w:type="gramStart"/>
      <w:r>
        <w:rPr>
          <w:rFonts w:ascii="Verdana" w:hAnsi="Verdana"/>
          <w:sz w:val="20"/>
        </w:rPr>
        <w:t>provide</w:t>
      </w:r>
      <w:proofErr w:type="gramEnd"/>
      <w:r>
        <w:rPr>
          <w:rFonts w:ascii="Verdana" w:hAnsi="Verdana"/>
          <w:sz w:val="20"/>
        </w:rPr>
        <w:t xml:space="preserve">, and regularly review, guidance to persons discharging </w:t>
      </w:r>
      <w:r w:rsidR="00913EDB">
        <w:rPr>
          <w:rFonts w:ascii="Verdana" w:hAnsi="Verdana"/>
          <w:sz w:val="20"/>
        </w:rPr>
        <w:t>functions</w:t>
      </w:r>
      <w:r>
        <w:rPr>
          <w:rFonts w:ascii="Verdana" w:hAnsi="Verdana"/>
          <w:sz w:val="20"/>
        </w:rPr>
        <w:t xml:space="preserve"> un</w:t>
      </w:r>
      <w:r w:rsidR="00913EDB">
        <w:rPr>
          <w:rFonts w:ascii="Verdana" w:hAnsi="Verdana"/>
          <w:sz w:val="20"/>
        </w:rPr>
        <w:t>d</w:t>
      </w:r>
      <w:r>
        <w:rPr>
          <w:rFonts w:ascii="Verdana" w:hAnsi="Verdana"/>
          <w:sz w:val="20"/>
        </w:rPr>
        <w:t>er the CYPF Act to support cultural competency as a best practice feature of the Oranga Tamariki workforce.</w:t>
      </w:r>
    </w:p>
    <w:p w:rsidR="002B35FE" w:rsidRPr="00332167" w:rsidRDefault="002B35FE"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 suite of proposals</w:t>
      </w:r>
      <w:r w:rsidR="00691E62" w:rsidRPr="00332167">
        <w:rPr>
          <w:rFonts w:ascii="Verdana" w:hAnsi="Verdana"/>
          <w:sz w:val="20"/>
          <w:lang w:val="en-NZ"/>
        </w:rPr>
        <w:t xml:space="preserve"> in Option </w:t>
      </w:r>
      <w:r w:rsidR="0084005B" w:rsidRPr="00332167">
        <w:rPr>
          <w:rFonts w:ascii="Verdana" w:hAnsi="Verdana"/>
          <w:sz w:val="20"/>
          <w:lang w:val="en-NZ"/>
        </w:rPr>
        <w:t>5</w:t>
      </w:r>
      <w:r w:rsidRPr="00332167">
        <w:rPr>
          <w:rFonts w:ascii="Verdana" w:hAnsi="Verdana"/>
          <w:sz w:val="20"/>
          <w:lang w:val="en-NZ"/>
        </w:rPr>
        <w:t xml:space="preserve">, which are complementary and mutually supportive, are intended to bring about greater clarity about the direction of </w:t>
      </w:r>
      <w:r w:rsidR="008135DF" w:rsidRPr="00332167">
        <w:rPr>
          <w:rFonts w:ascii="Verdana" w:hAnsi="Verdana"/>
          <w:sz w:val="20"/>
          <w:lang w:val="en-NZ"/>
        </w:rPr>
        <w:t>MVCOT</w:t>
      </w:r>
      <w:r w:rsidRPr="00332167">
        <w:rPr>
          <w:rFonts w:ascii="Verdana" w:hAnsi="Verdana"/>
          <w:sz w:val="20"/>
          <w:lang w:val="en-NZ"/>
        </w:rPr>
        <w:t xml:space="preserve"> and its commitment to achieving better life outcomes for Māori children and young people.</w:t>
      </w:r>
    </w:p>
    <w:p w:rsidR="00913EDB" w:rsidRDefault="00913EDB" w:rsidP="004E22EE">
      <w:pPr>
        <w:pStyle w:val="ReportBody"/>
        <w:numPr>
          <w:ilvl w:val="0"/>
          <w:numId w:val="0"/>
        </w:numPr>
        <w:spacing w:line="280" w:lineRule="atLeast"/>
        <w:rPr>
          <w:i/>
          <w:sz w:val="22"/>
          <w:szCs w:val="22"/>
        </w:rPr>
      </w:pPr>
      <w:r>
        <w:rPr>
          <w:i/>
          <w:sz w:val="22"/>
          <w:szCs w:val="22"/>
        </w:rPr>
        <w:t>Strategic partnerships are a key mechanism for meeting the needs of vulnerable children and their families</w:t>
      </w:r>
    </w:p>
    <w:p w:rsidR="00913EDB" w:rsidRPr="00332167" w:rsidRDefault="00913EDB"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Strategic partnerships will enable iwi to have a greater role in decision-making and in performing statutory functions. Many iwi and Māori organisations are well place</w:t>
      </w:r>
      <w:r w:rsidR="00CA6547" w:rsidRPr="00332167">
        <w:rPr>
          <w:rFonts w:ascii="Verdana" w:hAnsi="Verdana"/>
          <w:sz w:val="20"/>
          <w:lang w:val="en-NZ"/>
        </w:rPr>
        <w:t>d</w:t>
      </w:r>
      <w:r w:rsidRPr="00332167">
        <w:rPr>
          <w:rFonts w:ascii="Verdana" w:hAnsi="Verdana"/>
          <w:sz w:val="20"/>
          <w:lang w:val="en-NZ"/>
        </w:rPr>
        <w:t xml:space="preserve"> to work with MVCOT and support Māori children, young people and their whānau. Strategic partnerships will involve joint planning and mutual trust, clear governance processes, transparent performance metrics and reporting, collaborative risk management and issues resolutions, and multi-tiered relationships and information exchanges. </w:t>
      </w:r>
    </w:p>
    <w:p w:rsidR="004E22EE" w:rsidRPr="005957E7" w:rsidRDefault="004E22EE" w:rsidP="004E22EE">
      <w:pPr>
        <w:pStyle w:val="ReportBody"/>
        <w:numPr>
          <w:ilvl w:val="0"/>
          <w:numId w:val="0"/>
        </w:numPr>
        <w:spacing w:line="280" w:lineRule="atLeast"/>
        <w:rPr>
          <w:i/>
          <w:sz w:val="22"/>
          <w:szCs w:val="22"/>
        </w:rPr>
      </w:pPr>
      <w:r w:rsidRPr="005957E7">
        <w:rPr>
          <w:i/>
          <w:sz w:val="22"/>
          <w:szCs w:val="22"/>
        </w:rPr>
        <w:t xml:space="preserve">New legislation to recognise </w:t>
      </w:r>
      <w:r w:rsidR="00CC124B" w:rsidRPr="005957E7">
        <w:rPr>
          <w:i/>
          <w:sz w:val="22"/>
          <w:szCs w:val="22"/>
        </w:rPr>
        <w:t>and respect</w:t>
      </w:r>
      <w:r w:rsidRPr="005957E7">
        <w:rPr>
          <w:i/>
          <w:sz w:val="22"/>
          <w:szCs w:val="22"/>
        </w:rPr>
        <w:t xml:space="preserve"> Treaty </w:t>
      </w:r>
      <w:r w:rsidR="00CC124B" w:rsidRPr="005957E7">
        <w:rPr>
          <w:i/>
          <w:sz w:val="22"/>
          <w:szCs w:val="22"/>
        </w:rPr>
        <w:t xml:space="preserve">of Waitangi </w:t>
      </w:r>
      <w:r w:rsidRPr="005957E7">
        <w:rPr>
          <w:i/>
          <w:sz w:val="22"/>
          <w:szCs w:val="22"/>
        </w:rPr>
        <w:t>is preferred</w:t>
      </w:r>
    </w:p>
    <w:p w:rsidR="00AD2DF7" w:rsidRPr="00332167" w:rsidRDefault="00E67920"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Legislating to recognise the Treaty of Waitangi and importance of cultural identity to </w:t>
      </w:r>
      <w:r w:rsidR="00AD2DF7" w:rsidRPr="00332167">
        <w:rPr>
          <w:rFonts w:ascii="Verdana" w:hAnsi="Verdana"/>
          <w:sz w:val="20"/>
          <w:lang w:val="en-NZ"/>
        </w:rPr>
        <w:t xml:space="preserve">the </w:t>
      </w:r>
      <w:r w:rsidRPr="00332167">
        <w:rPr>
          <w:rFonts w:ascii="Verdana" w:hAnsi="Verdana"/>
          <w:sz w:val="20"/>
          <w:lang w:val="en-NZ"/>
        </w:rPr>
        <w:t xml:space="preserve">wellbeing of children and young people has a number of advantages over different administrative devices. The main advantage is that legislation sends a clear, unambiguous message about </w:t>
      </w:r>
      <w:r w:rsidR="008135DF" w:rsidRPr="00332167">
        <w:rPr>
          <w:rFonts w:ascii="Verdana" w:hAnsi="Verdana"/>
          <w:sz w:val="20"/>
          <w:lang w:val="en-NZ"/>
        </w:rPr>
        <w:t>MVCOT</w:t>
      </w:r>
      <w:r w:rsidRPr="00332167">
        <w:rPr>
          <w:rFonts w:ascii="Verdana" w:hAnsi="Verdana"/>
          <w:sz w:val="20"/>
          <w:lang w:val="en-NZ"/>
        </w:rPr>
        <w:t>’s commitment to the principles of the</w:t>
      </w:r>
      <w:r w:rsidR="00DE05DF" w:rsidRPr="00332167">
        <w:rPr>
          <w:rFonts w:ascii="Verdana" w:hAnsi="Verdana"/>
          <w:sz w:val="20"/>
          <w:lang w:val="en-NZ"/>
        </w:rPr>
        <w:t xml:space="preserve"> Treaty of</w:t>
      </w:r>
      <w:r w:rsidRPr="00332167">
        <w:rPr>
          <w:rFonts w:ascii="Verdana" w:hAnsi="Verdana"/>
          <w:sz w:val="20"/>
          <w:lang w:val="en-NZ"/>
        </w:rPr>
        <w:t xml:space="preserve"> Waitangi and </w:t>
      </w:r>
      <w:r w:rsidR="00AD2DF7" w:rsidRPr="00332167">
        <w:rPr>
          <w:rFonts w:ascii="Verdana" w:hAnsi="Verdana"/>
          <w:sz w:val="20"/>
          <w:lang w:val="en-NZ"/>
        </w:rPr>
        <w:t xml:space="preserve">how this should be given effect.  </w:t>
      </w:r>
    </w:p>
    <w:p w:rsidR="00881E86" w:rsidRPr="00AD2DF7" w:rsidRDefault="00AF4AE3" w:rsidP="00332167">
      <w:pPr>
        <w:pStyle w:val="ListParagraph"/>
        <w:numPr>
          <w:ilvl w:val="0"/>
          <w:numId w:val="10"/>
        </w:numPr>
        <w:spacing w:before="120" w:after="120"/>
        <w:ind w:left="567" w:hanging="567"/>
        <w:contextualSpacing w:val="0"/>
        <w:rPr>
          <w:rFonts w:ascii="Verdana" w:hAnsi="Verdana"/>
          <w:sz w:val="20"/>
        </w:rPr>
      </w:pPr>
      <w:r w:rsidRPr="00332167">
        <w:rPr>
          <w:rFonts w:ascii="Verdana" w:hAnsi="Verdana"/>
          <w:sz w:val="20"/>
          <w:lang w:val="en-NZ"/>
        </w:rPr>
        <w:t>References to the Treaty can be found in other legislation where the Government is seeking to achieve better population-based outcomes, for example the</w:t>
      </w:r>
      <w:r w:rsidRPr="00AD2DF7">
        <w:rPr>
          <w:rFonts w:ascii="Verdana" w:hAnsi="Verdana"/>
          <w:sz w:val="20"/>
        </w:rPr>
        <w:t xml:space="preserve"> </w:t>
      </w:r>
      <w:r w:rsidRPr="00AD2DF7">
        <w:rPr>
          <w:rFonts w:ascii="Verdana" w:hAnsi="Verdana"/>
          <w:i/>
          <w:sz w:val="20"/>
        </w:rPr>
        <w:t>New Zealand Public Health and Disability Act 2000</w:t>
      </w:r>
      <w:r w:rsidR="00651C4E" w:rsidRPr="00AD2DF7">
        <w:rPr>
          <w:rFonts w:ascii="Verdana" w:hAnsi="Verdana"/>
          <w:sz w:val="20"/>
        </w:rPr>
        <w:t xml:space="preserve"> and the proposed </w:t>
      </w:r>
      <w:r w:rsidR="00651C4E" w:rsidRPr="00AD2DF7">
        <w:rPr>
          <w:rFonts w:ascii="Verdana" w:hAnsi="Verdana"/>
          <w:i/>
          <w:sz w:val="20"/>
        </w:rPr>
        <w:t>Education (Update) Amendment Bill</w:t>
      </w:r>
      <w:r w:rsidRPr="00AD2DF7">
        <w:rPr>
          <w:rFonts w:ascii="Verdana" w:hAnsi="Verdana"/>
          <w:sz w:val="20"/>
        </w:rPr>
        <w:t xml:space="preserve">. Such references recognise that Māori are likely to have a strong interest in the outcomes. </w:t>
      </w:r>
    </w:p>
    <w:p w:rsidR="00E67920" w:rsidRPr="00332167" w:rsidRDefault="00E67920"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Creating legislative provisions that specifically relate to the interests and culture of Māori may be seen by some as creating risks that the interests of Māori children and young people may be prioritised over other populations. </w:t>
      </w:r>
      <w:r w:rsidR="00017BB1" w:rsidRPr="00332167">
        <w:rPr>
          <w:rFonts w:ascii="Verdana" w:hAnsi="Verdana"/>
          <w:sz w:val="20"/>
          <w:lang w:val="en-NZ"/>
        </w:rPr>
        <w:t>The risk is balanced by the existing countervailing duty in section 7(2</w:t>
      </w:r>
      <w:proofErr w:type="gramStart"/>
      <w:r w:rsidR="00017BB1" w:rsidRPr="00332167">
        <w:rPr>
          <w:rFonts w:ascii="Verdana" w:hAnsi="Verdana"/>
          <w:sz w:val="20"/>
          <w:lang w:val="en-NZ"/>
        </w:rPr>
        <w:t>)(</w:t>
      </w:r>
      <w:proofErr w:type="gramEnd"/>
      <w:r w:rsidR="00017BB1" w:rsidRPr="00332167">
        <w:rPr>
          <w:rFonts w:ascii="Verdana" w:hAnsi="Verdana"/>
          <w:sz w:val="20"/>
          <w:lang w:val="en-NZ"/>
        </w:rPr>
        <w:t>c)(i)</w:t>
      </w:r>
      <w:r w:rsidR="00691E62" w:rsidRPr="00332167">
        <w:rPr>
          <w:rFonts w:ascii="Verdana" w:hAnsi="Verdana"/>
          <w:sz w:val="20"/>
          <w:lang w:val="en-NZ"/>
        </w:rPr>
        <w:t xml:space="preserve">, which requires the </w:t>
      </w:r>
      <w:r w:rsidR="006E27B2" w:rsidRPr="00332167">
        <w:rPr>
          <w:rFonts w:ascii="Verdana" w:hAnsi="Verdana"/>
          <w:sz w:val="20"/>
          <w:lang w:val="en-NZ"/>
        </w:rPr>
        <w:t>CE</w:t>
      </w:r>
      <w:r w:rsidR="00017BB1" w:rsidRPr="00332167">
        <w:rPr>
          <w:rFonts w:ascii="Verdana" w:hAnsi="Verdana"/>
          <w:sz w:val="20"/>
          <w:lang w:val="en-NZ"/>
        </w:rPr>
        <w:t xml:space="preserve"> to have regard to the cultural values of all cultural and ethnic groups.</w:t>
      </w:r>
    </w:p>
    <w:p w:rsidR="002E5477" w:rsidRPr="00332167" w:rsidRDefault="00E67920"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Reliance on generic legislation also overlooks the reality that </w:t>
      </w:r>
      <w:r w:rsidR="00691E62" w:rsidRPr="00332167">
        <w:rPr>
          <w:rFonts w:ascii="Verdana" w:hAnsi="Verdana"/>
          <w:sz w:val="20"/>
          <w:lang w:val="en-NZ"/>
        </w:rPr>
        <w:t>the majority</w:t>
      </w:r>
      <w:r w:rsidRPr="00332167">
        <w:rPr>
          <w:rFonts w:ascii="Verdana" w:hAnsi="Verdana"/>
          <w:sz w:val="20"/>
          <w:lang w:val="en-NZ"/>
        </w:rPr>
        <w:t xml:space="preserve"> children in care and youth justice are Māori. </w:t>
      </w:r>
      <w:r w:rsidR="002E5477" w:rsidRPr="00332167">
        <w:rPr>
          <w:rFonts w:ascii="Verdana" w:hAnsi="Verdana"/>
          <w:sz w:val="20"/>
          <w:lang w:val="en-NZ"/>
        </w:rPr>
        <w:t xml:space="preserve">Comparable overseas legislation contains provisions that relate specifically to indigenous populations. This reflects a widespread will to learn from the past and to have more culturally responsive child welfare systems.  </w:t>
      </w:r>
    </w:p>
    <w:p w:rsidR="00E67920" w:rsidRPr="00332167" w:rsidRDefault="00E67920"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We consider that non-legislative options such as performance measures and practice guidelines </w:t>
      </w:r>
      <w:r w:rsidR="006D2D42" w:rsidRPr="00332167">
        <w:rPr>
          <w:rFonts w:ascii="Verdana" w:hAnsi="Verdana"/>
          <w:sz w:val="20"/>
          <w:lang w:val="en-NZ"/>
        </w:rPr>
        <w:t>will</w:t>
      </w:r>
      <w:r w:rsidRPr="00332167">
        <w:rPr>
          <w:rFonts w:ascii="Verdana" w:hAnsi="Verdana"/>
          <w:sz w:val="20"/>
          <w:lang w:val="en-NZ"/>
        </w:rPr>
        <w:t xml:space="preserve"> deliver some beneficial changes. However, these </w:t>
      </w:r>
      <w:r w:rsidR="00017BB1" w:rsidRPr="00332167">
        <w:rPr>
          <w:rFonts w:ascii="Verdana" w:hAnsi="Verdana"/>
          <w:sz w:val="20"/>
          <w:lang w:val="en-NZ"/>
        </w:rPr>
        <w:t xml:space="preserve">benefits </w:t>
      </w:r>
      <w:r w:rsidRPr="00332167">
        <w:rPr>
          <w:rFonts w:ascii="Verdana" w:hAnsi="Verdana"/>
          <w:sz w:val="20"/>
          <w:lang w:val="en-NZ"/>
        </w:rPr>
        <w:t>are unlikely to have a transformative effect or drive culture changes on a consistent, sustainable basis</w:t>
      </w:r>
      <w:r w:rsidR="00E81E0A" w:rsidRPr="00332167">
        <w:rPr>
          <w:rFonts w:ascii="Verdana" w:hAnsi="Verdana"/>
          <w:sz w:val="20"/>
          <w:lang w:val="en-NZ"/>
        </w:rPr>
        <w:t xml:space="preserve"> </w:t>
      </w:r>
      <w:r w:rsidR="007649BF" w:rsidRPr="00332167">
        <w:rPr>
          <w:rFonts w:ascii="Verdana" w:hAnsi="Verdana"/>
          <w:sz w:val="20"/>
          <w:lang w:val="en-NZ"/>
        </w:rPr>
        <w:t>without</w:t>
      </w:r>
      <w:r w:rsidR="00E81E0A" w:rsidRPr="00332167">
        <w:rPr>
          <w:rFonts w:ascii="Verdana" w:hAnsi="Verdana"/>
          <w:sz w:val="20"/>
          <w:lang w:val="en-NZ"/>
        </w:rPr>
        <w:t xml:space="preserve"> a clear mandate</w:t>
      </w:r>
      <w:r w:rsidR="007649BF" w:rsidRPr="00332167">
        <w:rPr>
          <w:rFonts w:ascii="Verdana" w:hAnsi="Verdana"/>
          <w:sz w:val="20"/>
          <w:lang w:val="en-NZ"/>
        </w:rPr>
        <w:t xml:space="preserve"> and stronger imperatives</w:t>
      </w:r>
      <w:r w:rsidRPr="00332167">
        <w:rPr>
          <w:rFonts w:ascii="Verdana" w:hAnsi="Verdana"/>
          <w:sz w:val="20"/>
          <w:lang w:val="en-NZ"/>
        </w:rPr>
        <w:t>.</w:t>
      </w:r>
      <w:r w:rsidR="00651C4E" w:rsidRPr="00332167">
        <w:rPr>
          <w:rFonts w:ascii="Verdana" w:hAnsi="Verdana"/>
          <w:sz w:val="20"/>
          <w:lang w:val="en-NZ"/>
        </w:rPr>
        <w:t xml:space="preserve"> </w:t>
      </w:r>
      <w:r w:rsidRPr="00332167">
        <w:rPr>
          <w:rFonts w:ascii="Verdana" w:hAnsi="Verdana"/>
          <w:sz w:val="20"/>
          <w:lang w:val="en-NZ"/>
        </w:rPr>
        <w:t>Non-legislative options carry the risk that they will be seen as a continuation of the status quo and a sign of a lack of commitment to achiev</w:t>
      </w:r>
      <w:r w:rsidR="00017BB1" w:rsidRPr="00332167">
        <w:rPr>
          <w:rFonts w:ascii="Verdana" w:hAnsi="Verdana"/>
          <w:sz w:val="20"/>
          <w:lang w:val="en-NZ"/>
        </w:rPr>
        <w:t>e change on a consistent basis.</w:t>
      </w:r>
    </w:p>
    <w:p w:rsidR="00E81E0A" w:rsidRPr="00332167" w:rsidRDefault="00817A7F"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lastRenderedPageBreak/>
        <w:t>The changes to the duties will also have the benefit of giving greater impetus and traction to a number of organisational and operational initiatives currently underway</w:t>
      </w:r>
      <w:r w:rsidR="002D0B62" w:rsidRPr="00332167">
        <w:rPr>
          <w:rFonts w:ascii="Verdana" w:hAnsi="Verdana"/>
          <w:sz w:val="20"/>
          <w:lang w:val="en-NZ"/>
        </w:rPr>
        <w:t>, such as the investment approach and Māori bicultural practice framework</w:t>
      </w:r>
      <w:r w:rsidRPr="00332167">
        <w:rPr>
          <w:rFonts w:ascii="Verdana" w:hAnsi="Verdana"/>
          <w:sz w:val="20"/>
          <w:lang w:val="en-NZ"/>
        </w:rPr>
        <w:t>. Legislation is likely to increase the prospect of these initiatives meeting their objectives</w:t>
      </w:r>
      <w:r w:rsidR="00691E62" w:rsidRPr="00332167">
        <w:rPr>
          <w:rFonts w:ascii="Verdana" w:hAnsi="Verdana"/>
          <w:sz w:val="20"/>
          <w:lang w:val="en-NZ"/>
        </w:rPr>
        <w:t>,</w:t>
      </w:r>
      <w:r w:rsidRPr="00332167">
        <w:rPr>
          <w:rFonts w:ascii="Verdana" w:hAnsi="Verdana"/>
          <w:sz w:val="20"/>
          <w:lang w:val="en-NZ"/>
        </w:rPr>
        <w:t xml:space="preserve"> as the legislation has the effect of </w:t>
      </w:r>
      <w:r w:rsidR="00691E62" w:rsidRPr="00332167">
        <w:rPr>
          <w:rFonts w:ascii="Verdana" w:hAnsi="Verdana"/>
          <w:sz w:val="20"/>
          <w:lang w:val="en-NZ"/>
        </w:rPr>
        <w:t>provid</w:t>
      </w:r>
      <w:r w:rsidRPr="00332167">
        <w:rPr>
          <w:rFonts w:ascii="Verdana" w:hAnsi="Verdana"/>
          <w:sz w:val="20"/>
          <w:lang w:val="en-NZ"/>
        </w:rPr>
        <w:t>ing that work with the required level of authority.</w:t>
      </w:r>
    </w:p>
    <w:p w:rsidR="00017BB1" w:rsidRPr="000C0983" w:rsidRDefault="00AD2DF7" w:rsidP="00017BB1">
      <w:pPr>
        <w:spacing w:before="120" w:after="120" w:line="280" w:lineRule="exact"/>
        <w:rPr>
          <w:rFonts w:ascii="Verdana" w:hAnsi="Verdana"/>
          <w:i/>
          <w:szCs w:val="22"/>
        </w:rPr>
      </w:pPr>
      <w:r>
        <w:rPr>
          <w:rFonts w:ascii="Verdana" w:hAnsi="Verdana"/>
          <w:i/>
          <w:szCs w:val="22"/>
        </w:rPr>
        <w:t>Greater transparency</w:t>
      </w:r>
    </w:p>
    <w:p w:rsidR="00AD2DF7" w:rsidRPr="00332167" w:rsidRDefault="00B041D3"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Including new duties within the legislation that reference </w:t>
      </w:r>
      <w:r w:rsidR="00AD2DF7" w:rsidRPr="00332167">
        <w:rPr>
          <w:rFonts w:ascii="Verdana" w:hAnsi="Verdana"/>
          <w:sz w:val="20"/>
          <w:lang w:val="en-NZ"/>
        </w:rPr>
        <w:t xml:space="preserve">concepts reflected in the purposes and principles of the legislation </w:t>
      </w:r>
      <w:r w:rsidRPr="00332167">
        <w:rPr>
          <w:rFonts w:ascii="Verdana" w:hAnsi="Verdana"/>
          <w:sz w:val="20"/>
          <w:lang w:val="en-NZ"/>
        </w:rPr>
        <w:t xml:space="preserve">will </w:t>
      </w:r>
      <w:r w:rsidR="00AD2DF7" w:rsidRPr="00332167">
        <w:rPr>
          <w:rFonts w:ascii="Verdana" w:hAnsi="Verdana"/>
          <w:sz w:val="20"/>
          <w:lang w:val="en-NZ"/>
        </w:rPr>
        <w:t xml:space="preserve">provide more clarity to those exercising functions under the Act and transparency about what needs to be done to give effect to the Treaty.  Without these duties, the effect of the Treaty on practice and service provision is non-specific.   </w:t>
      </w:r>
    </w:p>
    <w:p w:rsidR="00D157C3" w:rsidRPr="00332167" w:rsidRDefault="00D157C3"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Improved accountability mechanisms</w:t>
      </w:r>
      <w:r w:rsidR="002D0B62" w:rsidRPr="00332167">
        <w:rPr>
          <w:rFonts w:ascii="Verdana" w:hAnsi="Verdana"/>
          <w:sz w:val="20"/>
          <w:lang w:val="en-NZ"/>
        </w:rPr>
        <w:t xml:space="preserve"> in legislation</w:t>
      </w:r>
      <w:r w:rsidRPr="00332167">
        <w:rPr>
          <w:rFonts w:ascii="Verdana" w:hAnsi="Verdana"/>
          <w:sz w:val="20"/>
          <w:lang w:val="en-NZ"/>
        </w:rPr>
        <w:t>, including enhanced reporting requirements</w:t>
      </w:r>
      <w:r w:rsidR="00691E62" w:rsidRPr="00332167">
        <w:rPr>
          <w:rFonts w:ascii="Verdana" w:hAnsi="Verdana"/>
          <w:sz w:val="20"/>
          <w:lang w:val="en-NZ"/>
        </w:rPr>
        <w:t>,</w:t>
      </w:r>
      <w:r w:rsidRPr="00332167">
        <w:rPr>
          <w:rFonts w:ascii="Verdana" w:hAnsi="Verdana"/>
          <w:sz w:val="20"/>
          <w:lang w:val="en-NZ"/>
        </w:rPr>
        <w:t xml:space="preserve"> will </w:t>
      </w:r>
      <w:r w:rsidR="00691E62" w:rsidRPr="00332167">
        <w:rPr>
          <w:rFonts w:ascii="Verdana" w:hAnsi="Verdana"/>
          <w:sz w:val="20"/>
          <w:lang w:val="en-NZ"/>
        </w:rPr>
        <w:t>provide</w:t>
      </w:r>
      <w:r w:rsidRPr="00332167">
        <w:rPr>
          <w:rFonts w:ascii="Verdana" w:hAnsi="Verdana"/>
          <w:sz w:val="20"/>
          <w:lang w:val="en-NZ"/>
        </w:rPr>
        <w:t xml:space="preserve"> external stakeholders, including agencies in</w:t>
      </w:r>
      <w:r w:rsidR="00691E62" w:rsidRPr="00332167">
        <w:rPr>
          <w:rFonts w:ascii="Verdana" w:hAnsi="Verdana"/>
          <w:sz w:val="20"/>
          <w:lang w:val="en-NZ"/>
        </w:rPr>
        <w:t>side</w:t>
      </w:r>
      <w:r w:rsidRPr="00332167">
        <w:rPr>
          <w:rFonts w:ascii="Verdana" w:hAnsi="Verdana"/>
          <w:sz w:val="20"/>
          <w:lang w:val="en-NZ"/>
        </w:rPr>
        <w:t xml:space="preserve"> and outside the </w:t>
      </w:r>
      <w:r w:rsidR="00691E62" w:rsidRPr="00332167">
        <w:rPr>
          <w:rFonts w:ascii="Verdana" w:hAnsi="Verdana"/>
          <w:sz w:val="20"/>
          <w:lang w:val="en-NZ"/>
        </w:rPr>
        <w:t>P</w:t>
      </w:r>
      <w:r w:rsidRPr="00332167">
        <w:rPr>
          <w:rFonts w:ascii="Verdana" w:hAnsi="Verdana"/>
          <w:sz w:val="20"/>
          <w:lang w:val="en-NZ"/>
        </w:rPr>
        <w:t xml:space="preserve">ublic </w:t>
      </w:r>
      <w:r w:rsidR="00691E62" w:rsidRPr="00332167">
        <w:rPr>
          <w:rFonts w:ascii="Verdana" w:hAnsi="Verdana"/>
          <w:sz w:val="20"/>
          <w:lang w:val="en-NZ"/>
        </w:rPr>
        <w:t>S</w:t>
      </w:r>
      <w:r w:rsidR="006D2D42" w:rsidRPr="00332167">
        <w:rPr>
          <w:rFonts w:ascii="Verdana" w:hAnsi="Verdana"/>
          <w:sz w:val="20"/>
          <w:lang w:val="en-NZ"/>
        </w:rPr>
        <w:t xml:space="preserve">ector with </w:t>
      </w:r>
      <w:r w:rsidRPr="00332167">
        <w:rPr>
          <w:rFonts w:ascii="Verdana" w:hAnsi="Verdana"/>
          <w:sz w:val="20"/>
          <w:lang w:val="en-NZ"/>
        </w:rPr>
        <w:t xml:space="preserve">greater understanding of the intended scope of change. </w:t>
      </w:r>
    </w:p>
    <w:p w:rsidR="002E5D37" w:rsidRPr="0016400C" w:rsidRDefault="002E5D37" w:rsidP="00EF3527">
      <w:pPr>
        <w:spacing w:after="0" w:line="240" w:lineRule="auto"/>
        <w:rPr>
          <w:rFonts w:ascii="Verdana" w:hAnsi="Verdana"/>
          <w:b/>
          <w:sz w:val="24"/>
          <w:szCs w:val="24"/>
          <w:lang w:val="en-NZ"/>
        </w:rPr>
      </w:pPr>
      <w:bookmarkStart w:id="94" w:name="_Preferred_option_[optional]"/>
      <w:bookmarkStart w:id="95" w:name="_Toc244580367"/>
      <w:bookmarkStart w:id="96" w:name="_Toc244587043"/>
      <w:bookmarkStart w:id="97" w:name="_Toc244857277"/>
      <w:bookmarkStart w:id="98" w:name="_Toc244912542"/>
      <w:bookmarkStart w:id="99" w:name="_Toc244916999"/>
      <w:bookmarkStart w:id="100" w:name="_Toc362368108"/>
      <w:bookmarkStart w:id="101" w:name="_Toc362434949"/>
      <w:bookmarkStart w:id="102" w:name="_Toc362589335"/>
      <w:bookmarkStart w:id="103" w:name="_Toc362619035"/>
      <w:bookmarkStart w:id="104" w:name="_Toc362940599"/>
      <w:bookmarkStart w:id="105" w:name="_Toc363047107"/>
      <w:bookmarkEnd w:id="94"/>
      <w:r w:rsidRPr="0016400C">
        <w:rPr>
          <w:rFonts w:ascii="Verdana" w:hAnsi="Verdana"/>
          <w:b/>
          <w:sz w:val="24"/>
          <w:szCs w:val="24"/>
          <w:lang w:val="en-NZ"/>
        </w:rPr>
        <w:t>Financial and operational implications of preferred options</w:t>
      </w:r>
      <w:bookmarkStart w:id="106" w:name="_GoBack"/>
      <w:bookmarkEnd w:id="106"/>
    </w:p>
    <w:p w:rsidR="00611739" w:rsidRPr="00332167" w:rsidRDefault="00AD2DF7"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C</w:t>
      </w:r>
      <w:r w:rsidR="00611739" w:rsidRPr="00332167">
        <w:rPr>
          <w:rFonts w:ascii="Verdana" w:hAnsi="Verdana"/>
          <w:sz w:val="20"/>
          <w:lang w:val="en-NZ"/>
        </w:rPr>
        <w:t>hanges to the</w:t>
      </w:r>
      <w:r w:rsidR="002D0B62" w:rsidRPr="00332167">
        <w:rPr>
          <w:rFonts w:ascii="Verdana" w:hAnsi="Verdana"/>
          <w:sz w:val="20"/>
          <w:lang w:val="en-NZ"/>
        </w:rPr>
        <w:t xml:space="preserve"> </w:t>
      </w:r>
      <w:r w:rsidR="009040F4" w:rsidRPr="00332167">
        <w:rPr>
          <w:rFonts w:ascii="Verdana" w:hAnsi="Verdana"/>
          <w:sz w:val="20"/>
          <w:lang w:val="en-NZ"/>
        </w:rPr>
        <w:t xml:space="preserve">purposes, </w:t>
      </w:r>
      <w:r w:rsidR="002D0B62" w:rsidRPr="00332167">
        <w:rPr>
          <w:rFonts w:ascii="Verdana" w:hAnsi="Verdana"/>
          <w:sz w:val="20"/>
          <w:lang w:val="en-NZ"/>
        </w:rPr>
        <w:t>principles and</w:t>
      </w:r>
      <w:r w:rsidR="00611739" w:rsidRPr="00332167">
        <w:rPr>
          <w:rFonts w:ascii="Verdana" w:hAnsi="Verdana"/>
          <w:sz w:val="20"/>
          <w:lang w:val="en-NZ"/>
        </w:rPr>
        <w:t xml:space="preserve"> duties will enhance our current efforts </w:t>
      </w:r>
      <w:r w:rsidRPr="00332167">
        <w:rPr>
          <w:rFonts w:ascii="Verdana" w:hAnsi="Verdana"/>
          <w:sz w:val="20"/>
          <w:lang w:val="en-NZ"/>
        </w:rPr>
        <w:t xml:space="preserve">to respond to Māori.  It will require training and resource provision to staff about how to give effect to these principles and obligations and once implemented, will support a transformation in practice. </w:t>
      </w:r>
    </w:p>
    <w:p w:rsidR="009040F4" w:rsidRPr="00332167" w:rsidRDefault="009040F4"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Significant costs are involved in establishing the new operating model and implementing legislative provisions relating to purposes, principles, duties and powers.  The implementation of these proposals and associated costs will be integral to all aspects and costs of the new operating model.  Ongoing training, resource development and </w:t>
      </w:r>
      <w:r w:rsidR="00401FDE" w:rsidRPr="00332167">
        <w:rPr>
          <w:rFonts w:ascii="Verdana" w:hAnsi="Verdana"/>
          <w:sz w:val="20"/>
          <w:lang w:val="en-NZ"/>
        </w:rPr>
        <w:t xml:space="preserve">the </w:t>
      </w:r>
      <w:r w:rsidRPr="00332167">
        <w:rPr>
          <w:rFonts w:ascii="Verdana" w:hAnsi="Verdana"/>
          <w:sz w:val="20"/>
          <w:lang w:val="en-NZ"/>
        </w:rPr>
        <w:t xml:space="preserve">practice framework </w:t>
      </w:r>
      <w:r w:rsidR="00401FDE" w:rsidRPr="00332167">
        <w:rPr>
          <w:rFonts w:ascii="Verdana" w:hAnsi="Verdana"/>
          <w:sz w:val="20"/>
          <w:lang w:val="en-NZ"/>
        </w:rPr>
        <w:t xml:space="preserve">will </w:t>
      </w:r>
      <w:r w:rsidRPr="00332167">
        <w:rPr>
          <w:rFonts w:ascii="Verdana" w:hAnsi="Verdana"/>
          <w:sz w:val="20"/>
          <w:lang w:val="en-NZ"/>
        </w:rPr>
        <w:t xml:space="preserve">be especially important </w:t>
      </w:r>
      <w:r w:rsidR="00401FDE" w:rsidRPr="00332167">
        <w:rPr>
          <w:rFonts w:ascii="Verdana" w:hAnsi="Verdana"/>
          <w:sz w:val="20"/>
          <w:lang w:val="en-NZ"/>
        </w:rPr>
        <w:t xml:space="preserve">mechanisms for implementing these proposals.  </w:t>
      </w:r>
    </w:p>
    <w:p w:rsidR="0076609F" w:rsidRPr="00332167" w:rsidRDefault="00731C29"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w:t>
      </w:r>
      <w:r w:rsidR="0076609F" w:rsidRPr="00332167">
        <w:rPr>
          <w:rFonts w:ascii="Verdana" w:hAnsi="Verdana"/>
          <w:sz w:val="20"/>
          <w:lang w:val="en-NZ"/>
        </w:rPr>
        <w:t xml:space="preserve">he </w:t>
      </w:r>
      <w:r w:rsidRPr="00332167">
        <w:rPr>
          <w:rFonts w:ascii="Verdana" w:hAnsi="Verdana"/>
          <w:sz w:val="20"/>
          <w:lang w:val="en-NZ"/>
        </w:rPr>
        <w:t>carrying out</w:t>
      </w:r>
      <w:r w:rsidR="0076609F" w:rsidRPr="00332167">
        <w:rPr>
          <w:rFonts w:ascii="Verdana" w:hAnsi="Verdana"/>
          <w:sz w:val="20"/>
          <w:lang w:val="en-NZ"/>
        </w:rPr>
        <w:t xml:space="preserve"> of </w:t>
      </w:r>
      <w:r w:rsidRPr="00332167">
        <w:rPr>
          <w:rFonts w:ascii="Verdana" w:hAnsi="Verdana"/>
          <w:sz w:val="20"/>
          <w:lang w:val="en-NZ"/>
        </w:rPr>
        <w:t>some</w:t>
      </w:r>
      <w:r w:rsidR="0076609F" w:rsidRPr="00332167">
        <w:rPr>
          <w:rFonts w:ascii="Verdana" w:hAnsi="Verdana"/>
          <w:sz w:val="20"/>
          <w:lang w:val="en-NZ"/>
        </w:rPr>
        <w:t xml:space="preserve"> duties </w:t>
      </w:r>
      <w:r w:rsidRPr="00332167">
        <w:rPr>
          <w:rFonts w:ascii="Verdana" w:hAnsi="Verdana"/>
          <w:sz w:val="20"/>
          <w:lang w:val="en-NZ"/>
        </w:rPr>
        <w:t>is likely to</w:t>
      </w:r>
      <w:r w:rsidR="0076609F" w:rsidRPr="00332167">
        <w:rPr>
          <w:rFonts w:ascii="Verdana" w:hAnsi="Verdana"/>
          <w:sz w:val="20"/>
          <w:lang w:val="en-NZ"/>
        </w:rPr>
        <w:t xml:space="preserve"> be influenced </w:t>
      </w:r>
      <w:r w:rsidRPr="00332167">
        <w:rPr>
          <w:rFonts w:ascii="Verdana" w:hAnsi="Verdana"/>
          <w:sz w:val="20"/>
          <w:lang w:val="en-NZ"/>
        </w:rPr>
        <w:t xml:space="preserve">in the short to medium term </w:t>
      </w:r>
      <w:r w:rsidR="0076609F" w:rsidRPr="00332167">
        <w:rPr>
          <w:rFonts w:ascii="Verdana" w:hAnsi="Verdana"/>
          <w:sz w:val="20"/>
          <w:lang w:val="en-NZ"/>
        </w:rPr>
        <w:t>by the availabi</w:t>
      </w:r>
      <w:r w:rsidR="00877C6E" w:rsidRPr="00332167">
        <w:rPr>
          <w:rFonts w:ascii="Verdana" w:hAnsi="Verdana"/>
          <w:sz w:val="20"/>
          <w:lang w:val="en-NZ"/>
        </w:rPr>
        <w:t>lity and capacity of Māori, iwi</w:t>
      </w:r>
      <w:r w:rsidR="0076609F" w:rsidRPr="00332167">
        <w:rPr>
          <w:rFonts w:ascii="Verdana" w:hAnsi="Verdana"/>
          <w:sz w:val="20"/>
          <w:lang w:val="en-NZ"/>
        </w:rPr>
        <w:t xml:space="preserve"> and other Māori organisations in different locations to provide the level of support and technical assistance envisaged. </w:t>
      </w:r>
    </w:p>
    <w:p w:rsidR="0076609F" w:rsidRPr="00332167" w:rsidRDefault="0076609F"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Such matters will be addressed </w:t>
      </w:r>
      <w:r w:rsidR="00401FDE" w:rsidRPr="00332167">
        <w:rPr>
          <w:rFonts w:ascii="Verdana" w:hAnsi="Verdana"/>
          <w:sz w:val="20"/>
          <w:lang w:val="en-NZ"/>
        </w:rPr>
        <w:t xml:space="preserve">through </w:t>
      </w:r>
      <w:r w:rsidRPr="00332167">
        <w:rPr>
          <w:rFonts w:ascii="Verdana" w:hAnsi="Verdana"/>
          <w:sz w:val="20"/>
          <w:lang w:val="en-NZ"/>
        </w:rPr>
        <w:t>consultation with iwi and M</w:t>
      </w:r>
      <w:r w:rsidR="00516B6B" w:rsidRPr="00332167">
        <w:rPr>
          <w:rFonts w:ascii="Verdana" w:hAnsi="Verdana"/>
          <w:sz w:val="20"/>
          <w:lang w:val="en-NZ"/>
        </w:rPr>
        <w:t>ā</w:t>
      </w:r>
      <w:r w:rsidRPr="00332167">
        <w:rPr>
          <w:rFonts w:ascii="Verdana" w:hAnsi="Verdana"/>
          <w:sz w:val="20"/>
          <w:lang w:val="en-NZ"/>
        </w:rPr>
        <w:t>ori organisations.</w:t>
      </w:r>
    </w:p>
    <w:p w:rsidR="00000EDA" w:rsidRPr="00B94475" w:rsidRDefault="00000EDA" w:rsidP="0016400C">
      <w:pPr>
        <w:spacing w:after="0" w:line="240" w:lineRule="auto"/>
        <w:rPr>
          <w:rFonts w:ascii="Verdana" w:hAnsi="Verdana"/>
          <w:sz w:val="28"/>
          <w:szCs w:val="28"/>
        </w:rPr>
      </w:pPr>
      <w:r w:rsidRPr="00B94475">
        <w:rPr>
          <w:rFonts w:ascii="Verdana" w:hAnsi="Verdana"/>
          <w:b/>
          <w:color w:val="335087"/>
          <w:spacing w:val="20"/>
          <w:w w:val="90"/>
          <w:sz w:val="28"/>
          <w:szCs w:val="28"/>
        </w:rPr>
        <w:t>Consultation</w:t>
      </w:r>
    </w:p>
    <w:p w:rsidR="003222A6" w:rsidRPr="00332167" w:rsidRDefault="00000EDA"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w:t>
      </w:r>
      <w:r w:rsidR="00F14DCB" w:rsidRPr="00332167">
        <w:rPr>
          <w:rFonts w:ascii="Verdana" w:hAnsi="Verdana"/>
          <w:sz w:val="20"/>
          <w:lang w:val="en-NZ"/>
        </w:rPr>
        <w:t xml:space="preserve"> Expert</w:t>
      </w:r>
      <w:r w:rsidRPr="00332167">
        <w:rPr>
          <w:rFonts w:ascii="Verdana" w:hAnsi="Verdana"/>
          <w:sz w:val="20"/>
          <w:lang w:val="en-NZ"/>
        </w:rPr>
        <w:t xml:space="preserve"> Panel completed the high-level </w:t>
      </w:r>
      <w:r w:rsidR="006D2D42" w:rsidRPr="00332167">
        <w:rPr>
          <w:rFonts w:ascii="Verdana" w:hAnsi="Verdana"/>
          <w:sz w:val="20"/>
          <w:lang w:val="en-NZ"/>
        </w:rPr>
        <w:t>proposals for</w:t>
      </w:r>
      <w:r w:rsidRPr="00332167">
        <w:rPr>
          <w:rFonts w:ascii="Verdana" w:hAnsi="Verdana"/>
          <w:sz w:val="20"/>
          <w:lang w:val="en-NZ"/>
        </w:rPr>
        <w:t xml:space="preserve"> a new operating model, informed by a collaborative process with children, young people, families, caregivers, victims, experts from across the system, and an extensive review of local and international research.</w:t>
      </w:r>
    </w:p>
    <w:p w:rsidR="005A0029" w:rsidRPr="00332167" w:rsidRDefault="00F14DCB"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As part of this process, interviews and workshops were held with a range of young people who had personal experience with CYF, including a number who had spent time in care. </w:t>
      </w:r>
    </w:p>
    <w:p w:rsidR="00F14DCB" w:rsidRPr="00691E62" w:rsidRDefault="00F14DCB" w:rsidP="00EF3527">
      <w:pPr>
        <w:pStyle w:val="Heading4"/>
        <w:spacing w:after="0"/>
        <w:rPr>
          <w:rFonts w:ascii="Verdana" w:hAnsi="Verdana"/>
          <w:b/>
          <w:i w:val="0"/>
        </w:rPr>
      </w:pPr>
      <w:r w:rsidRPr="00691E62">
        <w:rPr>
          <w:rFonts w:ascii="Verdana" w:hAnsi="Verdana"/>
          <w:b/>
          <w:i w:val="0"/>
        </w:rPr>
        <w:t>These proposals</w:t>
      </w:r>
    </w:p>
    <w:p w:rsidR="006E1BEC" w:rsidRPr="00332167" w:rsidRDefault="00BE2248"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A range of internal and external stakeholders have been involved in the development of the proposals </w:t>
      </w:r>
      <w:r w:rsidR="006E1BEC" w:rsidRPr="00332167">
        <w:rPr>
          <w:rFonts w:ascii="Verdana" w:hAnsi="Verdana"/>
          <w:sz w:val="20"/>
          <w:lang w:val="en-NZ"/>
        </w:rPr>
        <w:t xml:space="preserve">at their early stage.  Proposals have been further developed and changed since consultation.  </w:t>
      </w:r>
    </w:p>
    <w:p w:rsidR="00BE2248" w:rsidRPr="00332167" w:rsidRDefault="006E1BEC"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lastRenderedPageBreak/>
        <w:t>At an early stage, o</w:t>
      </w:r>
      <w:r w:rsidR="00BE2248" w:rsidRPr="00332167">
        <w:rPr>
          <w:rFonts w:ascii="Verdana" w:hAnsi="Verdana"/>
          <w:sz w:val="20"/>
          <w:lang w:val="en-NZ"/>
        </w:rPr>
        <w:t xml:space="preserve">fficials sought feedback and input throughout the process from the Investing in Children’s Programme, CYF, the Office of the Chief Social Worker, the Youth Advisory Panel, </w:t>
      </w:r>
      <w:proofErr w:type="gramStart"/>
      <w:r w:rsidR="00BE2248" w:rsidRPr="00332167">
        <w:rPr>
          <w:rFonts w:ascii="Verdana" w:hAnsi="Verdana"/>
          <w:sz w:val="20"/>
          <w:lang w:val="en-NZ"/>
        </w:rPr>
        <w:t>members</w:t>
      </w:r>
      <w:proofErr w:type="gramEnd"/>
      <w:r w:rsidR="00BE2248" w:rsidRPr="00332167">
        <w:rPr>
          <w:rFonts w:ascii="Verdana" w:hAnsi="Verdana"/>
          <w:sz w:val="20"/>
          <w:lang w:val="en-NZ"/>
        </w:rPr>
        <w:t xml:space="preserve"> of the Expert Panel Māori Reference Group, Te Puni K</w:t>
      </w:r>
      <w:r w:rsidR="00877C6E" w:rsidRPr="00332167">
        <w:rPr>
          <w:rFonts w:ascii="Verdana" w:hAnsi="Verdana"/>
          <w:sz w:val="20"/>
          <w:lang w:val="en-NZ"/>
        </w:rPr>
        <w:t>ō</w:t>
      </w:r>
      <w:r w:rsidR="00BE2248" w:rsidRPr="00332167">
        <w:rPr>
          <w:rFonts w:ascii="Verdana" w:hAnsi="Verdana"/>
          <w:sz w:val="20"/>
          <w:lang w:val="en-NZ"/>
        </w:rPr>
        <w:t xml:space="preserve">kiri, and the </w:t>
      </w:r>
      <w:r w:rsidR="007666FD" w:rsidRPr="00332167">
        <w:rPr>
          <w:rFonts w:ascii="Verdana" w:hAnsi="Verdana"/>
          <w:sz w:val="20"/>
          <w:lang w:val="en-NZ"/>
        </w:rPr>
        <w:t>Crown Law Office.</w:t>
      </w:r>
      <w:r w:rsidR="00BE2248" w:rsidRPr="00332167">
        <w:rPr>
          <w:rFonts w:ascii="Verdana" w:hAnsi="Verdana"/>
          <w:sz w:val="20"/>
          <w:lang w:val="en-NZ"/>
        </w:rPr>
        <w:t xml:space="preserve"> </w:t>
      </w:r>
    </w:p>
    <w:p w:rsidR="00BE2248" w:rsidRPr="00332167" w:rsidRDefault="00BE2248"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Officials also received feedback on </w:t>
      </w:r>
      <w:r w:rsidR="006E1BEC" w:rsidRPr="00332167">
        <w:rPr>
          <w:rFonts w:ascii="Verdana" w:hAnsi="Verdana"/>
          <w:sz w:val="20"/>
          <w:lang w:val="en-NZ"/>
        </w:rPr>
        <w:t xml:space="preserve">initial </w:t>
      </w:r>
      <w:r w:rsidRPr="00332167">
        <w:rPr>
          <w:rFonts w:ascii="Verdana" w:hAnsi="Verdana"/>
          <w:sz w:val="20"/>
          <w:lang w:val="en-NZ"/>
        </w:rPr>
        <w:t>proposals from the Ministr</w:t>
      </w:r>
      <w:r w:rsidR="00DF4C61" w:rsidRPr="00332167">
        <w:rPr>
          <w:rFonts w:ascii="Verdana" w:hAnsi="Verdana"/>
          <w:sz w:val="20"/>
          <w:lang w:val="en-NZ"/>
        </w:rPr>
        <w:t xml:space="preserve">ies </w:t>
      </w:r>
      <w:r w:rsidRPr="00332167">
        <w:rPr>
          <w:rFonts w:ascii="Verdana" w:hAnsi="Verdana"/>
          <w:sz w:val="20"/>
          <w:lang w:val="en-NZ"/>
        </w:rPr>
        <w:t xml:space="preserve">of Health, Education, Justice, and the Treasury. </w:t>
      </w:r>
    </w:p>
    <w:p w:rsidR="00BE2248" w:rsidRPr="00501E74" w:rsidRDefault="00BE2248" w:rsidP="00332167">
      <w:pPr>
        <w:pStyle w:val="ListParagraph"/>
        <w:numPr>
          <w:ilvl w:val="0"/>
          <w:numId w:val="10"/>
        </w:numPr>
        <w:spacing w:before="120" w:after="120"/>
        <w:ind w:left="567" w:hanging="567"/>
        <w:contextualSpacing w:val="0"/>
      </w:pPr>
      <w:r w:rsidRPr="00332167">
        <w:rPr>
          <w:rFonts w:ascii="Verdana" w:hAnsi="Verdana"/>
          <w:sz w:val="20"/>
          <w:lang w:val="en-NZ"/>
        </w:rPr>
        <w:t>The members of the Expert Panel Māori Reference Group broadly suppor</w:t>
      </w:r>
      <w:r w:rsidR="00877C6E" w:rsidRPr="00332167">
        <w:rPr>
          <w:rFonts w:ascii="Verdana" w:hAnsi="Verdana"/>
          <w:sz w:val="20"/>
          <w:lang w:val="en-NZ"/>
        </w:rPr>
        <w:t xml:space="preserve">ted the intent </w:t>
      </w:r>
      <w:r w:rsidRPr="00332167">
        <w:rPr>
          <w:rFonts w:ascii="Verdana" w:hAnsi="Verdana"/>
          <w:sz w:val="20"/>
          <w:lang w:val="en-NZ"/>
        </w:rPr>
        <w:t>and stressed the importance of ensuring that services are able to meet the needs of Māori children and young people and are compatible with the Māori world view.</w:t>
      </w:r>
    </w:p>
    <w:p w:rsidR="00000EDA" w:rsidRPr="00B94475" w:rsidRDefault="00000EDA" w:rsidP="00AD38BD">
      <w:pPr>
        <w:keepNext/>
        <w:spacing w:before="240" w:after="180" w:line="240" w:lineRule="auto"/>
        <w:outlineLvl w:val="1"/>
        <w:rPr>
          <w:rFonts w:ascii="Verdana" w:hAnsi="Verdana"/>
          <w:sz w:val="28"/>
          <w:szCs w:val="28"/>
        </w:rPr>
      </w:pPr>
      <w:bookmarkStart w:id="107" w:name="_Toc460924522"/>
      <w:r w:rsidRPr="00B94475">
        <w:rPr>
          <w:rFonts w:ascii="Verdana" w:hAnsi="Verdana"/>
          <w:b/>
          <w:color w:val="335087"/>
          <w:spacing w:val="20"/>
          <w:w w:val="90"/>
          <w:sz w:val="28"/>
          <w:szCs w:val="28"/>
        </w:rPr>
        <w:t>Conclusions and recommendations</w:t>
      </w:r>
      <w:bookmarkEnd w:id="95"/>
      <w:bookmarkEnd w:id="96"/>
      <w:bookmarkEnd w:id="97"/>
      <w:bookmarkEnd w:id="98"/>
      <w:bookmarkEnd w:id="99"/>
      <w:bookmarkEnd w:id="100"/>
      <w:bookmarkEnd w:id="101"/>
      <w:bookmarkEnd w:id="102"/>
      <w:bookmarkEnd w:id="103"/>
      <w:bookmarkEnd w:id="104"/>
      <w:bookmarkEnd w:id="105"/>
      <w:bookmarkEnd w:id="107"/>
    </w:p>
    <w:p w:rsidR="009C620D" w:rsidRDefault="00000EDA" w:rsidP="00332167">
      <w:pPr>
        <w:pStyle w:val="ListParagraph"/>
        <w:numPr>
          <w:ilvl w:val="0"/>
          <w:numId w:val="10"/>
        </w:numPr>
        <w:spacing w:before="120" w:after="120"/>
        <w:ind w:left="567" w:hanging="567"/>
        <w:contextualSpacing w:val="0"/>
      </w:pPr>
      <w:bookmarkStart w:id="108" w:name="_Toc244580368"/>
      <w:bookmarkStart w:id="109" w:name="_Toc244587044"/>
      <w:bookmarkStart w:id="110" w:name="_Toc244857278"/>
      <w:bookmarkStart w:id="111" w:name="_Toc244912543"/>
      <w:bookmarkStart w:id="112" w:name="_Toc244917000"/>
      <w:bookmarkStart w:id="113" w:name="_Toc362368109"/>
      <w:bookmarkStart w:id="114" w:name="_Toc362434950"/>
      <w:bookmarkStart w:id="115" w:name="_Toc362589336"/>
      <w:bookmarkStart w:id="116" w:name="_Toc362619036"/>
      <w:bookmarkStart w:id="117" w:name="_Toc362940600"/>
      <w:bookmarkStart w:id="118" w:name="_Toc363047108"/>
      <w:r w:rsidRPr="00332167">
        <w:rPr>
          <w:rFonts w:ascii="Verdana" w:hAnsi="Verdana"/>
          <w:sz w:val="20"/>
          <w:lang w:val="en-NZ"/>
        </w:rPr>
        <w:t>Following consideration of the options analysis, we recommend</w:t>
      </w:r>
      <w:r w:rsidR="006E1BEC" w:rsidRPr="00332167">
        <w:rPr>
          <w:rFonts w:ascii="Verdana" w:hAnsi="Verdana"/>
          <w:sz w:val="20"/>
          <w:lang w:val="en-NZ"/>
        </w:rPr>
        <w:t xml:space="preserve"> the following: </w:t>
      </w:r>
      <w:r w:rsidRPr="00332167">
        <w:rPr>
          <w:rFonts w:ascii="Verdana" w:hAnsi="Verdana"/>
          <w:sz w:val="20"/>
          <w:lang w:val="en-NZ"/>
        </w:rPr>
        <w:t xml:space="preserve"> </w:t>
      </w:r>
    </w:p>
    <w:p w:rsidR="00BA2E45" w:rsidRPr="0001508A" w:rsidRDefault="00BA2E45" w:rsidP="00BA2E45">
      <w:pPr>
        <w:numPr>
          <w:ilvl w:val="1"/>
          <w:numId w:val="16"/>
        </w:numPr>
        <w:spacing w:before="120" w:after="120" w:line="280" w:lineRule="exact"/>
        <w:ind w:left="1077" w:right="170" w:hanging="357"/>
        <w:rPr>
          <w:rFonts w:ascii="Verdana" w:hAnsi="Verdana"/>
          <w:sz w:val="20"/>
          <w:lang w:val="en-NZ"/>
        </w:rPr>
      </w:pPr>
      <w:r>
        <w:rPr>
          <w:rFonts w:ascii="Verdana" w:hAnsi="Verdana"/>
          <w:sz w:val="20"/>
        </w:rPr>
        <w:t xml:space="preserve">introduce new purposes and principles into the CYPF Act that will </w:t>
      </w:r>
      <w:r>
        <w:rPr>
          <w:rFonts w:ascii="Verdana" w:hAnsi="Verdana"/>
          <w:sz w:val="20"/>
          <w:lang w:val="en-NZ"/>
        </w:rPr>
        <w:t xml:space="preserve">support the new operating model to </w:t>
      </w:r>
      <w:r w:rsidRPr="0001508A">
        <w:rPr>
          <w:rFonts w:ascii="Verdana" w:hAnsi="Verdana"/>
          <w:sz w:val="20"/>
          <w:lang w:val="en-NZ"/>
        </w:rPr>
        <w:t xml:space="preserve">focus </w:t>
      </w:r>
      <w:r>
        <w:rPr>
          <w:rFonts w:ascii="Verdana" w:hAnsi="Verdana"/>
          <w:sz w:val="20"/>
          <w:lang w:val="en-NZ"/>
        </w:rPr>
        <w:t xml:space="preserve">more strongly </w:t>
      </w:r>
      <w:r w:rsidRPr="0001508A">
        <w:rPr>
          <w:rFonts w:ascii="Verdana" w:hAnsi="Verdana"/>
          <w:sz w:val="20"/>
          <w:lang w:val="en-NZ"/>
        </w:rPr>
        <w:t xml:space="preserve">on </w:t>
      </w:r>
      <w:r>
        <w:rPr>
          <w:rFonts w:ascii="Verdana" w:hAnsi="Verdana"/>
          <w:sz w:val="20"/>
          <w:lang w:val="en-NZ"/>
        </w:rPr>
        <w:t xml:space="preserve">the values, culture and beliefs of Māori when supporting Māori children </w:t>
      </w:r>
      <w:r w:rsidRPr="0001508A">
        <w:rPr>
          <w:rFonts w:ascii="Verdana" w:hAnsi="Verdana"/>
          <w:sz w:val="20"/>
          <w:lang w:val="en-NZ"/>
        </w:rPr>
        <w:t>and young people</w:t>
      </w:r>
      <w:r>
        <w:rPr>
          <w:rFonts w:ascii="Verdana" w:hAnsi="Verdana"/>
          <w:sz w:val="20"/>
          <w:lang w:val="en-NZ"/>
        </w:rPr>
        <w:t xml:space="preserve">, in particular </w:t>
      </w:r>
      <w:r w:rsidR="00002A25">
        <w:rPr>
          <w:rFonts w:ascii="Verdana" w:hAnsi="Verdana"/>
          <w:sz w:val="20"/>
          <w:lang w:val="en-NZ"/>
        </w:rPr>
        <w:t>mana tamaiti</w:t>
      </w:r>
      <w:r>
        <w:rPr>
          <w:rFonts w:ascii="Verdana" w:hAnsi="Verdana"/>
          <w:sz w:val="20"/>
          <w:lang w:val="en-NZ"/>
        </w:rPr>
        <w:t>, whakapapa and whanaungatanga</w:t>
      </w:r>
    </w:p>
    <w:p w:rsidR="00BA2E45" w:rsidRPr="00B94475" w:rsidRDefault="00BA2E45" w:rsidP="00BA2E45">
      <w:pPr>
        <w:pStyle w:val="ListParagraph"/>
        <w:numPr>
          <w:ilvl w:val="1"/>
          <w:numId w:val="21"/>
        </w:numPr>
        <w:spacing w:before="120" w:after="120" w:line="280" w:lineRule="exact"/>
        <w:ind w:left="1077" w:right="170" w:hanging="357"/>
        <w:rPr>
          <w:rFonts w:ascii="Verdana" w:hAnsi="Verdana"/>
          <w:sz w:val="20"/>
        </w:rPr>
      </w:pPr>
      <w:proofErr w:type="gramStart"/>
      <w:r>
        <w:rPr>
          <w:rFonts w:ascii="Verdana" w:hAnsi="Verdana"/>
          <w:sz w:val="20"/>
          <w:lang w:val="en-NZ"/>
        </w:rPr>
        <w:t>amend</w:t>
      </w:r>
      <w:proofErr w:type="gramEnd"/>
      <w:r>
        <w:rPr>
          <w:rFonts w:ascii="Verdana" w:hAnsi="Verdana"/>
          <w:sz w:val="20"/>
          <w:lang w:val="en-NZ"/>
        </w:rPr>
        <w:t xml:space="preserve"> the CYPF Act to strengthen existing duties of the CE to give greater recognition and respect to the Treaty of Waitangi and to facilitate and support the above principles and purposes.</w:t>
      </w:r>
    </w:p>
    <w:p w:rsidR="007666FD" w:rsidRPr="00332167" w:rsidRDefault="00877C6E"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I</w:t>
      </w:r>
      <w:r w:rsidR="00006A9C" w:rsidRPr="00332167">
        <w:rPr>
          <w:rFonts w:ascii="Verdana" w:hAnsi="Verdana"/>
          <w:sz w:val="20"/>
          <w:lang w:val="en-NZ"/>
        </w:rPr>
        <w:t>n conjunction with proposals detailed in other RIS</w:t>
      </w:r>
      <w:r w:rsidRPr="00332167">
        <w:rPr>
          <w:rFonts w:ascii="Verdana" w:hAnsi="Verdana"/>
          <w:sz w:val="20"/>
          <w:lang w:val="en-NZ"/>
        </w:rPr>
        <w:t xml:space="preserve">, these proposals </w:t>
      </w:r>
      <w:r w:rsidR="00BE2248" w:rsidRPr="00332167">
        <w:rPr>
          <w:rFonts w:ascii="Verdana" w:hAnsi="Verdana"/>
          <w:sz w:val="20"/>
          <w:lang w:val="en-NZ"/>
        </w:rPr>
        <w:t xml:space="preserve">form part of broader reform to the </w:t>
      </w:r>
      <w:r w:rsidR="006D2D42" w:rsidRPr="00332167">
        <w:rPr>
          <w:rFonts w:ascii="Verdana" w:hAnsi="Verdana"/>
          <w:sz w:val="20"/>
          <w:lang w:val="en-NZ"/>
        </w:rPr>
        <w:t>way we</w:t>
      </w:r>
      <w:r w:rsidR="00BE2248" w:rsidRPr="00332167">
        <w:rPr>
          <w:rFonts w:ascii="Verdana" w:hAnsi="Verdana"/>
          <w:sz w:val="20"/>
          <w:lang w:val="en-NZ"/>
        </w:rPr>
        <w:t xml:space="preserve"> respond to vulnerable </w:t>
      </w:r>
      <w:r w:rsidR="007A3168" w:rsidRPr="00332167">
        <w:rPr>
          <w:rFonts w:ascii="Verdana" w:hAnsi="Verdana"/>
          <w:sz w:val="20"/>
          <w:lang w:val="en-NZ"/>
        </w:rPr>
        <w:t xml:space="preserve">Māori </w:t>
      </w:r>
      <w:r w:rsidR="00BE2248" w:rsidRPr="00332167">
        <w:rPr>
          <w:rFonts w:ascii="Verdana" w:hAnsi="Verdana"/>
          <w:sz w:val="20"/>
          <w:lang w:val="en-NZ"/>
        </w:rPr>
        <w:t>children</w:t>
      </w:r>
      <w:r w:rsidR="007A3168" w:rsidRPr="00332167">
        <w:rPr>
          <w:rFonts w:ascii="Verdana" w:hAnsi="Verdana"/>
          <w:sz w:val="20"/>
          <w:lang w:val="en-NZ"/>
        </w:rPr>
        <w:t>, young people and whānau</w:t>
      </w:r>
      <w:r w:rsidR="00BE2248" w:rsidRPr="00332167">
        <w:rPr>
          <w:rFonts w:ascii="Verdana" w:hAnsi="Verdana"/>
          <w:sz w:val="20"/>
          <w:lang w:val="en-NZ"/>
        </w:rPr>
        <w:t>. These proposals will combine to provide a clear and strong foundation in the legislation</w:t>
      </w:r>
      <w:r w:rsidR="00EA667C" w:rsidRPr="00332167">
        <w:rPr>
          <w:rFonts w:ascii="Verdana" w:hAnsi="Verdana"/>
          <w:sz w:val="20"/>
          <w:lang w:val="en-NZ"/>
        </w:rPr>
        <w:t xml:space="preserve"> as detailed in the Foundations of a Child-centred </w:t>
      </w:r>
      <w:r w:rsidRPr="00332167">
        <w:rPr>
          <w:rFonts w:ascii="Verdana" w:hAnsi="Verdana"/>
          <w:sz w:val="20"/>
          <w:lang w:val="en-NZ"/>
        </w:rPr>
        <w:t>S</w:t>
      </w:r>
      <w:r w:rsidR="00EA667C" w:rsidRPr="00332167">
        <w:rPr>
          <w:rFonts w:ascii="Verdana" w:hAnsi="Verdana"/>
          <w:sz w:val="20"/>
          <w:lang w:val="en-NZ"/>
        </w:rPr>
        <w:t>ystem RIS</w:t>
      </w:r>
      <w:r w:rsidR="00BE2248" w:rsidRPr="00332167">
        <w:rPr>
          <w:rFonts w:ascii="Verdana" w:hAnsi="Verdana"/>
          <w:sz w:val="20"/>
          <w:lang w:val="en-NZ"/>
        </w:rPr>
        <w:t xml:space="preserve">. </w:t>
      </w:r>
      <w:bookmarkStart w:id="119" w:name="_Toc460411759"/>
      <w:bookmarkEnd w:id="18"/>
      <w:bookmarkEnd w:id="19"/>
      <w:bookmarkEnd w:id="20"/>
      <w:bookmarkEnd w:id="21"/>
      <w:bookmarkEnd w:id="22"/>
      <w:bookmarkEnd w:id="23"/>
      <w:bookmarkEnd w:id="24"/>
      <w:bookmarkEnd w:id="25"/>
      <w:bookmarkEnd w:id="26"/>
      <w:bookmarkEnd w:id="27"/>
      <w:bookmarkEnd w:id="108"/>
      <w:bookmarkEnd w:id="109"/>
      <w:bookmarkEnd w:id="110"/>
      <w:bookmarkEnd w:id="111"/>
      <w:bookmarkEnd w:id="112"/>
      <w:bookmarkEnd w:id="113"/>
      <w:bookmarkEnd w:id="114"/>
      <w:bookmarkEnd w:id="115"/>
      <w:bookmarkEnd w:id="116"/>
      <w:bookmarkEnd w:id="117"/>
      <w:bookmarkEnd w:id="118"/>
    </w:p>
    <w:p w:rsidR="00E43600" w:rsidRPr="00332167" w:rsidRDefault="00E43600"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We have assessed that legislation is a necessary mechanism for progressing these proposals because it will be most effective at advancing the government’s objective to achieve improved outcomes for Māori, will provide strong guidance about what is expected of those operating under the Act and will help achieve consistency of practice.  Importantly, legislation sends a strong signal about the need for culture change and that priority should be given to </w:t>
      </w:r>
      <w:r w:rsidR="00867ECE" w:rsidRPr="00332167">
        <w:rPr>
          <w:rFonts w:ascii="Verdana" w:hAnsi="Verdana"/>
          <w:sz w:val="20"/>
          <w:lang w:val="en-NZ"/>
        </w:rPr>
        <w:t xml:space="preserve">cultural responsiveness within the organisation.  </w:t>
      </w:r>
      <w:r w:rsidRPr="00332167">
        <w:rPr>
          <w:rFonts w:ascii="Verdana" w:hAnsi="Verdana"/>
          <w:sz w:val="20"/>
          <w:lang w:val="en-NZ"/>
        </w:rPr>
        <w:t xml:space="preserve">  </w:t>
      </w:r>
    </w:p>
    <w:p w:rsidR="000622AD" w:rsidRPr="00D6550C" w:rsidRDefault="000622AD" w:rsidP="007666FD">
      <w:pPr>
        <w:spacing w:before="120" w:after="120" w:line="280" w:lineRule="exact"/>
        <w:rPr>
          <w:rFonts w:ascii="Verdana" w:hAnsi="Verdana"/>
          <w:sz w:val="28"/>
          <w:szCs w:val="28"/>
        </w:rPr>
      </w:pPr>
      <w:r w:rsidRPr="00D6550C">
        <w:rPr>
          <w:rFonts w:ascii="Verdana" w:hAnsi="Verdana"/>
          <w:b/>
          <w:color w:val="335087"/>
          <w:spacing w:val="20"/>
          <w:w w:val="90"/>
          <w:sz w:val="28"/>
          <w:szCs w:val="28"/>
        </w:rPr>
        <w:t>Implementation plan</w:t>
      </w:r>
      <w:bookmarkEnd w:id="119"/>
    </w:p>
    <w:p w:rsidR="000622AD"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bookmarkStart w:id="120" w:name="_Toc244580369"/>
      <w:bookmarkStart w:id="121" w:name="_Toc244587045"/>
      <w:bookmarkStart w:id="122" w:name="_Toc244857279"/>
      <w:bookmarkStart w:id="123" w:name="_Toc244912544"/>
      <w:bookmarkStart w:id="124" w:name="_Toc244917001"/>
      <w:bookmarkStart w:id="125" w:name="_Toc362368110"/>
      <w:bookmarkStart w:id="126" w:name="_Toc362434951"/>
      <w:bookmarkStart w:id="127" w:name="_Toc362589337"/>
      <w:bookmarkStart w:id="128" w:name="_Toc362619037"/>
      <w:bookmarkStart w:id="129" w:name="_Toc362940601"/>
      <w:bookmarkStart w:id="130" w:name="_Toc363047109"/>
      <w:r w:rsidRPr="00332167">
        <w:rPr>
          <w:rFonts w:ascii="Verdana" w:hAnsi="Verdana"/>
          <w:sz w:val="20"/>
          <w:lang w:val="en-NZ"/>
        </w:rPr>
        <w:t xml:space="preserve">The </w:t>
      </w:r>
      <w:r w:rsidR="006D2D42" w:rsidRPr="00332167">
        <w:rPr>
          <w:rFonts w:ascii="Verdana" w:hAnsi="Verdana"/>
          <w:sz w:val="20"/>
          <w:lang w:val="en-NZ"/>
        </w:rPr>
        <w:t>new</w:t>
      </w:r>
      <w:r w:rsidRPr="00332167">
        <w:rPr>
          <w:rFonts w:ascii="Verdana" w:hAnsi="Verdana"/>
          <w:sz w:val="20"/>
          <w:lang w:val="en-NZ"/>
        </w:rPr>
        <w:t xml:space="preserve"> operating model is being developed by the Investing in Children Programme and will be further developed and implemented by </w:t>
      </w:r>
      <w:r w:rsidR="008135DF" w:rsidRPr="00332167">
        <w:rPr>
          <w:rFonts w:ascii="Verdana" w:hAnsi="Verdana"/>
          <w:sz w:val="20"/>
          <w:lang w:val="en-NZ"/>
        </w:rPr>
        <w:t xml:space="preserve">MVCOT </w:t>
      </w:r>
      <w:r w:rsidR="006D2D42" w:rsidRPr="00332167">
        <w:rPr>
          <w:rFonts w:ascii="Verdana" w:hAnsi="Verdana"/>
          <w:sz w:val="20"/>
          <w:lang w:val="en-NZ"/>
        </w:rPr>
        <w:t xml:space="preserve">from </w:t>
      </w:r>
      <w:r w:rsidRPr="00332167">
        <w:rPr>
          <w:rFonts w:ascii="Verdana" w:hAnsi="Verdana"/>
          <w:sz w:val="20"/>
          <w:lang w:val="en-NZ"/>
        </w:rPr>
        <w:t>1 April 201</w:t>
      </w:r>
      <w:r w:rsidR="008135DF" w:rsidRPr="00332167">
        <w:rPr>
          <w:rFonts w:ascii="Verdana" w:hAnsi="Verdana"/>
          <w:sz w:val="20"/>
          <w:lang w:val="en-NZ"/>
        </w:rPr>
        <w:t>7</w:t>
      </w:r>
      <w:r w:rsidRPr="00332167">
        <w:rPr>
          <w:rFonts w:ascii="Verdana" w:hAnsi="Verdana"/>
          <w:sz w:val="20"/>
          <w:lang w:val="en-NZ"/>
        </w:rPr>
        <w:t>. The process to develop the future operating model is using a robust programme management system that includes reporting and monitoring, decision-making protocols, change control, change management, stakeholder managem</w:t>
      </w:r>
      <w:r w:rsidR="00877C6E" w:rsidRPr="00332167">
        <w:rPr>
          <w:rFonts w:ascii="Verdana" w:hAnsi="Verdana"/>
          <w:sz w:val="20"/>
          <w:lang w:val="en-NZ"/>
        </w:rPr>
        <w:t>ent, risk and issues management</w:t>
      </w:r>
      <w:r w:rsidRPr="00332167">
        <w:rPr>
          <w:rFonts w:ascii="Verdana" w:hAnsi="Verdana"/>
          <w:sz w:val="20"/>
          <w:lang w:val="en-NZ"/>
        </w:rPr>
        <w:t xml:space="preserve"> and benefits realisation.  </w:t>
      </w:r>
    </w:p>
    <w:p w:rsidR="000622AD"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Funding to meet the costs associated with the implementation of the future operating model will be sought from the contingency fund, and where necessary in future budgets via the normal budget process. </w:t>
      </w:r>
    </w:p>
    <w:p w:rsidR="000622AD" w:rsidRPr="00D6550C" w:rsidRDefault="000622AD" w:rsidP="000622AD">
      <w:pPr>
        <w:keepNext/>
        <w:spacing w:before="120" w:after="120"/>
        <w:outlineLvl w:val="1"/>
        <w:rPr>
          <w:rFonts w:ascii="Verdana" w:hAnsi="Verdana"/>
          <w:sz w:val="28"/>
          <w:szCs w:val="28"/>
        </w:rPr>
      </w:pPr>
      <w:bookmarkStart w:id="131" w:name="_Toc460411760"/>
      <w:r w:rsidRPr="00D6550C">
        <w:rPr>
          <w:rFonts w:ascii="Verdana" w:hAnsi="Verdana"/>
          <w:b/>
          <w:color w:val="335087"/>
          <w:spacing w:val="20"/>
          <w:w w:val="90"/>
          <w:sz w:val="28"/>
          <w:szCs w:val="28"/>
        </w:rPr>
        <w:t>Monitoring, evaluation and review</w:t>
      </w:r>
      <w:bookmarkEnd w:id="120"/>
      <w:bookmarkEnd w:id="121"/>
      <w:bookmarkEnd w:id="122"/>
      <w:bookmarkEnd w:id="123"/>
      <w:bookmarkEnd w:id="124"/>
      <w:bookmarkEnd w:id="125"/>
      <w:bookmarkEnd w:id="126"/>
      <w:bookmarkEnd w:id="127"/>
      <w:bookmarkEnd w:id="128"/>
      <w:bookmarkEnd w:id="129"/>
      <w:bookmarkEnd w:id="130"/>
      <w:bookmarkEnd w:id="131"/>
      <w:r w:rsidRPr="00D6550C">
        <w:rPr>
          <w:rFonts w:ascii="Verdana" w:hAnsi="Verdana"/>
          <w:b/>
          <w:color w:val="335087"/>
          <w:spacing w:val="20"/>
          <w:w w:val="90"/>
          <w:sz w:val="28"/>
          <w:szCs w:val="28"/>
        </w:rPr>
        <w:t xml:space="preserve"> </w:t>
      </w:r>
    </w:p>
    <w:p w:rsidR="000622AD"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These proposals form part of a large</w:t>
      </w:r>
      <w:r w:rsidR="006D2D42" w:rsidRPr="00332167">
        <w:rPr>
          <w:rFonts w:ascii="Verdana" w:hAnsi="Verdana"/>
          <w:sz w:val="20"/>
          <w:lang w:val="en-NZ"/>
        </w:rPr>
        <w:t>r</w:t>
      </w:r>
      <w:r w:rsidRPr="00332167">
        <w:rPr>
          <w:rFonts w:ascii="Verdana" w:hAnsi="Verdana"/>
          <w:sz w:val="20"/>
          <w:lang w:val="en-NZ"/>
        </w:rPr>
        <w:t xml:space="preserve"> set of reforms to develop a new operating model for responding to vulnerable children, young people and their families. The success of the new system will be measured in a variety of ways by the agency </w:t>
      </w:r>
      <w:r w:rsidRPr="00332167">
        <w:rPr>
          <w:rFonts w:ascii="Verdana" w:hAnsi="Verdana"/>
          <w:sz w:val="20"/>
          <w:lang w:val="en-NZ"/>
        </w:rPr>
        <w:lastRenderedPageBreak/>
        <w:t>responsible for the new operating model</w:t>
      </w:r>
      <w:r w:rsidR="006D2D42" w:rsidRPr="00332167">
        <w:rPr>
          <w:rFonts w:ascii="Verdana" w:hAnsi="Verdana"/>
          <w:sz w:val="20"/>
          <w:lang w:val="en-NZ"/>
        </w:rPr>
        <w:t xml:space="preserve"> and by central agencies</w:t>
      </w:r>
      <w:r w:rsidRPr="00332167">
        <w:rPr>
          <w:rFonts w:ascii="Verdana" w:hAnsi="Verdana"/>
          <w:sz w:val="20"/>
          <w:lang w:val="en-NZ"/>
        </w:rPr>
        <w:t xml:space="preserve">. </w:t>
      </w:r>
      <w:r w:rsidR="000F1355" w:rsidRPr="00332167">
        <w:rPr>
          <w:rFonts w:ascii="Verdana" w:hAnsi="Verdana"/>
          <w:sz w:val="20"/>
          <w:lang w:val="en-NZ"/>
        </w:rPr>
        <w:t xml:space="preserve"> There will also be a requirement for the Chief Executive to report publicly on an annual basis on the impact of measures on improving outcomes for Māori children and young people.</w:t>
      </w:r>
    </w:p>
    <w:p w:rsidR="000622AD"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 xml:space="preserve">Further work will be </w:t>
      </w:r>
      <w:r w:rsidR="006D2D42" w:rsidRPr="00332167">
        <w:rPr>
          <w:rFonts w:ascii="Verdana" w:hAnsi="Verdana"/>
          <w:sz w:val="20"/>
          <w:lang w:val="en-NZ"/>
        </w:rPr>
        <w:t>undertaken</w:t>
      </w:r>
      <w:r w:rsidRPr="00332167">
        <w:rPr>
          <w:rFonts w:ascii="Verdana" w:hAnsi="Verdana"/>
          <w:sz w:val="20"/>
          <w:lang w:val="en-NZ"/>
        </w:rPr>
        <w:t xml:space="preserve"> with Treasury and the State Services Commission to build a detailed performance framework. On 30 March 2016, SOC noted that the Minister for Social Development expects that the performance management framework for the operating model will include the following dimensions [SOC-16-MIN-0022 refers]:</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 xml:space="preserve">improved long-term outcomes for those vulnerable children and young people </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reduced liability for future social, economic and fiscal costs</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churn in the number of care placements and stability of care through long-term relationships in safe and loving homes</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 xml:space="preserve">reduction in the rate of statutory response due to increased prevention and intensive support for children and families and whānau </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re-abuse and re-victimisation (including in care)</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of re-offending rates for youth offenders</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r w:rsidRPr="00D6550C">
        <w:rPr>
          <w:rFonts w:ascii="Verdana" w:hAnsi="Verdana"/>
          <w:sz w:val="20"/>
        </w:rPr>
        <w:t>reduction in the over-representation of Māori children and young people in care and the youth justice system</w:t>
      </w:r>
    </w:p>
    <w:p w:rsidR="000622AD" w:rsidRPr="00D6550C" w:rsidRDefault="000622AD" w:rsidP="000622AD">
      <w:pPr>
        <w:pStyle w:val="Bullet-list"/>
        <w:numPr>
          <w:ilvl w:val="0"/>
          <w:numId w:val="9"/>
        </w:numPr>
        <w:spacing w:before="120" w:after="120" w:line="280" w:lineRule="atLeast"/>
        <w:ind w:left="1077" w:right="170" w:hanging="357"/>
        <w:rPr>
          <w:rFonts w:ascii="Verdana" w:hAnsi="Verdana"/>
          <w:sz w:val="20"/>
        </w:rPr>
      </w:pPr>
      <w:proofErr w:type="gramStart"/>
      <w:r w:rsidRPr="00D6550C">
        <w:rPr>
          <w:rFonts w:ascii="Verdana" w:hAnsi="Verdana"/>
          <w:sz w:val="20"/>
        </w:rPr>
        <w:t>improved</w:t>
      </w:r>
      <w:proofErr w:type="gramEnd"/>
      <w:r w:rsidRPr="00D6550C">
        <w:rPr>
          <w:rFonts w:ascii="Verdana" w:hAnsi="Verdana"/>
          <w:sz w:val="20"/>
        </w:rPr>
        <w:t xml:space="preserve"> outcomes for Pacific children and young people.</w:t>
      </w:r>
    </w:p>
    <w:p w:rsidR="000622AD"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Work is also being progressed to gather data on the voices and experiences of those the system is designed to serve, starting with children and young people.</w:t>
      </w:r>
    </w:p>
    <w:p w:rsidR="00000EDA" w:rsidRPr="00332167" w:rsidRDefault="000622AD" w:rsidP="00332167">
      <w:pPr>
        <w:pStyle w:val="ListParagraph"/>
        <w:numPr>
          <w:ilvl w:val="0"/>
          <w:numId w:val="10"/>
        </w:numPr>
        <w:spacing w:before="120" w:after="120"/>
        <w:ind w:left="567" w:hanging="567"/>
        <w:contextualSpacing w:val="0"/>
        <w:rPr>
          <w:rFonts w:ascii="Verdana" w:hAnsi="Verdana"/>
          <w:sz w:val="20"/>
          <w:lang w:val="en-NZ"/>
        </w:rPr>
      </w:pPr>
      <w:r w:rsidRPr="00332167">
        <w:rPr>
          <w:rFonts w:ascii="Verdana" w:hAnsi="Verdana"/>
          <w:sz w:val="20"/>
          <w:lang w:val="en-NZ"/>
        </w:rPr>
        <w:t>The adoption of an investment approach also means that the overall impact can be measured through assessing</w:t>
      </w:r>
      <w:r w:rsidR="006D2D42" w:rsidRPr="00332167">
        <w:rPr>
          <w:rFonts w:ascii="Verdana" w:hAnsi="Verdana"/>
          <w:sz w:val="20"/>
          <w:lang w:val="en-NZ"/>
        </w:rPr>
        <w:t xml:space="preserve"> improvements in outcomes and</w:t>
      </w:r>
      <w:r w:rsidRPr="00332167">
        <w:rPr>
          <w:rFonts w:ascii="Verdana" w:hAnsi="Verdana"/>
          <w:sz w:val="20"/>
          <w:lang w:val="en-NZ"/>
        </w:rPr>
        <w:t xml:space="preserve"> the reduction in the overall future cost (forward liability) for this group of vulnerable children and young people. The precise measure and associated targets can be determined once the actuarial model is in place.  </w:t>
      </w:r>
      <w:r w:rsidR="00000EDA" w:rsidRPr="00332167">
        <w:rPr>
          <w:rFonts w:ascii="Verdana" w:hAnsi="Verdana"/>
          <w:sz w:val="20"/>
          <w:lang w:val="en-NZ"/>
        </w:rPr>
        <w:t xml:space="preserve">  </w:t>
      </w:r>
    </w:p>
    <w:p w:rsidR="00F829F6" w:rsidRPr="00F113EF" w:rsidRDefault="00F829F6" w:rsidP="00FD5CE2">
      <w:pPr>
        <w:spacing w:line="240" w:lineRule="auto"/>
      </w:pPr>
    </w:p>
    <w:sectPr w:rsidR="00F829F6" w:rsidRPr="00F113EF" w:rsidSect="006931AE">
      <w:pgSz w:w="11907" w:h="16840" w:code="9"/>
      <w:pgMar w:top="1418" w:right="1275"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BF2" w:rsidRDefault="002D4BF2" w:rsidP="00000EDA">
      <w:pPr>
        <w:spacing w:after="0" w:line="240" w:lineRule="auto"/>
      </w:pPr>
      <w:r>
        <w:separator/>
      </w:r>
    </w:p>
  </w:endnote>
  <w:endnote w:type="continuationSeparator" w:id="0">
    <w:p w:rsidR="002D4BF2" w:rsidRDefault="002D4BF2" w:rsidP="000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Mäori">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490720"/>
      <w:docPartObj>
        <w:docPartGallery w:val="Page Numbers (Bottom of Page)"/>
        <w:docPartUnique/>
      </w:docPartObj>
    </w:sdtPr>
    <w:sdtEndPr>
      <w:rPr>
        <w:noProof/>
      </w:rPr>
    </w:sdtEndPr>
    <w:sdtContent>
      <w:p w:rsidR="00B5309F" w:rsidRDefault="00B5309F">
        <w:pPr>
          <w:pStyle w:val="Footer"/>
          <w:jc w:val="right"/>
        </w:pPr>
        <w:r>
          <w:fldChar w:fldCharType="begin"/>
        </w:r>
        <w:r>
          <w:instrText xml:space="preserve"> PAGE   \* MERGEFORMAT </w:instrText>
        </w:r>
        <w:r>
          <w:fldChar w:fldCharType="separate"/>
        </w:r>
        <w:r w:rsidR="00EF3527">
          <w:rPr>
            <w:noProof/>
          </w:rPr>
          <w:t>19</w:t>
        </w:r>
        <w:r>
          <w:rPr>
            <w:noProof/>
          </w:rPr>
          <w:fldChar w:fldCharType="end"/>
        </w:r>
      </w:p>
    </w:sdtContent>
  </w:sdt>
  <w:p w:rsidR="00B5309F" w:rsidRDefault="00B530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959883"/>
      <w:docPartObj>
        <w:docPartGallery w:val="Page Numbers (Bottom of Page)"/>
        <w:docPartUnique/>
      </w:docPartObj>
    </w:sdtPr>
    <w:sdtEndPr>
      <w:rPr>
        <w:noProof/>
      </w:rPr>
    </w:sdtEndPr>
    <w:sdtContent>
      <w:p w:rsidR="00B5309F" w:rsidRDefault="00B5309F">
        <w:pPr>
          <w:pStyle w:val="Footer"/>
          <w:jc w:val="right"/>
        </w:pPr>
        <w:r>
          <w:fldChar w:fldCharType="begin"/>
        </w:r>
        <w:r>
          <w:instrText xml:space="preserve"> PAGE   \* MERGEFORMAT </w:instrText>
        </w:r>
        <w:r>
          <w:fldChar w:fldCharType="separate"/>
        </w:r>
        <w:r w:rsidR="00EF3527">
          <w:rPr>
            <w:noProof/>
          </w:rPr>
          <w:t>14</w:t>
        </w:r>
        <w:r>
          <w:rPr>
            <w:noProof/>
          </w:rPr>
          <w:fldChar w:fldCharType="end"/>
        </w:r>
      </w:p>
    </w:sdtContent>
  </w:sdt>
  <w:p w:rsidR="00B5309F" w:rsidRDefault="00B53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BF2" w:rsidRDefault="002D4BF2" w:rsidP="00000EDA">
      <w:pPr>
        <w:spacing w:after="0" w:line="240" w:lineRule="auto"/>
      </w:pPr>
      <w:r>
        <w:separator/>
      </w:r>
    </w:p>
  </w:footnote>
  <w:footnote w:type="continuationSeparator" w:id="0">
    <w:p w:rsidR="002D4BF2" w:rsidRDefault="002D4BF2" w:rsidP="00000EDA">
      <w:pPr>
        <w:spacing w:after="0" w:line="240" w:lineRule="auto"/>
      </w:pPr>
      <w:r>
        <w:continuationSeparator/>
      </w:r>
    </w:p>
  </w:footnote>
  <w:footnote w:id="1">
    <w:p w:rsidR="00B5309F" w:rsidRDefault="00B5309F" w:rsidP="00E80DBB">
      <w:pPr>
        <w:pStyle w:val="FootnoteText"/>
        <w:tabs>
          <w:tab w:val="left" w:pos="142"/>
        </w:tabs>
        <w:ind w:left="142" w:hanging="142"/>
      </w:pPr>
      <w:r>
        <w:rPr>
          <w:rStyle w:val="FootnoteReference"/>
        </w:rPr>
        <w:footnoteRef/>
      </w:r>
      <w:r>
        <w:t xml:space="preserve"> Out of 21 indicators over 57% (12 indicators) showed increasing gaps between Māori and non-Māori (Marriot &amp; </w:t>
      </w:r>
      <w:proofErr w:type="spellStart"/>
      <w:r>
        <w:t>Sim</w:t>
      </w:r>
      <w:proofErr w:type="spellEnd"/>
      <w:r>
        <w:t xml:space="preserve"> 2014) pages 23 and 24.</w:t>
      </w:r>
    </w:p>
  </w:footnote>
  <w:footnote w:id="2">
    <w:p w:rsidR="00B5309F" w:rsidRPr="005D1F93" w:rsidRDefault="00B5309F" w:rsidP="00D96923">
      <w:pPr>
        <w:pStyle w:val="FootnoteText"/>
        <w:rPr>
          <w:lang w:val="en-NZ"/>
        </w:rPr>
      </w:pPr>
      <w:r>
        <w:rPr>
          <w:rStyle w:val="FootnoteReference"/>
        </w:rPr>
        <w:footnoteRef/>
      </w:r>
      <w:proofErr w:type="gramStart"/>
      <w:r>
        <w:t xml:space="preserve">The </w:t>
      </w:r>
      <w:r w:rsidRPr="000C0983">
        <w:rPr>
          <w:rFonts w:ascii="Arial Mäori" w:hAnsi="Arial Mäori"/>
          <w:szCs w:val="18"/>
          <w:lang w:val="mi-NZ"/>
        </w:rPr>
        <w:t>Expert Panel (2015).</w:t>
      </w:r>
      <w:proofErr w:type="gramEnd"/>
      <w:r w:rsidRPr="000C0983">
        <w:rPr>
          <w:rFonts w:ascii="Arial Mäori" w:hAnsi="Arial Mäori"/>
          <w:szCs w:val="18"/>
          <w:lang w:val="mi-NZ"/>
        </w:rPr>
        <w:t xml:space="preserve"> </w:t>
      </w:r>
      <w:r w:rsidRPr="000C0983">
        <w:rPr>
          <w:rFonts w:ascii="Arial Mäori" w:hAnsi="Arial Mäori"/>
          <w:i/>
          <w:szCs w:val="18"/>
          <w:lang w:val="mi-NZ"/>
        </w:rPr>
        <w:t xml:space="preserve">Final Report: Investing in New Zealand’s Children and Their Families </w:t>
      </w:r>
      <w:r w:rsidRPr="000C0983">
        <w:rPr>
          <w:rFonts w:ascii="Arial Mäori" w:hAnsi="Arial Mäori"/>
          <w:szCs w:val="18"/>
          <w:lang w:val="mi-NZ"/>
        </w:rPr>
        <w:t>(</w:t>
      </w:r>
      <w:r>
        <w:rPr>
          <w:rFonts w:ascii="Arial Mäori" w:hAnsi="Arial Mäori"/>
          <w:szCs w:val="18"/>
          <w:lang w:val="mi-NZ"/>
        </w:rPr>
        <w:t>t</w:t>
      </w:r>
      <w:r w:rsidRPr="000C0983">
        <w:rPr>
          <w:rFonts w:ascii="Arial Mäori" w:hAnsi="Arial Mäori"/>
          <w:szCs w:val="18"/>
          <w:lang w:val="mi-NZ"/>
        </w:rPr>
        <w:t>he Final Report), p</w:t>
      </w:r>
      <w:r>
        <w:rPr>
          <w:rFonts w:ascii="Arial Mäori" w:hAnsi="Arial Mäori"/>
          <w:szCs w:val="18"/>
          <w:lang w:val="mi-NZ"/>
        </w:rPr>
        <w:t xml:space="preserve">age </w:t>
      </w:r>
      <w:r w:rsidRPr="000C0983">
        <w:rPr>
          <w:rFonts w:ascii="Arial Mäori" w:hAnsi="Arial Mäori"/>
          <w:szCs w:val="18"/>
          <w:lang w:val="mi-NZ"/>
        </w:rPr>
        <w:t xml:space="preserve">12. </w:t>
      </w:r>
      <w:r w:rsidR="00EF3527">
        <w:fldChar w:fldCharType="begin"/>
      </w:r>
      <w:r w:rsidR="00EF3527">
        <w:instrText xml:space="preserve"> HYPERLINK "https://www.msd.govt.nz/documents/about-msd-and-our-work/work-programmes/investing-in-children/investing-in-children-report.pdf" </w:instrText>
      </w:r>
      <w:r w:rsidR="00EF3527">
        <w:fldChar w:fldCharType="separate"/>
      </w:r>
      <w:r w:rsidRPr="000C0983">
        <w:rPr>
          <w:rStyle w:val="Hyperlink"/>
          <w:rFonts w:ascii="Arial Mäori" w:hAnsi="Arial Mäori"/>
          <w:szCs w:val="18"/>
          <w:lang w:val="mi-NZ"/>
        </w:rPr>
        <w:t>https://www.msd.govt.nz/documents/about-msd-and-our-work/work-programmes/investing-in-children/investing-in-children-report.pdf</w:t>
      </w:r>
      <w:r w:rsidR="00EF3527">
        <w:rPr>
          <w:rStyle w:val="Hyperlink"/>
          <w:rFonts w:ascii="Arial Mäori" w:hAnsi="Arial Mäori"/>
          <w:szCs w:val="18"/>
          <w:lang w:val="mi-NZ"/>
        </w:rPr>
        <w:fldChar w:fldCharType="end"/>
      </w:r>
      <w:r w:rsidRPr="00D96923">
        <w:rPr>
          <w:sz w:val="16"/>
          <w:szCs w:val="16"/>
        </w:rPr>
        <w:t xml:space="preserve"> </w:t>
      </w:r>
    </w:p>
  </w:footnote>
  <w:footnote w:id="3">
    <w:p w:rsidR="00B5309F" w:rsidRPr="00D521E8" w:rsidRDefault="00B5309F">
      <w:pPr>
        <w:pStyle w:val="FootnoteText"/>
        <w:rPr>
          <w:sz w:val="16"/>
          <w:szCs w:val="16"/>
          <w:lang w:val="en-NZ"/>
        </w:rPr>
      </w:pPr>
      <w:r>
        <w:rPr>
          <w:rStyle w:val="FootnoteReference"/>
        </w:rPr>
        <w:footnoteRef/>
      </w:r>
      <w:r>
        <w:t xml:space="preserve"> </w:t>
      </w:r>
      <w:r>
        <w:rPr>
          <w:sz w:val="16"/>
          <w:szCs w:val="16"/>
          <w:lang w:val="en-NZ"/>
        </w:rPr>
        <w:t>The Expert Panel Final Report, page 59.</w:t>
      </w:r>
    </w:p>
  </w:footnote>
  <w:footnote w:id="4">
    <w:p w:rsidR="00B5309F" w:rsidRPr="00D75CA5" w:rsidRDefault="00B5309F">
      <w:pPr>
        <w:pStyle w:val="FootnoteText"/>
        <w:rPr>
          <w:lang w:val="en-NZ"/>
        </w:rPr>
      </w:pPr>
      <w:r>
        <w:rPr>
          <w:rStyle w:val="FootnoteReference"/>
        </w:rPr>
        <w:footnoteRef/>
      </w:r>
      <w:r>
        <w:t xml:space="preserve"> </w:t>
      </w:r>
      <w:r>
        <w:rPr>
          <w:lang w:val="en-NZ"/>
        </w:rPr>
        <w:t>The Expert Panel Final Report, page 61.</w:t>
      </w:r>
    </w:p>
  </w:footnote>
  <w:footnote w:id="5">
    <w:p w:rsidR="00B5309F" w:rsidRPr="00EA667C" w:rsidRDefault="00B5309F">
      <w:pPr>
        <w:pStyle w:val="FootnoteText"/>
        <w:rPr>
          <w:lang w:val="en-NZ"/>
        </w:rPr>
      </w:pPr>
      <w:r>
        <w:rPr>
          <w:rStyle w:val="FootnoteReference"/>
        </w:rPr>
        <w:footnoteRef/>
      </w:r>
      <w:r>
        <w:t xml:space="preserve"> </w:t>
      </w:r>
      <w:r>
        <w:rPr>
          <w:lang w:val="en-NZ"/>
        </w:rPr>
        <w:t>The Expert Panel Final Report, page 62.</w:t>
      </w:r>
    </w:p>
  </w:footnote>
  <w:footnote w:id="6">
    <w:p w:rsidR="00B5309F" w:rsidRDefault="00B5309F" w:rsidP="00B86C28">
      <w:pPr>
        <w:pStyle w:val="FootnoteText"/>
        <w:tabs>
          <w:tab w:val="left" w:pos="142"/>
        </w:tabs>
        <w:ind w:left="142" w:hanging="142"/>
      </w:pPr>
      <w:r>
        <w:rPr>
          <w:rStyle w:val="FootnoteReference"/>
        </w:rPr>
        <w:footnoteRef/>
      </w:r>
      <w:r>
        <w:t xml:space="preserve"> Out of 21 indicators, over 57% (12 indicators) showed increasing gaps between Māori and non-Māori (Marriot &amp; </w:t>
      </w:r>
      <w:proofErr w:type="spellStart"/>
      <w:r>
        <w:t>Sim</w:t>
      </w:r>
      <w:proofErr w:type="spellEnd"/>
      <w:r>
        <w:t xml:space="preserve"> 2014) pages 23 and 24.</w:t>
      </w:r>
    </w:p>
  </w:footnote>
  <w:footnote w:id="7">
    <w:p w:rsidR="00B5309F" w:rsidRPr="0054419B" w:rsidRDefault="00B5309F">
      <w:pPr>
        <w:pStyle w:val="FootnoteText"/>
        <w:rPr>
          <w:rFonts w:ascii="Verdana" w:hAnsi="Verdana"/>
          <w:sz w:val="16"/>
          <w:szCs w:val="16"/>
          <w:lang w:val="en-NZ"/>
        </w:rPr>
      </w:pPr>
      <w:r>
        <w:rPr>
          <w:rStyle w:val="FootnoteReference"/>
        </w:rPr>
        <w:footnoteRef/>
      </w:r>
      <w:r>
        <w:t xml:space="preserve"> </w:t>
      </w:r>
      <w:r>
        <w:rPr>
          <w:rFonts w:ascii="Verdana" w:hAnsi="Verdana"/>
          <w:sz w:val="16"/>
          <w:szCs w:val="16"/>
          <w:lang w:val="en-NZ"/>
        </w:rPr>
        <w:t xml:space="preserve">The </w:t>
      </w:r>
      <w:r>
        <w:rPr>
          <w:lang w:val="en-NZ"/>
        </w:rPr>
        <w:t xml:space="preserve">Expert Panel </w:t>
      </w:r>
      <w:r>
        <w:rPr>
          <w:rFonts w:ascii="Verdana" w:hAnsi="Verdana"/>
          <w:sz w:val="16"/>
          <w:szCs w:val="16"/>
          <w:lang w:val="en-NZ"/>
        </w:rPr>
        <w:t>Final Report, page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9F" w:rsidRDefault="00B530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9F" w:rsidRDefault="00B530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9F" w:rsidRDefault="00B530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09F" w:rsidRDefault="00B53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F30EF250"/>
    <w:lvl w:ilvl="0">
      <w:start w:val="1"/>
      <w:numFmt w:val="decimal"/>
      <w:pStyle w:val="ListNumber"/>
      <w:lvlText w:val="%1"/>
      <w:lvlJc w:val="left"/>
      <w:pPr>
        <w:tabs>
          <w:tab w:val="num" w:pos="567"/>
        </w:tabs>
        <w:ind w:left="567" w:hanging="567"/>
      </w:pPr>
      <w:rPr>
        <w:rFonts w:hint="default"/>
      </w:rPr>
    </w:lvl>
  </w:abstractNum>
  <w:abstractNum w:abstractNumId="3">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0C2453E"/>
    <w:multiLevelType w:val="multilevel"/>
    <w:tmpl w:val="74EE3360"/>
    <w:lvl w:ilvl="0">
      <w:start w:val="1"/>
      <w:numFmt w:val="decimal"/>
      <w:pStyle w:val="RecNumbering"/>
      <w:lvlText w:val="%1"/>
      <w:lvlJc w:val="left"/>
      <w:pPr>
        <w:tabs>
          <w:tab w:val="num" w:pos="854"/>
        </w:tabs>
        <w:ind w:left="854" w:hanging="494"/>
      </w:pPr>
      <w:rPr>
        <w:rFonts w:ascii="Arial" w:hAnsi="Arial" w:cs="Arial" w:hint="default"/>
        <w:b w:val="0"/>
        <w:sz w:val="22"/>
        <w:szCs w:val="22"/>
      </w:rPr>
    </w:lvl>
    <w:lvl w:ilvl="1">
      <w:start w:val="1"/>
      <w:numFmt w:val="decimal"/>
      <w:pStyle w:val="RecNumbering2"/>
      <w:lvlText w:val="%1.%2"/>
      <w:lvlJc w:val="left"/>
      <w:pPr>
        <w:tabs>
          <w:tab w:val="num" w:pos="1347"/>
        </w:tabs>
        <w:ind w:left="1347" w:hanging="493"/>
      </w:pPr>
      <w:rPr>
        <w:rFonts w:hint="default"/>
        <w:b w:val="0"/>
      </w:rPr>
    </w:lvl>
    <w:lvl w:ilvl="2">
      <w:start w:val="1"/>
      <w:numFmt w:val="decimal"/>
      <w:lvlText w:val="%1.%2.%3"/>
      <w:lvlJc w:val="left"/>
      <w:pPr>
        <w:tabs>
          <w:tab w:val="num" w:pos="2027"/>
        </w:tabs>
        <w:ind w:left="2027" w:hanging="680"/>
      </w:pPr>
      <w:rPr>
        <w:rFonts w:hint="default"/>
      </w:rPr>
    </w:lvl>
    <w:lvl w:ilvl="3">
      <w:start w:val="1"/>
      <w:numFmt w:val="decimal"/>
      <w:lvlText w:val="%1.%2.%3.%4."/>
      <w:lvlJc w:val="left"/>
      <w:pPr>
        <w:tabs>
          <w:tab w:val="num" w:pos="2000"/>
        </w:tabs>
        <w:ind w:left="1568" w:hanging="648"/>
      </w:pPr>
      <w:rPr>
        <w:rFonts w:hint="default"/>
      </w:rPr>
    </w:lvl>
    <w:lvl w:ilvl="4">
      <w:start w:val="1"/>
      <w:numFmt w:val="decimal"/>
      <w:lvlText w:val="%1.%2.%3.%4.%5."/>
      <w:lvlJc w:val="left"/>
      <w:pPr>
        <w:tabs>
          <w:tab w:val="num" w:pos="2360"/>
        </w:tabs>
        <w:ind w:left="2072" w:hanging="792"/>
      </w:pPr>
      <w:rPr>
        <w:rFonts w:hint="default"/>
      </w:rPr>
    </w:lvl>
    <w:lvl w:ilvl="5">
      <w:start w:val="1"/>
      <w:numFmt w:val="decimal"/>
      <w:lvlText w:val="%1.%2.%3.%4.%5.%6."/>
      <w:lvlJc w:val="left"/>
      <w:pPr>
        <w:tabs>
          <w:tab w:val="num" w:pos="3080"/>
        </w:tabs>
        <w:ind w:left="2576" w:hanging="936"/>
      </w:pPr>
      <w:rPr>
        <w:rFonts w:hint="default"/>
      </w:rPr>
    </w:lvl>
    <w:lvl w:ilvl="6">
      <w:start w:val="1"/>
      <w:numFmt w:val="decimal"/>
      <w:lvlText w:val="%1.%2.%3.%4.%5.%6.%7."/>
      <w:lvlJc w:val="left"/>
      <w:pPr>
        <w:tabs>
          <w:tab w:val="num" w:pos="3440"/>
        </w:tabs>
        <w:ind w:left="3080" w:hanging="1080"/>
      </w:pPr>
      <w:rPr>
        <w:rFonts w:hint="default"/>
      </w:rPr>
    </w:lvl>
    <w:lvl w:ilvl="7">
      <w:start w:val="1"/>
      <w:numFmt w:val="decimal"/>
      <w:lvlText w:val="%1.%2.%3.%4.%5.%6.%7.%8."/>
      <w:lvlJc w:val="left"/>
      <w:pPr>
        <w:tabs>
          <w:tab w:val="num" w:pos="4160"/>
        </w:tabs>
        <w:ind w:left="3584" w:hanging="1224"/>
      </w:pPr>
      <w:rPr>
        <w:rFonts w:hint="default"/>
      </w:rPr>
    </w:lvl>
    <w:lvl w:ilvl="8">
      <w:start w:val="1"/>
      <w:numFmt w:val="decimal"/>
      <w:lvlText w:val="%1.%2.%3.%4.%5.%6.%7.%8.%9."/>
      <w:lvlJc w:val="left"/>
      <w:pPr>
        <w:tabs>
          <w:tab w:val="num" w:pos="4520"/>
        </w:tabs>
        <w:ind w:left="4160" w:hanging="1440"/>
      </w:pPr>
      <w:rPr>
        <w:rFonts w:hint="default"/>
      </w:rPr>
    </w:lvl>
  </w:abstractNum>
  <w:abstractNum w:abstractNumId="5">
    <w:nsid w:val="00EA352C"/>
    <w:multiLevelType w:val="hybridMultilevel"/>
    <w:tmpl w:val="221E438C"/>
    <w:lvl w:ilvl="0" w:tplc="E41C9CDA">
      <w:start w:val="61"/>
      <w:numFmt w:val="decimal"/>
      <w:lvlText w:val="%1"/>
      <w:lvlJc w:val="left"/>
      <w:pPr>
        <w:ind w:left="1287"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94139B4"/>
    <w:multiLevelType w:val="multilevel"/>
    <w:tmpl w:val="AAAE4E2A"/>
    <w:lvl w:ilvl="0">
      <w:start w:val="57"/>
      <w:numFmt w:val="decimal"/>
      <w:lvlText w:val="%1"/>
      <w:lvlJc w:val="left"/>
      <w:pPr>
        <w:ind w:left="360" w:hanging="360"/>
      </w:pPr>
      <w:rPr>
        <w:rFonts w:ascii="Verdana" w:hAnsi="Verdana" w:hint="default"/>
        <w:b w:val="0"/>
        <w:color w:val="auto"/>
        <w:sz w:val="20"/>
        <w:szCs w:val="20"/>
      </w:rPr>
    </w:lvl>
    <w:lvl w:ilvl="1">
      <w:start w:val="1"/>
      <w:numFmt w:val="bullet"/>
      <w:lvlText w:val=""/>
      <w:lvlJc w:val="left"/>
      <w:pPr>
        <w:ind w:left="792" w:hanging="432"/>
      </w:pPr>
      <w:rPr>
        <w:rFonts w:ascii="Symbol" w:hAnsi="Symbol"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158416F5"/>
    <w:multiLevelType w:val="hybridMultilevel"/>
    <w:tmpl w:val="BC8CE2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15E95117"/>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2">
    <w:nsid w:val="1E98775F"/>
    <w:multiLevelType w:val="multilevel"/>
    <w:tmpl w:val="91340C3E"/>
    <w:lvl w:ilvl="0">
      <w:start w:val="83"/>
      <w:numFmt w:val="decimal"/>
      <w:lvlText w:val="%1."/>
      <w:lvlJc w:val="left"/>
      <w:pPr>
        <w:ind w:left="360" w:hanging="360"/>
      </w:pPr>
      <w:rPr>
        <w:rFonts w:ascii="Verdana" w:hAnsi="Verdana" w:hint="default"/>
        <w:b w:val="0"/>
        <w:color w:val="auto"/>
        <w:sz w:val="20"/>
        <w:szCs w:val="20"/>
      </w:rPr>
    </w:lvl>
    <w:lvl w:ilvl="1">
      <w:start w:val="1"/>
      <w:numFmt w:val="bullet"/>
      <w:lvlText w:val=""/>
      <w:lvlJc w:val="left"/>
      <w:pPr>
        <w:ind w:left="792" w:hanging="432"/>
      </w:pPr>
      <w:rPr>
        <w:rFonts w:ascii="Symbol" w:hAnsi="Symbol"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C2D7679"/>
    <w:multiLevelType w:val="hybridMultilevel"/>
    <w:tmpl w:val="6F966F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174597C"/>
    <w:multiLevelType w:val="multilevel"/>
    <w:tmpl w:val="17DA74EE"/>
    <w:lvl w:ilvl="0">
      <w:start w:val="54"/>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321E60EF"/>
    <w:multiLevelType w:val="hybridMultilevel"/>
    <w:tmpl w:val="DDCEDCA4"/>
    <w:lvl w:ilvl="0" w:tplc="14090001">
      <w:start w:val="1"/>
      <w:numFmt w:val="bullet"/>
      <w:lvlText w:val=""/>
      <w:lvlJc w:val="left"/>
      <w:pPr>
        <w:ind w:left="1213" w:hanging="360"/>
      </w:pPr>
      <w:rPr>
        <w:rFonts w:ascii="Symbol" w:hAnsi="Symbol" w:hint="default"/>
      </w:rPr>
    </w:lvl>
    <w:lvl w:ilvl="1" w:tplc="14090003" w:tentative="1">
      <w:start w:val="1"/>
      <w:numFmt w:val="bullet"/>
      <w:lvlText w:val="o"/>
      <w:lvlJc w:val="left"/>
      <w:pPr>
        <w:ind w:left="1933" w:hanging="360"/>
      </w:pPr>
      <w:rPr>
        <w:rFonts w:ascii="Courier New" w:hAnsi="Courier New" w:cs="Courier New" w:hint="default"/>
      </w:rPr>
    </w:lvl>
    <w:lvl w:ilvl="2" w:tplc="14090005" w:tentative="1">
      <w:start w:val="1"/>
      <w:numFmt w:val="bullet"/>
      <w:lvlText w:val=""/>
      <w:lvlJc w:val="left"/>
      <w:pPr>
        <w:ind w:left="2653" w:hanging="360"/>
      </w:pPr>
      <w:rPr>
        <w:rFonts w:ascii="Wingdings" w:hAnsi="Wingdings" w:hint="default"/>
      </w:rPr>
    </w:lvl>
    <w:lvl w:ilvl="3" w:tplc="14090001" w:tentative="1">
      <w:start w:val="1"/>
      <w:numFmt w:val="bullet"/>
      <w:lvlText w:val=""/>
      <w:lvlJc w:val="left"/>
      <w:pPr>
        <w:ind w:left="3373" w:hanging="360"/>
      </w:pPr>
      <w:rPr>
        <w:rFonts w:ascii="Symbol" w:hAnsi="Symbol" w:hint="default"/>
      </w:rPr>
    </w:lvl>
    <w:lvl w:ilvl="4" w:tplc="14090003" w:tentative="1">
      <w:start w:val="1"/>
      <w:numFmt w:val="bullet"/>
      <w:lvlText w:val="o"/>
      <w:lvlJc w:val="left"/>
      <w:pPr>
        <w:ind w:left="4093" w:hanging="360"/>
      </w:pPr>
      <w:rPr>
        <w:rFonts w:ascii="Courier New" w:hAnsi="Courier New" w:cs="Courier New" w:hint="default"/>
      </w:rPr>
    </w:lvl>
    <w:lvl w:ilvl="5" w:tplc="14090005" w:tentative="1">
      <w:start w:val="1"/>
      <w:numFmt w:val="bullet"/>
      <w:lvlText w:val=""/>
      <w:lvlJc w:val="left"/>
      <w:pPr>
        <w:ind w:left="4813" w:hanging="360"/>
      </w:pPr>
      <w:rPr>
        <w:rFonts w:ascii="Wingdings" w:hAnsi="Wingdings" w:hint="default"/>
      </w:rPr>
    </w:lvl>
    <w:lvl w:ilvl="6" w:tplc="14090001" w:tentative="1">
      <w:start w:val="1"/>
      <w:numFmt w:val="bullet"/>
      <w:lvlText w:val=""/>
      <w:lvlJc w:val="left"/>
      <w:pPr>
        <w:ind w:left="5533" w:hanging="360"/>
      </w:pPr>
      <w:rPr>
        <w:rFonts w:ascii="Symbol" w:hAnsi="Symbol" w:hint="default"/>
      </w:rPr>
    </w:lvl>
    <w:lvl w:ilvl="7" w:tplc="14090003" w:tentative="1">
      <w:start w:val="1"/>
      <w:numFmt w:val="bullet"/>
      <w:lvlText w:val="o"/>
      <w:lvlJc w:val="left"/>
      <w:pPr>
        <w:ind w:left="6253" w:hanging="360"/>
      </w:pPr>
      <w:rPr>
        <w:rFonts w:ascii="Courier New" w:hAnsi="Courier New" w:cs="Courier New" w:hint="default"/>
      </w:rPr>
    </w:lvl>
    <w:lvl w:ilvl="8" w:tplc="14090005" w:tentative="1">
      <w:start w:val="1"/>
      <w:numFmt w:val="bullet"/>
      <w:lvlText w:val=""/>
      <w:lvlJc w:val="left"/>
      <w:pPr>
        <w:ind w:left="6973" w:hanging="360"/>
      </w:pPr>
      <w:rPr>
        <w:rFonts w:ascii="Wingdings" w:hAnsi="Wingdings" w:hint="default"/>
      </w:rPr>
    </w:lvl>
  </w:abstractNum>
  <w:abstractNum w:abstractNumId="16">
    <w:nsid w:val="35A963F8"/>
    <w:multiLevelType w:val="hybridMultilevel"/>
    <w:tmpl w:val="19CCFB6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7">
    <w:nsid w:val="38DE5A8D"/>
    <w:multiLevelType w:val="hybridMultilevel"/>
    <w:tmpl w:val="796A4ED6"/>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BB545A5"/>
    <w:multiLevelType w:val="hybridMultilevel"/>
    <w:tmpl w:val="173CA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946480C"/>
    <w:multiLevelType w:val="multilevel"/>
    <w:tmpl w:val="50EAA5F0"/>
    <w:lvl w:ilvl="0">
      <w:start w:val="1"/>
      <w:numFmt w:val="decimal"/>
      <w:pStyle w:val="RecLevel1"/>
      <w:lvlText w:val="%1"/>
      <w:lvlJc w:val="left"/>
      <w:pPr>
        <w:ind w:left="360" w:hanging="360"/>
      </w:pPr>
      <w:rPr>
        <w:rFonts w:hint="default"/>
        <w:b w:val="0"/>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B243D9"/>
    <w:multiLevelType w:val="multilevel"/>
    <w:tmpl w:val="324A8EEA"/>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AB42C2C"/>
    <w:multiLevelType w:val="multilevel"/>
    <w:tmpl w:val="670CC7DE"/>
    <w:lvl w:ilvl="0">
      <w:start w:val="1"/>
      <w:numFmt w:val="decimal"/>
      <w:lvlText w:val="%1"/>
      <w:lvlJc w:val="left"/>
      <w:pPr>
        <w:ind w:left="360" w:hanging="360"/>
      </w:pPr>
      <w:rPr>
        <w:rFonts w:ascii="Verdana" w:hAnsi="Verdana" w:hint="default"/>
        <w:b w:val="0"/>
        <w:i w:val="0"/>
        <w:color w:val="auto"/>
        <w:sz w:val="20"/>
        <w:szCs w:val="20"/>
      </w:rPr>
    </w:lvl>
    <w:lvl w:ilvl="1">
      <w:start w:val="1"/>
      <w:numFmt w:val="bullet"/>
      <w:lvlText w:val=""/>
      <w:lvlJc w:val="left"/>
      <w:pPr>
        <w:ind w:left="792" w:hanging="432"/>
      </w:pPr>
      <w:rPr>
        <w:rFonts w:ascii="Symbol" w:hAnsi="Symbol"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BE7329F"/>
    <w:multiLevelType w:val="hybridMultilevel"/>
    <w:tmpl w:val="9176C04E"/>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hint="default"/>
        <w:sz w:val="20"/>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56786E93"/>
    <w:multiLevelType w:val="hybridMultilevel"/>
    <w:tmpl w:val="754081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nsid w:val="59F01D53"/>
    <w:multiLevelType w:val="multilevel"/>
    <w:tmpl w:val="DAF6B438"/>
    <w:lvl w:ilvl="0">
      <w:start w:val="49"/>
      <w:numFmt w:val="decimal"/>
      <w:lvlText w:val="%1"/>
      <w:lvlJc w:val="left"/>
      <w:pPr>
        <w:ind w:left="360" w:hanging="360"/>
      </w:pPr>
      <w:rPr>
        <w:rFonts w:hint="default"/>
        <w:b w:val="0"/>
        <w:color w:val="auto"/>
        <w:sz w:val="20"/>
        <w:szCs w:val="20"/>
      </w:rPr>
    </w:lvl>
    <w:lvl w:ilvl="1">
      <w:start w:val="1"/>
      <w:numFmt w:val="bullet"/>
      <w:lvlText w:val=""/>
      <w:lvlJc w:val="left"/>
      <w:pPr>
        <w:ind w:left="792" w:hanging="432"/>
      </w:pPr>
      <w:rPr>
        <w:rFonts w:ascii="Symbol" w:hAnsi="Symbol" w:hint="default"/>
        <w:b w:val="0"/>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F54BCE"/>
    <w:multiLevelType w:val="multilevel"/>
    <w:tmpl w:val="C890E1A6"/>
    <w:styleLink w:val="BodyList"/>
    <w:lvl w:ilvl="0">
      <w:start w:val="1"/>
      <w:numFmt w:val="decimal"/>
      <w:lvlText w:val="%1"/>
      <w:lvlJc w:val="left"/>
      <w:pPr>
        <w:tabs>
          <w:tab w:val="num" w:pos="494"/>
        </w:tabs>
        <w:ind w:left="494" w:hanging="494"/>
      </w:pPr>
    </w:lvl>
    <w:lvl w:ilvl="1">
      <w:start w:val="1"/>
      <w:numFmt w:val="decimal"/>
      <w:lvlText w:val="%1.%2"/>
      <w:lvlJc w:val="left"/>
      <w:pPr>
        <w:tabs>
          <w:tab w:val="num" w:pos="493"/>
        </w:tabs>
        <w:ind w:left="987" w:hanging="493"/>
      </w:pPr>
    </w:lvl>
    <w:lvl w:ilvl="2">
      <w:start w:val="1"/>
      <w:numFmt w:val="decimal"/>
      <w:lvlText w:val="%1.%2.%3"/>
      <w:lvlJc w:val="left"/>
      <w:pPr>
        <w:tabs>
          <w:tab w:val="num" w:pos="680"/>
        </w:tabs>
        <w:ind w:left="1667" w:hanging="680"/>
      </w:pPr>
    </w:lvl>
    <w:lvl w:ilvl="3">
      <w:start w:val="1"/>
      <w:numFmt w:val="decimal"/>
      <w:lvlText w:val="%1.%2.%3.%4."/>
      <w:lvlJc w:val="left"/>
      <w:pPr>
        <w:tabs>
          <w:tab w:val="num" w:pos="1640"/>
        </w:tabs>
        <w:ind w:left="1208" w:hanging="648"/>
      </w:pPr>
    </w:lvl>
    <w:lvl w:ilvl="4">
      <w:start w:val="1"/>
      <w:numFmt w:val="decimal"/>
      <w:lvlText w:val="%1.%2.%3.%4.%5."/>
      <w:lvlJc w:val="left"/>
      <w:pPr>
        <w:tabs>
          <w:tab w:val="num" w:pos="2000"/>
        </w:tabs>
        <w:ind w:left="1712" w:hanging="792"/>
      </w:pPr>
    </w:lvl>
    <w:lvl w:ilvl="5">
      <w:start w:val="1"/>
      <w:numFmt w:val="decimal"/>
      <w:lvlText w:val="%1.%2.%3.%4.%5.%6."/>
      <w:lvlJc w:val="left"/>
      <w:pPr>
        <w:tabs>
          <w:tab w:val="num" w:pos="2720"/>
        </w:tabs>
        <w:ind w:left="2216" w:hanging="936"/>
      </w:pPr>
    </w:lvl>
    <w:lvl w:ilvl="6">
      <w:start w:val="1"/>
      <w:numFmt w:val="decimal"/>
      <w:lvlText w:val="%1.%2.%3.%4.%5.%6.%7."/>
      <w:lvlJc w:val="left"/>
      <w:pPr>
        <w:tabs>
          <w:tab w:val="num" w:pos="3080"/>
        </w:tabs>
        <w:ind w:left="2720" w:hanging="1080"/>
      </w:pPr>
    </w:lvl>
    <w:lvl w:ilvl="7">
      <w:start w:val="1"/>
      <w:numFmt w:val="decimal"/>
      <w:lvlText w:val="%1.%2.%3.%4.%5.%6.%7.%8."/>
      <w:lvlJc w:val="left"/>
      <w:pPr>
        <w:tabs>
          <w:tab w:val="num" w:pos="3800"/>
        </w:tabs>
        <w:ind w:left="3224" w:hanging="1224"/>
      </w:pPr>
    </w:lvl>
    <w:lvl w:ilvl="8">
      <w:start w:val="1"/>
      <w:numFmt w:val="decimal"/>
      <w:lvlText w:val="%1.%2.%3.%4.%5.%6.%7.%8.%9."/>
      <w:lvlJc w:val="left"/>
      <w:pPr>
        <w:tabs>
          <w:tab w:val="num" w:pos="4160"/>
        </w:tabs>
        <w:ind w:left="3800" w:hanging="1440"/>
      </w:pPr>
    </w:lvl>
  </w:abstractNum>
  <w:abstractNum w:abstractNumId="27">
    <w:nsid w:val="5ADA139A"/>
    <w:multiLevelType w:val="hybridMultilevel"/>
    <w:tmpl w:val="28A6F140"/>
    <w:lvl w:ilvl="0" w:tplc="B2E4600E">
      <w:start w:val="1"/>
      <w:numFmt w:val="bullet"/>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E2F7173"/>
    <w:multiLevelType w:val="hybridMultilevel"/>
    <w:tmpl w:val="50B81C80"/>
    <w:lvl w:ilvl="0" w:tplc="E4006DAC">
      <w:start w:val="1"/>
      <w:numFmt w:val="bullet"/>
      <w:lvlText w:val=""/>
      <w:lvlJc w:val="left"/>
      <w:pPr>
        <w:ind w:left="360" w:hanging="360"/>
      </w:pPr>
      <w:rPr>
        <w:rFonts w:ascii="Symbol" w:hAnsi="Symbol" w:hint="default"/>
        <w:i w:val="0"/>
      </w:rPr>
    </w:lvl>
    <w:lvl w:ilvl="1" w:tplc="6B529C00">
      <w:start w:val="1"/>
      <w:numFmt w:val="bullet"/>
      <w:lvlText w:val="-"/>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9">
    <w:nsid w:val="5EA76FDE"/>
    <w:multiLevelType w:val="hybridMultilevel"/>
    <w:tmpl w:val="C2303F5E"/>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30">
    <w:nsid w:val="61F7792E"/>
    <w:multiLevelType w:val="hybridMultilevel"/>
    <w:tmpl w:val="74DA363A"/>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hint="default"/>
        <w:sz w:val="2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3CA7A61"/>
    <w:multiLevelType w:val="multilevel"/>
    <w:tmpl w:val="4524EEA4"/>
    <w:lvl w:ilvl="0">
      <w:start w:val="1"/>
      <w:numFmt w:val="decimal"/>
      <w:lvlText w:val="%1."/>
      <w:lvlJc w:val="left"/>
      <w:pPr>
        <w:ind w:left="360" w:hanging="360"/>
      </w:pPr>
      <w:rPr>
        <w:rFonts w:hint="default"/>
        <w:b w:val="0"/>
        <w:color w:val="auto"/>
        <w:sz w:val="22"/>
        <w:szCs w:val="22"/>
      </w:rPr>
    </w:lvl>
    <w:lvl w:ilvl="1">
      <w:start w:val="1"/>
      <w:numFmt w:val="bullet"/>
      <w:lvlText w:val=""/>
      <w:lvlJc w:val="left"/>
      <w:pPr>
        <w:ind w:left="792" w:hanging="432"/>
      </w:pPr>
      <w:rPr>
        <w:rFonts w:ascii="Symbol" w:hAnsi="Symbol"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647743"/>
    <w:multiLevelType w:val="hybridMultilevel"/>
    <w:tmpl w:val="13CCC8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EFE44E7"/>
    <w:multiLevelType w:val="hybridMultilevel"/>
    <w:tmpl w:val="813EC0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74844A77"/>
    <w:multiLevelType w:val="multilevel"/>
    <w:tmpl w:val="12AEE528"/>
    <w:lvl w:ilvl="0">
      <w:start w:val="61"/>
      <w:numFmt w:val="decimal"/>
      <w:lvlText w:val="%1"/>
      <w:lvlJc w:val="left"/>
      <w:pPr>
        <w:ind w:left="360" w:hanging="360"/>
      </w:pPr>
      <w:rPr>
        <w:rFonts w:hint="default"/>
        <w:b w:val="0"/>
        <w:color w:val="auto"/>
        <w:sz w:val="20"/>
        <w:szCs w:val="20"/>
      </w:rPr>
    </w:lvl>
    <w:lvl w:ilvl="1">
      <w:start w:val="1"/>
      <w:numFmt w:val="bullet"/>
      <w:lvlText w:val=""/>
      <w:lvlJc w:val="left"/>
      <w:pPr>
        <w:ind w:left="792" w:hanging="432"/>
      </w:pPr>
      <w:rPr>
        <w:rFonts w:ascii="Symbol" w:hAnsi="Symbol" w:hint="default"/>
        <w:b w:val="0"/>
      </w:rPr>
    </w:lvl>
    <w:lvl w:ilvl="2">
      <w:start w:val="110"/>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C1A54EF"/>
    <w:multiLevelType w:val="multilevel"/>
    <w:tmpl w:val="7C5A0528"/>
    <w:lvl w:ilvl="0">
      <w:start w:val="1"/>
      <w:numFmt w:val="decimal"/>
      <w:lvlText w:val="%1"/>
      <w:lvlJc w:val="left"/>
      <w:pPr>
        <w:tabs>
          <w:tab w:val="num" w:pos="493"/>
        </w:tabs>
        <w:ind w:left="493" w:hanging="493"/>
      </w:pPr>
      <w:rPr>
        <w:rFonts w:hint="default"/>
      </w:rPr>
    </w:lvl>
    <w:lvl w:ilvl="1">
      <w:start w:val="1"/>
      <w:numFmt w:val="bullet"/>
      <w:lvlText w:val=""/>
      <w:lvlJc w:val="left"/>
      <w:pPr>
        <w:tabs>
          <w:tab w:val="num" w:pos="426"/>
        </w:tabs>
        <w:ind w:left="920"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36">
    <w:nsid w:val="7DDB0A1B"/>
    <w:multiLevelType w:val="hybridMultilevel"/>
    <w:tmpl w:val="0FB29094"/>
    <w:lvl w:ilvl="0" w:tplc="0BBA33B0">
      <w:start w:val="1"/>
      <w:numFmt w:val="lowerRoman"/>
      <w:lvlText w:val="(%1)"/>
      <w:lvlJc w:val="right"/>
      <w:pPr>
        <w:ind w:left="1035" w:hanging="360"/>
      </w:pPr>
      <w:rPr>
        <w:rFonts w:hint="default"/>
      </w:rPr>
    </w:lvl>
    <w:lvl w:ilvl="1" w:tplc="14090019" w:tentative="1">
      <w:start w:val="1"/>
      <w:numFmt w:val="lowerLetter"/>
      <w:lvlText w:val="%2."/>
      <w:lvlJc w:val="left"/>
      <w:pPr>
        <w:ind w:left="1755" w:hanging="360"/>
      </w:pPr>
    </w:lvl>
    <w:lvl w:ilvl="2" w:tplc="1409001B" w:tentative="1">
      <w:start w:val="1"/>
      <w:numFmt w:val="lowerRoman"/>
      <w:lvlText w:val="%3."/>
      <w:lvlJc w:val="right"/>
      <w:pPr>
        <w:ind w:left="2475" w:hanging="180"/>
      </w:pPr>
    </w:lvl>
    <w:lvl w:ilvl="3" w:tplc="1409000F" w:tentative="1">
      <w:start w:val="1"/>
      <w:numFmt w:val="decimal"/>
      <w:lvlText w:val="%4."/>
      <w:lvlJc w:val="left"/>
      <w:pPr>
        <w:ind w:left="3195" w:hanging="360"/>
      </w:pPr>
    </w:lvl>
    <w:lvl w:ilvl="4" w:tplc="14090019" w:tentative="1">
      <w:start w:val="1"/>
      <w:numFmt w:val="lowerLetter"/>
      <w:lvlText w:val="%5."/>
      <w:lvlJc w:val="left"/>
      <w:pPr>
        <w:ind w:left="3915" w:hanging="360"/>
      </w:pPr>
    </w:lvl>
    <w:lvl w:ilvl="5" w:tplc="1409001B" w:tentative="1">
      <w:start w:val="1"/>
      <w:numFmt w:val="lowerRoman"/>
      <w:lvlText w:val="%6."/>
      <w:lvlJc w:val="right"/>
      <w:pPr>
        <w:ind w:left="4635" w:hanging="180"/>
      </w:pPr>
    </w:lvl>
    <w:lvl w:ilvl="6" w:tplc="1409000F" w:tentative="1">
      <w:start w:val="1"/>
      <w:numFmt w:val="decimal"/>
      <w:lvlText w:val="%7."/>
      <w:lvlJc w:val="left"/>
      <w:pPr>
        <w:ind w:left="5355" w:hanging="360"/>
      </w:pPr>
    </w:lvl>
    <w:lvl w:ilvl="7" w:tplc="14090019" w:tentative="1">
      <w:start w:val="1"/>
      <w:numFmt w:val="lowerLetter"/>
      <w:lvlText w:val="%8."/>
      <w:lvlJc w:val="left"/>
      <w:pPr>
        <w:ind w:left="6075" w:hanging="360"/>
      </w:pPr>
    </w:lvl>
    <w:lvl w:ilvl="8" w:tplc="1409001B" w:tentative="1">
      <w:start w:val="1"/>
      <w:numFmt w:val="lowerRoman"/>
      <w:lvlText w:val="%9."/>
      <w:lvlJc w:val="right"/>
      <w:pPr>
        <w:ind w:left="6795" w:hanging="180"/>
      </w:pPr>
    </w:lvl>
  </w:abstractNum>
  <w:num w:numId="1">
    <w:abstractNumId w:val="11"/>
  </w:num>
  <w:num w:numId="2">
    <w:abstractNumId w:val="3"/>
  </w:num>
  <w:num w:numId="3">
    <w:abstractNumId w:val="1"/>
  </w:num>
  <w:num w:numId="4">
    <w:abstractNumId w:val="7"/>
  </w:num>
  <w:num w:numId="5">
    <w:abstractNumId w:val="8"/>
  </w:num>
  <w:num w:numId="6">
    <w:abstractNumId w:val="23"/>
  </w:num>
  <w:num w:numId="7">
    <w:abstractNumId w:val="17"/>
  </w:num>
  <w:num w:numId="8">
    <w:abstractNumId w:val="28"/>
  </w:num>
  <w:num w:numId="9">
    <w:abstractNumId w:val="30"/>
  </w:num>
  <w:num w:numId="10">
    <w:abstractNumId w:val="21"/>
  </w:num>
  <w:num w:numId="11">
    <w:abstractNumId w:val="26"/>
  </w:num>
  <w:num w:numId="12">
    <w:abstractNumId w:val="27"/>
  </w:num>
  <w:num w:numId="13">
    <w:abstractNumId w:val="19"/>
  </w:num>
  <w:num w:numId="14">
    <w:abstractNumId w:val="0"/>
  </w:num>
  <w:num w:numId="15">
    <w:abstractNumId w:val="31"/>
  </w:num>
  <w:num w:numId="16">
    <w:abstractNumId w:val="10"/>
  </w:num>
  <w:num w:numId="17">
    <w:abstractNumId w:val="20"/>
  </w:num>
  <w:num w:numId="18">
    <w:abstractNumId w:val="13"/>
  </w:num>
  <w:num w:numId="19">
    <w:abstractNumId w:val="22"/>
  </w:num>
  <w:num w:numId="20">
    <w:abstractNumId w:val="2"/>
  </w:num>
  <w:num w:numId="21">
    <w:abstractNumId w:val="34"/>
  </w:num>
  <w:num w:numId="22">
    <w:abstractNumId w:val="29"/>
  </w:num>
  <w:num w:numId="23">
    <w:abstractNumId w:val="14"/>
  </w:num>
  <w:num w:numId="24">
    <w:abstractNumId w:val="32"/>
  </w:num>
  <w:num w:numId="25">
    <w:abstractNumId w:val="15"/>
  </w:num>
  <w:num w:numId="26">
    <w:abstractNumId w:val="12"/>
  </w:num>
  <w:num w:numId="27">
    <w:abstractNumId w:val="16"/>
  </w:num>
  <w:num w:numId="28">
    <w:abstractNumId w:val="25"/>
  </w:num>
  <w:num w:numId="29">
    <w:abstractNumId w:val="6"/>
  </w:num>
  <w:num w:numId="30">
    <w:abstractNumId w:val="5"/>
  </w:num>
  <w:num w:numId="31">
    <w:abstractNumId w:val="9"/>
  </w:num>
  <w:num w:numId="32">
    <w:abstractNumId w:val="33"/>
  </w:num>
  <w:num w:numId="33">
    <w:abstractNumId w:val="24"/>
  </w:num>
  <w:num w:numId="34">
    <w:abstractNumId w:val="14"/>
    <w:lvlOverride w:ilvl="0">
      <w:lvl w:ilvl="0">
        <w:start w:val="1"/>
        <w:numFmt w:val="decimal"/>
        <w:pStyle w:val="ReportBody"/>
        <w:lvlText w:val="%1"/>
        <w:lvlJc w:val="left"/>
        <w:pPr>
          <w:tabs>
            <w:tab w:val="num" w:pos="493"/>
          </w:tabs>
          <w:ind w:left="493" w:hanging="493"/>
        </w:pPr>
        <w:rPr>
          <w:rFonts w:hint="default"/>
        </w:rPr>
      </w:lvl>
    </w:lvlOverride>
  </w:num>
  <w:num w:numId="35">
    <w:abstractNumId w:val="35"/>
  </w:num>
  <w:num w:numId="36">
    <w:abstractNumId w:val="18"/>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36"/>
  </w:num>
  <w:num w:numId="45">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EDA"/>
    <w:rsid w:val="00000B4C"/>
    <w:rsid w:val="00000EDA"/>
    <w:rsid w:val="00002A25"/>
    <w:rsid w:val="000034B5"/>
    <w:rsid w:val="000054E8"/>
    <w:rsid w:val="00005BBE"/>
    <w:rsid w:val="00006A9C"/>
    <w:rsid w:val="00007FF3"/>
    <w:rsid w:val="000106D0"/>
    <w:rsid w:val="0001508A"/>
    <w:rsid w:val="00017BB1"/>
    <w:rsid w:val="00020A27"/>
    <w:rsid w:val="00020CA5"/>
    <w:rsid w:val="0002138F"/>
    <w:rsid w:val="00022BFC"/>
    <w:rsid w:val="00023694"/>
    <w:rsid w:val="00027051"/>
    <w:rsid w:val="00027B01"/>
    <w:rsid w:val="00031FE5"/>
    <w:rsid w:val="00032041"/>
    <w:rsid w:val="000327E8"/>
    <w:rsid w:val="000333DF"/>
    <w:rsid w:val="00034336"/>
    <w:rsid w:val="000344CD"/>
    <w:rsid w:val="00036391"/>
    <w:rsid w:val="00037CB0"/>
    <w:rsid w:val="00040420"/>
    <w:rsid w:val="000423CD"/>
    <w:rsid w:val="00042EDA"/>
    <w:rsid w:val="0004693F"/>
    <w:rsid w:val="00046A5E"/>
    <w:rsid w:val="00046B9D"/>
    <w:rsid w:val="00050513"/>
    <w:rsid w:val="00053FCC"/>
    <w:rsid w:val="00054BA7"/>
    <w:rsid w:val="000574F0"/>
    <w:rsid w:val="0006032B"/>
    <w:rsid w:val="00061728"/>
    <w:rsid w:val="000622AD"/>
    <w:rsid w:val="000623B4"/>
    <w:rsid w:val="00064E51"/>
    <w:rsid w:val="000710A9"/>
    <w:rsid w:val="00074341"/>
    <w:rsid w:val="000758F7"/>
    <w:rsid w:val="00080330"/>
    <w:rsid w:val="00081AD1"/>
    <w:rsid w:val="00083BCB"/>
    <w:rsid w:val="0008578B"/>
    <w:rsid w:val="0008783D"/>
    <w:rsid w:val="000904A6"/>
    <w:rsid w:val="000943FA"/>
    <w:rsid w:val="000947A5"/>
    <w:rsid w:val="00094AD2"/>
    <w:rsid w:val="0009735C"/>
    <w:rsid w:val="000A0EDC"/>
    <w:rsid w:val="000A244D"/>
    <w:rsid w:val="000A2507"/>
    <w:rsid w:val="000A29B1"/>
    <w:rsid w:val="000A45D3"/>
    <w:rsid w:val="000A576B"/>
    <w:rsid w:val="000A5CAB"/>
    <w:rsid w:val="000A7956"/>
    <w:rsid w:val="000B38C5"/>
    <w:rsid w:val="000B4E2D"/>
    <w:rsid w:val="000B5EA5"/>
    <w:rsid w:val="000C0112"/>
    <w:rsid w:val="000C0983"/>
    <w:rsid w:val="000C0B97"/>
    <w:rsid w:val="000C27B6"/>
    <w:rsid w:val="000C41D6"/>
    <w:rsid w:val="000C5085"/>
    <w:rsid w:val="000C50F5"/>
    <w:rsid w:val="000D0F1B"/>
    <w:rsid w:val="000D1C19"/>
    <w:rsid w:val="000D2406"/>
    <w:rsid w:val="000D5901"/>
    <w:rsid w:val="000D5F3E"/>
    <w:rsid w:val="000D791B"/>
    <w:rsid w:val="000D7FC7"/>
    <w:rsid w:val="000E29FB"/>
    <w:rsid w:val="000E3161"/>
    <w:rsid w:val="000E36BE"/>
    <w:rsid w:val="000E3BB9"/>
    <w:rsid w:val="000E3DCB"/>
    <w:rsid w:val="000E483E"/>
    <w:rsid w:val="000E6982"/>
    <w:rsid w:val="000E7886"/>
    <w:rsid w:val="000F1355"/>
    <w:rsid w:val="000F43B5"/>
    <w:rsid w:val="000F4648"/>
    <w:rsid w:val="000F6F84"/>
    <w:rsid w:val="00102D9A"/>
    <w:rsid w:val="00105054"/>
    <w:rsid w:val="0010511F"/>
    <w:rsid w:val="0010517E"/>
    <w:rsid w:val="00106AED"/>
    <w:rsid w:val="00106D27"/>
    <w:rsid w:val="00110086"/>
    <w:rsid w:val="0011224A"/>
    <w:rsid w:val="0011336D"/>
    <w:rsid w:val="0011468D"/>
    <w:rsid w:val="001148F8"/>
    <w:rsid w:val="00115424"/>
    <w:rsid w:val="00115F7D"/>
    <w:rsid w:val="001160EE"/>
    <w:rsid w:val="00122692"/>
    <w:rsid w:val="001231AC"/>
    <w:rsid w:val="00125D80"/>
    <w:rsid w:val="00126FB5"/>
    <w:rsid w:val="00130114"/>
    <w:rsid w:val="001312B4"/>
    <w:rsid w:val="001331CD"/>
    <w:rsid w:val="001376A9"/>
    <w:rsid w:val="00140A16"/>
    <w:rsid w:val="00140F8C"/>
    <w:rsid w:val="00141945"/>
    <w:rsid w:val="00141BD4"/>
    <w:rsid w:val="00141D11"/>
    <w:rsid w:val="001465BB"/>
    <w:rsid w:val="00147944"/>
    <w:rsid w:val="00150330"/>
    <w:rsid w:val="0015129F"/>
    <w:rsid w:val="0015386F"/>
    <w:rsid w:val="00153A37"/>
    <w:rsid w:val="00154403"/>
    <w:rsid w:val="00155069"/>
    <w:rsid w:val="00156C6C"/>
    <w:rsid w:val="0016400C"/>
    <w:rsid w:val="00166C7E"/>
    <w:rsid w:val="00166DDC"/>
    <w:rsid w:val="0017041F"/>
    <w:rsid w:val="00170CE8"/>
    <w:rsid w:val="001718EF"/>
    <w:rsid w:val="0017379E"/>
    <w:rsid w:val="0017473D"/>
    <w:rsid w:val="001753F9"/>
    <w:rsid w:val="001773CC"/>
    <w:rsid w:val="00181D2D"/>
    <w:rsid w:val="0018232A"/>
    <w:rsid w:val="00187EA2"/>
    <w:rsid w:val="001947E9"/>
    <w:rsid w:val="00197731"/>
    <w:rsid w:val="001A2215"/>
    <w:rsid w:val="001A2409"/>
    <w:rsid w:val="001A4C85"/>
    <w:rsid w:val="001A6AD3"/>
    <w:rsid w:val="001B0784"/>
    <w:rsid w:val="001B0F2B"/>
    <w:rsid w:val="001B3044"/>
    <w:rsid w:val="001B3B44"/>
    <w:rsid w:val="001B4231"/>
    <w:rsid w:val="001C2E09"/>
    <w:rsid w:val="001C4633"/>
    <w:rsid w:val="001C565D"/>
    <w:rsid w:val="001C69D6"/>
    <w:rsid w:val="001C6B31"/>
    <w:rsid w:val="001D1039"/>
    <w:rsid w:val="001D263B"/>
    <w:rsid w:val="001D2BC7"/>
    <w:rsid w:val="001D3744"/>
    <w:rsid w:val="001D4867"/>
    <w:rsid w:val="001D4DFC"/>
    <w:rsid w:val="001E0269"/>
    <w:rsid w:val="001E12C8"/>
    <w:rsid w:val="001E2797"/>
    <w:rsid w:val="001E32D0"/>
    <w:rsid w:val="001E693E"/>
    <w:rsid w:val="001E7139"/>
    <w:rsid w:val="001F0EB6"/>
    <w:rsid w:val="001F102C"/>
    <w:rsid w:val="001F1A46"/>
    <w:rsid w:val="001F6CBF"/>
    <w:rsid w:val="001F733E"/>
    <w:rsid w:val="001F7DFB"/>
    <w:rsid w:val="00200791"/>
    <w:rsid w:val="00202910"/>
    <w:rsid w:val="0020651A"/>
    <w:rsid w:val="0021197F"/>
    <w:rsid w:val="00213DA6"/>
    <w:rsid w:val="00213E27"/>
    <w:rsid w:val="00215DE6"/>
    <w:rsid w:val="00216302"/>
    <w:rsid w:val="00216D83"/>
    <w:rsid w:val="002171E9"/>
    <w:rsid w:val="00217535"/>
    <w:rsid w:val="00217821"/>
    <w:rsid w:val="0021785F"/>
    <w:rsid w:val="00224F38"/>
    <w:rsid w:val="0022545B"/>
    <w:rsid w:val="00225C32"/>
    <w:rsid w:val="00226D2A"/>
    <w:rsid w:val="002300FA"/>
    <w:rsid w:val="00230F23"/>
    <w:rsid w:val="00232B01"/>
    <w:rsid w:val="00233302"/>
    <w:rsid w:val="00236D2D"/>
    <w:rsid w:val="00236D4B"/>
    <w:rsid w:val="00241F6F"/>
    <w:rsid w:val="00244208"/>
    <w:rsid w:val="00244525"/>
    <w:rsid w:val="00245A2B"/>
    <w:rsid w:val="00247003"/>
    <w:rsid w:val="00247435"/>
    <w:rsid w:val="00247D65"/>
    <w:rsid w:val="002541A6"/>
    <w:rsid w:val="00256A9E"/>
    <w:rsid w:val="00260C42"/>
    <w:rsid w:val="00261598"/>
    <w:rsid w:val="002621AE"/>
    <w:rsid w:val="0026683E"/>
    <w:rsid w:val="002668EA"/>
    <w:rsid w:val="0027138B"/>
    <w:rsid w:val="002752DF"/>
    <w:rsid w:val="002753E5"/>
    <w:rsid w:val="002769EC"/>
    <w:rsid w:val="00276A19"/>
    <w:rsid w:val="00277321"/>
    <w:rsid w:val="0028201B"/>
    <w:rsid w:val="0028353D"/>
    <w:rsid w:val="0028362C"/>
    <w:rsid w:val="00285586"/>
    <w:rsid w:val="0029020D"/>
    <w:rsid w:val="00292441"/>
    <w:rsid w:val="00293A5C"/>
    <w:rsid w:val="00293C40"/>
    <w:rsid w:val="00295D4B"/>
    <w:rsid w:val="002A17A3"/>
    <w:rsid w:val="002A18C1"/>
    <w:rsid w:val="002B2CFF"/>
    <w:rsid w:val="002B35FE"/>
    <w:rsid w:val="002B4561"/>
    <w:rsid w:val="002C44DE"/>
    <w:rsid w:val="002C74FE"/>
    <w:rsid w:val="002D0B62"/>
    <w:rsid w:val="002D1C62"/>
    <w:rsid w:val="002D2043"/>
    <w:rsid w:val="002D367B"/>
    <w:rsid w:val="002D3823"/>
    <w:rsid w:val="002D3A3D"/>
    <w:rsid w:val="002D4BF2"/>
    <w:rsid w:val="002E3096"/>
    <w:rsid w:val="002E3ED9"/>
    <w:rsid w:val="002E4F4B"/>
    <w:rsid w:val="002E5477"/>
    <w:rsid w:val="002E5D37"/>
    <w:rsid w:val="002F0732"/>
    <w:rsid w:val="002F20D3"/>
    <w:rsid w:val="002F2D7E"/>
    <w:rsid w:val="002F5716"/>
    <w:rsid w:val="002F63D6"/>
    <w:rsid w:val="002F7ACF"/>
    <w:rsid w:val="00301654"/>
    <w:rsid w:val="00301F5E"/>
    <w:rsid w:val="003029DF"/>
    <w:rsid w:val="00304664"/>
    <w:rsid w:val="00304A71"/>
    <w:rsid w:val="00306B1A"/>
    <w:rsid w:val="003104FA"/>
    <w:rsid w:val="00312F40"/>
    <w:rsid w:val="00317C91"/>
    <w:rsid w:val="003206B7"/>
    <w:rsid w:val="003222A6"/>
    <w:rsid w:val="00322422"/>
    <w:rsid w:val="00323900"/>
    <w:rsid w:val="00325ABE"/>
    <w:rsid w:val="0033051B"/>
    <w:rsid w:val="00332167"/>
    <w:rsid w:val="003327EA"/>
    <w:rsid w:val="003341F2"/>
    <w:rsid w:val="00335665"/>
    <w:rsid w:val="00340061"/>
    <w:rsid w:val="00340EF7"/>
    <w:rsid w:val="00342ACD"/>
    <w:rsid w:val="00343B87"/>
    <w:rsid w:val="00343FD2"/>
    <w:rsid w:val="0034537D"/>
    <w:rsid w:val="003470E2"/>
    <w:rsid w:val="00347682"/>
    <w:rsid w:val="00352E58"/>
    <w:rsid w:val="00354EC2"/>
    <w:rsid w:val="00356099"/>
    <w:rsid w:val="00361F6D"/>
    <w:rsid w:val="00363080"/>
    <w:rsid w:val="003639A7"/>
    <w:rsid w:val="00364464"/>
    <w:rsid w:val="00367393"/>
    <w:rsid w:val="00370845"/>
    <w:rsid w:val="00374CDE"/>
    <w:rsid w:val="00374CE0"/>
    <w:rsid w:val="00376585"/>
    <w:rsid w:val="00380820"/>
    <w:rsid w:val="00380C2F"/>
    <w:rsid w:val="00383F8F"/>
    <w:rsid w:val="00384681"/>
    <w:rsid w:val="00384F63"/>
    <w:rsid w:val="00390678"/>
    <w:rsid w:val="00391C05"/>
    <w:rsid w:val="00391E76"/>
    <w:rsid w:val="00392B4A"/>
    <w:rsid w:val="00397220"/>
    <w:rsid w:val="00397F06"/>
    <w:rsid w:val="003A0A4A"/>
    <w:rsid w:val="003A0E52"/>
    <w:rsid w:val="003A1B4E"/>
    <w:rsid w:val="003A3CA9"/>
    <w:rsid w:val="003A7332"/>
    <w:rsid w:val="003B0A38"/>
    <w:rsid w:val="003B12B7"/>
    <w:rsid w:val="003B12F0"/>
    <w:rsid w:val="003B6E06"/>
    <w:rsid w:val="003B6E3B"/>
    <w:rsid w:val="003C2CA5"/>
    <w:rsid w:val="003C4CAF"/>
    <w:rsid w:val="003C53DE"/>
    <w:rsid w:val="003C5B2F"/>
    <w:rsid w:val="003C5F06"/>
    <w:rsid w:val="003C7740"/>
    <w:rsid w:val="003D1313"/>
    <w:rsid w:val="003D1CC2"/>
    <w:rsid w:val="003D4BE7"/>
    <w:rsid w:val="003D4C9F"/>
    <w:rsid w:val="003D518D"/>
    <w:rsid w:val="003D6165"/>
    <w:rsid w:val="003E3722"/>
    <w:rsid w:val="003E401E"/>
    <w:rsid w:val="003E6553"/>
    <w:rsid w:val="003E71D1"/>
    <w:rsid w:val="003E7515"/>
    <w:rsid w:val="003F0701"/>
    <w:rsid w:val="003F2208"/>
    <w:rsid w:val="003F5BB3"/>
    <w:rsid w:val="003F764B"/>
    <w:rsid w:val="00400084"/>
    <w:rsid w:val="00400D93"/>
    <w:rsid w:val="00401CCD"/>
    <w:rsid w:val="00401FDE"/>
    <w:rsid w:val="0040425E"/>
    <w:rsid w:val="004057C1"/>
    <w:rsid w:val="004065F6"/>
    <w:rsid w:val="00410F59"/>
    <w:rsid w:val="004121E4"/>
    <w:rsid w:val="00416206"/>
    <w:rsid w:val="004227ED"/>
    <w:rsid w:val="00422B97"/>
    <w:rsid w:val="00423D9F"/>
    <w:rsid w:val="00425AFD"/>
    <w:rsid w:val="00426B56"/>
    <w:rsid w:val="00427D82"/>
    <w:rsid w:val="00431B24"/>
    <w:rsid w:val="00435681"/>
    <w:rsid w:val="00436683"/>
    <w:rsid w:val="004371F1"/>
    <w:rsid w:val="00441758"/>
    <w:rsid w:val="00441B75"/>
    <w:rsid w:val="00442F91"/>
    <w:rsid w:val="004435E9"/>
    <w:rsid w:val="0044410E"/>
    <w:rsid w:val="004445E5"/>
    <w:rsid w:val="004452C2"/>
    <w:rsid w:val="00445BCE"/>
    <w:rsid w:val="00447825"/>
    <w:rsid w:val="00450425"/>
    <w:rsid w:val="00452122"/>
    <w:rsid w:val="00452FFF"/>
    <w:rsid w:val="004543E0"/>
    <w:rsid w:val="00454DD4"/>
    <w:rsid w:val="00454F25"/>
    <w:rsid w:val="00455AD5"/>
    <w:rsid w:val="004610C4"/>
    <w:rsid w:val="0046187C"/>
    <w:rsid w:val="00461D8D"/>
    <w:rsid w:val="00462B47"/>
    <w:rsid w:val="00466D31"/>
    <w:rsid w:val="00467395"/>
    <w:rsid w:val="004710B8"/>
    <w:rsid w:val="0047716B"/>
    <w:rsid w:val="00477C39"/>
    <w:rsid w:val="0048216D"/>
    <w:rsid w:val="004875B4"/>
    <w:rsid w:val="00487BBB"/>
    <w:rsid w:val="00490533"/>
    <w:rsid w:val="0049091E"/>
    <w:rsid w:val="004911BA"/>
    <w:rsid w:val="004915EB"/>
    <w:rsid w:val="004933D7"/>
    <w:rsid w:val="00493DE4"/>
    <w:rsid w:val="004970CD"/>
    <w:rsid w:val="00497FC1"/>
    <w:rsid w:val="004A0E82"/>
    <w:rsid w:val="004A124E"/>
    <w:rsid w:val="004A20F0"/>
    <w:rsid w:val="004A5FBC"/>
    <w:rsid w:val="004B5144"/>
    <w:rsid w:val="004B5260"/>
    <w:rsid w:val="004B55BB"/>
    <w:rsid w:val="004C1A3B"/>
    <w:rsid w:val="004C3013"/>
    <w:rsid w:val="004C34C4"/>
    <w:rsid w:val="004C5925"/>
    <w:rsid w:val="004C5CBC"/>
    <w:rsid w:val="004C68BD"/>
    <w:rsid w:val="004D0C11"/>
    <w:rsid w:val="004D12A5"/>
    <w:rsid w:val="004D7C32"/>
    <w:rsid w:val="004E1D0D"/>
    <w:rsid w:val="004E22EE"/>
    <w:rsid w:val="004F0F63"/>
    <w:rsid w:val="004F1271"/>
    <w:rsid w:val="004F2834"/>
    <w:rsid w:val="004F4A42"/>
    <w:rsid w:val="004F5B6E"/>
    <w:rsid w:val="00501E74"/>
    <w:rsid w:val="005021FD"/>
    <w:rsid w:val="0050356D"/>
    <w:rsid w:val="005037F8"/>
    <w:rsid w:val="005047D4"/>
    <w:rsid w:val="005052D7"/>
    <w:rsid w:val="005058C9"/>
    <w:rsid w:val="005070D8"/>
    <w:rsid w:val="00507328"/>
    <w:rsid w:val="00512486"/>
    <w:rsid w:val="0051515E"/>
    <w:rsid w:val="0051656E"/>
    <w:rsid w:val="00516B6B"/>
    <w:rsid w:val="005237BE"/>
    <w:rsid w:val="00523EF8"/>
    <w:rsid w:val="005242A4"/>
    <w:rsid w:val="00524381"/>
    <w:rsid w:val="0052589D"/>
    <w:rsid w:val="00525ABA"/>
    <w:rsid w:val="005273FF"/>
    <w:rsid w:val="005275F2"/>
    <w:rsid w:val="005308DF"/>
    <w:rsid w:val="00533E65"/>
    <w:rsid w:val="0053456B"/>
    <w:rsid w:val="00534D80"/>
    <w:rsid w:val="0053585A"/>
    <w:rsid w:val="005417C3"/>
    <w:rsid w:val="005438FC"/>
    <w:rsid w:val="0054419B"/>
    <w:rsid w:val="005452EE"/>
    <w:rsid w:val="00547C41"/>
    <w:rsid w:val="00550760"/>
    <w:rsid w:val="005509EF"/>
    <w:rsid w:val="005512B9"/>
    <w:rsid w:val="00551BA0"/>
    <w:rsid w:val="005526A7"/>
    <w:rsid w:val="00552719"/>
    <w:rsid w:val="00555F49"/>
    <w:rsid w:val="00560250"/>
    <w:rsid w:val="00560B13"/>
    <w:rsid w:val="005614F9"/>
    <w:rsid w:val="00564B83"/>
    <w:rsid w:val="00564BCA"/>
    <w:rsid w:val="0056681E"/>
    <w:rsid w:val="00566915"/>
    <w:rsid w:val="005677A4"/>
    <w:rsid w:val="005700AE"/>
    <w:rsid w:val="00572645"/>
    <w:rsid w:val="00572AA9"/>
    <w:rsid w:val="0057476D"/>
    <w:rsid w:val="00574CE3"/>
    <w:rsid w:val="00577E79"/>
    <w:rsid w:val="005840B2"/>
    <w:rsid w:val="00585ADF"/>
    <w:rsid w:val="00592D21"/>
    <w:rsid w:val="00595574"/>
    <w:rsid w:val="005957E7"/>
    <w:rsid w:val="005958F8"/>
    <w:rsid w:val="00595906"/>
    <w:rsid w:val="00597114"/>
    <w:rsid w:val="005A0029"/>
    <w:rsid w:val="005A0624"/>
    <w:rsid w:val="005A2D69"/>
    <w:rsid w:val="005A7870"/>
    <w:rsid w:val="005A7892"/>
    <w:rsid w:val="005B11F9"/>
    <w:rsid w:val="005B173E"/>
    <w:rsid w:val="005B3076"/>
    <w:rsid w:val="005B6D99"/>
    <w:rsid w:val="005B7479"/>
    <w:rsid w:val="005B7989"/>
    <w:rsid w:val="005C12CE"/>
    <w:rsid w:val="005C3D0B"/>
    <w:rsid w:val="005C4952"/>
    <w:rsid w:val="005C51F0"/>
    <w:rsid w:val="005D17DC"/>
    <w:rsid w:val="005D1F93"/>
    <w:rsid w:val="005D2362"/>
    <w:rsid w:val="005D37F7"/>
    <w:rsid w:val="005D3C2C"/>
    <w:rsid w:val="005D416E"/>
    <w:rsid w:val="005E28C3"/>
    <w:rsid w:val="005E6682"/>
    <w:rsid w:val="005E6C7D"/>
    <w:rsid w:val="005F30C1"/>
    <w:rsid w:val="005F4357"/>
    <w:rsid w:val="005F5CAD"/>
    <w:rsid w:val="005F667E"/>
    <w:rsid w:val="005F6DE8"/>
    <w:rsid w:val="005F792A"/>
    <w:rsid w:val="00611481"/>
    <w:rsid w:val="00611739"/>
    <w:rsid w:val="006177F2"/>
    <w:rsid w:val="00622033"/>
    <w:rsid w:val="006222E9"/>
    <w:rsid w:val="0062285A"/>
    <w:rsid w:val="00622A0B"/>
    <w:rsid w:val="00623089"/>
    <w:rsid w:val="00624036"/>
    <w:rsid w:val="00630C4A"/>
    <w:rsid w:val="0063133C"/>
    <w:rsid w:val="00631D73"/>
    <w:rsid w:val="0063208F"/>
    <w:rsid w:val="00634275"/>
    <w:rsid w:val="0063429C"/>
    <w:rsid w:val="006343AC"/>
    <w:rsid w:val="00636256"/>
    <w:rsid w:val="0063691B"/>
    <w:rsid w:val="006369FF"/>
    <w:rsid w:val="006374DB"/>
    <w:rsid w:val="00637D70"/>
    <w:rsid w:val="006428DE"/>
    <w:rsid w:val="00645E22"/>
    <w:rsid w:val="00646978"/>
    <w:rsid w:val="006502DE"/>
    <w:rsid w:val="00650BD4"/>
    <w:rsid w:val="00651159"/>
    <w:rsid w:val="00651C4E"/>
    <w:rsid w:val="00653525"/>
    <w:rsid w:val="00654EB5"/>
    <w:rsid w:val="00655F72"/>
    <w:rsid w:val="006568C1"/>
    <w:rsid w:val="0065716E"/>
    <w:rsid w:val="00660D15"/>
    <w:rsid w:val="00662129"/>
    <w:rsid w:val="0066669F"/>
    <w:rsid w:val="00666D75"/>
    <w:rsid w:val="00674777"/>
    <w:rsid w:val="00674E14"/>
    <w:rsid w:val="00674FCC"/>
    <w:rsid w:val="0067626A"/>
    <w:rsid w:val="00676897"/>
    <w:rsid w:val="00691E62"/>
    <w:rsid w:val="006929DD"/>
    <w:rsid w:val="006931AE"/>
    <w:rsid w:val="00697179"/>
    <w:rsid w:val="006A0C22"/>
    <w:rsid w:val="006A109E"/>
    <w:rsid w:val="006A12C6"/>
    <w:rsid w:val="006A25A4"/>
    <w:rsid w:val="006A29B8"/>
    <w:rsid w:val="006A2F5A"/>
    <w:rsid w:val="006A5435"/>
    <w:rsid w:val="006A6082"/>
    <w:rsid w:val="006B092F"/>
    <w:rsid w:val="006B0B8A"/>
    <w:rsid w:val="006B180A"/>
    <w:rsid w:val="006B19BD"/>
    <w:rsid w:val="006B2AF6"/>
    <w:rsid w:val="006B31DA"/>
    <w:rsid w:val="006B6041"/>
    <w:rsid w:val="006C0965"/>
    <w:rsid w:val="006C0BA3"/>
    <w:rsid w:val="006C416B"/>
    <w:rsid w:val="006C55AE"/>
    <w:rsid w:val="006C5FEC"/>
    <w:rsid w:val="006D2D42"/>
    <w:rsid w:val="006D3B16"/>
    <w:rsid w:val="006D5487"/>
    <w:rsid w:val="006D6C86"/>
    <w:rsid w:val="006D7B85"/>
    <w:rsid w:val="006D7D7A"/>
    <w:rsid w:val="006E18E3"/>
    <w:rsid w:val="006E1AE3"/>
    <w:rsid w:val="006E1BEC"/>
    <w:rsid w:val="006E27B2"/>
    <w:rsid w:val="006E2F00"/>
    <w:rsid w:val="006E6FBA"/>
    <w:rsid w:val="006E7000"/>
    <w:rsid w:val="006F366C"/>
    <w:rsid w:val="006F3BA8"/>
    <w:rsid w:val="006F5184"/>
    <w:rsid w:val="00701A4B"/>
    <w:rsid w:val="007023F6"/>
    <w:rsid w:val="007027E4"/>
    <w:rsid w:val="00703B93"/>
    <w:rsid w:val="00703E2B"/>
    <w:rsid w:val="00707F89"/>
    <w:rsid w:val="007100D4"/>
    <w:rsid w:val="00711747"/>
    <w:rsid w:val="00713AF7"/>
    <w:rsid w:val="00715D0E"/>
    <w:rsid w:val="00721FE1"/>
    <w:rsid w:val="00725CE2"/>
    <w:rsid w:val="00726887"/>
    <w:rsid w:val="0072741A"/>
    <w:rsid w:val="00730305"/>
    <w:rsid w:val="00731C29"/>
    <w:rsid w:val="007325A2"/>
    <w:rsid w:val="00733C84"/>
    <w:rsid w:val="007348CF"/>
    <w:rsid w:val="00736115"/>
    <w:rsid w:val="00736701"/>
    <w:rsid w:val="00740B4F"/>
    <w:rsid w:val="00742BF1"/>
    <w:rsid w:val="007437F1"/>
    <w:rsid w:val="007458E3"/>
    <w:rsid w:val="00751639"/>
    <w:rsid w:val="00755E63"/>
    <w:rsid w:val="00756236"/>
    <w:rsid w:val="00757A87"/>
    <w:rsid w:val="00757C95"/>
    <w:rsid w:val="00760F86"/>
    <w:rsid w:val="00762C38"/>
    <w:rsid w:val="00762DB6"/>
    <w:rsid w:val="007649BF"/>
    <w:rsid w:val="00765480"/>
    <w:rsid w:val="0076609F"/>
    <w:rsid w:val="007666FD"/>
    <w:rsid w:val="007735B2"/>
    <w:rsid w:val="00773C28"/>
    <w:rsid w:val="00774313"/>
    <w:rsid w:val="00774C31"/>
    <w:rsid w:val="00775719"/>
    <w:rsid w:val="00783482"/>
    <w:rsid w:val="00783567"/>
    <w:rsid w:val="007841D8"/>
    <w:rsid w:val="00792C1F"/>
    <w:rsid w:val="007937CC"/>
    <w:rsid w:val="00793C43"/>
    <w:rsid w:val="007A28B6"/>
    <w:rsid w:val="007A3168"/>
    <w:rsid w:val="007A5CB7"/>
    <w:rsid w:val="007A6696"/>
    <w:rsid w:val="007B04FD"/>
    <w:rsid w:val="007B0568"/>
    <w:rsid w:val="007B201A"/>
    <w:rsid w:val="007B2679"/>
    <w:rsid w:val="007B40C0"/>
    <w:rsid w:val="007B47CB"/>
    <w:rsid w:val="007B5582"/>
    <w:rsid w:val="007B610D"/>
    <w:rsid w:val="007B6147"/>
    <w:rsid w:val="007B6148"/>
    <w:rsid w:val="007C2143"/>
    <w:rsid w:val="007C3471"/>
    <w:rsid w:val="007C6432"/>
    <w:rsid w:val="007C723F"/>
    <w:rsid w:val="007D5690"/>
    <w:rsid w:val="007D706A"/>
    <w:rsid w:val="007E1C95"/>
    <w:rsid w:val="007E529F"/>
    <w:rsid w:val="007E696E"/>
    <w:rsid w:val="007F0D98"/>
    <w:rsid w:val="007F21B4"/>
    <w:rsid w:val="007F3ACD"/>
    <w:rsid w:val="007F3BBE"/>
    <w:rsid w:val="007F4259"/>
    <w:rsid w:val="007F5280"/>
    <w:rsid w:val="007F7800"/>
    <w:rsid w:val="007F7BD1"/>
    <w:rsid w:val="00800629"/>
    <w:rsid w:val="0080133F"/>
    <w:rsid w:val="00801FAE"/>
    <w:rsid w:val="0080498F"/>
    <w:rsid w:val="00806ACF"/>
    <w:rsid w:val="0080777A"/>
    <w:rsid w:val="00807BBD"/>
    <w:rsid w:val="00811ECA"/>
    <w:rsid w:val="008131B5"/>
    <w:rsid w:val="008135DF"/>
    <w:rsid w:val="00814C47"/>
    <w:rsid w:val="00815640"/>
    <w:rsid w:val="008164A6"/>
    <w:rsid w:val="00816D96"/>
    <w:rsid w:val="0081782E"/>
    <w:rsid w:val="008179BE"/>
    <w:rsid w:val="00817A7F"/>
    <w:rsid w:val="00821A23"/>
    <w:rsid w:val="008243D0"/>
    <w:rsid w:val="00826DD5"/>
    <w:rsid w:val="00827B2D"/>
    <w:rsid w:val="00830822"/>
    <w:rsid w:val="008335CB"/>
    <w:rsid w:val="008342E2"/>
    <w:rsid w:val="008352F7"/>
    <w:rsid w:val="008375B7"/>
    <w:rsid w:val="0084005B"/>
    <w:rsid w:val="008405AB"/>
    <w:rsid w:val="00840E0B"/>
    <w:rsid w:val="00843D68"/>
    <w:rsid w:val="008457E7"/>
    <w:rsid w:val="00846E88"/>
    <w:rsid w:val="00853491"/>
    <w:rsid w:val="00857199"/>
    <w:rsid w:val="0086003F"/>
    <w:rsid w:val="00860654"/>
    <w:rsid w:val="00861C2B"/>
    <w:rsid w:val="008658B7"/>
    <w:rsid w:val="00866964"/>
    <w:rsid w:val="00867ECE"/>
    <w:rsid w:val="008710DA"/>
    <w:rsid w:val="008714F4"/>
    <w:rsid w:val="00872E4C"/>
    <w:rsid w:val="00873906"/>
    <w:rsid w:val="0087501D"/>
    <w:rsid w:val="00875CC8"/>
    <w:rsid w:val="00877644"/>
    <w:rsid w:val="0087767D"/>
    <w:rsid w:val="00877C6E"/>
    <w:rsid w:val="00881E86"/>
    <w:rsid w:val="008823D8"/>
    <w:rsid w:val="00883578"/>
    <w:rsid w:val="00883FDF"/>
    <w:rsid w:val="00884E59"/>
    <w:rsid w:val="008905CF"/>
    <w:rsid w:val="00891A1B"/>
    <w:rsid w:val="00894FC5"/>
    <w:rsid w:val="008A17E6"/>
    <w:rsid w:val="008A7491"/>
    <w:rsid w:val="008B2904"/>
    <w:rsid w:val="008B3970"/>
    <w:rsid w:val="008B752C"/>
    <w:rsid w:val="008C0374"/>
    <w:rsid w:val="008C06E1"/>
    <w:rsid w:val="008C236B"/>
    <w:rsid w:val="008C6C31"/>
    <w:rsid w:val="008C72BA"/>
    <w:rsid w:val="008D38D4"/>
    <w:rsid w:val="008D437F"/>
    <w:rsid w:val="008E4D6D"/>
    <w:rsid w:val="008E6ACB"/>
    <w:rsid w:val="008E6D2B"/>
    <w:rsid w:val="008F0918"/>
    <w:rsid w:val="008F1554"/>
    <w:rsid w:val="008F2424"/>
    <w:rsid w:val="008F6E92"/>
    <w:rsid w:val="008F7516"/>
    <w:rsid w:val="00901BE1"/>
    <w:rsid w:val="00901C28"/>
    <w:rsid w:val="009031A7"/>
    <w:rsid w:val="00903467"/>
    <w:rsid w:val="009040F4"/>
    <w:rsid w:val="00904B83"/>
    <w:rsid w:val="00906EAA"/>
    <w:rsid w:val="009102EF"/>
    <w:rsid w:val="00910AE3"/>
    <w:rsid w:val="00910DE1"/>
    <w:rsid w:val="00912AA8"/>
    <w:rsid w:val="00913653"/>
    <w:rsid w:val="00913EDB"/>
    <w:rsid w:val="00917849"/>
    <w:rsid w:val="00921655"/>
    <w:rsid w:val="009228F6"/>
    <w:rsid w:val="0092331A"/>
    <w:rsid w:val="00923599"/>
    <w:rsid w:val="00924848"/>
    <w:rsid w:val="00924D7C"/>
    <w:rsid w:val="009316D3"/>
    <w:rsid w:val="009376A5"/>
    <w:rsid w:val="00940738"/>
    <w:rsid w:val="00940FE1"/>
    <w:rsid w:val="009415AB"/>
    <w:rsid w:val="00941B12"/>
    <w:rsid w:val="00945EBF"/>
    <w:rsid w:val="00947DE4"/>
    <w:rsid w:val="00950730"/>
    <w:rsid w:val="00954B8D"/>
    <w:rsid w:val="00961FAE"/>
    <w:rsid w:val="0096277E"/>
    <w:rsid w:val="009637D6"/>
    <w:rsid w:val="00963D98"/>
    <w:rsid w:val="0096433D"/>
    <w:rsid w:val="00970DD2"/>
    <w:rsid w:val="009716C3"/>
    <w:rsid w:val="009731FE"/>
    <w:rsid w:val="00973DEA"/>
    <w:rsid w:val="0097444A"/>
    <w:rsid w:val="0097531D"/>
    <w:rsid w:val="00977937"/>
    <w:rsid w:val="00985BE7"/>
    <w:rsid w:val="0098731C"/>
    <w:rsid w:val="00991B78"/>
    <w:rsid w:val="00996B02"/>
    <w:rsid w:val="0099770A"/>
    <w:rsid w:val="009A0792"/>
    <w:rsid w:val="009A32E2"/>
    <w:rsid w:val="009A4D3D"/>
    <w:rsid w:val="009A5146"/>
    <w:rsid w:val="009A5B80"/>
    <w:rsid w:val="009B0286"/>
    <w:rsid w:val="009B1B26"/>
    <w:rsid w:val="009B4164"/>
    <w:rsid w:val="009B5EC0"/>
    <w:rsid w:val="009B6C58"/>
    <w:rsid w:val="009B7EB1"/>
    <w:rsid w:val="009C1030"/>
    <w:rsid w:val="009C620D"/>
    <w:rsid w:val="009D007C"/>
    <w:rsid w:val="009D15F1"/>
    <w:rsid w:val="009D2B10"/>
    <w:rsid w:val="009D44E7"/>
    <w:rsid w:val="009D6E88"/>
    <w:rsid w:val="009D75B5"/>
    <w:rsid w:val="009E1111"/>
    <w:rsid w:val="009E325D"/>
    <w:rsid w:val="009E5C43"/>
    <w:rsid w:val="009E6A5E"/>
    <w:rsid w:val="009E6ABE"/>
    <w:rsid w:val="009F1CC3"/>
    <w:rsid w:val="009F2420"/>
    <w:rsid w:val="009F3638"/>
    <w:rsid w:val="009F762A"/>
    <w:rsid w:val="00A00B4A"/>
    <w:rsid w:val="00A0275E"/>
    <w:rsid w:val="00A04EAC"/>
    <w:rsid w:val="00A04ECC"/>
    <w:rsid w:val="00A0624E"/>
    <w:rsid w:val="00A07C6C"/>
    <w:rsid w:val="00A108E0"/>
    <w:rsid w:val="00A1213B"/>
    <w:rsid w:val="00A165A6"/>
    <w:rsid w:val="00A1743D"/>
    <w:rsid w:val="00A211F3"/>
    <w:rsid w:val="00A2199C"/>
    <w:rsid w:val="00A21F5C"/>
    <w:rsid w:val="00A24A71"/>
    <w:rsid w:val="00A25010"/>
    <w:rsid w:val="00A258F1"/>
    <w:rsid w:val="00A30676"/>
    <w:rsid w:val="00A30D61"/>
    <w:rsid w:val="00A32A57"/>
    <w:rsid w:val="00A3426D"/>
    <w:rsid w:val="00A37E3B"/>
    <w:rsid w:val="00A410F5"/>
    <w:rsid w:val="00A4373E"/>
    <w:rsid w:val="00A43896"/>
    <w:rsid w:val="00A4429A"/>
    <w:rsid w:val="00A46B6D"/>
    <w:rsid w:val="00A4783A"/>
    <w:rsid w:val="00A47F71"/>
    <w:rsid w:val="00A5130E"/>
    <w:rsid w:val="00A518CF"/>
    <w:rsid w:val="00A52B52"/>
    <w:rsid w:val="00A5417A"/>
    <w:rsid w:val="00A5678B"/>
    <w:rsid w:val="00A60544"/>
    <w:rsid w:val="00A622E1"/>
    <w:rsid w:val="00A6244E"/>
    <w:rsid w:val="00A62930"/>
    <w:rsid w:val="00A63F55"/>
    <w:rsid w:val="00A64EFE"/>
    <w:rsid w:val="00A65F98"/>
    <w:rsid w:val="00A66B1D"/>
    <w:rsid w:val="00A670A0"/>
    <w:rsid w:val="00A67E67"/>
    <w:rsid w:val="00A715BD"/>
    <w:rsid w:val="00A74A39"/>
    <w:rsid w:val="00A74CCF"/>
    <w:rsid w:val="00A75780"/>
    <w:rsid w:val="00A77352"/>
    <w:rsid w:val="00A77E45"/>
    <w:rsid w:val="00A81432"/>
    <w:rsid w:val="00A81450"/>
    <w:rsid w:val="00A84076"/>
    <w:rsid w:val="00A87765"/>
    <w:rsid w:val="00A8776F"/>
    <w:rsid w:val="00A91407"/>
    <w:rsid w:val="00A91E81"/>
    <w:rsid w:val="00A92250"/>
    <w:rsid w:val="00A92EF9"/>
    <w:rsid w:val="00A93084"/>
    <w:rsid w:val="00A9311D"/>
    <w:rsid w:val="00A961A5"/>
    <w:rsid w:val="00A97FD1"/>
    <w:rsid w:val="00AA0F02"/>
    <w:rsid w:val="00AA1D42"/>
    <w:rsid w:val="00AA1F52"/>
    <w:rsid w:val="00AA227C"/>
    <w:rsid w:val="00AA247E"/>
    <w:rsid w:val="00AA39BD"/>
    <w:rsid w:val="00AB0815"/>
    <w:rsid w:val="00AB10E8"/>
    <w:rsid w:val="00AB6A12"/>
    <w:rsid w:val="00AC3183"/>
    <w:rsid w:val="00AC4EBA"/>
    <w:rsid w:val="00AC5EC1"/>
    <w:rsid w:val="00AC6DE2"/>
    <w:rsid w:val="00AC7238"/>
    <w:rsid w:val="00AD2DF7"/>
    <w:rsid w:val="00AD38BD"/>
    <w:rsid w:val="00AD5C9F"/>
    <w:rsid w:val="00AE069B"/>
    <w:rsid w:val="00AE0BB4"/>
    <w:rsid w:val="00AE3365"/>
    <w:rsid w:val="00AE4582"/>
    <w:rsid w:val="00AE6074"/>
    <w:rsid w:val="00AE6152"/>
    <w:rsid w:val="00AE69A4"/>
    <w:rsid w:val="00AE7760"/>
    <w:rsid w:val="00AF3AD0"/>
    <w:rsid w:val="00AF4143"/>
    <w:rsid w:val="00AF4AE3"/>
    <w:rsid w:val="00AF57E2"/>
    <w:rsid w:val="00AF58EC"/>
    <w:rsid w:val="00AF61D7"/>
    <w:rsid w:val="00AF77DF"/>
    <w:rsid w:val="00B02B0C"/>
    <w:rsid w:val="00B041D3"/>
    <w:rsid w:val="00B0659C"/>
    <w:rsid w:val="00B104ED"/>
    <w:rsid w:val="00B1108C"/>
    <w:rsid w:val="00B12E29"/>
    <w:rsid w:val="00B155BA"/>
    <w:rsid w:val="00B16192"/>
    <w:rsid w:val="00B17267"/>
    <w:rsid w:val="00B22D58"/>
    <w:rsid w:val="00B2320E"/>
    <w:rsid w:val="00B24DA0"/>
    <w:rsid w:val="00B250F1"/>
    <w:rsid w:val="00B25557"/>
    <w:rsid w:val="00B26502"/>
    <w:rsid w:val="00B27646"/>
    <w:rsid w:val="00B303C7"/>
    <w:rsid w:val="00B30C5E"/>
    <w:rsid w:val="00B33834"/>
    <w:rsid w:val="00B34620"/>
    <w:rsid w:val="00B36242"/>
    <w:rsid w:val="00B37082"/>
    <w:rsid w:val="00B370C0"/>
    <w:rsid w:val="00B3760C"/>
    <w:rsid w:val="00B37738"/>
    <w:rsid w:val="00B41635"/>
    <w:rsid w:val="00B41A85"/>
    <w:rsid w:val="00B5257F"/>
    <w:rsid w:val="00B527EE"/>
    <w:rsid w:val="00B5309F"/>
    <w:rsid w:val="00B5357A"/>
    <w:rsid w:val="00B5605C"/>
    <w:rsid w:val="00B56142"/>
    <w:rsid w:val="00B57307"/>
    <w:rsid w:val="00B57AF1"/>
    <w:rsid w:val="00B61477"/>
    <w:rsid w:val="00B6161B"/>
    <w:rsid w:val="00B646AD"/>
    <w:rsid w:val="00B716BF"/>
    <w:rsid w:val="00B74AFF"/>
    <w:rsid w:val="00B75F3A"/>
    <w:rsid w:val="00B81141"/>
    <w:rsid w:val="00B82003"/>
    <w:rsid w:val="00B83C5D"/>
    <w:rsid w:val="00B86C28"/>
    <w:rsid w:val="00B8793A"/>
    <w:rsid w:val="00B91004"/>
    <w:rsid w:val="00B930A9"/>
    <w:rsid w:val="00B9311B"/>
    <w:rsid w:val="00B93D49"/>
    <w:rsid w:val="00B9420D"/>
    <w:rsid w:val="00B94475"/>
    <w:rsid w:val="00B967FA"/>
    <w:rsid w:val="00B96DD5"/>
    <w:rsid w:val="00BA17B7"/>
    <w:rsid w:val="00BA2E45"/>
    <w:rsid w:val="00BA4157"/>
    <w:rsid w:val="00BA4B32"/>
    <w:rsid w:val="00BB2F7E"/>
    <w:rsid w:val="00BB37CE"/>
    <w:rsid w:val="00BB50F8"/>
    <w:rsid w:val="00BC1268"/>
    <w:rsid w:val="00BC1B00"/>
    <w:rsid w:val="00BC395D"/>
    <w:rsid w:val="00BC5D76"/>
    <w:rsid w:val="00BD114F"/>
    <w:rsid w:val="00BD35A7"/>
    <w:rsid w:val="00BD3AAF"/>
    <w:rsid w:val="00BD656D"/>
    <w:rsid w:val="00BE2248"/>
    <w:rsid w:val="00BE745D"/>
    <w:rsid w:val="00BE790E"/>
    <w:rsid w:val="00BF10FA"/>
    <w:rsid w:val="00BF3E35"/>
    <w:rsid w:val="00BF5773"/>
    <w:rsid w:val="00C00656"/>
    <w:rsid w:val="00C00B9E"/>
    <w:rsid w:val="00C02B6D"/>
    <w:rsid w:val="00C03817"/>
    <w:rsid w:val="00C05018"/>
    <w:rsid w:val="00C11F45"/>
    <w:rsid w:val="00C22ABA"/>
    <w:rsid w:val="00C25B5E"/>
    <w:rsid w:val="00C27A71"/>
    <w:rsid w:val="00C3152B"/>
    <w:rsid w:val="00C331CB"/>
    <w:rsid w:val="00C43B47"/>
    <w:rsid w:val="00C44B87"/>
    <w:rsid w:val="00C4560E"/>
    <w:rsid w:val="00C503A7"/>
    <w:rsid w:val="00C51880"/>
    <w:rsid w:val="00C5215F"/>
    <w:rsid w:val="00C5284B"/>
    <w:rsid w:val="00C54273"/>
    <w:rsid w:val="00C55DC9"/>
    <w:rsid w:val="00C5611A"/>
    <w:rsid w:val="00C5658D"/>
    <w:rsid w:val="00C604E5"/>
    <w:rsid w:val="00C620AA"/>
    <w:rsid w:val="00C62FA6"/>
    <w:rsid w:val="00C6468C"/>
    <w:rsid w:val="00C651E8"/>
    <w:rsid w:val="00C70244"/>
    <w:rsid w:val="00C72123"/>
    <w:rsid w:val="00C73D8C"/>
    <w:rsid w:val="00C75D48"/>
    <w:rsid w:val="00C7737C"/>
    <w:rsid w:val="00C8014B"/>
    <w:rsid w:val="00C82ED3"/>
    <w:rsid w:val="00C863FC"/>
    <w:rsid w:val="00C87707"/>
    <w:rsid w:val="00C92D31"/>
    <w:rsid w:val="00C933A5"/>
    <w:rsid w:val="00C93E1C"/>
    <w:rsid w:val="00C955F1"/>
    <w:rsid w:val="00C96584"/>
    <w:rsid w:val="00CA036A"/>
    <w:rsid w:val="00CA1C8D"/>
    <w:rsid w:val="00CA3424"/>
    <w:rsid w:val="00CA447C"/>
    <w:rsid w:val="00CA513D"/>
    <w:rsid w:val="00CA6547"/>
    <w:rsid w:val="00CA7427"/>
    <w:rsid w:val="00CB3689"/>
    <w:rsid w:val="00CB4A28"/>
    <w:rsid w:val="00CB57A6"/>
    <w:rsid w:val="00CB67DD"/>
    <w:rsid w:val="00CB7942"/>
    <w:rsid w:val="00CB7F5F"/>
    <w:rsid w:val="00CC0C09"/>
    <w:rsid w:val="00CC124B"/>
    <w:rsid w:val="00CC134E"/>
    <w:rsid w:val="00CC15DD"/>
    <w:rsid w:val="00CC47B5"/>
    <w:rsid w:val="00CC761E"/>
    <w:rsid w:val="00CC797B"/>
    <w:rsid w:val="00CC7C3E"/>
    <w:rsid w:val="00CD4128"/>
    <w:rsid w:val="00CD4875"/>
    <w:rsid w:val="00CD4EA5"/>
    <w:rsid w:val="00CD5E7C"/>
    <w:rsid w:val="00CD5F38"/>
    <w:rsid w:val="00CE65CA"/>
    <w:rsid w:val="00CE6E92"/>
    <w:rsid w:val="00CF0239"/>
    <w:rsid w:val="00CF36A9"/>
    <w:rsid w:val="00CF46A4"/>
    <w:rsid w:val="00CF4F66"/>
    <w:rsid w:val="00CF735F"/>
    <w:rsid w:val="00D00124"/>
    <w:rsid w:val="00D02A1B"/>
    <w:rsid w:val="00D043EA"/>
    <w:rsid w:val="00D04652"/>
    <w:rsid w:val="00D05E3D"/>
    <w:rsid w:val="00D06A36"/>
    <w:rsid w:val="00D10288"/>
    <w:rsid w:val="00D147B8"/>
    <w:rsid w:val="00D153A4"/>
    <w:rsid w:val="00D157C3"/>
    <w:rsid w:val="00D15D36"/>
    <w:rsid w:val="00D1678E"/>
    <w:rsid w:val="00D16EF1"/>
    <w:rsid w:val="00D203FB"/>
    <w:rsid w:val="00D21241"/>
    <w:rsid w:val="00D22062"/>
    <w:rsid w:val="00D27FD7"/>
    <w:rsid w:val="00D33628"/>
    <w:rsid w:val="00D34EA0"/>
    <w:rsid w:val="00D35D9A"/>
    <w:rsid w:val="00D37180"/>
    <w:rsid w:val="00D40622"/>
    <w:rsid w:val="00D42A17"/>
    <w:rsid w:val="00D476B1"/>
    <w:rsid w:val="00D50B87"/>
    <w:rsid w:val="00D521E8"/>
    <w:rsid w:val="00D537CE"/>
    <w:rsid w:val="00D54993"/>
    <w:rsid w:val="00D561B3"/>
    <w:rsid w:val="00D56273"/>
    <w:rsid w:val="00D57233"/>
    <w:rsid w:val="00D60B51"/>
    <w:rsid w:val="00D63393"/>
    <w:rsid w:val="00D63859"/>
    <w:rsid w:val="00D65673"/>
    <w:rsid w:val="00D7196D"/>
    <w:rsid w:val="00D7247D"/>
    <w:rsid w:val="00D73E73"/>
    <w:rsid w:val="00D75AF5"/>
    <w:rsid w:val="00D75CA5"/>
    <w:rsid w:val="00D77C31"/>
    <w:rsid w:val="00D9062F"/>
    <w:rsid w:val="00D90C5C"/>
    <w:rsid w:val="00D918E3"/>
    <w:rsid w:val="00D94CE8"/>
    <w:rsid w:val="00D94E57"/>
    <w:rsid w:val="00D956EC"/>
    <w:rsid w:val="00D9615D"/>
    <w:rsid w:val="00D96923"/>
    <w:rsid w:val="00DA1EE3"/>
    <w:rsid w:val="00DA2FFC"/>
    <w:rsid w:val="00DA3E9C"/>
    <w:rsid w:val="00DA7888"/>
    <w:rsid w:val="00DB0810"/>
    <w:rsid w:val="00DB45F2"/>
    <w:rsid w:val="00DC5B31"/>
    <w:rsid w:val="00DC6B36"/>
    <w:rsid w:val="00DC708D"/>
    <w:rsid w:val="00DC75F1"/>
    <w:rsid w:val="00DD2BF9"/>
    <w:rsid w:val="00DD6710"/>
    <w:rsid w:val="00DD6907"/>
    <w:rsid w:val="00DD7321"/>
    <w:rsid w:val="00DD7526"/>
    <w:rsid w:val="00DE05DF"/>
    <w:rsid w:val="00DE192E"/>
    <w:rsid w:val="00DF067F"/>
    <w:rsid w:val="00DF47CF"/>
    <w:rsid w:val="00DF4C61"/>
    <w:rsid w:val="00DF508A"/>
    <w:rsid w:val="00DF635E"/>
    <w:rsid w:val="00E0063C"/>
    <w:rsid w:val="00E025E4"/>
    <w:rsid w:val="00E0380E"/>
    <w:rsid w:val="00E05326"/>
    <w:rsid w:val="00E057EF"/>
    <w:rsid w:val="00E05B65"/>
    <w:rsid w:val="00E110C9"/>
    <w:rsid w:val="00E14B7E"/>
    <w:rsid w:val="00E15D20"/>
    <w:rsid w:val="00E16645"/>
    <w:rsid w:val="00E172EC"/>
    <w:rsid w:val="00E17310"/>
    <w:rsid w:val="00E23D91"/>
    <w:rsid w:val="00E24F11"/>
    <w:rsid w:val="00E317F4"/>
    <w:rsid w:val="00E350AF"/>
    <w:rsid w:val="00E36A7B"/>
    <w:rsid w:val="00E36E23"/>
    <w:rsid w:val="00E37D67"/>
    <w:rsid w:val="00E42BEE"/>
    <w:rsid w:val="00E43600"/>
    <w:rsid w:val="00E460FD"/>
    <w:rsid w:val="00E46408"/>
    <w:rsid w:val="00E5394D"/>
    <w:rsid w:val="00E671C3"/>
    <w:rsid w:val="00E67920"/>
    <w:rsid w:val="00E71920"/>
    <w:rsid w:val="00E736EE"/>
    <w:rsid w:val="00E7765C"/>
    <w:rsid w:val="00E80229"/>
    <w:rsid w:val="00E80DBB"/>
    <w:rsid w:val="00E8148F"/>
    <w:rsid w:val="00E81E0A"/>
    <w:rsid w:val="00E84011"/>
    <w:rsid w:val="00E879B3"/>
    <w:rsid w:val="00E90142"/>
    <w:rsid w:val="00E9269E"/>
    <w:rsid w:val="00E92E1D"/>
    <w:rsid w:val="00E941D0"/>
    <w:rsid w:val="00E95550"/>
    <w:rsid w:val="00E9566E"/>
    <w:rsid w:val="00E96BEB"/>
    <w:rsid w:val="00EA6463"/>
    <w:rsid w:val="00EA667C"/>
    <w:rsid w:val="00EA768B"/>
    <w:rsid w:val="00EA7BCA"/>
    <w:rsid w:val="00EB11A8"/>
    <w:rsid w:val="00EB1AB3"/>
    <w:rsid w:val="00EB1DC6"/>
    <w:rsid w:val="00EB5FB0"/>
    <w:rsid w:val="00EC2DB9"/>
    <w:rsid w:val="00ED3462"/>
    <w:rsid w:val="00ED7E66"/>
    <w:rsid w:val="00EE0943"/>
    <w:rsid w:val="00EE12F3"/>
    <w:rsid w:val="00EE354C"/>
    <w:rsid w:val="00EE61EE"/>
    <w:rsid w:val="00EE67EC"/>
    <w:rsid w:val="00EF192E"/>
    <w:rsid w:val="00EF1D46"/>
    <w:rsid w:val="00EF28C5"/>
    <w:rsid w:val="00EF28F8"/>
    <w:rsid w:val="00EF3527"/>
    <w:rsid w:val="00EF7EF0"/>
    <w:rsid w:val="00F02CB3"/>
    <w:rsid w:val="00F06EE8"/>
    <w:rsid w:val="00F07349"/>
    <w:rsid w:val="00F113EF"/>
    <w:rsid w:val="00F126F3"/>
    <w:rsid w:val="00F13199"/>
    <w:rsid w:val="00F14DCB"/>
    <w:rsid w:val="00F163CB"/>
    <w:rsid w:val="00F202F8"/>
    <w:rsid w:val="00F2042C"/>
    <w:rsid w:val="00F22476"/>
    <w:rsid w:val="00F22AE5"/>
    <w:rsid w:val="00F27063"/>
    <w:rsid w:val="00F3068E"/>
    <w:rsid w:val="00F352A5"/>
    <w:rsid w:val="00F36AE6"/>
    <w:rsid w:val="00F4030C"/>
    <w:rsid w:val="00F412BB"/>
    <w:rsid w:val="00F42F61"/>
    <w:rsid w:val="00F45FF2"/>
    <w:rsid w:val="00F50105"/>
    <w:rsid w:val="00F52233"/>
    <w:rsid w:val="00F5569C"/>
    <w:rsid w:val="00F61837"/>
    <w:rsid w:val="00F64E96"/>
    <w:rsid w:val="00F708AE"/>
    <w:rsid w:val="00F71C23"/>
    <w:rsid w:val="00F75F63"/>
    <w:rsid w:val="00F773FE"/>
    <w:rsid w:val="00F7754F"/>
    <w:rsid w:val="00F82259"/>
    <w:rsid w:val="00F829C0"/>
    <w:rsid w:val="00F829F6"/>
    <w:rsid w:val="00F85FF6"/>
    <w:rsid w:val="00F863E2"/>
    <w:rsid w:val="00F91296"/>
    <w:rsid w:val="00F92969"/>
    <w:rsid w:val="00F963D9"/>
    <w:rsid w:val="00FA11ED"/>
    <w:rsid w:val="00FA2CF0"/>
    <w:rsid w:val="00FA2DA9"/>
    <w:rsid w:val="00FA50A2"/>
    <w:rsid w:val="00FA79AE"/>
    <w:rsid w:val="00FB165E"/>
    <w:rsid w:val="00FB275B"/>
    <w:rsid w:val="00FB4EE9"/>
    <w:rsid w:val="00FB5A3E"/>
    <w:rsid w:val="00FB5CAB"/>
    <w:rsid w:val="00FC0666"/>
    <w:rsid w:val="00FC1532"/>
    <w:rsid w:val="00FC3E05"/>
    <w:rsid w:val="00FC5C79"/>
    <w:rsid w:val="00FC7A7E"/>
    <w:rsid w:val="00FC7AF7"/>
    <w:rsid w:val="00FD0F58"/>
    <w:rsid w:val="00FD20B2"/>
    <w:rsid w:val="00FD3945"/>
    <w:rsid w:val="00FD3B19"/>
    <w:rsid w:val="00FD5CE2"/>
    <w:rsid w:val="00FD75AB"/>
    <w:rsid w:val="00FE12C2"/>
    <w:rsid w:val="00FE4064"/>
    <w:rsid w:val="00FE5FEE"/>
    <w:rsid w:val="00FE64F8"/>
    <w:rsid w:val="00FF00E4"/>
    <w:rsid w:val="00FF4547"/>
    <w:rsid w:val="00FF4D1A"/>
    <w:rsid w:val="00FF72A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unhideWhenUsed="1" w:qFormat="1"/>
    <w:lsdException w:name="footnote reference" w:uiPriority="0"/>
    <w:lsdException w:name="List" w:semiHidden="0"/>
    <w:lsdException w:name="List Bullet" w:semiHidden="0"/>
    <w:lsdException w:name="List Number" w:uiPriority="0"/>
    <w:lsdException w:name="List 2" w:semiHidden="0"/>
    <w:lsdException w:name="List 3" w:semiHidden="0"/>
    <w:lsdException w:name="List 4" w:unhideWhenUsed="1"/>
    <w:lsdException w:name="List 5" w:unhideWhenUsed="1"/>
    <w:lsdException w:name="List Bullet 2" w:semiHidden="0"/>
    <w:lsdException w:name="List Number 5" w:uiPriority="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C41D6"/>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F113EF"/>
    <w:pPr>
      <w:keepNext/>
      <w:keepLines/>
      <w:spacing w:before="36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lang w:val="en-GB" w:eastAsia="en-GB"/>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3E3722"/>
    <w:pPr>
      <w:spacing w:after="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rsid w:val="00000EDA"/>
    <w:rPr>
      <w:rFonts w:ascii="Arial" w:hAnsi="Arial"/>
      <w:color w:val="auto"/>
      <w:position w:val="8"/>
      <w:sz w:val="16"/>
    </w:rPr>
  </w:style>
  <w:style w:type="paragraph" w:customStyle="1" w:styleId="Bullet-list">
    <w:name w:val="Bullet-list"/>
    <w:qFormat/>
    <w:rsid w:val="00000EDA"/>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000EDA"/>
    <w:pPr>
      <w:tabs>
        <w:tab w:val="clear" w:pos="4513"/>
        <w:tab w:val="clear" w:pos="9026"/>
        <w:tab w:val="right" w:pos="9072"/>
      </w:tabs>
    </w:pPr>
    <w:rPr>
      <w:noProof/>
      <w:color w:val="002469"/>
      <w:spacing w:val="6"/>
      <w:sz w:val="16"/>
      <w:szCs w:val="16"/>
    </w:rPr>
  </w:style>
  <w:style w:type="paragraph" w:customStyle="1" w:styleId="Text">
    <w:name w:val="Text"/>
    <w:basedOn w:val="Normal"/>
    <w:link w:val="TextChar"/>
    <w:rsid w:val="00000EDA"/>
    <w:pPr>
      <w:spacing w:before="120" w:after="120" w:line="300" w:lineRule="exact"/>
      <w:jc w:val="both"/>
    </w:pPr>
    <w:rPr>
      <w:lang w:eastAsia="en-US"/>
    </w:rPr>
  </w:style>
  <w:style w:type="character" w:customStyle="1" w:styleId="TextChar">
    <w:name w:val="Text Char"/>
    <w:link w:val="Text"/>
    <w:rsid w:val="00000EDA"/>
    <w:rPr>
      <w:rFonts w:ascii="Arial" w:eastAsia="Times New Roman" w:hAnsi="Arial"/>
      <w:sz w:val="22"/>
      <w:lang w:val="en-GB"/>
    </w:rPr>
  </w:style>
  <w:style w:type="character" w:customStyle="1" w:styleId="ListParagraphChar">
    <w:name w:val="List Paragraph Char"/>
    <w:link w:val="ListParagraph"/>
    <w:uiPriority w:val="34"/>
    <w:rsid w:val="00000EDA"/>
    <w:rPr>
      <w:rFonts w:ascii="Verdana" w:hAnsi="Verdana" w:cs="Arial"/>
      <w:szCs w:val="22"/>
    </w:rPr>
  </w:style>
  <w:style w:type="paragraph" w:customStyle="1" w:styleId="SignatureText">
    <w:name w:val="Signature Text"/>
    <w:basedOn w:val="BodyText"/>
    <w:semiHidden/>
    <w:rsid w:val="00000EDA"/>
    <w:pPr>
      <w:suppressAutoHyphens/>
      <w:autoSpaceDE w:val="0"/>
      <w:autoSpaceDN w:val="0"/>
      <w:adjustRightInd w:val="0"/>
      <w:spacing w:before="120" w:after="0" w:line="240" w:lineRule="auto"/>
      <w:textAlignment w:val="center"/>
    </w:pPr>
    <w:rPr>
      <w:lang w:eastAsia="en-NZ"/>
    </w:rPr>
  </w:style>
  <w:style w:type="paragraph" w:styleId="EndnoteText">
    <w:name w:val="endnote text"/>
    <w:basedOn w:val="Normal"/>
    <w:link w:val="EndnoteTextChar"/>
    <w:uiPriority w:val="99"/>
    <w:rsid w:val="007E529F"/>
    <w:pPr>
      <w:spacing w:after="0" w:line="240" w:lineRule="auto"/>
    </w:pPr>
    <w:rPr>
      <w:sz w:val="20"/>
    </w:rPr>
  </w:style>
  <w:style w:type="character" w:customStyle="1" w:styleId="EndnoteTextChar">
    <w:name w:val="Endnote Text Char"/>
    <w:basedOn w:val="DefaultParagraphFont"/>
    <w:link w:val="EndnoteText"/>
    <w:uiPriority w:val="99"/>
    <w:rsid w:val="007E529F"/>
    <w:rPr>
      <w:rFonts w:ascii="Arial" w:eastAsia="Times New Roman" w:hAnsi="Arial"/>
      <w:lang w:val="en-GB" w:eastAsia="en-GB"/>
    </w:rPr>
  </w:style>
  <w:style w:type="paragraph" w:customStyle="1" w:styleId="BodyTextlevel2">
    <w:name w:val="Body Text level 2"/>
    <w:basedOn w:val="Normal"/>
    <w:rsid w:val="00EE12F3"/>
    <w:pPr>
      <w:tabs>
        <w:tab w:val="num" w:pos="493"/>
      </w:tabs>
      <w:spacing w:before="240" w:after="0" w:line="240" w:lineRule="auto"/>
      <w:ind w:left="987" w:hanging="493"/>
    </w:pPr>
    <w:rPr>
      <w:rFonts w:eastAsia="SimSun" w:cs="Arial"/>
      <w:szCs w:val="22"/>
      <w:lang w:val="en-NZ" w:eastAsia="en-US"/>
    </w:rPr>
  </w:style>
  <w:style w:type="numbering" w:customStyle="1" w:styleId="BodyList">
    <w:name w:val="Body List"/>
    <w:rsid w:val="00EE12F3"/>
    <w:pPr>
      <w:numPr>
        <w:numId w:val="11"/>
      </w:numPr>
    </w:pPr>
  </w:style>
  <w:style w:type="paragraph" w:styleId="Header">
    <w:name w:val="header"/>
    <w:basedOn w:val="Normal"/>
    <w:link w:val="HeaderChar"/>
    <w:uiPriority w:val="99"/>
    <w:rsid w:val="00E4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08"/>
    <w:rPr>
      <w:rFonts w:ascii="Arial" w:eastAsia="Times New Roman" w:hAnsi="Arial"/>
      <w:sz w:val="22"/>
      <w:lang w:val="en-GB" w:eastAsia="en-GB"/>
    </w:rPr>
  </w:style>
  <w:style w:type="character" w:styleId="Hyperlink">
    <w:name w:val="Hyperlink"/>
    <w:basedOn w:val="DefaultParagraphFont"/>
    <w:uiPriority w:val="99"/>
    <w:unhideWhenUsed/>
    <w:rsid w:val="005D3C2C"/>
    <w:rPr>
      <w:color w:val="0000FF" w:themeColor="hyperlink"/>
      <w:u w:val="single"/>
    </w:rPr>
  </w:style>
  <w:style w:type="paragraph" w:styleId="CommentSubject">
    <w:name w:val="annotation subject"/>
    <w:basedOn w:val="CommentText"/>
    <w:next w:val="CommentText"/>
    <w:link w:val="CommentSubjectChar"/>
    <w:uiPriority w:val="99"/>
    <w:semiHidden/>
    <w:rsid w:val="00963D98"/>
    <w:rPr>
      <w:b/>
      <w:bCs/>
      <w:sz w:val="20"/>
    </w:rPr>
  </w:style>
  <w:style w:type="character" w:customStyle="1" w:styleId="CommentSubjectChar">
    <w:name w:val="Comment Subject Char"/>
    <w:basedOn w:val="CommentTextChar"/>
    <w:link w:val="CommentSubject"/>
    <w:uiPriority w:val="99"/>
    <w:semiHidden/>
    <w:rsid w:val="00963D98"/>
    <w:rPr>
      <w:rFonts w:ascii="Arial" w:eastAsia="Times New Roman" w:hAnsi="Arial" w:cs="Arial"/>
      <w:b/>
      <w:bCs/>
      <w:lang w:val="en-GB" w:eastAsia="en-GB"/>
    </w:rPr>
  </w:style>
  <w:style w:type="paragraph" w:styleId="Revision">
    <w:name w:val="Revision"/>
    <w:hidden/>
    <w:uiPriority w:val="99"/>
    <w:semiHidden/>
    <w:rsid w:val="00E0380E"/>
    <w:rPr>
      <w:rFonts w:ascii="Arial" w:eastAsia="Times New Roman" w:hAnsi="Arial"/>
      <w:sz w:val="22"/>
      <w:lang w:val="en-GB" w:eastAsia="en-GB"/>
    </w:rPr>
  </w:style>
  <w:style w:type="paragraph" w:customStyle="1" w:styleId="ReportBody">
    <w:name w:val="Report Body"/>
    <w:basedOn w:val="Normal"/>
    <w:link w:val="ReportBodyChar"/>
    <w:qFormat/>
    <w:rsid w:val="006A109E"/>
    <w:pPr>
      <w:numPr>
        <w:numId w:val="23"/>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6A109E"/>
    <w:pPr>
      <w:numPr>
        <w:ilvl w:val="1"/>
      </w:numPr>
    </w:pPr>
  </w:style>
  <w:style w:type="character" w:customStyle="1" w:styleId="ReportBodyChar">
    <w:name w:val="Report Body Char"/>
    <w:basedOn w:val="DefaultParagraphFont"/>
    <w:link w:val="ReportBody"/>
    <w:rsid w:val="00200791"/>
    <w:rPr>
      <w:rFonts w:ascii="Verdana" w:eastAsia="Times New Roman" w:hAnsi="Verdana" w:cs="Arial"/>
      <w:color w:val="000000"/>
      <w:kern w:val="22"/>
      <w:lang w:eastAsia="en-NZ"/>
    </w:rPr>
  </w:style>
  <w:style w:type="paragraph" w:customStyle="1" w:styleId="AgreeDisagree">
    <w:name w:val="Agree/Disagree"/>
    <w:basedOn w:val="Normal"/>
    <w:next w:val="Normal"/>
    <w:rsid w:val="006D5487"/>
    <w:pPr>
      <w:suppressAutoHyphens/>
      <w:autoSpaceDE w:val="0"/>
      <w:autoSpaceDN w:val="0"/>
      <w:adjustRightInd w:val="0"/>
      <w:spacing w:before="120" w:after="120"/>
      <w:jc w:val="right"/>
      <w:textAlignment w:val="center"/>
    </w:pPr>
    <w:rPr>
      <w:rFonts w:ascii="Verdana" w:hAnsi="Verdana" w:cs="Arial"/>
      <w:b/>
      <w:sz w:val="20"/>
      <w:lang w:val="en-NZ" w:eastAsia="en-NZ"/>
    </w:rPr>
  </w:style>
  <w:style w:type="paragraph" w:customStyle="1" w:styleId="RecLevel2">
    <w:name w:val="Rec Level2"/>
    <w:basedOn w:val="RecLevel1"/>
    <w:qFormat/>
    <w:rsid w:val="006D5487"/>
    <w:pPr>
      <w:numPr>
        <w:ilvl w:val="1"/>
      </w:numPr>
      <w:tabs>
        <w:tab w:val="num" w:pos="493"/>
      </w:tabs>
      <w:ind w:left="1134" w:hanging="567"/>
    </w:pPr>
  </w:style>
  <w:style w:type="paragraph" w:customStyle="1" w:styleId="RecLevel1">
    <w:name w:val="Rec Level1"/>
    <w:basedOn w:val="ListParagraph"/>
    <w:link w:val="RecLevel1Char"/>
    <w:qFormat/>
    <w:rsid w:val="006D5487"/>
    <w:pPr>
      <w:numPr>
        <w:numId w:val="13"/>
      </w:numPr>
      <w:tabs>
        <w:tab w:val="left" w:pos="567"/>
      </w:tabs>
      <w:suppressAutoHyphens/>
      <w:autoSpaceDE w:val="0"/>
      <w:autoSpaceDN w:val="0"/>
      <w:adjustRightInd w:val="0"/>
      <w:spacing w:before="120" w:after="120"/>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6D5487"/>
    <w:rPr>
      <w:rFonts w:ascii="Verdana" w:eastAsia="Times New Roman" w:hAnsi="Verdana" w:cs="Arial"/>
      <w:lang w:eastAsia="en-NZ"/>
    </w:rPr>
  </w:style>
  <w:style w:type="paragraph" w:styleId="ListNumber5">
    <w:name w:val="List Number 5"/>
    <w:basedOn w:val="Normal"/>
    <w:semiHidden/>
    <w:rsid w:val="00C05018"/>
    <w:pPr>
      <w:numPr>
        <w:numId w:val="14"/>
      </w:numPr>
      <w:suppressAutoHyphens/>
      <w:autoSpaceDE w:val="0"/>
      <w:autoSpaceDN w:val="0"/>
      <w:adjustRightInd w:val="0"/>
      <w:spacing w:before="120" w:after="120"/>
      <w:textAlignment w:val="center"/>
    </w:pPr>
    <w:rPr>
      <w:rFonts w:ascii="Verdana" w:hAnsi="Verdana" w:cs="Arial"/>
      <w:sz w:val="20"/>
      <w:lang w:val="en-NZ" w:eastAsia="en-NZ"/>
    </w:rPr>
  </w:style>
  <w:style w:type="paragraph" w:styleId="ListNumber">
    <w:name w:val="List Number"/>
    <w:basedOn w:val="Normal"/>
    <w:rsid w:val="009A5146"/>
    <w:pPr>
      <w:numPr>
        <w:numId w:val="20"/>
      </w:numPr>
      <w:spacing w:before="120" w:after="120" w:line="240" w:lineRule="auto"/>
      <w:jc w:val="both"/>
    </w:pPr>
    <w:rPr>
      <w:lang w:val="en-NZ" w:eastAsia="en-US"/>
    </w:rPr>
  </w:style>
  <w:style w:type="paragraph" w:customStyle="1" w:styleId="Subject">
    <w:name w:val="Subject"/>
    <w:basedOn w:val="Normal"/>
    <w:next w:val="Normal"/>
    <w:semiHidden/>
    <w:rsid w:val="009A5146"/>
    <w:pPr>
      <w:spacing w:before="240" w:after="0" w:line="240" w:lineRule="auto"/>
      <w:jc w:val="both"/>
    </w:pPr>
    <w:rPr>
      <w:b/>
      <w:caps/>
      <w:lang w:val="en-NZ" w:eastAsia="en-US"/>
    </w:rPr>
  </w:style>
  <w:style w:type="character" w:styleId="PlaceholderText">
    <w:name w:val="Placeholder Text"/>
    <w:basedOn w:val="DefaultParagraphFont"/>
    <w:uiPriority w:val="99"/>
    <w:semiHidden/>
    <w:rsid w:val="00D00124"/>
    <w:rPr>
      <w:color w:val="808080"/>
    </w:rPr>
  </w:style>
  <w:style w:type="paragraph" w:customStyle="1" w:styleId="RecNumbering">
    <w:name w:val="Rec Numbering"/>
    <w:basedOn w:val="Normal"/>
    <w:uiPriority w:val="99"/>
    <w:rsid w:val="00D9062F"/>
    <w:pPr>
      <w:numPr>
        <w:numId w:val="45"/>
      </w:numPr>
      <w:spacing w:before="240" w:after="0" w:line="240" w:lineRule="auto"/>
    </w:pPr>
    <w:rPr>
      <w:lang w:val="en-NZ" w:eastAsia="en-US"/>
    </w:rPr>
  </w:style>
  <w:style w:type="paragraph" w:customStyle="1" w:styleId="RecNumbering2">
    <w:name w:val="Rec Numbering 2"/>
    <w:basedOn w:val="RecNumbering"/>
    <w:qFormat/>
    <w:rsid w:val="00D9062F"/>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semiHidden="0" w:uiPriority="0" w:qFormat="1"/>
    <w:lsdException w:name="heading 4" w:semiHidden="0" w:qFormat="1"/>
    <w:lsdException w:name="heading 5" w:uiPriority="9"/>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unhideWhenUsed="1" w:qFormat="1"/>
    <w:lsdException w:name="footnote reference" w:uiPriority="0"/>
    <w:lsdException w:name="List" w:semiHidden="0"/>
    <w:lsdException w:name="List Bullet" w:semiHidden="0"/>
    <w:lsdException w:name="List Number" w:uiPriority="0"/>
    <w:lsdException w:name="List 2" w:semiHidden="0"/>
    <w:lsdException w:name="List 3" w:semiHidden="0"/>
    <w:lsdException w:name="List 4" w:unhideWhenUsed="1"/>
    <w:lsdException w:name="List 5" w:unhideWhenUsed="1"/>
    <w:lsdException w:name="List Bullet 2" w:semiHidden="0"/>
    <w:lsdException w:name="List Number 5" w:uiPriority="0"/>
    <w:lsdException w:name="Title" w:semiHidden="0"/>
    <w:lsdException w:name="Default Paragraph Font" w:uiPriority="1" w:unhideWhenUsed="1"/>
    <w:lsdException w:name="Subtitle" w:semiHidden="0"/>
    <w:lsdException w:name="Strong"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qFormat="1"/>
  </w:latentStyles>
  <w:style w:type="paragraph" w:default="1" w:styleId="Normal">
    <w:name w:val="Normal"/>
    <w:qFormat/>
    <w:rsid w:val="000C41D6"/>
    <w:pPr>
      <w:spacing w:after="240" w:line="280" w:lineRule="atLeast"/>
    </w:pPr>
    <w:rPr>
      <w:rFonts w:ascii="Arial" w:eastAsia="Times New Roman" w:hAnsi="Arial"/>
      <w:sz w:val="22"/>
      <w:lang w:val="en-GB" w:eastAsia="en-GB"/>
    </w:rPr>
  </w:style>
  <w:style w:type="paragraph" w:styleId="Heading1">
    <w:name w:val="heading 1"/>
    <w:basedOn w:val="Normal"/>
    <w:next w:val="Normal"/>
    <w:link w:val="Heading1Char"/>
    <w:qFormat/>
    <w:rsid w:val="00F113EF"/>
    <w:pPr>
      <w:keepNext/>
      <w:keepLines/>
      <w:spacing w:before="360"/>
      <w:outlineLvl w:val="0"/>
    </w:pPr>
    <w:rPr>
      <w:rFonts w:ascii="Georgia" w:eastAsiaTheme="majorEastAsia" w:hAnsi="Georgia"/>
      <w:b/>
      <w:bCs/>
      <w:sz w:val="36"/>
      <w:szCs w:val="28"/>
    </w:rPr>
  </w:style>
  <w:style w:type="paragraph" w:styleId="Heading2">
    <w:name w:val="heading 2"/>
    <w:basedOn w:val="Normal"/>
    <w:next w:val="Normal"/>
    <w:link w:val="Heading2Char"/>
    <w:qFormat/>
    <w:rsid w:val="00F126F3"/>
    <w:pPr>
      <w:outlineLvl w:val="1"/>
    </w:pPr>
    <w:rPr>
      <w:b/>
      <w:sz w:val="28"/>
      <w:szCs w:val="28"/>
    </w:rPr>
  </w:style>
  <w:style w:type="paragraph" w:styleId="Heading3">
    <w:name w:val="heading 3"/>
    <w:basedOn w:val="Heading2"/>
    <w:next w:val="Normal"/>
    <w:link w:val="Heading3Char"/>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13EF"/>
    <w:rPr>
      <w:rFonts w:ascii="Georgia" w:eastAsiaTheme="majorEastAsia" w:hAnsi="Georgia" w:cs="Arial"/>
      <w:b/>
      <w:bCs/>
      <w:sz w:val="36"/>
      <w:szCs w:val="28"/>
    </w:rPr>
  </w:style>
  <w:style w:type="character" w:customStyle="1" w:styleId="Heading2Char">
    <w:name w:val="Heading 2 Char"/>
    <w:basedOn w:val="DefaultParagraphFont"/>
    <w:link w:val="Heading2"/>
    <w:rsid w:val="00F126F3"/>
    <w:rPr>
      <w:rFonts w:ascii="Verdana" w:hAnsi="Verdana" w:cs="Arial"/>
      <w:b/>
      <w:sz w:val="28"/>
      <w:szCs w:val="28"/>
    </w:rPr>
  </w:style>
  <w:style w:type="character" w:customStyle="1" w:styleId="Heading3Char">
    <w:name w:val="Heading 3 Char"/>
    <w:basedOn w:val="DefaultParagraphFont"/>
    <w:link w:val="Heading3"/>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kern w:val="28"/>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Arial" w:eastAsiaTheme="majorEastAsia" w:hAnsi="Arial" w:cstheme="majorBidi"/>
      <w:color w:val="243F60" w:themeColor="accent1" w:themeShade="7F"/>
      <w:sz w:val="22"/>
      <w:lang w:val="en-GB" w:eastAsia="en-GB"/>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qFormat/>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rsid w:val="003B0A38"/>
    <w:rPr>
      <w:rFonts w:ascii="Verdana" w:hAnsi="Verdana"/>
      <w:sz w:val="18"/>
      <w:vertAlign w:val="superscript"/>
    </w:rPr>
  </w:style>
  <w:style w:type="paragraph" w:styleId="BodyText">
    <w:name w:val="Body Text"/>
    <w:basedOn w:val="Normal"/>
    <w:link w:val="BodyTextChar"/>
    <w:uiPriority w:val="99"/>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3E3722"/>
    <w:pPr>
      <w:spacing w:after="0" w:line="240" w:lineRule="auto"/>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FootnoteReference">
    <w:name w:val="footnote reference"/>
    <w:rsid w:val="00000EDA"/>
    <w:rPr>
      <w:rFonts w:ascii="Arial" w:hAnsi="Arial"/>
      <w:color w:val="auto"/>
      <w:position w:val="8"/>
      <w:sz w:val="16"/>
    </w:rPr>
  </w:style>
  <w:style w:type="paragraph" w:customStyle="1" w:styleId="Bullet-list">
    <w:name w:val="Bullet-list"/>
    <w:qFormat/>
    <w:rsid w:val="00000EDA"/>
    <w:pPr>
      <w:numPr>
        <w:numId w:val="7"/>
      </w:numPr>
      <w:spacing w:after="180" w:line="280" w:lineRule="exact"/>
    </w:pPr>
    <w:rPr>
      <w:rFonts w:ascii="Arial" w:eastAsia="Times New Roman" w:hAnsi="Arial"/>
      <w:sz w:val="22"/>
      <w:lang w:val="en-AU"/>
    </w:rPr>
  </w:style>
  <w:style w:type="paragraph" w:customStyle="1" w:styleId="EvenFooter">
    <w:name w:val="Even Footer"/>
    <w:basedOn w:val="Footer"/>
    <w:rsid w:val="00000EDA"/>
    <w:pPr>
      <w:tabs>
        <w:tab w:val="clear" w:pos="4513"/>
        <w:tab w:val="clear" w:pos="9026"/>
        <w:tab w:val="right" w:pos="9072"/>
      </w:tabs>
    </w:pPr>
    <w:rPr>
      <w:noProof/>
      <w:color w:val="002469"/>
      <w:spacing w:val="6"/>
      <w:sz w:val="16"/>
      <w:szCs w:val="16"/>
    </w:rPr>
  </w:style>
  <w:style w:type="paragraph" w:customStyle="1" w:styleId="Text">
    <w:name w:val="Text"/>
    <w:basedOn w:val="Normal"/>
    <w:link w:val="TextChar"/>
    <w:rsid w:val="00000EDA"/>
    <w:pPr>
      <w:spacing w:before="120" w:after="120" w:line="300" w:lineRule="exact"/>
      <w:jc w:val="both"/>
    </w:pPr>
    <w:rPr>
      <w:lang w:eastAsia="en-US"/>
    </w:rPr>
  </w:style>
  <w:style w:type="character" w:customStyle="1" w:styleId="TextChar">
    <w:name w:val="Text Char"/>
    <w:link w:val="Text"/>
    <w:rsid w:val="00000EDA"/>
    <w:rPr>
      <w:rFonts w:ascii="Arial" w:eastAsia="Times New Roman" w:hAnsi="Arial"/>
      <w:sz w:val="22"/>
      <w:lang w:val="en-GB"/>
    </w:rPr>
  </w:style>
  <w:style w:type="character" w:customStyle="1" w:styleId="ListParagraphChar">
    <w:name w:val="List Paragraph Char"/>
    <w:link w:val="ListParagraph"/>
    <w:uiPriority w:val="34"/>
    <w:rsid w:val="00000EDA"/>
    <w:rPr>
      <w:rFonts w:ascii="Verdana" w:hAnsi="Verdana" w:cs="Arial"/>
      <w:szCs w:val="22"/>
    </w:rPr>
  </w:style>
  <w:style w:type="paragraph" w:customStyle="1" w:styleId="SignatureText">
    <w:name w:val="Signature Text"/>
    <w:basedOn w:val="BodyText"/>
    <w:semiHidden/>
    <w:rsid w:val="00000EDA"/>
    <w:pPr>
      <w:suppressAutoHyphens/>
      <w:autoSpaceDE w:val="0"/>
      <w:autoSpaceDN w:val="0"/>
      <w:adjustRightInd w:val="0"/>
      <w:spacing w:before="120" w:after="0" w:line="240" w:lineRule="auto"/>
      <w:textAlignment w:val="center"/>
    </w:pPr>
    <w:rPr>
      <w:lang w:eastAsia="en-NZ"/>
    </w:rPr>
  </w:style>
  <w:style w:type="paragraph" w:styleId="EndnoteText">
    <w:name w:val="endnote text"/>
    <w:basedOn w:val="Normal"/>
    <w:link w:val="EndnoteTextChar"/>
    <w:uiPriority w:val="99"/>
    <w:rsid w:val="007E529F"/>
    <w:pPr>
      <w:spacing w:after="0" w:line="240" w:lineRule="auto"/>
    </w:pPr>
    <w:rPr>
      <w:sz w:val="20"/>
    </w:rPr>
  </w:style>
  <w:style w:type="character" w:customStyle="1" w:styleId="EndnoteTextChar">
    <w:name w:val="Endnote Text Char"/>
    <w:basedOn w:val="DefaultParagraphFont"/>
    <w:link w:val="EndnoteText"/>
    <w:uiPriority w:val="99"/>
    <w:rsid w:val="007E529F"/>
    <w:rPr>
      <w:rFonts w:ascii="Arial" w:eastAsia="Times New Roman" w:hAnsi="Arial"/>
      <w:lang w:val="en-GB" w:eastAsia="en-GB"/>
    </w:rPr>
  </w:style>
  <w:style w:type="paragraph" w:customStyle="1" w:styleId="BodyTextlevel2">
    <w:name w:val="Body Text level 2"/>
    <w:basedOn w:val="Normal"/>
    <w:rsid w:val="00EE12F3"/>
    <w:pPr>
      <w:tabs>
        <w:tab w:val="num" w:pos="493"/>
      </w:tabs>
      <w:spacing w:before="240" w:after="0" w:line="240" w:lineRule="auto"/>
      <w:ind w:left="987" w:hanging="493"/>
    </w:pPr>
    <w:rPr>
      <w:rFonts w:eastAsia="SimSun" w:cs="Arial"/>
      <w:szCs w:val="22"/>
      <w:lang w:val="en-NZ" w:eastAsia="en-US"/>
    </w:rPr>
  </w:style>
  <w:style w:type="numbering" w:customStyle="1" w:styleId="BodyList">
    <w:name w:val="Body List"/>
    <w:rsid w:val="00EE12F3"/>
    <w:pPr>
      <w:numPr>
        <w:numId w:val="11"/>
      </w:numPr>
    </w:pPr>
  </w:style>
  <w:style w:type="paragraph" w:styleId="Header">
    <w:name w:val="header"/>
    <w:basedOn w:val="Normal"/>
    <w:link w:val="HeaderChar"/>
    <w:uiPriority w:val="99"/>
    <w:rsid w:val="00E4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6408"/>
    <w:rPr>
      <w:rFonts w:ascii="Arial" w:eastAsia="Times New Roman" w:hAnsi="Arial"/>
      <w:sz w:val="22"/>
      <w:lang w:val="en-GB" w:eastAsia="en-GB"/>
    </w:rPr>
  </w:style>
  <w:style w:type="character" w:styleId="Hyperlink">
    <w:name w:val="Hyperlink"/>
    <w:basedOn w:val="DefaultParagraphFont"/>
    <w:uiPriority w:val="99"/>
    <w:unhideWhenUsed/>
    <w:rsid w:val="005D3C2C"/>
    <w:rPr>
      <w:color w:val="0000FF" w:themeColor="hyperlink"/>
      <w:u w:val="single"/>
    </w:rPr>
  </w:style>
  <w:style w:type="paragraph" w:styleId="CommentSubject">
    <w:name w:val="annotation subject"/>
    <w:basedOn w:val="CommentText"/>
    <w:next w:val="CommentText"/>
    <w:link w:val="CommentSubjectChar"/>
    <w:uiPriority w:val="99"/>
    <w:semiHidden/>
    <w:rsid w:val="00963D98"/>
    <w:rPr>
      <w:b/>
      <w:bCs/>
      <w:sz w:val="20"/>
    </w:rPr>
  </w:style>
  <w:style w:type="character" w:customStyle="1" w:styleId="CommentSubjectChar">
    <w:name w:val="Comment Subject Char"/>
    <w:basedOn w:val="CommentTextChar"/>
    <w:link w:val="CommentSubject"/>
    <w:uiPriority w:val="99"/>
    <w:semiHidden/>
    <w:rsid w:val="00963D98"/>
    <w:rPr>
      <w:rFonts w:ascii="Arial" w:eastAsia="Times New Roman" w:hAnsi="Arial" w:cs="Arial"/>
      <w:b/>
      <w:bCs/>
      <w:lang w:val="en-GB" w:eastAsia="en-GB"/>
    </w:rPr>
  </w:style>
  <w:style w:type="paragraph" w:styleId="Revision">
    <w:name w:val="Revision"/>
    <w:hidden/>
    <w:uiPriority w:val="99"/>
    <w:semiHidden/>
    <w:rsid w:val="00E0380E"/>
    <w:rPr>
      <w:rFonts w:ascii="Arial" w:eastAsia="Times New Roman" w:hAnsi="Arial"/>
      <w:sz w:val="22"/>
      <w:lang w:val="en-GB" w:eastAsia="en-GB"/>
    </w:rPr>
  </w:style>
  <w:style w:type="paragraph" w:customStyle="1" w:styleId="ReportBody">
    <w:name w:val="Report Body"/>
    <w:basedOn w:val="Normal"/>
    <w:link w:val="ReportBodyChar"/>
    <w:qFormat/>
    <w:rsid w:val="006A109E"/>
    <w:pPr>
      <w:numPr>
        <w:numId w:val="23"/>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6A109E"/>
    <w:pPr>
      <w:numPr>
        <w:ilvl w:val="1"/>
      </w:numPr>
    </w:pPr>
  </w:style>
  <w:style w:type="character" w:customStyle="1" w:styleId="ReportBodyChar">
    <w:name w:val="Report Body Char"/>
    <w:basedOn w:val="DefaultParagraphFont"/>
    <w:link w:val="ReportBody"/>
    <w:rsid w:val="00200791"/>
    <w:rPr>
      <w:rFonts w:ascii="Verdana" w:eastAsia="Times New Roman" w:hAnsi="Verdana" w:cs="Arial"/>
      <w:color w:val="000000"/>
      <w:kern w:val="22"/>
      <w:lang w:eastAsia="en-NZ"/>
    </w:rPr>
  </w:style>
  <w:style w:type="paragraph" w:customStyle="1" w:styleId="AgreeDisagree">
    <w:name w:val="Agree/Disagree"/>
    <w:basedOn w:val="Normal"/>
    <w:next w:val="Normal"/>
    <w:rsid w:val="006D5487"/>
    <w:pPr>
      <w:suppressAutoHyphens/>
      <w:autoSpaceDE w:val="0"/>
      <w:autoSpaceDN w:val="0"/>
      <w:adjustRightInd w:val="0"/>
      <w:spacing w:before="120" w:after="120"/>
      <w:jc w:val="right"/>
      <w:textAlignment w:val="center"/>
    </w:pPr>
    <w:rPr>
      <w:rFonts w:ascii="Verdana" w:hAnsi="Verdana" w:cs="Arial"/>
      <w:b/>
      <w:sz w:val="20"/>
      <w:lang w:val="en-NZ" w:eastAsia="en-NZ"/>
    </w:rPr>
  </w:style>
  <w:style w:type="paragraph" w:customStyle="1" w:styleId="RecLevel2">
    <w:name w:val="Rec Level2"/>
    <w:basedOn w:val="RecLevel1"/>
    <w:qFormat/>
    <w:rsid w:val="006D5487"/>
    <w:pPr>
      <w:numPr>
        <w:ilvl w:val="1"/>
      </w:numPr>
      <w:tabs>
        <w:tab w:val="num" w:pos="493"/>
      </w:tabs>
      <w:ind w:left="1134" w:hanging="567"/>
    </w:pPr>
  </w:style>
  <w:style w:type="paragraph" w:customStyle="1" w:styleId="RecLevel1">
    <w:name w:val="Rec Level1"/>
    <w:basedOn w:val="ListParagraph"/>
    <w:link w:val="RecLevel1Char"/>
    <w:qFormat/>
    <w:rsid w:val="006D5487"/>
    <w:pPr>
      <w:numPr>
        <w:numId w:val="13"/>
      </w:numPr>
      <w:tabs>
        <w:tab w:val="left" w:pos="567"/>
      </w:tabs>
      <w:suppressAutoHyphens/>
      <w:autoSpaceDE w:val="0"/>
      <w:autoSpaceDN w:val="0"/>
      <w:adjustRightInd w:val="0"/>
      <w:spacing w:before="120" w:after="120"/>
      <w:textAlignment w:val="center"/>
    </w:pPr>
    <w:rPr>
      <w:rFonts w:ascii="Verdana" w:hAnsi="Verdana" w:cs="Arial"/>
      <w:sz w:val="20"/>
      <w:lang w:val="en-NZ" w:eastAsia="en-NZ"/>
    </w:rPr>
  </w:style>
  <w:style w:type="character" w:customStyle="1" w:styleId="RecLevel1Char">
    <w:name w:val="Rec Level1 Char"/>
    <w:basedOn w:val="DefaultParagraphFont"/>
    <w:link w:val="RecLevel1"/>
    <w:rsid w:val="006D5487"/>
    <w:rPr>
      <w:rFonts w:ascii="Verdana" w:eastAsia="Times New Roman" w:hAnsi="Verdana" w:cs="Arial"/>
      <w:lang w:eastAsia="en-NZ"/>
    </w:rPr>
  </w:style>
  <w:style w:type="paragraph" w:styleId="ListNumber5">
    <w:name w:val="List Number 5"/>
    <w:basedOn w:val="Normal"/>
    <w:semiHidden/>
    <w:rsid w:val="00C05018"/>
    <w:pPr>
      <w:numPr>
        <w:numId w:val="14"/>
      </w:numPr>
      <w:suppressAutoHyphens/>
      <w:autoSpaceDE w:val="0"/>
      <w:autoSpaceDN w:val="0"/>
      <w:adjustRightInd w:val="0"/>
      <w:spacing w:before="120" w:after="120"/>
      <w:textAlignment w:val="center"/>
    </w:pPr>
    <w:rPr>
      <w:rFonts w:ascii="Verdana" w:hAnsi="Verdana" w:cs="Arial"/>
      <w:sz w:val="20"/>
      <w:lang w:val="en-NZ" w:eastAsia="en-NZ"/>
    </w:rPr>
  </w:style>
  <w:style w:type="paragraph" w:styleId="ListNumber">
    <w:name w:val="List Number"/>
    <w:basedOn w:val="Normal"/>
    <w:rsid w:val="009A5146"/>
    <w:pPr>
      <w:numPr>
        <w:numId w:val="20"/>
      </w:numPr>
      <w:spacing w:before="120" w:after="120" w:line="240" w:lineRule="auto"/>
      <w:jc w:val="both"/>
    </w:pPr>
    <w:rPr>
      <w:lang w:val="en-NZ" w:eastAsia="en-US"/>
    </w:rPr>
  </w:style>
  <w:style w:type="paragraph" w:customStyle="1" w:styleId="Subject">
    <w:name w:val="Subject"/>
    <w:basedOn w:val="Normal"/>
    <w:next w:val="Normal"/>
    <w:semiHidden/>
    <w:rsid w:val="009A5146"/>
    <w:pPr>
      <w:spacing w:before="240" w:after="0" w:line="240" w:lineRule="auto"/>
      <w:jc w:val="both"/>
    </w:pPr>
    <w:rPr>
      <w:b/>
      <w:caps/>
      <w:lang w:val="en-NZ" w:eastAsia="en-US"/>
    </w:rPr>
  </w:style>
  <w:style w:type="character" w:styleId="PlaceholderText">
    <w:name w:val="Placeholder Text"/>
    <w:basedOn w:val="DefaultParagraphFont"/>
    <w:uiPriority w:val="99"/>
    <w:semiHidden/>
    <w:rsid w:val="00D00124"/>
    <w:rPr>
      <w:color w:val="808080"/>
    </w:rPr>
  </w:style>
  <w:style w:type="paragraph" w:customStyle="1" w:styleId="RecNumbering">
    <w:name w:val="Rec Numbering"/>
    <w:basedOn w:val="Normal"/>
    <w:uiPriority w:val="99"/>
    <w:rsid w:val="00D9062F"/>
    <w:pPr>
      <w:numPr>
        <w:numId w:val="45"/>
      </w:numPr>
      <w:spacing w:before="240" w:after="0" w:line="240" w:lineRule="auto"/>
    </w:pPr>
    <w:rPr>
      <w:lang w:val="en-NZ" w:eastAsia="en-US"/>
    </w:rPr>
  </w:style>
  <w:style w:type="paragraph" w:customStyle="1" w:styleId="RecNumbering2">
    <w:name w:val="Rec Numbering 2"/>
    <w:basedOn w:val="RecNumbering"/>
    <w:qFormat/>
    <w:rsid w:val="00D9062F"/>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587">
      <w:bodyDiv w:val="1"/>
      <w:marLeft w:val="0"/>
      <w:marRight w:val="0"/>
      <w:marTop w:val="0"/>
      <w:marBottom w:val="0"/>
      <w:divBdr>
        <w:top w:val="none" w:sz="0" w:space="0" w:color="auto"/>
        <w:left w:val="none" w:sz="0" w:space="0" w:color="auto"/>
        <w:bottom w:val="none" w:sz="0" w:space="0" w:color="auto"/>
        <w:right w:val="none" w:sz="0" w:space="0" w:color="auto"/>
      </w:divBdr>
    </w:div>
    <w:div w:id="132405527">
      <w:bodyDiv w:val="1"/>
      <w:marLeft w:val="0"/>
      <w:marRight w:val="0"/>
      <w:marTop w:val="0"/>
      <w:marBottom w:val="0"/>
      <w:divBdr>
        <w:top w:val="none" w:sz="0" w:space="0" w:color="auto"/>
        <w:left w:val="none" w:sz="0" w:space="0" w:color="auto"/>
        <w:bottom w:val="none" w:sz="0" w:space="0" w:color="auto"/>
        <w:right w:val="none" w:sz="0" w:space="0" w:color="auto"/>
      </w:divBdr>
    </w:div>
    <w:div w:id="904334332">
      <w:bodyDiv w:val="1"/>
      <w:marLeft w:val="0"/>
      <w:marRight w:val="0"/>
      <w:marTop w:val="0"/>
      <w:marBottom w:val="0"/>
      <w:divBdr>
        <w:top w:val="none" w:sz="0" w:space="0" w:color="auto"/>
        <w:left w:val="none" w:sz="0" w:space="0" w:color="auto"/>
        <w:bottom w:val="none" w:sz="0" w:space="0" w:color="auto"/>
        <w:right w:val="none" w:sz="0" w:space="0" w:color="auto"/>
      </w:divBdr>
    </w:div>
    <w:div w:id="980113001">
      <w:bodyDiv w:val="1"/>
      <w:marLeft w:val="0"/>
      <w:marRight w:val="0"/>
      <w:marTop w:val="0"/>
      <w:marBottom w:val="0"/>
      <w:divBdr>
        <w:top w:val="none" w:sz="0" w:space="0" w:color="auto"/>
        <w:left w:val="none" w:sz="0" w:space="0" w:color="auto"/>
        <w:bottom w:val="none" w:sz="0" w:space="0" w:color="auto"/>
        <w:right w:val="none" w:sz="0" w:space="0" w:color="auto"/>
      </w:divBdr>
    </w:div>
    <w:div w:id="1087190295">
      <w:bodyDiv w:val="1"/>
      <w:marLeft w:val="0"/>
      <w:marRight w:val="0"/>
      <w:marTop w:val="0"/>
      <w:marBottom w:val="0"/>
      <w:divBdr>
        <w:top w:val="none" w:sz="0" w:space="0" w:color="auto"/>
        <w:left w:val="none" w:sz="0" w:space="0" w:color="auto"/>
        <w:bottom w:val="none" w:sz="0" w:space="0" w:color="auto"/>
        <w:right w:val="none" w:sz="0" w:space="0" w:color="auto"/>
      </w:divBdr>
    </w:div>
    <w:div w:id="1350178419">
      <w:bodyDiv w:val="1"/>
      <w:marLeft w:val="0"/>
      <w:marRight w:val="0"/>
      <w:marTop w:val="0"/>
      <w:marBottom w:val="0"/>
      <w:divBdr>
        <w:top w:val="none" w:sz="0" w:space="0" w:color="auto"/>
        <w:left w:val="none" w:sz="0" w:space="0" w:color="auto"/>
        <w:bottom w:val="none" w:sz="0" w:space="0" w:color="auto"/>
        <w:right w:val="none" w:sz="0" w:space="0" w:color="auto"/>
      </w:divBdr>
    </w:div>
    <w:div w:id="1401908616">
      <w:bodyDiv w:val="1"/>
      <w:marLeft w:val="0"/>
      <w:marRight w:val="0"/>
      <w:marTop w:val="0"/>
      <w:marBottom w:val="0"/>
      <w:divBdr>
        <w:top w:val="none" w:sz="0" w:space="0" w:color="auto"/>
        <w:left w:val="none" w:sz="0" w:space="0" w:color="auto"/>
        <w:bottom w:val="none" w:sz="0" w:space="0" w:color="auto"/>
        <w:right w:val="none" w:sz="0" w:space="0" w:color="auto"/>
      </w:divBdr>
    </w:div>
    <w:div w:id="1431731619">
      <w:bodyDiv w:val="1"/>
      <w:marLeft w:val="0"/>
      <w:marRight w:val="0"/>
      <w:marTop w:val="0"/>
      <w:marBottom w:val="0"/>
      <w:divBdr>
        <w:top w:val="none" w:sz="0" w:space="0" w:color="auto"/>
        <w:left w:val="none" w:sz="0" w:space="0" w:color="auto"/>
        <w:bottom w:val="none" w:sz="0" w:space="0" w:color="auto"/>
        <w:right w:val="none" w:sz="0" w:space="0" w:color="auto"/>
      </w:divBdr>
      <w:divsChild>
        <w:div w:id="298649533">
          <w:marLeft w:val="0"/>
          <w:marRight w:val="0"/>
          <w:marTop w:val="0"/>
          <w:marBottom w:val="0"/>
          <w:divBdr>
            <w:top w:val="none" w:sz="0" w:space="0" w:color="auto"/>
            <w:left w:val="none" w:sz="0" w:space="0" w:color="auto"/>
            <w:bottom w:val="none" w:sz="0" w:space="0" w:color="auto"/>
            <w:right w:val="none" w:sz="0" w:space="0" w:color="auto"/>
          </w:divBdr>
          <w:divsChild>
            <w:div w:id="1073965901">
              <w:marLeft w:val="0"/>
              <w:marRight w:val="0"/>
              <w:marTop w:val="0"/>
              <w:marBottom w:val="0"/>
              <w:divBdr>
                <w:top w:val="none" w:sz="0" w:space="0" w:color="auto"/>
                <w:left w:val="none" w:sz="0" w:space="0" w:color="auto"/>
                <w:bottom w:val="none" w:sz="0" w:space="0" w:color="auto"/>
                <w:right w:val="none" w:sz="0" w:space="0" w:color="auto"/>
              </w:divBdr>
              <w:divsChild>
                <w:div w:id="1596749167">
                  <w:marLeft w:val="0"/>
                  <w:marRight w:val="0"/>
                  <w:marTop w:val="0"/>
                  <w:marBottom w:val="0"/>
                  <w:divBdr>
                    <w:top w:val="none" w:sz="0" w:space="0" w:color="auto"/>
                    <w:left w:val="none" w:sz="0" w:space="0" w:color="auto"/>
                    <w:bottom w:val="none" w:sz="0" w:space="0" w:color="auto"/>
                    <w:right w:val="none" w:sz="0" w:space="0" w:color="auto"/>
                  </w:divBdr>
                  <w:divsChild>
                    <w:div w:id="1543637792">
                      <w:marLeft w:val="0"/>
                      <w:marRight w:val="0"/>
                      <w:marTop w:val="0"/>
                      <w:marBottom w:val="0"/>
                      <w:divBdr>
                        <w:top w:val="none" w:sz="0" w:space="0" w:color="auto"/>
                        <w:left w:val="none" w:sz="0" w:space="0" w:color="auto"/>
                        <w:bottom w:val="none" w:sz="0" w:space="0" w:color="auto"/>
                        <w:right w:val="none" w:sz="0" w:space="0" w:color="auto"/>
                      </w:divBdr>
                      <w:divsChild>
                        <w:div w:id="1205679964">
                          <w:marLeft w:val="0"/>
                          <w:marRight w:val="0"/>
                          <w:marTop w:val="0"/>
                          <w:marBottom w:val="0"/>
                          <w:divBdr>
                            <w:top w:val="none" w:sz="0" w:space="0" w:color="auto"/>
                            <w:left w:val="none" w:sz="0" w:space="0" w:color="auto"/>
                            <w:bottom w:val="none" w:sz="0" w:space="0" w:color="auto"/>
                            <w:right w:val="none" w:sz="0" w:space="0" w:color="auto"/>
                          </w:divBdr>
                          <w:divsChild>
                            <w:div w:id="2187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508098">
      <w:bodyDiv w:val="1"/>
      <w:marLeft w:val="0"/>
      <w:marRight w:val="0"/>
      <w:marTop w:val="0"/>
      <w:marBottom w:val="0"/>
      <w:divBdr>
        <w:top w:val="none" w:sz="0" w:space="0" w:color="auto"/>
        <w:left w:val="none" w:sz="0" w:space="0" w:color="auto"/>
        <w:bottom w:val="none" w:sz="0" w:space="0" w:color="auto"/>
        <w:right w:val="none" w:sz="0" w:space="0" w:color="auto"/>
      </w:divBdr>
    </w:div>
    <w:div w:id="1871989768">
      <w:bodyDiv w:val="1"/>
      <w:marLeft w:val="0"/>
      <w:marRight w:val="0"/>
      <w:marTop w:val="0"/>
      <w:marBottom w:val="0"/>
      <w:divBdr>
        <w:top w:val="none" w:sz="0" w:space="0" w:color="auto"/>
        <w:left w:val="none" w:sz="0" w:space="0" w:color="auto"/>
        <w:bottom w:val="none" w:sz="0" w:space="0" w:color="auto"/>
        <w:right w:val="none" w:sz="0" w:space="0" w:color="auto"/>
      </w:divBdr>
    </w:div>
    <w:div w:id="1872062671">
      <w:bodyDiv w:val="1"/>
      <w:marLeft w:val="0"/>
      <w:marRight w:val="0"/>
      <w:marTop w:val="0"/>
      <w:marBottom w:val="0"/>
      <w:divBdr>
        <w:top w:val="none" w:sz="0" w:space="0" w:color="auto"/>
        <w:left w:val="none" w:sz="0" w:space="0" w:color="auto"/>
        <w:bottom w:val="none" w:sz="0" w:space="0" w:color="auto"/>
        <w:right w:val="none" w:sz="0" w:space="0" w:color="auto"/>
      </w:divBdr>
    </w:div>
    <w:div w:id="1929844094">
      <w:bodyDiv w:val="1"/>
      <w:marLeft w:val="0"/>
      <w:marRight w:val="0"/>
      <w:marTop w:val="0"/>
      <w:marBottom w:val="0"/>
      <w:divBdr>
        <w:top w:val="none" w:sz="0" w:space="0" w:color="auto"/>
        <w:left w:val="none" w:sz="0" w:space="0" w:color="auto"/>
        <w:bottom w:val="none" w:sz="0" w:space="0" w:color="auto"/>
        <w:right w:val="none" w:sz="0" w:space="0" w:color="auto"/>
      </w:divBdr>
    </w:div>
    <w:div w:id="2006392944">
      <w:bodyDiv w:val="1"/>
      <w:marLeft w:val="0"/>
      <w:marRight w:val="0"/>
      <w:marTop w:val="0"/>
      <w:marBottom w:val="0"/>
      <w:divBdr>
        <w:top w:val="none" w:sz="0" w:space="0" w:color="auto"/>
        <w:left w:val="none" w:sz="0" w:space="0" w:color="auto"/>
        <w:bottom w:val="none" w:sz="0" w:space="0" w:color="auto"/>
        <w:right w:val="none" w:sz="0" w:space="0" w:color="auto"/>
      </w:divBdr>
    </w:div>
    <w:div w:id="2061585397">
      <w:bodyDiv w:val="1"/>
      <w:marLeft w:val="0"/>
      <w:marRight w:val="0"/>
      <w:marTop w:val="0"/>
      <w:marBottom w:val="0"/>
      <w:divBdr>
        <w:top w:val="none" w:sz="0" w:space="0" w:color="auto"/>
        <w:left w:val="none" w:sz="0" w:space="0" w:color="auto"/>
        <w:bottom w:val="none" w:sz="0" w:space="0" w:color="auto"/>
        <w:right w:val="none" w:sz="0" w:space="0" w:color="auto"/>
      </w:divBdr>
      <w:divsChild>
        <w:div w:id="653605011">
          <w:marLeft w:val="0"/>
          <w:marRight w:val="0"/>
          <w:marTop w:val="0"/>
          <w:marBottom w:val="0"/>
          <w:divBdr>
            <w:top w:val="none" w:sz="0" w:space="0" w:color="auto"/>
            <w:left w:val="none" w:sz="0" w:space="0" w:color="auto"/>
            <w:bottom w:val="none" w:sz="0" w:space="0" w:color="auto"/>
            <w:right w:val="none" w:sz="0" w:space="0" w:color="auto"/>
          </w:divBdr>
          <w:divsChild>
            <w:div w:id="1372455887">
              <w:marLeft w:val="0"/>
              <w:marRight w:val="0"/>
              <w:marTop w:val="0"/>
              <w:marBottom w:val="0"/>
              <w:divBdr>
                <w:top w:val="none" w:sz="0" w:space="0" w:color="auto"/>
                <w:left w:val="none" w:sz="0" w:space="0" w:color="auto"/>
                <w:bottom w:val="none" w:sz="0" w:space="0" w:color="auto"/>
                <w:right w:val="none" w:sz="0" w:space="0" w:color="auto"/>
              </w:divBdr>
              <w:divsChild>
                <w:div w:id="8727097">
                  <w:marLeft w:val="0"/>
                  <w:marRight w:val="0"/>
                  <w:marTop w:val="0"/>
                  <w:marBottom w:val="0"/>
                  <w:divBdr>
                    <w:top w:val="none" w:sz="0" w:space="0" w:color="auto"/>
                    <w:left w:val="none" w:sz="0" w:space="0" w:color="auto"/>
                    <w:bottom w:val="none" w:sz="0" w:space="0" w:color="auto"/>
                    <w:right w:val="none" w:sz="0" w:space="0" w:color="auto"/>
                  </w:divBdr>
                  <w:divsChild>
                    <w:div w:id="594552758">
                      <w:marLeft w:val="0"/>
                      <w:marRight w:val="0"/>
                      <w:marTop w:val="0"/>
                      <w:marBottom w:val="0"/>
                      <w:divBdr>
                        <w:top w:val="none" w:sz="0" w:space="0" w:color="auto"/>
                        <w:left w:val="none" w:sz="0" w:space="0" w:color="auto"/>
                        <w:bottom w:val="none" w:sz="0" w:space="0" w:color="auto"/>
                        <w:right w:val="none" w:sz="0" w:space="0" w:color="auto"/>
                      </w:divBdr>
                      <w:divsChild>
                        <w:div w:id="748306374">
                          <w:marLeft w:val="0"/>
                          <w:marRight w:val="0"/>
                          <w:marTop w:val="0"/>
                          <w:marBottom w:val="0"/>
                          <w:divBdr>
                            <w:top w:val="none" w:sz="0" w:space="0" w:color="auto"/>
                            <w:left w:val="none" w:sz="0" w:space="0" w:color="auto"/>
                            <w:bottom w:val="none" w:sz="0" w:space="0" w:color="auto"/>
                            <w:right w:val="none" w:sz="0" w:space="0" w:color="auto"/>
                          </w:divBdr>
                          <w:divsChild>
                            <w:div w:id="36020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14EEC-2620-4FFB-A91F-59C4E90A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19</Pages>
  <Words>8227</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55011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Robbie Lane</dc:creator>
  <cp:lastModifiedBy>Amy Dolden</cp:lastModifiedBy>
  <cp:revision>3</cp:revision>
  <cp:lastPrinted>2016-11-24T22:03:00Z</cp:lastPrinted>
  <dcterms:created xsi:type="dcterms:W3CDTF">2016-11-28T02:33:00Z</dcterms:created>
  <dcterms:modified xsi:type="dcterms:W3CDTF">2016-11-28T02:34:00Z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A9306577</vt:lpwstr>
  </property>
  <property fmtid="{D5CDD505-2E9C-101B-9397-08002B2CF9AE}" pid="4" name="Objective-Title">
    <vt:lpwstr>Investing in Children: Legislative support for improving outcomes for Maori RIS</vt:lpwstr>
  </property>
  <property fmtid="{D5CDD505-2E9C-101B-9397-08002B2CF9AE}" pid="5" name="Objective-Comment">
    <vt:lpwstr/>
  </property>
  <property fmtid="{D5CDD505-2E9C-101B-9397-08002B2CF9AE}" pid="6" name="Objective-CreationStamp">
    <vt:filetime>2016-11-29T20:24:23Z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2016-11-29T20:24:23Z</vt:filetime>
  </property>
  <property fmtid="{D5CDD505-2E9C-101B-9397-08002B2CF9AE}" pid="10" name="Objective-ModificationStamp">
    <vt:filetime>2016-12-04T22:46:12Z</vt:filetime>
  </property>
  <property fmtid="{D5CDD505-2E9C-101B-9397-08002B2CF9AE}" pid="11" name="Objective-Owner">
    <vt:lpwstr>Amy Dolden</vt:lpwstr>
  </property>
  <property fmtid="{D5CDD505-2E9C-101B-9397-08002B2CF9AE}" pid="12"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13" name="Objective-Parent">
    <vt:lpwstr>Final redactions for publication</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CT/OT/02/02/06/02/01/16-25549</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Final</vt:lpwstr>
  </property>
  <property fmtid="{D5CDD505-2E9C-101B-9397-08002B2CF9AE}" pid="22" name="Objective-Report Type [system]">
    <vt:lpwstr>General</vt:lpwstr>
  </property>
  <property fmtid="{D5CDD505-2E9C-101B-9397-08002B2CF9AE}" pid="23" name="Objective-Email is Vaulted? [system]">
    <vt:lpwstr/>
  </property>
</Properties>
</file>