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86355B" w14:textId="77777777" w:rsidR="00F8591F" w:rsidRDefault="00F8591F" w:rsidP="00966EAB">
      <w:pPr>
        <w:ind w:right="-142"/>
        <w:rPr>
          <w:b/>
          <w:color w:val="1F497D"/>
          <w:sz w:val="36"/>
          <w:szCs w:val="36"/>
        </w:rPr>
      </w:pPr>
      <w:bookmarkStart w:id="0" w:name="_Regulatory_Impact_Statement"/>
      <w:bookmarkStart w:id="1" w:name="_Toc458757996"/>
      <w:bookmarkStart w:id="2" w:name="_Toc458781523"/>
      <w:bookmarkStart w:id="3" w:name="_Toc458781978"/>
      <w:bookmarkStart w:id="4" w:name="_Toc458782051"/>
      <w:bookmarkStart w:id="5" w:name="_Toc458782604"/>
      <w:bookmarkStart w:id="6" w:name="_Toc459294747"/>
      <w:bookmarkStart w:id="7" w:name="_Toc459820754"/>
      <w:bookmarkStart w:id="8" w:name="_Toc459885726"/>
      <w:bookmarkStart w:id="9" w:name="_Toc244580362"/>
      <w:bookmarkStart w:id="10" w:name="_Toc244587038"/>
      <w:bookmarkStart w:id="11" w:name="_Toc244857272"/>
      <w:bookmarkStart w:id="12" w:name="_Toc244912537"/>
      <w:bookmarkStart w:id="13" w:name="_Toc244916994"/>
      <w:bookmarkStart w:id="14" w:name="_Toc362368102"/>
      <w:bookmarkStart w:id="15" w:name="_Toc362940592"/>
      <w:bookmarkStart w:id="16" w:name="_Toc363047100"/>
      <w:bookmarkStart w:id="17" w:name="_Toc111173195"/>
      <w:bookmarkStart w:id="18" w:name="_Toc112306482"/>
      <w:bookmarkStart w:id="19" w:name="_Toc114287559"/>
      <w:bookmarkStart w:id="20" w:name="_Toc115188196"/>
      <w:bookmarkStart w:id="21" w:name="_Toc118514380"/>
      <w:bookmarkStart w:id="22" w:name="_Toc110071692"/>
      <w:bookmarkStart w:id="23" w:name="_Toc110072564"/>
      <w:bookmarkStart w:id="24" w:name="_Toc138735614"/>
      <w:bookmarkStart w:id="25" w:name="_Toc139335927"/>
      <w:bookmarkStart w:id="26" w:name="_Toc362526401"/>
      <w:bookmarkEnd w:id="0"/>
    </w:p>
    <w:p w14:paraId="64B99163" w14:textId="77777777" w:rsidR="00DD02DB" w:rsidRPr="00DD02DB" w:rsidRDefault="00DD02DB" w:rsidP="00966EAB">
      <w:pPr>
        <w:ind w:right="-142"/>
        <w:rPr>
          <w:rFonts w:ascii="Calibri" w:hAnsi="Calibri"/>
          <w:b/>
          <w:color w:val="1F497D"/>
          <w:sz w:val="36"/>
          <w:szCs w:val="36"/>
        </w:rPr>
      </w:pPr>
    </w:p>
    <w:p w14:paraId="3E0B7F0C" w14:textId="77777777" w:rsidR="00DD02DB" w:rsidRPr="00DD02DB" w:rsidRDefault="00DD02DB" w:rsidP="00966EAB">
      <w:pPr>
        <w:ind w:right="-142"/>
        <w:rPr>
          <w:rFonts w:ascii="Calibri" w:hAnsi="Calibri"/>
          <w:b/>
          <w:color w:val="1F497D"/>
          <w:sz w:val="36"/>
          <w:szCs w:val="36"/>
        </w:rPr>
      </w:pPr>
    </w:p>
    <w:p w14:paraId="5A15C168" w14:textId="77777777" w:rsidR="0033744C" w:rsidRDefault="0033744C" w:rsidP="00966EAB">
      <w:pPr>
        <w:ind w:right="-142"/>
        <w:rPr>
          <w:rFonts w:ascii="Calibri" w:hAnsi="Calibri"/>
          <w:b/>
          <w:color w:val="1F497D"/>
          <w:sz w:val="40"/>
          <w:szCs w:val="40"/>
        </w:rPr>
      </w:pPr>
    </w:p>
    <w:p w14:paraId="0FA988A7" w14:textId="77777777" w:rsidR="00F8591F" w:rsidRPr="0049401F" w:rsidRDefault="00F8591F" w:rsidP="00966EAB">
      <w:pPr>
        <w:ind w:right="-142"/>
        <w:rPr>
          <w:rFonts w:ascii="Calibri" w:hAnsi="Calibri"/>
          <w:b/>
          <w:color w:val="1F497D"/>
          <w:sz w:val="40"/>
          <w:szCs w:val="40"/>
        </w:rPr>
      </w:pPr>
      <w:r w:rsidRPr="0049401F">
        <w:rPr>
          <w:rFonts w:ascii="Calibri" w:hAnsi="Calibri"/>
          <w:b/>
          <w:color w:val="1F497D"/>
          <w:sz w:val="40"/>
          <w:szCs w:val="40"/>
        </w:rPr>
        <w:t>Regulatory Impact Statement</w:t>
      </w:r>
      <w:bookmarkEnd w:id="1"/>
      <w:bookmarkEnd w:id="2"/>
      <w:bookmarkEnd w:id="3"/>
      <w:bookmarkEnd w:id="4"/>
      <w:bookmarkEnd w:id="5"/>
      <w:bookmarkEnd w:id="6"/>
      <w:bookmarkEnd w:id="7"/>
      <w:bookmarkEnd w:id="8"/>
    </w:p>
    <w:p w14:paraId="75EC2849" w14:textId="77777777" w:rsidR="00F8591F" w:rsidRPr="0049401F" w:rsidRDefault="00F8591F" w:rsidP="00966EAB">
      <w:pPr>
        <w:ind w:right="-142"/>
        <w:rPr>
          <w:rFonts w:ascii="Calibri" w:hAnsi="Calibri"/>
          <w:b/>
          <w:color w:val="1F497D"/>
          <w:sz w:val="40"/>
          <w:szCs w:val="40"/>
        </w:rPr>
      </w:pPr>
      <w:r w:rsidRPr="0049401F">
        <w:rPr>
          <w:rFonts w:ascii="Calibri" w:hAnsi="Calibri"/>
          <w:b/>
          <w:color w:val="1F497D"/>
          <w:sz w:val="40"/>
          <w:szCs w:val="40"/>
        </w:rPr>
        <w:t>Investing in Children: Information Sharing</w:t>
      </w:r>
    </w:p>
    <w:p w14:paraId="7FD26C81" w14:textId="77777777" w:rsidR="00F8591F" w:rsidRPr="00DD02DB" w:rsidRDefault="00F8591F" w:rsidP="00966EAB">
      <w:pPr>
        <w:ind w:right="-142"/>
        <w:rPr>
          <w:rFonts w:ascii="Calibri" w:hAnsi="Calibri"/>
        </w:rPr>
      </w:pPr>
    </w:p>
    <w:p w14:paraId="469997F5" w14:textId="77777777" w:rsidR="00F8591F" w:rsidRPr="00DD02DB" w:rsidRDefault="00F8591F" w:rsidP="00966EAB">
      <w:pPr>
        <w:ind w:right="-142"/>
        <w:rPr>
          <w:rFonts w:ascii="Calibri" w:hAnsi="Calibri"/>
        </w:rPr>
      </w:pPr>
    </w:p>
    <w:p w14:paraId="0D677F07" w14:textId="77777777" w:rsidR="00F8591F" w:rsidRDefault="00F8591F" w:rsidP="00966EAB">
      <w:pPr>
        <w:ind w:right="-142"/>
        <w:rPr>
          <w:rFonts w:ascii="Calibri" w:hAnsi="Calibri"/>
        </w:rPr>
      </w:pPr>
    </w:p>
    <w:p w14:paraId="5680EE08" w14:textId="77777777" w:rsidR="0033744C" w:rsidRPr="00DD02DB" w:rsidRDefault="0033744C" w:rsidP="00966EAB">
      <w:pPr>
        <w:ind w:right="-142"/>
        <w:rPr>
          <w:rFonts w:ascii="Calibri" w:hAnsi="Calibri"/>
        </w:rPr>
      </w:pPr>
    </w:p>
    <w:p w14:paraId="2B38957B" w14:textId="77777777" w:rsidR="00F8591F" w:rsidRPr="00DD02DB" w:rsidRDefault="00F8591F" w:rsidP="00966EAB">
      <w:pPr>
        <w:pStyle w:val="Heading3"/>
        <w:ind w:right="-142"/>
        <w:rPr>
          <w:sz w:val="28"/>
        </w:rPr>
      </w:pPr>
    </w:p>
    <w:p w14:paraId="34CB4ABA" w14:textId="77777777" w:rsidR="00F8591F" w:rsidRPr="00DD02DB" w:rsidRDefault="00F8591F" w:rsidP="00966EAB">
      <w:pPr>
        <w:ind w:right="-142"/>
        <w:rPr>
          <w:rFonts w:ascii="Calibri" w:hAnsi="Calibri"/>
          <w:color w:val="1F497D"/>
          <w:sz w:val="28"/>
          <w:szCs w:val="28"/>
        </w:rPr>
      </w:pPr>
      <w:bookmarkStart w:id="27" w:name="_Toc458757998"/>
      <w:bookmarkStart w:id="28" w:name="_Toc458781525"/>
      <w:bookmarkStart w:id="29" w:name="_Toc458781980"/>
      <w:bookmarkStart w:id="30" w:name="_Toc458782053"/>
      <w:bookmarkStart w:id="31" w:name="_Toc458782606"/>
      <w:bookmarkStart w:id="32" w:name="_Toc459294749"/>
      <w:bookmarkStart w:id="33" w:name="_Toc459820756"/>
      <w:bookmarkStart w:id="34" w:name="_Toc459885728"/>
      <w:r w:rsidRPr="00DD02DB">
        <w:rPr>
          <w:rFonts w:ascii="Calibri" w:hAnsi="Calibri"/>
          <w:color w:val="1F497D"/>
          <w:sz w:val="28"/>
          <w:szCs w:val="28"/>
        </w:rPr>
        <w:t xml:space="preserve">Ministry of </w:t>
      </w:r>
      <w:bookmarkEnd w:id="27"/>
      <w:bookmarkEnd w:id="28"/>
      <w:bookmarkEnd w:id="29"/>
      <w:bookmarkEnd w:id="30"/>
      <w:bookmarkEnd w:id="31"/>
      <w:bookmarkEnd w:id="32"/>
      <w:bookmarkEnd w:id="33"/>
      <w:bookmarkEnd w:id="34"/>
      <w:r w:rsidRPr="00DD02DB">
        <w:rPr>
          <w:rFonts w:ascii="Calibri" w:hAnsi="Calibri"/>
          <w:color w:val="1F497D"/>
          <w:sz w:val="28"/>
          <w:szCs w:val="28"/>
        </w:rPr>
        <w:t>Justice</w:t>
      </w:r>
    </w:p>
    <w:p w14:paraId="75FEA080" w14:textId="77777777" w:rsidR="00F8591F" w:rsidRPr="00DD02DB" w:rsidRDefault="00180E93" w:rsidP="00966EAB">
      <w:pPr>
        <w:ind w:right="-142"/>
        <w:rPr>
          <w:rFonts w:ascii="Calibri" w:hAnsi="Calibri"/>
          <w:color w:val="1F497D"/>
          <w:sz w:val="28"/>
          <w:szCs w:val="28"/>
        </w:rPr>
      </w:pPr>
      <w:bookmarkStart w:id="35" w:name="_Toc458757999"/>
      <w:bookmarkStart w:id="36" w:name="_Toc458781526"/>
      <w:bookmarkStart w:id="37" w:name="_Toc458781981"/>
      <w:bookmarkStart w:id="38" w:name="_Toc458782054"/>
      <w:bookmarkStart w:id="39" w:name="_Toc458782607"/>
      <w:bookmarkStart w:id="40" w:name="_Toc459294750"/>
      <w:bookmarkStart w:id="41" w:name="_Toc459820757"/>
      <w:bookmarkStart w:id="42" w:name="_Toc459885729"/>
      <w:r>
        <w:rPr>
          <w:rFonts w:ascii="Calibri" w:hAnsi="Calibri"/>
          <w:color w:val="1F497D"/>
          <w:sz w:val="28"/>
          <w:szCs w:val="28"/>
        </w:rPr>
        <w:t>7</w:t>
      </w:r>
      <w:r w:rsidR="009A133E">
        <w:rPr>
          <w:rFonts w:ascii="Calibri" w:hAnsi="Calibri"/>
          <w:color w:val="1F497D"/>
          <w:sz w:val="28"/>
          <w:szCs w:val="28"/>
        </w:rPr>
        <w:t xml:space="preserve"> September</w:t>
      </w:r>
      <w:r w:rsidR="00F8591F" w:rsidRPr="00DD02DB">
        <w:rPr>
          <w:rFonts w:ascii="Calibri" w:hAnsi="Calibri"/>
          <w:color w:val="1F497D"/>
          <w:sz w:val="28"/>
          <w:szCs w:val="28"/>
        </w:rPr>
        <w:t xml:space="preserve"> 2016</w:t>
      </w:r>
      <w:bookmarkEnd w:id="35"/>
      <w:bookmarkEnd w:id="36"/>
      <w:bookmarkEnd w:id="37"/>
      <w:bookmarkEnd w:id="38"/>
      <w:bookmarkEnd w:id="39"/>
      <w:bookmarkEnd w:id="40"/>
      <w:bookmarkEnd w:id="41"/>
      <w:bookmarkEnd w:id="42"/>
      <w:r w:rsidR="007B3099">
        <w:rPr>
          <w:rFonts w:ascii="Calibri" w:hAnsi="Calibri"/>
          <w:color w:val="1F497D"/>
          <w:sz w:val="28"/>
          <w:szCs w:val="28"/>
        </w:rPr>
        <w:t xml:space="preserve"> </w:t>
      </w:r>
    </w:p>
    <w:p w14:paraId="44605406" w14:textId="77777777" w:rsidR="00F8591F" w:rsidRPr="00DD02DB" w:rsidRDefault="00F8591F" w:rsidP="00966EAB">
      <w:pPr>
        <w:ind w:right="-142"/>
        <w:rPr>
          <w:rFonts w:ascii="Calibri" w:hAnsi="Calibri"/>
        </w:rPr>
      </w:pPr>
    </w:p>
    <w:p w14:paraId="3E843808" w14:textId="77777777" w:rsidR="00F8591F" w:rsidRPr="000F5BBF" w:rsidRDefault="00F8591F" w:rsidP="00966EAB">
      <w:pPr>
        <w:ind w:right="-142"/>
        <w:rPr>
          <w:rFonts w:ascii="Calibri" w:hAnsi="Calibri"/>
        </w:rPr>
      </w:pPr>
      <w:r w:rsidRPr="00DD02DB">
        <w:rPr>
          <w:rFonts w:ascii="Calibri" w:hAnsi="Calibri"/>
        </w:rPr>
        <w:br w:type="page"/>
      </w:r>
    </w:p>
    <w:p w14:paraId="71665A2D" w14:textId="77777777" w:rsidR="007905BF" w:rsidRPr="000F5BBF" w:rsidRDefault="007905BF" w:rsidP="00966EAB">
      <w:pPr>
        <w:pStyle w:val="Heading2"/>
        <w:spacing w:before="0"/>
        <w:ind w:left="0" w:right="-142" w:firstLine="0"/>
        <w:rPr>
          <w:color w:val="auto"/>
        </w:rPr>
      </w:pPr>
      <w:bookmarkStart w:id="43" w:name="_Toc362434943"/>
      <w:bookmarkStart w:id="44" w:name="_Toc362589329"/>
      <w:bookmarkStart w:id="45" w:name="_Toc362619029"/>
      <w:bookmarkStart w:id="46" w:name="_Toc362940593"/>
      <w:bookmarkStart w:id="47" w:name="_Toc363047101"/>
      <w:bookmarkEnd w:id="9"/>
      <w:bookmarkEnd w:id="10"/>
      <w:bookmarkEnd w:id="11"/>
      <w:bookmarkEnd w:id="12"/>
      <w:bookmarkEnd w:id="13"/>
      <w:bookmarkEnd w:id="14"/>
      <w:bookmarkEnd w:id="15"/>
      <w:bookmarkEnd w:id="16"/>
      <w:r w:rsidRPr="000F5BBF">
        <w:rPr>
          <w:color w:val="auto"/>
        </w:rPr>
        <w:lastRenderedPageBreak/>
        <w:t>Agency Disclosure Statement</w:t>
      </w:r>
      <w:bookmarkEnd w:id="43"/>
      <w:bookmarkEnd w:id="44"/>
      <w:bookmarkEnd w:id="45"/>
      <w:bookmarkEnd w:id="46"/>
      <w:bookmarkEnd w:id="47"/>
      <w:r w:rsidRPr="000F5BBF">
        <w:rPr>
          <w:color w:val="auto"/>
        </w:rPr>
        <w:t xml:space="preserve"> </w:t>
      </w:r>
    </w:p>
    <w:p w14:paraId="7E9E774A" w14:textId="77777777" w:rsidR="004B5C82" w:rsidRPr="000F5BBF" w:rsidRDefault="00926860" w:rsidP="00966EAB">
      <w:pPr>
        <w:pStyle w:val="MOJNumPara"/>
        <w:numPr>
          <w:ilvl w:val="0"/>
          <w:numId w:val="0"/>
        </w:numPr>
        <w:spacing w:after="200"/>
        <w:ind w:right="-142"/>
      </w:pPr>
      <w:r w:rsidRPr="000F5BBF">
        <w:t xml:space="preserve">This Regulatory Impact Statement </w:t>
      </w:r>
      <w:r w:rsidR="00AE64BC" w:rsidRPr="000F5BBF">
        <w:t xml:space="preserve">(RIS) </w:t>
      </w:r>
      <w:r w:rsidRPr="000F5BBF">
        <w:t>has been prepared by the Ministry of Justice</w:t>
      </w:r>
      <w:r w:rsidR="008C40D5" w:rsidRPr="000F5BBF">
        <w:t xml:space="preserve"> on behalf o</w:t>
      </w:r>
      <w:r w:rsidR="00D50D50" w:rsidRPr="000F5BBF">
        <w:t>f</w:t>
      </w:r>
      <w:r w:rsidR="008C40D5" w:rsidRPr="000F5BBF">
        <w:t xml:space="preserve"> the Investing in Children team within the Ministry of Social Development</w:t>
      </w:r>
      <w:r w:rsidRPr="000F5BBF">
        <w:t xml:space="preserve">. It provides an analysis of </w:t>
      </w:r>
      <w:r w:rsidR="004D53D6" w:rsidRPr="000F5BBF">
        <w:t xml:space="preserve">options </w:t>
      </w:r>
      <w:r w:rsidRPr="000F5BBF">
        <w:t xml:space="preserve">to facilitate better information sharing </w:t>
      </w:r>
      <w:r w:rsidR="004D53D6" w:rsidRPr="000F5BBF">
        <w:t xml:space="preserve">across agencies and professionals </w:t>
      </w:r>
      <w:r w:rsidRPr="000F5BBF">
        <w:t>for the purpose of</w:t>
      </w:r>
      <w:r w:rsidR="00FC59F7" w:rsidRPr="000F5BBF">
        <w:t xml:space="preserve"> promoting the wellbeing, welfare and safety of children and young people.</w:t>
      </w:r>
      <w:r w:rsidRPr="000F5BBF">
        <w:t xml:space="preserve">  </w:t>
      </w:r>
    </w:p>
    <w:p w14:paraId="20535755" w14:textId="77777777" w:rsidR="004D53D6" w:rsidRPr="000F5BBF" w:rsidRDefault="00F8591F" w:rsidP="00966EAB">
      <w:pPr>
        <w:pStyle w:val="MOJNumPara"/>
        <w:numPr>
          <w:ilvl w:val="0"/>
          <w:numId w:val="0"/>
        </w:numPr>
        <w:spacing w:after="200"/>
        <w:ind w:right="-142"/>
        <w:rPr>
          <w:rFonts w:cs="Arial"/>
        </w:rPr>
      </w:pPr>
      <w:r w:rsidRPr="000F5BBF">
        <w:rPr>
          <w:rFonts w:cs="Arial"/>
        </w:rPr>
        <w:t xml:space="preserve">The options </w:t>
      </w:r>
      <w:r w:rsidR="001956F8" w:rsidRPr="000F5BBF">
        <w:rPr>
          <w:rFonts w:cs="Arial"/>
        </w:rPr>
        <w:t xml:space="preserve">in the RIS </w:t>
      </w:r>
      <w:r w:rsidRPr="000F5BBF">
        <w:rPr>
          <w:rFonts w:cs="Arial"/>
        </w:rPr>
        <w:t xml:space="preserve">are a response to significant weaknesses in the current </w:t>
      </w:r>
      <w:r w:rsidR="001956F8" w:rsidRPr="000F5BBF">
        <w:rPr>
          <w:rFonts w:cs="Arial"/>
        </w:rPr>
        <w:t xml:space="preserve">statutory </w:t>
      </w:r>
      <w:r w:rsidRPr="000F5BBF">
        <w:rPr>
          <w:rFonts w:cs="Arial"/>
        </w:rPr>
        <w:t>settings for information sharing about vulnerable children</w:t>
      </w:r>
      <w:r w:rsidR="001956F8" w:rsidRPr="000F5BBF">
        <w:rPr>
          <w:rFonts w:cs="Arial"/>
        </w:rPr>
        <w:t xml:space="preserve"> and young people</w:t>
      </w:r>
      <w:r w:rsidRPr="000F5BBF">
        <w:rPr>
          <w:rFonts w:cs="Arial"/>
        </w:rPr>
        <w:t>.</w:t>
      </w:r>
      <w:r w:rsidR="001956F8" w:rsidRPr="000F5BBF">
        <w:rPr>
          <w:rFonts w:cs="Arial"/>
        </w:rPr>
        <w:t xml:space="preserve">  </w:t>
      </w:r>
    </w:p>
    <w:p w14:paraId="384A1EB0" w14:textId="77777777" w:rsidR="004D53D6" w:rsidRPr="000F5BBF" w:rsidRDefault="004D53D6" w:rsidP="00966EAB">
      <w:pPr>
        <w:spacing w:before="120" w:after="120"/>
        <w:ind w:right="-142"/>
        <w:jc w:val="both"/>
        <w:rPr>
          <w:rFonts w:ascii="Calibri" w:hAnsi="Calibri" w:cs="Calibri"/>
          <w:sz w:val="23"/>
          <w:szCs w:val="23"/>
        </w:rPr>
      </w:pPr>
      <w:r w:rsidRPr="000F5BBF">
        <w:rPr>
          <w:rFonts w:ascii="Calibri" w:hAnsi="Calibri"/>
          <w:sz w:val="23"/>
          <w:szCs w:val="23"/>
        </w:rPr>
        <w:t xml:space="preserve">In March 2016, the Government considered the Modernising Child, Youth and Family Expert Panel’s final report and agreed major legislative reform is required to give effect to a proposed new operating model. </w:t>
      </w:r>
      <w:r w:rsidR="00DD02DB" w:rsidRPr="000F5BBF">
        <w:rPr>
          <w:rFonts w:ascii="Calibri" w:hAnsi="Calibri"/>
          <w:sz w:val="23"/>
          <w:szCs w:val="23"/>
        </w:rPr>
        <w:t xml:space="preserve"> </w:t>
      </w:r>
      <w:r w:rsidRPr="000F5BBF">
        <w:rPr>
          <w:rFonts w:ascii="Calibri" w:hAnsi="Calibri" w:cs="Calibri"/>
          <w:sz w:val="23"/>
          <w:szCs w:val="23"/>
        </w:rPr>
        <w:t>Legislative changes to give effect to the new operating model are being progressed in two stages:</w:t>
      </w:r>
    </w:p>
    <w:p w14:paraId="0E88125E" w14:textId="77777777" w:rsidR="004D53D6" w:rsidRPr="000F5BBF" w:rsidRDefault="004D53D6" w:rsidP="00F6637E">
      <w:pPr>
        <w:pStyle w:val="ListParagraph"/>
        <w:numPr>
          <w:ilvl w:val="0"/>
          <w:numId w:val="15"/>
        </w:numPr>
        <w:spacing w:before="120" w:after="120"/>
        <w:ind w:left="357" w:right="-142" w:hanging="357"/>
        <w:contextualSpacing w:val="0"/>
        <w:jc w:val="both"/>
        <w:rPr>
          <w:rFonts w:ascii="Calibri" w:hAnsi="Calibri" w:cs="Calibri"/>
          <w:sz w:val="23"/>
          <w:szCs w:val="23"/>
        </w:rPr>
      </w:pPr>
      <w:r w:rsidRPr="000F5BBF">
        <w:rPr>
          <w:rFonts w:ascii="Calibri" w:hAnsi="Calibri" w:cs="Calibri"/>
          <w:sz w:val="23"/>
          <w:szCs w:val="23"/>
        </w:rPr>
        <w:t xml:space="preserve">Stage One: the Children, Young Persons, and Their Families (Advocacy, Workforce, and Age Settings) Amendment Bill (Bill No 1). Bill No 1 was introduced and referred to the Social Services Committee on 15 June 2016. </w:t>
      </w:r>
    </w:p>
    <w:p w14:paraId="15355E1E" w14:textId="77777777" w:rsidR="004D53D6" w:rsidRPr="000F5BBF" w:rsidRDefault="004D53D6" w:rsidP="00F6637E">
      <w:pPr>
        <w:pStyle w:val="ListParagraph"/>
        <w:numPr>
          <w:ilvl w:val="0"/>
          <w:numId w:val="15"/>
        </w:numPr>
        <w:spacing w:before="120" w:after="120"/>
        <w:ind w:left="357" w:right="-142" w:hanging="357"/>
        <w:contextualSpacing w:val="0"/>
        <w:jc w:val="both"/>
        <w:rPr>
          <w:rFonts w:ascii="Calibri" w:hAnsi="Calibri" w:cs="Calibri"/>
          <w:sz w:val="23"/>
          <w:szCs w:val="23"/>
        </w:rPr>
      </w:pPr>
      <w:r w:rsidRPr="000F5BBF">
        <w:rPr>
          <w:rFonts w:ascii="Calibri" w:hAnsi="Calibri" w:cs="Calibri"/>
          <w:sz w:val="23"/>
          <w:szCs w:val="23"/>
        </w:rPr>
        <w:t>Stage Two: consists of a more complex and wide-ranging set of legislative reforms to give effect to the new operating model. These are to be included in a second Bill (Bill No 2) expected to be introduced into the House in November 2016.</w:t>
      </w:r>
    </w:p>
    <w:p w14:paraId="3B6860B1" w14:textId="77777777" w:rsidR="004D53D6" w:rsidRPr="000F5BBF" w:rsidRDefault="004D53D6" w:rsidP="00966EAB">
      <w:pPr>
        <w:spacing w:before="200" w:after="120"/>
        <w:ind w:right="-142"/>
        <w:jc w:val="both"/>
        <w:rPr>
          <w:rFonts w:ascii="Calibri" w:hAnsi="Calibri" w:cs="Calibri"/>
          <w:sz w:val="23"/>
          <w:szCs w:val="23"/>
        </w:rPr>
      </w:pPr>
      <w:r w:rsidRPr="000F5BBF">
        <w:rPr>
          <w:rFonts w:ascii="Calibri" w:hAnsi="Calibri" w:cs="Calibri"/>
          <w:sz w:val="23"/>
          <w:szCs w:val="23"/>
        </w:rPr>
        <w:t>The proposals in this RIS are part of the wide-ranging reform included within stage two of reform (Bill No 2). The proposals are expected to be considered by the Cabinet Social Policy Committee (SOC) in September 2016. T</w:t>
      </w:r>
      <w:r w:rsidR="00AE64BC" w:rsidRPr="000F5BBF">
        <w:rPr>
          <w:rFonts w:ascii="Calibri" w:hAnsi="Calibri" w:cs="Calibri"/>
          <w:sz w:val="23"/>
          <w:szCs w:val="23"/>
        </w:rPr>
        <w:t xml:space="preserve">he proposals </w:t>
      </w:r>
      <w:r w:rsidR="0019245A" w:rsidRPr="000F5BBF">
        <w:rPr>
          <w:rFonts w:ascii="Calibri" w:hAnsi="Calibri" w:cs="Calibri"/>
          <w:sz w:val="23"/>
          <w:szCs w:val="23"/>
        </w:rPr>
        <w:t>in this RIS cover</w:t>
      </w:r>
      <w:r w:rsidR="00AE64BC" w:rsidRPr="000F5BBF">
        <w:rPr>
          <w:rFonts w:ascii="Calibri" w:hAnsi="Calibri" w:cs="Calibri"/>
          <w:sz w:val="23"/>
          <w:szCs w:val="23"/>
        </w:rPr>
        <w:t xml:space="preserve"> two primary areas of legislative reform</w:t>
      </w:r>
      <w:r w:rsidR="0019245A" w:rsidRPr="000F5BBF">
        <w:rPr>
          <w:rFonts w:ascii="Calibri" w:hAnsi="Calibri" w:cs="Calibri"/>
          <w:sz w:val="23"/>
          <w:szCs w:val="23"/>
        </w:rPr>
        <w:t xml:space="preserve">: </w:t>
      </w:r>
    </w:p>
    <w:p w14:paraId="2E523E31" w14:textId="77777777" w:rsidR="0019245A" w:rsidRPr="000F5BBF" w:rsidRDefault="00A71FB4" w:rsidP="00F6637E">
      <w:pPr>
        <w:pStyle w:val="ListParagraph"/>
        <w:numPr>
          <w:ilvl w:val="0"/>
          <w:numId w:val="15"/>
        </w:numPr>
        <w:spacing w:before="120" w:after="120"/>
        <w:ind w:left="357" w:right="-142" w:hanging="357"/>
        <w:contextualSpacing w:val="0"/>
        <w:jc w:val="both"/>
        <w:rPr>
          <w:rFonts w:ascii="Calibri" w:hAnsi="Calibri" w:cs="Calibri"/>
          <w:sz w:val="23"/>
          <w:szCs w:val="23"/>
        </w:rPr>
      </w:pPr>
      <w:r>
        <w:rPr>
          <w:rFonts w:ascii="Calibri" w:hAnsi="Calibri" w:cs="Calibri"/>
          <w:sz w:val="23"/>
          <w:szCs w:val="23"/>
        </w:rPr>
        <w:t>T</w:t>
      </w:r>
      <w:r w:rsidR="0019245A" w:rsidRPr="000F5BBF">
        <w:rPr>
          <w:rFonts w:ascii="Calibri" w:hAnsi="Calibri" w:cs="Calibri"/>
          <w:sz w:val="23"/>
          <w:szCs w:val="23"/>
        </w:rPr>
        <w:t xml:space="preserve">he powers available to the </w:t>
      </w:r>
      <w:r w:rsidR="0019245A" w:rsidRPr="000F5BBF">
        <w:rPr>
          <w:rFonts w:ascii="Calibri" w:hAnsi="Calibri" w:cs="Arial"/>
          <w:sz w:val="23"/>
          <w:szCs w:val="23"/>
        </w:rPr>
        <w:t>Ministry for Vulnerable Children, Oranga Tamariki</w:t>
      </w:r>
      <w:r w:rsidR="0019245A" w:rsidRPr="000F5BBF">
        <w:rPr>
          <w:rFonts w:ascii="Calibri" w:hAnsi="Calibri" w:cs="Calibri"/>
          <w:sz w:val="23"/>
          <w:szCs w:val="23"/>
        </w:rPr>
        <w:t xml:space="preserve">  when responding to reports of con</w:t>
      </w:r>
      <w:r w:rsidR="002904CC" w:rsidRPr="000F5BBF">
        <w:rPr>
          <w:rFonts w:ascii="Calibri" w:hAnsi="Calibri" w:cs="Calibri"/>
          <w:sz w:val="23"/>
          <w:szCs w:val="23"/>
        </w:rPr>
        <w:t>c</w:t>
      </w:r>
      <w:r w:rsidR="0019245A" w:rsidRPr="000F5BBF">
        <w:rPr>
          <w:rFonts w:ascii="Calibri" w:hAnsi="Calibri" w:cs="Calibri"/>
          <w:sz w:val="23"/>
          <w:szCs w:val="23"/>
        </w:rPr>
        <w:t>ern unde</w:t>
      </w:r>
      <w:r w:rsidR="002904CC" w:rsidRPr="000F5BBF">
        <w:rPr>
          <w:rFonts w:ascii="Calibri" w:hAnsi="Calibri" w:cs="Calibri"/>
          <w:sz w:val="23"/>
          <w:szCs w:val="23"/>
        </w:rPr>
        <w:t>r</w:t>
      </w:r>
      <w:r w:rsidR="0019245A" w:rsidRPr="000F5BBF">
        <w:rPr>
          <w:rFonts w:ascii="Calibri" w:hAnsi="Calibri" w:cs="Calibri"/>
          <w:sz w:val="23"/>
          <w:szCs w:val="23"/>
        </w:rPr>
        <w:t xml:space="preserve"> section 15 of the </w:t>
      </w:r>
      <w:r w:rsidR="002904CC" w:rsidRPr="000F5BBF">
        <w:rPr>
          <w:rFonts w:ascii="Calibri" w:hAnsi="Calibri" w:cs="Arial"/>
          <w:sz w:val="23"/>
          <w:szCs w:val="23"/>
        </w:rPr>
        <w:t>Children, Young Person</w:t>
      </w:r>
      <w:r w:rsidR="00AE64BC" w:rsidRPr="000F5BBF">
        <w:rPr>
          <w:rFonts w:ascii="Calibri" w:hAnsi="Calibri" w:cs="Arial"/>
          <w:sz w:val="23"/>
          <w:szCs w:val="23"/>
        </w:rPr>
        <w:t>s and Their Families Act 1989</w:t>
      </w:r>
    </w:p>
    <w:p w14:paraId="2428BA1D" w14:textId="77777777" w:rsidR="002904CC" w:rsidRPr="000F5BBF" w:rsidRDefault="002904CC" w:rsidP="00F6637E">
      <w:pPr>
        <w:pStyle w:val="ReportBody"/>
        <w:numPr>
          <w:ilvl w:val="0"/>
          <w:numId w:val="15"/>
        </w:numPr>
        <w:ind w:left="357" w:right="-142" w:hanging="357"/>
        <w:jc w:val="both"/>
        <w:rPr>
          <w:rFonts w:ascii="Calibri" w:hAnsi="Calibri"/>
          <w:color w:val="auto"/>
          <w:sz w:val="23"/>
          <w:szCs w:val="23"/>
        </w:rPr>
      </w:pPr>
      <w:proofErr w:type="gramStart"/>
      <w:r w:rsidRPr="000F5BBF">
        <w:rPr>
          <w:rFonts w:ascii="Calibri" w:hAnsi="Calibri"/>
          <w:color w:val="auto"/>
          <w:sz w:val="23"/>
          <w:szCs w:val="23"/>
        </w:rPr>
        <w:t>the</w:t>
      </w:r>
      <w:proofErr w:type="gramEnd"/>
      <w:r w:rsidRPr="000F5BBF">
        <w:rPr>
          <w:rFonts w:ascii="Calibri" w:hAnsi="Calibri"/>
          <w:color w:val="auto"/>
          <w:sz w:val="23"/>
          <w:szCs w:val="23"/>
        </w:rPr>
        <w:t xml:space="preserve"> </w:t>
      </w:r>
      <w:r w:rsidR="00822E3D" w:rsidRPr="000F5BBF">
        <w:rPr>
          <w:rFonts w:ascii="Calibri" w:hAnsi="Calibri"/>
          <w:color w:val="auto"/>
          <w:sz w:val="23"/>
          <w:szCs w:val="23"/>
        </w:rPr>
        <w:t xml:space="preserve">legal authorisation of two-way information exchanges between agencies and professionals </w:t>
      </w:r>
      <w:r w:rsidRPr="000F5BBF">
        <w:rPr>
          <w:rFonts w:ascii="Calibri" w:hAnsi="Calibri"/>
          <w:color w:val="auto"/>
          <w:sz w:val="23"/>
          <w:szCs w:val="23"/>
        </w:rPr>
        <w:t>with responsibilities for the welfare and safe</w:t>
      </w:r>
      <w:r w:rsidR="00822E3D" w:rsidRPr="000F5BBF">
        <w:rPr>
          <w:rFonts w:ascii="Calibri" w:hAnsi="Calibri"/>
          <w:color w:val="auto"/>
          <w:sz w:val="23"/>
          <w:szCs w:val="23"/>
        </w:rPr>
        <w:t xml:space="preserve">ty of children and young people.  </w:t>
      </w:r>
    </w:p>
    <w:p w14:paraId="4978BBFB" w14:textId="77777777" w:rsidR="00A62D65" w:rsidRPr="00A62D65" w:rsidRDefault="00466738" w:rsidP="00466738">
      <w:pPr>
        <w:spacing w:before="200" w:after="0" w:line="240" w:lineRule="auto"/>
        <w:ind w:right="-142"/>
        <w:jc w:val="both"/>
        <w:rPr>
          <w:rFonts w:ascii="Calibri" w:hAnsi="Calibri"/>
          <w:sz w:val="23"/>
          <w:szCs w:val="23"/>
        </w:rPr>
      </w:pPr>
      <w:r>
        <w:rPr>
          <w:rFonts w:ascii="Calibri" w:hAnsi="Calibri"/>
          <w:sz w:val="23"/>
          <w:szCs w:val="23"/>
        </w:rPr>
        <w:t xml:space="preserve">In light of the interests at stake, current legal settings, the safeguards built into these proposals, and the experience with a similar regime in New South Wales, we are satisfied that the social costs of the framework – which will be primarily </w:t>
      </w:r>
      <w:r w:rsidR="00466F2F">
        <w:rPr>
          <w:rFonts w:ascii="Calibri" w:hAnsi="Calibri"/>
          <w:sz w:val="23"/>
          <w:szCs w:val="23"/>
        </w:rPr>
        <w:t xml:space="preserve">encroachments on </w:t>
      </w:r>
      <w:r>
        <w:rPr>
          <w:rFonts w:ascii="Calibri" w:hAnsi="Calibri"/>
          <w:sz w:val="23"/>
          <w:szCs w:val="23"/>
        </w:rPr>
        <w:t xml:space="preserve">privacy – are justified and significantly outweighed by the </w:t>
      </w:r>
      <w:r w:rsidRPr="00A62D65">
        <w:rPr>
          <w:rFonts w:ascii="Calibri" w:hAnsi="Calibri"/>
          <w:sz w:val="23"/>
          <w:szCs w:val="23"/>
        </w:rPr>
        <w:t xml:space="preserve">social benefits the framework facilitates.  These benefits </w:t>
      </w:r>
      <w:r w:rsidR="00466F2F">
        <w:rPr>
          <w:rFonts w:ascii="Calibri" w:hAnsi="Calibri"/>
          <w:sz w:val="23"/>
          <w:szCs w:val="23"/>
        </w:rPr>
        <w:t xml:space="preserve">will, over time, </w:t>
      </w:r>
      <w:r w:rsidRPr="00A62D65">
        <w:rPr>
          <w:rFonts w:ascii="Calibri" w:hAnsi="Calibri"/>
          <w:sz w:val="23"/>
          <w:szCs w:val="23"/>
        </w:rPr>
        <w:t>include</w:t>
      </w:r>
      <w:r w:rsidR="00466F2F">
        <w:rPr>
          <w:rFonts w:ascii="Calibri" w:hAnsi="Calibri"/>
          <w:sz w:val="23"/>
          <w:szCs w:val="23"/>
        </w:rPr>
        <w:t xml:space="preserve"> </w:t>
      </w:r>
      <w:r w:rsidRPr="00A62D65">
        <w:rPr>
          <w:rFonts w:ascii="Calibri" w:hAnsi="Calibri"/>
          <w:sz w:val="23"/>
          <w:szCs w:val="23"/>
        </w:rPr>
        <w:t>the reduced placement of children into statutory care or protection, which can cause considerable distress for children and their families.</w:t>
      </w:r>
      <w:r>
        <w:rPr>
          <w:rFonts w:ascii="Calibri" w:hAnsi="Calibri"/>
          <w:sz w:val="23"/>
          <w:szCs w:val="23"/>
        </w:rPr>
        <w:t xml:space="preserve">  </w:t>
      </w:r>
    </w:p>
    <w:p w14:paraId="37D07708" w14:textId="77777777" w:rsidR="004D53D6" w:rsidRPr="00A62D65" w:rsidRDefault="004D53D6" w:rsidP="00966EAB">
      <w:pPr>
        <w:spacing w:before="200" w:after="0" w:line="240" w:lineRule="auto"/>
        <w:ind w:right="-142"/>
        <w:rPr>
          <w:rFonts w:ascii="Calibri" w:hAnsi="Calibri" w:cs="Calibri"/>
          <w:sz w:val="23"/>
          <w:szCs w:val="23"/>
        </w:rPr>
      </w:pPr>
      <w:r w:rsidRPr="00A62D65">
        <w:rPr>
          <w:rFonts w:ascii="Calibri" w:hAnsi="Calibri" w:cs="Calibri"/>
          <w:sz w:val="23"/>
          <w:szCs w:val="23"/>
        </w:rPr>
        <w:t xml:space="preserve">The key constraints around the analysis presented in this </w:t>
      </w:r>
      <w:r w:rsidR="00B86353" w:rsidRPr="00A62D65">
        <w:rPr>
          <w:rFonts w:ascii="Calibri" w:hAnsi="Calibri" w:cs="Calibri"/>
          <w:sz w:val="23"/>
          <w:szCs w:val="23"/>
        </w:rPr>
        <w:t xml:space="preserve">RIS </w:t>
      </w:r>
      <w:r w:rsidRPr="00A62D65">
        <w:rPr>
          <w:rFonts w:ascii="Calibri" w:hAnsi="Calibri" w:cs="Calibri"/>
          <w:sz w:val="23"/>
          <w:szCs w:val="23"/>
        </w:rPr>
        <w:t xml:space="preserve">are: </w:t>
      </w:r>
    </w:p>
    <w:p w14:paraId="5373487E" w14:textId="77777777" w:rsidR="004D53D6" w:rsidRPr="000F5BBF" w:rsidRDefault="004D53D6" w:rsidP="00F6637E">
      <w:pPr>
        <w:pStyle w:val="ListParagraph"/>
        <w:numPr>
          <w:ilvl w:val="0"/>
          <w:numId w:val="15"/>
        </w:numPr>
        <w:spacing w:before="180" w:after="120" w:line="240" w:lineRule="auto"/>
        <w:ind w:left="357" w:right="-142" w:hanging="357"/>
        <w:contextualSpacing w:val="0"/>
        <w:jc w:val="both"/>
        <w:rPr>
          <w:rFonts w:ascii="Calibri" w:hAnsi="Calibri" w:cs="Calibri"/>
          <w:sz w:val="23"/>
          <w:szCs w:val="23"/>
        </w:rPr>
      </w:pPr>
      <w:r w:rsidRPr="000F5BBF">
        <w:rPr>
          <w:rFonts w:ascii="Calibri" w:hAnsi="Calibri" w:cs="Calibri"/>
          <w:sz w:val="23"/>
          <w:szCs w:val="23"/>
        </w:rPr>
        <w:t>The analysis has been undertaken ahead of detailed design work</w:t>
      </w:r>
      <w:r w:rsidR="001956F8" w:rsidRPr="000F5BBF">
        <w:rPr>
          <w:rFonts w:ascii="Calibri" w:hAnsi="Calibri" w:cs="Calibri"/>
          <w:sz w:val="23"/>
          <w:szCs w:val="23"/>
        </w:rPr>
        <w:t xml:space="preserve"> to implement the legislative reforms</w:t>
      </w:r>
      <w:r w:rsidRPr="000F5BBF">
        <w:rPr>
          <w:rFonts w:ascii="Calibri" w:hAnsi="Calibri" w:cs="Calibri"/>
          <w:sz w:val="23"/>
          <w:szCs w:val="23"/>
        </w:rPr>
        <w:t xml:space="preserve">. This </w:t>
      </w:r>
      <w:r w:rsidR="001956F8" w:rsidRPr="000F5BBF">
        <w:rPr>
          <w:rFonts w:ascii="Calibri" w:hAnsi="Calibri" w:cs="Calibri"/>
          <w:sz w:val="23"/>
          <w:szCs w:val="23"/>
        </w:rPr>
        <w:t xml:space="preserve">may create some </w:t>
      </w:r>
      <w:r w:rsidRPr="000F5BBF">
        <w:rPr>
          <w:rFonts w:ascii="Calibri" w:hAnsi="Calibri" w:cs="Calibri"/>
          <w:sz w:val="23"/>
          <w:szCs w:val="23"/>
        </w:rPr>
        <w:t xml:space="preserve">risk of creating </w:t>
      </w:r>
      <w:r w:rsidR="00822E3D" w:rsidRPr="000F5BBF">
        <w:rPr>
          <w:rFonts w:ascii="Calibri" w:hAnsi="Calibri" w:cs="Calibri"/>
          <w:sz w:val="23"/>
          <w:szCs w:val="23"/>
        </w:rPr>
        <w:t xml:space="preserve">disproportionate </w:t>
      </w:r>
      <w:r w:rsidRPr="000F5BBF">
        <w:rPr>
          <w:rFonts w:ascii="Calibri" w:hAnsi="Calibri" w:cs="Calibri"/>
          <w:sz w:val="23"/>
          <w:szCs w:val="23"/>
        </w:rPr>
        <w:t>degrees of flexibility</w:t>
      </w:r>
      <w:r w:rsidR="001956F8" w:rsidRPr="000F5BBF">
        <w:rPr>
          <w:rFonts w:ascii="Calibri" w:hAnsi="Calibri" w:cs="Calibri"/>
          <w:sz w:val="23"/>
          <w:szCs w:val="23"/>
        </w:rPr>
        <w:t xml:space="preserve"> in information sharing</w:t>
      </w:r>
      <w:r w:rsidRPr="000F5BBF">
        <w:rPr>
          <w:rFonts w:ascii="Calibri" w:hAnsi="Calibri" w:cs="Calibri"/>
          <w:sz w:val="23"/>
          <w:szCs w:val="23"/>
        </w:rPr>
        <w:t xml:space="preserve">; however, the options </w:t>
      </w:r>
      <w:r w:rsidR="00822E3D" w:rsidRPr="000F5BBF">
        <w:rPr>
          <w:rFonts w:ascii="Calibri" w:hAnsi="Calibri" w:cs="Calibri"/>
          <w:sz w:val="23"/>
          <w:szCs w:val="23"/>
        </w:rPr>
        <w:t xml:space="preserve">include </w:t>
      </w:r>
      <w:r w:rsidR="001956F8" w:rsidRPr="000F5BBF">
        <w:rPr>
          <w:rFonts w:ascii="Calibri" w:hAnsi="Calibri" w:cs="Calibri"/>
          <w:sz w:val="23"/>
          <w:szCs w:val="23"/>
        </w:rPr>
        <w:t xml:space="preserve">strong </w:t>
      </w:r>
      <w:r w:rsidR="00822E3D" w:rsidRPr="000F5BBF">
        <w:rPr>
          <w:rFonts w:ascii="Calibri" w:hAnsi="Calibri" w:cs="Calibri"/>
          <w:sz w:val="23"/>
          <w:szCs w:val="23"/>
        </w:rPr>
        <w:t xml:space="preserve">safeguards to protect privacy interests, and they </w:t>
      </w:r>
      <w:r w:rsidRPr="000F5BBF">
        <w:rPr>
          <w:rFonts w:ascii="Calibri" w:hAnsi="Calibri" w:cs="Calibri"/>
          <w:sz w:val="23"/>
          <w:szCs w:val="23"/>
        </w:rPr>
        <w:t>can be adapted over time</w:t>
      </w:r>
      <w:r w:rsidR="00AE64BC" w:rsidRPr="000F5BBF">
        <w:rPr>
          <w:rFonts w:ascii="Calibri" w:hAnsi="Calibri" w:cs="Calibri"/>
          <w:sz w:val="23"/>
          <w:szCs w:val="23"/>
        </w:rPr>
        <w:t xml:space="preserve"> through the issuance o</w:t>
      </w:r>
      <w:r w:rsidR="00A71FB4">
        <w:rPr>
          <w:rFonts w:ascii="Calibri" w:hAnsi="Calibri" w:cs="Calibri"/>
          <w:sz w:val="23"/>
          <w:szCs w:val="23"/>
        </w:rPr>
        <w:t xml:space="preserve">f guidance by the Minister responsible for </w:t>
      </w:r>
      <w:proofErr w:type="gramStart"/>
      <w:r w:rsidR="00A71FB4">
        <w:rPr>
          <w:rFonts w:ascii="Calibri" w:hAnsi="Calibri" w:cs="Calibri"/>
          <w:sz w:val="23"/>
          <w:szCs w:val="23"/>
        </w:rPr>
        <w:t xml:space="preserve">the  </w:t>
      </w:r>
      <w:r w:rsidR="00A71FB4" w:rsidRPr="000F5BBF">
        <w:rPr>
          <w:rFonts w:ascii="Calibri" w:hAnsi="Calibri" w:cs="Arial"/>
          <w:sz w:val="23"/>
          <w:szCs w:val="23"/>
        </w:rPr>
        <w:t>Ministry</w:t>
      </w:r>
      <w:proofErr w:type="gramEnd"/>
      <w:r w:rsidR="00A71FB4" w:rsidRPr="000F5BBF">
        <w:rPr>
          <w:rFonts w:ascii="Calibri" w:hAnsi="Calibri" w:cs="Arial"/>
          <w:sz w:val="23"/>
          <w:szCs w:val="23"/>
        </w:rPr>
        <w:t xml:space="preserve"> for Vulnerable Children, Oranga Tamariki</w:t>
      </w:r>
      <w:r w:rsidR="00466738">
        <w:rPr>
          <w:rFonts w:ascii="Calibri" w:hAnsi="Calibri" w:cs="Calibri"/>
          <w:sz w:val="23"/>
          <w:szCs w:val="23"/>
        </w:rPr>
        <w:t>.</w:t>
      </w:r>
    </w:p>
    <w:p w14:paraId="08B0FAC5" w14:textId="77777777" w:rsidR="00466738" w:rsidRPr="00466738" w:rsidRDefault="001956F8" w:rsidP="00F6637E">
      <w:pPr>
        <w:pStyle w:val="ListParagraph"/>
        <w:numPr>
          <w:ilvl w:val="0"/>
          <w:numId w:val="15"/>
        </w:numPr>
        <w:spacing w:before="180" w:after="120" w:line="240" w:lineRule="auto"/>
        <w:ind w:left="357" w:right="-142" w:hanging="357"/>
        <w:contextualSpacing w:val="0"/>
        <w:jc w:val="both"/>
        <w:rPr>
          <w:rFonts w:ascii="Calibri" w:hAnsi="Calibri" w:cs="Calibri"/>
          <w:sz w:val="23"/>
          <w:szCs w:val="23"/>
        </w:rPr>
      </w:pPr>
      <w:r w:rsidRPr="000F5BBF">
        <w:rPr>
          <w:rFonts w:ascii="Calibri" w:hAnsi="Calibri" w:cs="Calibri"/>
          <w:sz w:val="23"/>
          <w:szCs w:val="23"/>
        </w:rPr>
        <w:t>In the absence of detailed design for the imple</w:t>
      </w:r>
      <w:r w:rsidR="00B86353" w:rsidRPr="000F5BBF">
        <w:rPr>
          <w:rFonts w:ascii="Calibri" w:hAnsi="Calibri" w:cs="Calibri"/>
          <w:sz w:val="23"/>
          <w:szCs w:val="23"/>
        </w:rPr>
        <w:t>mentation of the options</w:t>
      </w:r>
      <w:r w:rsidRPr="000F5BBF">
        <w:rPr>
          <w:rFonts w:ascii="Calibri" w:hAnsi="Calibri" w:cs="Calibri"/>
          <w:sz w:val="23"/>
          <w:szCs w:val="23"/>
        </w:rPr>
        <w:t xml:space="preserve"> only indicative costs can be provided at this time, based on the experience in New South Wales.  </w:t>
      </w:r>
      <w:r w:rsidRPr="000F5BBF">
        <w:rPr>
          <w:rFonts w:ascii="Calibri" w:hAnsi="Calibri" w:cs="Arial"/>
          <w:sz w:val="23"/>
          <w:szCs w:val="23"/>
        </w:rPr>
        <w:t xml:space="preserve">Further decisions on the reasonable costs for implementing the framework will be made during the development of the operating model for the </w:t>
      </w:r>
      <w:r w:rsidRPr="000F5BBF">
        <w:rPr>
          <w:rFonts w:ascii="Calibri" w:hAnsi="Calibri"/>
          <w:sz w:val="23"/>
          <w:szCs w:val="23"/>
        </w:rPr>
        <w:t>Ministry for Vulne</w:t>
      </w:r>
      <w:r w:rsidR="00466738">
        <w:rPr>
          <w:rFonts w:ascii="Calibri" w:hAnsi="Calibri"/>
          <w:sz w:val="23"/>
          <w:szCs w:val="23"/>
        </w:rPr>
        <w:t>rable Children, Oranga Tamariki.</w:t>
      </w:r>
    </w:p>
    <w:p w14:paraId="089107C0" w14:textId="77777777" w:rsidR="00466738" w:rsidRPr="00466738" w:rsidRDefault="00466738" w:rsidP="00F6637E">
      <w:pPr>
        <w:pStyle w:val="ListParagraph"/>
        <w:numPr>
          <w:ilvl w:val="0"/>
          <w:numId w:val="15"/>
        </w:numPr>
        <w:spacing w:before="180" w:after="120" w:line="240" w:lineRule="auto"/>
        <w:ind w:left="357" w:right="-142" w:hanging="357"/>
        <w:contextualSpacing w:val="0"/>
        <w:jc w:val="both"/>
        <w:rPr>
          <w:rFonts w:ascii="Calibri" w:hAnsi="Calibri" w:cs="Calibri"/>
          <w:sz w:val="23"/>
          <w:szCs w:val="23"/>
        </w:rPr>
      </w:pPr>
      <w:r>
        <w:rPr>
          <w:rFonts w:ascii="Calibri" w:hAnsi="Calibri"/>
          <w:sz w:val="23"/>
          <w:szCs w:val="23"/>
        </w:rPr>
        <w:lastRenderedPageBreak/>
        <w:t>We do not have access to strong empirical evidence about the number of children and families that may be affected by the proposal, or the value they attach to their privacy.</w:t>
      </w:r>
    </w:p>
    <w:p w14:paraId="3EE2FC5C" w14:textId="77777777" w:rsidR="004D53D6" w:rsidRPr="000F5BBF" w:rsidRDefault="004D53D6" w:rsidP="00F6637E">
      <w:pPr>
        <w:pStyle w:val="ReportBody"/>
        <w:numPr>
          <w:ilvl w:val="0"/>
          <w:numId w:val="15"/>
        </w:numPr>
        <w:spacing w:before="180"/>
        <w:ind w:left="357" w:right="-142" w:hanging="357"/>
        <w:rPr>
          <w:rFonts w:ascii="Calibri" w:hAnsi="Calibri"/>
          <w:color w:val="auto"/>
          <w:sz w:val="23"/>
          <w:szCs w:val="23"/>
        </w:rPr>
      </w:pPr>
      <w:r w:rsidRPr="000F5BBF">
        <w:rPr>
          <w:rFonts w:ascii="Calibri" w:hAnsi="Calibri"/>
          <w:color w:val="auto"/>
          <w:sz w:val="23"/>
          <w:szCs w:val="23"/>
        </w:rPr>
        <w:t>Agency consultation has been undertaken on the impacts on Government agencies as part of the development of this RIS, but within limited timeframes.</w:t>
      </w:r>
    </w:p>
    <w:p w14:paraId="24F82453" w14:textId="77777777" w:rsidR="0019245A" w:rsidRPr="000F5BBF" w:rsidRDefault="002904CC" w:rsidP="00F6637E">
      <w:pPr>
        <w:pStyle w:val="ReportBody"/>
        <w:numPr>
          <w:ilvl w:val="0"/>
          <w:numId w:val="15"/>
        </w:numPr>
        <w:spacing w:before="180"/>
        <w:ind w:left="357" w:right="-142" w:hanging="357"/>
        <w:rPr>
          <w:rFonts w:ascii="Calibri" w:hAnsi="Calibri"/>
          <w:color w:val="auto"/>
          <w:sz w:val="23"/>
          <w:szCs w:val="23"/>
        </w:rPr>
      </w:pPr>
      <w:r w:rsidRPr="000F5BBF">
        <w:rPr>
          <w:rFonts w:ascii="Calibri" w:hAnsi="Calibri"/>
          <w:color w:val="auto"/>
          <w:sz w:val="23"/>
          <w:szCs w:val="23"/>
        </w:rPr>
        <w:t xml:space="preserve">There has been no engagement with </w:t>
      </w:r>
      <w:r w:rsidR="00822E3D" w:rsidRPr="000F5BBF">
        <w:rPr>
          <w:rFonts w:ascii="Calibri" w:hAnsi="Calibri"/>
          <w:color w:val="auto"/>
          <w:sz w:val="23"/>
          <w:szCs w:val="23"/>
        </w:rPr>
        <w:t>no</w:t>
      </w:r>
      <w:r w:rsidRPr="000F5BBF">
        <w:rPr>
          <w:rFonts w:ascii="Calibri" w:hAnsi="Calibri"/>
          <w:color w:val="auto"/>
          <w:sz w:val="23"/>
          <w:szCs w:val="23"/>
        </w:rPr>
        <w:t xml:space="preserve">n-governmental agencies and professional bodies impacted by the reforms, though engagement is planned before legislation is introduced into the House. </w:t>
      </w:r>
    </w:p>
    <w:p w14:paraId="5E9641E4" w14:textId="77777777" w:rsidR="00DD02DB" w:rsidRPr="000F5BBF" w:rsidRDefault="00DD02DB" w:rsidP="00966EAB">
      <w:pPr>
        <w:pStyle w:val="Text"/>
        <w:spacing w:before="0" w:after="240" w:line="280" w:lineRule="atLeast"/>
        <w:ind w:right="-142"/>
        <w:jc w:val="left"/>
        <w:rPr>
          <w:rFonts w:ascii="Calibri" w:hAnsi="Calibri" w:cs="Arial"/>
          <w:b/>
          <w:sz w:val="24"/>
          <w:szCs w:val="24"/>
          <w:lang w:val="en-NZ"/>
        </w:rPr>
      </w:pPr>
    </w:p>
    <w:p w14:paraId="456ABB71" w14:textId="77777777" w:rsidR="00DD02DB" w:rsidRDefault="00DD02DB" w:rsidP="00966EAB">
      <w:pPr>
        <w:pStyle w:val="Text"/>
        <w:spacing w:before="0" w:after="240" w:line="280" w:lineRule="atLeast"/>
        <w:ind w:right="-142"/>
        <w:jc w:val="left"/>
        <w:rPr>
          <w:rFonts w:ascii="Calibri" w:hAnsi="Calibri" w:cs="Arial"/>
          <w:b/>
          <w:sz w:val="24"/>
          <w:szCs w:val="24"/>
          <w:lang w:val="en-NZ"/>
        </w:rPr>
      </w:pPr>
    </w:p>
    <w:p w14:paraId="2AA5C24E" w14:textId="77777777" w:rsidR="00914B76" w:rsidRPr="000F5BBF" w:rsidRDefault="00B61E00" w:rsidP="00A71FB4">
      <w:pPr>
        <w:pStyle w:val="Text"/>
        <w:spacing w:before="0" w:after="240" w:line="280" w:lineRule="atLeast"/>
        <w:ind w:left="284" w:right="-142"/>
        <w:jc w:val="left"/>
        <w:rPr>
          <w:rFonts w:ascii="Calibri" w:hAnsi="Calibri" w:cs="Arial"/>
          <w:b/>
          <w:sz w:val="24"/>
          <w:szCs w:val="24"/>
          <w:lang w:val="en-NZ"/>
        </w:rPr>
      </w:pPr>
      <w:r>
        <w:rPr>
          <w:rFonts w:ascii="Calibri" w:hAnsi="Calibri" w:cs="Arial"/>
          <w:b/>
          <w:noProof/>
          <w:sz w:val="24"/>
          <w:szCs w:val="24"/>
          <w:lang w:val="en-NZ" w:eastAsia="en-NZ"/>
        </w:rPr>
        <w:drawing>
          <wp:inline distT="0" distB="0" distL="0" distR="0" wp14:anchorId="435FA2E2" wp14:editId="46F891A4">
            <wp:extent cx="2094865" cy="62103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094865" cy="621030"/>
                    </a:xfrm>
                    <a:prstGeom prst="rect">
                      <a:avLst/>
                    </a:prstGeom>
                    <a:noFill/>
                    <a:ln w="9525">
                      <a:noFill/>
                      <a:miter lim="800000"/>
                      <a:headEnd/>
                      <a:tailEnd/>
                    </a:ln>
                  </pic:spPr>
                </pic:pic>
              </a:graphicData>
            </a:graphic>
          </wp:inline>
        </w:drawing>
      </w:r>
    </w:p>
    <w:p w14:paraId="341C0586" w14:textId="77777777" w:rsidR="00DD02DB" w:rsidRPr="00A71FB4" w:rsidRDefault="00DD02DB" w:rsidP="00A71FB4">
      <w:pPr>
        <w:pStyle w:val="Text"/>
        <w:tabs>
          <w:tab w:val="left" w:pos="4678"/>
          <w:tab w:val="left" w:pos="6663"/>
          <w:tab w:val="left" w:pos="8931"/>
        </w:tabs>
        <w:spacing w:before="0" w:line="240" w:lineRule="auto"/>
        <w:ind w:right="-142"/>
        <w:jc w:val="left"/>
        <w:rPr>
          <w:rFonts w:ascii="Calibri" w:hAnsi="Calibri" w:cs="Arial"/>
          <w:sz w:val="24"/>
          <w:szCs w:val="24"/>
          <w:u w:val="single"/>
          <w:lang w:val="en-NZ"/>
        </w:rPr>
      </w:pPr>
      <w:r w:rsidRPr="000F5BBF">
        <w:rPr>
          <w:rFonts w:ascii="Calibri" w:hAnsi="Calibri" w:cs="Arial"/>
          <w:b/>
          <w:sz w:val="24"/>
          <w:szCs w:val="24"/>
          <w:u w:val="single"/>
          <w:lang w:val="en-NZ"/>
        </w:rPr>
        <w:tab/>
      </w:r>
      <w:r w:rsidRPr="000F5BBF">
        <w:rPr>
          <w:rFonts w:ascii="Calibri" w:hAnsi="Calibri" w:cs="Arial"/>
          <w:b/>
          <w:sz w:val="24"/>
          <w:szCs w:val="24"/>
          <w:lang w:val="en-NZ"/>
        </w:rPr>
        <w:tab/>
      </w:r>
      <w:r w:rsidR="00180E93" w:rsidRPr="00A71FB4">
        <w:rPr>
          <w:rFonts w:ascii="Calibri" w:hAnsi="Calibri" w:cs="Arial"/>
          <w:sz w:val="24"/>
          <w:szCs w:val="24"/>
          <w:u w:val="single"/>
          <w:lang w:val="en-NZ"/>
        </w:rPr>
        <w:t>7 September 2016</w:t>
      </w:r>
    </w:p>
    <w:p w14:paraId="320CC1B1" w14:textId="77777777" w:rsidR="004B5C82" w:rsidRPr="000F5BBF" w:rsidRDefault="00DD02DB" w:rsidP="00966EAB">
      <w:pPr>
        <w:pStyle w:val="Text"/>
        <w:spacing w:before="0" w:after="60" w:line="280" w:lineRule="atLeast"/>
        <w:ind w:right="-142"/>
        <w:jc w:val="left"/>
        <w:rPr>
          <w:rFonts w:ascii="Calibri" w:hAnsi="Calibri" w:cs="Arial"/>
          <w:sz w:val="23"/>
          <w:szCs w:val="23"/>
          <w:lang w:val="en-NZ"/>
        </w:rPr>
      </w:pPr>
      <w:r w:rsidRPr="000F5BBF">
        <w:rPr>
          <w:rFonts w:ascii="Calibri" w:hAnsi="Calibri" w:cs="Arial"/>
          <w:sz w:val="23"/>
          <w:szCs w:val="23"/>
          <w:lang w:val="en-NZ"/>
        </w:rPr>
        <w:t xml:space="preserve">Sarah </w:t>
      </w:r>
      <w:proofErr w:type="spellStart"/>
      <w:r w:rsidRPr="000F5BBF">
        <w:rPr>
          <w:rFonts w:ascii="Calibri" w:hAnsi="Calibri" w:cs="Arial"/>
          <w:sz w:val="23"/>
          <w:szCs w:val="23"/>
          <w:lang w:val="en-NZ"/>
        </w:rPr>
        <w:t>Kerkin</w:t>
      </w:r>
      <w:proofErr w:type="spellEnd"/>
      <w:r w:rsidRPr="000F5BBF">
        <w:rPr>
          <w:rFonts w:ascii="Calibri" w:hAnsi="Calibri" w:cs="Arial"/>
          <w:sz w:val="23"/>
          <w:szCs w:val="23"/>
          <w:lang w:val="en-NZ"/>
        </w:rPr>
        <w:tab/>
      </w:r>
      <w:r w:rsidRPr="000F5BBF">
        <w:rPr>
          <w:rFonts w:ascii="Calibri" w:hAnsi="Calibri" w:cs="Arial"/>
          <w:sz w:val="23"/>
          <w:szCs w:val="23"/>
          <w:lang w:val="en-NZ"/>
        </w:rPr>
        <w:tab/>
      </w:r>
      <w:r w:rsidRPr="000F5BBF">
        <w:rPr>
          <w:rFonts w:ascii="Calibri" w:hAnsi="Calibri" w:cs="Arial"/>
          <w:sz w:val="23"/>
          <w:szCs w:val="23"/>
          <w:lang w:val="en-NZ"/>
        </w:rPr>
        <w:tab/>
      </w:r>
      <w:r w:rsidRPr="000F5BBF">
        <w:rPr>
          <w:rFonts w:ascii="Calibri" w:hAnsi="Calibri" w:cs="Arial"/>
          <w:sz w:val="23"/>
          <w:szCs w:val="23"/>
          <w:lang w:val="en-NZ"/>
        </w:rPr>
        <w:tab/>
      </w:r>
      <w:r w:rsidRPr="000F5BBF">
        <w:rPr>
          <w:rFonts w:ascii="Calibri" w:hAnsi="Calibri" w:cs="Arial"/>
          <w:sz w:val="23"/>
          <w:szCs w:val="23"/>
          <w:lang w:val="en-NZ"/>
        </w:rPr>
        <w:tab/>
      </w:r>
      <w:r w:rsidRPr="000F5BBF">
        <w:rPr>
          <w:rFonts w:ascii="Calibri" w:hAnsi="Calibri" w:cs="Arial"/>
          <w:sz w:val="23"/>
          <w:szCs w:val="23"/>
          <w:lang w:val="en-NZ"/>
        </w:rPr>
        <w:tab/>
      </w:r>
      <w:r w:rsidRPr="000F5BBF">
        <w:rPr>
          <w:rFonts w:ascii="Calibri" w:hAnsi="Calibri" w:cs="Arial"/>
          <w:sz w:val="23"/>
          <w:szCs w:val="23"/>
          <w:lang w:val="en-NZ"/>
        </w:rPr>
        <w:tab/>
      </w:r>
      <w:r w:rsidRPr="000F5BBF">
        <w:rPr>
          <w:rFonts w:ascii="Calibri" w:hAnsi="Calibri" w:cs="Arial"/>
          <w:sz w:val="23"/>
          <w:szCs w:val="23"/>
          <w:lang w:val="en-NZ"/>
        </w:rPr>
        <w:tab/>
      </w:r>
      <w:r w:rsidRPr="000F5BBF">
        <w:rPr>
          <w:rFonts w:ascii="Calibri" w:hAnsi="Calibri" w:cs="Arial"/>
          <w:sz w:val="23"/>
          <w:szCs w:val="23"/>
          <w:lang w:val="en-NZ"/>
        </w:rPr>
        <w:tab/>
      </w:r>
      <w:r w:rsidRPr="000F5BBF">
        <w:rPr>
          <w:rFonts w:ascii="Calibri" w:hAnsi="Calibri" w:cs="Arial"/>
          <w:sz w:val="23"/>
          <w:szCs w:val="23"/>
          <w:lang w:val="en-NZ"/>
        </w:rPr>
        <w:tab/>
      </w:r>
      <w:r w:rsidRPr="000F5BBF">
        <w:rPr>
          <w:rFonts w:ascii="Calibri" w:hAnsi="Calibri" w:cs="Arial"/>
          <w:sz w:val="23"/>
          <w:szCs w:val="23"/>
          <w:lang w:val="en-NZ"/>
        </w:rPr>
        <w:tab/>
      </w:r>
      <w:r w:rsidR="00A71FB4">
        <w:rPr>
          <w:rFonts w:ascii="Calibri" w:hAnsi="Calibri" w:cs="Arial"/>
          <w:sz w:val="23"/>
          <w:szCs w:val="23"/>
          <w:lang w:val="en-NZ"/>
        </w:rPr>
        <w:t>Date</w:t>
      </w:r>
      <w:r w:rsidR="00890C61" w:rsidRPr="000F5BBF">
        <w:rPr>
          <w:rFonts w:ascii="Calibri" w:hAnsi="Calibri" w:cs="Arial"/>
          <w:sz w:val="23"/>
          <w:szCs w:val="23"/>
          <w:lang w:val="en-NZ"/>
        </w:rPr>
        <w:br/>
      </w:r>
      <w:r w:rsidRPr="000F5BBF">
        <w:rPr>
          <w:rFonts w:ascii="Calibri" w:hAnsi="Calibri" w:cs="Arial"/>
          <w:sz w:val="23"/>
          <w:szCs w:val="23"/>
          <w:lang w:val="en-NZ"/>
        </w:rPr>
        <w:t>Acting General Manager, Civil and Constitutional</w:t>
      </w:r>
      <w:r w:rsidR="007800AC" w:rsidRPr="000F5BBF">
        <w:rPr>
          <w:rFonts w:ascii="Calibri" w:hAnsi="Calibri" w:cs="Arial"/>
          <w:sz w:val="23"/>
          <w:szCs w:val="23"/>
          <w:lang w:val="en-NZ"/>
        </w:rPr>
        <w:br/>
      </w:r>
      <w:r w:rsidRPr="000F5BBF">
        <w:rPr>
          <w:rFonts w:ascii="Calibri" w:hAnsi="Calibri" w:cs="Arial"/>
          <w:sz w:val="23"/>
          <w:szCs w:val="23"/>
          <w:lang w:val="en-NZ"/>
        </w:rPr>
        <w:t>Ministry of Justice</w:t>
      </w:r>
    </w:p>
    <w:p w14:paraId="2E6F7F3D" w14:textId="77777777" w:rsidR="007F527C" w:rsidRDefault="004B5C82" w:rsidP="007F527C">
      <w:pPr>
        <w:pStyle w:val="Heading2"/>
        <w:ind w:right="-142"/>
      </w:pPr>
      <w:r>
        <w:rPr>
          <w:rFonts w:cs="Arial"/>
          <w:b w:val="0"/>
          <w:sz w:val="24"/>
          <w:lang w:val="en-NZ"/>
        </w:rPr>
        <w:br w:type="page"/>
      </w:r>
      <w:bookmarkStart w:id="48" w:name="_Toc362368104"/>
      <w:bookmarkStart w:id="49" w:name="_Toc362434945"/>
      <w:bookmarkStart w:id="50" w:name="_Toc362589331"/>
      <w:bookmarkStart w:id="51" w:name="_Toc362619031"/>
      <w:bookmarkStart w:id="52" w:name="_Toc362940595"/>
      <w:bookmarkStart w:id="53" w:name="_Toc363047103"/>
      <w:r w:rsidR="004214DB">
        <w:lastRenderedPageBreak/>
        <w:t>Executive s</w:t>
      </w:r>
      <w:r w:rsidR="007F527C">
        <w:t>ummary</w:t>
      </w:r>
    </w:p>
    <w:p w14:paraId="06711C22" w14:textId="77777777" w:rsidR="004214DB" w:rsidRPr="00BA4D0B" w:rsidRDefault="004214DB" w:rsidP="00F6637E">
      <w:pPr>
        <w:pStyle w:val="ReportBody"/>
        <w:numPr>
          <w:ilvl w:val="0"/>
          <w:numId w:val="26"/>
        </w:numPr>
        <w:tabs>
          <w:tab w:val="left" w:pos="567"/>
        </w:tabs>
        <w:ind w:left="567" w:hanging="567"/>
        <w:jc w:val="both"/>
        <w:rPr>
          <w:rFonts w:ascii="Calibri" w:hAnsi="Calibri"/>
          <w:color w:val="auto"/>
          <w:sz w:val="23"/>
          <w:szCs w:val="23"/>
        </w:rPr>
      </w:pPr>
      <w:r w:rsidRPr="004214DB">
        <w:rPr>
          <w:rFonts w:ascii="Calibri" w:hAnsi="Calibri"/>
          <w:sz w:val="23"/>
          <w:szCs w:val="23"/>
        </w:rPr>
        <w:t>The proposals discussed in this Regulatory Impact Statement (RIS) form part of the far-reaching reform programme proposed by the Government in response to the Modernising Child, Youth and Family Expert Panel’s Final Report (the Report).</w:t>
      </w:r>
      <w:r w:rsidRPr="004214DB">
        <w:rPr>
          <w:rStyle w:val="FootnoteReference"/>
          <w:rFonts w:ascii="Calibri" w:hAnsi="Calibri"/>
          <w:szCs w:val="16"/>
        </w:rPr>
        <w:footnoteReference w:id="1"/>
      </w:r>
      <w:r w:rsidRPr="004214DB">
        <w:rPr>
          <w:rFonts w:ascii="Calibri" w:hAnsi="Calibri"/>
          <w:sz w:val="16"/>
          <w:szCs w:val="16"/>
        </w:rPr>
        <w:t xml:space="preserve"> </w:t>
      </w:r>
      <w:r w:rsidRPr="004214DB">
        <w:rPr>
          <w:rFonts w:ascii="Calibri" w:hAnsi="Calibri"/>
          <w:sz w:val="23"/>
          <w:szCs w:val="23"/>
        </w:rPr>
        <w:t xml:space="preserve">Cabinet </w:t>
      </w:r>
      <w:r>
        <w:rPr>
          <w:rFonts w:ascii="Calibri" w:hAnsi="Calibri"/>
          <w:sz w:val="23"/>
          <w:szCs w:val="23"/>
        </w:rPr>
        <w:t xml:space="preserve">has </w:t>
      </w:r>
      <w:r w:rsidRPr="004214DB">
        <w:rPr>
          <w:rFonts w:ascii="Calibri" w:hAnsi="Calibri"/>
          <w:sz w:val="23"/>
          <w:szCs w:val="23"/>
        </w:rPr>
        <w:t xml:space="preserve">agreed to </w:t>
      </w:r>
      <w:r w:rsidRPr="00BA4D0B">
        <w:rPr>
          <w:rFonts w:ascii="Calibri" w:hAnsi="Calibri"/>
          <w:color w:val="auto"/>
          <w:sz w:val="23"/>
          <w:szCs w:val="23"/>
        </w:rPr>
        <w:t xml:space="preserve">establish a new operating model for working with vulnerable children, young people and their families and whānau. </w:t>
      </w:r>
    </w:p>
    <w:p w14:paraId="3C50F714" w14:textId="77777777" w:rsidR="004214DB" w:rsidRPr="00BA4D0B" w:rsidRDefault="004214DB" w:rsidP="00F6637E">
      <w:pPr>
        <w:pStyle w:val="ReportBody"/>
        <w:numPr>
          <w:ilvl w:val="0"/>
          <w:numId w:val="26"/>
        </w:numPr>
        <w:tabs>
          <w:tab w:val="left" w:pos="567"/>
        </w:tabs>
        <w:spacing w:before="200"/>
        <w:ind w:left="567" w:hanging="567"/>
        <w:jc w:val="both"/>
        <w:rPr>
          <w:rFonts w:ascii="Calibri" w:hAnsi="Calibri"/>
          <w:color w:val="auto"/>
          <w:sz w:val="23"/>
          <w:szCs w:val="23"/>
        </w:rPr>
      </w:pPr>
      <w:r w:rsidRPr="00BA4D0B">
        <w:rPr>
          <w:rFonts w:ascii="Calibri" w:hAnsi="Calibri"/>
          <w:color w:val="auto"/>
          <w:sz w:val="23"/>
          <w:szCs w:val="23"/>
        </w:rPr>
        <w:t xml:space="preserve">One of the critical enablers of the </w:t>
      </w:r>
      <w:r w:rsidR="00BA4D0B" w:rsidRPr="00BA4D0B">
        <w:rPr>
          <w:rFonts w:ascii="Calibri" w:hAnsi="Calibri"/>
          <w:color w:val="auto"/>
          <w:sz w:val="23"/>
          <w:szCs w:val="23"/>
        </w:rPr>
        <w:t xml:space="preserve">new </w:t>
      </w:r>
      <w:r w:rsidRPr="00BA4D0B">
        <w:rPr>
          <w:rFonts w:ascii="Calibri" w:hAnsi="Calibri"/>
          <w:color w:val="auto"/>
          <w:sz w:val="23"/>
          <w:szCs w:val="23"/>
        </w:rPr>
        <w:t xml:space="preserve">operating model is the framework that </w:t>
      </w:r>
      <w:r w:rsidR="00BA4D0B" w:rsidRPr="00BA4D0B">
        <w:rPr>
          <w:rFonts w:ascii="Calibri" w:hAnsi="Calibri"/>
          <w:color w:val="auto"/>
          <w:sz w:val="23"/>
          <w:szCs w:val="23"/>
        </w:rPr>
        <w:t xml:space="preserve">governs </w:t>
      </w:r>
      <w:r w:rsidRPr="00BA4D0B">
        <w:rPr>
          <w:rFonts w:ascii="Calibri" w:hAnsi="Calibri"/>
          <w:color w:val="auto"/>
          <w:sz w:val="23"/>
          <w:szCs w:val="23"/>
        </w:rPr>
        <w:t>inter-agency information sharing.  The Minister of Social Development has been invited to report-back on legislative proposals to implement the new operating model, including a bespoke information sharing framework within the Children, Young Persons and Their Families Act 1989 (CYPF Act) to promote the safety and wellbeing of vulnerable children and young people, for inclusion in a second Bill now scheduled for November 2016 [SOC-16-MIN-0024 refers].</w:t>
      </w:r>
    </w:p>
    <w:p w14:paraId="092392FC" w14:textId="77777777" w:rsidR="00BA4D0B" w:rsidRPr="00BA4D0B" w:rsidRDefault="004214DB" w:rsidP="00F6637E">
      <w:pPr>
        <w:pStyle w:val="ReportBody"/>
        <w:numPr>
          <w:ilvl w:val="0"/>
          <w:numId w:val="26"/>
        </w:numPr>
        <w:tabs>
          <w:tab w:val="left" w:pos="567"/>
        </w:tabs>
        <w:spacing w:before="200"/>
        <w:ind w:left="567" w:hanging="567"/>
        <w:jc w:val="both"/>
        <w:rPr>
          <w:rFonts w:ascii="Calibri" w:hAnsi="Calibri"/>
          <w:color w:val="auto"/>
          <w:sz w:val="23"/>
          <w:szCs w:val="23"/>
        </w:rPr>
      </w:pPr>
      <w:r w:rsidRPr="00BA4D0B">
        <w:rPr>
          <w:rFonts w:ascii="Calibri" w:hAnsi="Calibri"/>
          <w:color w:val="auto"/>
          <w:sz w:val="23"/>
          <w:szCs w:val="23"/>
        </w:rPr>
        <w:t>The</w:t>
      </w:r>
      <w:r w:rsidR="00BA4D0B" w:rsidRPr="00BA4D0B">
        <w:rPr>
          <w:rFonts w:ascii="Calibri" w:hAnsi="Calibri"/>
          <w:color w:val="auto"/>
          <w:sz w:val="23"/>
          <w:szCs w:val="23"/>
        </w:rPr>
        <w:t xml:space="preserve"> information sharing framework </w:t>
      </w:r>
      <w:r w:rsidRPr="00BA4D0B">
        <w:rPr>
          <w:rFonts w:ascii="Calibri" w:hAnsi="Calibri"/>
          <w:color w:val="auto"/>
          <w:sz w:val="23"/>
          <w:szCs w:val="23"/>
        </w:rPr>
        <w:t>connect</w:t>
      </w:r>
      <w:r w:rsidR="00BA4D0B" w:rsidRPr="00BA4D0B">
        <w:rPr>
          <w:rFonts w:ascii="Calibri" w:hAnsi="Calibri"/>
          <w:color w:val="auto"/>
          <w:sz w:val="23"/>
          <w:szCs w:val="23"/>
        </w:rPr>
        <w:t>s</w:t>
      </w:r>
      <w:r w:rsidRPr="00BA4D0B">
        <w:rPr>
          <w:rFonts w:ascii="Calibri" w:hAnsi="Calibri"/>
          <w:color w:val="auto"/>
          <w:sz w:val="23"/>
          <w:szCs w:val="23"/>
        </w:rPr>
        <w:t xml:space="preserve"> to other </w:t>
      </w:r>
      <w:r w:rsidR="00BA4D0B" w:rsidRPr="00BA4D0B">
        <w:rPr>
          <w:rFonts w:ascii="Calibri" w:hAnsi="Calibri"/>
          <w:color w:val="auto"/>
          <w:sz w:val="23"/>
          <w:szCs w:val="23"/>
        </w:rPr>
        <w:t xml:space="preserve">components </w:t>
      </w:r>
      <w:r w:rsidRPr="00BA4D0B">
        <w:rPr>
          <w:rFonts w:ascii="Calibri" w:hAnsi="Calibri"/>
          <w:color w:val="auto"/>
          <w:sz w:val="23"/>
          <w:szCs w:val="23"/>
        </w:rPr>
        <w:t xml:space="preserve">of the operating model to ensure that </w:t>
      </w:r>
      <w:r w:rsidR="00BA4D0B" w:rsidRPr="00BA4D0B">
        <w:rPr>
          <w:rFonts w:ascii="Calibri" w:hAnsi="Calibri"/>
          <w:color w:val="auto"/>
          <w:sz w:val="23"/>
          <w:szCs w:val="23"/>
        </w:rPr>
        <w:t xml:space="preserve">vulnerable children and </w:t>
      </w:r>
      <w:r w:rsidRPr="00BA4D0B">
        <w:rPr>
          <w:rFonts w:ascii="Calibri" w:hAnsi="Calibri"/>
          <w:color w:val="auto"/>
          <w:sz w:val="23"/>
          <w:szCs w:val="23"/>
        </w:rPr>
        <w:t xml:space="preserve">young people </w:t>
      </w:r>
      <w:r w:rsidR="00BA4D0B" w:rsidRPr="00BA4D0B">
        <w:rPr>
          <w:rFonts w:ascii="Calibri" w:hAnsi="Calibri"/>
          <w:color w:val="auto"/>
          <w:sz w:val="23"/>
          <w:szCs w:val="23"/>
        </w:rPr>
        <w:t xml:space="preserve">and their families are identified earlier, their needs </w:t>
      </w:r>
      <w:r w:rsidR="001765D4">
        <w:rPr>
          <w:rFonts w:ascii="Calibri" w:hAnsi="Calibri"/>
          <w:color w:val="auto"/>
          <w:sz w:val="23"/>
          <w:szCs w:val="23"/>
        </w:rPr>
        <w:t xml:space="preserve">are fully </w:t>
      </w:r>
      <w:r w:rsidR="00BA4D0B" w:rsidRPr="00BA4D0B">
        <w:rPr>
          <w:rFonts w:ascii="Calibri" w:hAnsi="Calibri"/>
          <w:color w:val="auto"/>
          <w:sz w:val="23"/>
          <w:szCs w:val="23"/>
        </w:rPr>
        <w:t>assessed, and they’re offered the right supports at the right time.</w:t>
      </w:r>
    </w:p>
    <w:p w14:paraId="34CA836C" w14:textId="77777777" w:rsidR="004214DB" w:rsidRPr="00BA4D0B" w:rsidRDefault="004214DB" w:rsidP="00F6637E">
      <w:pPr>
        <w:pStyle w:val="ReportBody"/>
        <w:numPr>
          <w:ilvl w:val="0"/>
          <w:numId w:val="26"/>
        </w:numPr>
        <w:tabs>
          <w:tab w:val="left" w:pos="567"/>
        </w:tabs>
        <w:spacing w:before="200"/>
        <w:ind w:left="567" w:hanging="567"/>
        <w:rPr>
          <w:rFonts w:ascii="Calibri" w:hAnsi="Calibri"/>
          <w:sz w:val="23"/>
          <w:szCs w:val="23"/>
        </w:rPr>
      </w:pPr>
      <w:r w:rsidRPr="00BA4D0B">
        <w:rPr>
          <w:rFonts w:ascii="Calibri" w:hAnsi="Calibri"/>
          <w:sz w:val="23"/>
          <w:szCs w:val="23"/>
        </w:rPr>
        <w:t>This RIS covers proposals to achieve the following:</w:t>
      </w:r>
    </w:p>
    <w:p w14:paraId="582090B6" w14:textId="77777777" w:rsidR="00BA4D0B" w:rsidRPr="001765D4" w:rsidRDefault="00BA4D0B" w:rsidP="00F6637E">
      <w:pPr>
        <w:pStyle w:val="ReportBody"/>
        <w:numPr>
          <w:ilvl w:val="0"/>
          <w:numId w:val="27"/>
        </w:numPr>
        <w:tabs>
          <w:tab w:val="left" w:pos="1134"/>
        </w:tabs>
        <w:spacing w:after="0"/>
        <w:ind w:left="1134" w:hanging="567"/>
        <w:jc w:val="both"/>
        <w:rPr>
          <w:rFonts w:ascii="Calibri" w:hAnsi="Calibri"/>
          <w:sz w:val="23"/>
          <w:szCs w:val="23"/>
        </w:rPr>
      </w:pPr>
      <w:r w:rsidRPr="001765D4">
        <w:rPr>
          <w:rFonts w:ascii="Calibri" w:hAnsi="Calibri"/>
          <w:sz w:val="23"/>
          <w:szCs w:val="23"/>
        </w:rPr>
        <w:t xml:space="preserve">expand the powers of the Ministry for Vulnerable Children, Oranga Tamariki to compulsorily acquire information when performing statutory investigations or </w:t>
      </w:r>
      <w:r w:rsidR="00A71FB4">
        <w:rPr>
          <w:rFonts w:ascii="Calibri" w:hAnsi="Calibri"/>
          <w:sz w:val="23"/>
          <w:szCs w:val="23"/>
        </w:rPr>
        <w:t>responses to reports of concern</w:t>
      </w:r>
    </w:p>
    <w:p w14:paraId="745C8515" w14:textId="77777777" w:rsidR="00BA4D0B" w:rsidRPr="001765D4" w:rsidRDefault="00BA4D0B" w:rsidP="00F6637E">
      <w:pPr>
        <w:pStyle w:val="ReportBody"/>
        <w:numPr>
          <w:ilvl w:val="0"/>
          <w:numId w:val="27"/>
        </w:numPr>
        <w:tabs>
          <w:tab w:val="left" w:pos="1134"/>
        </w:tabs>
        <w:spacing w:after="0"/>
        <w:ind w:left="1134" w:hanging="567"/>
        <w:jc w:val="both"/>
        <w:rPr>
          <w:rFonts w:ascii="Calibri" w:hAnsi="Calibri"/>
          <w:sz w:val="23"/>
          <w:szCs w:val="23"/>
        </w:rPr>
      </w:pPr>
      <w:r w:rsidRPr="001765D4">
        <w:rPr>
          <w:rFonts w:ascii="Calibri" w:hAnsi="Calibri"/>
          <w:sz w:val="23"/>
          <w:szCs w:val="23"/>
        </w:rPr>
        <w:t>set a clear expectation that any agency or person with responsibilities for the welfare and safety of children and young people can use and share personal informatio</w:t>
      </w:r>
      <w:r w:rsidR="00A71FB4">
        <w:rPr>
          <w:rFonts w:ascii="Calibri" w:hAnsi="Calibri"/>
          <w:sz w:val="23"/>
          <w:szCs w:val="23"/>
        </w:rPr>
        <w:t>n about a child or young person</w:t>
      </w:r>
    </w:p>
    <w:p w14:paraId="1C6A7735" w14:textId="77777777" w:rsidR="00BA4D0B" w:rsidRPr="001765D4" w:rsidRDefault="00BA4D0B" w:rsidP="00F6637E">
      <w:pPr>
        <w:pStyle w:val="ReportBody"/>
        <w:numPr>
          <w:ilvl w:val="0"/>
          <w:numId w:val="27"/>
        </w:numPr>
        <w:tabs>
          <w:tab w:val="left" w:pos="1134"/>
        </w:tabs>
        <w:spacing w:after="0"/>
        <w:ind w:left="1134" w:hanging="567"/>
        <w:jc w:val="both"/>
        <w:rPr>
          <w:rFonts w:ascii="Calibri" w:hAnsi="Calibri"/>
          <w:sz w:val="23"/>
          <w:szCs w:val="23"/>
        </w:rPr>
      </w:pPr>
      <w:r w:rsidRPr="001765D4">
        <w:rPr>
          <w:rFonts w:ascii="Calibri" w:hAnsi="Calibri"/>
          <w:sz w:val="23"/>
          <w:szCs w:val="23"/>
        </w:rPr>
        <w:t>move away from a passive regime where agencies have a discretion to exchange information, to a proactive regime where information should be exchanged unless there are comp</w:t>
      </w:r>
      <w:r w:rsidR="00A71FB4">
        <w:rPr>
          <w:rFonts w:ascii="Calibri" w:hAnsi="Calibri"/>
          <w:sz w:val="23"/>
          <w:szCs w:val="23"/>
        </w:rPr>
        <w:t>elling reasons not to</w:t>
      </w:r>
    </w:p>
    <w:p w14:paraId="3B6BFA68" w14:textId="77777777" w:rsidR="001765D4" w:rsidRPr="001765D4" w:rsidRDefault="00BA4D0B" w:rsidP="00F6637E">
      <w:pPr>
        <w:pStyle w:val="ReportBody"/>
        <w:numPr>
          <w:ilvl w:val="0"/>
          <w:numId w:val="27"/>
        </w:numPr>
        <w:tabs>
          <w:tab w:val="left" w:pos="1134"/>
        </w:tabs>
        <w:spacing w:after="0"/>
        <w:ind w:left="1134" w:hanging="567"/>
        <w:jc w:val="both"/>
        <w:rPr>
          <w:rFonts w:ascii="Calibri" w:hAnsi="Calibri"/>
          <w:sz w:val="23"/>
          <w:szCs w:val="23"/>
        </w:rPr>
      </w:pPr>
      <w:proofErr w:type="gramStart"/>
      <w:r w:rsidRPr="001765D4">
        <w:rPr>
          <w:rFonts w:ascii="Calibri" w:hAnsi="Calibri"/>
          <w:sz w:val="23"/>
          <w:szCs w:val="23"/>
        </w:rPr>
        <w:t>remove</w:t>
      </w:r>
      <w:proofErr w:type="gramEnd"/>
      <w:r w:rsidRPr="001765D4">
        <w:rPr>
          <w:rFonts w:ascii="Calibri" w:hAnsi="Calibri"/>
          <w:sz w:val="23"/>
          <w:szCs w:val="23"/>
        </w:rPr>
        <w:t xml:space="preserve"> the uncertainty, and any consequential liabilities, facing professionals over the information they can exchange through an extension of the immunity for good faith disclosure already provided under the CYPF Act</w:t>
      </w:r>
      <w:r w:rsidR="00A71FB4">
        <w:rPr>
          <w:rFonts w:ascii="Calibri" w:hAnsi="Calibri"/>
          <w:sz w:val="23"/>
          <w:szCs w:val="23"/>
        </w:rPr>
        <w:t xml:space="preserve">. </w:t>
      </w:r>
    </w:p>
    <w:p w14:paraId="38722C91" w14:textId="77777777" w:rsidR="004214DB" w:rsidRPr="00193EA5" w:rsidRDefault="004214DB" w:rsidP="006359D1">
      <w:pPr>
        <w:pStyle w:val="ReportBody"/>
        <w:numPr>
          <w:ilvl w:val="0"/>
          <w:numId w:val="0"/>
        </w:numPr>
        <w:tabs>
          <w:tab w:val="left" w:pos="567"/>
        </w:tabs>
        <w:spacing w:before="240" w:after="0"/>
        <w:ind w:left="567" w:hanging="567"/>
        <w:jc w:val="both"/>
        <w:rPr>
          <w:rFonts w:ascii="Calibri" w:hAnsi="Calibri"/>
          <w:i/>
          <w:color w:val="263E78"/>
          <w:sz w:val="23"/>
          <w:szCs w:val="23"/>
        </w:rPr>
      </w:pPr>
      <w:r w:rsidRPr="00193EA5">
        <w:rPr>
          <w:rFonts w:ascii="Calibri" w:hAnsi="Calibri"/>
          <w:b/>
          <w:i/>
          <w:color w:val="263E78"/>
          <w:sz w:val="23"/>
          <w:szCs w:val="23"/>
        </w:rPr>
        <w:t>The case for legislative change</w:t>
      </w:r>
    </w:p>
    <w:p w14:paraId="0F2486C7" w14:textId="77777777" w:rsidR="001765D4" w:rsidRPr="006359D1" w:rsidRDefault="001765D4" w:rsidP="00F6637E">
      <w:pPr>
        <w:pStyle w:val="ReportBody"/>
        <w:numPr>
          <w:ilvl w:val="0"/>
          <w:numId w:val="26"/>
        </w:numPr>
        <w:tabs>
          <w:tab w:val="left" w:pos="567"/>
        </w:tabs>
        <w:ind w:left="567" w:hanging="567"/>
        <w:rPr>
          <w:rFonts w:ascii="Calibri" w:hAnsi="Calibri"/>
          <w:sz w:val="23"/>
          <w:szCs w:val="23"/>
        </w:rPr>
      </w:pPr>
      <w:r w:rsidRPr="006359D1">
        <w:rPr>
          <w:rFonts w:ascii="Calibri" w:hAnsi="Calibri"/>
          <w:sz w:val="23"/>
          <w:szCs w:val="23"/>
        </w:rPr>
        <w:t>The evidence shows that under current legal settings:</w:t>
      </w:r>
    </w:p>
    <w:p w14:paraId="07533A71" w14:textId="77777777" w:rsidR="001765D4" w:rsidRPr="006359D1" w:rsidRDefault="001765D4" w:rsidP="00F6637E">
      <w:pPr>
        <w:pStyle w:val="CabStandard"/>
        <w:numPr>
          <w:ilvl w:val="1"/>
          <w:numId w:val="28"/>
        </w:numPr>
        <w:tabs>
          <w:tab w:val="left" w:pos="1134"/>
        </w:tabs>
        <w:spacing w:after="0"/>
        <w:ind w:left="1134" w:hanging="567"/>
        <w:jc w:val="both"/>
        <w:rPr>
          <w:rFonts w:ascii="Calibri" w:hAnsi="Calibri" w:cs="Arial"/>
          <w:sz w:val="23"/>
          <w:szCs w:val="23"/>
        </w:rPr>
      </w:pPr>
      <w:r w:rsidRPr="006359D1">
        <w:rPr>
          <w:rFonts w:ascii="Calibri" w:hAnsi="Calibri" w:cs="Arial"/>
          <w:b/>
          <w:sz w:val="23"/>
          <w:szCs w:val="23"/>
        </w:rPr>
        <w:t>information only flows one-way</w:t>
      </w:r>
      <w:r w:rsidRPr="006359D1">
        <w:rPr>
          <w:rFonts w:ascii="Calibri" w:hAnsi="Calibri" w:cs="Arial"/>
          <w:sz w:val="23"/>
          <w:szCs w:val="23"/>
        </w:rPr>
        <w:t xml:space="preserve"> into Child, Youth and Family, and this impedes the necessary two-way flow of information needed across all agencies with responsibilities for the wellbeing of children and young people;</w:t>
      </w:r>
    </w:p>
    <w:p w14:paraId="1EF5B2BB" w14:textId="77777777" w:rsidR="001765D4" w:rsidRPr="006359D1" w:rsidRDefault="001765D4" w:rsidP="00F6637E">
      <w:pPr>
        <w:pStyle w:val="CabStandard"/>
        <w:numPr>
          <w:ilvl w:val="1"/>
          <w:numId w:val="28"/>
        </w:numPr>
        <w:tabs>
          <w:tab w:val="left" w:pos="1134"/>
        </w:tabs>
        <w:spacing w:before="120" w:after="0"/>
        <w:ind w:left="1134" w:hanging="567"/>
        <w:jc w:val="both"/>
        <w:rPr>
          <w:rFonts w:ascii="Calibri" w:hAnsi="Calibri" w:cs="Arial"/>
          <w:sz w:val="23"/>
          <w:szCs w:val="23"/>
        </w:rPr>
      </w:pPr>
      <w:r w:rsidRPr="006359D1">
        <w:rPr>
          <w:rFonts w:ascii="Calibri" w:hAnsi="Calibri" w:cs="Arial"/>
          <w:b/>
          <w:sz w:val="23"/>
          <w:szCs w:val="23"/>
        </w:rPr>
        <w:t>data-sets are not linked</w:t>
      </w:r>
      <w:r w:rsidRPr="006359D1">
        <w:rPr>
          <w:rFonts w:ascii="Calibri" w:hAnsi="Calibri" w:cs="Arial"/>
          <w:sz w:val="23"/>
          <w:szCs w:val="23"/>
        </w:rPr>
        <w:t xml:space="preserve"> across agencies to detect patterns of neglect and abuse early enough, and this means our interventions and systems of care are not having the beneficial impact they otherwise could, including preventing deaths;</w:t>
      </w:r>
    </w:p>
    <w:p w14:paraId="52D673D1" w14:textId="77777777" w:rsidR="001765D4" w:rsidRPr="006359D1" w:rsidRDefault="001765D4" w:rsidP="00F6637E">
      <w:pPr>
        <w:pStyle w:val="CabStandard"/>
        <w:numPr>
          <w:ilvl w:val="1"/>
          <w:numId w:val="28"/>
        </w:numPr>
        <w:tabs>
          <w:tab w:val="left" w:pos="1134"/>
        </w:tabs>
        <w:spacing w:before="120" w:after="0"/>
        <w:ind w:left="1134" w:hanging="567"/>
        <w:jc w:val="both"/>
        <w:rPr>
          <w:rFonts w:ascii="Calibri" w:hAnsi="Calibri" w:cs="Arial"/>
          <w:sz w:val="23"/>
          <w:szCs w:val="23"/>
        </w:rPr>
      </w:pPr>
      <w:r w:rsidRPr="006359D1">
        <w:rPr>
          <w:rFonts w:ascii="Calibri" w:hAnsi="Calibri" w:cs="Arial"/>
          <w:sz w:val="23"/>
          <w:szCs w:val="23"/>
        </w:rPr>
        <w:lastRenderedPageBreak/>
        <w:t>Child, Youth and Family’s</w:t>
      </w:r>
      <w:r w:rsidRPr="006359D1">
        <w:rPr>
          <w:rFonts w:ascii="Calibri" w:hAnsi="Calibri" w:cs="Arial"/>
          <w:b/>
          <w:sz w:val="23"/>
          <w:szCs w:val="23"/>
        </w:rPr>
        <w:t xml:space="preserve"> powers to acquire information are </w:t>
      </w:r>
      <w:r w:rsidR="001B43D5" w:rsidRPr="006359D1">
        <w:rPr>
          <w:rFonts w:ascii="Calibri" w:hAnsi="Calibri" w:cs="Arial"/>
          <w:b/>
          <w:sz w:val="23"/>
          <w:szCs w:val="23"/>
        </w:rPr>
        <w:t xml:space="preserve">deficient </w:t>
      </w:r>
      <w:r w:rsidR="00A468DF" w:rsidRPr="006359D1">
        <w:rPr>
          <w:rFonts w:ascii="Calibri" w:hAnsi="Calibri" w:cs="Arial"/>
          <w:sz w:val="23"/>
          <w:szCs w:val="23"/>
        </w:rPr>
        <w:t xml:space="preserve">because </w:t>
      </w:r>
      <w:r w:rsidRPr="006359D1">
        <w:rPr>
          <w:rFonts w:ascii="Calibri" w:hAnsi="Calibri" w:cs="Arial"/>
          <w:sz w:val="23"/>
          <w:szCs w:val="23"/>
        </w:rPr>
        <w:t xml:space="preserve">they are either too narrowly cast in terms of the agencies covered, or </w:t>
      </w:r>
      <w:r w:rsidR="00A468DF" w:rsidRPr="006359D1">
        <w:rPr>
          <w:rFonts w:ascii="Calibri" w:hAnsi="Calibri" w:cs="Arial"/>
          <w:sz w:val="23"/>
          <w:szCs w:val="23"/>
        </w:rPr>
        <w:t xml:space="preserve">are </w:t>
      </w:r>
      <w:r w:rsidRPr="006359D1">
        <w:rPr>
          <w:rFonts w:ascii="Calibri" w:hAnsi="Calibri" w:cs="Arial"/>
          <w:sz w:val="23"/>
          <w:szCs w:val="23"/>
        </w:rPr>
        <w:t>too bureaucratic to be practical in day-to-day operations; and</w:t>
      </w:r>
    </w:p>
    <w:p w14:paraId="0826087F" w14:textId="77777777" w:rsidR="004214DB" w:rsidRPr="006359D1" w:rsidRDefault="001765D4" w:rsidP="00F6637E">
      <w:pPr>
        <w:pStyle w:val="CabStandard"/>
        <w:numPr>
          <w:ilvl w:val="1"/>
          <w:numId w:val="28"/>
        </w:numPr>
        <w:tabs>
          <w:tab w:val="left" w:pos="1134"/>
        </w:tabs>
        <w:spacing w:before="120" w:after="0"/>
        <w:ind w:left="1134" w:hanging="567"/>
        <w:jc w:val="both"/>
        <w:rPr>
          <w:rFonts w:ascii="Calibri" w:hAnsi="Calibri" w:cs="Arial"/>
          <w:sz w:val="23"/>
          <w:szCs w:val="23"/>
        </w:rPr>
      </w:pPr>
      <w:proofErr w:type="gramStart"/>
      <w:r w:rsidRPr="006359D1">
        <w:rPr>
          <w:rFonts w:ascii="Calibri" w:hAnsi="Calibri" w:cs="Arial"/>
          <w:sz w:val="23"/>
          <w:szCs w:val="23"/>
        </w:rPr>
        <w:t>the</w:t>
      </w:r>
      <w:proofErr w:type="gramEnd"/>
      <w:r w:rsidRPr="006359D1">
        <w:rPr>
          <w:rFonts w:ascii="Calibri" w:hAnsi="Calibri" w:cs="Arial"/>
          <w:b/>
          <w:sz w:val="23"/>
          <w:szCs w:val="23"/>
        </w:rPr>
        <w:t xml:space="preserve"> interface between the CYPF and Privacy Acts has proven to be complex</w:t>
      </w:r>
      <w:r w:rsidRPr="006359D1">
        <w:rPr>
          <w:rFonts w:ascii="Calibri" w:hAnsi="Calibri" w:cs="Arial"/>
          <w:sz w:val="23"/>
          <w:szCs w:val="23"/>
        </w:rPr>
        <w:t xml:space="preserve"> – as a consequence many of the professionals working with vulnerable children and young people </w:t>
      </w:r>
      <w:r w:rsidRPr="006359D1">
        <w:rPr>
          <w:rFonts w:ascii="Calibri" w:hAnsi="Calibri" w:cs="Arial"/>
          <w:color w:val="000000"/>
          <w:sz w:val="23"/>
          <w:szCs w:val="23"/>
        </w:rPr>
        <w:t>a</w:t>
      </w:r>
      <w:r w:rsidRPr="006359D1">
        <w:rPr>
          <w:rFonts w:ascii="Calibri" w:hAnsi="Calibri" w:cs="Arial"/>
          <w:sz w:val="23"/>
          <w:szCs w:val="23"/>
        </w:rPr>
        <w:t xml:space="preserve">re unclear about what information they are allowed to share, with whom, and in what circumstances.  </w:t>
      </w:r>
    </w:p>
    <w:p w14:paraId="3620B55F" w14:textId="77777777" w:rsidR="00A468DF" w:rsidRPr="006359D1" w:rsidRDefault="001765D4" w:rsidP="00F6637E">
      <w:pPr>
        <w:pStyle w:val="ReportBody"/>
        <w:numPr>
          <w:ilvl w:val="0"/>
          <w:numId w:val="26"/>
        </w:numPr>
        <w:tabs>
          <w:tab w:val="left" w:pos="567"/>
        </w:tabs>
        <w:spacing w:before="200" w:after="0"/>
        <w:ind w:left="567" w:hanging="567"/>
        <w:jc w:val="both"/>
        <w:rPr>
          <w:rFonts w:ascii="Calibri" w:hAnsi="Calibri"/>
          <w:sz w:val="23"/>
          <w:szCs w:val="23"/>
        </w:rPr>
      </w:pPr>
      <w:r w:rsidRPr="006359D1">
        <w:rPr>
          <w:rFonts w:ascii="Calibri" w:hAnsi="Calibri"/>
          <w:sz w:val="23"/>
          <w:szCs w:val="23"/>
        </w:rPr>
        <w:t xml:space="preserve">The development of a bespoke information sharing framework within the </w:t>
      </w:r>
      <w:r w:rsidR="004214DB" w:rsidRPr="006359D1">
        <w:rPr>
          <w:rFonts w:ascii="Calibri" w:hAnsi="Calibri"/>
          <w:sz w:val="23"/>
          <w:szCs w:val="23"/>
        </w:rPr>
        <w:t xml:space="preserve">CYPF Act is seen as the </w:t>
      </w:r>
      <w:r w:rsidRPr="006359D1">
        <w:rPr>
          <w:rFonts w:ascii="Calibri" w:hAnsi="Calibri"/>
          <w:sz w:val="23"/>
          <w:szCs w:val="23"/>
        </w:rPr>
        <w:t xml:space="preserve">most </w:t>
      </w:r>
      <w:r w:rsidR="001B43D5" w:rsidRPr="006359D1">
        <w:rPr>
          <w:rFonts w:ascii="Calibri" w:hAnsi="Calibri"/>
          <w:sz w:val="23"/>
          <w:szCs w:val="23"/>
        </w:rPr>
        <w:t xml:space="preserve">effective and </w:t>
      </w:r>
      <w:r w:rsidRPr="006359D1">
        <w:rPr>
          <w:rFonts w:ascii="Calibri" w:hAnsi="Calibri"/>
          <w:sz w:val="23"/>
          <w:szCs w:val="23"/>
        </w:rPr>
        <w:t>proportionate</w:t>
      </w:r>
      <w:r w:rsidR="006359D1" w:rsidRPr="006359D1">
        <w:rPr>
          <w:rFonts w:ascii="Calibri" w:hAnsi="Calibri"/>
          <w:sz w:val="23"/>
          <w:szCs w:val="23"/>
        </w:rPr>
        <w:t xml:space="preserve"> option</w:t>
      </w:r>
      <w:r w:rsidR="004B7689">
        <w:rPr>
          <w:rFonts w:ascii="Calibri" w:hAnsi="Calibri"/>
          <w:sz w:val="23"/>
          <w:szCs w:val="23"/>
        </w:rPr>
        <w:t xml:space="preserve"> to respond to these concerns</w:t>
      </w:r>
      <w:r w:rsidR="00A468DF" w:rsidRPr="006359D1">
        <w:rPr>
          <w:rFonts w:ascii="Calibri" w:hAnsi="Calibri"/>
          <w:sz w:val="23"/>
          <w:szCs w:val="23"/>
        </w:rPr>
        <w:t>, as it:</w:t>
      </w:r>
    </w:p>
    <w:p w14:paraId="1FDAD10F" w14:textId="77777777" w:rsidR="001B43D5" w:rsidRPr="006359D1" w:rsidRDefault="001B43D5" w:rsidP="00F6637E">
      <w:pPr>
        <w:pStyle w:val="ReportBody"/>
        <w:numPr>
          <w:ilvl w:val="0"/>
          <w:numId w:val="29"/>
        </w:numPr>
        <w:tabs>
          <w:tab w:val="left" w:pos="1134"/>
        </w:tabs>
        <w:spacing w:after="0"/>
        <w:ind w:left="1134" w:hanging="567"/>
        <w:jc w:val="both"/>
        <w:rPr>
          <w:rFonts w:ascii="Calibri" w:hAnsi="Calibri"/>
          <w:sz w:val="23"/>
          <w:szCs w:val="23"/>
        </w:rPr>
      </w:pPr>
      <w:r w:rsidRPr="006359D1">
        <w:rPr>
          <w:rFonts w:ascii="Calibri" w:hAnsi="Calibri"/>
          <w:sz w:val="23"/>
          <w:szCs w:val="23"/>
        </w:rPr>
        <w:t>sets a clear expectation that information sharing to promote the welfare and safety of children and young people is expected by all agencies and professionals with respo</w:t>
      </w:r>
      <w:r w:rsidR="00A71FB4">
        <w:rPr>
          <w:rFonts w:ascii="Calibri" w:hAnsi="Calibri"/>
          <w:sz w:val="23"/>
          <w:szCs w:val="23"/>
        </w:rPr>
        <w:t>nsibilities for their wellbeing</w:t>
      </w:r>
    </w:p>
    <w:p w14:paraId="2892F43B" w14:textId="77777777" w:rsidR="006359D1" w:rsidRPr="006359D1" w:rsidRDefault="006359D1" w:rsidP="00F6637E">
      <w:pPr>
        <w:pStyle w:val="ReportBody"/>
        <w:numPr>
          <w:ilvl w:val="0"/>
          <w:numId w:val="29"/>
        </w:numPr>
        <w:tabs>
          <w:tab w:val="left" w:pos="1134"/>
        </w:tabs>
        <w:spacing w:after="0"/>
        <w:ind w:left="1134" w:hanging="567"/>
        <w:jc w:val="both"/>
        <w:rPr>
          <w:rFonts w:ascii="Calibri" w:hAnsi="Calibri"/>
          <w:sz w:val="23"/>
          <w:szCs w:val="23"/>
        </w:rPr>
      </w:pPr>
      <w:r w:rsidRPr="006359D1">
        <w:rPr>
          <w:rFonts w:ascii="Calibri" w:hAnsi="Calibri"/>
          <w:sz w:val="23"/>
          <w:szCs w:val="23"/>
        </w:rPr>
        <w:t>overrides known legal impediments to beneficial information sharing about vulne</w:t>
      </w:r>
      <w:r w:rsidR="00A71FB4">
        <w:rPr>
          <w:rFonts w:ascii="Calibri" w:hAnsi="Calibri"/>
          <w:sz w:val="23"/>
          <w:szCs w:val="23"/>
        </w:rPr>
        <w:t>rable children and young people</w:t>
      </w:r>
    </w:p>
    <w:p w14:paraId="28B055B9" w14:textId="77777777" w:rsidR="001765D4" w:rsidRPr="006359D1" w:rsidRDefault="00A468DF" w:rsidP="00F6637E">
      <w:pPr>
        <w:pStyle w:val="ReportBody"/>
        <w:numPr>
          <w:ilvl w:val="0"/>
          <w:numId w:val="29"/>
        </w:numPr>
        <w:tabs>
          <w:tab w:val="left" w:pos="1134"/>
        </w:tabs>
        <w:spacing w:after="0"/>
        <w:ind w:left="1134" w:hanging="567"/>
        <w:jc w:val="both"/>
        <w:rPr>
          <w:rFonts w:ascii="Calibri" w:hAnsi="Calibri"/>
          <w:sz w:val="23"/>
          <w:szCs w:val="23"/>
        </w:rPr>
      </w:pPr>
      <w:r w:rsidRPr="006359D1">
        <w:rPr>
          <w:rFonts w:ascii="Calibri" w:hAnsi="Calibri"/>
          <w:sz w:val="23"/>
          <w:szCs w:val="23"/>
        </w:rPr>
        <w:t>consolidates all information discl</w:t>
      </w:r>
      <w:r w:rsidR="00A71FB4">
        <w:rPr>
          <w:rFonts w:ascii="Calibri" w:hAnsi="Calibri"/>
          <w:sz w:val="23"/>
          <w:szCs w:val="23"/>
        </w:rPr>
        <w:t>o</w:t>
      </w:r>
      <w:r w:rsidRPr="006359D1">
        <w:rPr>
          <w:rFonts w:ascii="Calibri" w:hAnsi="Calibri"/>
          <w:sz w:val="23"/>
          <w:szCs w:val="23"/>
        </w:rPr>
        <w:t>sure provisions relating to child welfare in one statute, which will</w:t>
      </w:r>
      <w:r w:rsidR="00A71FB4">
        <w:rPr>
          <w:rFonts w:ascii="Calibri" w:hAnsi="Calibri"/>
          <w:sz w:val="23"/>
          <w:szCs w:val="23"/>
        </w:rPr>
        <w:t xml:space="preserve"> increase the accessibility and usability of the law</w:t>
      </w:r>
    </w:p>
    <w:p w14:paraId="0FD56F54" w14:textId="77777777" w:rsidR="00A468DF" w:rsidRPr="006359D1" w:rsidRDefault="006359D1" w:rsidP="00F6637E">
      <w:pPr>
        <w:pStyle w:val="ReportBody"/>
        <w:numPr>
          <w:ilvl w:val="0"/>
          <w:numId w:val="29"/>
        </w:numPr>
        <w:tabs>
          <w:tab w:val="left" w:pos="1134"/>
        </w:tabs>
        <w:spacing w:after="0"/>
        <w:ind w:left="1134" w:hanging="567"/>
        <w:jc w:val="both"/>
        <w:rPr>
          <w:rFonts w:ascii="Calibri" w:hAnsi="Calibri"/>
          <w:sz w:val="23"/>
          <w:szCs w:val="23"/>
        </w:rPr>
      </w:pPr>
      <w:proofErr w:type="gramStart"/>
      <w:r w:rsidRPr="006359D1">
        <w:rPr>
          <w:rFonts w:ascii="Calibri" w:hAnsi="Calibri"/>
          <w:sz w:val="23"/>
          <w:szCs w:val="23"/>
        </w:rPr>
        <w:t>has</w:t>
      </w:r>
      <w:proofErr w:type="gramEnd"/>
      <w:r w:rsidRPr="006359D1">
        <w:rPr>
          <w:rFonts w:ascii="Calibri" w:hAnsi="Calibri"/>
          <w:sz w:val="23"/>
          <w:szCs w:val="23"/>
        </w:rPr>
        <w:t xml:space="preserve"> been tested and found successful in th</w:t>
      </w:r>
      <w:r w:rsidR="00A71FB4">
        <w:rPr>
          <w:rFonts w:ascii="Calibri" w:hAnsi="Calibri"/>
          <w:sz w:val="23"/>
          <w:szCs w:val="23"/>
        </w:rPr>
        <w:t>e field</w:t>
      </w:r>
      <w:r w:rsidR="00026ED2">
        <w:rPr>
          <w:rFonts w:ascii="Calibri" w:hAnsi="Calibri"/>
          <w:sz w:val="23"/>
          <w:szCs w:val="23"/>
        </w:rPr>
        <w:t xml:space="preserve">, </w:t>
      </w:r>
      <w:r w:rsidR="00A71FB4">
        <w:rPr>
          <w:rFonts w:ascii="Calibri" w:hAnsi="Calibri"/>
          <w:sz w:val="23"/>
          <w:szCs w:val="23"/>
        </w:rPr>
        <w:t>in a country</w:t>
      </w:r>
      <w:r w:rsidR="00026ED2">
        <w:rPr>
          <w:rFonts w:ascii="Calibri" w:hAnsi="Calibri"/>
          <w:sz w:val="23"/>
          <w:szCs w:val="23"/>
        </w:rPr>
        <w:t xml:space="preserve"> with a similar legal system and analogous social challenges</w:t>
      </w:r>
      <w:r w:rsidR="00A71FB4">
        <w:rPr>
          <w:rFonts w:ascii="Calibri" w:hAnsi="Calibri"/>
          <w:sz w:val="23"/>
          <w:szCs w:val="23"/>
        </w:rPr>
        <w:t>.</w:t>
      </w:r>
    </w:p>
    <w:p w14:paraId="0A1CAA2F" w14:textId="77777777" w:rsidR="007F527C" w:rsidRPr="006359D1" w:rsidRDefault="004214DB" w:rsidP="00F6637E">
      <w:pPr>
        <w:pStyle w:val="ReportBody"/>
        <w:numPr>
          <w:ilvl w:val="0"/>
          <w:numId w:val="26"/>
        </w:numPr>
        <w:tabs>
          <w:tab w:val="left" w:pos="567"/>
        </w:tabs>
        <w:ind w:left="567" w:hanging="567"/>
        <w:jc w:val="both"/>
        <w:rPr>
          <w:rFonts w:ascii="Calibri" w:hAnsi="Calibri"/>
          <w:sz w:val="23"/>
          <w:szCs w:val="23"/>
        </w:rPr>
      </w:pPr>
      <w:r w:rsidRPr="006359D1">
        <w:rPr>
          <w:rFonts w:ascii="Calibri" w:hAnsi="Calibri"/>
          <w:sz w:val="23"/>
          <w:szCs w:val="23"/>
        </w:rPr>
        <w:t>These proposals should be read in the context of other reforms and measures introduced as a respon</w:t>
      </w:r>
      <w:r w:rsidR="006359D1" w:rsidRPr="006359D1">
        <w:rPr>
          <w:rFonts w:ascii="Calibri" w:hAnsi="Calibri"/>
          <w:sz w:val="23"/>
          <w:szCs w:val="23"/>
        </w:rPr>
        <w:t>se to the Report. That is, the information sharing</w:t>
      </w:r>
      <w:r w:rsidRPr="006359D1">
        <w:rPr>
          <w:rFonts w:ascii="Calibri" w:hAnsi="Calibri"/>
          <w:sz w:val="23"/>
          <w:szCs w:val="23"/>
        </w:rPr>
        <w:t xml:space="preserve"> proposals are intended to support </w:t>
      </w:r>
      <w:r w:rsidR="006359D1" w:rsidRPr="006359D1">
        <w:rPr>
          <w:rFonts w:ascii="Calibri" w:hAnsi="Calibri"/>
          <w:sz w:val="23"/>
          <w:szCs w:val="23"/>
        </w:rPr>
        <w:t xml:space="preserve">the </w:t>
      </w:r>
      <w:r w:rsidRPr="006359D1">
        <w:rPr>
          <w:rFonts w:ascii="Calibri" w:hAnsi="Calibri"/>
          <w:sz w:val="23"/>
          <w:szCs w:val="23"/>
        </w:rPr>
        <w:t xml:space="preserve">wider suite of policies aimed at improving outcomes for vulnerable </w:t>
      </w:r>
      <w:r w:rsidR="006359D1" w:rsidRPr="006359D1">
        <w:rPr>
          <w:rFonts w:ascii="Calibri" w:hAnsi="Calibri"/>
          <w:sz w:val="23"/>
          <w:szCs w:val="23"/>
        </w:rPr>
        <w:t xml:space="preserve">children and </w:t>
      </w:r>
      <w:r w:rsidRPr="006359D1">
        <w:rPr>
          <w:rFonts w:ascii="Calibri" w:hAnsi="Calibri"/>
          <w:sz w:val="23"/>
          <w:szCs w:val="23"/>
        </w:rPr>
        <w:t>young people.</w:t>
      </w:r>
    </w:p>
    <w:p w14:paraId="08B97730" w14:textId="77777777" w:rsidR="007905BF" w:rsidRPr="004B5C82" w:rsidRDefault="000645FA" w:rsidP="006359D1">
      <w:pPr>
        <w:pStyle w:val="Heading2"/>
        <w:ind w:right="-142"/>
        <w:rPr>
          <w:rFonts w:cs="Arial"/>
          <w:sz w:val="24"/>
          <w:lang w:val="en-NZ"/>
        </w:rPr>
      </w:pPr>
      <w:r>
        <w:t>Background</w:t>
      </w:r>
      <w:r w:rsidR="007905BF" w:rsidRPr="003A2E6A">
        <w:t xml:space="preserve"> and problem definition</w:t>
      </w:r>
      <w:bookmarkEnd w:id="48"/>
      <w:bookmarkEnd w:id="49"/>
      <w:bookmarkEnd w:id="50"/>
      <w:bookmarkEnd w:id="51"/>
      <w:bookmarkEnd w:id="52"/>
      <w:bookmarkEnd w:id="53"/>
    </w:p>
    <w:p w14:paraId="4E1E230F" w14:textId="77777777" w:rsidR="000645FA" w:rsidRPr="006359D1" w:rsidRDefault="000645FA" w:rsidP="00F6637E">
      <w:pPr>
        <w:pStyle w:val="ReportBody"/>
        <w:numPr>
          <w:ilvl w:val="0"/>
          <w:numId w:val="26"/>
        </w:numPr>
        <w:tabs>
          <w:tab w:val="left" w:pos="567"/>
        </w:tabs>
        <w:ind w:left="567" w:hanging="567"/>
        <w:rPr>
          <w:rFonts w:ascii="Calibri" w:hAnsi="Calibri"/>
          <w:sz w:val="23"/>
          <w:szCs w:val="23"/>
        </w:rPr>
      </w:pPr>
      <w:bookmarkStart w:id="54" w:name="Background"/>
      <w:bookmarkEnd w:id="54"/>
      <w:r w:rsidRPr="006359D1">
        <w:rPr>
          <w:rFonts w:ascii="Calibri" w:hAnsi="Calibri"/>
          <w:sz w:val="23"/>
          <w:szCs w:val="23"/>
        </w:rPr>
        <w:t xml:space="preserve">Government has determined that a far-reaching reform of care and protection and youth justice services is required to achieve better outcomes for vulnerable children through an unequivocally child-centred approach.  </w:t>
      </w:r>
    </w:p>
    <w:p w14:paraId="7533E03F" w14:textId="77777777" w:rsidR="000645FA" w:rsidRDefault="000645FA" w:rsidP="006359D1">
      <w:pPr>
        <w:pStyle w:val="MOJNumPara"/>
        <w:tabs>
          <w:tab w:val="clear" w:pos="709"/>
          <w:tab w:val="num" w:pos="567"/>
        </w:tabs>
        <w:ind w:left="567" w:hanging="567"/>
      </w:pPr>
      <w:r>
        <w:t>The changes proposed represent a fundamental shift, driving the most significant and comprehensive changes si</w:t>
      </w:r>
      <w:r w:rsidR="00026ED2">
        <w:t>nce the Children, Young Person</w:t>
      </w:r>
      <w:r>
        <w:t xml:space="preserve">, and Their Families 1989 (the CYPF Act) was passed.  </w:t>
      </w:r>
    </w:p>
    <w:p w14:paraId="622EBD02" w14:textId="77777777" w:rsidR="000645FA" w:rsidRDefault="000645FA" w:rsidP="006359D1">
      <w:pPr>
        <w:pStyle w:val="MOJNumPara"/>
        <w:tabs>
          <w:tab w:val="clear" w:pos="709"/>
          <w:tab w:val="left" w:pos="567"/>
        </w:tabs>
        <w:spacing w:before="200"/>
        <w:ind w:left="567" w:right="-142" w:hanging="567"/>
      </w:pPr>
      <w:r>
        <w:t>Nearly thirty years ago, the CYPF Act sought to reset the model from the previous one relying solely on professional determination to one with much greater involvement of families in decision making.</w:t>
      </w:r>
    </w:p>
    <w:p w14:paraId="3615D3C3" w14:textId="77777777" w:rsidR="00DF2C4D" w:rsidRDefault="00DF2C4D" w:rsidP="006359D1">
      <w:pPr>
        <w:pStyle w:val="MOJNumPara"/>
        <w:tabs>
          <w:tab w:val="clear" w:pos="709"/>
          <w:tab w:val="left" w:pos="567"/>
        </w:tabs>
        <w:spacing w:before="200"/>
        <w:ind w:left="567" w:right="-142" w:hanging="567"/>
      </w:pPr>
      <w:r>
        <w:t xml:space="preserve">Results, however, have not been as envisaged, with 20 per cent of children now known to Child, Youth and Family by age 17, with many cycling though the system from notification to re-notification, statutory care and, in some cases, arrest and entry to the youth justice system.  </w:t>
      </w:r>
    </w:p>
    <w:p w14:paraId="7E69B81A" w14:textId="77777777" w:rsidR="00DF2C4D" w:rsidRDefault="00DF2C4D" w:rsidP="006359D1">
      <w:pPr>
        <w:pStyle w:val="MOJNumPara"/>
        <w:tabs>
          <w:tab w:val="clear" w:pos="709"/>
          <w:tab w:val="left" w:pos="567"/>
        </w:tabs>
        <w:spacing w:before="200"/>
        <w:ind w:left="567" w:right="-142" w:hanging="567"/>
      </w:pPr>
      <w:r>
        <w:t>Outcomes for children and young people across the system have been poor, at considerable long-term fiscal and social costs, with approximately:</w:t>
      </w:r>
    </w:p>
    <w:p w14:paraId="38C8BC99" w14:textId="77777777" w:rsidR="00DF2C4D" w:rsidRPr="00DF2C4D" w:rsidRDefault="00DF2C4D" w:rsidP="00F6637E">
      <w:pPr>
        <w:pStyle w:val="ListParagraph"/>
        <w:numPr>
          <w:ilvl w:val="1"/>
          <w:numId w:val="24"/>
        </w:numPr>
        <w:tabs>
          <w:tab w:val="left" w:pos="1134"/>
        </w:tabs>
        <w:spacing w:before="120" w:after="120" w:line="288" w:lineRule="auto"/>
        <w:ind w:left="1134" w:hanging="567"/>
        <w:contextualSpacing w:val="0"/>
        <w:rPr>
          <w:rFonts w:ascii="Calibri" w:hAnsi="Calibri"/>
          <w:sz w:val="23"/>
          <w:szCs w:val="23"/>
        </w:rPr>
      </w:pPr>
      <w:r w:rsidRPr="00DF2C4D">
        <w:rPr>
          <w:rFonts w:ascii="Calibri" w:hAnsi="Calibri"/>
          <w:sz w:val="23"/>
          <w:szCs w:val="23"/>
        </w:rPr>
        <w:t>60 per cent of children known to care and protection services left school without at least a Level 2 NCEA qualification</w:t>
      </w:r>
    </w:p>
    <w:p w14:paraId="07F81CDE" w14:textId="77777777" w:rsidR="00DF2C4D" w:rsidRPr="00DF2C4D" w:rsidRDefault="00DF2C4D" w:rsidP="00F6637E">
      <w:pPr>
        <w:pStyle w:val="ListParagraph"/>
        <w:numPr>
          <w:ilvl w:val="1"/>
          <w:numId w:val="24"/>
        </w:numPr>
        <w:tabs>
          <w:tab w:val="left" w:pos="1134"/>
        </w:tabs>
        <w:spacing w:before="120" w:after="120" w:line="288" w:lineRule="auto"/>
        <w:ind w:left="1134" w:hanging="567"/>
        <w:contextualSpacing w:val="0"/>
        <w:rPr>
          <w:rFonts w:ascii="Calibri" w:hAnsi="Calibri"/>
          <w:sz w:val="23"/>
          <w:szCs w:val="23"/>
        </w:rPr>
      </w:pPr>
      <w:r w:rsidRPr="00DF2C4D">
        <w:rPr>
          <w:rFonts w:ascii="Calibri" w:hAnsi="Calibri"/>
          <w:sz w:val="23"/>
          <w:szCs w:val="23"/>
        </w:rPr>
        <w:lastRenderedPageBreak/>
        <w:t>20 per cent of children known to care and protection were subsequently referred by the Police due to youth offending</w:t>
      </w:r>
    </w:p>
    <w:p w14:paraId="5478179C" w14:textId="77777777" w:rsidR="00DF2C4D" w:rsidRPr="00DF2C4D" w:rsidRDefault="00DF2C4D" w:rsidP="00F6637E">
      <w:pPr>
        <w:pStyle w:val="ListParagraph"/>
        <w:numPr>
          <w:ilvl w:val="1"/>
          <w:numId w:val="24"/>
        </w:numPr>
        <w:tabs>
          <w:tab w:val="left" w:pos="1134"/>
        </w:tabs>
        <w:spacing w:before="120" w:after="120" w:line="288" w:lineRule="auto"/>
        <w:ind w:left="1134" w:hanging="567"/>
        <w:contextualSpacing w:val="0"/>
        <w:rPr>
          <w:rFonts w:ascii="Calibri" w:hAnsi="Calibri"/>
          <w:sz w:val="23"/>
          <w:szCs w:val="23"/>
        </w:rPr>
      </w:pPr>
      <w:r w:rsidRPr="00DF2C4D">
        <w:rPr>
          <w:rFonts w:ascii="Calibri" w:hAnsi="Calibri"/>
          <w:sz w:val="23"/>
          <w:szCs w:val="23"/>
        </w:rPr>
        <w:t xml:space="preserve">70 per cent of children with care and protection contact </w:t>
      </w:r>
      <w:r>
        <w:rPr>
          <w:rFonts w:ascii="Calibri" w:hAnsi="Calibri"/>
          <w:sz w:val="23"/>
          <w:szCs w:val="23"/>
        </w:rPr>
        <w:t xml:space="preserve">are </w:t>
      </w:r>
      <w:r w:rsidRPr="00DF2C4D">
        <w:rPr>
          <w:rFonts w:ascii="Calibri" w:hAnsi="Calibri"/>
          <w:sz w:val="23"/>
          <w:szCs w:val="23"/>
        </w:rPr>
        <w:t>on an benefit for some period by age 21</w:t>
      </w:r>
    </w:p>
    <w:p w14:paraId="1E2EA6E6" w14:textId="77777777" w:rsidR="00DF2C4D" w:rsidRPr="00DF2C4D" w:rsidRDefault="00DF2C4D" w:rsidP="00F6637E">
      <w:pPr>
        <w:pStyle w:val="ListParagraph"/>
        <w:numPr>
          <w:ilvl w:val="1"/>
          <w:numId w:val="24"/>
        </w:numPr>
        <w:tabs>
          <w:tab w:val="left" w:pos="1134"/>
        </w:tabs>
        <w:spacing w:before="120" w:after="120" w:line="288" w:lineRule="auto"/>
        <w:ind w:left="1134" w:hanging="567"/>
        <w:contextualSpacing w:val="0"/>
        <w:rPr>
          <w:rFonts w:ascii="Calibri" w:hAnsi="Calibri"/>
          <w:sz w:val="23"/>
          <w:szCs w:val="23"/>
        </w:rPr>
      </w:pPr>
      <w:r w:rsidRPr="00DF2C4D">
        <w:rPr>
          <w:rFonts w:ascii="Calibri" w:hAnsi="Calibri"/>
          <w:sz w:val="23"/>
          <w:szCs w:val="23"/>
        </w:rPr>
        <w:t>20 per cent of children with care and protection contact received an adult community sentence by age 21</w:t>
      </w:r>
    </w:p>
    <w:p w14:paraId="7EC57641" w14:textId="77777777" w:rsidR="00DF2C4D" w:rsidRPr="00DF2C4D" w:rsidRDefault="00DF2C4D" w:rsidP="00F6637E">
      <w:pPr>
        <w:pStyle w:val="ListParagraph"/>
        <w:numPr>
          <w:ilvl w:val="1"/>
          <w:numId w:val="24"/>
        </w:numPr>
        <w:tabs>
          <w:tab w:val="left" w:pos="1134"/>
        </w:tabs>
        <w:spacing w:before="120" w:after="120" w:line="288" w:lineRule="auto"/>
        <w:ind w:left="1134" w:hanging="567"/>
        <w:contextualSpacing w:val="0"/>
        <w:rPr>
          <w:rFonts w:ascii="Calibri" w:hAnsi="Calibri"/>
          <w:sz w:val="23"/>
          <w:szCs w:val="23"/>
        </w:rPr>
      </w:pPr>
      <w:r w:rsidRPr="00DF2C4D">
        <w:rPr>
          <w:rFonts w:ascii="Calibri" w:hAnsi="Calibri"/>
          <w:sz w:val="23"/>
          <w:szCs w:val="23"/>
        </w:rPr>
        <w:t>10 per cent of children with care and protection contact received an adult custodial sentence by age 21.</w:t>
      </w:r>
    </w:p>
    <w:p w14:paraId="78569E5C" w14:textId="77777777" w:rsidR="000645FA" w:rsidRDefault="00DF2C4D" w:rsidP="006359D1">
      <w:pPr>
        <w:pStyle w:val="MOJNumPara"/>
        <w:tabs>
          <w:tab w:val="clear" w:pos="709"/>
          <w:tab w:val="left" w:pos="567"/>
        </w:tabs>
        <w:spacing w:before="200"/>
        <w:ind w:left="567" w:right="-142" w:hanging="567"/>
      </w:pPr>
      <w:r>
        <w:t>S</w:t>
      </w:r>
      <w:r w:rsidR="000645FA">
        <w:t xml:space="preserve">uch </w:t>
      </w:r>
      <w:r>
        <w:t xml:space="preserve">outcomes </w:t>
      </w:r>
      <w:r w:rsidR="000645FA">
        <w:t xml:space="preserve">have led to Child, Youth and Family being reviewed and restructured some 14 times.  This has occurred without major legislative reform to support practice and accountability change and, notably, without fundamental improvements for vulnerable children.  </w:t>
      </w:r>
    </w:p>
    <w:p w14:paraId="2E062E47" w14:textId="77777777" w:rsidR="00966EAB" w:rsidRDefault="000645FA" w:rsidP="006359D1">
      <w:pPr>
        <w:pStyle w:val="MOJNumPara"/>
        <w:tabs>
          <w:tab w:val="clear" w:pos="709"/>
          <w:tab w:val="left" w:pos="567"/>
        </w:tabs>
        <w:spacing w:before="200"/>
        <w:ind w:left="567" w:right="-142" w:hanging="567"/>
      </w:pPr>
      <w:r>
        <w:t>To address this situation Government has endorsed the most far-reaching reforms since the 1989 CYPF Act to embed and enact a much more child-centred and investment approach focused care and protection and youth justice system</w:t>
      </w:r>
      <w:r w:rsidR="00966EAB">
        <w:t>.</w:t>
      </w:r>
    </w:p>
    <w:p w14:paraId="3E2A2133" w14:textId="77777777" w:rsidR="00607307" w:rsidRPr="00193EA5" w:rsidRDefault="00607307" w:rsidP="006359D1">
      <w:pPr>
        <w:tabs>
          <w:tab w:val="left" w:pos="567"/>
        </w:tabs>
        <w:spacing w:before="120" w:after="120"/>
        <w:ind w:left="567" w:right="-142" w:hanging="567"/>
        <w:jc w:val="both"/>
        <w:rPr>
          <w:rFonts w:ascii="Calibri" w:hAnsi="Calibri"/>
          <w:b/>
          <w:i/>
          <w:color w:val="263E78"/>
          <w:sz w:val="23"/>
          <w:szCs w:val="23"/>
        </w:rPr>
      </w:pPr>
      <w:r w:rsidRPr="00193EA5">
        <w:rPr>
          <w:rFonts w:ascii="Calibri" w:hAnsi="Calibri"/>
          <w:b/>
          <w:i/>
          <w:color w:val="263E78"/>
          <w:sz w:val="23"/>
          <w:szCs w:val="23"/>
        </w:rPr>
        <w:t>Signalling and driving fundamental and wide-ranging reform</w:t>
      </w:r>
    </w:p>
    <w:p w14:paraId="71487F56" w14:textId="77777777" w:rsidR="00966EAB" w:rsidRPr="00966EAB" w:rsidRDefault="00607307" w:rsidP="006359D1">
      <w:pPr>
        <w:pStyle w:val="MOJNumPara"/>
        <w:tabs>
          <w:tab w:val="clear" w:pos="709"/>
          <w:tab w:val="left" w:pos="567"/>
        </w:tabs>
        <w:ind w:left="567" w:right="-142" w:hanging="567"/>
      </w:pPr>
      <w:r w:rsidRPr="00607307">
        <w:t>T</w:t>
      </w:r>
      <w:r w:rsidRPr="00966EAB">
        <w:t>he CYPF Act 1989 sought to establish a new model of social work, with a much stronger focus on family participation and decision making than under the earlier Children and Young Persons Act 1974.</w:t>
      </w:r>
    </w:p>
    <w:p w14:paraId="0549EFF8" w14:textId="77777777" w:rsidR="00966EAB" w:rsidRPr="00966EAB" w:rsidRDefault="00607307" w:rsidP="006359D1">
      <w:pPr>
        <w:pStyle w:val="MOJNumPara"/>
        <w:tabs>
          <w:tab w:val="clear" w:pos="709"/>
          <w:tab w:val="left" w:pos="567"/>
        </w:tabs>
        <w:ind w:left="567" w:right="-142" w:hanging="567"/>
      </w:pPr>
      <w:r w:rsidRPr="00966EAB">
        <w:t xml:space="preserve"> Alongside setting the practice framework, the CYPF Act informs public understanding and expectations of the role of the care and protection system in particular critical decision making regarding if, when and how to report suspected abuse and neglect, the level of harm at which such reporting is expected, and the role of the agency in areas such as prevention.  Legislative change in a number of comparable jurisdictions has been used to reset these decisions and expectations.</w:t>
      </w:r>
    </w:p>
    <w:p w14:paraId="0087BBF6" w14:textId="77777777" w:rsidR="00966EAB" w:rsidRPr="00966EAB" w:rsidRDefault="00FD0FAC" w:rsidP="006359D1">
      <w:pPr>
        <w:pStyle w:val="MOJNumPara"/>
        <w:tabs>
          <w:tab w:val="clear" w:pos="709"/>
          <w:tab w:val="left" w:pos="567"/>
        </w:tabs>
        <w:ind w:left="567" w:right="-142" w:hanging="567"/>
      </w:pPr>
      <w:r>
        <w:t>Significant reform to the 27</w:t>
      </w:r>
      <w:r w:rsidR="00607307" w:rsidRPr="00966EAB">
        <w:t>-year-old CYPF Act offers an approach to support and strongly signal to those on whom the success or failure of these reforms rest: practitioners, organisations, departments and the public.  In doing so this creates an opportunity to send a clear message and change the behaviour of actors within the care and protection and youth justice system.</w:t>
      </w:r>
    </w:p>
    <w:p w14:paraId="72428F0D" w14:textId="77777777" w:rsidR="00607307" w:rsidRPr="00966EAB" w:rsidRDefault="00607307" w:rsidP="006359D1">
      <w:pPr>
        <w:pStyle w:val="MOJNumPara"/>
        <w:tabs>
          <w:tab w:val="clear" w:pos="709"/>
          <w:tab w:val="left" w:pos="567"/>
        </w:tabs>
        <w:ind w:left="567" w:right="-142" w:hanging="567"/>
      </w:pPr>
      <w:r w:rsidRPr="00966EAB">
        <w:t>As with the 1989 CYPF Act, the current proposed legislative reforms are taking place contemporaneously with the development of the detailed operating model that sits under the Act.</w:t>
      </w:r>
    </w:p>
    <w:p w14:paraId="7E76D8E3" w14:textId="77777777" w:rsidR="00607307" w:rsidRPr="00966EAB" w:rsidRDefault="00607307" w:rsidP="006359D1">
      <w:pPr>
        <w:pStyle w:val="MOJNumPara"/>
        <w:tabs>
          <w:tab w:val="clear" w:pos="709"/>
          <w:tab w:val="left" w:pos="567"/>
        </w:tabs>
        <w:ind w:left="567" w:right="-142" w:hanging="567"/>
      </w:pPr>
      <w:r w:rsidRPr="00966EAB">
        <w:t xml:space="preserve">With this in mind, legislative options seek to direct behavioural change and enable operational development, rather than </w:t>
      </w:r>
      <w:r w:rsidR="00966EAB">
        <w:t xml:space="preserve">unduly prescribe the operating protocols for information sharing </w:t>
      </w:r>
      <w:r w:rsidRPr="00966EAB">
        <w:t xml:space="preserve">where this is not seen as necessary to achieve </w:t>
      </w:r>
      <w:r w:rsidR="00966EAB">
        <w:t xml:space="preserve">the </w:t>
      </w:r>
      <w:r w:rsidRPr="00966EAB">
        <w:t>policy intent.  Non-legislative options have been considered</w:t>
      </w:r>
      <w:r w:rsidR="00966EAB">
        <w:t xml:space="preserve"> as part of this analysis, but we would note that the reform programme will, by necessity, require some changes to legislative settings for information disclosure</w:t>
      </w:r>
      <w:r w:rsidRPr="00966EAB">
        <w:t>.</w:t>
      </w:r>
    </w:p>
    <w:p w14:paraId="306B68E3" w14:textId="77777777" w:rsidR="00966EAB" w:rsidRPr="00966EAB" w:rsidRDefault="00607307" w:rsidP="006359D1">
      <w:pPr>
        <w:pStyle w:val="MOJNumPara"/>
        <w:tabs>
          <w:tab w:val="clear" w:pos="709"/>
          <w:tab w:val="left" w:pos="567"/>
        </w:tabs>
        <w:ind w:left="567" w:right="-142" w:hanging="567"/>
      </w:pPr>
      <w:r w:rsidRPr="00966EAB">
        <w:t xml:space="preserve">The reform programme, including proposals in this RIS, involve significant cultural shifts to put children at the centre of the system, legislative and policy change, enhancements to service provision, greater engagement of New Zealanders and a wide range of partners, new </w:t>
      </w:r>
      <w:r w:rsidRPr="00966EAB">
        <w:lastRenderedPageBreak/>
        <w:t>investment, as well as significant changes to the operating model of the core agency involved in the system</w:t>
      </w:r>
      <w:r w:rsidR="00966EAB">
        <w:t>.</w:t>
      </w:r>
    </w:p>
    <w:p w14:paraId="23A3A003" w14:textId="77777777" w:rsidR="00966EAB" w:rsidRPr="00966EAB" w:rsidRDefault="00607307" w:rsidP="006359D1">
      <w:pPr>
        <w:pStyle w:val="MOJNumPara"/>
        <w:tabs>
          <w:tab w:val="clear" w:pos="709"/>
          <w:tab w:val="left" w:pos="567"/>
        </w:tabs>
        <w:spacing w:before="200"/>
        <w:ind w:left="567" w:right="-142" w:hanging="567"/>
      </w:pPr>
      <w:r w:rsidRPr="00966EAB">
        <w:t>There are two parts to the reform programme</w:t>
      </w:r>
      <w:r w:rsidR="00966EAB">
        <w:t>;</w:t>
      </w:r>
    </w:p>
    <w:p w14:paraId="573E5ADF" w14:textId="77777777" w:rsidR="00607307" w:rsidRPr="00607307" w:rsidRDefault="00607307" w:rsidP="00F6637E">
      <w:pPr>
        <w:pStyle w:val="Bullet-list"/>
        <w:numPr>
          <w:ilvl w:val="0"/>
          <w:numId w:val="18"/>
        </w:numPr>
        <w:tabs>
          <w:tab w:val="left" w:pos="1134"/>
        </w:tabs>
        <w:spacing w:after="120"/>
        <w:ind w:left="1134" w:right="-142" w:hanging="567"/>
      </w:pPr>
      <w:r w:rsidRPr="00607307">
        <w:t xml:space="preserve">Stage </w:t>
      </w:r>
      <w:proofErr w:type="gramStart"/>
      <w:r w:rsidRPr="00607307">
        <w:t>One</w:t>
      </w:r>
      <w:proofErr w:type="gramEnd"/>
      <w:r w:rsidRPr="00607307">
        <w:t xml:space="preserve"> is the Children, Young Persons, and Their Families (Advocacy, Workforce, and Age Settings) Amendment Bill (Bill No 1). Bill No 1 makes better provision for children’s and young persons’ participation and views in processes and proceedings under the CYPF Act and enables a wider range of professionals to perform functions under the CYPF Act. </w:t>
      </w:r>
    </w:p>
    <w:p w14:paraId="0E30F74E" w14:textId="77777777" w:rsidR="00607307" w:rsidRPr="00607307" w:rsidRDefault="00607307" w:rsidP="00F6637E">
      <w:pPr>
        <w:pStyle w:val="Bullet-list"/>
        <w:numPr>
          <w:ilvl w:val="0"/>
          <w:numId w:val="18"/>
        </w:numPr>
        <w:tabs>
          <w:tab w:val="left" w:pos="1134"/>
        </w:tabs>
        <w:spacing w:after="120"/>
        <w:ind w:left="1134" w:right="-142" w:hanging="567"/>
      </w:pPr>
      <w:r w:rsidRPr="00607307">
        <w:t>Stage Two consists of a more complex and wide-ranging set of legislative reforms to give effect to the proposed new operating model, as part of a second bill amending the CYPF Act (Bill No 2).</w:t>
      </w:r>
    </w:p>
    <w:p w14:paraId="078C1A18" w14:textId="77777777" w:rsidR="00966EAB" w:rsidRPr="00966EAB" w:rsidRDefault="00607307" w:rsidP="006359D1">
      <w:pPr>
        <w:pStyle w:val="MOJNumPara"/>
        <w:tabs>
          <w:tab w:val="clear" w:pos="709"/>
          <w:tab w:val="left" w:pos="567"/>
        </w:tabs>
        <w:ind w:left="567" w:right="-142" w:hanging="567"/>
      </w:pPr>
      <w:r w:rsidRPr="00607307">
        <w:t>T</w:t>
      </w:r>
      <w:r w:rsidRPr="00966EAB">
        <w:t xml:space="preserve">his RIS is part of the second stage of reforms and focuses on the information sharing framework needed to facilitate the behavioural changes and improvements in </w:t>
      </w:r>
      <w:r w:rsidR="00966EAB">
        <w:t xml:space="preserve">the impact of </w:t>
      </w:r>
      <w:r w:rsidRPr="00966EAB">
        <w:t>service</w:t>
      </w:r>
      <w:r w:rsidR="00966EAB">
        <w:t>s</w:t>
      </w:r>
      <w:r w:rsidRPr="00966EAB">
        <w:t xml:space="preserve"> contemplated by the new operating model</w:t>
      </w:r>
      <w:r w:rsidR="00966EAB">
        <w:t>.</w:t>
      </w:r>
    </w:p>
    <w:p w14:paraId="24D1CB62" w14:textId="77777777" w:rsidR="00607307" w:rsidRPr="00966EAB" w:rsidRDefault="00607307" w:rsidP="006359D1">
      <w:pPr>
        <w:pStyle w:val="MOJNumPara"/>
        <w:tabs>
          <w:tab w:val="clear" w:pos="709"/>
          <w:tab w:val="left" w:pos="567"/>
        </w:tabs>
        <w:spacing w:before="200"/>
        <w:ind w:left="567" w:right="-142" w:hanging="567"/>
      </w:pPr>
      <w:r w:rsidRPr="00966EAB">
        <w:t xml:space="preserve">Proposals in this </w:t>
      </w:r>
      <w:r w:rsidR="00966EAB">
        <w:t>RIS</w:t>
      </w:r>
      <w:r w:rsidRPr="00966EAB">
        <w:t xml:space="preserve"> have been considered</w:t>
      </w:r>
      <w:r w:rsidR="00966EAB">
        <w:t xml:space="preserve">, amongst other criteria, </w:t>
      </w:r>
      <w:r w:rsidRPr="00966EAB">
        <w:t>whether</w:t>
      </w:r>
      <w:r w:rsidR="00966EAB">
        <w:t xml:space="preserve"> the option</w:t>
      </w:r>
      <w:r w:rsidRPr="00966EAB">
        <w:t>:</w:t>
      </w:r>
    </w:p>
    <w:p w14:paraId="1F743F14" w14:textId="77777777" w:rsidR="00607307" w:rsidRPr="00607307" w:rsidRDefault="00607307" w:rsidP="006359D1">
      <w:pPr>
        <w:pStyle w:val="Bullet1"/>
        <w:tabs>
          <w:tab w:val="left" w:pos="1134"/>
        </w:tabs>
        <w:ind w:right="-142"/>
        <w:jc w:val="both"/>
        <w:rPr>
          <w:rFonts w:ascii="Calibri" w:hAnsi="Calibri"/>
          <w:sz w:val="23"/>
          <w:szCs w:val="23"/>
        </w:rPr>
      </w:pPr>
      <w:r w:rsidRPr="00607307">
        <w:rPr>
          <w:rFonts w:ascii="Calibri" w:hAnsi="Calibri"/>
          <w:sz w:val="23"/>
          <w:szCs w:val="23"/>
        </w:rPr>
        <w:t>best supports the policy intent</w:t>
      </w:r>
      <w:r w:rsidR="00966EAB">
        <w:rPr>
          <w:rFonts w:ascii="Calibri" w:hAnsi="Calibri"/>
          <w:sz w:val="23"/>
          <w:szCs w:val="23"/>
        </w:rPr>
        <w:t>;</w:t>
      </w:r>
    </w:p>
    <w:p w14:paraId="49A498E3" w14:textId="77777777" w:rsidR="00607307" w:rsidRPr="00607307" w:rsidRDefault="00607307" w:rsidP="006359D1">
      <w:pPr>
        <w:pStyle w:val="Bullet1"/>
        <w:tabs>
          <w:tab w:val="left" w:pos="1134"/>
        </w:tabs>
        <w:ind w:right="-142"/>
        <w:jc w:val="both"/>
        <w:rPr>
          <w:rFonts w:ascii="Calibri" w:hAnsi="Calibri"/>
          <w:sz w:val="23"/>
          <w:szCs w:val="23"/>
        </w:rPr>
      </w:pPr>
      <w:r w:rsidRPr="00607307">
        <w:rPr>
          <w:rFonts w:ascii="Calibri" w:hAnsi="Calibri"/>
          <w:sz w:val="23"/>
          <w:szCs w:val="23"/>
        </w:rPr>
        <w:t xml:space="preserve">provides the strongest signal and greatest support to achieve </w:t>
      </w:r>
      <w:r w:rsidR="00966EAB">
        <w:rPr>
          <w:rFonts w:ascii="Calibri" w:hAnsi="Calibri"/>
          <w:sz w:val="23"/>
          <w:szCs w:val="23"/>
        </w:rPr>
        <w:t xml:space="preserve">the policy </w:t>
      </w:r>
      <w:r w:rsidRPr="00607307">
        <w:rPr>
          <w:rFonts w:ascii="Calibri" w:hAnsi="Calibri"/>
          <w:sz w:val="23"/>
          <w:szCs w:val="23"/>
        </w:rPr>
        <w:t>intent</w:t>
      </w:r>
      <w:r w:rsidR="00966EAB">
        <w:rPr>
          <w:rFonts w:ascii="Calibri" w:hAnsi="Calibri"/>
          <w:sz w:val="23"/>
          <w:szCs w:val="23"/>
        </w:rPr>
        <w:t>;</w:t>
      </w:r>
    </w:p>
    <w:p w14:paraId="4A8A2643" w14:textId="77777777" w:rsidR="00607307" w:rsidRPr="00966EAB" w:rsidRDefault="00607307" w:rsidP="006359D1">
      <w:pPr>
        <w:pStyle w:val="Bullet1"/>
        <w:tabs>
          <w:tab w:val="left" w:pos="1134"/>
        </w:tabs>
        <w:ind w:right="-142"/>
        <w:jc w:val="both"/>
        <w:rPr>
          <w:rFonts w:ascii="Calibri" w:hAnsi="Calibri"/>
          <w:sz w:val="23"/>
          <w:szCs w:val="23"/>
        </w:rPr>
      </w:pPr>
      <w:proofErr w:type="gramStart"/>
      <w:r w:rsidRPr="00607307">
        <w:rPr>
          <w:rFonts w:ascii="Calibri" w:hAnsi="Calibri"/>
          <w:sz w:val="23"/>
          <w:szCs w:val="23"/>
        </w:rPr>
        <w:t>provides</w:t>
      </w:r>
      <w:proofErr w:type="gramEnd"/>
      <w:r w:rsidRPr="00607307">
        <w:rPr>
          <w:rFonts w:ascii="Calibri" w:hAnsi="Calibri"/>
          <w:sz w:val="23"/>
          <w:szCs w:val="23"/>
        </w:rPr>
        <w:t xml:space="preserve"> sufficient flexibility and durability to support the finer detail of the operational model and future developments.</w:t>
      </w:r>
    </w:p>
    <w:p w14:paraId="30EAC476" w14:textId="77777777" w:rsidR="001A0AE8" w:rsidRPr="000645FA" w:rsidRDefault="00607307" w:rsidP="006359D1">
      <w:pPr>
        <w:pStyle w:val="Heading4"/>
        <w:tabs>
          <w:tab w:val="left" w:pos="567"/>
        </w:tabs>
        <w:ind w:left="567" w:right="-142" w:hanging="567"/>
        <w:rPr>
          <w:i w:val="0"/>
          <w:sz w:val="24"/>
          <w:szCs w:val="24"/>
        </w:rPr>
      </w:pPr>
      <w:r>
        <w:rPr>
          <w:i w:val="0"/>
          <w:sz w:val="24"/>
          <w:szCs w:val="24"/>
        </w:rPr>
        <w:t>Status Quo and p</w:t>
      </w:r>
      <w:r w:rsidR="000645FA" w:rsidRPr="000645FA">
        <w:rPr>
          <w:i w:val="0"/>
          <w:sz w:val="24"/>
          <w:szCs w:val="24"/>
        </w:rPr>
        <w:t>roblem definition</w:t>
      </w:r>
    </w:p>
    <w:p w14:paraId="397FC0D4" w14:textId="77777777" w:rsidR="001A0AE8" w:rsidRDefault="001A0AE8" w:rsidP="006359D1">
      <w:pPr>
        <w:pStyle w:val="MOJNumPara"/>
        <w:tabs>
          <w:tab w:val="clear" w:pos="709"/>
          <w:tab w:val="left" w:pos="567"/>
        </w:tabs>
        <w:ind w:left="567" w:right="-142" w:hanging="567"/>
        <w:rPr>
          <w:lang w:eastAsia="en-NZ"/>
        </w:rPr>
      </w:pPr>
      <w:r>
        <w:rPr>
          <w:lang w:eastAsia="en-NZ"/>
        </w:rPr>
        <w:t>Under the current operating model for Child, Youth and Family the powers, duties and responsibilities for child welfare and safety are concentrated with a small group of decision-makers, comprising:</w:t>
      </w:r>
    </w:p>
    <w:p w14:paraId="7515564F" w14:textId="77777777" w:rsidR="001A0AE8" w:rsidRDefault="001A0AE8" w:rsidP="006359D1">
      <w:pPr>
        <w:pStyle w:val="MOJNumPara"/>
        <w:numPr>
          <w:ilvl w:val="1"/>
          <w:numId w:val="12"/>
        </w:numPr>
        <w:tabs>
          <w:tab w:val="clear" w:pos="1418"/>
          <w:tab w:val="left" w:pos="1134"/>
        </w:tabs>
        <w:ind w:left="1134" w:right="-142" w:hanging="567"/>
        <w:rPr>
          <w:lang w:eastAsia="en-NZ"/>
        </w:rPr>
      </w:pPr>
      <w:r>
        <w:rPr>
          <w:lang w:eastAsia="en-NZ"/>
        </w:rPr>
        <w:t>Child Youth and Family social workers,</w:t>
      </w:r>
    </w:p>
    <w:p w14:paraId="4E9D17F9" w14:textId="77777777" w:rsidR="001A0AE8" w:rsidRDefault="001A0AE8" w:rsidP="006359D1">
      <w:pPr>
        <w:pStyle w:val="MOJNumPara"/>
        <w:numPr>
          <w:ilvl w:val="1"/>
          <w:numId w:val="12"/>
        </w:numPr>
        <w:tabs>
          <w:tab w:val="clear" w:pos="1418"/>
          <w:tab w:val="left" w:pos="1134"/>
        </w:tabs>
        <w:ind w:left="1134" w:right="-142" w:hanging="567"/>
        <w:rPr>
          <w:lang w:eastAsia="en-NZ"/>
        </w:rPr>
      </w:pPr>
      <w:r>
        <w:rPr>
          <w:lang w:eastAsia="en-NZ"/>
        </w:rPr>
        <w:t>the Family Group Conference,</w:t>
      </w:r>
    </w:p>
    <w:p w14:paraId="7BAD8E49" w14:textId="77777777" w:rsidR="001A0AE8" w:rsidRDefault="001A0AE8" w:rsidP="006359D1">
      <w:pPr>
        <w:pStyle w:val="MOJNumPara"/>
        <w:numPr>
          <w:ilvl w:val="1"/>
          <w:numId w:val="12"/>
        </w:numPr>
        <w:tabs>
          <w:tab w:val="clear" w:pos="1418"/>
          <w:tab w:val="left" w:pos="1134"/>
        </w:tabs>
        <w:ind w:left="1134" w:right="-142" w:hanging="567"/>
        <w:rPr>
          <w:lang w:eastAsia="en-NZ"/>
        </w:rPr>
      </w:pPr>
      <w:proofErr w:type="gramStart"/>
      <w:r>
        <w:rPr>
          <w:lang w:eastAsia="en-NZ"/>
        </w:rPr>
        <w:t>the</w:t>
      </w:r>
      <w:proofErr w:type="gramEnd"/>
      <w:r>
        <w:rPr>
          <w:lang w:eastAsia="en-NZ"/>
        </w:rPr>
        <w:t xml:space="preserve"> chief executive of the Ministry of Social Development.</w:t>
      </w:r>
    </w:p>
    <w:p w14:paraId="4C3876C3" w14:textId="77777777" w:rsidR="000645FA" w:rsidRPr="000645FA" w:rsidRDefault="001A0AE8" w:rsidP="006359D1">
      <w:pPr>
        <w:pStyle w:val="MOJNumPara"/>
        <w:tabs>
          <w:tab w:val="clear" w:pos="709"/>
          <w:tab w:val="left" w:pos="567"/>
        </w:tabs>
        <w:spacing w:before="200"/>
        <w:ind w:left="567" w:right="-142" w:hanging="567"/>
        <w:rPr>
          <w:lang w:eastAsia="en-NZ"/>
        </w:rPr>
      </w:pPr>
      <w:r w:rsidRPr="000645FA">
        <w:rPr>
          <w:lang w:eastAsia="en-NZ"/>
        </w:rPr>
        <w:t xml:space="preserve">The information sharing framework that supports this model is embodied in key provisions of the </w:t>
      </w:r>
      <w:r w:rsidR="00623614">
        <w:rPr>
          <w:lang w:eastAsia="en-NZ"/>
        </w:rPr>
        <w:t xml:space="preserve">CYPF Act.  </w:t>
      </w:r>
    </w:p>
    <w:p w14:paraId="2D30F494" w14:textId="77777777" w:rsidR="000645FA" w:rsidRPr="00193EA5" w:rsidRDefault="000645FA" w:rsidP="006359D1">
      <w:pPr>
        <w:pStyle w:val="MOJNumPara"/>
        <w:numPr>
          <w:ilvl w:val="0"/>
          <w:numId w:val="0"/>
        </w:numPr>
        <w:tabs>
          <w:tab w:val="left" w:pos="567"/>
        </w:tabs>
        <w:ind w:left="567" w:right="-142" w:hanging="567"/>
        <w:rPr>
          <w:b/>
          <w:i/>
          <w:color w:val="263E78"/>
          <w:lang w:eastAsia="en-NZ"/>
        </w:rPr>
      </w:pPr>
      <w:r w:rsidRPr="00193EA5">
        <w:rPr>
          <w:b/>
          <w:i/>
          <w:color w:val="263E78"/>
          <w:lang w:eastAsia="en-NZ"/>
        </w:rPr>
        <w:t xml:space="preserve">The </w:t>
      </w:r>
      <w:r w:rsidR="00265E0A" w:rsidRPr="00193EA5">
        <w:rPr>
          <w:b/>
          <w:i/>
          <w:color w:val="263E78"/>
          <w:lang w:eastAsia="en-NZ"/>
        </w:rPr>
        <w:t xml:space="preserve">CYPF </w:t>
      </w:r>
      <w:r w:rsidRPr="00193EA5">
        <w:rPr>
          <w:b/>
          <w:i/>
          <w:color w:val="263E78"/>
          <w:lang w:eastAsia="en-NZ"/>
        </w:rPr>
        <w:t>Act only facilitat</w:t>
      </w:r>
      <w:r w:rsidR="00813C8F" w:rsidRPr="00193EA5">
        <w:rPr>
          <w:b/>
          <w:i/>
          <w:color w:val="263E78"/>
          <w:lang w:eastAsia="en-NZ"/>
        </w:rPr>
        <w:t xml:space="preserve">es the </w:t>
      </w:r>
      <w:r w:rsidRPr="00193EA5">
        <w:rPr>
          <w:b/>
          <w:i/>
          <w:color w:val="263E78"/>
          <w:lang w:eastAsia="en-NZ"/>
        </w:rPr>
        <w:t xml:space="preserve">one-way disclosure of information  </w:t>
      </w:r>
    </w:p>
    <w:p w14:paraId="4A238E28" w14:textId="77777777" w:rsidR="000645FA" w:rsidRPr="000645FA" w:rsidRDefault="000645FA" w:rsidP="006359D1">
      <w:pPr>
        <w:pStyle w:val="MOJNumPara"/>
        <w:tabs>
          <w:tab w:val="clear" w:pos="709"/>
          <w:tab w:val="left" w:pos="567"/>
        </w:tabs>
        <w:ind w:left="567" w:right="-142" w:hanging="567"/>
        <w:rPr>
          <w:lang w:eastAsia="en-NZ"/>
        </w:rPr>
      </w:pPr>
      <w:r w:rsidRPr="000645FA">
        <w:rPr>
          <w:rFonts w:cs="Arial"/>
        </w:rPr>
        <w:t xml:space="preserve">Section 15 of the Act allows any person to notify Child, Youth and Family or Police about a concern over the wellbeing or safety of a child or young person.  This provision appears to be working well in assisting Child, Youth and Family and Police </w:t>
      </w:r>
      <w:r w:rsidR="00026ED2">
        <w:rPr>
          <w:rFonts w:cs="Arial"/>
        </w:rPr>
        <w:t xml:space="preserve">to </w:t>
      </w:r>
      <w:r w:rsidRPr="000645FA">
        <w:rPr>
          <w:rFonts w:cs="Arial"/>
        </w:rPr>
        <w:t>execute specific aspects of their statutory duties.  Nevertheless, section 15 only facilitates</w:t>
      </w:r>
      <w:r w:rsidR="00073D98">
        <w:rPr>
          <w:rFonts w:cs="Arial"/>
        </w:rPr>
        <w:t xml:space="preserve"> a one-</w:t>
      </w:r>
      <w:r w:rsidRPr="000645FA">
        <w:rPr>
          <w:rFonts w:cs="Arial"/>
        </w:rPr>
        <w:t>way flow of information into Child, Youth and Family.  It does not authorise the two-way and multiple-party information exchanges needed across agencies with responsibilities for the wellbeing and care of children and young people.</w:t>
      </w:r>
      <w:r w:rsidR="002B475A">
        <w:rPr>
          <w:rFonts w:cs="Arial"/>
        </w:rPr>
        <w:t xml:space="preserve"> </w:t>
      </w:r>
    </w:p>
    <w:p w14:paraId="51117DCE" w14:textId="77777777" w:rsidR="000645FA" w:rsidRPr="00193EA5" w:rsidRDefault="00193EA5" w:rsidP="006359D1">
      <w:pPr>
        <w:pStyle w:val="MOJNumPara"/>
        <w:numPr>
          <w:ilvl w:val="0"/>
          <w:numId w:val="0"/>
        </w:numPr>
        <w:tabs>
          <w:tab w:val="left" w:pos="567"/>
        </w:tabs>
        <w:ind w:left="567" w:right="-142" w:hanging="567"/>
        <w:rPr>
          <w:b/>
          <w:i/>
          <w:color w:val="263E78"/>
          <w:lang w:eastAsia="en-NZ"/>
        </w:rPr>
      </w:pPr>
      <w:r>
        <w:rPr>
          <w:rFonts w:cs="Arial"/>
          <w:b/>
          <w:i/>
        </w:rPr>
        <w:br w:type="page"/>
      </w:r>
      <w:r w:rsidR="00265E0A" w:rsidRPr="00193EA5">
        <w:rPr>
          <w:rFonts w:cs="Arial"/>
          <w:b/>
          <w:i/>
          <w:color w:val="263E78"/>
        </w:rPr>
        <w:lastRenderedPageBreak/>
        <w:t>The two-way</w:t>
      </w:r>
      <w:r w:rsidR="000645FA" w:rsidRPr="00193EA5">
        <w:rPr>
          <w:rFonts w:cs="Arial"/>
          <w:b/>
          <w:i/>
          <w:color w:val="263E78"/>
        </w:rPr>
        <w:t xml:space="preserve"> exchange </w:t>
      </w:r>
      <w:r w:rsidR="00265E0A" w:rsidRPr="00193EA5">
        <w:rPr>
          <w:rFonts w:cs="Arial"/>
          <w:b/>
          <w:i/>
          <w:color w:val="263E78"/>
        </w:rPr>
        <w:t>of information</w:t>
      </w:r>
      <w:r w:rsidR="00E7049F" w:rsidRPr="00193EA5">
        <w:rPr>
          <w:rFonts w:cs="Arial"/>
          <w:b/>
          <w:i/>
          <w:color w:val="263E78"/>
        </w:rPr>
        <w:t xml:space="preserve"> </w:t>
      </w:r>
      <w:r w:rsidR="000645FA" w:rsidRPr="00193EA5">
        <w:rPr>
          <w:rFonts w:cs="Arial"/>
          <w:b/>
          <w:i/>
          <w:color w:val="263E78"/>
        </w:rPr>
        <w:t xml:space="preserve">is </w:t>
      </w:r>
      <w:r w:rsidR="00E7049F" w:rsidRPr="00193EA5">
        <w:rPr>
          <w:rFonts w:cs="Arial"/>
          <w:b/>
          <w:i/>
          <w:color w:val="263E78"/>
        </w:rPr>
        <w:t>essential, not a “nice to have”</w:t>
      </w:r>
      <w:r w:rsidR="000645FA" w:rsidRPr="00193EA5">
        <w:rPr>
          <w:rFonts w:cs="Arial"/>
          <w:b/>
          <w:i/>
          <w:color w:val="263E78"/>
        </w:rPr>
        <w:t xml:space="preserve"> </w:t>
      </w:r>
    </w:p>
    <w:p w14:paraId="2714298B" w14:textId="77777777" w:rsidR="00925714" w:rsidRDefault="000645FA" w:rsidP="006359D1">
      <w:pPr>
        <w:pStyle w:val="MOJNumPara"/>
        <w:tabs>
          <w:tab w:val="clear" w:pos="709"/>
          <w:tab w:val="left" w:pos="567"/>
        </w:tabs>
        <w:ind w:left="567" w:right="-142" w:hanging="567"/>
        <w:rPr>
          <w:lang w:eastAsia="en-NZ"/>
        </w:rPr>
      </w:pPr>
      <w:r w:rsidRPr="000645FA">
        <w:rPr>
          <w:rFonts w:cs="Arial"/>
        </w:rPr>
        <w:t>The legal authorisation of two-way information exchanges, including the linking of data-sets from m</w:t>
      </w:r>
      <w:r w:rsidR="00026ED2">
        <w:rPr>
          <w:rFonts w:cs="Arial"/>
        </w:rPr>
        <w:t>ultiple sources, is essential for</w:t>
      </w:r>
      <w:r w:rsidRPr="000645FA">
        <w:rPr>
          <w:rFonts w:cs="Arial"/>
        </w:rPr>
        <w:t xml:space="preserve"> child welfare agencies to form a comprehensive view of the risks and needs of children and young people.  </w:t>
      </w:r>
      <w:r w:rsidR="00925714">
        <w:rPr>
          <w:rFonts w:cs="Arial"/>
        </w:rPr>
        <w:t xml:space="preserve">This includes </w:t>
      </w:r>
      <w:r w:rsidR="00925714">
        <w:t>high quality sharing of information through conversations and face-to-face exchanges between professionals, which are impeded by current legal settings</w:t>
      </w:r>
      <w:r w:rsidR="00760447">
        <w:t xml:space="preserve">.  Some frontline practitioners report these </w:t>
      </w:r>
      <w:proofErr w:type="gramStart"/>
      <w:r w:rsidR="00760447">
        <w:t xml:space="preserve">conversations </w:t>
      </w:r>
      <w:r w:rsidR="00925714">
        <w:t xml:space="preserve"> used</w:t>
      </w:r>
      <w:proofErr w:type="gramEnd"/>
      <w:r w:rsidR="00925714">
        <w:t xml:space="preserve"> to be common place before the enactment of the Privacy Act in 1993.    </w:t>
      </w:r>
    </w:p>
    <w:p w14:paraId="4B8A8DF1" w14:textId="77777777" w:rsidR="002B475A" w:rsidRPr="002B475A" w:rsidRDefault="000645FA" w:rsidP="006359D1">
      <w:pPr>
        <w:pStyle w:val="MOJNumPara"/>
        <w:tabs>
          <w:tab w:val="clear" w:pos="709"/>
          <w:tab w:val="left" w:pos="567"/>
        </w:tabs>
        <w:spacing w:before="200"/>
        <w:ind w:left="567" w:right="-142" w:hanging="567"/>
        <w:rPr>
          <w:lang w:eastAsia="en-NZ"/>
        </w:rPr>
      </w:pPr>
      <w:r w:rsidRPr="000645FA">
        <w:rPr>
          <w:rFonts w:cs="Arial"/>
        </w:rPr>
        <w:t xml:space="preserve">Access to high quality and more timely information </w:t>
      </w:r>
      <w:r w:rsidR="00925714">
        <w:rPr>
          <w:rFonts w:cs="Arial"/>
        </w:rPr>
        <w:t xml:space="preserve">through multiple-agency sharing </w:t>
      </w:r>
      <w:r w:rsidRPr="000645FA">
        <w:rPr>
          <w:rFonts w:cs="Arial"/>
        </w:rPr>
        <w:t>will fac</w:t>
      </w:r>
      <w:r w:rsidR="00E7049F">
        <w:rPr>
          <w:rFonts w:cs="Arial"/>
        </w:rPr>
        <w:t xml:space="preserve">ilitate </w:t>
      </w:r>
      <w:r w:rsidR="00914B76">
        <w:rPr>
          <w:rFonts w:cs="Arial"/>
        </w:rPr>
        <w:t xml:space="preserve">preventative interventions </w:t>
      </w:r>
      <w:r w:rsidR="00925714">
        <w:rPr>
          <w:rFonts w:cs="Arial"/>
        </w:rPr>
        <w:t xml:space="preserve">predicated </w:t>
      </w:r>
      <w:r w:rsidR="00914B76">
        <w:rPr>
          <w:rFonts w:cs="Arial"/>
        </w:rPr>
        <w:t xml:space="preserve">on a </w:t>
      </w:r>
      <w:r w:rsidRPr="000645FA">
        <w:rPr>
          <w:rFonts w:cs="Arial"/>
        </w:rPr>
        <w:t>social investment approach</w:t>
      </w:r>
      <w:r w:rsidR="00E7049F">
        <w:rPr>
          <w:rFonts w:cs="Arial"/>
        </w:rPr>
        <w:t xml:space="preserve">.  Most importantly, it will allow child welfare </w:t>
      </w:r>
      <w:r w:rsidRPr="000645FA">
        <w:rPr>
          <w:rFonts w:cs="Arial"/>
        </w:rPr>
        <w:t xml:space="preserve">agencies to take </w:t>
      </w:r>
      <w:r w:rsidR="00265E0A">
        <w:rPr>
          <w:rFonts w:cs="Arial"/>
        </w:rPr>
        <w:t xml:space="preserve">earlier </w:t>
      </w:r>
      <w:r w:rsidRPr="000645FA">
        <w:rPr>
          <w:rFonts w:cs="Arial"/>
        </w:rPr>
        <w:t>action to prevent non-accid</w:t>
      </w:r>
      <w:r w:rsidR="00265E0A">
        <w:rPr>
          <w:rFonts w:cs="Arial"/>
        </w:rPr>
        <w:t>ental deaths</w:t>
      </w:r>
      <w:r w:rsidR="002B475A">
        <w:rPr>
          <w:rFonts w:cs="Arial"/>
        </w:rPr>
        <w:t xml:space="preserve"> and other serious harm</w:t>
      </w:r>
      <w:r w:rsidR="00D865EF">
        <w:rPr>
          <w:rFonts w:cs="Arial"/>
        </w:rPr>
        <w:t>s</w:t>
      </w:r>
      <w:r w:rsidRPr="000645FA">
        <w:rPr>
          <w:rFonts w:cs="Arial"/>
        </w:rPr>
        <w:t>.  The Child and Youth Mortality Review Committee’s 2012 submission on the Green Paper for Vulnerable Children stated</w:t>
      </w:r>
      <w:r w:rsidR="002B475A">
        <w:rPr>
          <w:rFonts w:cs="Arial"/>
        </w:rPr>
        <w:t>:</w:t>
      </w:r>
    </w:p>
    <w:p w14:paraId="1D74253A" w14:textId="77777777" w:rsidR="000645FA" w:rsidRDefault="000645FA" w:rsidP="006359D1">
      <w:pPr>
        <w:pStyle w:val="CabStandard"/>
        <w:numPr>
          <w:ilvl w:val="0"/>
          <w:numId w:val="0"/>
        </w:numPr>
        <w:spacing w:before="120" w:after="120"/>
        <w:ind w:left="1276" w:right="567"/>
        <w:jc w:val="both"/>
        <w:rPr>
          <w:rFonts w:ascii="Calibri" w:hAnsi="Calibri" w:cs="Arial"/>
          <w:i/>
          <w:sz w:val="23"/>
          <w:szCs w:val="23"/>
        </w:rPr>
      </w:pPr>
      <w:r w:rsidRPr="000645FA">
        <w:rPr>
          <w:rFonts w:ascii="Calibri" w:hAnsi="Calibri" w:cs="Arial"/>
          <w:i/>
          <w:sz w:val="23"/>
          <w:szCs w:val="23"/>
        </w:rPr>
        <w:t xml:space="preserve">Many death reviews highlight deficits in systems to share information across organisations and disciplines. When data from different service sources is linked after death, we frequently recognise where the system of care could have been improved before death. Data needs to be linked better to support the care of the living.  </w:t>
      </w:r>
    </w:p>
    <w:p w14:paraId="0BC4F146" w14:textId="77777777" w:rsidR="00347274" w:rsidRDefault="00347274" w:rsidP="006359D1">
      <w:pPr>
        <w:pStyle w:val="MOJNumPara"/>
        <w:tabs>
          <w:tab w:val="clear" w:pos="709"/>
          <w:tab w:val="left" w:pos="567"/>
        </w:tabs>
        <w:spacing w:before="200"/>
        <w:ind w:left="567" w:hanging="567"/>
        <w:rPr>
          <w:lang w:eastAsia="en-NZ"/>
        </w:rPr>
      </w:pPr>
      <w:r>
        <w:rPr>
          <w:rFonts w:cs="Arial"/>
        </w:rPr>
        <w:t>The Chief Social Worker advises that there are currently</w:t>
      </w:r>
      <w:r>
        <w:rPr>
          <w:lang w:eastAsia="en-NZ"/>
        </w:rPr>
        <w:t xml:space="preserve"> s</w:t>
      </w:r>
      <w:r>
        <w:t>ignificant barriers in communication between agencies about the needs of vulnerable children, and this is negatively impacting on the quality of assessments and decision</w:t>
      </w:r>
      <w:r w:rsidR="007D5983">
        <w:t xml:space="preserve"> making.  </w:t>
      </w:r>
      <w:r w:rsidR="008928D4">
        <w:t>Consequently services are too often inadequate, or agencies do not sufficiently plan together for children's safety</w:t>
      </w:r>
      <w:r>
        <w:t xml:space="preserve">. </w:t>
      </w:r>
    </w:p>
    <w:p w14:paraId="1D68BDAF" w14:textId="77777777" w:rsidR="002B475A" w:rsidRPr="002B475A" w:rsidRDefault="00347274" w:rsidP="006359D1">
      <w:pPr>
        <w:pStyle w:val="MOJNumPara"/>
        <w:tabs>
          <w:tab w:val="clear" w:pos="709"/>
          <w:tab w:val="left" w:pos="567"/>
        </w:tabs>
        <w:spacing w:before="200" w:after="120"/>
        <w:ind w:left="567" w:right="-142" w:hanging="567"/>
        <w:rPr>
          <w:lang w:eastAsia="en-NZ"/>
        </w:rPr>
      </w:pPr>
      <w:r>
        <w:rPr>
          <w:rFonts w:cs="Arial"/>
        </w:rPr>
        <w:t xml:space="preserve">Effective </w:t>
      </w:r>
      <w:r w:rsidR="007D5983">
        <w:rPr>
          <w:rFonts w:cs="Arial"/>
        </w:rPr>
        <w:t>m</w:t>
      </w:r>
      <w:r w:rsidR="002B475A">
        <w:rPr>
          <w:rFonts w:cs="Arial"/>
        </w:rPr>
        <w:t xml:space="preserve">ultiple-agency information exchanges have been demonstrated to provide </w:t>
      </w:r>
      <w:r w:rsidR="002B475A" w:rsidRPr="002B475A">
        <w:t xml:space="preserve">a much richer and accurate assessment of the risks and needs of vulnerable children and young people. </w:t>
      </w:r>
      <w:r w:rsidR="002B475A">
        <w:t xml:space="preserve">A </w:t>
      </w:r>
      <w:r w:rsidR="002B475A" w:rsidRPr="002B475A">
        <w:t xml:space="preserve">United Kingdom study observed that </w:t>
      </w:r>
      <w:r w:rsidR="002B475A" w:rsidRPr="002B475A">
        <w:rPr>
          <w:rFonts w:cs="Minion"/>
        </w:rPr>
        <w:t>pulling together different strands of evidence from multiple agencies can have a significant impact on the number of child protection cases escalated to a more serious rating</w:t>
      </w:r>
      <w:r w:rsidR="002B475A">
        <w:rPr>
          <w:rFonts w:cs="Minion"/>
        </w:rPr>
        <w:t>.</w:t>
      </w:r>
      <w:r w:rsidR="002B475A" w:rsidRPr="006C7E92">
        <w:rPr>
          <w:rStyle w:val="FootnoteReference"/>
          <w:rFonts w:cs="Minion"/>
        </w:rPr>
        <w:footnoteReference w:id="2"/>
      </w:r>
      <w:r w:rsidR="008E47B3">
        <w:rPr>
          <w:rFonts w:cs="Minion"/>
        </w:rPr>
        <w:t xml:space="preserve">  The current law does not provide a solid legal basis </w:t>
      </w:r>
      <w:r w:rsidR="00026ED2">
        <w:rPr>
          <w:rFonts w:cs="Minion"/>
        </w:rPr>
        <w:t xml:space="preserve">to facilitate </w:t>
      </w:r>
      <w:r w:rsidR="00AD43B5">
        <w:rPr>
          <w:rFonts w:cs="Minion"/>
        </w:rPr>
        <w:t xml:space="preserve">this type of </w:t>
      </w:r>
      <w:r w:rsidR="008E47B3">
        <w:rPr>
          <w:rFonts w:cs="Minion"/>
        </w:rPr>
        <w:t xml:space="preserve">multiple-agency information sharing.  </w:t>
      </w:r>
    </w:p>
    <w:p w14:paraId="56419F57" w14:textId="77777777" w:rsidR="00265E0A" w:rsidRPr="00193EA5" w:rsidRDefault="00265E0A" w:rsidP="006359D1">
      <w:pPr>
        <w:pStyle w:val="MOJNumPara"/>
        <w:numPr>
          <w:ilvl w:val="0"/>
          <w:numId w:val="0"/>
        </w:numPr>
        <w:tabs>
          <w:tab w:val="left" w:pos="567"/>
        </w:tabs>
        <w:ind w:left="567" w:right="-142" w:hanging="567"/>
        <w:rPr>
          <w:b/>
          <w:i/>
          <w:color w:val="263E78"/>
          <w:lang w:eastAsia="en-NZ"/>
        </w:rPr>
      </w:pPr>
      <w:r w:rsidRPr="00193EA5">
        <w:rPr>
          <w:b/>
          <w:i/>
          <w:color w:val="263E78"/>
        </w:rPr>
        <w:t xml:space="preserve">The other information disclosure powers available to Child, Youth and Family </w:t>
      </w:r>
      <w:r w:rsidR="00813C8F" w:rsidRPr="00193EA5">
        <w:rPr>
          <w:b/>
          <w:i/>
          <w:color w:val="263E78"/>
        </w:rPr>
        <w:t>have shortcomings</w:t>
      </w:r>
    </w:p>
    <w:p w14:paraId="2E8AB25C" w14:textId="77777777" w:rsidR="00265E0A" w:rsidRPr="00265E0A" w:rsidRDefault="000645FA" w:rsidP="006359D1">
      <w:pPr>
        <w:pStyle w:val="MOJNumPara"/>
        <w:tabs>
          <w:tab w:val="clear" w:pos="709"/>
          <w:tab w:val="left" w:pos="567"/>
        </w:tabs>
        <w:ind w:left="567" w:right="-142" w:hanging="567"/>
        <w:rPr>
          <w:lang w:eastAsia="en-NZ"/>
        </w:rPr>
      </w:pPr>
      <w:r w:rsidRPr="00265E0A">
        <w:rPr>
          <w:rFonts w:cs="Arial"/>
        </w:rPr>
        <w:t xml:space="preserve">In addition to section 15 of the CYPF Act, other </w:t>
      </w:r>
      <w:r w:rsidRPr="00265E0A">
        <w:rPr>
          <w:rFonts w:cs="Arial"/>
          <w:color w:val="000000"/>
        </w:rPr>
        <w:t xml:space="preserve">information disclosure powers are available to Child, Youth and Family (sections 59-66 of the Act) to support decisions about whether children and young people should be placed in statutory care and protection.  </w:t>
      </w:r>
    </w:p>
    <w:p w14:paraId="19E94087" w14:textId="77777777" w:rsidR="00265E0A" w:rsidRPr="00265E0A" w:rsidRDefault="000645FA" w:rsidP="006359D1">
      <w:pPr>
        <w:pStyle w:val="MOJNumPara"/>
        <w:tabs>
          <w:tab w:val="clear" w:pos="709"/>
          <w:tab w:val="left" w:pos="567"/>
        </w:tabs>
        <w:ind w:left="567" w:right="-142" w:hanging="567"/>
        <w:rPr>
          <w:lang w:eastAsia="en-NZ"/>
        </w:rPr>
      </w:pPr>
      <w:r w:rsidRPr="00265E0A">
        <w:rPr>
          <w:rFonts w:cs="Arial"/>
          <w:color w:val="000000"/>
        </w:rPr>
        <w:t>The shortcomings of these provisions include</w:t>
      </w:r>
      <w:r w:rsidR="00265E0A">
        <w:rPr>
          <w:rFonts w:cs="Arial"/>
          <w:color w:val="000000"/>
        </w:rPr>
        <w:t>:</w:t>
      </w:r>
    </w:p>
    <w:p w14:paraId="245D2B00" w14:textId="77777777" w:rsidR="000645FA" w:rsidRPr="00265E0A" w:rsidRDefault="000645FA" w:rsidP="00F6637E">
      <w:pPr>
        <w:pStyle w:val="ReportBody"/>
        <w:numPr>
          <w:ilvl w:val="0"/>
          <w:numId w:val="16"/>
        </w:numPr>
        <w:tabs>
          <w:tab w:val="left" w:pos="1134"/>
        </w:tabs>
        <w:autoSpaceDE w:val="0"/>
        <w:autoSpaceDN w:val="0"/>
        <w:adjustRightInd w:val="0"/>
        <w:ind w:left="1134" w:right="-142" w:hanging="567"/>
        <w:jc w:val="both"/>
        <w:rPr>
          <w:rFonts w:ascii="Calibri" w:hAnsi="Calibri"/>
          <w:sz w:val="23"/>
          <w:szCs w:val="23"/>
        </w:rPr>
      </w:pPr>
      <w:proofErr w:type="gramStart"/>
      <w:r w:rsidRPr="00265E0A">
        <w:rPr>
          <w:rFonts w:ascii="Calibri" w:hAnsi="Calibri"/>
          <w:sz w:val="23"/>
          <w:szCs w:val="23"/>
        </w:rPr>
        <w:t>the</w:t>
      </w:r>
      <w:proofErr w:type="gramEnd"/>
      <w:r w:rsidRPr="00265E0A">
        <w:rPr>
          <w:rFonts w:ascii="Calibri" w:hAnsi="Calibri"/>
          <w:sz w:val="23"/>
          <w:szCs w:val="23"/>
        </w:rPr>
        <w:t xml:space="preserve"> coverage of section 66 is confined to state sector agencies, and excludes critical sectors such as licensed early childhood education providers and other parties who may hold relevant information about vulnerable children and young people</w:t>
      </w:r>
      <w:r w:rsidR="00265E0A" w:rsidRPr="00265E0A">
        <w:rPr>
          <w:rFonts w:ascii="Calibri" w:hAnsi="Calibri"/>
          <w:sz w:val="23"/>
          <w:szCs w:val="23"/>
        </w:rPr>
        <w:t>.  Thi</w:t>
      </w:r>
      <w:r w:rsidR="00E7049F">
        <w:rPr>
          <w:rFonts w:ascii="Calibri" w:hAnsi="Calibri"/>
          <w:sz w:val="23"/>
          <w:szCs w:val="23"/>
        </w:rPr>
        <w:t>s has been identified by Child Youth and F</w:t>
      </w:r>
      <w:r w:rsidR="00265E0A" w:rsidRPr="00265E0A">
        <w:rPr>
          <w:rFonts w:ascii="Calibri" w:hAnsi="Calibri"/>
          <w:sz w:val="23"/>
          <w:szCs w:val="23"/>
        </w:rPr>
        <w:t xml:space="preserve">amily as a material </w:t>
      </w:r>
      <w:r w:rsidR="00E7049F">
        <w:rPr>
          <w:rFonts w:ascii="Calibri" w:hAnsi="Calibri"/>
          <w:sz w:val="23"/>
          <w:szCs w:val="23"/>
        </w:rPr>
        <w:t xml:space="preserve">impediment to their </w:t>
      </w:r>
      <w:r w:rsidR="00265E0A" w:rsidRPr="00265E0A">
        <w:rPr>
          <w:rFonts w:ascii="Calibri" w:hAnsi="Calibri"/>
          <w:sz w:val="23"/>
          <w:szCs w:val="23"/>
        </w:rPr>
        <w:t>statutory responses to reports of concern</w:t>
      </w:r>
      <w:r w:rsidRPr="00265E0A">
        <w:rPr>
          <w:rFonts w:ascii="Calibri" w:hAnsi="Calibri"/>
          <w:sz w:val="23"/>
          <w:szCs w:val="23"/>
        </w:rPr>
        <w:t>;</w:t>
      </w:r>
    </w:p>
    <w:p w14:paraId="25475C12" w14:textId="77777777" w:rsidR="000645FA" w:rsidRDefault="000645FA" w:rsidP="00F6637E">
      <w:pPr>
        <w:pStyle w:val="ReportBody"/>
        <w:numPr>
          <w:ilvl w:val="0"/>
          <w:numId w:val="16"/>
        </w:numPr>
        <w:tabs>
          <w:tab w:val="left" w:pos="1134"/>
        </w:tabs>
        <w:autoSpaceDE w:val="0"/>
        <w:autoSpaceDN w:val="0"/>
        <w:adjustRightInd w:val="0"/>
        <w:ind w:left="1134" w:right="-142" w:hanging="567"/>
        <w:jc w:val="both"/>
        <w:rPr>
          <w:rFonts w:ascii="Calibri" w:hAnsi="Calibri"/>
          <w:sz w:val="23"/>
          <w:szCs w:val="23"/>
        </w:rPr>
      </w:pPr>
      <w:r w:rsidRPr="00265E0A">
        <w:rPr>
          <w:rFonts w:ascii="Calibri" w:hAnsi="Calibri"/>
          <w:sz w:val="23"/>
          <w:szCs w:val="23"/>
        </w:rPr>
        <w:t xml:space="preserve">the production orders available in section 59-65 are rarely used by Child, Youth and Family because they are perceived to be overly bureaucratic, costly, and are unlikely to </w:t>
      </w:r>
      <w:r w:rsidRPr="00265E0A">
        <w:rPr>
          <w:rFonts w:ascii="Calibri" w:hAnsi="Calibri"/>
          <w:sz w:val="23"/>
          <w:szCs w:val="23"/>
        </w:rPr>
        <w:lastRenderedPageBreak/>
        <w:t xml:space="preserve">be timely enough to support investigations, which magnifies the shortcomings created by the limited coverage of section 66.  </w:t>
      </w:r>
      <w:r w:rsidR="00265E0A" w:rsidRPr="00265E0A">
        <w:rPr>
          <w:rFonts w:ascii="Calibri" w:hAnsi="Calibri"/>
          <w:sz w:val="23"/>
          <w:szCs w:val="23"/>
        </w:rPr>
        <w:t>In short, the product</w:t>
      </w:r>
      <w:r w:rsidR="00D865EF">
        <w:rPr>
          <w:rFonts w:ascii="Calibri" w:hAnsi="Calibri"/>
          <w:sz w:val="23"/>
          <w:szCs w:val="23"/>
        </w:rPr>
        <w:t>ion</w:t>
      </w:r>
      <w:r w:rsidR="00265E0A" w:rsidRPr="00265E0A">
        <w:rPr>
          <w:rFonts w:ascii="Calibri" w:hAnsi="Calibri"/>
          <w:sz w:val="23"/>
          <w:szCs w:val="23"/>
        </w:rPr>
        <w:t xml:space="preserve"> order process</w:t>
      </w:r>
      <w:r w:rsidR="00265E0A">
        <w:rPr>
          <w:rFonts w:ascii="Calibri" w:hAnsi="Calibri"/>
          <w:sz w:val="23"/>
          <w:szCs w:val="23"/>
        </w:rPr>
        <w:t xml:space="preserve"> </w:t>
      </w:r>
      <w:r w:rsidR="00E7049F">
        <w:rPr>
          <w:rFonts w:ascii="Calibri" w:hAnsi="Calibri"/>
          <w:sz w:val="23"/>
          <w:szCs w:val="23"/>
        </w:rPr>
        <w:t>is</w:t>
      </w:r>
      <w:r w:rsidR="00265E0A">
        <w:rPr>
          <w:rFonts w:ascii="Calibri" w:hAnsi="Calibri"/>
          <w:sz w:val="23"/>
          <w:szCs w:val="23"/>
        </w:rPr>
        <w:t xml:space="preserve"> not fit-for-purpose</w:t>
      </w:r>
      <w:r w:rsidR="00265E0A" w:rsidRPr="00265E0A">
        <w:rPr>
          <w:rFonts w:ascii="Calibri" w:hAnsi="Calibri"/>
          <w:sz w:val="23"/>
          <w:szCs w:val="23"/>
        </w:rPr>
        <w:t xml:space="preserve">. </w:t>
      </w:r>
    </w:p>
    <w:p w14:paraId="3DA3D370" w14:textId="77777777" w:rsidR="00265E0A" w:rsidRPr="00193EA5" w:rsidRDefault="00265E0A" w:rsidP="00193EA5">
      <w:pPr>
        <w:pStyle w:val="CabStandard"/>
        <w:numPr>
          <w:ilvl w:val="0"/>
          <w:numId w:val="0"/>
        </w:numPr>
        <w:spacing w:before="200" w:after="120"/>
        <w:jc w:val="both"/>
        <w:rPr>
          <w:rFonts w:ascii="Calibri" w:hAnsi="Calibri" w:cs="Arial"/>
          <w:b/>
          <w:i/>
          <w:color w:val="263E78"/>
          <w:sz w:val="23"/>
          <w:szCs w:val="23"/>
        </w:rPr>
      </w:pPr>
      <w:r w:rsidRPr="00193EA5">
        <w:rPr>
          <w:rFonts w:ascii="Calibri" w:hAnsi="Calibri"/>
          <w:b/>
          <w:i/>
          <w:color w:val="263E78"/>
          <w:sz w:val="23"/>
          <w:szCs w:val="23"/>
        </w:rPr>
        <w:t>The</w:t>
      </w:r>
      <w:r w:rsidRPr="00193EA5">
        <w:rPr>
          <w:rFonts w:ascii="Calibri" w:hAnsi="Calibri" w:cs="Arial"/>
          <w:b/>
          <w:i/>
          <w:color w:val="263E78"/>
          <w:sz w:val="23"/>
          <w:szCs w:val="23"/>
        </w:rPr>
        <w:t xml:space="preserve"> interface between the CYPF and Privacy Acts has proven too complex to facilitate consistent frontline practice</w:t>
      </w:r>
    </w:p>
    <w:p w14:paraId="50F352AB" w14:textId="77777777" w:rsidR="002915F8" w:rsidRPr="002915F8" w:rsidRDefault="000645FA" w:rsidP="006359D1">
      <w:pPr>
        <w:pStyle w:val="MOJNumPara"/>
        <w:tabs>
          <w:tab w:val="clear" w:pos="709"/>
          <w:tab w:val="left" w:pos="567"/>
        </w:tabs>
        <w:ind w:left="567" w:right="-142" w:hanging="567"/>
        <w:rPr>
          <w:lang w:eastAsia="en-NZ"/>
        </w:rPr>
      </w:pPr>
      <w:r w:rsidRPr="002915F8">
        <w:rPr>
          <w:rFonts w:cs="Arial"/>
        </w:rPr>
        <w:t>The interface between the CYPF</w:t>
      </w:r>
      <w:r w:rsidR="00265E0A" w:rsidRPr="002915F8">
        <w:rPr>
          <w:rFonts w:cs="Arial"/>
        </w:rPr>
        <w:t xml:space="preserve"> and Privacy Act</w:t>
      </w:r>
      <w:r w:rsidRPr="002915F8">
        <w:rPr>
          <w:rFonts w:cs="Arial"/>
        </w:rPr>
        <w:t xml:space="preserve">s has proven to be </w:t>
      </w:r>
      <w:r w:rsidR="002915F8">
        <w:rPr>
          <w:rFonts w:cs="Arial"/>
        </w:rPr>
        <w:t xml:space="preserve">too </w:t>
      </w:r>
      <w:r w:rsidRPr="002915F8">
        <w:rPr>
          <w:rFonts w:cs="Arial"/>
        </w:rPr>
        <w:t>complex.  A 2011 Ministerial inquiry into the serious abuse of a nine year old girl concluded that the law, policies and processes relating to information sharing for child welfare and protection purposes are still not well understood, particularly by front line staff and their managers and that “different agencies (and their legal advisers) take different approaches.”</w:t>
      </w:r>
      <w:r w:rsidRPr="002915F8">
        <w:rPr>
          <w:rStyle w:val="FootnoteReference"/>
          <w:rFonts w:ascii="Calibri" w:hAnsi="Calibri" w:cs="Arial"/>
          <w:szCs w:val="16"/>
        </w:rPr>
        <w:footnoteReference w:id="3"/>
      </w:r>
      <w:r w:rsidRPr="002915F8">
        <w:rPr>
          <w:rFonts w:cs="Arial"/>
        </w:rPr>
        <w:t xml:space="preserve"> </w:t>
      </w:r>
    </w:p>
    <w:p w14:paraId="21B741F0" w14:textId="77777777" w:rsidR="00E7049F" w:rsidRPr="002915F8" w:rsidRDefault="000645FA" w:rsidP="006359D1">
      <w:pPr>
        <w:pStyle w:val="MOJNumPara"/>
        <w:tabs>
          <w:tab w:val="clear" w:pos="709"/>
          <w:tab w:val="left" w:pos="567"/>
        </w:tabs>
        <w:ind w:left="567" w:right="-142" w:hanging="567"/>
        <w:rPr>
          <w:lang w:eastAsia="en-NZ"/>
        </w:rPr>
      </w:pPr>
      <w:r w:rsidRPr="002915F8">
        <w:rPr>
          <w:rFonts w:cs="Arial"/>
        </w:rPr>
        <w:t xml:space="preserve">Unlike overseas jurisdictions, there is no general enabling provision in the CYPF Act that authorises agencies to share information with each other lawfully, outside of a notification of concern.  While agencies wanting to share information </w:t>
      </w:r>
      <w:r w:rsidR="002027DD">
        <w:rPr>
          <w:rFonts w:cs="Arial"/>
        </w:rPr>
        <w:t xml:space="preserve">with each other </w:t>
      </w:r>
      <w:r w:rsidRPr="002915F8">
        <w:rPr>
          <w:rFonts w:cs="Arial"/>
        </w:rPr>
        <w:t>may invoke the “serious threat’ exceptions in the Privacy Act</w:t>
      </w:r>
      <w:r w:rsidRPr="002915F8">
        <w:rPr>
          <w:rStyle w:val="FootnoteReference"/>
          <w:rFonts w:ascii="Calibri" w:hAnsi="Calibri" w:cs="Arial"/>
          <w:szCs w:val="16"/>
        </w:rPr>
        <w:footnoteReference w:id="4"/>
      </w:r>
      <w:r w:rsidRPr="002915F8">
        <w:rPr>
          <w:rFonts w:cs="Arial"/>
        </w:rPr>
        <w:t xml:space="preserve">, the threshold for a “serious threat” is </w:t>
      </w:r>
      <w:r w:rsidR="00026ED2">
        <w:rPr>
          <w:rFonts w:cs="Arial"/>
        </w:rPr>
        <w:t>difficult to apply in practice, particularly in situations of chronic abuse or neglect.</w:t>
      </w:r>
      <w:r w:rsidRPr="002915F8">
        <w:rPr>
          <w:rFonts w:cs="Arial"/>
        </w:rPr>
        <w:t xml:space="preserve"> The statutory interpretation of “serious threat” makes reference to the “time at which the threat may be realised” which reflects its provenance as a provision primarily designed to address imminent threats of harm rather than chronic, escalating harm</w:t>
      </w:r>
      <w:r w:rsidR="00E7049F" w:rsidRPr="002915F8">
        <w:rPr>
          <w:rFonts w:cs="Arial"/>
        </w:rPr>
        <w:t>.</w:t>
      </w:r>
    </w:p>
    <w:p w14:paraId="0E696989" w14:textId="77777777" w:rsidR="00E7049F" w:rsidRPr="002915F8" w:rsidRDefault="000645FA" w:rsidP="006359D1">
      <w:pPr>
        <w:pStyle w:val="MOJNumPara"/>
        <w:tabs>
          <w:tab w:val="clear" w:pos="709"/>
          <w:tab w:val="left" w:pos="567"/>
        </w:tabs>
        <w:ind w:left="567" w:right="-142" w:hanging="567"/>
        <w:rPr>
          <w:lang w:eastAsia="en-NZ"/>
        </w:rPr>
      </w:pPr>
      <w:r w:rsidRPr="002915F8">
        <w:rPr>
          <w:rFonts w:cs="Arial"/>
        </w:rPr>
        <w:t>As a consequence of current legal settings many of the professionals working with vulnerable children and young people – both inside and external t</w:t>
      </w:r>
      <w:r w:rsidRPr="002915F8">
        <w:rPr>
          <w:rFonts w:cs="Arial"/>
          <w:color w:val="000000"/>
        </w:rPr>
        <w:t>o Child, Youth and Family – a</w:t>
      </w:r>
      <w:r w:rsidRPr="002915F8">
        <w:rPr>
          <w:rFonts w:cs="Arial"/>
        </w:rPr>
        <w:t>re unclear about what information they are allowed to share, with whom, and in what circumstances.  Many professionals and agencies default to not sharing information to manage their organisational and professional risk, often to the detriment of children and young people</w:t>
      </w:r>
      <w:r w:rsidR="00E7049F" w:rsidRPr="002915F8">
        <w:rPr>
          <w:rFonts w:cs="Arial"/>
        </w:rPr>
        <w:t>.</w:t>
      </w:r>
    </w:p>
    <w:p w14:paraId="7D025BF9" w14:textId="77777777" w:rsidR="002B475A" w:rsidRPr="00193EA5" w:rsidRDefault="002B475A" w:rsidP="00193EA5">
      <w:pPr>
        <w:pStyle w:val="MOJNumPara"/>
        <w:numPr>
          <w:ilvl w:val="0"/>
          <w:numId w:val="0"/>
        </w:numPr>
        <w:tabs>
          <w:tab w:val="left" w:pos="567"/>
        </w:tabs>
        <w:spacing w:before="240"/>
        <w:ind w:left="567" w:right="-142" w:hanging="567"/>
        <w:rPr>
          <w:b/>
          <w:i/>
          <w:color w:val="263E78"/>
          <w:lang w:eastAsia="en-NZ"/>
        </w:rPr>
      </w:pPr>
      <w:r w:rsidRPr="00193EA5">
        <w:rPr>
          <w:b/>
          <w:i/>
          <w:color w:val="263E78"/>
          <w:lang w:eastAsia="en-NZ"/>
        </w:rPr>
        <w:t>The current focus on serious risk is incompatible with the policy intent on the reforms</w:t>
      </w:r>
    </w:p>
    <w:p w14:paraId="5E8F49EE" w14:textId="77777777" w:rsidR="0049401F" w:rsidRPr="0049401F" w:rsidRDefault="002B475A" w:rsidP="006359D1">
      <w:pPr>
        <w:pStyle w:val="MOJNumPara"/>
        <w:tabs>
          <w:tab w:val="clear" w:pos="709"/>
          <w:tab w:val="left" w:pos="567"/>
        </w:tabs>
        <w:ind w:left="567" w:right="-142" w:hanging="567"/>
        <w:rPr>
          <w:lang w:eastAsia="en-NZ"/>
        </w:rPr>
      </w:pPr>
      <w:r>
        <w:rPr>
          <w:rFonts w:cs="Arial"/>
        </w:rPr>
        <w:t>Current legal settings – in both the CYPF Act and Privacy Act - f</w:t>
      </w:r>
      <w:r w:rsidR="000645FA" w:rsidRPr="002915F8">
        <w:rPr>
          <w:rFonts w:cs="Arial"/>
        </w:rPr>
        <w:t>ocus on the most serious end of the risk spectrum</w:t>
      </w:r>
      <w:r>
        <w:rPr>
          <w:rFonts w:cs="Arial"/>
        </w:rPr>
        <w:t>.  This i</w:t>
      </w:r>
      <w:r w:rsidR="000645FA" w:rsidRPr="002915F8">
        <w:rPr>
          <w:rFonts w:cs="Arial"/>
        </w:rPr>
        <w:t>s incompatible with the adoption of a social investment approach</w:t>
      </w:r>
      <w:r w:rsidR="00E7049F" w:rsidRPr="002915F8">
        <w:rPr>
          <w:rFonts w:cs="Arial"/>
        </w:rPr>
        <w:t xml:space="preserve"> and the policy intent </w:t>
      </w:r>
      <w:r>
        <w:rPr>
          <w:rFonts w:cs="Arial"/>
        </w:rPr>
        <w:t xml:space="preserve">to </w:t>
      </w:r>
      <w:r w:rsidR="002027DD">
        <w:rPr>
          <w:rFonts w:cs="Arial"/>
        </w:rPr>
        <w:t xml:space="preserve">intervene </w:t>
      </w:r>
      <w:r>
        <w:rPr>
          <w:rFonts w:cs="Arial"/>
        </w:rPr>
        <w:t>much earlier</w:t>
      </w:r>
      <w:r w:rsidR="002027DD">
        <w:rPr>
          <w:rFonts w:cs="Arial"/>
        </w:rPr>
        <w:t>,</w:t>
      </w:r>
      <w:r>
        <w:rPr>
          <w:rFonts w:cs="Arial"/>
        </w:rPr>
        <w:t xml:space="preserve"> </w:t>
      </w:r>
      <w:r w:rsidR="002027DD">
        <w:rPr>
          <w:rFonts w:cs="Arial"/>
        </w:rPr>
        <w:t xml:space="preserve">to minimise the need for more intrusive state intervention such as referral to </w:t>
      </w:r>
      <w:r>
        <w:rPr>
          <w:rFonts w:cs="Arial"/>
        </w:rPr>
        <w:t xml:space="preserve">statutory care or protection.  </w:t>
      </w:r>
      <w:r w:rsidR="000645FA" w:rsidRPr="002915F8">
        <w:rPr>
          <w:rFonts w:cs="Arial"/>
        </w:rPr>
        <w:t xml:space="preserve">The framework needs to be realigned to bring an appropriate focus on prevention, remediation and addressing children’s long-term needs, as well as addressing </w:t>
      </w:r>
      <w:r w:rsidR="002027DD">
        <w:rPr>
          <w:rFonts w:cs="Arial"/>
        </w:rPr>
        <w:t>immediate threats</w:t>
      </w:r>
      <w:r w:rsidR="0049401F">
        <w:rPr>
          <w:rFonts w:cs="Arial"/>
        </w:rPr>
        <w:t>.</w:t>
      </w:r>
    </w:p>
    <w:p w14:paraId="3A140DA6" w14:textId="77777777" w:rsidR="007905BF" w:rsidRPr="003A2E6A" w:rsidRDefault="007905BF" w:rsidP="006359D1">
      <w:pPr>
        <w:pStyle w:val="Heading2"/>
        <w:spacing w:before="360" w:after="120"/>
        <w:ind w:right="-142"/>
      </w:pPr>
      <w:bookmarkStart w:id="55" w:name="_Toc244580364"/>
      <w:bookmarkStart w:id="56" w:name="_Toc244587040"/>
      <w:bookmarkStart w:id="57" w:name="_Toc244857274"/>
      <w:bookmarkStart w:id="58" w:name="_Toc244912539"/>
      <w:bookmarkStart w:id="59" w:name="_Toc244916996"/>
      <w:bookmarkStart w:id="60" w:name="_Toc362368105"/>
      <w:bookmarkStart w:id="61" w:name="_Toc362434946"/>
      <w:bookmarkStart w:id="62" w:name="_Toc362589332"/>
      <w:bookmarkStart w:id="63" w:name="_Toc362619032"/>
      <w:bookmarkStart w:id="64" w:name="_Toc362940596"/>
      <w:bookmarkStart w:id="65" w:name="_Toc363047104"/>
      <w:r w:rsidRPr="003A2E6A">
        <w:t>Objectives</w:t>
      </w:r>
      <w:bookmarkEnd w:id="55"/>
      <w:bookmarkEnd w:id="56"/>
      <w:bookmarkEnd w:id="57"/>
      <w:bookmarkEnd w:id="58"/>
      <w:bookmarkEnd w:id="59"/>
      <w:bookmarkEnd w:id="60"/>
      <w:bookmarkEnd w:id="61"/>
      <w:bookmarkEnd w:id="62"/>
      <w:bookmarkEnd w:id="63"/>
      <w:bookmarkEnd w:id="64"/>
      <w:bookmarkEnd w:id="65"/>
    </w:p>
    <w:p w14:paraId="2E5C5925" w14:textId="77777777" w:rsidR="0049401F" w:rsidRPr="0049401F" w:rsidRDefault="0049401F" w:rsidP="006359D1">
      <w:pPr>
        <w:pStyle w:val="MOJNumPara"/>
        <w:tabs>
          <w:tab w:val="clear" w:pos="709"/>
          <w:tab w:val="left" w:pos="567"/>
        </w:tabs>
        <w:ind w:left="567" w:right="-142" w:hanging="567"/>
        <w:rPr>
          <w:lang w:eastAsia="en-NZ"/>
        </w:rPr>
      </w:pPr>
      <w:r w:rsidRPr="0049401F">
        <w:t>In light of the Expert Panel and Government deliberations, the success of the new information sharing framework should be judged by the extent to which it:</w:t>
      </w:r>
    </w:p>
    <w:p w14:paraId="27D4B0FE" w14:textId="77777777" w:rsidR="0049401F" w:rsidRPr="0049401F" w:rsidRDefault="0049401F" w:rsidP="00F6637E">
      <w:pPr>
        <w:numPr>
          <w:ilvl w:val="0"/>
          <w:numId w:val="19"/>
        </w:numPr>
        <w:tabs>
          <w:tab w:val="left" w:pos="1134"/>
        </w:tabs>
        <w:autoSpaceDE w:val="0"/>
        <w:autoSpaceDN w:val="0"/>
        <w:adjustRightInd w:val="0"/>
        <w:spacing w:before="120" w:after="0" w:line="240" w:lineRule="auto"/>
        <w:ind w:left="1134" w:hanging="567"/>
        <w:jc w:val="both"/>
        <w:rPr>
          <w:rFonts w:ascii="Calibri" w:hAnsi="Calibri"/>
          <w:sz w:val="23"/>
          <w:szCs w:val="23"/>
        </w:rPr>
      </w:pPr>
      <w:r w:rsidRPr="0049401F">
        <w:rPr>
          <w:rFonts w:ascii="Calibri" w:hAnsi="Calibri"/>
          <w:sz w:val="23"/>
          <w:szCs w:val="23"/>
        </w:rPr>
        <w:t>shifts the threshold for information exchange towards promoting the safety, welfare and well-being of children and young people, and away from averting threats of serious harm,</w:t>
      </w:r>
    </w:p>
    <w:p w14:paraId="2596BDDE" w14:textId="77777777" w:rsidR="0049401F" w:rsidRPr="0049401F" w:rsidRDefault="0049401F" w:rsidP="00F6637E">
      <w:pPr>
        <w:numPr>
          <w:ilvl w:val="0"/>
          <w:numId w:val="19"/>
        </w:numPr>
        <w:tabs>
          <w:tab w:val="left" w:pos="1134"/>
        </w:tabs>
        <w:autoSpaceDE w:val="0"/>
        <w:autoSpaceDN w:val="0"/>
        <w:adjustRightInd w:val="0"/>
        <w:spacing w:before="120" w:after="0" w:line="240" w:lineRule="auto"/>
        <w:ind w:left="1134" w:hanging="567"/>
        <w:jc w:val="both"/>
        <w:rPr>
          <w:rFonts w:ascii="Calibri" w:hAnsi="Calibri"/>
          <w:sz w:val="23"/>
          <w:szCs w:val="23"/>
        </w:rPr>
      </w:pPr>
      <w:r w:rsidRPr="0049401F">
        <w:rPr>
          <w:rFonts w:ascii="Calibri" w:hAnsi="Calibri"/>
          <w:sz w:val="23"/>
          <w:szCs w:val="23"/>
        </w:rPr>
        <w:lastRenderedPageBreak/>
        <w:t xml:space="preserve">enables greater information exchange between a broader range of people and agencies with responsibilities for the wellbeing and safety of children, young people and their families, beyond the </w:t>
      </w:r>
      <w:r>
        <w:rPr>
          <w:rFonts w:ascii="Calibri" w:hAnsi="Calibri"/>
          <w:sz w:val="23"/>
          <w:szCs w:val="23"/>
        </w:rPr>
        <w:t xml:space="preserve">two </w:t>
      </w:r>
      <w:r w:rsidRPr="0049401F">
        <w:rPr>
          <w:rFonts w:ascii="Calibri" w:hAnsi="Calibri"/>
          <w:sz w:val="23"/>
          <w:szCs w:val="23"/>
        </w:rPr>
        <w:t>statutory care and protection agencies,</w:t>
      </w:r>
    </w:p>
    <w:p w14:paraId="22FEACF7" w14:textId="77777777" w:rsidR="0049401F" w:rsidRPr="0049401F" w:rsidRDefault="0049401F" w:rsidP="00F6637E">
      <w:pPr>
        <w:numPr>
          <w:ilvl w:val="0"/>
          <w:numId w:val="19"/>
        </w:numPr>
        <w:tabs>
          <w:tab w:val="left" w:pos="1134"/>
        </w:tabs>
        <w:autoSpaceDE w:val="0"/>
        <w:autoSpaceDN w:val="0"/>
        <w:adjustRightInd w:val="0"/>
        <w:spacing w:before="120" w:after="0" w:line="240" w:lineRule="auto"/>
        <w:ind w:left="1134" w:hanging="567"/>
        <w:jc w:val="both"/>
        <w:rPr>
          <w:rFonts w:ascii="Calibri" w:hAnsi="Calibri"/>
          <w:sz w:val="23"/>
          <w:szCs w:val="23"/>
        </w:rPr>
      </w:pPr>
      <w:r w:rsidRPr="0049401F">
        <w:rPr>
          <w:rFonts w:ascii="Calibri" w:hAnsi="Calibri"/>
          <w:sz w:val="23"/>
          <w:szCs w:val="23"/>
        </w:rPr>
        <w:t>removes the uncertainty, and any consequential liabilities, facing professionals over what information they can exchange, with whom, and in what circumstances, and</w:t>
      </w:r>
    </w:p>
    <w:p w14:paraId="1F3E45DE" w14:textId="77777777" w:rsidR="0049401F" w:rsidRPr="0049401F" w:rsidRDefault="0049401F" w:rsidP="00F6637E">
      <w:pPr>
        <w:numPr>
          <w:ilvl w:val="0"/>
          <w:numId w:val="19"/>
        </w:numPr>
        <w:tabs>
          <w:tab w:val="left" w:pos="1134"/>
        </w:tabs>
        <w:autoSpaceDE w:val="0"/>
        <w:autoSpaceDN w:val="0"/>
        <w:adjustRightInd w:val="0"/>
        <w:spacing w:before="120" w:after="0" w:line="240" w:lineRule="auto"/>
        <w:ind w:left="1134" w:hanging="567"/>
        <w:jc w:val="both"/>
        <w:rPr>
          <w:rFonts w:ascii="Calibri" w:hAnsi="Calibri"/>
          <w:sz w:val="23"/>
          <w:szCs w:val="23"/>
        </w:rPr>
      </w:pPr>
      <w:proofErr w:type="gramStart"/>
      <w:r w:rsidRPr="0049401F">
        <w:rPr>
          <w:rFonts w:ascii="Calibri" w:hAnsi="Calibri"/>
          <w:sz w:val="23"/>
          <w:szCs w:val="23"/>
        </w:rPr>
        <w:t>moves</w:t>
      </w:r>
      <w:proofErr w:type="gramEnd"/>
      <w:r w:rsidRPr="0049401F">
        <w:rPr>
          <w:rFonts w:ascii="Calibri" w:hAnsi="Calibri"/>
          <w:sz w:val="23"/>
          <w:szCs w:val="23"/>
        </w:rPr>
        <w:t xml:space="preserve"> away from a passive regime where agencies have a discretion to exchange information, to a proactive regime where information will be exchanged unless there are compelling reasons not to.</w:t>
      </w:r>
    </w:p>
    <w:p w14:paraId="330B09BA" w14:textId="77777777" w:rsidR="007905BF" w:rsidRPr="00C66487" w:rsidRDefault="002F3F2D" w:rsidP="006359D1">
      <w:pPr>
        <w:pStyle w:val="MOJNumPara"/>
        <w:tabs>
          <w:tab w:val="clear" w:pos="709"/>
          <w:tab w:val="left" w:pos="567"/>
        </w:tabs>
        <w:ind w:left="567" w:right="-142" w:hanging="567"/>
      </w:pPr>
      <w:r w:rsidRPr="00C66487">
        <w:t>To develop the o</w:t>
      </w:r>
      <w:r w:rsidR="007905BF" w:rsidRPr="00C66487">
        <w:t xml:space="preserve">ptions that </w:t>
      </w:r>
      <w:r w:rsidR="0049401F">
        <w:t>meet these objectives</w:t>
      </w:r>
      <w:r w:rsidR="007905BF" w:rsidRPr="00C66487">
        <w:t xml:space="preserve">, </w:t>
      </w:r>
      <w:r w:rsidR="00DF3E5E">
        <w:t>t</w:t>
      </w:r>
      <w:r w:rsidR="004910CF">
        <w:t>wo primary</w:t>
      </w:r>
      <w:r w:rsidR="00AA1DBA">
        <w:t xml:space="preserve"> </w:t>
      </w:r>
      <w:r w:rsidR="007905BF" w:rsidRPr="00C66487">
        <w:t>objectives</w:t>
      </w:r>
      <w:r w:rsidR="004910CF">
        <w:t xml:space="preserve"> and two secondary</w:t>
      </w:r>
      <w:r w:rsidR="007905BF" w:rsidRPr="00C66487">
        <w:t xml:space="preserve"> </w:t>
      </w:r>
      <w:r w:rsidR="0049401F">
        <w:t xml:space="preserve">objectives </w:t>
      </w:r>
      <w:r w:rsidR="007905BF" w:rsidRPr="00C66487">
        <w:t>have been developed:</w:t>
      </w:r>
    </w:p>
    <w:p w14:paraId="4980E143" w14:textId="77777777" w:rsidR="004910CF" w:rsidRPr="00193EA5" w:rsidRDefault="004910CF" w:rsidP="004B7689">
      <w:pPr>
        <w:pStyle w:val="MOJNumPara"/>
        <w:numPr>
          <w:ilvl w:val="0"/>
          <w:numId w:val="0"/>
        </w:numPr>
        <w:tabs>
          <w:tab w:val="left" w:pos="567"/>
          <w:tab w:val="left" w:pos="1418"/>
        </w:tabs>
        <w:ind w:left="1134" w:right="-142" w:hanging="567"/>
        <w:rPr>
          <w:b/>
          <w:i/>
          <w:color w:val="263E78"/>
        </w:rPr>
      </w:pPr>
      <w:proofErr w:type="gramStart"/>
      <w:r w:rsidRPr="00193EA5">
        <w:rPr>
          <w:b/>
          <w:i/>
          <w:color w:val="263E78"/>
        </w:rPr>
        <w:t>primary</w:t>
      </w:r>
      <w:proofErr w:type="gramEnd"/>
    </w:p>
    <w:p w14:paraId="704EA61F" w14:textId="77777777" w:rsidR="0078537E" w:rsidRPr="003D7D13" w:rsidRDefault="00AA1DBA" w:rsidP="004B7689">
      <w:pPr>
        <w:pStyle w:val="MOJNumPara"/>
        <w:numPr>
          <w:ilvl w:val="0"/>
          <w:numId w:val="7"/>
        </w:numPr>
        <w:tabs>
          <w:tab w:val="left" w:pos="1134"/>
        </w:tabs>
        <w:ind w:left="1134" w:right="-142" w:hanging="567"/>
      </w:pPr>
      <w:r w:rsidRPr="00AA1DBA">
        <w:rPr>
          <w:b/>
        </w:rPr>
        <w:t>effectiveness -</w:t>
      </w:r>
      <w:r>
        <w:t xml:space="preserve"> </w:t>
      </w:r>
      <w:r w:rsidR="0078537E" w:rsidRPr="003D7D13">
        <w:t xml:space="preserve">information </w:t>
      </w:r>
      <w:r>
        <w:t>is shared and used to create a full picture of a situation to promote</w:t>
      </w:r>
      <w:r w:rsidR="0078537E" w:rsidRPr="003D7D13">
        <w:t xml:space="preserve"> the safety, welfare and well-being of children and yo</w:t>
      </w:r>
      <w:r>
        <w:t>ung people</w:t>
      </w:r>
    </w:p>
    <w:p w14:paraId="1447EADA" w14:textId="77777777" w:rsidR="004910CF" w:rsidRDefault="004910CF" w:rsidP="004B7689">
      <w:pPr>
        <w:pStyle w:val="MOJNumPara"/>
        <w:numPr>
          <w:ilvl w:val="0"/>
          <w:numId w:val="7"/>
        </w:numPr>
        <w:tabs>
          <w:tab w:val="left" w:pos="1134"/>
        </w:tabs>
        <w:ind w:left="1134" w:right="-142" w:hanging="567"/>
      </w:pPr>
      <w:r w:rsidRPr="004910CF">
        <w:rPr>
          <w:b/>
        </w:rPr>
        <w:t>proportionality –</w:t>
      </w:r>
      <w:r>
        <w:t xml:space="preserve"> information is exchanged when the benefits </w:t>
      </w:r>
      <w:r w:rsidR="00026ED2">
        <w:t xml:space="preserve">to children and young people </w:t>
      </w:r>
      <w:r>
        <w:t>outweigh the negative impact</w:t>
      </w:r>
      <w:r w:rsidR="00026ED2">
        <w:t>s in terms of encroachments on privacy</w:t>
      </w:r>
    </w:p>
    <w:p w14:paraId="26095CC7" w14:textId="77777777" w:rsidR="004910CF" w:rsidRPr="00193EA5" w:rsidRDefault="004910CF" w:rsidP="004B7689">
      <w:pPr>
        <w:pStyle w:val="MOJNumPara"/>
        <w:numPr>
          <w:ilvl w:val="0"/>
          <w:numId w:val="0"/>
        </w:numPr>
        <w:tabs>
          <w:tab w:val="left" w:pos="567"/>
          <w:tab w:val="left" w:pos="1418"/>
        </w:tabs>
        <w:ind w:left="1134" w:right="-142" w:hanging="567"/>
        <w:rPr>
          <w:i/>
          <w:color w:val="263E78"/>
        </w:rPr>
      </w:pPr>
      <w:proofErr w:type="gramStart"/>
      <w:r w:rsidRPr="00193EA5">
        <w:rPr>
          <w:b/>
          <w:i/>
          <w:color w:val="263E78"/>
        </w:rPr>
        <w:t>secondary</w:t>
      </w:r>
      <w:proofErr w:type="gramEnd"/>
    </w:p>
    <w:p w14:paraId="5038FEE1" w14:textId="77777777" w:rsidR="0078537E" w:rsidRDefault="00AA1DBA" w:rsidP="004B7689">
      <w:pPr>
        <w:pStyle w:val="MOJNumPara"/>
        <w:numPr>
          <w:ilvl w:val="0"/>
          <w:numId w:val="7"/>
        </w:numPr>
        <w:tabs>
          <w:tab w:val="left" w:pos="1134"/>
        </w:tabs>
        <w:ind w:left="1134" w:right="-142" w:hanging="567"/>
      </w:pPr>
      <w:r w:rsidRPr="00AA1DBA">
        <w:rPr>
          <w:b/>
        </w:rPr>
        <w:t>ease of use</w:t>
      </w:r>
      <w:r>
        <w:t xml:space="preserve"> - </w:t>
      </w:r>
      <w:r w:rsidR="00DF3E5E">
        <w:t xml:space="preserve">removes the uncertainty </w:t>
      </w:r>
      <w:r w:rsidR="0078537E" w:rsidRPr="003D7D13">
        <w:t xml:space="preserve">facing professionals over what information they can exchange, with whom, and </w:t>
      </w:r>
      <w:r w:rsidR="004910CF">
        <w:t>in what circumstances</w:t>
      </w:r>
      <w:r w:rsidR="0078537E" w:rsidRPr="003D7D13">
        <w:t xml:space="preserve"> </w:t>
      </w:r>
    </w:p>
    <w:p w14:paraId="3596ED9B" w14:textId="77777777" w:rsidR="00AA1DBA" w:rsidRPr="003D7D13" w:rsidRDefault="00530871" w:rsidP="004B7689">
      <w:pPr>
        <w:pStyle w:val="MOJNumPara"/>
        <w:numPr>
          <w:ilvl w:val="0"/>
          <w:numId w:val="7"/>
        </w:numPr>
        <w:tabs>
          <w:tab w:val="left" w:pos="1134"/>
        </w:tabs>
        <w:ind w:left="1134" w:right="-142" w:hanging="567"/>
      </w:pPr>
      <w:proofErr w:type="gramStart"/>
      <w:r>
        <w:rPr>
          <w:b/>
        </w:rPr>
        <w:t>cost-effective</w:t>
      </w:r>
      <w:proofErr w:type="gramEnd"/>
      <w:r w:rsidR="00DF3E5E">
        <w:rPr>
          <w:b/>
        </w:rPr>
        <w:t xml:space="preserve"> </w:t>
      </w:r>
      <w:r>
        <w:t>–</w:t>
      </w:r>
      <w:r w:rsidR="00AA1DBA">
        <w:t xml:space="preserve"> </w:t>
      </w:r>
      <w:r>
        <w:t xml:space="preserve">is </w:t>
      </w:r>
      <w:r w:rsidR="00F45955">
        <w:t xml:space="preserve">good value for money in that it is </w:t>
      </w:r>
      <w:r>
        <w:t>effective in achi</w:t>
      </w:r>
      <w:r w:rsidR="00DF3E5E">
        <w:t>eving the desired outcomes at a relatively low cost.</w:t>
      </w:r>
    </w:p>
    <w:p w14:paraId="7A26346A" w14:textId="77777777" w:rsidR="007905BF" w:rsidRPr="003A2E6A" w:rsidRDefault="003B1253" w:rsidP="006359D1">
      <w:pPr>
        <w:pStyle w:val="Heading2"/>
        <w:spacing w:before="360"/>
        <w:ind w:right="-142"/>
      </w:pPr>
      <w:bookmarkStart w:id="66" w:name="_Toc244580365"/>
      <w:bookmarkStart w:id="67" w:name="_Toc244587041"/>
      <w:bookmarkStart w:id="68" w:name="_Toc244857275"/>
      <w:bookmarkStart w:id="69" w:name="_Toc244912540"/>
      <w:bookmarkStart w:id="70" w:name="_Toc244916997"/>
      <w:bookmarkStart w:id="71" w:name="_Toc362368106"/>
      <w:bookmarkStart w:id="72" w:name="_Toc362434947"/>
      <w:bookmarkStart w:id="73" w:name="_Toc362589333"/>
      <w:bookmarkStart w:id="74" w:name="_Toc362619033"/>
      <w:bookmarkStart w:id="75" w:name="_Toc362940597"/>
      <w:bookmarkStart w:id="76" w:name="_Toc363047105"/>
      <w:r>
        <w:br w:type="page"/>
      </w:r>
      <w:r w:rsidR="007905BF" w:rsidRPr="003A2E6A">
        <w:lastRenderedPageBreak/>
        <w:t>Options and impact analysis</w:t>
      </w:r>
      <w:bookmarkEnd w:id="66"/>
      <w:bookmarkEnd w:id="67"/>
      <w:bookmarkEnd w:id="68"/>
      <w:bookmarkEnd w:id="69"/>
      <w:bookmarkEnd w:id="70"/>
      <w:bookmarkEnd w:id="71"/>
      <w:bookmarkEnd w:id="72"/>
      <w:bookmarkEnd w:id="73"/>
      <w:bookmarkEnd w:id="74"/>
      <w:bookmarkEnd w:id="75"/>
      <w:bookmarkEnd w:id="76"/>
      <w:r w:rsidR="007905BF" w:rsidRPr="003A2E6A">
        <w:t xml:space="preserve"> </w:t>
      </w:r>
    </w:p>
    <w:p w14:paraId="26B5AFEF" w14:textId="77777777" w:rsidR="001579BA" w:rsidRDefault="00C72EDC" w:rsidP="00966EAB">
      <w:pPr>
        <w:pStyle w:val="MOJNumPara"/>
        <w:spacing w:after="240"/>
        <w:ind w:right="-142"/>
      </w:pPr>
      <w:r>
        <w:t xml:space="preserve">To meet the objectives, five options have been identified for comparison with the status quo. For the purposes of analysis, these options are </w:t>
      </w:r>
      <w:r w:rsidR="00E5570B">
        <w:t xml:space="preserve">presented as </w:t>
      </w:r>
      <w:r>
        <w:t xml:space="preserve">mutually exclusive </w:t>
      </w:r>
      <w:r w:rsidR="00E5570B">
        <w:t>ways of achieving</w:t>
      </w:r>
      <w:r>
        <w:t xml:space="preserve"> the same outcome. However, it should be noted that better guidance would likely form a part of any regulatory reform. The table below outlines the options and the degree of change from the status quo. </w:t>
      </w:r>
      <w:r w:rsidRPr="00C72EDC">
        <w:t xml:space="preserve">The degree of change notes the scale of </w:t>
      </w:r>
      <w:r>
        <w:t>change from existing concepts in the current legislative framework</w:t>
      </w:r>
      <w:r w:rsidRPr="00C72EDC">
        <w:t>.</w:t>
      </w:r>
      <w: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0"/>
        <w:gridCol w:w="7102"/>
      </w:tblGrid>
      <w:tr w:rsidR="001579BA" w:rsidRPr="002021E4" w14:paraId="6EA17967" w14:textId="77777777" w:rsidTr="004910CF">
        <w:trPr>
          <w:cantSplit/>
        </w:trPr>
        <w:tc>
          <w:tcPr>
            <w:tcW w:w="2268" w:type="dxa"/>
            <w:shd w:val="clear" w:color="auto" w:fill="1F497D"/>
          </w:tcPr>
          <w:p w14:paraId="232B2D2E" w14:textId="575F8CD7" w:rsidR="001579BA" w:rsidRPr="001579BA" w:rsidRDefault="000F42B3" w:rsidP="00966EAB">
            <w:pPr>
              <w:pStyle w:val="Bullet-list"/>
              <w:numPr>
                <w:ilvl w:val="0"/>
                <w:numId w:val="0"/>
              </w:numPr>
              <w:spacing w:after="120"/>
              <w:ind w:right="-142"/>
              <w:jc w:val="center"/>
              <w:rPr>
                <w:rFonts w:ascii="Verdana" w:hAnsi="Verdana"/>
                <w:b/>
                <w:color w:val="FFFFFF"/>
                <w:sz w:val="18"/>
                <w:szCs w:val="18"/>
              </w:rPr>
            </w:pPr>
            <w:r>
              <w:rPr>
                <w:rFonts w:ascii="Verdana" w:hAnsi="Verdana"/>
                <w:b/>
                <w:noProof/>
                <w:color w:val="FFFFFF"/>
                <w:sz w:val="18"/>
                <w:szCs w:val="18"/>
                <w:lang w:eastAsia="en-NZ"/>
              </w:rPr>
              <mc:AlternateContent>
                <mc:Choice Requires="wps">
                  <w:drawing>
                    <wp:anchor distT="0" distB="0" distL="114300" distR="114300" simplePos="0" relativeHeight="251657728" behindDoc="1" locked="0" layoutInCell="1" allowOverlap="1" wp14:anchorId="48F81CBD" wp14:editId="67021EAC">
                      <wp:simplePos x="0" y="0"/>
                      <wp:positionH relativeFrom="column">
                        <wp:posOffset>-602615</wp:posOffset>
                      </wp:positionH>
                      <wp:positionV relativeFrom="paragraph">
                        <wp:posOffset>-4445</wp:posOffset>
                      </wp:positionV>
                      <wp:extent cx="1033145" cy="3705225"/>
                      <wp:effectExtent l="45085" t="46355" r="52070" b="45720"/>
                      <wp:wrapNone/>
                      <wp:docPr id="2"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33145" cy="3705225"/>
                              </a:xfrm>
                              <a:prstGeom prst="downArrow">
                                <a:avLst>
                                  <a:gd name="adj1" fmla="val 52306"/>
                                  <a:gd name="adj2" fmla="val 74732"/>
                                </a:avLst>
                              </a:prstGeom>
                              <a:solidFill>
                                <a:srgbClr val="D8D8D8"/>
                              </a:solidFill>
                              <a:ln w="9525">
                                <a:solidFill>
                                  <a:srgbClr val="000000"/>
                                </a:solidFill>
                                <a:miter lim="800000"/>
                                <a:headEnd/>
                                <a:tailEnd/>
                              </a:ln>
                            </wps:spPr>
                            <wps:txbx>
                              <w:txbxContent>
                                <w:p w14:paraId="02DD94C6" w14:textId="77777777" w:rsidR="00D76BEA" w:rsidRPr="00A8461B" w:rsidRDefault="00D76BEA" w:rsidP="006678E1">
                                  <w:pPr>
                                    <w:jc w:val="center"/>
                                    <w:rPr>
                                      <w:b/>
                                    </w:rPr>
                                  </w:pPr>
                                  <w:r w:rsidRPr="00A8461B">
                                    <w:rPr>
                                      <w:b/>
                                    </w:rPr>
                                    <w:t>Degree of change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left:0;text-align:left;margin-left:-47.45pt;margin-top:-.35pt;width:81.35pt;height:29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" adj="17099,5151" fillcolor="#d8d8d8">
                      <o:lock v:ext="edit" aspectratio="t"/>
                      <v:textbox style="layout-flow:vertical;mso-layout-flow-alt:bottom-to-top">
                        <w:txbxContent>
                          <w:p w14:paraId="02DD94C6" w14:textId="77777777" w:rsidR="00D76BEA" w:rsidRPr="00A8461B" w:rsidRDefault="00D76BEA" w:rsidP="006678E1">
                            <w:pPr>
                              <w:jc w:val="center"/>
                              <w:rPr>
                                <w:b/>
                              </w:rPr>
                            </w:pPr>
                            <w:r w:rsidRPr="00A8461B">
                              <w:rPr>
                                <w:b/>
                              </w:rPr>
                              <w:t>Degree of change</w:t>
                            </w:r>
                          </w:p>
                        </w:txbxContent>
                      </v:textbox>
                    </v:shape>
                  </w:pict>
                </mc:Fallback>
              </mc:AlternateContent>
            </w:r>
            <w:r w:rsidR="001579BA" w:rsidRPr="001579BA">
              <w:rPr>
                <w:rFonts w:ascii="Verdana" w:hAnsi="Verdana"/>
                <w:b/>
                <w:color w:val="FFFFFF"/>
                <w:sz w:val="18"/>
                <w:szCs w:val="18"/>
              </w:rPr>
              <w:t>Option</w:t>
            </w:r>
          </w:p>
        </w:tc>
        <w:tc>
          <w:tcPr>
            <w:tcW w:w="7371" w:type="dxa"/>
            <w:shd w:val="clear" w:color="auto" w:fill="1F497D"/>
          </w:tcPr>
          <w:p w14:paraId="4A7110E2" w14:textId="77777777" w:rsidR="001579BA" w:rsidRPr="001579BA" w:rsidRDefault="001579BA" w:rsidP="00966EAB">
            <w:pPr>
              <w:pStyle w:val="Bullet-list"/>
              <w:numPr>
                <w:ilvl w:val="0"/>
                <w:numId w:val="0"/>
              </w:numPr>
              <w:spacing w:after="120"/>
              <w:ind w:right="-142"/>
              <w:jc w:val="center"/>
              <w:rPr>
                <w:rFonts w:ascii="Verdana" w:hAnsi="Verdana"/>
                <w:b/>
                <w:color w:val="FFFFFF"/>
                <w:sz w:val="18"/>
                <w:szCs w:val="18"/>
              </w:rPr>
            </w:pPr>
            <w:r w:rsidRPr="001579BA">
              <w:rPr>
                <w:rFonts w:ascii="Verdana" w:hAnsi="Verdana"/>
                <w:b/>
                <w:color w:val="FFFFFF"/>
                <w:sz w:val="18"/>
                <w:szCs w:val="18"/>
              </w:rPr>
              <w:t>Description and change from status quo</w:t>
            </w:r>
          </w:p>
        </w:tc>
      </w:tr>
      <w:tr w:rsidR="001579BA" w:rsidRPr="002021E4" w14:paraId="095763F9" w14:textId="77777777" w:rsidTr="004910CF">
        <w:trPr>
          <w:cantSplit/>
        </w:trPr>
        <w:tc>
          <w:tcPr>
            <w:tcW w:w="2268" w:type="dxa"/>
            <w:shd w:val="clear" w:color="auto" w:fill="FFFFFF"/>
          </w:tcPr>
          <w:p w14:paraId="43BB5350" w14:textId="77777777" w:rsidR="001579BA" w:rsidRPr="001A2BB3" w:rsidRDefault="001579BA" w:rsidP="00966EAB">
            <w:pPr>
              <w:pStyle w:val="Bullet-list"/>
              <w:numPr>
                <w:ilvl w:val="0"/>
                <w:numId w:val="9"/>
              </w:numPr>
              <w:spacing w:after="120"/>
              <w:ind w:left="284" w:right="-142" w:hanging="284"/>
              <w:rPr>
                <w:rFonts w:ascii="Verdana" w:hAnsi="Verdana"/>
                <w:sz w:val="18"/>
                <w:szCs w:val="18"/>
              </w:rPr>
            </w:pPr>
            <w:r>
              <w:rPr>
                <w:rFonts w:ascii="Verdana" w:hAnsi="Verdana"/>
                <w:sz w:val="18"/>
                <w:szCs w:val="18"/>
              </w:rPr>
              <w:t xml:space="preserve">More guidance </w:t>
            </w:r>
          </w:p>
        </w:tc>
        <w:tc>
          <w:tcPr>
            <w:tcW w:w="7371" w:type="dxa"/>
          </w:tcPr>
          <w:p w14:paraId="0477F750" w14:textId="77777777" w:rsidR="001579BA" w:rsidRPr="001A2BB3" w:rsidRDefault="001579BA" w:rsidP="00966EAB">
            <w:pPr>
              <w:pStyle w:val="Bullet-list"/>
              <w:numPr>
                <w:ilvl w:val="0"/>
                <w:numId w:val="0"/>
              </w:numPr>
              <w:spacing w:after="120"/>
              <w:ind w:right="-142"/>
              <w:jc w:val="left"/>
              <w:rPr>
                <w:rFonts w:ascii="Verdana" w:hAnsi="Verdana"/>
                <w:sz w:val="18"/>
                <w:szCs w:val="18"/>
              </w:rPr>
            </w:pPr>
            <w:r>
              <w:rPr>
                <w:rFonts w:ascii="Verdana" w:hAnsi="Verdana"/>
                <w:sz w:val="18"/>
                <w:szCs w:val="18"/>
              </w:rPr>
              <w:t xml:space="preserve">There would be no legislative change, and instead additional </w:t>
            </w:r>
            <w:r w:rsidRPr="001A2BB3">
              <w:rPr>
                <w:rFonts w:ascii="Verdana" w:hAnsi="Verdana"/>
                <w:sz w:val="18"/>
                <w:szCs w:val="18"/>
              </w:rPr>
              <w:t xml:space="preserve">guidance </w:t>
            </w:r>
            <w:r>
              <w:rPr>
                <w:rFonts w:ascii="Verdana" w:hAnsi="Verdana"/>
                <w:sz w:val="18"/>
                <w:szCs w:val="18"/>
              </w:rPr>
              <w:t xml:space="preserve">would be provided to </w:t>
            </w:r>
            <w:r w:rsidRPr="001A2BB3">
              <w:rPr>
                <w:rFonts w:ascii="Verdana" w:hAnsi="Verdana"/>
                <w:sz w:val="18"/>
                <w:szCs w:val="18"/>
              </w:rPr>
              <w:t>fro</w:t>
            </w:r>
            <w:r>
              <w:rPr>
                <w:rFonts w:ascii="Verdana" w:hAnsi="Verdana"/>
                <w:sz w:val="18"/>
                <w:szCs w:val="18"/>
              </w:rPr>
              <w:t xml:space="preserve">nt-line practitioners about using the </w:t>
            </w:r>
            <w:r w:rsidRPr="001A2BB3">
              <w:rPr>
                <w:rFonts w:ascii="Verdana" w:hAnsi="Verdana"/>
                <w:sz w:val="18"/>
                <w:szCs w:val="18"/>
              </w:rPr>
              <w:t xml:space="preserve">information disclosure provisions in </w:t>
            </w:r>
            <w:r>
              <w:rPr>
                <w:rFonts w:ascii="Verdana" w:hAnsi="Verdana"/>
                <w:sz w:val="18"/>
                <w:szCs w:val="18"/>
              </w:rPr>
              <w:t xml:space="preserve">the </w:t>
            </w:r>
            <w:r w:rsidRPr="001A2BB3">
              <w:rPr>
                <w:rFonts w:ascii="Verdana" w:hAnsi="Verdana"/>
                <w:sz w:val="18"/>
                <w:szCs w:val="18"/>
              </w:rPr>
              <w:t xml:space="preserve">Children, Young Persons and Their Families Act </w:t>
            </w:r>
            <w:r>
              <w:rPr>
                <w:rFonts w:ascii="Verdana" w:hAnsi="Verdana"/>
                <w:sz w:val="18"/>
                <w:szCs w:val="18"/>
              </w:rPr>
              <w:t xml:space="preserve">1989 (CYPF Act) </w:t>
            </w:r>
            <w:r w:rsidRPr="001A2BB3">
              <w:rPr>
                <w:rFonts w:ascii="Verdana" w:hAnsi="Verdana"/>
                <w:sz w:val="18"/>
                <w:szCs w:val="18"/>
              </w:rPr>
              <w:t>and Privacy Ac</w:t>
            </w:r>
            <w:r>
              <w:rPr>
                <w:rFonts w:ascii="Verdana" w:hAnsi="Verdana"/>
                <w:sz w:val="18"/>
                <w:szCs w:val="18"/>
              </w:rPr>
              <w:t>t 1993</w:t>
            </w:r>
          </w:p>
        </w:tc>
      </w:tr>
      <w:tr w:rsidR="001579BA" w:rsidRPr="002021E4" w14:paraId="75C2A817" w14:textId="77777777" w:rsidTr="004910CF">
        <w:trPr>
          <w:cantSplit/>
        </w:trPr>
        <w:tc>
          <w:tcPr>
            <w:tcW w:w="2268" w:type="dxa"/>
            <w:shd w:val="clear" w:color="auto" w:fill="FFFFFF"/>
          </w:tcPr>
          <w:p w14:paraId="78A30BDD" w14:textId="77777777" w:rsidR="001579BA" w:rsidRPr="001A2BB3" w:rsidRDefault="001579BA" w:rsidP="00966EAB">
            <w:pPr>
              <w:pStyle w:val="Bullet-list"/>
              <w:numPr>
                <w:ilvl w:val="0"/>
                <w:numId w:val="9"/>
              </w:numPr>
              <w:spacing w:after="120"/>
              <w:ind w:left="284" w:right="-142" w:hanging="284"/>
              <w:rPr>
                <w:rFonts w:ascii="Verdana" w:hAnsi="Verdana"/>
                <w:sz w:val="18"/>
                <w:szCs w:val="18"/>
              </w:rPr>
            </w:pPr>
            <w:r>
              <w:rPr>
                <w:rFonts w:ascii="Verdana" w:hAnsi="Verdana"/>
                <w:sz w:val="18"/>
                <w:szCs w:val="18"/>
              </w:rPr>
              <w:t xml:space="preserve">A </w:t>
            </w:r>
            <w:r w:rsidRPr="001A2BB3">
              <w:rPr>
                <w:rFonts w:ascii="Verdana" w:hAnsi="Verdana"/>
                <w:sz w:val="18"/>
                <w:szCs w:val="18"/>
              </w:rPr>
              <w:t>Code or Codes of Practice</w:t>
            </w:r>
          </w:p>
          <w:p w14:paraId="220B1745" w14:textId="77777777" w:rsidR="001579BA" w:rsidRPr="001A2BB3" w:rsidRDefault="001579BA" w:rsidP="00966EAB">
            <w:pPr>
              <w:pStyle w:val="Bullet-list"/>
              <w:numPr>
                <w:ilvl w:val="0"/>
                <w:numId w:val="0"/>
              </w:numPr>
              <w:spacing w:after="120"/>
              <w:ind w:left="284" w:right="-142" w:hanging="284"/>
              <w:rPr>
                <w:rFonts w:ascii="Verdana" w:hAnsi="Verdana"/>
                <w:sz w:val="18"/>
                <w:szCs w:val="18"/>
              </w:rPr>
            </w:pPr>
          </w:p>
        </w:tc>
        <w:tc>
          <w:tcPr>
            <w:tcW w:w="7371" w:type="dxa"/>
          </w:tcPr>
          <w:p w14:paraId="1E8880D2" w14:textId="77777777" w:rsidR="001579BA" w:rsidRPr="001A2BB3" w:rsidRDefault="001579BA" w:rsidP="00966EAB">
            <w:pPr>
              <w:pStyle w:val="Bullet-list"/>
              <w:numPr>
                <w:ilvl w:val="0"/>
                <w:numId w:val="0"/>
              </w:numPr>
              <w:spacing w:after="120"/>
              <w:ind w:right="-142"/>
              <w:jc w:val="left"/>
              <w:rPr>
                <w:rFonts w:ascii="Verdana" w:hAnsi="Verdana"/>
                <w:sz w:val="18"/>
                <w:szCs w:val="18"/>
              </w:rPr>
            </w:pPr>
            <w:r>
              <w:rPr>
                <w:rFonts w:ascii="Verdana" w:hAnsi="Verdana"/>
                <w:sz w:val="18"/>
                <w:szCs w:val="18"/>
              </w:rPr>
              <w:t>There would be no legislative change, and instead one or more of the child welfare and protection agencies w</w:t>
            </w:r>
            <w:r w:rsidRPr="001A2BB3">
              <w:rPr>
                <w:rFonts w:ascii="Verdana" w:hAnsi="Verdana"/>
                <w:sz w:val="18"/>
                <w:szCs w:val="18"/>
              </w:rPr>
              <w:t>ould ask the Privacy Commissioner, in accordance with Part 6 of the Privacy Act, to issue a Code o</w:t>
            </w:r>
            <w:r>
              <w:rPr>
                <w:rFonts w:ascii="Verdana" w:hAnsi="Verdana"/>
                <w:sz w:val="18"/>
                <w:szCs w:val="18"/>
              </w:rPr>
              <w:t>r Codes of Practice that exempt</w:t>
            </w:r>
            <w:r w:rsidRPr="001A2BB3">
              <w:rPr>
                <w:rFonts w:ascii="Verdana" w:hAnsi="Verdana"/>
                <w:sz w:val="18"/>
                <w:szCs w:val="18"/>
              </w:rPr>
              <w:t xml:space="preserve"> them from the </w:t>
            </w:r>
            <w:r w:rsidRPr="001A2BB3">
              <w:rPr>
                <w:rFonts w:ascii="Verdana" w:hAnsi="Verdana"/>
                <w:i/>
                <w:sz w:val="18"/>
                <w:szCs w:val="18"/>
              </w:rPr>
              <w:t>Information Privacy Principles</w:t>
            </w:r>
            <w:r w:rsidRPr="001A2BB3">
              <w:rPr>
                <w:rFonts w:ascii="Verdana" w:hAnsi="Verdana"/>
                <w:sz w:val="18"/>
                <w:szCs w:val="18"/>
              </w:rPr>
              <w:t xml:space="preserve"> that need to be overridden in order to share information</w:t>
            </w:r>
          </w:p>
        </w:tc>
      </w:tr>
      <w:tr w:rsidR="001579BA" w:rsidRPr="002021E4" w14:paraId="5A1F3C5D" w14:textId="77777777" w:rsidTr="004910CF">
        <w:trPr>
          <w:cantSplit/>
        </w:trPr>
        <w:tc>
          <w:tcPr>
            <w:tcW w:w="2268" w:type="dxa"/>
            <w:shd w:val="clear" w:color="auto" w:fill="FFFFFF"/>
          </w:tcPr>
          <w:p w14:paraId="47B77636" w14:textId="77777777" w:rsidR="001579BA" w:rsidRPr="001A2BB3" w:rsidRDefault="001579BA" w:rsidP="00966EAB">
            <w:pPr>
              <w:pStyle w:val="Bullet-list"/>
              <w:numPr>
                <w:ilvl w:val="0"/>
                <w:numId w:val="9"/>
              </w:numPr>
              <w:spacing w:after="120"/>
              <w:ind w:left="284" w:right="-142" w:hanging="284"/>
              <w:jc w:val="left"/>
              <w:rPr>
                <w:rFonts w:ascii="Verdana" w:hAnsi="Verdana"/>
                <w:sz w:val="18"/>
                <w:szCs w:val="18"/>
              </w:rPr>
            </w:pPr>
            <w:r w:rsidRPr="001A2BB3">
              <w:rPr>
                <w:rFonts w:ascii="Verdana" w:hAnsi="Verdana"/>
                <w:sz w:val="18"/>
                <w:szCs w:val="18"/>
              </w:rPr>
              <w:t>Approved Information Sharing Agreements (AISAs)</w:t>
            </w:r>
          </w:p>
        </w:tc>
        <w:tc>
          <w:tcPr>
            <w:tcW w:w="7371" w:type="dxa"/>
          </w:tcPr>
          <w:p w14:paraId="643ED932" w14:textId="77777777" w:rsidR="001579BA" w:rsidRPr="001A2BB3" w:rsidRDefault="001579BA" w:rsidP="00966EAB">
            <w:pPr>
              <w:pStyle w:val="Bullet-list"/>
              <w:numPr>
                <w:ilvl w:val="0"/>
                <w:numId w:val="0"/>
              </w:numPr>
              <w:spacing w:after="120"/>
              <w:ind w:right="-142"/>
              <w:jc w:val="left"/>
              <w:rPr>
                <w:rFonts w:ascii="Verdana" w:hAnsi="Verdana"/>
                <w:sz w:val="18"/>
                <w:szCs w:val="18"/>
              </w:rPr>
            </w:pPr>
            <w:r>
              <w:rPr>
                <w:rFonts w:ascii="Verdana" w:hAnsi="Verdana"/>
                <w:sz w:val="18"/>
                <w:szCs w:val="18"/>
              </w:rPr>
              <w:t xml:space="preserve">There would be no legislative change, and instead the child welfare and protection agencies would negotiate one or more AISAs </w:t>
            </w:r>
            <w:r w:rsidRPr="001A2BB3">
              <w:rPr>
                <w:rFonts w:ascii="Verdana" w:hAnsi="Verdana"/>
                <w:sz w:val="18"/>
                <w:szCs w:val="18"/>
              </w:rPr>
              <w:t>in accordance with Part 9A of the Privacy Act</w:t>
            </w:r>
            <w:r>
              <w:rPr>
                <w:rFonts w:ascii="Verdana" w:hAnsi="Verdana"/>
                <w:sz w:val="18"/>
                <w:szCs w:val="18"/>
              </w:rPr>
              <w:t xml:space="preserve"> to share information for specific child welfare and protection purposes</w:t>
            </w:r>
          </w:p>
        </w:tc>
      </w:tr>
      <w:tr w:rsidR="001579BA" w:rsidRPr="002021E4" w14:paraId="3BE11E56" w14:textId="77777777" w:rsidTr="004910CF">
        <w:trPr>
          <w:cantSplit/>
        </w:trPr>
        <w:tc>
          <w:tcPr>
            <w:tcW w:w="2268" w:type="dxa"/>
            <w:shd w:val="clear" w:color="auto" w:fill="FFFFFF"/>
          </w:tcPr>
          <w:p w14:paraId="7B5B9685" w14:textId="77777777" w:rsidR="001579BA" w:rsidRPr="001A2BB3" w:rsidRDefault="001579BA" w:rsidP="00966EAB">
            <w:pPr>
              <w:pStyle w:val="Bullet-list"/>
              <w:numPr>
                <w:ilvl w:val="0"/>
                <w:numId w:val="9"/>
              </w:numPr>
              <w:spacing w:after="120"/>
              <w:ind w:left="284" w:right="-142" w:hanging="284"/>
              <w:rPr>
                <w:rFonts w:ascii="Verdana" w:hAnsi="Verdana"/>
                <w:sz w:val="18"/>
                <w:szCs w:val="18"/>
              </w:rPr>
            </w:pPr>
            <w:r w:rsidRPr="001A2BB3">
              <w:rPr>
                <w:rFonts w:ascii="Verdana" w:hAnsi="Verdana"/>
                <w:sz w:val="18"/>
                <w:szCs w:val="18"/>
              </w:rPr>
              <w:t xml:space="preserve">New framework in the Privacy Act </w:t>
            </w:r>
          </w:p>
        </w:tc>
        <w:tc>
          <w:tcPr>
            <w:tcW w:w="7371" w:type="dxa"/>
          </w:tcPr>
          <w:p w14:paraId="03AA6B40" w14:textId="77777777" w:rsidR="001579BA" w:rsidRPr="001A2BB3" w:rsidRDefault="001579BA" w:rsidP="00966EAB">
            <w:pPr>
              <w:pStyle w:val="Bullet-list"/>
              <w:numPr>
                <w:ilvl w:val="0"/>
                <w:numId w:val="0"/>
              </w:numPr>
              <w:spacing w:after="120"/>
              <w:ind w:right="-142"/>
              <w:jc w:val="left"/>
              <w:rPr>
                <w:rFonts w:ascii="Verdana" w:hAnsi="Verdana"/>
                <w:sz w:val="18"/>
                <w:szCs w:val="18"/>
              </w:rPr>
            </w:pPr>
            <w:r>
              <w:rPr>
                <w:rFonts w:ascii="Verdana" w:hAnsi="Verdana"/>
                <w:sz w:val="18"/>
                <w:szCs w:val="18"/>
              </w:rPr>
              <w:t xml:space="preserve">Bespoke child welfare and protection information sharing </w:t>
            </w:r>
            <w:r w:rsidRPr="001A2BB3">
              <w:rPr>
                <w:rFonts w:ascii="Verdana" w:hAnsi="Verdana"/>
                <w:sz w:val="18"/>
                <w:szCs w:val="18"/>
              </w:rPr>
              <w:t>provision</w:t>
            </w:r>
            <w:r>
              <w:rPr>
                <w:rFonts w:ascii="Verdana" w:hAnsi="Verdana"/>
                <w:sz w:val="18"/>
                <w:szCs w:val="18"/>
              </w:rPr>
              <w:t>s w</w:t>
            </w:r>
            <w:r w:rsidRPr="001A2BB3">
              <w:rPr>
                <w:rFonts w:ascii="Verdana" w:hAnsi="Verdana"/>
                <w:sz w:val="18"/>
                <w:szCs w:val="18"/>
              </w:rPr>
              <w:t xml:space="preserve">ould be </w:t>
            </w:r>
            <w:r>
              <w:rPr>
                <w:rFonts w:ascii="Verdana" w:hAnsi="Verdana"/>
                <w:sz w:val="18"/>
                <w:szCs w:val="18"/>
              </w:rPr>
              <w:t xml:space="preserve">enacted either as exceptions to the </w:t>
            </w:r>
            <w:r w:rsidRPr="00B6387F">
              <w:rPr>
                <w:rFonts w:ascii="Verdana" w:hAnsi="Verdana"/>
                <w:i/>
                <w:sz w:val="18"/>
                <w:szCs w:val="18"/>
              </w:rPr>
              <w:t>Information Privacy Principles</w:t>
            </w:r>
            <w:r>
              <w:rPr>
                <w:rFonts w:ascii="Verdana" w:hAnsi="Verdana"/>
                <w:sz w:val="18"/>
                <w:szCs w:val="18"/>
              </w:rPr>
              <w:t xml:space="preserve"> or as a new Part to the </w:t>
            </w:r>
            <w:r w:rsidRPr="001A2BB3">
              <w:rPr>
                <w:rFonts w:ascii="Verdana" w:hAnsi="Verdana"/>
                <w:sz w:val="18"/>
                <w:szCs w:val="18"/>
              </w:rPr>
              <w:t>Privacy Act</w:t>
            </w:r>
          </w:p>
        </w:tc>
      </w:tr>
      <w:tr w:rsidR="001579BA" w:rsidRPr="002021E4" w14:paraId="112ABD6A" w14:textId="77777777" w:rsidTr="004910CF">
        <w:trPr>
          <w:cantSplit/>
        </w:trPr>
        <w:tc>
          <w:tcPr>
            <w:tcW w:w="2268" w:type="dxa"/>
            <w:shd w:val="clear" w:color="auto" w:fill="FFFFFF"/>
          </w:tcPr>
          <w:p w14:paraId="4655A9E6" w14:textId="77777777" w:rsidR="001579BA" w:rsidRPr="001A2BB3" w:rsidRDefault="001579BA" w:rsidP="00966EAB">
            <w:pPr>
              <w:pStyle w:val="Bullet-list"/>
              <w:numPr>
                <w:ilvl w:val="0"/>
                <w:numId w:val="9"/>
              </w:numPr>
              <w:spacing w:after="120"/>
              <w:ind w:left="284" w:right="-142" w:hanging="284"/>
              <w:rPr>
                <w:rFonts w:ascii="Verdana" w:hAnsi="Verdana"/>
                <w:sz w:val="18"/>
                <w:szCs w:val="18"/>
              </w:rPr>
            </w:pPr>
            <w:r w:rsidRPr="001A2BB3">
              <w:rPr>
                <w:rFonts w:ascii="Verdana" w:hAnsi="Verdana"/>
                <w:sz w:val="18"/>
                <w:szCs w:val="18"/>
              </w:rPr>
              <w:t xml:space="preserve">New framework in the </w:t>
            </w:r>
            <w:r>
              <w:rPr>
                <w:rFonts w:ascii="Verdana" w:hAnsi="Verdana"/>
                <w:sz w:val="18"/>
                <w:szCs w:val="18"/>
              </w:rPr>
              <w:t>CYPF Act</w:t>
            </w:r>
          </w:p>
        </w:tc>
        <w:tc>
          <w:tcPr>
            <w:tcW w:w="7371" w:type="dxa"/>
          </w:tcPr>
          <w:p w14:paraId="5F63C288" w14:textId="77777777" w:rsidR="001579BA" w:rsidRPr="001A2BB3" w:rsidRDefault="001579BA" w:rsidP="00966EAB">
            <w:pPr>
              <w:pStyle w:val="Bullet-list"/>
              <w:numPr>
                <w:ilvl w:val="0"/>
                <w:numId w:val="0"/>
              </w:numPr>
              <w:spacing w:after="120"/>
              <w:ind w:right="-142"/>
              <w:jc w:val="left"/>
              <w:rPr>
                <w:rFonts w:ascii="Verdana" w:hAnsi="Verdana"/>
                <w:sz w:val="18"/>
                <w:szCs w:val="18"/>
              </w:rPr>
            </w:pPr>
            <w:r>
              <w:rPr>
                <w:rFonts w:ascii="Verdana" w:hAnsi="Verdana"/>
                <w:sz w:val="18"/>
                <w:szCs w:val="18"/>
              </w:rPr>
              <w:t xml:space="preserve">New child welfare and protection information sharing </w:t>
            </w:r>
            <w:r w:rsidRPr="001A2BB3">
              <w:rPr>
                <w:rFonts w:ascii="Verdana" w:hAnsi="Verdana"/>
                <w:sz w:val="18"/>
                <w:szCs w:val="18"/>
              </w:rPr>
              <w:t>provision</w:t>
            </w:r>
            <w:r>
              <w:rPr>
                <w:rFonts w:ascii="Verdana" w:hAnsi="Verdana"/>
                <w:sz w:val="18"/>
                <w:szCs w:val="18"/>
              </w:rPr>
              <w:t>s w</w:t>
            </w:r>
            <w:r w:rsidRPr="001A2BB3">
              <w:rPr>
                <w:rFonts w:ascii="Verdana" w:hAnsi="Verdana"/>
                <w:sz w:val="18"/>
                <w:szCs w:val="18"/>
              </w:rPr>
              <w:t xml:space="preserve">ould be </w:t>
            </w:r>
            <w:r>
              <w:rPr>
                <w:rFonts w:ascii="Verdana" w:hAnsi="Verdana"/>
                <w:sz w:val="18"/>
                <w:szCs w:val="18"/>
              </w:rPr>
              <w:t>enacted in Part 2 of the CYPF Act</w:t>
            </w:r>
          </w:p>
        </w:tc>
      </w:tr>
    </w:tbl>
    <w:p w14:paraId="2FB15577" w14:textId="77777777" w:rsidR="000046BF" w:rsidRDefault="000046BF" w:rsidP="00966EAB">
      <w:pPr>
        <w:pStyle w:val="Heading4"/>
        <w:ind w:right="-142"/>
      </w:pPr>
    </w:p>
    <w:p w14:paraId="4128746C" w14:textId="77777777" w:rsidR="001579BA" w:rsidRPr="00A81A1B" w:rsidRDefault="001579BA" w:rsidP="000046BF">
      <w:pPr>
        <w:rPr>
          <w:b/>
        </w:rPr>
      </w:pPr>
      <w:r w:rsidRPr="00A81A1B">
        <w:rPr>
          <w:b/>
        </w:rPr>
        <w:t>Option Analysis</w:t>
      </w:r>
    </w:p>
    <w:p w14:paraId="480723EF" w14:textId="77777777" w:rsidR="003B6DA2" w:rsidRDefault="003B6DA2" w:rsidP="00966EAB">
      <w:pPr>
        <w:pStyle w:val="MOJNumPara"/>
        <w:ind w:right="-142"/>
      </w:pPr>
      <w:r>
        <w:t xml:space="preserve">The following table provides impact analysis of each option. The impacts are rated </w:t>
      </w:r>
      <w:r w:rsidRPr="002021E4">
        <w:t xml:space="preserve">either: significant, moderate, or minimal. This enables the analysis to weight the </w:t>
      </w:r>
      <w:r>
        <w:t xml:space="preserve">outcomes and determine the overall impact of option. </w:t>
      </w:r>
    </w:p>
    <w:p w14:paraId="54FA535A" w14:textId="77777777" w:rsidR="003B6DA2" w:rsidRDefault="003B6DA2" w:rsidP="00966EAB">
      <w:pPr>
        <w:pStyle w:val="MOJNumPara"/>
        <w:ind w:right="-142"/>
        <w:sectPr w:rsidR="003B6DA2" w:rsidSect="00966EAB">
          <w:footerReference w:type="even" r:id="rId10"/>
          <w:footerReference w:type="default" r:id="rId11"/>
          <w:footerReference w:type="first" r:id="rId12"/>
          <w:pgSz w:w="11907" w:h="16840" w:code="9"/>
          <w:pgMar w:top="1418" w:right="1275" w:bottom="993" w:left="1418" w:header="454" w:footer="454" w:gutter="0"/>
          <w:cols w:space="720"/>
          <w:titlePg/>
          <w:docGrid w:linePitch="299"/>
        </w:sectPr>
      </w:pPr>
    </w:p>
    <w:tbl>
      <w:tblPr>
        <w:tblW w:w="21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gridCol w:w="7371"/>
        <w:gridCol w:w="4252"/>
      </w:tblGrid>
      <w:tr w:rsidR="00CD3AB5" w14:paraId="70214C41" w14:textId="77777777" w:rsidTr="00006CA1">
        <w:trPr>
          <w:trHeight w:val="552"/>
        </w:trPr>
        <w:tc>
          <w:tcPr>
            <w:tcW w:w="2552" w:type="dxa"/>
            <w:shd w:val="clear" w:color="auto" w:fill="D9D9D9"/>
          </w:tcPr>
          <w:p w14:paraId="225C8122" w14:textId="77777777" w:rsidR="00CD3AB5" w:rsidRPr="00657686" w:rsidRDefault="00CD3AB5" w:rsidP="00FD0FAC">
            <w:pPr>
              <w:pStyle w:val="Bullet-list"/>
              <w:numPr>
                <w:ilvl w:val="0"/>
                <w:numId w:val="0"/>
              </w:numPr>
              <w:ind w:right="176"/>
              <w:rPr>
                <w:b/>
                <w:sz w:val="24"/>
                <w:szCs w:val="24"/>
              </w:rPr>
            </w:pPr>
            <w:r w:rsidRPr="00657686">
              <w:rPr>
                <w:b/>
                <w:sz w:val="24"/>
                <w:szCs w:val="24"/>
              </w:rPr>
              <w:lastRenderedPageBreak/>
              <w:t>Options</w:t>
            </w:r>
            <w:r w:rsidR="00ED6E93">
              <w:rPr>
                <w:b/>
                <w:sz w:val="24"/>
                <w:szCs w:val="24"/>
              </w:rPr>
              <w:t xml:space="preserve"> </w:t>
            </w:r>
            <w:r w:rsidR="008E1C2F">
              <w:rPr>
                <w:b/>
                <w:sz w:val="24"/>
                <w:szCs w:val="24"/>
              </w:rPr>
              <w:br/>
            </w:r>
            <w:r w:rsidR="00ED6E93">
              <w:rPr>
                <w:b/>
                <w:sz w:val="24"/>
                <w:szCs w:val="24"/>
              </w:rPr>
              <w:t>–</w:t>
            </w:r>
            <w:r w:rsidR="008E1C2F">
              <w:rPr>
                <w:b/>
                <w:sz w:val="24"/>
                <w:szCs w:val="24"/>
              </w:rPr>
              <w:t xml:space="preserve"> </w:t>
            </w:r>
            <w:r w:rsidR="00ED6E93">
              <w:rPr>
                <w:b/>
                <w:sz w:val="24"/>
                <w:szCs w:val="24"/>
              </w:rPr>
              <w:t>compared with status quo</w:t>
            </w:r>
          </w:p>
        </w:tc>
        <w:tc>
          <w:tcPr>
            <w:tcW w:w="7371" w:type="dxa"/>
            <w:shd w:val="clear" w:color="auto" w:fill="D9D9D9"/>
          </w:tcPr>
          <w:p w14:paraId="51D2BC3C" w14:textId="77777777" w:rsidR="00CD3AB5" w:rsidRPr="00657686" w:rsidRDefault="003B6DA2" w:rsidP="00966EAB">
            <w:pPr>
              <w:pStyle w:val="Bullet-list"/>
              <w:numPr>
                <w:ilvl w:val="0"/>
                <w:numId w:val="0"/>
              </w:numPr>
              <w:ind w:right="-142"/>
              <w:rPr>
                <w:b/>
                <w:sz w:val="24"/>
                <w:szCs w:val="24"/>
              </w:rPr>
            </w:pPr>
            <w:r>
              <w:rPr>
                <w:b/>
                <w:sz w:val="24"/>
                <w:szCs w:val="24"/>
              </w:rPr>
              <w:t>Advantages</w:t>
            </w:r>
          </w:p>
        </w:tc>
        <w:tc>
          <w:tcPr>
            <w:tcW w:w="7371" w:type="dxa"/>
            <w:shd w:val="clear" w:color="auto" w:fill="D9D9D9"/>
          </w:tcPr>
          <w:p w14:paraId="1C8C1D32" w14:textId="77777777" w:rsidR="00CD3AB5" w:rsidRPr="00657686" w:rsidRDefault="003B6DA2" w:rsidP="00966EAB">
            <w:pPr>
              <w:pStyle w:val="Bullet-list"/>
              <w:numPr>
                <w:ilvl w:val="0"/>
                <w:numId w:val="0"/>
              </w:numPr>
              <w:ind w:right="-142"/>
              <w:rPr>
                <w:b/>
                <w:sz w:val="24"/>
                <w:szCs w:val="24"/>
              </w:rPr>
            </w:pPr>
            <w:r>
              <w:rPr>
                <w:b/>
                <w:sz w:val="24"/>
                <w:szCs w:val="24"/>
              </w:rPr>
              <w:t>Disadvantages</w:t>
            </w:r>
          </w:p>
        </w:tc>
        <w:tc>
          <w:tcPr>
            <w:tcW w:w="4252" w:type="dxa"/>
            <w:shd w:val="clear" w:color="auto" w:fill="D9D9D9"/>
          </w:tcPr>
          <w:p w14:paraId="4648C102" w14:textId="77777777" w:rsidR="00CD3AB5" w:rsidRPr="00657686" w:rsidRDefault="00CD3AB5" w:rsidP="00966EAB">
            <w:pPr>
              <w:pStyle w:val="Bullet-list"/>
              <w:numPr>
                <w:ilvl w:val="0"/>
                <w:numId w:val="0"/>
              </w:numPr>
              <w:ind w:right="-142"/>
              <w:rPr>
                <w:b/>
                <w:sz w:val="24"/>
                <w:szCs w:val="24"/>
              </w:rPr>
            </w:pPr>
            <w:r w:rsidRPr="00657686">
              <w:rPr>
                <w:b/>
                <w:sz w:val="24"/>
                <w:szCs w:val="24"/>
              </w:rPr>
              <w:t>Overall impact</w:t>
            </w:r>
          </w:p>
        </w:tc>
      </w:tr>
      <w:tr w:rsidR="00CD3AB5" w14:paraId="6FAD4101" w14:textId="77777777" w:rsidTr="00006CA1">
        <w:trPr>
          <w:trHeight w:val="2012"/>
        </w:trPr>
        <w:tc>
          <w:tcPr>
            <w:tcW w:w="2552" w:type="dxa"/>
          </w:tcPr>
          <w:p w14:paraId="48775458" w14:textId="77777777" w:rsidR="00CD3AB5" w:rsidRPr="0076244B" w:rsidRDefault="004B7689" w:rsidP="004B7689">
            <w:pPr>
              <w:pStyle w:val="Bullet-list"/>
              <w:numPr>
                <w:ilvl w:val="0"/>
                <w:numId w:val="0"/>
              </w:numPr>
              <w:ind w:right="-142"/>
              <w:jc w:val="left"/>
              <w:rPr>
                <w:b/>
                <w:sz w:val="24"/>
                <w:szCs w:val="24"/>
              </w:rPr>
            </w:pPr>
            <w:r w:rsidRPr="004B7689">
              <w:rPr>
                <w:b/>
                <w:sz w:val="24"/>
                <w:szCs w:val="24"/>
              </w:rPr>
              <w:t>1.</w:t>
            </w:r>
            <w:r>
              <w:rPr>
                <w:b/>
                <w:sz w:val="24"/>
                <w:szCs w:val="24"/>
              </w:rPr>
              <w:t xml:space="preserve"> </w:t>
            </w:r>
            <w:r w:rsidR="001579BA">
              <w:rPr>
                <w:b/>
                <w:sz w:val="24"/>
                <w:szCs w:val="24"/>
              </w:rPr>
              <w:t>Further g</w:t>
            </w:r>
            <w:r w:rsidR="001579BA" w:rsidRPr="001579BA">
              <w:rPr>
                <w:b/>
                <w:sz w:val="24"/>
                <w:szCs w:val="24"/>
              </w:rPr>
              <w:t>uidance</w:t>
            </w:r>
          </w:p>
        </w:tc>
        <w:tc>
          <w:tcPr>
            <w:tcW w:w="7371" w:type="dxa"/>
            <w:shd w:val="clear" w:color="auto" w:fill="F2DBDB"/>
          </w:tcPr>
          <w:p w14:paraId="24EBA231" w14:textId="77777777" w:rsidR="00AF6999" w:rsidRPr="00DF3E5E" w:rsidRDefault="002021E4" w:rsidP="00966EAB">
            <w:pPr>
              <w:pStyle w:val="Bullet-list"/>
              <w:numPr>
                <w:ilvl w:val="0"/>
                <w:numId w:val="0"/>
              </w:numPr>
              <w:spacing w:before="80"/>
              <w:ind w:right="-142"/>
              <w:jc w:val="left"/>
              <w:rPr>
                <w:rFonts w:cs="Arial"/>
                <w:u w:val="single"/>
              </w:rPr>
            </w:pPr>
            <w:r w:rsidRPr="00DF3E5E">
              <w:rPr>
                <w:rFonts w:cs="Arial"/>
                <w:b/>
                <w:u w:val="single"/>
              </w:rPr>
              <w:t>M</w:t>
            </w:r>
            <w:r w:rsidR="00DF3E5E" w:rsidRPr="00DF3E5E">
              <w:rPr>
                <w:rFonts w:cs="Arial"/>
                <w:b/>
                <w:u w:val="single"/>
              </w:rPr>
              <w:t>inimal</w:t>
            </w:r>
          </w:p>
          <w:p w14:paraId="7EB9ECB1" w14:textId="77777777" w:rsidR="005102FB" w:rsidRDefault="001579BA" w:rsidP="002B5524">
            <w:pPr>
              <w:pStyle w:val="ReportBody"/>
              <w:numPr>
                <w:ilvl w:val="0"/>
                <w:numId w:val="10"/>
              </w:numPr>
              <w:spacing w:before="80" w:after="80"/>
              <w:ind w:right="176"/>
              <w:rPr>
                <w:rFonts w:ascii="Calibri" w:hAnsi="Calibri"/>
                <w:color w:val="auto"/>
                <w:sz w:val="23"/>
                <w:szCs w:val="23"/>
              </w:rPr>
            </w:pPr>
            <w:r w:rsidRPr="007F527C">
              <w:rPr>
                <w:rFonts w:ascii="Calibri" w:hAnsi="Calibri"/>
                <w:b/>
                <w:color w:val="auto"/>
                <w:sz w:val="23"/>
                <w:szCs w:val="23"/>
              </w:rPr>
              <w:t>Effectiveness</w:t>
            </w:r>
            <w:r w:rsidRPr="007F527C">
              <w:rPr>
                <w:rFonts w:ascii="Calibri" w:hAnsi="Calibri"/>
                <w:color w:val="auto"/>
                <w:sz w:val="23"/>
                <w:szCs w:val="23"/>
              </w:rPr>
              <w:t xml:space="preserve"> –</w:t>
            </w:r>
            <w:r w:rsidR="007F527C" w:rsidRPr="007F527C">
              <w:rPr>
                <w:rFonts w:ascii="Calibri" w:hAnsi="Calibri"/>
                <w:color w:val="auto"/>
                <w:sz w:val="23"/>
                <w:szCs w:val="23"/>
              </w:rPr>
              <w:t xml:space="preserve"> </w:t>
            </w:r>
            <w:r w:rsidR="00006CA1">
              <w:rPr>
                <w:rFonts w:ascii="Calibri" w:hAnsi="Calibri"/>
                <w:color w:val="auto"/>
                <w:sz w:val="23"/>
                <w:szCs w:val="23"/>
              </w:rPr>
              <w:t>In the absence of changes to current legal settings, e</w:t>
            </w:r>
            <w:r w:rsidR="007F527C" w:rsidRPr="007F527C">
              <w:rPr>
                <w:rFonts w:ascii="Calibri" w:hAnsi="Calibri"/>
                <w:color w:val="auto"/>
                <w:sz w:val="23"/>
                <w:szCs w:val="23"/>
              </w:rPr>
              <w:t xml:space="preserve">ducation and guidance </w:t>
            </w:r>
            <w:r w:rsidR="005102FB">
              <w:rPr>
                <w:rFonts w:ascii="Calibri" w:hAnsi="Calibri"/>
                <w:color w:val="auto"/>
                <w:sz w:val="23"/>
                <w:szCs w:val="23"/>
              </w:rPr>
              <w:t xml:space="preserve">is likely to generate only marginal benefits for practitioners, vulnerable children and young people. </w:t>
            </w:r>
          </w:p>
          <w:p w14:paraId="3DBA39A9" w14:textId="77777777" w:rsidR="005102FB" w:rsidRDefault="004910CF" w:rsidP="002B5524">
            <w:pPr>
              <w:pStyle w:val="ReportBody"/>
              <w:numPr>
                <w:ilvl w:val="0"/>
                <w:numId w:val="10"/>
              </w:numPr>
              <w:spacing w:before="80" w:after="80"/>
              <w:ind w:right="176"/>
              <w:rPr>
                <w:rFonts w:ascii="Calibri" w:hAnsi="Calibri"/>
                <w:color w:val="auto"/>
                <w:sz w:val="23"/>
                <w:szCs w:val="23"/>
              </w:rPr>
            </w:pPr>
            <w:r w:rsidRPr="004910CF">
              <w:rPr>
                <w:rFonts w:ascii="Calibri" w:hAnsi="Calibri"/>
                <w:b/>
                <w:color w:val="auto"/>
                <w:sz w:val="23"/>
                <w:szCs w:val="23"/>
              </w:rPr>
              <w:t>Proportionality –</w:t>
            </w:r>
            <w:r>
              <w:rPr>
                <w:rFonts w:ascii="Calibri" w:hAnsi="Calibri"/>
                <w:color w:val="auto"/>
                <w:sz w:val="23"/>
                <w:szCs w:val="23"/>
              </w:rPr>
              <w:t xml:space="preserve"> </w:t>
            </w:r>
            <w:r w:rsidR="007F527C">
              <w:rPr>
                <w:rFonts w:ascii="Calibri" w:hAnsi="Calibri"/>
                <w:color w:val="auto"/>
                <w:sz w:val="23"/>
                <w:szCs w:val="23"/>
              </w:rPr>
              <w:t xml:space="preserve">A reliance on guidance </w:t>
            </w:r>
            <w:r w:rsidR="005102FB">
              <w:rPr>
                <w:rFonts w:ascii="Calibri" w:hAnsi="Calibri"/>
                <w:color w:val="auto"/>
                <w:sz w:val="23"/>
                <w:szCs w:val="23"/>
              </w:rPr>
              <w:t xml:space="preserve">would be proportional to the extent current legal </w:t>
            </w:r>
            <w:r w:rsidR="00006CA1">
              <w:rPr>
                <w:rFonts w:ascii="Calibri" w:hAnsi="Calibri"/>
                <w:color w:val="auto"/>
                <w:sz w:val="23"/>
                <w:szCs w:val="23"/>
              </w:rPr>
              <w:t>protections of</w:t>
            </w:r>
            <w:r w:rsidR="005102FB">
              <w:rPr>
                <w:rFonts w:ascii="Calibri" w:hAnsi="Calibri"/>
                <w:color w:val="auto"/>
                <w:sz w:val="23"/>
                <w:szCs w:val="23"/>
              </w:rPr>
              <w:t xml:space="preserve"> privacy interests would be retained.  </w:t>
            </w:r>
          </w:p>
          <w:p w14:paraId="2C42EFDF" w14:textId="77777777" w:rsidR="001579BA" w:rsidRPr="00DF3E5E" w:rsidRDefault="001579BA" w:rsidP="00006CA1">
            <w:pPr>
              <w:pStyle w:val="ReportBody"/>
              <w:numPr>
                <w:ilvl w:val="0"/>
                <w:numId w:val="10"/>
              </w:numPr>
              <w:spacing w:before="80" w:after="80"/>
              <w:ind w:right="176"/>
              <w:rPr>
                <w:rFonts w:ascii="Calibri" w:hAnsi="Calibri"/>
                <w:color w:val="auto"/>
                <w:sz w:val="23"/>
                <w:szCs w:val="23"/>
              </w:rPr>
            </w:pPr>
            <w:r w:rsidRPr="00DF3E5E">
              <w:rPr>
                <w:rFonts w:ascii="Calibri" w:hAnsi="Calibri"/>
                <w:b/>
                <w:color w:val="auto"/>
                <w:sz w:val="23"/>
                <w:szCs w:val="23"/>
              </w:rPr>
              <w:t xml:space="preserve">Ease of use </w:t>
            </w:r>
            <w:r w:rsidRPr="00DF3E5E">
              <w:rPr>
                <w:rFonts w:ascii="Calibri" w:hAnsi="Calibri"/>
                <w:color w:val="auto"/>
                <w:sz w:val="23"/>
                <w:szCs w:val="23"/>
              </w:rPr>
              <w:t xml:space="preserve">– </w:t>
            </w:r>
            <w:r w:rsidR="00026ED2">
              <w:rPr>
                <w:rFonts w:ascii="Calibri" w:hAnsi="Calibri"/>
                <w:sz w:val="23"/>
                <w:szCs w:val="23"/>
              </w:rPr>
              <w:t xml:space="preserve">Guidance may clarify some common difficult situations that practitioners face.  </w:t>
            </w:r>
          </w:p>
          <w:p w14:paraId="1EF911EF" w14:textId="77777777" w:rsidR="00006CA1" w:rsidRDefault="00DF3E5E" w:rsidP="002B5524">
            <w:pPr>
              <w:pStyle w:val="ReportBody"/>
              <w:numPr>
                <w:ilvl w:val="0"/>
                <w:numId w:val="10"/>
              </w:numPr>
              <w:spacing w:before="80" w:after="80"/>
              <w:ind w:right="176"/>
              <w:rPr>
                <w:rFonts w:ascii="Calibri" w:hAnsi="Calibri"/>
                <w:color w:val="auto"/>
                <w:sz w:val="23"/>
                <w:szCs w:val="23"/>
              </w:rPr>
            </w:pPr>
            <w:r w:rsidRPr="00DF3E5E">
              <w:rPr>
                <w:rFonts w:ascii="Calibri" w:hAnsi="Calibri"/>
                <w:b/>
                <w:color w:val="auto"/>
                <w:sz w:val="23"/>
                <w:szCs w:val="23"/>
              </w:rPr>
              <w:t>Cost-effective</w:t>
            </w:r>
            <w:r w:rsidR="001579BA" w:rsidRPr="00DF3E5E">
              <w:rPr>
                <w:rFonts w:ascii="Calibri" w:hAnsi="Calibri"/>
                <w:color w:val="auto"/>
                <w:sz w:val="23"/>
                <w:szCs w:val="23"/>
              </w:rPr>
              <w:t xml:space="preserve"> – T</w:t>
            </w:r>
            <w:r>
              <w:rPr>
                <w:rFonts w:ascii="Calibri" w:hAnsi="Calibri"/>
                <w:color w:val="auto"/>
                <w:sz w:val="23"/>
                <w:szCs w:val="23"/>
              </w:rPr>
              <w:t>he costs of guidance would</w:t>
            </w:r>
            <w:r w:rsidR="001579BA" w:rsidRPr="00DF3E5E">
              <w:rPr>
                <w:rFonts w:ascii="Calibri" w:hAnsi="Calibri"/>
                <w:color w:val="auto"/>
                <w:sz w:val="23"/>
                <w:szCs w:val="23"/>
              </w:rPr>
              <w:t xml:space="preserve"> be modest</w:t>
            </w:r>
            <w:r w:rsidR="007F527C">
              <w:rPr>
                <w:rFonts w:ascii="Calibri" w:hAnsi="Calibri"/>
                <w:color w:val="auto"/>
                <w:sz w:val="23"/>
                <w:szCs w:val="23"/>
              </w:rPr>
              <w:t xml:space="preserve">, </w:t>
            </w:r>
            <w:r w:rsidR="005102FB">
              <w:rPr>
                <w:rFonts w:ascii="Calibri" w:hAnsi="Calibri"/>
                <w:color w:val="auto"/>
                <w:sz w:val="23"/>
                <w:szCs w:val="23"/>
              </w:rPr>
              <w:t xml:space="preserve">and agencies would </w:t>
            </w:r>
            <w:r w:rsidR="00006CA1">
              <w:rPr>
                <w:rFonts w:ascii="Calibri" w:hAnsi="Calibri"/>
                <w:color w:val="auto"/>
                <w:sz w:val="23"/>
                <w:szCs w:val="23"/>
              </w:rPr>
              <w:t xml:space="preserve">also </w:t>
            </w:r>
            <w:r w:rsidR="005102FB">
              <w:rPr>
                <w:rFonts w:ascii="Calibri" w:hAnsi="Calibri"/>
                <w:color w:val="auto"/>
                <w:sz w:val="23"/>
                <w:szCs w:val="23"/>
              </w:rPr>
              <w:t xml:space="preserve">avoid </w:t>
            </w:r>
            <w:r w:rsidR="00006CA1">
              <w:rPr>
                <w:rFonts w:ascii="Calibri" w:hAnsi="Calibri"/>
                <w:color w:val="auto"/>
                <w:sz w:val="23"/>
                <w:szCs w:val="23"/>
              </w:rPr>
              <w:t xml:space="preserve">any </w:t>
            </w:r>
            <w:r w:rsidR="005102FB">
              <w:rPr>
                <w:rFonts w:ascii="Calibri" w:hAnsi="Calibri"/>
                <w:color w:val="auto"/>
                <w:sz w:val="23"/>
                <w:szCs w:val="23"/>
              </w:rPr>
              <w:t xml:space="preserve">transactions costs associated with </w:t>
            </w:r>
            <w:r w:rsidR="00006CA1">
              <w:rPr>
                <w:rFonts w:ascii="Calibri" w:hAnsi="Calibri"/>
                <w:color w:val="auto"/>
                <w:sz w:val="23"/>
                <w:szCs w:val="23"/>
              </w:rPr>
              <w:t>implementing the other options.</w:t>
            </w:r>
          </w:p>
          <w:p w14:paraId="5431C215" w14:textId="77777777" w:rsidR="00CD3AB5" w:rsidRPr="00DF3E5E" w:rsidRDefault="00CD3AB5" w:rsidP="00006CA1">
            <w:pPr>
              <w:pStyle w:val="ReportBody"/>
              <w:numPr>
                <w:ilvl w:val="0"/>
                <w:numId w:val="0"/>
              </w:numPr>
              <w:spacing w:before="80" w:after="80"/>
              <w:ind w:left="360" w:right="176"/>
            </w:pPr>
          </w:p>
        </w:tc>
        <w:tc>
          <w:tcPr>
            <w:tcW w:w="7371" w:type="dxa"/>
            <w:shd w:val="clear" w:color="auto" w:fill="F2DBDB"/>
          </w:tcPr>
          <w:p w14:paraId="13EF8BAE" w14:textId="77777777" w:rsidR="00AF6999" w:rsidRPr="00DF3E5E" w:rsidRDefault="00DF3E5E" w:rsidP="002B5524">
            <w:pPr>
              <w:pStyle w:val="Bullet-list"/>
              <w:numPr>
                <w:ilvl w:val="0"/>
                <w:numId w:val="0"/>
              </w:numPr>
              <w:spacing w:before="80"/>
              <w:ind w:right="34"/>
              <w:jc w:val="left"/>
              <w:rPr>
                <w:rFonts w:cs="Arial"/>
                <w:u w:val="single"/>
              </w:rPr>
            </w:pPr>
            <w:r w:rsidRPr="00DF3E5E">
              <w:rPr>
                <w:rFonts w:cs="Arial"/>
                <w:b/>
                <w:u w:val="single"/>
              </w:rPr>
              <w:t>Significant</w:t>
            </w:r>
            <w:r w:rsidR="002021E4" w:rsidRPr="00DF3E5E">
              <w:rPr>
                <w:rFonts w:cs="Arial"/>
                <w:b/>
                <w:u w:val="single"/>
              </w:rPr>
              <w:t xml:space="preserve"> </w:t>
            </w:r>
          </w:p>
          <w:p w14:paraId="67CE42D6" w14:textId="77777777" w:rsidR="001579BA" w:rsidRDefault="001579BA" w:rsidP="002B5524">
            <w:pPr>
              <w:pStyle w:val="ReportBody"/>
              <w:numPr>
                <w:ilvl w:val="0"/>
                <w:numId w:val="10"/>
              </w:numPr>
              <w:spacing w:before="80" w:after="80"/>
              <w:ind w:right="34"/>
              <w:rPr>
                <w:rFonts w:ascii="Calibri" w:hAnsi="Calibri"/>
                <w:color w:val="auto"/>
                <w:sz w:val="23"/>
                <w:szCs w:val="23"/>
              </w:rPr>
            </w:pPr>
            <w:r w:rsidRPr="00DF3E5E">
              <w:rPr>
                <w:rFonts w:ascii="Calibri" w:hAnsi="Calibri"/>
                <w:b/>
                <w:color w:val="auto"/>
                <w:sz w:val="23"/>
                <w:szCs w:val="23"/>
              </w:rPr>
              <w:t>Effectiveness</w:t>
            </w:r>
            <w:r w:rsidRPr="00DF3E5E">
              <w:rPr>
                <w:rFonts w:ascii="Calibri" w:hAnsi="Calibri"/>
                <w:color w:val="auto"/>
                <w:sz w:val="23"/>
                <w:szCs w:val="23"/>
              </w:rPr>
              <w:t xml:space="preserve"> – Guidance </w:t>
            </w:r>
            <w:r w:rsidR="00031EB0">
              <w:rPr>
                <w:rFonts w:ascii="Calibri" w:hAnsi="Calibri"/>
                <w:color w:val="auto"/>
                <w:sz w:val="23"/>
                <w:szCs w:val="23"/>
              </w:rPr>
              <w:t xml:space="preserve">alone </w:t>
            </w:r>
            <w:r w:rsidRPr="00DF3E5E">
              <w:rPr>
                <w:rFonts w:ascii="Calibri" w:hAnsi="Calibri"/>
                <w:color w:val="auto"/>
                <w:sz w:val="23"/>
                <w:szCs w:val="23"/>
              </w:rPr>
              <w:t xml:space="preserve">will not address the reactive, incident based model that underpins both the CYPF and Privacy Acts.  </w:t>
            </w:r>
            <w:r w:rsidR="00031EB0">
              <w:rPr>
                <w:rFonts w:ascii="Calibri" w:hAnsi="Calibri"/>
                <w:color w:val="auto"/>
                <w:sz w:val="23"/>
                <w:szCs w:val="23"/>
              </w:rPr>
              <w:t xml:space="preserve">It </w:t>
            </w:r>
            <w:r w:rsidR="005102FB" w:rsidRPr="007F527C">
              <w:rPr>
                <w:rFonts w:ascii="Calibri" w:hAnsi="Calibri"/>
                <w:color w:val="auto"/>
                <w:sz w:val="23"/>
                <w:szCs w:val="23"/>
              </w:rPr>
              <w:t>is unlikely to reduce the uncertainty agencies experience over inter-agency information sharing</w:t>
            </w:r>
            <w:r w:rsidR="00006CA1">
              <w:rPr>
                <w:rFonts w:ascii="Calibri" w:hAnsi="Calibri"/>
                <w:color w:val="auto"/>
                <w:sz w:val="23"/>
                <w:szCs w:val="23"/>
              </w:rPr>
              <w:t xml:space="preserve">. </w:t>
            </w:r>
            <w:r w:rsidR="005102FB">
              <w:rPr>
                <w:rFonts w:ascii="Calibri" w:hAnsi="Calibri"/>
                <w:color w:val="auto"/>
                <w:sz w:val="23"/>
                <w:szCs w:val="23"/>
              </w:rPr>
              <w:t xml:space="preserve"> </w:t>
            </w:r>
            <w:r w:rsidRPr="00DF3E5E">
              <w:rPr>
                <w:rFonts w:ascii="Calibri" w:hAnsi="Calibri"/>
                <w:color w:val="auto"/>
                <w:sz w:val="23"/>
                <w:szCs w:val="23"/>
              </w:rPr>
              <w:t xml:space="preserve">Nor does it provide a general immunity from criminal, civil and disciplinary proceedings for good </w:t>
            </w:r>
            <w:r w:rsidR="00031EB0">
              <w:rPr>
                <w:rFonts w:ascii="Calibri" w:hAnsi="Calibri"/>
                <w:color w:val="auto"/>
                <w:sz w:val="23"/>
                <w:szCs w:val="23"/>
              </w:rPr>
              <w:t xml:space="preserve">faith disclosures </w:t>
            </w:r>
            <w:r w:rsidR="001D3714">
              <w:rPr>
                <w:rFonts w:ascii="Calibri" w:hAnsi="Calibri"/>
                <w:color w:val="auto"/>
                <w:sz w:val="23"/>
                <w:szCs w:val="23"/>
              </w:rPr>
              <w:t xml:space="preserve">needed </w:t>
            </w:r>
            <w:r w:rsidR="00031EB0">
              <w:rPr>
                <w:rFonts w:ascii="Calibri" w:hAnsi="Calibri"/>
                <w:color w:val="auto"/>
                <w:sz w:val="23"/>
                <w:szCs w:val="23"/>
              </w:rPr>
              <w:t>to manage practitioners’ legal risks</w:t>
            </w:r>
            <w:r w:rsidRPr="00DF3E5E">
              <w:rPr>
                <w:rFonts w:ascii="Calibri" w:hAnsi="Calibri"/>
                <w:color w:val="auto"/>
                <w:sz w:val="23"/>
                <w:szCs w:val="23"/>
              </w:rPr>
              <w:t xml:space="preserve">.  Guidance will not address the full range of needs of children at the earliest opportunity, </w:t>
            </w:r>
            <w:r w:rsidR="001D3714">
              <w:rPr>
                <w:rFonts w:ascii="Calibri" w:hAnsi="Calibri"/>
                <w:color w:val="auto"/>
                <w:sz w:val="23"/>
                <w:szCs w:val="23"/>
              </w:rPr>
              <w:t xml:space="preserve">or achieve the prevention </w:t>
            </w:r>
            <w:r w:rsidRPr="00DF3E5E">
              <w:rPr>
                <w:rFonts w:ascii="Calibri" w:hAnsi="Calibri"/>
                <w:color w:val="auto"/>
                <w:sz w:val="23"/>
                <w:szCs w:val="23"/>
              </w:rPr>
              <w:t>of harm.</w:t>
            </w:r>
          </w:p>
          <w:p w14:paraId="6EE70785" w14:textId="77777777" w:rsidR="004910CF" w:rsidRPr="004910CF" w:rsidRDefault="004910CF" w:rsidP="002B5524">
            <w:pPr>
              <w:pStyle w:val="ReportBody"/>
              <w:numPr>
                <w:ilvl w:val="0"/>
                <w:numId w:val="10"/>
              </w:numPr>
              <w:spacing w:before="80" w:after="80"/>
              <w:ind w:right="34"/>
              <w:rPr>
                <w:rFonts w:ascii="Calibri" w:hAnsi="Calibri"/>
                <w:color w:val="auto"/>
                <w:sz w:val="23"/>
                <w:szCs w:val="23"/>
              </w:rPr>
            </w:pPr>
            <w:r w:rsidRPr="004910CF">
              <w:rPr>
                <w:rFonts w:ascii="Calibri" w:hAnsi="Calibri"/>
                <w:b/>
                <w:color w:val="auto"/>
                <w:sz w:val="23"/>
                <w:szCs w:val="23"/>
              </w:rPr>
              <w:t>Proportionality –</w:t>
            </w:r>
            <w:r>
              <w:rPr>
                <w:rFonts w:ascii="Calibri" w:hAnsi="Calibri"/>
                <w:color w:val="auto"/>
                <w:sz w:val="23"/>
                <w:szCs w:val="23"/>
              </w:rPr>
              <w:t xml:space="preserve"> The existing </w:t>
            </w:r>
            <w:r w:rsidR="00006CA1">
              <w:rPr>
                <w:rFonts w:ascii="Calibri" w:hAnsi="Calibri"/>
                <w:color w:val="auto"/>
                <w:sz w:val="23"/>
                <w:szCs w:val="23"/>
              </w:rPr>
              <w:t xml:space="preserve">legal </w:t>
            </w:r>
            <w:r>
              <w:rPr>
                <w:rFonts w:ascii="Calibri" w:hAnsi="Calibri"/>
                <w:color w:val="auto"/>
                <w:sz w:val="23"/>
                <w:szCs w:val="23"/>
              </w:rPr>
              <w:t xml:space="preserve">framework means that even when the </w:t>
            </w:r>
            <w:r w:rsidR="005102FB">
              <w:rPr>
                <w:rFonts w:ascii="Calibri" w:hAnsi="Calibri"/>
                <w:color w:val="auto"/>
                <w:sz w:val="23"/>
                <w:szCs w:val="23"/>
              </w:rPr>
              <w:t xml:space="preserve">social </w:t>
            </w:r>
            <w:r>
              <w:rPr>
                <w:rFonts w:ascii="Calibri" w:hAnsi="Calibri"/>
                <w:color w:val="auto"/>
                <w:sz w:val="23"/>
                <w:szCs w:val="23"/>
              </w:rPr>
              <w:t xml:space="preserve">benefits </w:t>
            </w:r>
            <w:r w:rsidR="005102FB">
              <w:rPr>
                <w:rFonts w:ascii="Calibri" w:hAnsi="Calibri"/>
                <w:color w:val="auto"/>
                <w:sz w:val="23"/>
                <w:szCs w:val="23"/>
              </w:rPr>
              <w:t xml:space="preserve">of information sharing </w:t>
            </w:r>
            <w:r>
              <w:rPr>
                <w:rFonts w:ascii="Calibri" w:hAnsi="Calibri"/>
                <w:color w:val="auto"/>
                <w:sz w:val="23"/>
                <w:szCs w:val="23"/>
              </w:rPr>
              <w:t>outweigh the costs</w:t>
            </w:r>
            <w:r w:rsidR="005102FB">
              <w:rPr>
                <w:rFonts w:ascii="Calibri" w:hAnsi="Calibri"/>
                <w:color w:val="auto"/>
                <w:sz w:val="23"/>
                <w:szCs w:val="23"/>
              </w:rPr>
              <w:t xml:space="preserve"> in terms of privacy</w:t>
            </w:r>
            <w:r w:rsidR="00006CA1">
              <w:rPr>
                <w:rFonts w:ascii="Calibri" w:hAnsi="Calibri"/>
                <w:color w:val="auto"/>
                <w:sz w:val="23"/>
                <w:szCs w:val="23"/>
              </w:rPr>
              <w:t>, information will</w:t>
            </w:r>
            <w:r>
              <w:rPr>
                <w:rFonts w:ascii="Calibri" w:hAnsi="Calibri"/>
                <w:color w:val="auto"/>
                <w:sz w:val="23"/>
                <w:szCs w:val="23"/>
              </w:rPr>
              <w:t xml:space="preserve"> not </w:t>
            </w:r>
            <w:r w:rsidR="00006CA1">
              <w:rPr>
                <w:rFonts w:ascii="Calibri" w:hAnsi="Calibri"/>
                <w:color w:val="auto"/>
                <w:sz w:val="23"/>
                <w:szCs w:val="23"/>
              </w:rPr>
              <w:t xml:space="preserve">be </w:t>
            </w:r>
            <w:r>
              <w:rPr>
                <w:rFonts w:ascii="Calibri" w:hAnsi="Calibri"/>
                <w:color w:val="auto"/>
                <w:sz w:val="23"/>
                <w:szCs w:val="23"/>
              </w:rPr>
              <w:t>shared</w:t>
            </w:r>
            <w:r w:rsidR="00006CA1">
              <w:rPr>
                <w:rFonts w:ascii="Calibri" w:hAnsi="Calibri"/>
                <w:color w:val="auto"/>
                <w:sz w:val="23"/>
                <w:szCs w:val="23"/>
              </w:rPr>
              <w:t xml:space="preserve"> due to </w:t>
            </w:r>
            <w:r w:rsidR="00031EB0">
              <w:rPr>
                <w:rFonts w:ascii="Calibri" w:hAnsi="Calibri"/>
                <w:color w:val="auto"/>
                <w:sz w:val="23"/>
                <w:szCs w:val="23"/>
              </w:rPr>
              <w:t>current legal impediments</w:t>
            </w:r>
            <w:r w:rsidR="00106D9E">
              <w:rPr>
                <w:rFonts w:ascii="Calibri" w:hAnsi="Calibri"/>
                <w:color w:val="auto"/>
                <w:sz w:val="23"/>
                <w:szCs w:val="23"/>
              </w:rPr>
              <w:t xml:space="preserve"> or complexities</w:t>
            </w:r>
            <w:r>
              <w:rPr>
                <w:rFonts w:ascii="Calibri" w:hAnsi="Calibri"/>
                <w:color w:val="auto"/>
                <w:sz w:val="23"/>
                <w:szCs w:val="23"/>
              </w:rPr>
              <w:t>.</w:t>
            </w:r>
            <w:r w:rsidR="00006CA1">
              <w:rPr>
                <w:rFonts w:ascii="Calibri" w:hAnsi="Calibri"/>
                <w:color w:val="auto"/>
                <w:sz w:val="23"/>
                <w:szCs w:val="23"/>
              </w:rPr>
              <w:t xml:space="preserve">  Guidance is an inadequate response.  </w:t>
            </w:r>
            <w:r>
              <w:rPr>
                <w:rFonts w:ascii="Calibri" w:hAnsi="Calibri"/>
                <w:color w:val="auto"/>
                <w:sz w:val="23"/>
                <w:szCs w:val="23"/>
              </w:rPr>
              <w:t xml:space="preserve"> </w:t>
            </w:r>
          </w:p>
          <w:p w14:paraId="30187C38" w14:textId="77777777" w:rsidR="001579BA" w:rsidRPr="00DF3E5E" w:rsidRDefault="001579BA" w:rsidP="002B5524">
            <w:pPr>
              <w:pStyle w:val="ReportBody"/>
              <w:numPr>
                <w:ilvl w:val="0"/>
                <w:numId w:val="10"/>
              </w:numPr>
              <w:spacing w:before="80" w:after="80"/>
              <w:ind w:right="34"/>
              <w:rPr>
                <w:rFonts w:ascii="Calibri" w:hAnsi="Calibri"/>
                <w:color w:val="auto"/>
                <w:sz w:val="23"/>
                <w:szCs w:val="23"/>
              </w:rPr>
            </w:pPr>
            <w:r w:rsidRPr="00DF3E5E">
              <w:rPr>
                <w:rFonts w:ascii="Calibri" w:hAnsi="Calibri"/>
                <w:b/>
                <w:color w:val="auto"/>
                <w:sz w:val="23"/>
                <w:szCs w:val="23"/>
              </w:rPr>
              <w:t xml:space="preserve">Ease of use </w:t>
            </w:r>
            <w:r w:rsidRPr="00DF3E5E">
              <w:rPr>
                <w:rFonts w:ascii="Calibri" w:hAnsi="Calibri"/>
                <w:color w:val="auto"/>
                <w:sz w:val="23"/>
                <w:szCs w:val="23"/>
              </w:rPr>
              <w:t>– A focus on guidance will not overcome the complexity and uncertainty experienced by front-line practitioners when making decisions about whether to share personal information. Risk aversion will remain the default position for many agencies.</w:t>
            </w:r>
          </w:p>
          <w:p w14:paraId="36623069" w14:textId="77777777" w:rsidR="00AF6999" w:rsidRPr="00006CA1" w:rsidRDefault="00FB32BF" w:rsidP="001D3714">
            <w:pPr>
              <w:pStyle w:val="ReportBody"/>
              <w:numPr>
                <w:ilvl w:val="0"/>
                <w:numId w:val="10"/>
              </w:numPr>
              <w:spacing w:before="80" w:after="80"/>
              <w:ind w:right="34"/>
              <w:rPr>
                <w:rFonts w:ascii="Calibri" w:hAnsi="Calibri"/>
                <w:color w:val="auto"/>
                <w:sz w:val="23"/>
                <w:szCs w:val="23"/>
              </w:rPr>
            </w:pPr>
            <w:r>
              <w:rPr>
                <w:rFonts w:ascii="Calibri" w:hAnsi="Calibri"/>
                <w:b/>
                <w:color w:val="auto"/>
                <w:sz w:val="23"/>
                <w:szCs w:val="23"/>
              </w:rPr>
              <w:t>Cost-effective</w:t>
            </w:r>
            <w:r w:rsidR="001579BA" w:rsidRPr="00DF3E5E">
              <w:rPr>
                <w:rFonts w:ascii="Calibri" w:hAnsi="Calibri"/>
                <w:color w:val="auto"/>
                <w:sz w:val="23"/>
                <w:szCs w:val="23"/>
              </w:rPr>
              <w:t xml:space="preserve"> –</w:t>
            </w:r>
            <w:r w:rsidR="00031EB0">
              <w:rPr>
                <w:rFonts w:ascii="Calibri" w:hAnsi="Calibri"/>
                <w:color w:val="auto"/>
                <w:sz w:val="23"/>
                <w:szCs w:val="23"/>
              </w:rPr>
              <w:t xml:space="preserve"> </w:t>
            </w:r>
            <w:r w:rsidR="00006CA1">
              <w:rPr>
                <w:rFonts w:ascii="Calibri" w:hAnsi="Calibri"/>
                <w:color w:val="auto"/>
                <w:sz w:val="23"/>
                <w:szCs w:val="23"/>
              </w:rPr>
              <w:t>any additional expen</w:t>
            </w:r>
            <w:r w:rsidR="005102FB">
              <w:rPr>
                <w:rFonts w:ascii="Calibri" w:hAnsi="Calibri"/>
                <w:color w:val="auto"/>
                <w:sz w:val="23"/>
                <w:szCs w:val="23"/>
              </w:rPr>
              <w:t xml:space="preserve">diture </w:t>
            </w:r>
            <w:r w:rsidR="00006CA1">
              <w:rPr>
                <w:rFonts w:ascii="Calibri" w:hAnsi="Calibri"/>
                <w:color w:val="auto"/>
                <w:sz w:val="23"/>
                <w:szCs w:val="23"/>
              </w:rPr>
              <w:t xml:space="preserve">on guidance </w:t>
            </w:r>
            <w:r w:rsidR="001579BA" w:rsidRPr="00DF3E5E">
              <w:rPr>
                <w:rFonts w:ascii="Calibri" w:hAnsi="Calibri"/>
                <w:color w:val="auto"/>
                <w:sz w:val="23"/>
                <w:szCs w:val="23"/>
              </w:rPr>
              <w:t xml:space="preserve">would </w:t>
            </w:r>
            <w:r w:rsidR="00031EB0">
              <w:rPr>
                <w:rFonts w:ascii="Calibri" w:hAnsi="Calibri"/>
                <w:color w:val="auto"/>
                <w:sz w:val="23"/>
                <w:szCs w:val="23"/>
              </w:rPr>
              <w:t xml:space="preserve">represent </w:t>
            </w:r>
            <w:r w:rsidR="001579BA" w:rsidRPr="00DF3E5E">
              <w:rPr>
                <w:rFonts w:ascii="Calibri" w:hAnsi="Calibri"/>
                <w:color w:val="auto"/>
                <w:sz w:val="23"/>
                <w:szCs w:val="23"/>
              </w:rPr>
              <w:t xml:space="preserve">be poor value for money as it is unlikely </w:t>
            </w:r>
            <w:r w:rsidR="00031EB0">
              <w:rPr>
                <w:rFonts w:ascii="Calibri" w:hAnsi="Calibri"/>
                <w:color w:val="auto"/>
                <w:sz w:val="23"/>
                <w:szCs w:val="23"/>
              </w:rPr>
              <w:t xml:space="preserve">to </w:t>
            </w:r>
            <w:r w:rsidR="001579BA" w:rsidRPr="00DF3E5E">
              <w:rPr>
                <w:rFonts w:ascii="Calibri" w:hAnsi="Calibri"/>
                <w:color w:val="auto"/>
                <w:sz w:val="23"/>
                <w:szCs w:val="23"/>
              </w:rPr>
              <w:t xml:space="preserve">shift the cultures and </w:t>
            </w:r>
            <w:r w:rsidR="00031EB0">
              <w:rPr>
                <w:rFonts w:ascii="Calibri" w:hAnsi="Calibri"/>
                <w:color w:val="auto"/>
                <w:sz w:val="23"/>
                <w:szCs w:val="23"/>
              </w:rPr>
              <w:t xml:space="preserve">risk-averse </w:t>
            </w:r>
            <w:r w:rsidR="001579BA" w:rsidRPr="00DF3E5E">
              <w:rPr>
                <w:rFonts w:ascii="Calibri" w:hAnsi="Calibri"/>
                <w:color w:val="auto"/>
                <w:sz w:val="23"/>
                <w:szCs w:val="23"/>
              </w:rPr>
              <w:t xml:space="preserve">behaviours of </w:t>
            </w:r>
            <w:r w:rsidR="001D3714">
              <w:rPr>
                <w:rFonts w:ascii="Calibri" w:hAnsi="Calibri"/>
                <w:color w:val="auto"/>
                <w:sz w:val="23"/>
                <w:szCs w:val="23"/>
              </w:rPr>
              <w:t xml:space="preserve">relevant </w:t>
            </w:r>
            <w:r w:rsidR="001579BA" w:rsidRPr="00DF3E5E">
              <w:rPr>
                <w:rFonts w:ascii="Calibri" w:hAnsi="Calibri"/>
                <w:color w:val="auto"/>
                <w:sz w:val="23"/>
                <w:szCs w:val="23"/>
              </w:rPr>
              <w:t xml:space="preserve">agencies.   </w:t>
            </w:r>
          </w:p>
        </w:tc>
        <w:tc>
          <w:tcPr>
            <w:tcW w:w="4252" w:type="dxa"/>
            <w:shd w:val="clear" w:color="auto" w:fill="F2DBDB"/>
          </w:tcPr>
          <w:p w14:paraId="6FE7EB3B" w14:textId="77777777" w:rsidR="00F15766" w:rsidRDefault="00F15766" w:rsidP="003B42BE">
            <w:pPr>
              <w:pStyle w:val="Bullet-list"/>
              <w:numPr>
                <w:ilvl w:val="0"/>
                <w:numId w:val="0"/>
              </w:numPr>
              <w:spacing w:before="80"/>
              <w:ind w:right="-142"/>
              <w:jc w:val="left"/>
            </w:pPr>
          </w:p>
          <w:p w14:paraId="2F383464" w14:textId="77777777" w:rsidR="00545D1A" w:rsidRDefault="00006CA1" w:rsidP="003B42BE">
            <w:pPr>
              <w:pStyle w:val="Bullet-list"/>
              <w:numPr>
                <w:ilvl w:val="0"/>
                <w:numId w:val="0"/>
              </w:numPr>
              <w:spacing w:before="80"/>
              <w:ind w:right="-142"/>
              <w:jc w:val="left"/>
            </w:pPr>
            <w:r>
              <w:t>In the absence of law reform, r</w:t>
            </w:r>
            <w:r w:rsidR="003B42BE">
              <w:t xml:space="preserve">eliance on </w:t>
            </w:r>
            <w:r w:rsidR="001579BA" w:rsidRPr="00DF3E5E">
              <w:t xml:space="preserve">guidance will </w:t>
            </w:r>
            <w:r w:rsidR="00545D1A">
              <w:t xml:space="preserve">be </w:t>
            </w:r>
            <w:r w:rsidR="00FB32BF">
              <w:t>ineffective</w:t>
            </w:r>
            <w:r>
              <w:t xml:space="preserve"> and </w:t>
            </w:r>
            <w:r w:rsidR="00031EB0">
              <w:t xml:space="preserve">represent </w:t>
            </w:r>
            <w:r>
              <w:t>poor value for money</w:t>
            </w:r>
            <w:r w:rsidR="00FB32BF">
              <w:t xml:space="preserve">. </w:t>
            </w:r>
          </w:p>
          <w:p w14:paraId="1A3EA0D8" w14:textId="77777777" w:rsidR="00AF6999" w:rsidRPr="00DF3E5E" w:rsidRDefault="003B42BE" w:rsidP="00006CA1">
            <w:pPr>
              <w:pStyle w:val="Bullet-list"/>
              <w:numPr>
                <w:ilvl w:val="0"/>
                <w:numId w:val="0"/>
              </w:numPr>
              <w:spacing w:before="80"/>
              <w:ind w:right="-142"/>
              <w:jc w:val="left"/>
            </w:pPr>
            <w:r>
              <w:t>Nevertheless, fit-for-</w:t>
            </w:r>
            <w:r w:rsidR="00FB32BF">
              <w:t xml:space="preserve">purpose </w:t>
            </w:r>
            <w:r w:rsidR="001579BA" w:rsidRPr="00DF3E5E">
              <w:t xml:space="preserve">guidance </w:t>
            </w:r>
            <w:r w:rsidR="00006CA1">
              <w:t xml:space="preserve">is an essential </w:t>
            </w:r>
            <w:r>
              <w:t xml:space="preserve">element </w:t>
            </w:r>
            <w:r w:rsidR="001579BA" w:rsidRPr="00DF3E5E">
              <w:t xml:space="preserve">of </w:t>
            </w:r>
            <w:r w:rsidR="00FB32BF">
              <w:t xml:space="preserve">any </w:t>
            </w:r>
            <w:r>
              <w:t xml:space="preserve">new </w:t>
            </w:r>
            <w:r w:rsidR="00FB32BF">
              <w:t>regulatory system</w:t>
            </w:r>
            <w:r>
              <w:t xml:space="preserve"> to drive the desired behavioural changes</w:t>
            </w:r>
            <w:r w:rsidR="00FB32BF">
              <w:t xml:space="preserve">. </w:t>
            </w:r>
          </w:p>
        </w:tc>
      </w:tr>
      <w:tr w:rsidR="00CD3AB5" w14:paraId="169FA44D" w14:textId="77777777" w:rsidTr="00006CA1">
        <w:trPr>
          <w:trHeight w:val="2012"/>
        </w:trPr>
        <w:tc>
          <w:tcPr>
            <w:tcW w:w="2552" w:type="dxa"/>
            <w:shd w:val="clear" w:color="auto" w:fill="auto"/>
          </w:tcPr>
          <w:p w14:paraId="64A3A897" w14:textId="77777777" w:rsidR="001579BA" w:rsidRPr="00FB32BF" w:rsidRDefault="004B7689" w:rsidP="004B7689">
            <w:pPr>
              <w:pStyle w:val="Bullet-list"/>
              <w:numPr>
                <w:ilvl w:val="0"/>
                <w:numId w:val="0"/>
              </w:numPr>
              <w:ind w:right="-142"/>
              <w:jc w:val="left"/>
              <w:rPr>
                <w:b/>
              </w:rPr>
            </w:pPr>
            <w:r w:rsidRPr="004B7689">
              <w:rPr>
                <w:b/>
              </w:rPr>
              <w:t>2.</w:t>
            </w:r>
            <w:r>
              <w:rPr>
                <w:b/>
              </w:rPr>
              <w:t xml:space="preserve"> </w:t>
            </w:r>
            <w:r w:rsidR="001579BA" w:rsidRPr="00FB32BF">
              <w:rPr>
                <w:b/>
              </w:rPr>
              <w:t>Code or Codes of Practice</w:t>
            </w:r>
          </w:p>
          <w:p w14:paraId="758791FA" w14:textId="77777777" w:rsidR="00CD3AB5" w:rsidRPr="00FB32BF" w:rsidRDefault="00CD3AB5" w:rsidP="00966EAB">
            <w:pPr>
              <w:pStyle w:val="Bullet-list"/>
              <w:numPr>
                <w:ilvl w:val="0"/>
                <w:numId w:val="0"/>
              </w:numPr>
              <w:ind w:right="-142"/>
              <w:jc w:val="left"/>
              <w:rPr>
                <w:b/>
              </w:rPr>
            </w:pPr>
          </w:p>
        </w:tc>
        <w:tc>
          <w:tcPr>
            <w:tcW w:w="7371" w:type="dxa"/>
            <w:shd w:val="clear" w:color="auto" w:fill="F2DBDB"/>
          </w:tcPr>
          <w:p w14:paraId="6CF81DF3" w14:textId="77777777" w:rsidR="00AF6999" w:rsidRPr="00FB32BF" w:rsidRDefault="00DF3E5E" w:rsidP="00966EAB">
            <w:pPr>
              <w:pStyle w:val="Bullet-list"/>
              <w:numPr>
                <w:ilvl w:val="0"/>
                <w:numId w:val="0"/>
              </w:numPr>
              <w:spacing w:before="80"/>
              <w:ind w:right="-142"/>
              <w:jc w:val="left"/>
            </w:pPr>
            <w:r w:rsidRPr="00FB32BF">
              <w:rPr>
                <w:b/>
                <w:u w:val="single"/>
              </w:rPr>
              <w:t>Minimal</w:t>
            </w:r>
          </w:p>
          <w:p w14:paraId="05A1F67B" w14:textId="77777777" w:rsidR="001579BA" w:rsidRPr="004910CF" w:rsidRDefault="001579BA" w:rsidP="002B5524">
            <w:pPr>
              <w:pStyle w:val="ReportBody"/>
              <w:numPr>
                <w:ilvl w:val="0"/>
                <w:numId w:val="10"/>
              </w:numPr>
              <w:spacing w:before="80" w:after="80"/>
              <w:ind w:right="34"/>
              <w:rPr>
                <w:rFonts w:ascii="Calibri" w:hAnsi="Calibri"/>
                <w:b/>
                <w:color w:val="auto"/>
                <w:sz w:val="23"/>
                <w:szCs w:val="23"/>
              </w:rPr>
            </w:pPr>
            <w:r w:rsidRPr="00226A86">
              <w:rPr>
                <w:rFonts w:ascii="Calibri" w:hAnsi="Calibri"/>
                <w:b/>
                <w:color w:val="auto"/>
                <w:sz w:val="23"/>
                <w:szCs w:val="23"/>
              </w:rPr>
              <w:t>Effectiveness</w:t>
            </w:r>
            <w:r w:rsidRPr="00226A86">
              <w:rPr>
                <w:rFonts w:ascii="Calibri" w:hAnsi="Calibri"/>
                <w:color w:val="auto"/>
                <w:sz w:val="23"/>
                <w:szCs w:val="23"/>
              </w:rPr>
              <w:t xml:space="preserve"> – Control of this mechanism sits with the Privac</w:t>
            </w:r>
            <w:r w:rsidR="00006CA1">
              <w:rPr>
                <w:rFonts w:ascii="Calibri" w:hAnsi="Calibri"/>
                <w:color w:val="auto"/>
                <w:sz w:val="23"/>
                <w:szCs w:val="23"/>
              </w:rPr>
              <w:t xml:space="preserve">y Commissioner.  A Code could </w:t>
            </w:r>
            <w:r w:rsidR="00735309">
              <w:rPr>
                <w:rFonts w:ascii="Calibri" w:hAnsi="Calibri"/>
                <w:color w:val="auto"/>
                <w:sz w:val="23"/>
                <w:szCs w:val="23"/>
              </w:rPr>
              <w:t xml:space="preserve">be an effective partial solution </w:t>
            </w:r>
            <w:r w:rsidR="00006CA1">
              <w:rPr>
                <w:rFonts w:ascii="Calibri" w:hAnsi="Calibri"/>
                <w:color w:val="auto"/>
                <w:sz w:val="23"/>
                <w:szCs w:val="23"/>
              </w:rPr>
              <w:t>if the objectives and interests of all parti</w:t>
            </w:r>
            <w:r w:rsidR="006C0A18">
              <w:rPr>
                <w:rFonts w:ascii="Calibri" w:hAnsi="Calibri"/>
                <w:color w:val="auto"/>
                <w:sz w:val="23"/>
                <w:szCs w:val="23"/>
              </w:rPr>
              <w:t>es to the Code – including the G</w:t>
            </w:r>
            <w:r w:rsidR="00006CA1">
              <w:rPr>
                <w:rFonts w:ascii="Calibri" w:hAnsi="Calibri"/>
                <w:color w:val="auto"/>
                <w:sz w:val="23"/>
                <w:szCs w:val="23"/>
              </w:rPr>
              <w:t>overnment a</w:t>
            </w:r>
            <w:r w:rsidR="006C0A18">
              <w:rPr>
                <w:rFonts w:ascii="Calibri" w:hAnsi="Calibri"/>
                <w:color w:val="auto"/>
                <w:sz w:val="23"/>
                <w:szCs w:val="23"/>
              </w:rPr>
              <w:t>nd the Privacy Commissioner – wer</w:t>
            </w:r>
            <w:r w:rsidR="00006CA1">
              <w:rPr>
                <w:rFonts w:ascii="Calibri" w:hAnsi="Calibri"/>
                <w:color w:val="auto"/>
                <w:sz w:val="23"/>
                <w:szCs w:val="23"/>
              </w:rPr>
              <w:t>e</w:t>
            </w:r>
            <w:r w:rsidR="001D3714">
              <w:rPr>
                <w:rFonts w:ascii="Calibri" w:hAnsi="Calibri"/>
                <w:color w:val="auto"/>
                <w:sz w:val="23"/>
                <w:szCs w:val="23"/>
              </w:rPr>
              <w:t xml:space="preserve"> well</w:t>
            </w:r>
            <w:r w:rsidR="00006CA1">
              <w:rPr>
                <w:rFonts w:ascii="Calibri" w:hAnsi="Calibri"/>
                <w:color w:val="auto"/>
                <w:sz w:val="23"/>
                <w:szCs w:val="23"/>
              </w:rPr>
              <w:t xml:space="preserve"> aligned.  </w:t>
            </w:r>
            <w:r w:rsidR="001D3714">
              <w:rPr>
                <w:rFonts w:ascii="Calibri" w:hAnsi="Calibri"/>
                <w:color w:val="auto"/>
                <w:sz w:val="23"/>
                <w:szCs w:val="23"/>
              </w:rPr>
              <w:t xml:space="preserve">It could </w:t>
            </w:r>
            <w:r w:rsidR="00735309">
              <w:rPr>
                <w:rFonts w:ascii="Calibri" w:hAnsi="Calibri"/>
                <w:color w:val="auto"/>
                <w:sz w:val="23"/>
                <w:szCs w:val="23"/>
              </w:rPr>
              <w:t xml:space="preserve">achieve </w:t>
            </w:r>
            <w:r w:rsidR="001D3714">
              <w:rPr>
                <w:rFonts w:ascii="Calibri" w:hAnsi="Calibri"/>
                <w:color w:val="auto"/>
                <w:sz w:val="23"/>
                <w:szCs w:val="23"/>
              </w:rPr>
              <w:t xml:space="preserve">the buy-in from stakeholders through their engagement in its development.  </w:t>
            </w:r>
          </w:p>
          <w:p w14:paraId="31798242" w14:textId="77777777" w:rsidR="004910CF" w:rsidRPr="004910CF" w:rsidRDefault="00235021" w:rsidP="002B5524">
            <w:pPr>
              <w:pStyle w:val="ReportBody"/>
              <w:numPr>
                <w:ilvl w:val="0"/>
                <w:numId w:val="10"/>
              </w:numPr>
              <w:spacing w:before="80" w:after="80"/>
              <w:ind w:right="34"/>
              <w:rPr>
                <w:rFonts w:ascii="Calibri" w:hAnsi="Calibri"/>
                <w:color w:val="auto"/>
                <w:sz w:val="23"/>
                <w:szCs w:val="23"/>
              </w:rPr>
            </w:pPr>
            <w:r>
              <w:rPr>
                <w:rFonts w:ascii="Calibri" w:hAnsi="Calibri"/>
                <w:b/>
                <w:color w:val="auto"/>
                <w:sz w:val="23"/>
                <w:szCs w:val="23"/>
              </w:rPr>
              <w:t>Proportionality</w:t>
            </w:r>
            <w:r w:rsidR="004910CF" w:rsidRPr="004910CF">
              <w:rPr>
                <w:rFonts w:ascii="Calibri" w:hAnsi="Calibri"/>
                <w:b/>
                <w:color w:val="auto"/>
                <w:sz w:val="23"/>
                <w:szCs w:val="23"/>
              </w:rPr>
              <w:t>–</w:t>
            </w:r>
            <w:r w:rsidR="004910CF">
              <w:rPr>
                <w:rFonts w:ascii="Calibri" w:hAnsi="Calibri"/>
                <w:color w:val="auto"/>
                <w:sz w:val="23"/>
                <w:szCs w:val="23"/>
              </w:rPr>
              <w:t xml:space="preserve"> Operating within the Privacy Act will restrict the amount of disproportionate information sharing that is possible</w:t>
            </w:r>
            <w:r w:rsidR="001D3714">
              <w:rPr>
                <w:rFonts w:ascii="Calibri" w:hAnsi="Calibri"/>
                <w:color w:val="auto"/>
                <w:sz w:val="23"/>
                <w:szCs w:val="23"/>
              </w:rPr>
              <w:t>,</w:t>
            </w:r>
            <w:r w:rsidR="004910CF">
              <w:rPr>
                <w:rFonts w:ascii="Calibri" w:hAnsi="Calibri"/>
                <w:color w:val="auto"/>
                <w:sz w:val="23"/>
                <w:szCs w:val="23"/>
              </w:rPr>
              <w:t xml:space="preserve"> as determined by the scope of </w:t>
            </w:r>
            <w:r w:rsidR="001D3714">
              <w:rPr>
                <w:rFonts w:ascii="Calibri" w:hAnsi="Calibri"/>
                <w:color w:val="auto"/>
                <w:sz w:val="23"/>
                <w:szCs w:val="23"/>
              </w:rPr>
              <w:t xml:space="preserve">the </w:t>
            </w:r>
            <w:r w:rsidR="004910CF">
              <w:rPr>
                <w:rFonts w:ascii="Calibri" w:hAnsi="Calibri"/>
                <w:color w:val="auto"/>
                <w:sz w:val="23"/>
                <w:szCs w:val="23"/>
              </w:rPr>
              <w:t>Code.</w:t>
            </w:r>
          </w:p>
          <w:p w14:paraId="1D86F2F3" w14:textId="77777777" w:rsidR="001579BA" w:rsidRPr="00FB32BF" w:rsidRDefault="001579BA" w:rsidP="002B5524">
            <w:pPr>
              <w:pStyle w:val="ReportBody"/>
              <w:numPr>
                <w:ilvl w:val="0"/>
                <w:numId w:val="10"/>
              </w:numPr>
              <w:spacing w:before="80" w:after="80"/>
              <w:ind w:right="34"/>
              <w:rPr>
                <w:rFonts w:ascii="Calibri" w:hAnsi="Calibri"/>
                <w:b/>
                <w:color w:val="auto"/>
                <w:sz w:val="23"/>
                <w:szCs w:val="23"/>
              </w:rPr>
            </w:pPr>
            <w:r w:rsidRPr="00226A86">
              <w:rPr>
                <w:rFonts w:ascii="Calibri" w:hAnsi="Calibri"/>
                <w:b/>
                <w:color w:val="auto"/>
                <w:sz w:val="23"/>
                <w:szCs w:val="23"/>
              </w:rPr>
              <w:t xml:space="preserve">Ease of use </w:t>
            </w:r>
            <w:r w:rsidRPr="00226A86">
              <w:rPr>
                <w:rFonts w:ascii="Calibri" w:hAnsi="Calibri"/>
                <w:color w:val="auto"/>
                <w:sz w:val="23"/>
                <w:szCs w:val="23"/>
              </w:rPr>
              <w:t xml:space="preserve">– </w:t>
            </w:r>
            <w:r w:rsidR="00A21B95">
              <w:rPr>
                <w:rFonts w:ascii="Calibri" w:hAnsi="Calibri"/>
                <w:color w:val="auto"/>
                <w:sz w:val="23"/>
                <w:szCs w:val="23"/>
              </w:rPr>
              <w:t xml:space="preserve">Codes </w:t>
            </w:r>
            <w:proofErr w:type="gramStart"/>
            <w:r w:rsidR="00A21B95">
              <w:rPr>
                <w:rFonts w:ascii="Calibri" w:hAnsi="Calibri"/>
                <w:color w:val="auto"/>
                <w:sz w:val="23"/>
                <w:szCs w:val="23"/>
              </w:rPr>
              <w:t>have</w:t>
            </w:r>
            <w:proofErr w:type="gramEnd"/>
            <w:r w:rsidR="00A21B95">
              <w:rPr>
                <w:rFonts w:ascii="Calibri" w:hAnsi="Calibri"/>
                <w:color w:val="auto"/>
                <w:sz w:val="23"/>
                <w:szCs w:val="23"/>
              </w:rPr>
              <w:t xml:space="preserve"> some flexibility in how they can be designed within the Privacy Act framework.</w:t>
            </w:r>
          </w:p>
          <w:p w14:paraId="5D230701" w14:textId="77777777" w:rsidR="001579BA" w:rsidRPr="00FB32BF" w:rsidRDefault="00744DAB" w:rsidP="002B5524">
            <w:pPr>
              <w:pStyle w:val="ReportBody"/>
              <w:numPr>
                <w:ilvl w:val="0"/>
                <w:numId w:val="10"/>
              </w:numPr>
              <w:spacing w:before="80" w:after="80"/>
              <w:ind w:right="34"/>
              <w:rPr>
                <w:rFonts w:ascii="Calibri" w:hAnsi="Calibri"/>
                <w:color w:val="auto"/>
                <w:sz w:val="23"/>
                <w:szCs w:val="23"/>
              </w:rPr>
            </w:pPr>
            <w:r>
              <w:rPr>
                <w:rFonts w:ascii="Calibri" w:hAnsi="Calibri"/>
                <w:b/>
                <w:color w:val="auto"/>
                <w:sz w:val="23"/>
                <w:szCs w:val="23"/>
              </w:rPr>
              <w:t>Cost-effective</w:t>
            </w:r>
            <w:r w:rsidR="001579BA" w:rsidRPr="00FB32BF">
              <w:rPr>
                <w:rFonts w:ascii="Calibri" w:hAnsi="Calibri"/>
                <w:color w:val="auto"/>
                <w:sz w:val="23"/>
                <w:szCs w:val="23"/>
              </w:rPr>
              <w:t xml:space="preserve"> – </w:t>
            </w:r>
            <w:r>
              <w:rPr>
                <w:rFonts w:ascii="Calibri" w:hAnsi="Calibri"/>
                <w:color w:val="auto"/>
                <w:sz w:val="23"/>
                <w:szCs w:val="23"/>
              </w:rPr>
              <w:t xml:space="preserve">The costs of this mechanism would be </w:t>
            </w:r>
            <w:r w:rsidR="00006CA1">
              <w:rPr>
                <w:rFonts w:ascii="Calibri" w:hAnsi="Calibri"/>
                <w:color w:val="auto"/>
                <w:sz w:val="23"/>
                <w:szCs w:val="23"/>
              </w:rPr>
              <w:t xml:space="preserve">comparable to the preparatory work required for law reform. </w:t>
            </w:r>
          </w:p>
          <w:p w14:paraId="23D08A15" w14:textId="77777777" w:rsidR="00AF6999" w:rsidRPr="00FB32BF" w:rsidRDefault="00AF6999" w:rsidP="00966EAB">
            <w:pPr>
              <w:pStyle w:val="Bullet-list"/>
              <w:numPr>
                <w:ilvl w:val="0"/>
                <w:numId w:val="0"/>
              </w:numPr>
              <w:spacing w:before="80"/>
              <w:ind w:right="-142"/>
              <w:jc w:val="left"/>
            </w:pPr>
          </w:p>
        </w:tc>
        <w:tc>
          <w:tcPr>
            <w:tcW w:w="7371" w:type="dxa"/>
            <w:shd w:val="clear" w:color="auto" w:fill="FDE9D9"/>
          </w:tcPr>
          <w:p w14:paraId="124DFD81" w14:textId="77777777" w:rsidR="00AF6999" w:rsidRPr="00FB32BF" w:rsidRDefault="00DF3E5E" w:rsidP="002B5524">
            <w:pPr>
              <w:pStyle w:val="Bullet-list"/>
              <w:numPr>
                <w:ilvl w:val="0"/>
                <w:numId w:val="0"/>
              </w:numPr>
              <w:spacing w:before="80"/>
              <w:ind w:right="34"/>
              <w:jc w:val="left"/>
              <w:rPr>
                <w:b/>
              </w:rPr>
            </w:pPr>
            <w:r w:rsidRPr="00FB32BF">
              <w:rPr>
                <w:b/>
                <w:u w:val="single"/>
              </w:rPr>
              <w:t>Moderate</w:t>
            </w:r>
          </w:p>
          <w:p w14:paraId="55030857" w14:textId="35274BC4" w:rsidR="001D3714" w:rsidRPr="00972F89" w:rsidRDefault="001579BA" w:rsidP="00972F89">
            <w:pPr>
              <w:pStyle w:val="ReportBody"/>
              <w:numPr>
                <w:ilvl w:val="0"/>
                <w:numId w:val="10"/>
              </w:numPr>
              <w:spacing w:before="80" w:after="80"/>
              <w:ind w:right="34"/>
              <w:rPr>
                <w:rFonts w:ascii="Calibri" w:hAnsi="Calibri"/>
                <w:b/>
                <w:color w:val="auto"/>
                <w:sz w:val="23"/>
                <w:szCs w:val="23"/>
              </w:rPr>
            </w:pPr>
            <w:r w:rsidRPr="00972F89">
              <w:rPr>
                <w:rFonts w:ascii="Calibri" w:hAnsi="Calibri"/>
                <w:b/>
                <w:color w:val="auto"/>
                <w:sz w:val="23"/>
                <w:szCs w:val="23"/>
              </w:rPr>
              <w:t>Effectiveness –</w:t>
            </w:r>
            <w:r w:rsidR="00735309" w:rsidRPr="00972F89">
              <w:rPr>
                <w:rFonts w:ascii="Calibri" w:hAnsi="Calibri"/>
                <w:b/>
                <w:color w:val="auto"/>
                <w:sz w:val="23"/>
                <w:szCs w:val="23"/>
              </w:rPr>
              <w:t xml:space="preserve"> </w:t>
            </w:r>
            <w:r w:rsidR="00972F89" w:rsidRPr="00972F89">
              <w:rPr>
                <w:rFonts w:ascii="Calibri" w:hAnsi="Calibri"/>
                <w:color w:val="auto"/>
                <w:sz w:val="23"/>
                <w:szCs w:val="23"/>
              </w:rPr>
              <w:t xml:space="preserve">the substance of any Code is ultimately determined by the Privacy Commissioner.  If the Commissioner and Government have different views about the impediments to information sharing about vulnerable children, it’s unlikely a Code would be enduring.  </w:t>
            </w:r>
            <w:r w:rsidR="00735309" w:rsidRPr="00972F89">
              <w:rPr>
                <w:rFonts w:ascii="Calibri" w:hAnsi="Calibri"/>
                <w:color w:val="auto"/>
                <w:sz w:val="23"/>
                <w:szCs w:val="23"/>
              </w:rPr>
              <w:t xml:space="preserve">  </w:t>
            </w:r>
            <w:r w:rsidR="00031EB0" w:rsidRPr="00972F89">
              <w:rPr>
                <w:rFonts w:ascii="Calibri" w:hAnsi="Calibri"/>
                <w:color w:val="auto"/>
                <w:sz w:val="23"/>
                <w:szCs w:val="23"/>
              </w:rPr>
              <w:t>A Code cannot</w:t>
            </w:r>
            <w:r w:rsidR="001D3714" w:rsidRPr="00972F89">
              <w:rPr>
                <w:rFonts w:ascii="Calibri" w:hAnsi="Calibri"/>
                <w:color w:val="auto"/>
                <w:sz w:val="23"/>
                <w:szCs w:val="23"/>
              </w:rPr>
              <w:t>:</w:t>
            </w:r>
          </w:p>
          <w:p w14:paraId="7063E092" w14:textId="77777777" w:rsidR="001D3714" w:rsidRDefault="001D3714" w:rsidP="00F6637E">
            <w:pPr>
              <w:pStyle w:val="ReportBody"/>
              <w:numPr>
                <w:ilvl w:val="1"/>
                <w:numId w:val="25"/>
              </w:numPr>
              <w:spacing w:before="40" w:after="0"/>
              <w:ind w:left="884" w:right="34" w:hanging="425"/>
              <w:rPr>
                <w:rFonts w:ascii="Calibri" w:hAnsi="Calibri"/>
                <w:color w:val="auto"/>
                <w:sz w:val="23"/>
                <w:szCs w:val="23"/>
              </w:rPr>
            </w:pPr>
            <w:r>
              <w:rPr>
                <w:rFonts w:ascii="Calibri" w:hAnsi="Calibri"/>
                <w:color w:val="auto"/>
                <w:sz w:val="23"/>
                <w:szCs w:val="23"/>
              </w:rPr>
              <w:t>p</w:t>
            </w:r>
            <w:r w:rsidR="00031EB0" w:rsidRPr="00DF3E5E">
              <w:rPr>
                <w:rFonts w:ascii="Calibri" w:hAnsi="Calibri"/>
                <w:color w:val="auto"/>
                <w:sz w:val="23"/>
                <w:szCs w:val="23"/>
              </w:rPr>
              <w:t xml:space="preserve">rovide a general immunity from criminal, civil and disciplinary proceedings for good </w:t>
            </w:r>
            <w:r w:rsidR="00031EB0">
              <w:rPr>
                <w:rFonts w:ascii="Calibri" w:hAnsi="Calibri"/>
                <w:color w:val="auto"/>
                <w:sz w:val="23"/>
                <w:szCs w:val="23"/>
              </w:rPr>
              <w:t xml:space="preserve">faith disclosures </w:t>
            </w:r>
          </w:p>
          <w:p w14:paraId="42AB419E" w14:textId="77777777" w:rsidR="001D3714" w:rsidRDefault="001579BA" w:rsidP="00F6637E">
            <w:pPr>
              <w:pStyle w:val="ReportBody"/>
              <w:numPr>
                <w:ilvl w:val="1"/>
                <w:numId w:val="25"/>
              </w:numPr>
              <w:spacing w:before="40" w:after="0"/>
              <w:ind w:left="884" w:right="34" w:hanging="425"/>
              <w:rPr>
                <w:rFonts w:ascii="Calibri" w:hAnsi="Calibri"/>
                <w:color w:val="auto"/>
                <w:sz w:val="23"/>
                <w:szCs w:val="23"/>
              </w:rPr>
            </w:pPr>
            <w:r w:rsidRPr="00FB32BF">
              <w:rPr>
                <w:rFonts w:ascii="Calibri" w:hAnsi="Calibri"/>
                <w:color w:val="auto"/>
                <w:sz w:val="23"/>
                <w:szCs w:val="23"/>
              </w:rPr>
              <w:t>override other primary legislation, such as the restrictions on the use of National Stude</w:t>
            </w:r>
            <w:r w:rsidR="001D3714">
              <w:rPr>
                <w:rFonts w:ascii="Calibri" w:hAnsi="Calibri"/>
                <w:color w:val="auto"/>
                <w:sz w:val="23"/>
                <w:szCs w:val="23"/>
              </w:rPr>
              <w:t>nt Numbers in the Education Act</w:t>
            </w:r>
          </w:p>
          <w:p w14:paraId="3F01188D" w14:textId="77777777" w:rsidR="001D3714" w:rsidRDefault="009844E6" w:rsidP="00F6637E">
            <w:pPr>
              <w:pStyle w:val="ReportBody"/>
              <w:numPr>
                <w:ilvl w:val="1"/>
                <w:numId w:val="25"/>
              </w:numPr>
              <w:spacing w:before="40" w:after="0"/>
              <w:ind w:left="884" w:right="34" w:hanging="425"/>
              <w:rPr>
                <w:rFonts w:ascii="Calibri" w:hAnsi="Calibri"/>
                <w:color w:val="auto"/>
                <w:sz w:val="23"/>
                <w:szCs w:val="23"/>
              </w:rPr>
            </w:pPr>
            <w:r>
              <w:rPr>
                <w:rFonts w:ascii="Calibri" w:hAnsi="Calibri"/>
                <w:color w:val="auto"/>
                <w:sz w:val="23"/>
                <w:szCs w:val="23"/>
              </w:rPr>
              <w:t>a</w:t>
            </w:r>
            <w:r w:rsidR="001D3714">
              <w:rPr>
                <w:rFonts w:ascii="Calibri" w:hAnsi="Calibri"/>
                <w:color w:val="auto"/>
                <w:sz w:val="23"/>
                <w:szCs w:val="23"/>
              </w:rPr>
              <w:t>ddress current deficiencies in the CYPF Act</w:t>
            </w:r>
            <w:r w:rsidR="001579BA" w:rsidRPr="00FB32BF">
              <w:rPr>
                <w:rFonts w:ascii="Calibri" w:hAnsi="Calibri"/>
                <w:color w:val="auto"/>
                <w:sz w:val="23"/>
                <w:szCs w:val="23"/>
              </w:rPr>
              <w:t xml:space="preserve">  </w:t>
            </w:r>
          </w:p>
          <w:p w14:paraId="28179E02" w14:textId="77777777" w:rsidR="001579BA" w:rsidRDefault="001579BA" w:rsidP="001D3714">
            <w:pPr>
              <w:pStyle w:val="ReportBody"/>
              <w:numPr>
                <w:ilvl w:val="0"/>
                <w:numId w:val="0"/>
              </w:numPr>
              <w:spacing w:before="80" w:after="80"/>
              <w:ind w:left="360" w:right="34"/>
              <w:rPr>
                <w:rFonts w:ascii="Calibri" w:hAnsi="Calibri"/>
                <w:color w:val="auto"/>
                <w:sz w:val="23"/>
                <w:szCs w:val="23"/>
              </w:rPr>
            </w:pPr>
            <w:r w:rsidRPr="00226A86">
              <w:rPr>
                <w:rFonts w:ascii="Calibri" w:hAnsi="Calibri"/>
                <w:color w:val="auto"/>
                <w:sz w:val="23"/>
                <w:szCs w:val="23"/>
              </w:rPr>
              <w:t xml:space="preserve">Given a Code cannot deliver </w:t>
            </w:r>
            <w:r w:rsidR="006C0A18">
              <w:rPr>
                <w:rFonts w:ascii="Calibri" w:hAnsi="Calibri"/>
                <w:color w:val="auto"/>
                <w:sz w:val="23"/>
                <w:szCs w:val="23"/>
              </w:rPr>
              <w:t>all aspects of the G</w:t>
            </w:r>
            <w:r w:rsidR="00687BD8">
              <w:rPr>
                <w:rFonts w:ascii="Calibri" w:hAnsi="Calibri"/>
                <w:color w:val="auto"/>
                <w:sz w:val="23"/>
                <w:szCs w:val="23"/>
              </w:rPr>
              <w:t xml:space="preserve">overnment’s policy intent </w:t>
            </w:r>
            <w:r w:rsidRPr="00226A86">
              <w:rPr>
                <w:rFonts w:ascii="Calibri" w:hAnsi="Calibri"/>
                <w:color w:val="auto"/>
                <w:sz w:val="23"/>
                <w:szCs w:val="23"/>
              </w:rPr>
              <w:t xml:space="preserve">it </w:t>
            </w:r>
            <w:r w:rsidR="008D0FD7">
              <w:rPr>
                <w:rFonts w:ascii="Calibri" w:hAnsi="Calibri"/>
                <w:color w:val="auto"/>
                <w:sz w:val="23"/>
                <w:szCs w:val="23"/>
              </w:rPr>
              <w:t xml:space="preserve">would have to be accompanied by law reform.  </w:t>
            </w:r>
          </w:p>
          <w:p w14:paraId="2D1582D4" w14:textId="77777777" w:rsidR="00735309" w:rsidRDefault="004910CF" w:rsidP="002B5524">
            <w:pPr>
              <w:pStyle w:val="ReportBody"/>
              <w:numPr>
                <w:ilvl w:val="0"/>
                <w:numId w:val="10"/>
              </w:numPr>
              <w:spacing w:before="80" w:after="80"/>
              <w:ind w:right="34"/>
              <w:rPr>
                <w:rFonts w:ascii="Calibri" w:hAnsi="Calibri"/>
                <w:color w:val="auto"/>
                <w:sz w:val="23"/>
                <w:szCs w:val="23"/>
              </w:rPr>
            </w:pPr>
            <w:r w:rsidRPr="004910CF">
              <w:rPr>
                <w:rFonts w:ascii="Calibri" w:hAnsi="Calibri"/>
                <w:b/>
                <w:color w:val="auto"/>
                <w:sz w:val="23"/>
                <w:szCs w:val="23"/>
              </w:rPr>
              <w:t>Proportionality –</w:t>
            </w:r>
            <w:r w:rsidR="0089683C">
              <w:rPr>
                <w:rFonts w:ascii="Calibri" w:hAnsi="Calibri"/>
                <w:color w:val="auto"/>
                <w:sz w:val="23"/>
                <w:szCs w:val="23"/>
              </w:rPr>
              <w:t xml:space="preserve"> because a Code it cannot remove all legal barriers to information sharing it will result in sub-optimal sharing.</w:t>
            </w:r>
          </w:p>
          <w:p w14:paraId="2D48B929" w14:textId="77777777" w:rsidR="008D0FD7" w:rsidRPr="008D0FD7" w:rsidRDefault="001579BA" w:rsidP="002B5524">
            <w:pPr>
              <w:pStyle w:val="ReportBody"/>
              <w:numPr>
                <w:ilvl w:val="0"/>
                <w:numId w:val="10"/>
              </w:numPr>
              <w:spacing w:before="80" w:after="80"/>
              <w:ind w:right="34"/>
              <w:rPr>
                <w:rFonts w:ascii="Calibri" w:hAnsi="Calibri"/>
                <w:b/>
                <w:color w:val="auto"/>
                <w:sz w:val="23"/>
                <w:szCs w:val="23"/>
              </w:rPr>
            </w:pPr>
            <w:r w:rsidRPr="00FB32BF">
              <w:rPr>
                <w:rFonts w:ascii="Calibri" w:hAnsi="Calibri"/>
                <w:b/>
                <w:color w:val="auto"/>
                <w:sz w:val="23"/>
                <w:szCs w:val="23"/>
              </w:rPr>
              <w:t xml:space="preserve">Ease of use </w:t>
            </w:r>
            <w:r w:rsidRPr="00FB32BF">
              <w:rPr>
                <w:rFonts w:ascii="Calibri" w:hAnsi="Calibri"/>
                <w:color w:val="auto"/>
                <w:sz w:val="23"/>
                <w:szCs w:val="23"/>
              </w:rPr>
              <w:t xml:space="preserve">– There is a </w:t>
            </w:r>
            <w:r w:rsidR="000F058F">
              <w:rPr>
                <w:rFonts w:ascii="Calibri" w:hAnsi="Calibri"/>
                <w:color w:val="auto"/>
                <w:sz w:val="23"/>
                <w:szCs w:val="23"/>
              </w:rPr>
              <w:t xml:space="preserve">risk that the consultation process for the code results in the introduction of </w:t>
            </w:r>
            <w:r w:rsidRPr="00FB32BF">
              <w:rPr>
                <w:rFonts w:ascii="Calibri" w:hAnsi="Calibri"/>
                <w:color w:val="auto"/>
                <w:sz w:val="23"/>
                <w:szCs w:val="23"/>
              </w:rPr>
              <w:t xml:space="preserve">procedural safeguards </w:t>
            </w:r>
            <w:r w:rsidR="000F058F">
              <w:rPr>
                <w:rFonts w:ascii="Calibri" w:hAnsi="Calibri"/>
                <w:color w:val="auto"/>
                <w:sz w:val="23"/>
                <w:szCs w:val="23"/>
              </w:rPr>
              <w:t xml:space="preserve">that, in practice, make it difficult </w:t>
            </w:r>
            <w:r w:rsidRPr="00FB32BF">
              <w:rPr>
                <w:rFonts w:ascii="Calibri" w:hAnsi="Calibri"/>
                <w:color w:val="auto"/>
                <w:sz w:val="23"/>
                <w:szCs w:val="23"/>
              </w:rPr>
              <w:t>to use by frontline practitioners</w:t>
            </w:r>
            <w:r w:rsidR="008D0FD7">
              <w:rPr>
                <w:rFonts w:ascii="Calibri" w:hAnsi="Calibri"/>
                <w:color w:val="auto"/>
                <w:sz w:val="23"/>
                <w:szCs w:val="23"/>
              </w:rPr>
              <w:t>.</w:t>
            </w:r>
          </w:p>
          <w:p w14:paraId="59F431EF" w14:textId="77777777" w:rsidR="00AF6999" w:rsidRPr="00226A86" w:rsidRDefault="00226A86" w:rsidP="000F058F">
            <w:pPr>
              <w:pStyle w:val="ReportBody"/>
              <w:numPr>
                <w:ilvl w:val="0"/>
                <w:numId w:val="10"/>
              </w:numPr>
              <w:spacing w:before="80" w:after="80"/>
              <w:ind w:right="34"/>
              <w:rPr>
                <w:rFonts w:ascii="Calibri" w:hAnsi="Calibri"/>
                <w:color w:val="auto"/>
                <w:sz w:val="23"/>
                <w:szCs w:val="23"/>
              </w:rPr>
            </w:pPr>
            <w:r>
              <w:rPr>
                <w:rFonts w:ascii="Calibri" w:hAnsi="Calibri"/>
                <w:b/>
                <w:color w:val="auto"/>
                <w:sz w:val="23"/>
                <w:szCs w:val="23"/>
              </w:rPr>
              <w:t>Cost-effective</w:t>
            </w:r>
            <w:r w:rsidRPr="00FB32BF">
              <w:rPr>
                <w:rFonts w:ascii="Calibri" w:hAnsi="Calibri"/>
                <w:color w:val="auto"/>
                <w:sz w:val="23"/>
                <w:szCs w:val="23"/>
              </w:rPr>
              <w:t xml:space="preserve"> – </w:t>
            </w:r>
            <w:r>
              <w:rPr>
                <w:rFonts w:ascii="Calibri" w:hAnsi="Calibri"/>
                <w:color w:val="auto"/>
                <w:sz w:val="23"/>
                <w:szCs w:val="23"/>
              </w:rPr>
              <w:t>The costs of</w:t>
            </w:r>
            <w:r w:rsidR="008D0FD7">
              <w:rPr>
                <w:rFonts w:ascii="Calibri" w:hAnsi="Calibri"/>
                <w:color w:val="auto"/>
                <w:sz w:val="23"/>
                <w:szCs w:val="23"/>
              </w:rPr>
              <w:t xml:space="preserve"> using</w:t>
            </w:r>
            <w:r w:rsidR="000F058F">
              <w:rPr>
                <w:rFonts w:ascii="Calibri" w:hAnsi="Calibri"/>
                <w:color w:val="auto"/>
                <w:sz w:val="23"/>
                <w:szCs w:val="23"/>
              </w:rPr>
              <w:t xml:space="preserve"> the Code</w:t>
            </w:r>
            <w:r>
              <w:rPr>
                <w:rFonts w:ascii="Calibri" w:hAnsi="Calibri"/>
                <w:color w:val="auto"/>
                <w:sz w:val="23"/>
                <w:szCs w:val="23"/>
              </w:rPr>
              <w:t xml:space="preserve"> mechanism </w:t>
            </w:r>
            <w:r w:rsidR="008D0FD7">
              <w:rPr>
                <w:rFonts w:ascii="Calibri" w:hAnsi="Calibri"/>
                <w:color w:val="auto"/>
                <w:sz w:val="23"/>
                <w:szCs w:val="23"/>
              </w:rPr>
              <w:t xml:space="preserve">are primarily borne by the Privacy Commissioner, and </w:t>
            </w:r>
            <w:r w:rsidR="000F058F">
              <w:rPr>
                <w:rFonts w:ascii="Calibri" w:hAnsi="Calibri"/>
                <w:color w:val="auto"/>
                <w:sz w:val="23"/>
                <w:szCs w:val="23"/>
              </w:rPr>
              <w:t xml:space="preserve">may </w:t>
            </w:r>
            <w:r w:rsidR="008D0FD7">
              <w:rPr>
                <w:rFonts w:ascii="Calibri" w:hAnsi="Calibri"/>
                <w:color w:val="auto"/>
                <w:sz w:val="23"/>
                <w:szCs w:val="23"/>
              </w:rPr>
              <w:t xml:space="preserve">divert the Commissioner’s resources from other activity. </w:t>
            </w:r>
          </w:p>
        </w:tc>
        <w:tc>
          <w:tcPr>
            <w:tcW w:w="4252" w:type="dxa"/>
            <w:shd w:val="clear" w:color="auto" w:fill="F2DBDB"/>
          </w:tcPr>
          <w:p w14:paraId="082C8814" w14:textId="77777777" w:rsidR="00F15766" w:rsidRDefault="00F15766" w:rsidP="00235021">
            <w:pPr>
              <w:pStyle w:val="Bullet-list"/>
              <w:numPr>
                <w:ilvl w:val="0"/>
                <w:numId w:val="0"/>
              </w:numPr>
              <w:spacing w:before="80"/>
              <w:ind w:right="-142"/>
              <w:jc w:val="left"/>
            </w:pPr>
          </w:p>
          <w:p w14:paraId="2F6D0A1C" w14:textId="77777777" w:rsidR="00235021" w:rsidRDefault="001579BA" w:rsidP="00235021">
            <w:pPr>
              <w:pStyle w:val="Bullet-list"/>
              <w:numPr>
                <w:ilvl w:val="0"/>
                <w:numId w:val="0"/>
              </w:numPr>
              <w:spacing w:before="80"/>
              <w:ind w:right="-142"/>
              <w:jc w:val="left"/>
            </w:pPr>
            <w:r w:rsidRPr="00FB32BF">
              <w:t xml:space="preserve">A Code would be a transparent instrument that has the potential to be supported by stakeholders whose interests are reflected in its provisions. </w:t>
            </w:r>
          </w:p>
          <w:p w14:paraId="05299969" w14:textId="77777777" w:rsidR="00235021" w:rsidRDefault="00235021" w:rsidP="00235021">
            <w:pPr>
              <w:pStyle w:val="Bullet-list"/>
              <w:numPr>
                <w:ilvl w:val="0"/>
                <w:numId w:val="0"/>
              </w:numPr>
              <w:spacing w:before="80"/>
              <w:ind w:right="-142"/>
              <w:jc w:val="left"/>
            </w:pPr>
            <w:r>
              <w:t xml:space="preserve">There is a high </w:t>
            </w:r>
            <w:proofErr w:type="gramStart"/>
            <w:r>
              <w:t>risk,</w:t>
            </w:r>
            <w:proofErr w:type="gramEnd"/>
            <w:r>
              <w:t xml:space="preserve"> however,</w:t>
            </w:r>
            <w:r w:rsidR="006C0A18">
              <w:t xml:space="preserve"> a Code would not meet the G</w:t>
            </w:r>
            <w:r>
              <w:t>overnment’s expectations.  Even if a Code was well aligned with the government’s policy intent, it would most likely need to be accompanied by other law reform.</w:t>
            </w:r>
          </w:p>
          <w:p w14:paraId="27EEFE54" w14:textId="77777777" w:rsidR="00CD3AB5" w:rsidRPr="00FB32BF" w:rsidRDefault="00CD3AB5" w:rsidP="00235021">
            <w:pPr>
              <w:pStyle w:val="Bullet-list"/>
              <w:numPr>
                <w:ilvl w:val="0"/>
                <w:numId w:val="0"/>
              </w:numPr>
              <w:spacing w:before="80"/>
              <w:ind w:right="-142"/>
              <w:jc w:val="left"/>
              <w:rPr>
                <w:b/>
              </w:rPr>
            </w:pPr>
          </w:p>
        </w:tc>
      </w:tr>
    </w:tbl>
    <w:p w14:paraId="056ED1E7" w14:textId="61D682C1" w:rsidR="00CC2534" w:rsidRDefault="00CC2534">
      <w:r>
        <w:br w:type="page"/>
      </w:r>
    </w:p>
    <w:tbl>
      <w:tblPr>
        <w:tblW w:w="21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7370"/>
        <w:gridCol w:w="7372"/>
        <w:gridCol w:w="4251"/>
      </w:tblGrid>
      <w:tr w:rsidR="00CC2534" w14:paraId="0853E1E9" w14:textId="77777777" w:rsidTr="00006CA1">
        <w:trPr>
          <w:trHeight w:val="841"/>
        </w:trPr>
        <w:tc>
          <w:tcPr>
            <w:tcW w:w="2553" w:type="dxa"/>
            <w:shd w:val="clear" w:color="auto" w:fill="D9D9D9"/>
          </w:tcPr>
          <w:p w14:paraId="077739AD" w14:textId="77777777" w:rsidR="00CC2534" w:rsidRPr="00657686" w:rsidRDefault="00CC2534" w:rsidP="00FD0FAC">
            <w:pPr>
              <w:pStyle w:val="Bullet-list"/>
              <w:numPr>
                <w:ilvl w:val="0"/>
                <w:numId w:val="0"/>
              </w:numPr>
              <w:ind w:right="177"/>
              <w:rPr>
                <w:b/>
                <w:sz w:val="24"/>
                <w:szCs w:val="24"/>
              </w:rPr>
            </w:pPr>
            <w:r w:rsidRPr="00657686">
              <w:rPr>
                <w:b/>
                <w:sz w:val="24"/>
                <w:szCs w:val="24"/>
              </w:rPr>
              <w:lastRenderedPageBreak/>
              <w:t>Options</w:t>
            </w:r>
            <w:r>
              <w:rPr>
                <w:b/>
                <w:sz w:val="24"/>
                <w:szCs w:val="24"/>
              </w:rPr>
              <w:t xml:space="preserve"> </w:t>
            </w:r>
            <w:r>
              <w:rPr>
                <w:b/>
                <w:sz w:val="24"/>
                <w:szCs w:val="24"/>
              </w:rPr>
              <w:br/>
              <w:t>– compared with status quo</w:t>
            </w:r>
          </w:p>
        </w:tc>
        <w:tc>
          <w:tcPr>
            <w:tcW w:w="7370" w:type="dxa"/>
            <w:shd w:val="clear" w:color="auto" w:fill="D9D9D9"/>
          </w:tcPr>
          <w:p w14:paraId="03EC6284" w14:textId="77777777" w:rsidR="00CC2534" w:rsidRPr="00657686" w:rsidRDefault="00CC2534" w:rsidP="00B66E69">
            <w:pPr>
              <w:pStyle w:val="Bullet-list"/>
              <w:numPr>
                <w:ilvl w:val="0"/>
                <w:numId w:val="0"/>
              </w:numPr>
              <w:ind w:right="-142"/>
              <w:rPr>
                <w:b/>
                <w:sz w:val="24"/>
                <w:szCs w:val="24"/>
              </w:rPr>
            </w:pPr>
            <w:r>
              <w:rPr>
                <w:b/>
                <w:sz w:val="24"/>
                <w:szCs w:val="24"/>
              </w:rPr>
              <w:t>Advantages</w:t>
            </w:r>
          </w:p>
        </w:tc>
        <w:tc>
          <w:tcPr>
            <w:tcW w:w="7372" w:type="dxa"/>
            <w:shd w:val="clear" w:color="auto" w:fill="D9D9D9"/>
          </w:tcPr>
          <w:p w14:paraId="1E8C0C11" w14:textId="77777777" w:rsidR="00CC2534" w:rsidRPr="00657686" w:rsidRDefault="00CC2534" w:rsidP="00B66E69">
            <w:pPr>
              <w:pStyle w:val="Bullet-list"/>
              <w:numPr>
                <w:ilvl w:val="0"/>
                <w:numId w:val="0"/>
              </w:numPr>
              <w:ind w:right="-142"/>
              <w:rPr>
                <w:b/>
                <w:sz w:val="24"/>
                <w:szCs w:val="24"/>
              </w:rPr>
            </w:pPr>
            <w:r>
              <w:rPr>
                <w:b/>
                <w:sz w:val="24"/>
                <w:szCs w:val="24"/>
              </w:rPr>
              <w:t>Disadvantages</w:t>
            </w:r>
          </w:p>
        </w:tc>
        <w:tc>
          <w:tcPr>
            <w:tcW w:w="4251" w:type="dxa"/>
            <w:shd w:val="clear" w:color="auto" w:fill="D9D9D9"/>
          </w:tcPr>
          <w:p w14:paraId="7DB79ECC" w14:textId="77777777" w:rsidR="00CC2534" w:rsidRPr="00657686" w:rsidRDefault="00CC2534" w:rsidP="00B66E69">
            <w:pPr>
              <w:pStyle w:val="Bullet-list"/>
              <w:numPr>
                <w:ilvl w:val="0"/>
                <w:numId w:val="0"/>
              </w:numPr>
              <w:ind w:right="-142"/>
              <w:rPr>
                <w:b/>
                <w:sz w:val="24"/>
                <w:szCs w:val="24"/>
              </w:rPr>
            </w:pPr>
            <w:r w:rsidRPr="00657686">
              <w:rPr>
                <w:b/>
                <w:sz w:val="24"/>
                <w:szCs w:val="24"/>
              </w:rPr>
              <w:t>Overall impact</w:t>
            </w:r>
          </w:p>
        </w:tc>
      </w:tr>
      <w:tr w:rsidR="00CC2534" w14:paraId="511C5988" w14:textId="77777777" w:rsidTr="00006CA1">
        <w:trPr>
          <w:trHeight w:val="2012"/>
        </w:trPr>
        <w:tc>
          <w:tcPr>
            <w:tcW w:w="2553" w:type="dxa"/>
          </w:tcPr>
          <w:p w14:paraId="150E6D68" w14:textId="77777777" w:rsidR="00CC2534" w:rsidRPr="0076244B" w:rsidRDefault="004B7689" w:rsidP="004B7689">
            <w:pPr>
              <w:pStyle w:val="Bullet-list"/>
              <w:numPr>
                <w:ilvl w:val="0"/>
                <w:numId w:val="0"/>
              </w:numPr>
              <w:jc w:val="left"/>
              <w:rPr>
                <w:b/>
                <w:sz w:val="24"/>
                <w:szCs w:val="24"/>
              </w:rPr>
            </w:pPr>
            <w:r w:rsidRPr="004B7689">
              <w:rPr>
                <w:b/>
                <w:sz w:val="24"/>
                <w:szCs w:val="24"/>
              </w:rPr>
              <w:t>3.</w:t>
            </w:r>
            <w:r>
              <w:rPr>
                <w:b/>
                <w:sz w:val="24"/>
                <w:szCs w:val="24"/>
              </w:rPr>
              <w:t xml:space="preserve"> </w:t>
            </w:r>
            <w:r w:rsidR="00CC2534" w:rsidRPr="0076244B">
              <w:rPr>
                <w:b/>
                <w:sz w:val="24"/>
                <w:szCs w:val="24"/>
              </w:rPr>
              <w:t>Approved information sharing agreements</w:t>
            </w:r>
          </w:p>
        </w:tc>
        <w:tc>
          <w:tcPr>
            <w:tcW w:w="7370" w:type="dxa"/>
            <w:shd w:val="clear" w:color="auto" w:fill="F2DBDB"/>
          </w:tcPr>
          <w:p w14:paraId="6587E660" w14:textId="77777777" w:rsidR="00CC2534" w:rsidRPr="00DF3E5E" w:rsidRDefault="00CC2534" w:rsidP="00966EAB">
            <w:pPr>
              <w:pStyle w:val="Bullet-list"/>
              <w:numPr>
                <w:ilvl w:val="0"/>
                <w:numId w:val="0"/>
              </w:numPr>
              <w:spacing w:before="80"/>
              <w:ind w:right="-142"/>
              <w:jc w:val="left"/>
              <w:rPr>
                <w:b/>
              </w:rPr>
            </w:pPr>
            <w:r w:rsidRPr="00DF3E5E">
              <w:rPr>
                <w:b/>
                <w:u w:val="single"/>
              </w:rPr>
              <w:t>M</w:t>
            </w:r>
            <w:r>
              <w:rPr>
                <w:b/>
                <w:u w:val="single"/>
              </w:rPr>
              <w:t>inimal</w:t>
            </w:r>
          </w:p>
          <w:p w14:paraId="299DE88A" w14:textId="77777777" w:rsidR="00CC2534" w:rsidRDefault="00CC2534" w:rsidP="00966EAB">
            <w:pPr>
              <w:pStyle w:val="ReportBody"/>
              <w:numPr>
                <w:ilvl w:val="0"/>
                <w:numId w:val="10"/>
              </w:numPr>
              <w:spacing w:before="80" w:after="80"/>
              <w:ind w:right="-142"/>
              <w:rPr>
                <w:rFonts w:ascii="Calibri" w:hAnsi="Calibri"/>
                <w:color w:val="auto"/>
                <w:sz w:val="23"/>
                <w:szCs w:val="23"/>
              </w:rPr>
            </w:pPr>
            <w:r w:rsidRPr="00A21B95">
              <w:rPr>
                <w:rFonts w:ascii="Calibri" w:hAnsi="Calibri"/>
                <w:b/>
                <w:color w:val="auto"/>
                <w:sz w:val="23"/>
                <w:szCs w:val="23"/>
              </w:rPr>
              <w:t>Effectiveness</w:t>
            </w:r>
            <w:r w:rsidRPr="00A21B95">
              <w:rPr>
                <w:rFonts w:ascii="Calibri" w:hAnsi="Calibri"/>
                <w:color w:val="auto"/>
                <w:sz w:val="23"/>
                <w:szCs w:val="23"/>
              </w:rPr>
              <w:t xml:space="preserve"> – there are very limited benefits of this approach in regards to effectiveness.   </w:t>
            </w:r>
          </w:p>
          <w:p w14:paraId="29EEACAF" w14:textId="77777777" w:rsidR="00CC2534" w:rsidRPr="004910CF" w:rsidRDefault="00CC2534" w:rsidP="00966EAB">
            <w:pPr>
              <w:pStyle w:val="ReportBody"/>
              <w:numPr>
                <w:ilvl w:val="0"/>
                <w:numId w:val="10"/>
              </w:numPr>
              <w:spacing w:before="80" w:after="80"/>
              <w:ind w:right="-142"/>
              <w:rPr>
                <w:rFonts w:ascii="Calibri" w:hAnsi="Calibri"/>
                <w:color w:val="auto"/>
                <w:sz w:val="23"/>
                <w:szCs w:val="23"/>
              </w:rPr>
            </w:pPr>
            <w:r w:rsidRPr="004910CF">
              <w:rPr>
                <w:rFonts w:ascii="Calibri" w:hAnsi="Calibri"/>
                <w:b/>
                <w:color w:val="auto"/>
                <w:sz w:val="23"/>
                <w:szCs w:val="23"/>
              </w:rPr>
              <w:t>Proportionality –</w:t>
            </w:r>
            <w:r>
              <w:rPr>
                <w:rFonts w:ascii="Calibri" w:hAnsi="Calibri"/>
                <w:color w:val="auto"/>
                <w:sz w:val="23"/>
                <w:szCs w:val="23"/>
              </w:rPr>
              <w:t xml:space="preserve"> Operating within the Privacy Act will restrict the amount of disproportionate information sharing that is possible as determined by the scope of </w:t>
            </w:r>
            <w:r w:rsidR="00235021">
              <w:rPr>
                <w:rFonts w:ascii="Calibri" w:hAnsi="Calibri"/>
                <w:color w:val="auto"/>
                <w:sz w:val="23"/>
                <w:szCs w:val="23"/>
              </w:rPr>
              <w:t>the AISA</w:t>
            </w:r>
            <w:r>
              <w:rPr>
                <w:rFonts w:ascii="Calibri" w:hAnsi="Calibri"/>
                <w:color w:val="auto"/>
                <w:sz w:val="23"/>
                <w:szCs w:val="23"/>
              </w:rPr>
              <w:t xml:space="preserve">. </w:t>
            </w:r>
          </w:p>
          <w:p w14:paraId="4463720B" w14:textId="77777777" w:rsidR="00CC2534" w:rsidRPr="00A21B95" w:rsidRDefault="00CC2534" w:rsidP="00966EAB">
            <w:pPr>
              <w:pStyle w:val="ReportBody"/>
              <w:numPr>
                <w:ilvl w:val="0"/>
                <w:numId w:val="10"/>
              </w:numPr>
              <w:spacing w:before="80" w:after="80"/>
              <w:ind w:right="-142"/>
              <w:rPr>
                <w:rFonts w:ascii="Calibri" w:hAnsi="Calibri"/>
                <w:color w:val="auto"/>
                <w:sz w:val="23"/>
                <w:szCs w:val="23"/>
              </w:rPr>
            </w:pPr>
            <w:r w:rsidRPr="00A21B95">
              <w:rPr>
                <w:rFonts w:ascii="Calibri" w:hAnsi="Calibri"/>
                <w:b/>
                <w:color w:val="auto"/>
                <w:sz w:val="23"/>
                <w:szCs w:val="23"/>
              </w:rPr>
              <w:t xml:space="preserve">Ease of use </w:t>
            </w:r>
            <w:r w:rsidRPr="00A21B95">
              <w:rPr>
                <w:rFonts w:ascii="Calibri" w:hAnsi="Calibri"/>
                <w:color w:val="auto"/>
                <w:sz w:val="23"/>
                <w:szCs w:val="23"/>
              </w:rPr>
              <w:t xml:space="preserve">– </w:t>
            </w:r>
            <w:r w:rsidR="00235021">
              <w:rPr>
                <w:rFonts w:ascii="Calibri" w:hAnsi="Calibri"/>
                <w:color w:val="auto"/>
                <w:sz w:val="23"/>
                <w:szCs w:val="23"/>
              </w:rPr>
              <w:t xml:space="preserve">AISAs </w:t>
            </w:r>
            <w:proofErr w:type="gramStart"/>
            <w:r>
              <w:rPr>
                <w:rFonts w:ascii="Calibri" w:hAnsi="Calibri"/>
                <w:color w:val="auto"/>
                <w:sz w:val="23"/>
                <w:szCs w:val="23"/>
              </w:rPr>
              <w:t>have</w:t>
            </w:r>
            <w:proofErr w:type="gramEnd"/>
            <w:r>
              <w:rPr>
                <w:rFonts w:ascii="Calibri" w:hAnsi="Calibri"/>
                <w:color w:val="auto"/>
                <w:sz w:val="23"/>
                <w:szCs w:val="23"/>
              </w:rPr>
              <w:t xml:space="preserve"> flexibility in how they can be designed within the Privacy Act framework.</w:t>
            </w:r>
          </w:p>
          <w:p w14:paraId="361AD9E0" w14:textId="77777777" w:rsidR="0089683C" w:rsidRPr="0089683C" w:rsidRDefault="00CC2534" w:rsidP="0089683C">
            <w:pPr>
              <w:pStyle w:val="ReportBody"/>
              <w:numPr>
                <w:ilvl w:val="0"/>
                <w:numId w:val="10"/>
              </w:numPr>
              <w:spacing w:before="80" w:after="80"/>
              <w:ind w:right="-142"/>
              <w:rPr>
                <w:color w:val="auto"/>
              </w:rPr>
            </w:pPr>
            <w:r>
              <w:rPr>
                <w:rFonts w:ascii="Calibri" w:hAnsi="Calibri"/>
                <w:b/>
                <w:color w:val="auto"/>
                <w:sz w:val="23"/>
                <w:szCs w:val="23"/>
              </w:rPr>
              <w:t>Cost-effective</w:t>
            </w:r>
            <w:r w:rsidRPr="00A21B95">
              <w:rPr>
                <w:rFonts w:ascii="Calibri" w:hAnsi="Calibri"/>
                <w:color w:val="auto"/>
                <w:sz w:val="23"/>
                <w:szCs w:val="23"/>
              </w:rPr>
              <w:t xml:space="preserve"> –</w:t>
            </w:r>
            <w:r>
              <w:rPr>
                <w:rFonts w:ascii="Calibri" w:hAnsi="Calibri"/>
                <w:color w:val="auto"/>
                <w:sz w:val="23"/>
                <w:szCs w:val="23"/>
              </w:rPr>
              <w:t xml:space="preserve"> </w:t>
            </w:r>
            <w:r w:rsidRPr="00A21B95">
              <w:rPr>
                <w:rFonts w:ascii="Calibri" w:hAnsi="Calibri"/>
                <w:color w:val="auto"/>
                <w:sz w:val="23"/>
                <w:szCs w:val="23"/>
              </w:rPr>
              <w:t xml:space="preserve">there are </w:t>
            </w:r>
            <w:r w:rsidR="00235021">
              <w:rPr>
                <w:rFonts w:ascii="Calibri" w:hAnsi="Calibri"/>
                <w:color w:val="auto"/>
                <w:sz w:val="23"/>
                <w:szCs w:val="23"/>
              </w:rPr>
              <w:t xml:space="preserve">no </w:t>
            </w:r>
            <w:r w:rsidRPr="00A21B95">
              <w:rPr>
                <w:rFonts w:ascii="Calibri" w:hAnsi="Calibri"/>
                <w:color w:val="auto"/>
                <w:sz w:val="23"/>
                <w:szCs w:val="23"/>
              </w:rPr>
              <w:t xml:space="preserve">benefits of this approach in regards to </w:t>
            </w:r>
            <w:r>
              <w:rPr>
                <w:rFonts w:ascii="Calibri" w:hAnsi="Calibri"/>
                <w:color w:val="auto"/>
                <w:sz w:val="23"/>
                <w:szCs w:val="23"/>
              </w:rPr>
              <w:t>cost-</w:t>
            </w:r>
            <w:r w:rsidRPr="00A21B95">
              <w:rPr>
                <w:rFonts w:ascii="Calibri" w:hAnsi="Calibri"/>
                <w:color w:val="auto"/>
                <w:sz w:val="23"/>
                <w:szCs w:val="23"/>
              </w:rPr>
              <w:t xml:space="preserve">effectiveness.   </w:t>
            </w:r>
            <w:r w:rsidR="0089683C">
              <w:rPr>
                <w:rFonts w:ascii="Calibri" w:hAnsi="Calibri"/>
                <w:color w:val="auto"/>
                <w:sz w:val="23"/>
                <w:szCs w:val="23"/>
              </w:rPr>
              <w:t xml:space="preserve">It is likely to impose higher costs on participating agencies than </w:t>
            </w:r>
            <w:r w:rsidR="00EC10C7">
              <w:rPr>
                <w:rFonts w:ascii="Calibri" w:hAnsi="Calibri"/>
                <w:color w:val="auto"/>
                <w:sz w:val="23"/>
                <w:szCs w:val="23"/>
              </w:rPr>
              <w:t xml:space="preserve">the </w:t>
            </w:r>
            <w:r w:rsidR="0089683C">
              <w:rPr>
                <w:rFonts w:ascii="Calibri" w:hAnsi="Calibri"/>
                <w:color w:val="auto"/>
                <w:sz w:val="23"/>
                <w:szCs w:val="23"/>
              </w:rPr>
              <w:t>legislative reform</w:t>
            </w:r>
            <w:r w:rsidR="00EC10C7">
              <w:rPr>
                <w:rFonts w:ascii="Calibri" w:hAnsi="Calibri"/>
                <w:color w:val="auto"/>
                <w:sz w:val="23"/>
                <w:szCs w:val="23"/>
              </w:rPr>
              <w:t xml:space="preserve"> options</w:t>
            </w:r>
            <w:r w:rsidR="0089683C">
              <w:rPr>
                <w:rFonts w:ascii="Calibri" w:hAnsi="Calibri"/>
                <w:color w:val="auto"/>
                <w:sz w:val="23"/>
                <w:szCs w:val="23"/>
              </w:rPr>
              <w:t>.</w:t>
            </w:r>
          </w:p>
          <w:p w14:paraId="3F2543F6" w14:textId="77777777" w:rsidR="00CC2534" w:rsidRPr="00DF3E5E" w:rsidRDefault="00CC2534" w:rsidP="0089683C">
            <w:pPr>
              <w:pStyle w:val="ReportBody"/>
              <w:numPr>
                <w:ilvl w:val="0"/>
                <w:numId w:val="0"/>
              </w:numPr>
              <w:spacing w:before="80" w:after="80"/>
              <w:ind w:right="-142"/>
              <w:rPr>
                <w:color w:val="auto"/>
              </w:rPr>
            </w:pPr>
          </w:p>
        </w:tc>
        <w:tc>
          <w:tcPr>
            <w:tcW w:w="7372" w:type="dxa"/>
            <w:shd w:val="clear" w:color="auto" w:fill="FDE9D9"/>
          </w:tcPr>
          <w:p w14:paraId="13AD0930" w14:textId="77777777" w:rsidR="00CC2534" w:rsidRPr="00DF3E5E" w:rsidRDefault="00CC2534" w:rsidP="00966EAB">
            <w:pPr>
              <w:pStyle w:val="Bullet-list"/>
              <w:numPr>
                <w:ilvl w:val="0"/>
                <w:numId w:val="0"/>
              </w:numPr>
              <w:spacing w:before="80"/>
              <w:ind w:right="-142"/>
              <w:jc w:val="left"/>
              <w:rPr>
                <w:b/>
              </w:rPr>
            </w:pPr>
            <w:r w:rsidRPr="00DF3E5E">
              <w:rPr>
                <w:b/>
                <w:u w:val="single"/>
              </w:rPr>
              <w:t>Moderate</w:t>
            </w:r>
            <w:r w:rsidRPr="00DF3E5E">
              <w:rPr>
                <w:b/>
              </w:rPr>
              <w:t xml:space="preserve"> </w:t>
            </w:r>
          </w:p>
          <w:p w14:paraId="70464197" w14:textId="04BA9494" w:rsidR="0089683C" w:rsidRPr="008435C7" w:rsidRDefault="00CC2534" w:rsidP="008435C7">
            <w:pPr>
              <w:pStyle w:val="ReportBody"/>
              <w:numPr>
                <w:ilvl w:val="0"/>
                <w:numId w:val="10"/>
              </w:numPr>
              <w:spacing w:before="80" w:after="80"/>
              <w:ind w:right="176"/>
              <w:rPr>
                <w:rFonts w:ascii="Calibri" w:hAnsi="Calibri"/>
                <w:color w:val="auto"/>
                <w:sz w:val="23"/>
                <w:szCs w:val="23"/>
              </w:rPr>
            </w:pPr>
            <w:r w:rsidRPr="008435C7">
              <w:rPr>
                <w:rFonts w:ascii="Calibri" w:hAnsi="Calibri"/>
                <w:b/>
                <w:color w:val="auto"/>
                <w:sz w:val="23"/>
                <w:szCs w:val="23"/>
              </w:rPr>
              <w:t xml:space="preserve">Effectiveness – </w:t>
            </w:r>
            <w:r w:rsidR="008435C7" w:rsidRPr="008435C7">
              <w:rPr>
                <w:rFonts w:ascii="Calibri" w:hAnsi="Calibri"/>
                <w:b/>
                <w:color w:val="auto"/>
                <w:sz w:val="23"/>
                <w:szCs w:val="23"/>
              </w:rPr>
              <w:t xml:space="preserve">[Section 9(2)(g)(i) OIA] </w:t>
            </w:r>
            <w:bookmarkStart w:id="77" w:name="_GoBack"/>
            <w:bookmarkEnd w:id="77"/>
            <w:r w:rsidRPr="008435C7">
              <w:rPr>
                <w:rFonts w:ascii="Calibri" w:hAnsi="Calibri"/>
                <w:color w:val="auto"/>
                <w:sz w:val="23"/>
                <w:szCs w:val="23"/>
              </w:rPr>
              <w:t>An AISA cannot</w:t>
            </w:r>
            <w:r w:rsidR="0089683C" w:rsidRPr="008435C7">
              <w:rPr>
                <w:rFonts w:ascii="Calibri" w:hAnsi="Calibri"/>
                <w:color w:val="auto"/>
                <w:sz w:val="23"/>
                <w:szCs w:val="23"/>
              </w:rPr>
              <w:t>:</w:t>
            </w:r>
          </w:p>
          <w:p w14:paraId="524F1ED0" w14:textId="77777777" w:rsidR="0089683C" w:rsidRDefault="0089683C" w:rsidP="00F6637E">
            <w:pPr>
              <w:pStyle w:val="ReportBody"/>
              <w:numPr>
                <w:ilvl w:val="1"/>
                <w:numId w:val="25"/>
              </w:numPr>
              <w:spacing w:before="40" w:after="0"/>
              <w:ind w:left="884" w:right="34" w:hanging="425"/>
              <w:rPr>
                <w:rFonts w:ascii="Calibri" w:hAnsi="Calibri"/>
                <w:color w:val="auto"/>
                <w:sz w:val="23"/>
                <w:szCs w:val="23"/>
              </w:rPr>
            </w:pPr>
            <w:r>
              <w:rPr>
                <w:rFonts w:ascii="Calibri" w:hAnsi="Calibri"/>
                <w:color w:val="auto"/>
                <w:sz w:val="23"/>
                <w:szCs w:val="23"/>
              </w:rPr>
              <w:t>p</w:t>
            </w:r>
            <w:r w:rsidRPr="00DF3E5E">
              <w:rPr>
                <w:rFonts w:ascii="Calibri" w:hAnsi="Calibri"/>
                <w:color w:val="auto"/>
                <w:sz w:val="23"/>
                <w:szCs w:val="23"/>
              </w:rPr>
              <w:t xml:space="preserve">rovide a general immunity from criminal, civil and disciplinary proceedings for good </w:t>
            </w:r>
            <w:r>
              <w:rPr>
                <w:rFonts w:ascii="Calibri" w:hAnsi="Calibri"/>
                <w:color w:val="auto"/>
                <w:sz w:val="23"/>
                <w:szCs w:val="23"/>
              </w:rPr>
              <w:t xml:space="preserve">faith disclosures </w:t>
            </w:r>
          </w:p>
          <w:p w14:paraId="405DED33" w14:textId="77777777" w:rsidR="0089683C" w:rsidRDefault="0089683C" w:rsidP="00F6637E">
            <w:pPr>
              <w:pStyle w:val="ReportBody"/>
              <w:numPr>
                <w:ilvl w:val="1"/>
                <w:numId w:val="25"/>
              </w:numPr>
              <w:spacing w:before="40" w:after="0"/>
              <w:ind w:left="884" w:right="34" w:hanging="425"/>
              <w:rPr>
                <w:rFonts w:ascii="Calibri" w:hAnsi="Calibri"/>
                <w:color w:val="auto"/>
                <w:sz w:val="23"/>
                <w:szCs w:val="23"/>
              </w:rPr>
            </w:pPr>
            <w:r w:rsidRPr="00FB32BF">
              <w:rPr>
                <w:rFonts w:ascii="Calibri" w:hAnsi="Calibri"/>
                <w:color w:val="auto"/>
                <w:sz w:val="23"/>
                <w:szCs w:val="23"/>
              </w:rPr>
              <w:t>override other primary legislation, such as the restrictions on the use of National Stude</w:t>
            </w:r>
            <w:r>
              <w:rPr>
                <w:rFonts w:ascii="Calibri" w:hAnsi="Calibri"/>
                <w:color w:val="auto"/>
                <w:sz w:val="23"/>
                <w:szCs w:val="23"/>
              </w:rPr>
              <w:t>nt Numbers in the Education Act</w:t>
            </w:r>
          </w:p>
          <w:p w14:paraId="6E619CFC" w14:textId="77777777" w:rsidR="0089683C" w:rsidRDefault="0089683C" w:rsidP="00F6637E">
            <w:pPr>
              <w:pStyle w:val="ReportBody"/>
              <w:numPr>
                <w:ilvl w:val="1"/>
                <w:numId w:val="25"/>
              </w:numPr>
              <w:spacing w:before="40" w:after="0"/>
              <w:ind w:left="884" w:right="34" w:hanging="425"/>
              <w:rPr>
                <w:rFonts w:ascii="Calibri" w:hAnsi="Calibri"/>
                <w:color w:val="auto"/>
                <w:sz w:val="23"/>
                <w:szCs w:val="23"/>
              </w:rPr>
            </w:pPr>
            <w:r>
              <w:rPr>
                <w:rFonts w:ascii="Calibri" w:hAnsi="Calibri"/>
                <w:color w:val="auto"/>
                <w:sz w:val="23"/>
                <w:szCs w:val="23"/>
              </w:rPr>
              <w:t>address current deficiencies in the CYPF Act</w:t>
            </w:r>
            <w:r w:rsidRPr="00FB32BF">
              <w:rPr>
                <w:rFonts w:ascii="Calibri" w:hAnsi="Calibri"/>
                <w:color w:val="auto"/>
                <w:sz w:val="23"/>
                <w:szCs w:val="23"/>
              </w:rPr>
              <w:t xml:space="preserve">  </w:t>
            </w:r>
          </w:p>
          <w:p w14:paraId="31D0591F" w14:textId="77777777" w:rsidR="0089683C" w:rsidRDefault="0089683C" w:rsidP="0089683C">
            <w:pPr>
              <w:pStyle w:val="ReportBody"/>
              <w:numPr>
                <w:ilvl w:val="0"/>
                <w:numId w:val="0"/>
              </w:numPr>
              <w:spacing w:before="80" w:after="80"/>
              <w:ind w:left="360" w:right="34"/>
              <w:rPr>
                <w:rFonts w:ascii="Calibri" w:hAnsi="Calibri"/>
                <w:color w:val="auto"/>
                <w:sz w:val="23"/>
                <w:szCs w:val="23"/>
              </w:rPr>
            </w:pPr>
            <w:r>
              <w:rPr>
                <w:rFonts w:ascii="Calibri" w:hAnsi="Calibri"/>
                <w:color w:val="auto"/>
                <w:sz w:val="23"/>
                <w:szCs w:val="23"/>
              </w:rPr>
              <w:t>Given an AISA</w:t>
            </w:r>
            <w:r w:rsidRPr="00226A86">
              <w:rPr>
                <w:rFonts w:ascii="Calibri" w:hAnsi="Calibri"/>
                <w:color w:val="auto"/>
                <w:sz w:val="23"/>
                <w:szCs w:val="23"/>
              </w:rPr>
              <w:t xml:space="preserve"> cannot deliver </w:t>
            </w:r>
            <w:r w:rsidR="006C0A18">
              <w:rPr>
                <w:rFonts w:ascii="Calibri" w:hAnsi="Calibri"/>
                <w:color w:val="auto"/>
                <w:sz w:val="23"/>
                <w:szCs w:val="23"/>
              </w:rPr>
              <w:t>all aspects of the G</w:t>
            </w:r>
            <w:r>
              <w:rPr>
                <w:rFonts w:ascii="Calibri" w:hAnsi="Calibri"/>
                <w:color w:val="auto"/>
                <w:sz w:val="23"/>
                <w:szCs w:val="23"/>
              </w:rPr>
              <w:t xml:space="preserve">overnment’s policy intent </w:t>
            </w:r>
            <w:r w:rsidRPr="00226A86">
              <w:rPr>
                <w:rFonts w:ascii="Calibri" w:hAnsi="Calibri"/>
                <w:color w:val="auto"/>
                <w:sz w:val="23"/>
                <w:szCs w:val="23"/>
              </w:rPr>
              <w:t xml:space="preserve">it </w:t>
            </w:r>
            <w:r>
              <w:rPr>
                <w:rFonts w:ascii="Calibri" w:hAnsi="Calibri"/>
                <w:color w:val="auto"/>
                <w:sz w:val="23"/>
                <w:szCs w:val="23"/>
              </w:rPr>
              <w:t xml:space="preserve">would have to be accompanied by law reform.  </w:t>
            </w:r>
          </w:p>
          <w:p w14:paraId="20F7D18E" w14:textId="77777777" w:rsidR="00CC2534" w:rsidRPr="0089683C" w:rsidRDefault="00CC2534" w:rsidP="0089683C">
            <w:pPr>
              <w:pStyle w:val="ReportBody"/>
              <w:numPr>
                <w:ilvl w:val="0"/>
                <w:numId w:val="10"/>
              </w:numPr>
              <w:spacing w:before="80" w:after="80"/>
              <w:ind w:right="176"/>
              <w:rPr>
                <w:rFonts w:ascii="Calibri" w:hAnsi="Calibri"/>
                <w:color w:val="auto"/>
                <w:sz w:val="23"/>
                <w:szCs w:val="23"/>
              </w:rPr>
            </w:pPr>
            <w:r w:rsidRPr="004910CF">
              <w:rPr>
                <w:rFonts w:ascii="Calibri" w:hAnsi="Calibri"/>
                <w:b/>
                <w:color w:val="auto"/>
                <w:sz w:val="23"/>
                <w:szCs w:val="23"/>
              </w:rPr>
              <w:t>Proportionality –</w:t>
            </w:r>
            <w:r>
              <w:rPr>
                <w:rFonts w:ascii="Calibri" w:hAnsi="Calibri"/>
                <w:color w:val="auto"/>
                <w:sz w:val="23"/>
                <w:szCs w:val="23"/>
              </w:rPr>
              <w:t xml:space="preserve"> </w:t>
            </w:r>
            <w:r w:rsidR="007609B5">
              <w:rPr>
                <w:rFonts w:ascii="Calibri" w:hAnsi="Calibri"/>
                <w:color w:val="auto"/>
                <w:sz w:val="23"/>
                <w:szCs w:val="23"/>
              </w:rPr>
              <w:t>In theory, a</w:t>
            </w:r>
            <w:r>
              <w:rPr>
                <w:rFonts w:ascii="Calibri" w:hAnsi="Calibri"/>
                <w:color w:val="auto"/>
                <w:sz w:val="23"/>
                <w:szCs w:val="23"/>
              </w:rPr>
              <w:t xml:space="preserve">n AISA would </w:t>
            </w:r>
            <w:r w:rsidR="007609B5">
              <w:rPr>
                <w:rFonts w:ascii="Calibri" w:hAnsi="Calibri"/>
                <w:color w:val="auto"/>
                <w:sz w:val="23"/>
                <w:szCs w:val="23"/>
              </w:rPr>
              <w:t>be proportional as it would reflect the consensus of</w:t>
            </w:r>
            <w:r w:rsidR="0089683C">
              <w:rPr>
                <w:rFonts w:ascii="Calibri" w:hAnsi="Calibri"/>
                <w:color w:val="auto"/>
                <w:sz w:val="23"/>
                <w:szCs w:val="23"/>
              </w:rPr>
              <w:t xml:space="preserve"> all participating agencies. </w:t>
            </w:r>
            <w:r w:rsidR="00EC10C7">
              <w:rPr>
                <w:rFonts w:ascii="Calibri" w:hAnsi="Calibri"/>
                <w:color w:val="auto"/>
                <w:sz w:val="23"/>
                <w:szCs w:val="23"/>
              </w:rPr>
              <w:t>I</w:t>
            </w:r>
            <w:r w:rsidR="007609B5">
              <w:rPr>
                <w:rFonts w:ascii="Calibri" w:hAnsi="Calibri"/>
                <w:color w:val="auto"/>
                <w:sz w:val="23"/>
                <w:szCs w:val="23"/>
              </w:rPr>
              <w:t>t cannot</w:t>
            </w:r>
            <w:r w:rsidR="00EC10C7">
              <w:rPr>
                <w:rFonts w:ascii="Calibri" w:hAnsi="Calibri"/>
                <w:color w:val="auto"/>
                <w:sz w:val="23"/>
                <w:szCs w:val="23"/>
              </w:rPr>
              <w:t>, however,</w:t>
            </w:r>
            <w:r w:rsidR="007609B5">
              <w:rPr>
                <w:rFonts w:ascii="Calibri" w:hAnsi="Calibri"/>
                <w:color w:val="auto"/>
                <w:sz w:val="23"/>
                <w:szCs w:val="23"/>
              </w:rPr>
              <w:t xml:space="preserve"> remove all legal barriers to information sharing </w:t>
            </w:r>
            <w:r w:rsidR="00EC10C7">
              <w:rPr>
                <w:rFonts w:ascii="Calibri" w:hAnsi="Calibri"/>
                <w:color w:val="auto"/>
                <w:sz w:val="23"/>
                <w:szCs w:val="23"/>
              </w:rPr>
              <w:t xml:space="preserve">so </w:t>
            </w:r>
            <w:r w:rsidR="007609B5">
              <w:rPr>
                <w:rFonts w:ascii="Calibri" w:hAnsi="Calibri"/>
                <w:color w:val="auto"/>
                <w:sz w:val="23"/>
                <w:szCs w:val="23"/>
              </w:rPr>
              <w:t>will result in sub-optimal sharing.</w:t>
            </w:r>
          </w:p>
          <w:p w14:paraId="5E2EFF83" w14:textId="77777777" w:rsidR="00CC2534" w:rsidRPr="00A21B95" w:rsidRDefault="00CC2534" w:rsidP="00CC2534">
            <w:pPr>
              <w:pStyle w:val="ReportBody"/>
              <w:numPr>
                <w:ilvl w:val="0"/>
                <w:numId w:val="10"/>
              </w:numPr>
              <w:spacing w:before="80" w:after="80"/>
              <w:ind w:right="176"/>
              <w:rPr>
                <w:rFonts w:ascii="Calibri" w:hAnsi="Calibri"/>
                <w:color w:val="auto"/>
                <w:sz w:val="23"/>
                <w:szCs w:val="23"/>
              </w:rPr>
            </w:pPr>
            <w:r w:rsidRPr="00A21B95">
              <w:rPr>
                <w:rFonts w:ascii="Calibri" w:hAnsi="Calibri"/>
                <w:b/>
                <w:color w:val="auto"/>
                <w:sz w:val="23"/>
                <w:szCs w:val="23"/>
              </w:rPr>
              <w:t xml:space="preserve">Ease of use </w:t>
            </w:r>
            <w:r w:rsidRPr="00A21B95">
              <w:rPr>
                <w:rFonts w:ascii="Calibri" w:hAnsi="Calibri"/>
                <w:color w:val="auto"/>
                <w:sz w:val="23"/>
                <w:szCs w:val="23"/>
              </w:rPr>
              <w:t xml:space="preserve">– It is unlikely that an AISA could be designed that meets the ongoing operational requirements of the sector.  </w:t>
            </w:r>
          </w:p>
          <w:p w14:paraId="4C0D3701" w14:textId="77777777" w:rsidR="00CC2534" w:rsidRPr="00DF3E5E" w:rsidRDefault="00CC2534" w:rsidP="007609B5">
            <w:pPr>
              <w:pStyle w:val="ReportBody"/>
              <w:numPr>
                <w:ilvl w:val="0"/>
                <w:numId w:val="10"/>
              </w:numPr>
              <w:spacing w:before="80" w:after="80"/>
              <w:ind w:right="176"/>
              <w:rPr>
                <w:color w:val="auto"/>
              </w:rPr>
            </w:pPr>
            <w:r w:rsidRPr="00A21B95">
              <w:rPr>
                <w:rFonts w:ascii="Calibri" w:hAnsi="Calibri"/>
                <w:b/>
                <w:color w:val="auto"/>
                <w:sz w:val="23"/>
                <w:szCs w:val="23"/>
              </w:rPr>
              <w:t xml:space="preserve">Cost-effective - </w:t>
            </w:r>
            <w:r w:rsidRPr="00A21B95">
              <w:rPr>
                <w:rFonts w:ascii="Calibri" w:hAnsi="Calibri"/>
                <w:color w:val="auto"/>
                <w:sz w:val="23"/>
                <w:szCs w:val="23"/>
              </w:rPr>
              <w:t xml:space="preserve">If an AISA was pursued it would impose considerable </w:t>
            </w:r>
            <w:r w:rsidR="0089683C">
              <w:rPr>
                <w:rFonts w:ascii="Calibri" w:hAnsi="Calibri"/>
                <w:color w:val="auto"/>
                <w:sz w:val="23"/>
                <w:szCs w:val="23"/>
              </w:rPr>
              <w:t xml:space="preserve">transaction </w:t>
            </w:r>
            <w:r w:rsidRPr="00A21B95">
              <w:rPr>
                <w:rFonts w:ascii="Calibri" w:hAnsi="Calibri"/>
                <w:color w:val="auto"/>
                <w:sz w:val="23"/>
                <w:szCs w:val="23"/>
              </w:rPr>
              <w:t>costs on the pa</w:t>
            </w:r>
            <w:r w:rsidR="0089683C">
              <w:rPr>
                <w:rFonts w:ascii="Calibri" w:hAnsi="Calibri"/>
                <w:color w:val="auto"/>
                <w:sz w:val="23"/>
                <w:szCs w:val="23"/>
              </w:rPr>
              <w:t>rties to any negotiation, with</w:t>
            </w:r>
            <w:r w:rsidRPr="00A21B95">
              <w:rPr>
                <w:rFonts w:ascii="Calibri" w:hAnsi="Calibri"/>
                <w:color w:val="auto"/>
                <w:sz w:val="23"/>
                <w:szCs w:val="23"/>
              </w:rPr>
              <w:t xml:space="preserve"> </w:t>
            </w:r>
            <w:r w:rsidR="007609B5">
              <w:rPr>
                <w:rFonts w:ascii="Calibri" w:hAnsi="Calibri"/>
                <w:color w:val="auto"/>
                <w:sz w:val="23"/>
                <w:szCs w:val="23"/>
              </w:rPr>
              <w:t xml:space="preserve">little </w:t>
            </w:r>
            <w:r w:rsidRPr="00A21B95">
              <w:rPr>
                <w:rFonts w:ascii="Calibri" w:hAnsi="Calibri"/>
                <w:color w:val="auto"/>
                <w:sz w:val="23"/>
                <w:szCs w:val="23"/>
              </w:rPr>
              <w:t>prospect of achieving a successful outcome.</w:t>
            </w:r>
          </w:p>
        </w:tc>
        <w:tc>
          <w:tcPr>
            <w:tcW w:w="4251" w:type="dxa"/>
            <w:shd w:val="clear" w:color="auto" w:fill="F2DBDB"/>
          </w:tcPr>
          <w:p w14:paraId="32040937" w14:textId="77777777" w:rsidR="00F15766" w:rsidRDefault="00F15766" w:rsidP="0089683C">
            <w:pPr>
              <w:pStyle w:val="Bullet-list"/>
              <w:numPr>
                <w:ilvl w:val="0"/>
                <w:numId w:val="0"/>
              </w:numPr>
              <w:spacing w:before="80"/>
              <w:ind w:right="-108"/>
              <w:jc w:val="left"/>
            </w:pPr>
          </w:p>
          <w:p w14:paraId="1C49205C" w14:textId="77777777" w:rsidR="00A67FE8" w:rsidRDefault="00A67FE8" w:rsidP="0089683C">
            <w:pPr>
              <w:pStyle w:val="Bullet-list"/>
              <w:numPr>
                <w:ilvl w:val="0"/>
                <w:numId w:val="0"/>
              </w:numPr>
              <w:spacing w:before="80"/>
              <w:ind w:right="-108"/>
              <w:jc w:val="left"/>
              <w:rPr>
                <w:b/>
              </w:rPr>
            </w:pPr>
            <w:r w:rsidRPr="00A67FE8">
              <w:rPr>
                <w:b/>
              </w:rPr>
              <w:t>[Section 9(2)(g)(i) OIA]</w:t>
            </w:r>
          </w:p>
          <w:p w14:paraId="5FE25360" w14:textId="3C6B273D" w:rsidR="0089683C" w:rsidRDefault="0089683C" w:rsidP="0089683C">
            <w:pPr>
              <w:pStyle w:val="Bullet-list"/>
              <w:numPr>
                <w:ilvl w:val="0"/>
                <w:numId w:val="0"/>
              </w:numPr>
              <w:spacing w:before="80"/>
              <w:ind w:right="-108"/>
              <w:jc w:val="left"/>
            </w:pPr>
            <w:r>
              <w:t>Pursuing this option will impose significant costs on child welfare and protections agencies, with a low prospect of a satisfactory outcome being achieved.</w:t>
            </w:r>
          </w:p>
          <w:p w14:paraId="08A58642" w14:textId="77777777" w:rsidR="00CC2534" w:rsidRPr="00DF3E5E" w:rsidRDefault="00CC2534" w:rsidP="0089683C">
            <w:pPr>
              <w:pStyle w:val="Bullet-list"/>
              <w:numPr>
                <w:ilvl w:val="0"/>
                <w:numId w:val="0"/>
              </w:numPr>
              <w:spacing w:before="80"/>
              <w:ind w:right="-108"/>
              <w:jc w:val="left"/>
              <w:rPr>
                <w:b/>
              </w:rPr>
            </w:pPr>
          </w:p>
        </w:tc>
      </w:tr>
      <w:tr w:rsidR="00CC2534" w14:paraId="14E9BCB0" w14:textId="77777777" w:rsidTr="00006CA1">
        <w:trPr>
          <w:trHeight w:val="416"/>
        </w:trPr>
        <w:tc>
          <w:tcPr>
            <w:tcW w:w="2553" w:type="dxa"/>
          </w:tcPr>
          <w:p w14:paraId="47A3A227" w14:textId="77777777" w:rsidR="00CC2534" w:rsidRPr="00A21B95" w:rsidRDefault="004B7689" w:rsidP="00966EAB">
            <w:pPr>
              <w:pStyle w:val="Bullet-list"/>
              <w:numPr>
                <w:ilvl w:val="0"/>
                <w:numId w:val="0"/>
              </w:numPr>
              <w:ind w:right="-142"/>
              <w:jc w:val="left"/>
            </w:pPr>
            <w:r>
              <w:rPr>
                <w:b/>
              </w:rPr>
              <w:t xml:space="preserve">4. </w:t>
            </w:r>
            <w:r w:rsidR="00CC2534" w:rsidRPr="00A21B95">
              <w:rPr>
                <w:b/>
              </w:rPr>
              <w:t>New framework in Privacy Act</w:t>
            </w:r>
          </w:p>
        </w:tc>
        <w:tc>
          <w:tcPr>
            <w:tcW w:w="7370" w:type="dxa"/>
            <w:shd w:val="clear" w:color="auto" w:fill="EAF1DD"/>
          </w:tcPr>
          <w:p w14:paraId="6B9093A6" w14:textId="77777777" w:rsidR="00CC2534" w:rsidRPr="00A21B95" w:rsidRDefault="00CC2534" w:rsidP="00966EAB">
            <w:pPr>
              <w:pStyle w:val="Bullet-list"/>
              <w:numPr>
                <w:ilvl w:val="0"/>
                <w:numId w:val="0"/>
              </w:numPr>
              <w:spacing w:before="80"/>
              <w:ind w:right="-142"/>
              <w:jc w:val="left"/>
              <w:rPr>
                <w:b/>
              </w:rPr>
            </w:pPr>
            <w:r w:rsidRPr="00A21B95">
              <w:rPr>
                <w:b/>
                <w:u w:val="single"/>
              </w:rPr>
              <w:t>Significant</w:t>
            </w:r>
            <w:r w:rsidRPr="00A21B95">
              <w:rPr>
                <w:b/>
              </w:rPr>
              <w:t xml:space="preserve"> </w:t>
            </w:r>
          </w:p>
          <w:p w14:paraId="247D2D36" w14:textId="77777777" w:rsidR="00CC2534" w:rsidRDefault="00CC2534" w:rsidP="002B5524">
            <w:pPr>
              <w:pStyle w:val="ReportBody"/>
              <w:numPr>
                <w:ilvl w:val="0"/>
                <w:numId w:val="10"/>
              </w:numPr>
              <w:spacing w:before="80" w:after="80"/>
              <w:ind w:right="176"/>
              <w:jc w:val="both"/>
              <w:rPr>
                <w:rFonts w:ascii="Calibri" w:hAnsi="Calibri"/>
                <w:color w:val="auto"/>
                <w:sz w:val="23"/>
                <w:szCs w:val="23"/>
              </w:rPr>
            </w:pPr>
            <w:r w:rsidRPr="00A21B95">
              <w:rPr>
                <w:rFonts w:ascii="Calibri" w:hAnsi="Calibri"/>
                <w:b/>
                <w:color w:val="auto"/>
                <w:sz w:val="23"/>
                <w:szCs w:val="23"/>
              </w:rPr>
              <w:t>Effectiveness</w:t>
            </w:r>
            <w:r w:rsidRPr="00A21B95">
              <w:rPr>
                <w:rFonts w:ascii="Calibri" w:hAnsi="Calibri"/>
                <w:color w:val="auto"/>
                <w:sz w:val="23"/>
                <w:szCs w:val="23"/>
              </w:rPr>
              <w:t xml:space="preserve"> – A framework enacted in the Privacy Act should serve to clarify the legal position around sharing information with respect to that Act.  </w:t>
            </w:r>
          </w:p>
          <w:p w14:paraId="713C254A" w14:textId="77777777" w:rsidR="00CC2534" w:rsidRPr="004910CF" w:rsidRDefault="00CC2534" w:rsidP="002B5524">
            <w:pPr>
              <w:pStyle w:val="ReportBody"/>
              <w:numPr>
                <w:ilvl w:val="0"/>
                <w:numId w:val="10"/>
              </w:numPr>
              <w:spacing w:before="80" w:after="80"/>
              <w:ind w:right="176"/>
              <w:rPr>
                <w:rFonts w:ascii="Calibri" w:hAnsi="Calibri"/>
                <w:color w:val="auto"/>
                <w:sz w:val="23"/>
                <w:szCs w:val="23"/>
              </w:rPr>
            </w:pPr>
            <w:r w:rsidRPr="004910CF">
              <w:rPr>
                <w:rFonts w:ascii="Calibri" w:hAnsi="Calibri"/>
                <w:b/>
                <w:color w:val="auto"/>
                <w:sz w:val="23"/>
                <w:szCs w:val="23"/>
              </w:rPr>
              <w:t xml:space="preserve">Proportionality </w:t>
            </w:r>
            <w:proofErr w:type="gramStart"/>
            <w:r w:rsidRPr="004910CF">
              <w:rPr>
                <w:rFonts w:ascii="Calibri" w:hAnsi="Calibri"/>
                <w:b/>
                <w:color w:val="auto"/>
                <w:sz w:val="23"/>
                <w:szCs w:val="23"/>
              </w:rPr>
              <w:t>–</w:t>
            </w:r>
            <w:r>
              <w:rPr>
                <w:rFonts w:ascii="Calibri" w:hAnsi="Calibri"/>
                <w:color w:val="auto"/>
                <w:sz w:val="23"/>
                <w:szCs w:val="23"/>
              </w:rPr>
              <w:t xml:space="preserve">  The</w:t>
            </w:r>
            <w:proofErr w:type="gramEnd"/>
            <w:r>
              <w:rPr>
                <w:rFonts w:ascii="Calibri" w:hAnsi="Calibri"/>
                <w:color w:val="auto"/>
                <w:sz w:val="23"/>
                <w:szCs w:val="23"/>
              </w:rPr>
              <w:t xml:space="preserve"> framework would be set within the Privacy Act, which would provide parameters to ensure information is shared proportionately.</w:t>
            </w:r>
          </w:p>
          <w:p w14:paraId="2B6F7C53" w14:textId="77777777" w:rsidR="00CC2534" w:rsidRPr="00A21B95" w:rsidRDefault="00CC2534" w:rsidP="002B5524">
            <w:pPr>
              <w:pStyle w:val="ReportBody"/>
              <w:numPr>
                <w:ilvl w:val="0"/>
                <w:numId w:val="10"/>
              </w:numPr>
              <w:spacing w:before="80" w:after="80"/>
              <w:ind w:right="176"/>
              <w:jc w:val="both"/>
              <w:rPr>
                <w:rFonts w:ascii="Calibri" w:hAnsi="Calibri"/>
                <w:color w:val="auto"/>
                <w:sz w:val="23"/>
                <w:szCs w:val="23"/>
              </w:rPr>
            </w:pPr>
            <w:r w:rsidRPr="00A21B95">
              <w:rPr>
                <w:rFonts w:ascii="Calibri" w:hAnsi="Calibri"/>
                <w:b/>
                <w:color w:val="auto"/>
                <w:sz w:val="23"/>
                <w:szCs w:val="23"/>
              </w:rPr>
              <w:t xml:space="preserve">Ease of use </w:t>
            </w:r>
            <w:r w:rsidRPr="00A21B95">
              <w:rPr>
                <w:rFonts w:ascii="Calibri" w:hAnsi="Calibri"/>
                <w:color w:val="auto"/>
                <w:sz w:val="23"/>
                <w:szCs w:val="23"/>
              </w:rPr>
              <w:t xml:space="preserve">– It should be possible to enact provisions that remove </w:t>
            </w:r>
            <w:r w:rsidR="0089683C">
              <w:rPr>
                <w:rFonts w:ascii="Calibri" w:hAnsi="Calibri"/>
                <w:color w:val="auto"/>
                <w:sz w:val="23"/>
                <w:szCs w:val="23"/>
              </w:rPr>
              <w:t xml:space="preserve">most </w:t>
            </w:r>
            <w:r w:rsidRPr="00A21B95">
              <w:rPr>
                <w:rFonts w:ascii="Calibri" w:hAnsi="Calibri"/>
                <w:color w:val="auto"/>
                <w:sz w:val="23"/>
                <w:szCs w:val="23"/>
              </w:rPr>
              <w:t>ambiguity for frontline practition</w:t>
            </w:r>
            <w:r>
              <w:rPr>
                <w:rFonts w:ascii="Calibri" w:hAnsi="Calibri"/>
                <w:color w:val="auto"/>
                <w:sz w:val="23"/>
                <w:szCs w:val="23"/>
              </w:rPr>
              <w:t>ers</w:t>
            </w:r>
            <w:r w:rsidRPr="00A21B95">
              <w:rPr>
                <w:rFonts w:ascii="Calibri" w:hAnsi="Calibri"/>
                <w:color w:val="auto"/>
                <w:sz w:val="23"/>
                <w:szCs w:val="23"/>
              </w:rPr>
              <w:t>.</w:t>
            </w:r>
          </w:p>
          <w:p w14:paraId="6F013A1E" w14:textId="77777777" w:rsidR="00CC2534" w:rsidRPr="00A21B95" w:rsidRDefault="00CC2534" w:rsidP="002B5524">
            <w:pPr>
              <w:pStyle w:val="ReportBody"/>
              <w:numPr>
                <w:ilvl w:val="0"/>
                <w:numId w:val="10"/>
              </w:numPr>
              <w:spacing w:before="80" w:after="80"/>
              <w:ind w:right="176"/>
              <w:jc w:val="both"/>
              <w:rPr>
                <w:rFonts w:ascii="Calibri" w:hAnsi="Calibri"/>
                <w:color w:val="auto"/>
                <w:sz w:val="23"/>
                <w:szCs w:val="23"/>
              </w:rPr>
            </w:pPr>
            <w:r>
              <w:rPr>
                <w:rFonts w:ascii="Calibri" w:hAnsi="Calibri"/>
                <w:b/>
                <w:color w:val="auto"/>
                <w:sz w:val="23"/>
                <w:szCs w:val="23"/>
              </w:rPr>
              <w:t>Cost-effective</w:t>
            </w:r>
            <w:r w:rsidRPr="00A21B95">
              <w:rPr>
                <w:rFonts w:ascii="Calibri" w:hAnsi="Calibri"/>
                <w:color w:val="auto"/>
                <w:sz w:val="23"/>
                <w:szCs w:val="23"/>
              </w:rPr>
              <w:t xml:space="preserve"> – </w:t>
            </w:r>
            <w:r>
              <w:rPr>
                <w:rFonts w:ascii="Calibri" w:hAnsi="Calibri"/>
                <w:color w:val="auto"/>
                <w:sz w:val="23"/>
                <w:szCs w:val="23"/>
              </w:rPr>
              <w:t>The cost of the design and implementation is likely to be a cost-effective means of achieving regulatory reform</w:t>
            </w:r>
            <w:r w:rsidR="00F15766">
              <w:rPr>
                <w:rFonts w:ascii="Calibri" w:hAnsi="Calibri"/>
                <w:color w:val="auto"/>
                <w:sz w:val="23"/>
                <w:szCs w:val="23"/>
              </w:rPr>
              <w:t xml:space="preserve">.  </w:t>
            </w:r>
          </w:p>
        </w:tc>
        <w:tc>
          <w:tcPr>
            <w:tcW w:w="7372" w:type="dxa"/>
            <w:shd w:val="clear" w:color="auto" w:fill="FDE9D9"/>
          </w:tcPr>
          <w:p w14:paraId="1D1F730F" w14:textId="77777777" w:rsidR="00CC2534" w:rsidRPr="00A21B95" w:rsidRDefault="00CC2534" w:rsidP="002B5524">
            <w:pPr>
              <w:pStyle w:val="Bullet-list"/>
              <w:numPr>
                <w:ilvl w:val="0"/>
                <w:numId w:val="0"/>
              </w:numPr>
              <w:spacing w:before="80"/>
              <w:ind w:right="176"/>
              <w:jc w:val="left"/>
              <w:rPr>
                <w:b/>
              </w:rPr>
            </w:pPr>
            <w:r w:rsidRPr="00A21B95">
              <w:rPr>
                <w:b/>
                <w:u w:val="single"/>
              </w:rPr>
              <w:t>Moderate</w:t>
            </w:r>
          </w:p>
          <w:p w14:paraId="5A8DB820" w14:textId="77777777" w:rsidR="00CC2534" w:rsidRDefault="00CC2534" w:rsidP="002B5524">
            <w:pPr>
              <w:pStyle w:val="ReportBody"/>
              <w:numPr>
                <w:ilvl w:val="0"/>
                <w:numId w:val="10"/>
              </w:numPr>
              <w:spacing w:before="80" w:after="80"/>
              <w:ind w:right="176"/>
              <w:jc w:val="both"/>
              <w:rPr>
                <w:rFonts w:ascii="Calibri" w:hAnsi="Calibri"/>
                <w:color w:val="auto"/>
                <w:sz w:val="23"/>
                <w:szCs w:val="23"/>
              </w:rPr>
            </w:pPr>
            <w:r w:rsidRPr="00A21B95">
              <w:rPr>
                <w:rFonts w:ascii="Calibri" w:hAnsi="Calibri"/>
                <w:b/>
                <w:color w:val="auto"/>
                <w:sz w:val="23"/>
                <w:szCs w:val="23"/>
              </w:rPr>
              <w:t>Effectiveness</w:t>
            </w:r>
            <w:r w:rsidRPr="00A21B95">
              <w:rPr>
                <w:rFonts w:ascii="Calibri" w:hAnsi="Calibri"/>
                <w:color w:val="auto"/>
                <w:sz w:val="23"/>
                <w:szCs w:val="23"/>
              </w:rPr>
              <w:t xml:space="preserve"> –</w:t>
            </w:r>
            <w:r>
              <w:rPr>
                <w:rFonts w:ascii="Calibri" w:hAnsi="Calibri"/>
                <w:color w:val="auto"/>
                <w:sz w:val="23"/>
                <w:szCs w:val="23"/>
              </w:rPr>
              <w:t xml:space="preserve"> Enact</w:t>
            </w:r>
            <w:r w:rsidR="00545D1A">
              <w:rPr>
                <w:rFonts w:ascii="Calibri" w:hAnsi="Calibri"/>
                <w:color w:val="auto"/>
                <w:sz w:val="23"/>
                <w:szCs w:val="23"/>
              </w:rPr>
              <w:t>ment</w:t>
            </w:r>
            <w:r>
              <w:rPr>
                <w:rFonts w:ascii="Calibri" w:hAnsi="Calibri"/>
                <w:color w:val="auto"/>
                <w:sz w:val="23"/>
                <w:szCs w:val="23"/>
              </w:rPr>
              <w:t xml:space="preserve"> in the Privacy Act will </w:t>
            </w:r>
            <w:r w:rsidR="0089683C">
              <w:rPr>
                <w:rFonts w:ascii="Calibri" w:hAnsi="Calibri"/>
                <w:color w:val="auto"/>
                <w:sz w:val="23"/>
                <w:szCs w:val="23"/>
              </w:rPr>
              <w:t xml:space="preserve">not address the </w:t>
            </w:r>
            <w:r>
              <w:rPr>
                <w:rFonts w:ascii="Calibri" w:hAnsi="Calibri"/>
                <w:color w:val="auto"/>
                <w:sz w:val="23"/>
                <w:szCs w:val="23"/>
              </w:rPr>
              <w:t xml:space="preserve">complexity and uncertainty </w:t>
            </w:r>
            <w:r w:rsidRPr="00A21B95">
              <w:rPr>
                <w:rFonts w:ascii="Calibri" w:hAnsi="Calibri"/>
                <w:color w:val="auto"/>
                <w:sz w:val="23"/>
                <w:szCs w:val="23"/>
              </w:rPr>
              <w:t xml:space="preserve">with respect to </w:t>
            </w:r>
            <w:r w:rsidR="00EC10C7">
              <w:rPr>
                <w:rFonts w:ascii="Calibri" w:hAnsi="Calibri"/>
                <w:color w:val="auto"/>
                <w:sz w:val="23"/>
                <w:szCs w:val="23"/>
              </w:rPr>
              <w:t>interaction with the CYPF Act</w:t>
            </w:r>
            <w:r w:rsidRPr="00A21B95">
              <w:rPr>
                <w:rFonts w:ascii="Calibri" w:hAnsi="Calibri"/>
                <w:color w:val="auto"/>
                <w:sz w:val="23"/>
                <w:szCs w:val="23"/>
              </w:rPr>
              <w:t xml:space="preserve">.  Further, </w:t>
            </w:r>
            <w:r w:rsidR="0089683C">
              <w:rPr>
                <w:rFonts w:ascii="Calibri" w:hAnsi="Calibri"/>
                <w:color w:val="auto"/>
                <w:sz w:val="23"/>
                <w:szCs w:val="23"/>
              </w:rPr>
              <w:t xml:space="preserve">other statutes override the Privacy Act so there may be some </w:t>
            </w:r>
            <w:r w:rsidR="006C0A18">
              <w:rPr>
                <w:rFonts w:ascii="Calibri" w:hAnsi="Calibri"/>
                <w:color w:val="auto"/>
                <w:sz w:val="23"/>
                <w:szCs w:val="23"/>
              </w:rPr>
              <w:t xml:space="preserve">potentially beneficial </w:t>
            </w:r>
            <w:r w:rsidR="0089683C">
              <w:rPr>
                <w:rFonts w:ascii="Calibri" w:hAnsi="Calibri"/>
                <w:color w:val="auto"/>
                <w:sz w:val="23"/>
                <w:szCs w:val="23"/>
              </w:rPr>
              <w:t>sharing that cannot</w:t>
            </w:r>
            <w:r w:rsidR="00EC10C7">
              <w:rPr>
                <w:rFonts w:ascii="Calibri" w:hAnsi="Calibri"/>
                <w:color w:val="auto"/>
                <w:sz w:val="23"/>
                <w:szCs w:val="23"/>
              </w:rPr>
              <w:t xml:space="preserve"> occur due to existing barriers</w:t>
            </w:r>
            <w:r w:rsidR="0089683C">
              <w:rPr>
                <w:rFonts w:ascii="Calibri" w:hAnsi="Calibri"/>
                <w:color w:val="auto"/>
                <w:sz w:val="23"/>
                <w:szCs w:val="23"/>
              </w:rPr>
              <w:t xml:space="preserve">. </w:t>
            </w:r>
          </w:p>
          <w:p w14:paraId="09DD8DE0" w14:textId="77777777" w:rsidR="00CC2534" w:rsidRPr="00F15766" w:rsidRDefault="00CC2534" w:rsidP="00F15766">
            <w:pPr>
              <w:pStyle w:val="ReportBody"/>
              <w:numPr>
                <w:ilvl w:val="0"/>
                <w:numId w:val="10"/>
              </w:numPr>
              <w:spacing w:before="80" w:after="80"/>
              <w:ind w:right="176"/>
              <w:rPr>
                <w:rFonts w:ascii="Calibri" w:hAnsi="Calibri"/>
                <w:color w:val="auto"/>
                <w:sz w:val="23"/>
                <w:szCs w:val="23"/>
              </w:rPr>
            </w:pPr>
            <w:r w:rsidRPr="004910CF">
              <w:rPr>
                <w:rFonts w:ascii="Calibri" w:hAnsi="Calibri"/>
                <w:b/>
                <w:color w:val="auto"/>
                <w:sz w:val="23"/>
                <w:szCs w:val="23"/>
              </w:rPr>
              <w:t>Proportionality –</w:t>
            </w:r>
            <w:r w:rsidR="0089683C">
              <w:rPr>
                <w:rFonts w:ascii="Calibri" w:hAnsi="Calibri"/>
                <w:color w:val="auto"/>
                <w:sz w:val="23"/>
                <w:szCs w:val="23"/>
              </w:rPr>
              <w:t xml:space="preserve"> The </w:t>
            </w:r>
            <w:r w:rsidR="0089683C" w:rsidRPr="00A21B95">
              <w:rPr>
                <w:rFonts w:ascii="Calibri" w:hAnsi="Calibri"/>
                <w:color w:val="auto"/>
                <w:sz w:val="23"/>
                <w:szCs w:val="23"/>
              </w:rPr>
              <w:t xml:space="preserve">Privacy Act applies to all agencies in New Zealand, so care would be needed to limit coverage to </w:t>
            </w:r>
            <w:r w:rsidR="00EC10C7">
              <w:rPr>
                <w:rFonts w:ascii="Calibri" w:hAnsi="Calibri"/>
                <w:color w:val="auto"/>
                <w:sz w:val="23"/>
                <w:szCs w:val="23"/>
              </w:rPr>
              <w:t xml:space="preserve">child welfare and protection </w:t>
            </w:r>
            <w:r w:rsidR="0089683C" w:rsidRPr="00A21B95">
              <w:rPr>
                <w:rFonts w:ascii="Calibri" w:hAnsi="Calibri"/>
                <w:color w:val="auto"/>
                <w:sz w:val="23"/>
                <w:szCs w:val="23"/>
              </w:rPr>
              <w:t xml:space="preserve">agencies.  </w:t>
            </w:r>
            <w:r w:rsidR="00EC10C7">
              <w:rPr>
                <w:rFonts w:ascii="Calibri" w:hAnsi="Calibri"/>
                <w:color w:val="auto"/>
                <w:sz w:val="23"/>
                <w:szCs w:val="23"/>
              </w:rPr>
              <w:t>The new settings would</w:t>
            </w:r>
            <w:r w:rsidR="00F15766">
              <w:rPr>
                <w:rFonts w:ascii="Calibri" w:hAnsi="Calibri"/>
                <w:color w:val="auto"/>
                <w:sz w:val="23"/>
                <w:szCs w:val="23"/>
              </w:rPr>
              <w:t xml:space="preserve"> set </w:t>
            </w:r>
            <w:r w:rsidR="00F15766" w:rsidRPr="00687BD8">
              <w:rPr>
                <w:rFonts w:ascii="Calibri" w:hAnsi="Calibri"/>
                <w:color w:val="auto"/>
                <w:sz w:val="23"/>
                <w:szCs w:val="23"/>
              </w:rPr>
              <w:t xml:space="preserve">broader grounds for information sharing. </w:t>
            </w:r>
            <w:r w:rsidR="00F15766">
              <w:rPr>
                <w:rFonts w:ascii="Calibri" w:hAnsi="Calibri"/>
                <w:color w:val="auto"/>
                <w:sz w:val="23"/>
                <w:szCs w:val="23"/>
              </w:rPr>
              <w:t xml:space="preserve">To preserve proportionality </w:t>
            </w:r>
            <w:r w:rsidR="00F15766" w:rsidRPr="00687BD8">
              <w:rPr>
                <w:rFonts w:ascii="Calibri" w:hAnsi="Calibri"/>
                <w:color w:val="auto"/>
                <w:sz w:val="23"/>
                <w:szCs w:val="23"/>
              </w:rPr>
              <w:t>safeguards</w:t>
            </w:r>
            <w:r w:rsidR="00F15766">
              <w:rPr>
                <w:rFonts w:ascii="Calibri" w:hAnsi="Calibri"/>
                <w:color w:val="auto"/>
                <w:sz w:val="23"/>
                <w:szCs w:val="23"/>
              </w:rPr>
              <w:t xml:space="preserve"> would need to be </w:t>
            </w:r>
            <w:r w:rsidR="00F15766" w:rsidRPr="00687BD8">
              <w:rPr>
                <w:rFonts w:ascii="Calibri" w:hAnsi="Calibri"/>
                <w:color w:val="auto"/>
                <w:sz w:val="23"/>
                <w:szCs w:val="23"/>
              </w:rPr>
              <w:t>bui</w:t>
            </w:r>
            <w:r w:rsidR="00F15766">
              <w:rPr>
                <w:rFonts w:ascii="Calibri" w:hAnsi="Calibri"/>
                <w:color w:val="auto"/>
                <w:sz w:val="23"/>
                <w:szCs w:val="23"/>
              </w:rPr>
              <w:t>lt in</w:t>
            </w:r>
            <w:r w:rsidR="00F15766" w:rsidRPr="00687BD8">
              <w:rPr>
                <w:rFonts w:ascii="Calibri" w:hAnsi="Calibri"/>
                <w:color w:val="auto"/>
                <w:sz w:val="23"/>
                <w:szCs w:val="23"/>
              </w:rPr>
              <w:t xml:space="preserve">to the framework </w:t>
            </w:r>
            <w:r w:rsidR="00F15766">
              <w:rPr>
                <w:rFonts w:ascii="Calibri" w:hAnsi="Calibri"/>
                <w:color w:val="auto"/>
                <w:sz w:val="23"/>
                <w:szCs w:val="23"/>
              </w:rPr>
              <w:t>to protect privacy interests</w:t>
            </w:r>
            <w:r w:rsidR="00F15766" w:rsidRPr="00687BD8">
              <w:rPr>
                <w:rFonts w:ascii="Calibri" w:hAnsi="Calibri"/>
                <w:color w:val="auto"/>
                <w:sz w:val="23"/>
                <w:szCs w:val="23"/>
              </w:rPr>
              <w:t xml:space="preserve">. </w:t>
            </w:r>
          </w:p>
          <w:p w14:paraId="13989395" w14:textId="77777777" w:rsidR="00CC2534" w:rsidRPr="00A21B95" w:rsidRDefault="00CC2534" w:rsidP="002B5524">
            <w:pPr>
              <w:pStyle w:val="ReportBody"/>
              <w:numPr>
                <w:ilvl w:val="0"/>
                <w:numId w:val="10"/>
              </w:numPr>
              <w:spacing w:before="80" w:after="80"/>
              <w:ind w:right="176"/>
              <w:jc w:val="both"/>
              <w:rPr>
                <w:rFonts w:ascii="Calibri" w:hAnsi="Calibri"/>
                <w:color w:val="auto"/>
                <w:sz w:val="23"/>
                <w:szCs w:val="23"/>
              </w:rPr>
            </w:pPr>
            <w:r w:rsidRPr="00A21B95">
              <w:rPr>
                <w:rFonts w:ascii="Calibri" w:hAnsi="Calibri"/>
                <w:b/>
                <w:color w:val="auto"/>
                <w:sz w:val="23"/>
                <w:szCs w:val="23"/>
              </w:rPr>
              <w:t xml:space="preserve">Ease of use </w:t>
            </w:r>
            <w:r w:rsidRPr="00A21B95">
              <w:rPr>
                <w:rFonts w:ascii="Calibri" w:hAnsi="Calibri"/>
                <w:color w:val="auto"/>
                <w:sz w:val="23"/>
                <w:szCs w:val="23"/>
              </w:rPr>
              <w:t>–</w:t>
            </w:r>
            <w:r>
              <w:rPr>
                <w:rFonts w:ascii="Calibri" w:hAnsi="Calibri"/>
                <w:color w:val="auto"/>
                <w:sz w:val="23"/>
                <w:szCs w:val="23"/>
              </w:rPr>
              <w:t>T</w:t>
            </w:r>
            <w:r w:rsidRPr="00A21B95">
              <w:rPr>
                <w:rFonts w:ascii="Calibri" w:hAnsi="Calibri"/>
                <w:color w:val="auto"/>
                <w:sz w:val="23"/>
                <w:szCs w:val="23"/>
              </w:rPr>
              <w:t>he interaction</w:t>
            </w:r>
            <w:r w:rsidR="00545D1A">
              <w:rPr>
                <w:rFonts w:ascii="Calibri" w:hAnsi="Calibri"/>
                <w:color w:val="auto"/>
                <w:sz w:val="23"/>
                <w:szCs w:val="23"/>
              </w:rPr>
              <w:t>s</w:t>
            </w:r>
            <w:r w:rsidRPr="00A21B95">
              <w:rPr>
                <w:rFonts w:ascii="Calibri" w:hAnsi="Calibri"/>
                <w:color w:val="auto"/>
                <w:sz w:val="23"/>
                <w:szCs w:val="23"/>
              </w:rPr>
              <w:t xml:space="preserve"> between the Privacy Act and CYPF Act </w:t>
            </w:r>
            <w:r>
              <w:rPr>
                <w:rFonts w:ascii="Calibri" w:hAnsi="Calibri"/>
                <w:color w:val="auto"/>
                <w:sz w:val="23"/>
                <w:szCs w:val="23"/>
              </w:rPr>
              <w:t>would likely</w:t>
            </w:r>
            <w:r w:rsidRPr="00A21B95">
              <w:rPr>
                <w:rFonts w:ascii="Calibri" w:hAnsi="Calibri"/>
                <w:color w:val="auto"/>
                <w:sz w:val="23"/>
                <w:szCs w:val="23"/>
              </w:rPr>
              <w:t xml:space="preserve"> </w:t>
            </w:r>
            <w:r>
              <w:rPr>
                <w:rFonts w:ascii="Calibri" w:hAnsi="Calibri"/>
                <w:color w:val="auto"/>
                <w:sz w:val="23"/>
                <w:szCs w:val="23"/>
              </w:rPr>
              <w:t xml:space="preserve">see </w:t>
            </w:r>
            <w:r w:rsidR="00EC10C7">
              <w:rPr>
                <w:rFonts w:ascii="Calibri" w:hAnsi="Calibri"/>
                <w:color w:val="auto"/>
                <w:sz w:val="23"/>
                <w:szCs w:val="23"/>
              </w:rPr>
              <w:t>complexities continue, impeding the ease of use</w:t>
            </w:r>
            <w:r>
              <w:rPr>
                <w:rFonts w:ascii="Calibri" w:hAnsi="Calibri"/>
                <w:color w:val="auto"/>
                <w:sz w:val="23"/>
                <w:szCs w:val="23"/>
              </w:rPr>
              <w:t xml:space="preserve">.  </w:t>
            </w:r>
          </w:p>
          <w:p w14:paraId="5F62805C" w14:textId="77777777" w:rsidR="00CC2534" w:rsidRPr="00A21B95" w:rsidRDefault="00CC2534" w:rsidP="002B5524">
            <w:pPr>
              <w:pStyle w:val="ReportBody"/>
              <w:numPr>
                <w:ilvl w:val="0"/>
                <w:numId w:val="10"/>
              </w:numPr>
              <w:spacing w:before="80" w:after="80"/>
              <w:ind w:right="176"/>
              <w:jc w:val="both"/>
              <w:rPr>
                <w:rFonts w:ascii="Calibri" w:hAnsi="Calibri"/>
                <w:color w:val="auto"/>
                <w:sz w:val="23"/>
                <w:szCs w:val="23"/>
              </w:rPr>
            </w:pPr>
            <w:r>
              <w:rPr>
                <w:rFonts w:ascii="Calibri" w:hAnsi="Calibri"/>
                <w:b/>
                <w:color w:val="auto"/>
                <w:sz w:val="23"/>
                <w:szCs w:val="23"/>
              </w:rPr>
              <w:t>Cost-effective</w:t>
            </w:r>
            <w:r w:rsidRPr="00A21B95">
              <w:rPr>
                <w:rFonts w:ascii="Calibri" w:hAnsi="Calibri"/>
                <w:color w:val="auto"/>
                <w:sz w:val="23"/>
                <w:szCs w:val="23"/>
              </w:rPr>
              <w:t xml:space="preserve"> – S</w:t>
            </w:r>
            <w:r>
              <w:rPr>
                <w:rFonts w:ascii="Calibri" w:hAnsi="Calibri"/>
                <w:color w:val="auto"/>
                <w:sz w:val="23"/>
                <w:szCs w:val="23"/>
              </w:rPr>
              <w:t xml:space="preserve">ome agencies, especially the </w:t>
            </w:r>
            <w:r w:rsidRPr="000F5BBF">
              <w:rPr>
                <w:rFonts w:ascii="Calibri" w:hAnsi="Calibri"/>
                <w:sz w:val="23"/>
                <w:szCs w:val="23"/>
              </w:rPr>
              <w:t>Ministry for Vulnerable Children, Oranga Tamariki</w:t>
            </w:r>
            <w:r w:rsidRPr="00A21B95">
              <w:rPr>
                <w:rFonts w:ascii="Calibri" w:hAnsi="Calibri"/>
                <w:color w:val="auto"/>
                <w:sz w:val="23"/>
                <w:szCs w:val="23"/>
              </w:rPr>
              <w:t>, will face increased requests for information from other child welfare and protection agencies.</w:t>
            </w:r>
          </w:p>
        </w:tc>
        <w:tc>
          <w:tcPr>
            <w:tcW w:w="4251" w:type="dxa"/>
            <w:shd w:val="clear" w:color="auto" w:fill="EAF1DD"/>
          </w:tcPr>
          <w:p w14:paraId="60E34354" w14:textId="77777777" w:rsidR="00CC2534" w:rsidRPr="00A21B95" w:rsidRDefault="00CC2534" w:rsidP="00966EAB">
            <w:pPr>
              <w:pStyle w:val="Bullet-list"/>
              <w:numPr>
                <w:ilvl w:val="0"/>
                <w:numId w:val="0"/>
              </w:numPr>
              <w:spacing w:before="80"/>
              <w:ind w:right="-142"/>
              <w:jc w:val="left"/>
              <w:rPr>
                <w:b/>
              </w:rPr>
            </w:pPr>
          </w:p>
          <w:p w14:paraId="099ADBAA" w14:textId="77777777" w:rsidR="00CC2534" w:rsidRPr="00A21B95" w:rsidRDefault="00CC2534" w:rsidP="00F15766">
            <w:pPr>
              <w:pStyle w:val="Bullet-list"/>
              <w:numPr>
                <w:ilvl w:val="0"/>
                <w:numId w:val="0"/>
              </w:numPr>
              <w:spacing w:before="80"/>
              <w:ind w:right="175"/>
              <w:jc w:val="left"/>
            </w:pPr>
            <w:r w:rsidRPr="00A21B95">
              <w:t xml:space="preserve">A fit-for-purpose framework could be enacted in the Privacy Act but, on balance, it would be more appropriate for the framework to be enacted in the CYPF Act </w:t>
            </w:r>
            <w:r w:rsidR="00F15766">
              <w:t xml:space="preserve">so all the relevant </w:t>
            </w:r>
            <w:r w:rsidRPr="00A21B95">
              <w:t xml:space="preserve">information disclosure provisions </w:t>
            </w:r>
            <w:r w:rsidR="00F15766">
              <w:t xml:space="preserve">are consolidated into one </w:t>
            </w:r>
            <w:r w:rsidRPr="00A21B95">
              <w:t>Act.</w:t>
            </w:r>
          </w:p>
        </w:tc>
      </w:tr>
    </w:tbl>
    <w:p w14:paraId="65F85AB1" w14:textId="77777777" w:rsidR="00CC2534" w:rsidRDefault="00CC2534">
      <w:r>
        <w:br w:type="page"/>
      </w:r>
    </w:p>
    <w:tbl>
      <w:tblPr>
        <w:tblW w:w="215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371"/>
        <w:gridCol w:w="7371"/>
        <w:gridCol w:w="4252"/>
      </w:tblGrid>
      <w:tr w:rsidR="00CC2534" w:rsidRPr="00657686" w14:paraId="1D3FAB09" w14:textId="77777777" w:rsidTr="00EC10C7">
        <w:trPr>
          <w:trHeight w:val="841"/>
        </w:trPr>
        <w:tc>
          <w:tcPr>
            <w:tcW w:w="2552" w:type="dxa"/>
            <w:shd w:val="clear" w:color="auto" w:fill="D9D9D9"/>
          </w:tcPr>
          <w:p w14:paraId="03BC1F55" w14:textId="77777777" w:rsidR="00CC2534" w:rsidRPr="00657686" w:rsidRDefault="00CC2534" w:rsidP="00FD0FAC">
            <w:pPr>
              <w:pStyle w:val="Bullet-list"/>
              <w:numPr>
                <w:ilvl w:val="0"/>
                <w:numId w:val="0"/>
              </w:numPr>
              <w:ind w:right="34"/>
              <w:rPr>
                <w:b/>
                <w:sz w:val="24"/>
                <w:szCs w:val="24"/>
              </w:rPr>
            </w:pPr>
            <w:r w:rsidRPr="00657686">
              <w:rPr>
                <w:b/>
                <w:sz w:val="24"/>
                <w:szCs w:val="24"/>
              </w:rPr>
              <w:lastRenderedPageBreak/>
              <w:t>Options</w:t>
            </w:r>
            <w:r>
              <w:rPr>
                <w:b/>
                <w:sz w:val="24"/>
                <w:szCs w:val="24"/>
              </w:rPr>
              <w:t xml:space="preserve"> </w:t>
            </w:r>
            <w:r>
              <w:rPr>
                <w:b/>
                <w:sz w:val="24"/>
                <w:szCs w:val="24"/>
              </w:rPr>
              <w:br/>
              <w:t>– compared with status quo</w:t>
            </w:r>
          </w:p>
        </w:tc>
        <w:tc>
          <w:tcPr>
            <w:tcW w:w="7371" w:type="dxa"/>
            <w:shd w:val="clear" w:color="auto" w:fill="D9D9D9"/>
          </w:tcPr>
          <w:p w14:paraId="630AA9FD" w14:textId="77777777" w:rsidR="00CC2534" w:rsidRPr="00657686" w:rsidRDefault="00CC2534" w:rsidP="00B66E69">
            <w:pPr>
              <w:pStyle w:val="Bullet-list"/>
              <w:numPr>
                <w:ilvl w:val="0"/>
                <w:numId w:val="0"/>
              </w:numPr>
              <w:ind w:right="-142"/>
              <w:rPr>
                <w:b/>
                <w:sz w:val="24"/>
                <w:szCs w:val="24"/>
              </w:rPr>
            </w:pPr>
            <w:r>
              <w:rPr>
                <w:b/>
                <w:sz w:val="24"/>
                <w:szCs w:val="24"/>
              </w:rPr>
              <w:t>Advantages</w:t>
            </w:r>
          </w:p>
        </w:tc>
        <w:tc>
          <w:tcPr>
            <w:tcW w:w="7371" w:type="dxa"/>
            <w:shd w:val="clear" w:color="auto" w:fill="D9D9D9"/>
          </w:tcPr>
          <w:p w14:paraId="2B282BE6" w14:textId="77777777" w:rsidR="00CC2534" w:rsidRPr="00657686" w:rsidRDefault="00CC2534" w:rsidP="00B66E69">
            <w:pPr>
              <w:pStyle w:val="Bullet-list"/>
              <w:numPr>
                <w:ilvl w:val="0"/>
                <w:numId w:val="0"/>
              </w:numPr>
              <w:ind w:right="-142"/>
              <w:rPr>
                <w:b/>
                <w:sz w:val="24"/>
                <w:szCs w:val="24"/>
              </w:rPr>
            </w:pPr>
            <w:r>
              <w:rPr>
                <w:b/>
                <w:sz w:val="24"/>
                <w:szCs w:val="24"/>
              </w:rPr>
              <w:t>Disadvantages</w:t>
            </w:r>
          </w:p>
        </w:tc>
        <w:tc>
          <w:tcPr>
            <w:tcW w:w="4252" w:type="dxa"/>
            <w:shd w:val="clear" w:color="auto" w:fill="D9D9D9"/>
          </w:tcPr>
          <w:p w14:paraId="3F28D9FE" w14:textId="77777777" w:rsidR="00CC2534" w:rsidRPr="00657686" w:rsidRDefault="00CC2534" w:rsidP="00B66E69">
            <w:pPr>
              <w:pStyle w:val="Bullet-list"/>
              <w:numPr>
                <w:ilvl w:val="0"/>
                <w:numId w:val="0"/>
              </w:numPr>
              <w:ind w:right="-142"/>
              <w:rPr>
                <w:b/>
                <w:sz w:val="24"/>
                <w:szCs w:val="24"/>
              </w:rPr>
            </w:pPr>
            <w:r w:rsidRPr="00657686">
              <w:rPr>
                <w:b/>
                <w:sz w:val="24"/>
                <w:szCs w:val="24"/>
              </w:rPr>
              <w:t>Overall impact</w:t>
            </w:r>
          </w:p>
        </w:tc>
      </w:tr>
      <w:tr w:rsidR="00CC2534" w14:paraId="00170ED4" w14:textId="77777777" w:rsidTr="00EC10C7">
        <w:trPr>
          <w:trHeight w:val="2089"/>
        </w:trPr>
        <w:tc>
          <w:tcPr>
            <w:tcW w:w="2552" w:type="dxa"/>
          </w:tcPr>
          <w:p w14:paraId="2E912FDE" w14:textId="77777777" w:rsidR="00CC2534" w:rsidRDefault="004B7689" w:rsidP="004B7689">
            <w:pPr>
              <w:pStyle w:val="Bullet-list"/>
              <w:numPr>
                <w:ilvl w:val="0"/>
                <w:numId w:val="0"/>
              </w:numPr>
              <w:ind w:right="-142"/>
              <w:jc w:val="left"/>
              <w:rPr>
                <w:b/>
              </w:rPr>
            </w:pPr>
            <w:r w:rsidRPr="004B7689">
              <w:rPr>
                <w:b/>
              </w:rPr>
              <w:t>5.</w:t>
            </w:r>
            <w:r>
              <w:rPr>
                <w:b/>
              </w:rPr>
              <w:t xml:space="preserve"> </w:t>
            </w:r>
            <w:r w:rsidR="00CC2534" w:rsidRPr="006862F5">
              <w:rPr>
                <w:b/>
              </w:rPr>
              <w:t>New framework in CYPF Act</w:t>
            </w:r>
          </w:p>
          <w:p w14:paraId="12E628F3" w14:textId="77777777" w:rsidR="004B7689" w:rsidRPr="006862F5" w:rsidRDefault="004B7689" w:rsidP="004B7689">
            <w:pPr>
              <w:pStyle w:val="Bullet-list"/>
              <w:numPr>
                <w:ilvl w:val="0"/>
                <w:numId w:val="0"/>
              </w:numPr>
              <w:ind w:right="-142"/>
              <w:jc w:val="left"/>
              <w:rPr>
                <w:b/>
              </w:rPr>
            </w:pPr>
            <w:r>
              <w:rPr>
                <w:b/>
              </w:rPr>
              <w:t>To maximise its impact this option would be combined with option 1. Guidance</w:t>
            </w:r>
          </w:p>
        </w:tc>
        <w:tc>
          <w:tcPr>
            <w:tcW w:w="7371" w:type="dxa"/>
            <w:shd w:val="clear" w:color="auto" w:fill="EAF1DD"/>
          </w:tcPr>
          <w:p w14:paraId="22BDA8D4" w14:textId="77777777" w:rsidR="00CC2534" w:rsidRPr="006862F5" w:rsidRDefault="00CC2534" w:rsidP="00966EAB">
            <w:pPr>
              <w:pStyle w:val="Bullet-list"/>
              <w:numPr>
                <w:ilvl w:val="0"/>
                <w:numId w:val="0"/>
              </w:numPr>
              <w:spacing w:before="80"/>
              <w:ind w:right="-142"/>
              <w:jc w:val="left"/>
              <w:rPr>
                <w:b/>
              </w:rPr>
            </w:pPr>
            <w:r w:rsidRPr="006862F5">
              <w:rPr>
                <w:b/>
                <w:u w:val="single"/>
              </w:rPr>
              <w:t>Significant</w:t>
            </w:r>
            <w:r w:rsidRPr="006862F5">
              <w:rPr>
                <w:b/>
              </w:rPr>
              <w:t xml:space="preserve"> </w:t>
            </w:r>
          </w:p>
          <w:p w14:paraId="6102897B" w14:textId="77777777" w:rsidR="00CC2534" w:rsidRDefault="00CC2534" w:rsidP="002B5524">
            <w:pPr>
              <w:pStyle w:val="ReportBody"/>
              <w:numPr>
                <w:ilvl w:val="0"/>
                <w:numId w:val="10"/>
              </w:numPr>
              <w:spacing w:before="80" w:after="80"/>
              <w:ind w:right="176"/>
              <w:rPr>
                <w:rFonts w:ascii="Calibri" w:hAnsi="Calibri"/>
                <w:sz w:val="23"/>
                <w:szCs w:val="23"/>
              </w:rPr>
            </w:pPr>
            <w:r w:rsidRPr="006862F5">
              <w:rPr>
                <w:rFonts w:ascii="Calibri" w:hAnsi="Calibri"/>
                <w:b/>
                <w:sz w:val="23"/>
                <w:szCs w:val="23"/>
              </w:rPr>
              <w:t>Effectiveness</w:t>
            </w:r>
            <w:r w:rsidRPr="006862F5">
              <w:rPr>
                <w:rFonts w:ascii="Calibri" w:hAnsi="Calibri"/>
                <w:sz w:val="23"/>
                <w:szCs w:val="23"/>
              </w:rPr>
              <w:t xml:space="preserve"> – A framework enacted in the CYPF Act </w:t>
            </w:r>
            <w:r>
              <w:rPr>
                <w:rFonts w:ascii="Calibri" w:hAnsi="Calibri"/>
                <w:sz w:val="23"/>
                <w:szCs w:val="23"/>
              </w:rPr>
              <w:t xml:space="preserve">consolidates the powers available to </w:t>
            </w:r>
            <w:r w:rsidRPr="006862F5">
              <w:rPr>
                <w:rFonts w:ascii="Calibri" w:hAnsi="Calibri"/>
                <w:sz w:val="23"/>
                <w:szCs w:val="23"/>
              </w:rPr>
              <w:t>front-line practitioners</w:t>
            </w:r>
            <w:r>
              <w:rPr>
                <w:rFonts w:ascii="Calibri" w:hAnsi="Calibri"/>
                <w:sz w:val="23"/>
                <w:szCs w:val="23"/>
              </w:rPr>
              <w:t xml:space="preserve"> in one Act, which provides much needed clarity.</w:t>
            </w:r>
          </w:p>
          <w:p w14:paraId="396123ED" w14:textId="77777777" w:rsidR="00CC2534" w:rsidRPr="006862F5" w:rsidRDefault="00CC2534" w:rsidP="002B5524">
            <w:pPr>
              <w:pStyle w:val="ReportBody"/>
              <w:numPr>
                <w:ilvl w:val="0"/>
                <w:numId w:val="0"/>
              </w:numPr>
              <w:spacing w:before="80" w:after="80"/>
              <w:ind w:left="360" w:right="176"/>
              <w:rPr>
                <w:rFonts w:ascii="Calibri" w:hAnsi="Calibri"/>
                <w:sz w:val="23"/>
                <w:szCs w:val="23"/>
              </w:rPr>
            </w:pPr>
            <w:r w:rsidRPr="006862F5">
              <w:rPr>
                <w:rFonts w:ascii="Calibri" w:hAnsi="Calibri"/>
                <w:sz w:val="23"/>
                <w:szCs w:val="23"/>
              </w:rPr>
              <w:t>It would, where necessary</w:t>
            </w:r>
            <w:r>
              <w:rPr>
                <w:rFonts w:ascii="Calibri" w:hAnsi="Calibri"/>
                <w:sz w:val="23"/>
                <w:szCs w:val="23"/>
              </w:rPr>
              <w:t xml:space="preserve">, override the Privacy Act </w:t>
            </w:r>
            <w:r w:rsidR="006C0A18">
              <w:rPr>
                <w:rFonts w:ascii="Calibri" w:hAnsi="Calibri"/>
                <w:sz w:val="23"/>
                <w:szCs w:val="23"/>
              </w:rPr>
              <w:t xml:space="preserve">and </w:t>
            </w:r>
            <w:r w:rsidRPr="006862F5">
              <w:rPr>
                <w:rFonts w:ascii="Calibri" w:hAnsi="Calibri"/>
                <w:sz w:val="23"/>
                <w:szCs w:val="23"/>
              </w:rPr>
              <w:t>build on the information disclosure provisions already in the CYPF Act.</w:t>
            </w:r>
          </w:p>
          <w:p w14:paraId="5EAC18AE" w14:textId="77777777" w:rsidR="00CC2534" w:rsidRPr="006862F5" w:rsidRDefault="00CC2534" w:rsidP="002B5524">
            <w:pPr>
              <w:pStyle w:val="ReportBody"/>
              <w:numPr>
                <w:ilvl w:val="0"/>
                <w:numId w:val="0"/>
              </w:numPr>
              <w:spacing w:before="80" w:after="80"/>
              <w:ind w:left="360" w:right="176"/>
              <w:rPr>
                <w:rFonts w:ascii="Calibri" w:hAnsi="Calibri"/>
                <w:sz w:val="23"/>
                <w:szCs w:val="23"/>
              </w:rPr>
            </w:pPr>
            <w:r w:rsidRPr="006862F5">
              <w:rPr>
                <w:rFonts w:ascii="Calibri" w:hAnsi="Calibri"/>
                <w:b/>
                <w:color w:val="auto"/>
                <w:sz w:val="23"/>
                <w:szCs w:val="23"/>
              </w:rPr>
              <w:t>Proportionality –</w:t>
            </w:r>
            <w:r w:rsidRPr="006862F5">
              <w:rPr>
                <w:rFonts w:ascii="Calibri" w:hAnsi="Calibri"/>
                <w:color w:val="auto"/>
                <w:sz w:val="23"/>
                <w:szCs w:val="23"/>
              </w:rPr>
              <w:t xml:space="preserve"> </w:t>
            </w:r>
            <w:r w:rsidRPr="006862F5">
              <w:rPr>
                <w:rFonts w:ascii="Calibri" w:hAnsi="Calibri"/>
                <w:sz w:val="23"/>
                <w:szCs w:val="23"/>
              </w:rPr>
              <w:t>Creating the framework in the CYPF Act ensures the provisions apply only for the purposes of child welfare and protection, and to those agencies with responsibilities for children and young people.</w:t>
            </w:r>
          </w:p>
          <w:p w14:paraId="0B3BC666" w14:textId="77777777" w:rsidR="00CC2534" w:rsidRPr="006862F5" w:rsidRDefault="00CC2534" w:rsidP="002B5524">
            <w:pPr>
              <w:pStyle w:val="ReportBody"/>
              <w:numPr>
                <w:ilvl w:val="0"/>
                <w:numId w:val="0"/>
              </w:numPr>
              <w:spacing w:before="80" w:after="80"/>
              <w:ind w:left="360" w:right="-142"/>
              <w:rPr>
                <w:rFonts w:ascii="Calibri" w:hAnsi="Calibri"/>
                <w:color w:val="auto"/>
                <w:sz w:val="23"/>
                <w:szCs w:val="23"/>
              </w:rPr>
            </w:pPr>
            <w:r w:rsidRPr="006862F5">
              <w:rPr>
                <w:rFonts w:ascii="Calibri" w:hAnsi="Calibri"/>
                <w:color w:val="auto"/>
                <w:sz w:val="23"/>
                <w:szCs w:val="23"/>
              </w:rPr>
              <w:t>Would remove barriers to beneficial sharing occurring and provide means to assess when it is beneficial to share. Clear parameters within the design would be established and tailored to the sector.</w:t>
            </w:r>
          </w:p>
          <w:p w14:paraId="0F36DBD9" w14:textId="77777777" w:rsidR="00CC2534" w:rsidRPr="006862F5" w:rsidRDefault="00CC2534" w:rsidP="00966EAB">
            <w:pPr>
              <w:pStyle w:val="ReportBody"/>
              <w:numPr>
                <w:ilvl w:val="0"/>
                <w:numId w:val="10"/>
              </w:numPr>
              <w:spacing w:before="80" w:after="80"/>
              <w:ind w:right="-142"/>
              <w:rPr>
                <w:rFonts w:ascii="Calibri" w:hAnsi="Calibri"/>
                <w:sz w:val="23"/>
                <w:szCs w:val="23"/>
              </w:rPr>
            </w:pPr>
            <w:r w:rsidRPr="006862F5">
              <w:rPr>
                <w:rFonts w:ascii="Calibri" w:hAnsi="Calibri"/>
                <w:b/>
                <w:sz w:val="23"/>
                <w:szCs w:val="23"/>
              </w:rPr>
              <w:t xml:space="preserve">Ease of use </w:t>
            </w:r>
            <w:r w:rsidRPr="006862F5">
              <w:rPr>
                <w:rFonts w:ascii="Calibri" w:hAnsi="Calibri"/>
                <w:sz w:val="23"/>
                <w:szCs w:val="23"/>
              </w:rPr>
              <w:t>– It should be possible to enact provisions that remove ambiguity for frontline practitioners, and the consolidation of all relevant provisions in the CYPF Act should provide added clarity.</w:t>
            </w:r>
          </w:p>
          <w:p w14:paraId="469CCE6D" w14:textId="77777777" w:rsidR="00CC2534" w:rsidRPr="006862F5" w:rsidRDefault="00CC2534" w:rsidP="00EC10C7">
            <w:pPr>
              <w:pStyle w:val="ReportBody"/>
              <w:numPr>
                <w:ilvl w:val="0"/>
                <w:numId w:val="10"/>
              </w:numPr>
              <w:spacing w:before="80" w:after="80"/>
              <w:ind w:right="-142"/>
              <w:rPr>
                <w:rFonts w:ascii="Calibri" w:hAnsi="Calibri"/>
                <w:sz w:val="23"/>
                <w:szCs w:val="23"/>
              </w:rPr>
            </w:pPr>
            <w:r w:rsidRPr="006862F5">
              <w:rPr>
                <w:rFonts w:ascii="Calibri" w:hAnsi="Calibri"/>
                <w:b/>
                <w:color w:val="auto"/>
                <w:sz w:val="23"/>
                <w:szCs w:val="23"/>
              </w:rPr>
              <w:t>Cost-effective</w:t>
            </w:r>
            <w:r w:rsidRPr="006862F5">
              <w:rPr>
                <w:rFonts w:ascii="Calibri" w:hAnsi="Calibri"/>
                <w:color w:val="auto"/>
                <w:sz w:val="23"/>
                <w:szCs w:val="23"/>
              </w:rPr>
              <w:t xml:space="preserve"> – The cost of the design and implementation is likely to be a cost-effective means of achieving regulatory reform.</w:t>
            </w:r>
          </w:p>
        </w:tc>
        <w:tc>
          <w:tcPr>
            <w:tcW w:w="7371" w:type="dxa"/>
            <w:shd w:val="clear" w:color="auto" w:fill="EAF1DD"/>
          </w:tcPr>
          <w:p w14:paraId="08A80717" w14:textId="77777777" w:rsidR="00CC2534" w:rsidRPr="00FF2931" w:rsidRDefault="00CC2534" w:rsidP="002B5524">
            <w:pPr>
              <w:pStyle w:val="Bullet-list"/>
              <w:numPr>
                <w:ilvl w:val="0"/>
                <w:numId w:val="0"/>
              </w:numPr>
              <w:spacing w:before="80"/>
              <w:ind w:right="176"/>
              <w:jc w:val="left"/>
              <w:rPr>
                <w:b/>
              </w:rPr>
            </w:pPr>
            <w:r>
              <w:rPr>
                <w:b/>
                <w:u w:val="single"/>
              </w:rPr>
              <w:t>Minimal</w:t>
            </w:r>
            <w:r w:rsidRPr="00FF2931">
              <w:rPr>
                <w:b/>
                <w:u w:val="single"/>
              </w:rPr>
              <w:t xml:space="preserve"> </w:t>
            </w:r>
          </w:p>
          <w:p w14:paraId="3124A884" w14:textId="77777777" w:rsidR="00CC2534" w:rsidRPr="00D44625" w:rsidRDefault="00CC2534" w:rsidP="002B5524">
            <w:pPr>
              <w:pStyle w:val="ReportBody"/>
              <w:numPr>
                <w:ilvl w:val="0"/>
                <w:numId w:val="10"/>
              </w:numPr>
              <w:spacing w:before="80" w:after="80"/>
              <w:ind w:right="176"/>
              <w:rPr>
                <w:rFonts w:ascii="Calibri" w:hAnsi="Calibri"/>
                <w:color w:val="auto"/>
                <w:sz w:val="23"/>
                <w:szCs w:val="23"/>
              </w:rPr>
            </w:pPr>
            <w:r w:rsidRPr="00A21B95">
              <w:rPr>
                <w:rFonts w:ascii="Calibri" w:hAnsi="Calibri"/>
                <w:b/>
                <w:color w:val="auto"/>
                <w:sz w:val="23"/>
                <w:szCs w:val="23"/>
              </w:rPr>
              <w:t>Effectiveness</w:t>
            </w:r>
            <w:r w:rsidRPr="00A21B95">
              <w:rPr>
                <w:rFonts w:ascii="Calibri" w:hAnsi="Calibri"/>
                <w:color w:val="auto"/>
                <w:sz w:val="23"/>
                <w:szCs w:val="23"/>
              </w:rPr>
              <w:t xml:space="preserve"> –</w:t>
            </w:r>
            <w:r>
              <w:rPr>
                <w:rFonts w:ascii="Calibri" w:hAnsi="Calibri"/>
                <w:color w:val="auto"/>
                <w:sz w:val="23"/>
                <w:szCs w:val="23"/>
              </w:rPr>
              <w:t xml:space="preserve"> </w:t>
            </w:r>
            <w:r w:rsidRPr="006862F5">
              <w:rPr>
                <w:rFonts w:ascii="Calibri" w:hAnsi="Calibri"/>
                <w:sz w:val="23"/>
                <w:szCs w:val="23"/>
              </w:rPr>
              <w:t xml:space="preserve">There is a </w:t>
            </w:r>
            <w:r>
              <w:rPr>
                <w:rFonts w:ascii="Calibri" w:hAnsi="Calibri"/>
                <w:sz w:val="23"/>
                <w:szCs w:val="23"/>
              </w:rPr>
              <w:t>risk is that without</w:t>
            </w:r>
            <w:r w:rsidRPr="006862F5">
              <w:rPr>
                <w:rFonts w:ascii="Calibri" w:hAnsi="Calibri"/>
                <w:sz w:val="23"/>
                <w:szCs w:val="23"/>
              </w:rPr>
              <w:t xml:space="preserve"> investment in the cultural change needed to drive a change in behaviours</w:t>
            </w:r>
            <w:r>
              <w:rPr>
                <w:rFonts w:ascii="Calibri" w:hAnsi="Calibri"/>
                <w:sz w:val="23"/>
                <w:szCs w:val="23"/>
              </w:rPr>
              <w:t xml:space="preserve"> law change by itself will prove insufficient to improve the consistency of frontline </w:t>
            </w:r>
            <w:r w:rsidRPr="006862F5">
              <w:rPr>
                <w:rFonts w:ascii="Calibri" w:hAnsi="Calibri"/>
                <w:sz w:val="23"/>
                <w:szCs w:val="23"/>
              </w:rPr>
              <w:t>practices may persist</w:t>
            </w:r>
            <w:r>
              <w:rPr>
                <w:rFonts w:ascii="Calibri" w:hAnsi="Calibri"/>
                <w:sz w:val="23"/>
                <w:szCs w:val="23"/>
              </w:rPr>
              <w:t>.</w:t>
            </w:r>
          </w:p>
          <w:p w14:paraId="66619B67" w14:textId="77777777" w:rsidR="00CC2534" w:rsidRPr="00D44625" w:rsidRDefault="00CC2534" w:rsidP="00D44625">
            <w:pPr>
              <w:pStyle w:val="ReportBody"/>
              <w:numPr>
                <w:ilvl w:val="0"/>
                <w:numId w:val="0"/>
              </w:numPr>
              <w:spacing w:before="80" w:after="80"/>
              <w:ind w:left="360" w:right="176"/>
              <w:rPr>
                <w:rFonts w:ascii="Calibri" w:hAnsi="Calibri"/>
                <w:color w:val="auto"/>
                <w:sz w:val="23"/>
                <w:szCs w:val="23"/>
              </w:rPr>
            </w:pPr>
            <w:r w:rsidRPr="00D44625">
              <w:rPr>
                <w:rFonts w:ascii="Calibri" w:hAnsi="Calibri"/>
                <w:color w:val="auto"/>
                <w:sz w:val="23"/>
                <w:szCs w:val="23"/>
              </w:rPr>
              <w:t>There is a risk that some children and families may disengage from using publicly funded services because of fears about how their p</w:t>
            </w:r>
            <w:r w:rsidR="006C0A18">
              <w:rPr>
                <w:rFonts w:ascii="Calibri" w:hAnsi="Calibri"/>
                <w:color w:val="auto"/>
                <w:sz w:val="23"/>
                <w:szCs w:val="23"/>
              </w:rPr>
              <w:t xml:space="preserve">ersonal information may be used.  This risk will be monitored as part of the evaluation </w:t>
            </w:r>
            <w:r w:rsidR="008F661B">
              <w:rPr>
                <w:rFonts w:ascii="Calibri" w:hAnsi="Calibri"/>
                <w:color w:val="auto"/>
                <w:sz w:val="23"/>
                <w:szCs w:val="23"/>
              </w:rPr>
              <w:t xml:space="preserve">of the framework’s impact.  </w:t>
            </w:r>
          </w:p>
          <w:p w14:paraId="4993BB40" w14:textId="77777777" w:rsidR="00CC2534" w:rsidRPr="00687BD8" w:rsidRDefault="00CC2534" w:rsidP="002B5524">
            <w:pPr>
              <w:pStyle w:val="ReportBody"/>
              <w:numPr>
                <w:ilvl w:val="0"/>
                <w:numId w:val="10"/>
              </w:numPr>
              <w:spacing w:before="80" w:after="80"/>
              <w:ind w:right="176"/>
              <w:rPr>
                <w:rFonts w:ascii="Calibri" w:hAnsi="Calibri"/>
                <w:color w:val="auto"/>
                <w:sz w:val="23"/>
                <w:szCs w:val="23"/>
              </w:rPr>
            </w:pPr>
            <w:r w:rsidRPr="00687BD8">
              <w:rPr>
                <w:rFonts w:ascii="Calibri" w:hAnsi="Calibri"/>
                <w:b/>
                <w:color w:val="auto"/>
                <w:sz w:val="23"/>
                <w:szCs w:val="23"/>
              </w:rPr>
              <w:t>Proportionality –</w:t>
            </w:r>
            <w:r w:rsidR="00EC10C7">
              <w:rPr>
                <w:rFonts w:ascii="Calibri" w:hAnsi="Calibri"/>
                <w:color w:val="auto"/>
                <w:sz w:val="23"/>
                <w:szCs w:val="23"/>
              </w:rPr>
              <w:t xml:space="preserve"> The new settings would set </w:t>
            </w:r>
            <w:r w:rsidR="00EC10C7" w:rsidRPr="00687BD8">
              <w:rPr>
                <w:rFonts w:ascii="Calibri" w:hAnsi="Calibri"/>
                <w:color w:val="auto"/>
                <w:sz w:val="23"/>
                <w:szCs w:val="23"/>
              </w:rPr>
              <w:t xml:space="preserve">broader grounds for information sharing. </w:t>
            </w:r>
            <w:r w:rsidR="00EC10C7">
              <w:rPr>
                <w:rFonts w:ascii="Calibri" w:hAnsi="Calibri"/>
                <w:color w:val="auto"/>
                <w:sz w:val="23"/>
                <w:szCs w:val="23"/>
              </w:rPr>
              <w:t xml:space="preserve">To preserve proportionality </w:t>
            </w:r>
            <w:r w:rsidR="00EC10C7" w:rsidRPr="00687BD8">
              <w:rPr>
                <w:rFonts w:ascii="Calibri" w:hAnsi="Calibri"/>
                <w:color w:val="auto"/>
                <w:sz w:val="23"/>
                <w:szCs w:val="23"/>
              </w:rPr>
              <w:t>safeguards</w:t>
            </w:r>
            <w:r w:rsidR="00EC10C7">
              <w:rPr>
                <w:rFonts w:ascii="Calibri" w:hAnsi="Calibri"/>
                <w:color w:val="auto"/>
                <w:sz w:val="23"/>
                <w:szCs w:val="23"/>
              </w:rPr>
              <w:t xml:space="preserve"> would need to be </w:t>
            </w:r>
            <w:r w:rsidR="00EC10C7" w:rsidRPr="00687BD8">
              <w:rPr>
                <w:rFonts w:ascii="Calibri" w:hAnsi="Calibri"/>
                <w:color w:val="auto"/>
                <w:sz w:val="23"/>
                <w:szCs w:val="23"/>
              </w:rPr>
              <w:t>bui</w:t>
            </w:r>
            <w:r w:rsidR="00EC10C7">
              <w:rPr>
                <w:rFonts w:ascii="Calibri" w:hAnsi="Calibri"/>
                <w:color w:val="auto"/>
                <w:sz w:val="23"/>
                <w:szCs w:val="23"/>
              </w:rPr>
              <w:t>lt in</w:t>
            </w:r>
            <w:r w:rsidR="00EC10C7" w:rsidRPr="00687BD8">
              <w:rPr>
                <w:rFonts w:ascii="Calibri" w:hAnsi="Calibri"/>
                <w:color w:val="auto"/>
                <w:sz w:val="23"/>
                <w:szCs w:val="23"/>
              </w:rPr>
              <w:t xml:space="preserve">to the framework </w:t>
            </w:r>
            <w:r w:rsidR="00EC10C7">
              <w:rPr>
                <w:rFonts w:ascii="Calibri" w:hAnsi="Calibri"/>
                <w:color w:val="auto"/>
                <w:sz w:val="23"/>
                <w:szCs w:val="23"/>
              </w:rPr>
              <w:t>to protect privacy interests</w:t>
            </w:r>
            <w:r w:rsidRPr="00687BD8">
              <w:rPr>
                <w:rFonts w:ascii="Calibri" w:hAnsi="Calibri"/>
                <w:color w:val="auto"/>
                <w:sz w:val="23"/>
                <w:szCs w:val="23"/>
              </w:rPr>
              <w:t xml:space="preserve">. </w:t>
            </w:r>
          </w:p>
          <w:p w14:paraId="43835141" w14:textId="77777777" w:rsidR="00CC2534" w:rsidRDefault="00CC2534" w:rsidP="002B5524">
            <w:pPr>
              <w:pStyle w:val="ReportBody"/>
              <w:numPr>
                <w:ilvl w:val="0"/>
                <w:numId w:val="10"/>
              </w:numPr>
              <w:spacing w:before="80" w:after="80"/>
              <w:ind w:right="176"/>
              <w:rPr>
                <w:rFonts w:ascii="Calibri" w:hAnsi="Calibri"/>
                <w:color w:val="auto"/>
                <w:sz w:val="23"/>
                <w:szCs w:val="23"/>
              </w:rPr>
            </w:pPr>
            <w:r w:rsidRPr="00A21B95">
              <w:rPr>
                <w:rFonts w:ascii="Calibri" w:hAnsi="Calibri"/>
                <w:b/>
                <w:color w:val="auto"/>
                <w:sz w:val="23"/>
                <w:szCs w:val="23"/>
              </w:rPr>
              <w:t xml:space="preserve">Ease of use </w:t>
            </w:r>
            <w:r w:rsidRPr="00A21B95">
              <w:rPr>
                <w:rFonts w:ascii="Calibri" w:hAnsi="Calibri"/>
                <w:color w:val="auto"/>
                <w:sz w:val="23"/>
                <w:szCs w:val="23"/>
              </w:rPr>
              <w:t>–</w:t>
            </w:r>
            <w:r>
              <w:rPr>
                <w:rFonts w:ascii="Calibri" w:hAnsi="Calibri"/>
                <w:color w:val="auto"/>
                <w:sz w:val="23"/>
                <w:szCs w:val="23"/>
              </w:rPr>
              <w:t xml:space="preserve"> Regulatory changes can take some time to embed in effectively, which highlights the importance of effective guidance and training.</w:t>
            </w:r>
          </w:p>
          <w:p w14:paraId="1FD0FDA3" w14:textId="77777777" w:rsidR="00CC2534" w:rsidRDefault="00CC2534" w:rsidP="00D44625">
            <w:pPr>
              <w:pStyle w:val="ReportBody"/>
              <w:numPr>
                <w:ilvl w:val="0"/>
                <w:numId w:val="0"/>
              </w:numPr>
              <w:spacing w:before="80" w:after="80"/>
              <w:ind w:left="360" w:right="176"/>
              <w:rPr>
                <w:rFonts w:ascii="Calibri" w:hAnsi="Calibri"/>
                <w:color w:val="auto"/>
                <w:sz w:val="23"/>
                <w:szCs w:val="23"/>
              </w:rPr>
            </w:pPr>
            <w:r w:rsidRPr="00D44625">
              <w:rPr>
                <w:rFonts w:ascii="Calibri" w:hAnsi="Calibri"/>
                <w:color w:val="auto"/>
                <w:sz w:val="23"/>
                <w:szCs w:val="23"/>
              </w:rPr>
              <w:t>T</w:t>
            </w:r>
            <w:r>
              <w:rPr>
                <w:rFonts w:ascii="Calibri" w:hAnsi="Calibri"/>
                <w:color w:val="auto"/>
                <w:sz w:val="23"/>
                <w:szCs w:val="23"/>
              </w:rPr>
              <w:t xml:space="preserve">here is a danger that, with time, the operating procedures for information sharing will become more bureaucratic and costly for participating agencies, which </w:t>
            </w:r>
            <w:r w:rsidR="00EC10C7">
              <w:rPr>
                <w:rFonts w:ascii="Calibri" w:hAnsi="Calibri"/>
                <w:color w:val="auto"/>
                <w:sz w:val="23"/>
                <w:szCs w:val="23"/>
              </w:rPr>
              <w:t xml:space="preserve">requires ongoing vigilance over the day-to-day practice.  </w:t>
            </w:r>
          </w:p>
          <w:p w14:paraId="2F9F1395" w14:textId="77777777" w:rsidR="00CC2534" w:rsidRPr="00FF2931" w:rsidRDefault="00CC2534" w:rsidP="002B5524">
            <w:pPr>
              <w:pStyle w:val="ReportBody"/>
              <w:numPr>
                <w:ilvl w:val="0"/>
                <w:numId w:val="10"/>
              </w:numPr>
              <w:spacing w:before="80" w:after="80"/>
              <w:ind w:right="176"/>
              <w:rPr>
                <w:rFonts w:ascii="Calibri" w:hAnsi="Calibri"/>
                <w:color w:val="auto"/>
                <w:sz w:val="23"/>
                <w:szCs w:val="23"/>
                <w:u w:val="single"/>
              </w:rPr>
            </w:pPr>
            <w:r>
              <w:rPr>
                <w:rFonts w:ascii="Calibri" w:hAnsi="Calibri"/>
                <w:b/>
                <w:color w:val="auto"/>
                <w:sz w:val="23"/>
                <w:szCs w:val="23"/>
              </w:rPr>
              <w:t>Cost-effective</w:t>
            </w:r>
            <w:r w:rsidRPr="00A21B95">
              <w:rPr>
                <w:rFonts w:ascii="Calibri" w:hAnsi="Calibri"/>
                <w:color w:val="auto"/>
                <w:sz w:val="23"/>
                <w:szCs w:val="23"/>
              </w:rPr>
              <w:t xml:space="preserve"> – Some agencies, especially the</w:t>
            </w:r>
            <w:r>
              <w:rPr>
                <w:rFonts w:ascii="Calibri" w:hAnsi="Calibri"/>
                <w:color w:val="auto"/>
                <w:sz w:val="23"/>
                <w:szCs w:val="23"/>
              </w:rPr>
              <w:t xml:space="preserve"> Ministry for Vulnerable Children</w:t>
            </w:r>
            <w:r w:rsidRPr="00A21B95">
              <w:rPr>
                <w:rFonts w:ascii="Calibri" w:hAnsi="Calibri"/>
                <w:color w:val="auto"/>
                <w:sz w:val="23"/>
                <w:szCs w:val="23"/>
              </w:rPr>
              <w:t xml:space="preserve"> will face increased requests for information from other child welfare and protection agencies.</w:t>
            </w:r>
          </w:p>
        </w:tc>
        <w:tc>
          <w:tcPr>
            <w:tcW w:w="4252" w:type="dxa"/>
            <w:shd w:val="clear" w:color="auto" w:fill="EAF1DD"/>
          </w:tcPr>
          <w:p w14:paraId="04BF0BE8" w14:textId="77777777" w:rsidR="00F15766" w:rsidRDefault="00F15766" w:rsidP="007609B5">
            <w:pPr>
              <w:pStyle w:val="Bullet-list"/>
              <w:numPr>
                <w:ilvl w:val="0"/>
                <w:numId w:val="0"/>
              </w:numPr>
              <w:spacing w:before="80"/>
              <w:ind w:right="33"/>
              <w:jc w:val="left"/>
              <w:rPr>
                <w:b/>
                <w:u w:val="single"/>
              </w:rPr>
            </w:pPr>
          </w:p>
          <w:p w14:paraId="30386F6A" w14:textId="77777777" w:rsidR="00CC2534" w:rsidRPr="00FF2931" w:rsidRDefault="00CC2534" w:rsidP="007609B5">
            <w:pPr>
              <w:pStyle w:val="Bullet-list"/>
              <w:numPr>
                <w:ilvl w:val="0"/>
                <w:numId w:val="0"/>
              </w:numPr>
              <w:spacing w:before="80"/>
              <w:ind w:right="33"/>
              <w:jc w:val="left"/>
              <w:rPr>
                <w:b/>
                <w:color w:val="1F497D"/>
                <w:u w:val="single"/>
              </w:rPr>
            </w:pPr>
            <w:r w:rsidRPr="00FF2931">
              <w:t>A bespoke framework enacted in the CYPF Act is the most effective, proportionate option, and is consistent with the approach adopted in comparable jurisdictions.</w:t>
            </w:r>
          </w:p>
        </w:tc>
      </w:tr>
    </w:tbl>
    <w:p w14:paraId="0FA07BEA" w14:textId="77777777" w:rsidR="00CD3AB5" w:rsidRDefault="00CD3AB5" w:rsidP="00966EAB">
      <w:pPr>
        <w:pStyle w:val="Bullet-list"/>
        <w:numPr>
          <w:ilvl w:val="0"/>
          <w:numId w:val="0"/>
        </w:numPr>
        <w:ind w:left="709" w:right="-142"/>
        <w:sectPr w:rsidR="00CD3AB5" w:rsidSect="00966EAB">
          <w:pgSz w:w="23814" w:h="16839" w:orient="landscape" w:code="8"/>
          <w:pgMar w:top="993" w:right="1275" w:bottom="850" w:left="1134" w:header="454" w:footer="454" w:gutter="0"/>
          <w:cols w:space="720"/>
          <w:titlePg/>
          <w:docGrid w:linePitch="299"/>
        </w:sectPr>
      </w:pPr>
    </w:p>
    <w:p w14:paraId="1ABE6986" w14:textId="77777777" w:rsidR="00C66487" w:rsidRDefault="00C66487" w:rsidP="00966EAB">
      <w:pPr>
        <w:pStyle w:val="Heading4"/>
        <w:ind w:right="-142"/>
      </w:pPr>
      <w:bookmarkStart w:id="78" w:name="_Toc244580366"/>
      <w:bookmarkStart w:id="79" w:name="_Toc244587042"/>
      <w:bookmarkStart w:id="80" w:name="_Toc244857276"/>
      <w:bookmarkStart w:id="81" w:name="_Toc244912541"/>
      <w:bookmarkStart w:id="82" w:name="_Toc244916998"/>
      <w:bookmarkStart w:id="83" w:name="_Toc362368107"/>
      <w:bookmarkStart w:id="84" w:name="_Toc362434948"/>
      <w:bookmarkStart w:id="85" w:name="_Toc362589334"/>
      <w:bookmarkStart w:id="86" w:name="_Toc362619034"/>
      <w:bookmarkStart w:id="87" w:name="_Toc362940598"/>
      <w:bookmarkStart w:id="88" w:name="_Toc363047106"/>
      <w:r>
        <w:lastRenderedPageBreak/>
        <w:t>Discussion of Preferred Option</w:t>
      </w:r>
    </w:p>
    <w:p w14:paraId="15E2EC94" w14:textId="77777777" w:rsidR="00C66487" w:rsidRPr="005C3EC1" w:rsidRDefault="00C66487" w:rsidP="00966EAB">
      <w:pPr>
        <w:pStyle w:val="MOJNumPara"/>
        <w:ind w:right="-142"/>
      </w:pPr>
      <w:r>
        <w:t xml:space="preserve">The analysis concludes that </w:t>
      </w:r>
      <w:r w:rsidR="00FD0FAC">
        <w:t xml:space="preserve">Option 5 – the </w:t>
      </w:r>
      <w:r>
        <w:t xml:space="preserve">establishment of a bespoke information sharing framework in the Children, Young Persons and Their Families Act 1989 </w:t>
      </w:r>
      <w:r w:rsidR="00FD0FAC">
        <w:t xml:space="preserve">(the Act) – is the </w:t>
      </w:r>
      <w:r w:rsidR="00F45955">
        <w:t xml:space="preserve">most effective, </w:t>
      </w:r>
      <w:r w:rsidR="00FD0FAC">
        <w:t xml:space="preserve">proportionate and practical </w:t>
      </w:r>
      <w:r>
        <w:t>option. In light of this</w:t>
      </w:r>
      <w:r w:rsidR="00A8461B">
        <w:t xml:space="preserve"> analysis</w:t>
      </w:r>
      <w:r>
        <w:t xml:space="preserve">, the proposed </w:t>
      </w:r>
      <w:r w:rsidRPr="005C3EC1">
        <w:t xml:space="preserve">information sharing framework </w:t>
      </w:r>
      <w:r>
        <w:t xml:space="preserve">seeks </w:t>
      </w:r>
      <w:r w:rsidRPr="005C3EC1">
        <w:t>to</w:t>
      </w:r>
      <w:r w:rsidR="0020595B">
        <w:t xml:space="preserve"> mitigate any risks by</w:t>
      </w:r>
      <w:r>
        <w:t>:</w:t>
      </w:r>
    </w:p>
    <w:p w14:paraId="3D9AA230" w14:textId="77777777" w:rsidR="0020595B" w:rsidRDefault="0020595B" w:rsidP="004B7689">
      <w:pPr>
        <w:pStyle w:val="MOJLevel2NumPara"/>
        <w:numPr>
          <w:ilvl w:val="1"/>
          <w:numId w:val="11"/>
        </w:numPr>
        <w:tabs>
          <w:tab w:val="clear" w:pos="1418"/>
          <w:tab w:val="num" w:pos="1276"/>
        </w:tabs>
        <w:ind w:left="1276" w:right="-142" w:hanging="567"/>
      </w:pPr>
      <w:r>
        <w:t>using</w:t>
      </w:r>
      <w:r w:rsidR="00A8461B">
        <w:t xml:space="preserve"> proven models to improve likelihood of effectiveness</w:t>
      </w:r>
      <w:r w:rsidR="00F5076C">
        <w:t>, proportionality</w:t>
      </w:r>
      <w:r>
        <w:t xml:space="preserve"> and cost-effectiveness</w:t>
      </w:r>
      <w:r w:rsidR="00A8461B">
        <w:t xml:space="preserve"> – by introducing</w:t>
      </w:r>
      <w:r w:rsidR="00C66487">
        <w:t xml:space="preserve"> new information sharing provisions that have been successfully enacted in other jurisdic</w:t>
      </w:r>
      <w:r w:rsidR="008F661B">
        <w:t>tions, specifically the request-</w:t>
      </w:r>
      <w:r w:rsidR="00C66487">
        <w:t>based system in Chapter 16A of the Children and Young Persons (Care and Protection) Act 1998 in New South Wales</w:t>
      </w:r>
      <w:r>
        <w:t>; and</w:t>
      </w:r>
    </w:p>
    <w:p w14:paraId="704CDCA8" w14:textId="77777777" w:rsidR="0020595B" w:rsidRDefault="0020595B" w:rsidP="004B7689">
      <w:pPr>
        <w:pStyle w:val="MOJLevel2NumPara"/>
        <w:numPr>
          <w:ilvl w:val="1"/>
          <w:numId w:val="11"/>
        </w:numPr>
        <w:tabs>
          <w:tab w:val="clear" w:pos="1418"/>
          <w:tab w:val="num" w:pos="1276"/>
        </w:tabs>
        <w:ind w:left="1276" w:right="-142" w:hanging="567"/>
      </w:pPr>
      <w:proofErr w:type="gramStart"/>
      <w:r>
        <w:t>supporting</w:t>
      </w:r>
      <w:proofErr w:type="gramEnd"/>
      <w:r>
        <w:t xml:space="preserve"> a frontline-friendly framework (ease of use)  - by b</w:t>
      </w:r>
      <w:r w:rsidRPr="005C3EC1">
        <w:t>uild</w:t>
      </w:r>
      <w:r>
        <w:t>ing on ra</w:t>
      </w:r>
      <w:r w:rsidR="00545D1A">
        <w:t>ther than replacing</w:t>
      </w:r>
      <w:r>
        <w:t xml:space="preserve"> the information disclosure provisions already in the Act, specifically sections 15, 16 and 59-66.</w:t>
      </w:r>
    </w:p>
    <w:p w14:paraId="4FBA1556" w14:textId="77777777" w:rsidR="0058321E" w:rsidRDefault="00E5570B" w:rsidP="00A81A1B">
      <w:pPr>
        <w:pStyle w:val="Heading2"/>
        <w:spacing w:before="360"/>
        <w:ind w:right="-142"/>
      </w:pPr>
      <w:r w:rsidRPr="003A2E6A">
        <w:t>Co</w:t>
      </w:r>
      <w:r w:rsidR="0058321E">
        <w:t xml:space="preserve">sts </w:t>
      </w:r>
      <w:r w:rsidR="0058321E" w:rsidRPr="00813AA7">
        <w:t>and Ben</w:t>
      </w:r>
      <w:r w:rsidR="0058321E">
        <w:t>efits</w:t>
      </w:r>
    </w:p>
    <w:p w14:paraId="30D16B45" w14:textId="77777777" w:rsidR="00A05990" w:rsidRPr="00813AA7" w:rsidRDefault="00A05990" w:rsidP="00A05990">
      <w:pPr>
        <w:pStyle w:val="MOJNumPara"/>
        <w:numPr>
          <w:ilvl w:val="0"/>
          <w:numId w:val="0"/>
        </w:numPr>
        <w:ind w:left="709" w:right="-142" w:hanging="709"/>
        <w:rPr>
          <w:color w:val="263E78"/>
        </w:rPr>
      </w:pPr>
      <w:r w:rsidRPr="00813AA7">
        <w:rPr>
          <w:b/>
          <w:i/>
          <w:color w:val="263E78"/>
        </w:rPr>
        <w:t>Benefits</w:t>
      </w:r>
    </w:p>
    <w:p w14:paraId="6D0D0689" w14:textId="77777777" w:rsidR="00D76BEA" w:rsidRPr="00D76BEA" w:rsidRDefault="00F83C15" w:rsidP="00966EAB">
      <w:pPr>
        <w:pStyle w:val="MOJNumPara"/>
        <w:ind w:right="-142"/>
      </w:pPr>
      <w:r w:rsidRPr="00F83C15">
        <w:rPr>
          <w:rFonts w:cs="Arial"/>
        </w:rPr>
        <w:t>The information sharing framework should provide the following benefits from the status quo arrangements</w:t>
      </w:r>
      <w:r w:rsidR="00D76BEA">
        <w:rPr>
          <w:rFonts w:cs="Arial"/>
        </w:rPr>
        <w:t>:</w:t>
      </w:r>
    </w:p>
    <w:p w14:paraId="27C0B91F" w14:textId="77777777" w:rsidR="00F83C15" w:rsidRPr="00F83C15" w:rsidRDefault="008F661B" w:rsidP="00F6637E">
      <w:pPr>
        <w:pStyle w:val="ReportBody"/>
        <w:numPr>
          <w:ilvl w:val="0"/>
          <w:numId w:val="14"/>
        </w:numPr>
        <w:tabs>
          <w:tab w:val="left" w:pos="1276"/>
        </w:tabs>
        <w:spacing w:before="180" w:after="0"/>
        <w:ind w:left="1276" w:right="-142" w:hanging="567"/>
        <w:jc w:val="both"/>
        <w:rPr>
          <w:rFonts w:ascii="Calibri" w:hAnsi="Calibri"/>
          <w:color w:val="auto"/>
          <w:sz w:val="23"/>
          <w:szCs w:val="23"/>
        </w:rPr>
      </w:pPr>
      <w:r>
        <w:rPr>
          <w:rFonts w:ascii="Calibri" w:hAnsi="Calibri"/>
          <w:color w:val="auto"/>
          <w:sz w:val="23"/>
          <w:szCs w:val="23"/>
        </w:rPr>
        <w:t>I</w:t>
      </w:r>
      <w:r w:rsidR="00F83C15" w:rsidRPr="00F83C15">
        <w:rPr>
          <w:rFonts w:ascii="Calibri" w:hAnsi="Calibri"/>
          <w:color w:val="auto"/>
          <w:sz w:val="23"/>
          <w:szCs w:val="23"/>
        </w:rPr>
        <w:t>t will facilitate a much richer and accurate assessment of the risks and needs of vulnerable children and young people. For example, a United Kingdom study observed that pulling together different strands of evidence from multiple agencies can have a significant impact on the number of child protection cases esc</w:t>
      </w:r>
      <w:r>
        <w:rPr>
          <w:rFonts w:ascii="Calibri" w:hAnsi="Calibri"/>
          <w:color w:val="auto"/>
          <w:sz w:val="23"/>
          <w:szCs w:val="23"/>
        </w:rPr>
        <w:t>alated to a more serious rating.</w:t>
      </w:r>
    </w:p>
    <w:p w14:paraId="278A9DC6" w14:textId="77777777" w:rsidR="00F83C15" w:rsidRPr="00F83C15" w:rsidRDefault="008F661B" w:rsidP="00F6637E">
      <w:pPr>
        <w:pStyle w:val="ReportBody"/>
        <w:numPr>
          <w:ilvl w:val="0"/>
          <w:numId w:val="14"/>
        </w:numPr>
        <w:tabs>
          <w:tab w:val="left" w:pos="1276"/>
        </w:tabs>
        <w:spacing w:before="180" w:after="0"/>
        <w:ind w:left="1276" w:right="-142" w:hanging="567"/>
        <w:jc w:val="both"/>
        <w:rPr>
          <w:rFonts w:ascii="Calibri" w:hAnsi="Calibri"/>
          <w:sz w:val="23"/>
          <w:szCs w:val="23"/>
        </w:rPr>
      </w:pPr>
      <w:r>
        <w:rPr>
          <w:rFonts w:ascii="Calibri" w:hAnsi="Calibri"/>
          <w:color w:val="auto"/>
          <w:sz w:val="23"/>
          <w:szCs w:val="23"/>
        </w:rPr>
        <w:t>I</w:t>
      </w:r>
      <w:r w:rsidR="00F83C15" w:rsidRPr="00F83C15">
        <w:rPr>
          <w:rFonts w:ascii="Calibri" w:hAnsi="Calibri"/>
          <w:color w:val="auto"/>
          <w:sz w:val="23"/>
          <w:szCs w:val="23"/>
        </w:rPr>
        <w:t>t will facilitate more efficient and accurate</w:t>
      </w:r>
      <w:r w:rsidR="00F83C15" w:rsidRPr="00F83C15">
        <w:rPr>
          <w:rFonts w:ascii="Calibri" w:hAnsi="Calibri"/>
          <w:sz w:val="23"/>
          <w:szCs w:val="23"/>
        </w:rPr>
        <w:t xml:space="preserve"> needs and risk assessment, thereby giving social workers better tools to support them in performing their statut</w:t>
      </w:r>
      <w:r>
        <w:rPr>
          <w:rFonts w:ascii="Calibri" w:hAnsi="Calibri"/>
          <w:sz w:val="23"/>
          <w:szCs w:val="23"/>
        </w:rPr>
        <w:t>ory functions.</w:t>
      </w:r>
      <w:r w:rsidR="00F83C15" w:rsidRPr="00F83C15">
        <w:rPr>
          <w:rFonts w:ascii="Calibri" w:hAnsi="Calibri"/>
          <w:sz w:val="23"/>
          <w:szCs w:val="23"/>
        </w:rPr>
        <w:t xml:space="preserve"> </w:t>
      </w:r>
    </w:p>
    <w:p w14:paraId="0BD381A9" w14:textId="77777777" w:rsidR="00F83C15" w:rsidRPr="008F7E33" w:rsidRDefault="00F83C15" w:rsidP="00F6637E">
      <w:pPr>
        <w:pStyle w:val="ReportBody"/>
        <w:numPr>
          <w:ilvl w:val="0"/>
          <w:numId w:val="14"/>
        </w:numPr>
        <w:tabs>
          <w:tab w:val="left" w:pos="1276"/>
        </w:tabs>
        <w:spacing w:before="180" w:after="200"/>
        <w:ind w:left="1276" w:right="-142" w:hanging="567"/>
        <w:jc w:val="both"/>
        <w:rPr>
          <w:rFonts w:ascii="Calibri" w:hAnsi="Calibri"/>
          <w:sz w:val="23"/>
          <w:szCs w:val="23"/>
        </w:rPr>
      </w:pPr>
      <w:r w:rsidRPr="00F83C15">
        <w:rPr>
          <w:rFonts w:ascii="Calibri" w:hAnsi="Calibri"/>
          <w:sz w:val="23"/>
          <w:szCs w:val="23"/>
        </w:rPr>
        <w:t xml:space="preserve">It will allow child welfare and protection agencies to offer the right supports and </w:t>
      </w:r>
      <w:r w:rsidRPr="008F7E33">
        <w:rPr>
          <w:rFonts w:ascii="Calibri" w:hAnsi="Calibri"/>
          <w:sz w:val="23"/>
          <w:szCs w:val="23"/>
        </w:rPr>
        <w:t xml:space="preserve">interventions for vulnerable children and families much earlier </w:t>
      </w:r>
      <w:r w:rsidR="00CC0AA8">
        <w:rPr>
          <w:rFonts w:ascii="Calibri" w:hAnsi="Calibri"/>
          <w:sz w:val="23"/>
          <w:szCs w:val="23"/>
        </w:rPr>
        <w:t xml:space="preserve">than they do now </w:t>
      </w:r>
      <w:r w:rsidRPr="008F7E33">
        <w:rPr>
          <w:rFonts w:ascii="Calibri" w:hAnsi="Calibri"/>
          <w:sz w:val="23"/>
          <w:szCs w:val="23"/>
        </w:rPr>
        <w:t xml:space="preserve">which, in turn, will reduce the forward liability that would otherwise arise because of delays in providing the right supports. </w:t>
      </w:r>
    </w:p>
    <w:p w14:paraId="4C21E3DF" w14:textId="77777777" w:rsidR="00A05990" w:rsidRPr="00813AA7" w:rsidRDefault="00494524" w:rsidP="00A05990">
      <w:pPr>
        <w:pStyle w:val="MOJNumPara"/>
        <w:numPr>
          <w:ilvl w:val="0"/>
          <w:numId w:val="0"/>
        </w:numPr>
        <w:ind w:left="709" w:right="-142" w:hanging="709"/>
        <w:rPr>
          <w:color w:val="263E78"/>
        </w:rPr>
      </w:pPr>
      <w:r>
        <w:rPr>
          <w:b/>
          <w:i/>
          <w:color w:val="263E78"/>
        </w:rPr>
        <w:t xml:space="preserve">Encroachments on </w:t>
      </w:r>
      <w:r w:rsidR="00A05990" w:rsidRPr="00813AA7">
        <w:rPr>
          <w:b/>
          <w:i/>
          <w:color w:val="263E78"/>
        </w:rPr>
        <w:t xml:space="preserve">Privacy </w:t>
      </w:r>
    </w:p>
    <w:p w14:paraId="4B2FB3AF" w14:textId="77777777" w:rsidR="00B74558" w:rsidRPr="00B74558" w:rsidRDefault="00132634" w:rsidP="00AA7340">
      <w:pPr>
        <w:pStyle w:val="MOJNumPara"/>
        <w:rPr>
          <w:lang w:eastAsia="en-NZ"/>
        </w:rPr>
      </w:pPr>
      <w:r w:rsidRPr="004B3CF4">
        <w:t xml:space="preserve">The </w:t>
      </w:r>
      <w:r w:rsidR="00813AA7" w:rsidRPr="004B3CF4">
        <w:t xml:space="preserve">benefits of the framework need to be weighed against </w:t>
      </w:r>
      <w:r w:rsidR="00AA7340">
        <w:t xml:space="preserve">the </w:t>
      </w:r>
      <w:r w:rsidRPr="004B3CF4">
        <w:t>social costs</w:t>
      </w:r>
      <w:r w:rsidR="00813AA7" w:rsidRPr="004B3CF4">
        <w:t xml:space="preserve"> it will impose, most notably </w:t>
      </w:r>
      <w:r w:rsidR="00494524">
        <w:t xml:space="preserve">encroachments on </w:t>
      </w:r>
      <w:r w:rsidRPr="004B3CF4">
        <w:t xml:space="preserve">the privacy of vulnerable children and young people, along with </w:t>
      </w:r>
      <w:r w:rsidR="00813AA7" w:rsidRPr="004B3CF4">
        <w:t xml:space="preserve">their </w:t>
      </w:r>
      <w:r w:rsidRPr="004B3CF4">
        <w:t xml:space="preserve">family </w:t>
      </w:r>
      <w:r w:rsidR="00813AA7" w:rsidRPr="004B3CF4">
        <w:t xml:space="preserve">members </w:t>
      </w:r>
      <w:r w:rsidRPr="004B3CF4">
        <w:t>and other people in a close personal relationship with</w:t>
      </w:r>
      <w:r w:rsidR="00813AA7" w:rsidRPr="004B3CF4">
        <w:t xml:space="preserve"> them</w:t>
      </w:r>
      <w:r w:rsidRPr="004B3CF4">
        <w:t>.</w:t>
      </w:r>
      <w:r w:rsidR="00813AA7" w:rsidRPr="004B3CF4">
        <w:t xml:space="preserve"> </w:t>
      </w:r>
    </w:p>
    <w:p w14:paraId="000D19F8" w14:textId="77777777" w:rsidR="00AA7340" w:rsidRDefault="00813AA7" w:rsidP="00B74558">
      <w:pPr>
        <w:pStyle w:val="MOJNumPara"/>
        <w:rPr>
          <w:lang w:eastAsia="en-NZ"/>
        </w:rPr>
      </w:pPr>
      <w:r w:rsidRPr="004B3CF4">
        <w:t xml:space="preserve">In weighing these social costs, it should be borne in mind that </w:t>
      </w:r>
      <w:r w:rsidR="004B3CF4" w:rsidRPr="004B3CF4">
        <w:t xml:space="preserve">there is little </w:t>
      </w:r>
      <w:r w:rsidR="004B3CF4">
        <w:t xml:space="preserve">reliable </w:t>
      </w:r>
      <w:r w:rsidR="004B3CF4" w:rsidRPr="004B3CF4">
        <w:t xml:space="preserve">evidence about </w:t>
      </w:r>
      <w:r w:rsidR="004B3CF4">
        <w:t xml:space="preserve">the </w:t>
      </w:r>
      <w:r w:rsidR="004B3CF4" w:rsidRPr="004B3CF4">
        <w:t xml:space="preserve">value </w:t>
      </w:r>
      <w:r w:rsidR="004B3CF4">
        <w:t>individuals attach</w:t>
      </w:r>
      <w:r w:rsidR="004B3CF4" w:rsidRPr="004B3CF4">
        <w:t xml:space="preserve"> to</w:t>
      </w:r>
      <w:r w:rsidRPr="004B3CF4">
        <w:t xml:space="preserve"> </w:t>
      </w:r>
      <w:r w:rsidR="004B3CF4">
        <w:t xml:space="preserve">their </w:t>
      </w:r>
      <w:r w:rsidRPr="004B3CF4">
        <w:t>privacy</w:t>
      </w:r>
      <w:r w:rsidR="004B3CF4" w:rsidRPr="004B3CF4">
        <w:t xml:space="preserve">.  </w:t>
      </w:r>
      <w:r w:rsidR="004B3CF4" w:rsidRPr="00B74558">
        <w:t xml:space="preserve">An economic analysis of </w:t>
      </w:r>
      <w:r w:rsidR="004B3CF4">
        <w:rPr>
          <w:lang w:eastAsia="en-NZ"/>
        </w:rPr>
        <w:t>valuations that people assign to their own privacy</w:t>
      </w:r>
      <w:r w:rsidR="004B3CF4" w:rsidRPr="00B74558">
        <w:t xml:space="preserve"> </w:t>
      </w:r>
      <w:r w:rsidR="00132634" w:rsidRPr="00B74558">
        <w:t>indicates that “</w:t>
      </w:r>
      <w:r w:rsidR="00132634" w:rsidRPr="00B74558">
        <w:rPr>
          <w:rFonts w:cs="TimesNewRomanPSMT"/>
          <w:lang w:eastAsia="en-NZ"/>
        </w:rPr>
        <w:t>individuals constantly make privacy relevant</w:t>
      </w:r>
      <w:r w:rsidRPr="00B74558">
        <w:rPr>
          <w:rFonts w:cs="TimesNewRomanPSMT"/>
          <w:lang w:eastAsia="en-NZ"/>
        </w:rPr>
        <w:t xml:space="preserve"> d</w:t>
      </w:r>
      <w:r w:rsidR="00D76BEA" w:rsidRPr="00B74558">
        <w:rPr>
          <w:rFonts w:cs="TimesNewRomanPSMT"/>
          <w:lang w:eastAsia="en-NZ"/>
        </w:rPr>
        <w:t>ecisions which impact their well-being, and this research suggests</w:t>
      </w:r>
      <w:r w:rsidRPr="00B74558">
        <w:rPr>
          <w:rFonts w:cs="TimesNewRomanPSMT"/>
          <w:lang w:eastAsia="en-NZ"/>
        </w:rPr>
        <w:t xml:space="preserve"> that they do so inconsistently.”</w:t>
      </w:r>
      <w:r w:rsidRPr="004B3CF4">
        <w:rPr>
          <w:rStyle w:val="FootnoteReference"/>
          <w:rFonts w:ascii="Calibri" w:hAnsi="Calibri" w:cs="TimesNewRomanPSMT"/>
          <w:szCs w:val="16"/>
          <w:lang w:eastAsia="en-NZ"/>
        </w:rPr>
        <w:footnoteReference w:id="5"/>
      </w:r>
      <w:r w:rsidR="004B3CF4" w:rsidRPr="00B74558">
        <w:rPr>
          <w:rFonts w:cs="TimesNewRomanPSMT"/>
          <w:lang w:eastAsia="en-NZ"/>
        </w:rPr>
        <w:t xml:space="preserve"> </w:t>
      </w:r>
      <w:r w:rsidR="00AA7340" w:rsidRPr="00B74558">
        <w:rPr>
          <w:rFonts w:cs="TimesNewRomanPSMT"/>
          <w:lang w:eastAsia="en-NZ"/>
        </w:rPr>
        <w:t xml:space="preserve">This analysis </w:t>
      </w:r>
      <w:r w:rsidR="004B3CF4" w:rsidRPr="00B74558">
        <w:rPr>
          <w:rFonts w:cs="TimesNewRomanPSMT"/>
          <w:lang w:eastAsia="en-NZ"/>
        </w:rPr>
        <w:t xml:space="preserve">cautions against </w:t>
      </w:r>
      <w:r w:rsidR="002C0ECA">
        <w:rPr>
          <w:rFonts w:cs="TimesNewRomanPSMT"/>
          <w:lang w:eastAsia="en-NZ"/>
        </w:rPr>
        <w:t xml:space="preserve">placing too much reliance </w:t>
      </w:r>
      <w:r w:rsidR="00AA7340" w:rsidRPr="00B74558">
        <w:rPr>
          <w:rFonts w:cs="TimesNewRomanPSMT"/>
          <w:lang w:eastAsia="en-NZ"/>
        </w:rPr>
        <w:lastRenderedPageBreak/>
        <w:t xml:space="preserve">on </w:t>
      </w:r>
      <w:r w:rsidR="004B3CF4" w:rsidRPr="00B74558">
        <w:rPr>
          <w:rFonts w:cs="TimesNewRomanPSMT"/>
          <w:lang w:eastAsia="en-NZ"/>
        </w:rPr>
        <w:t>st</w:t>
      </w:r>
      <w:r w:rsidR="002C0ECA">
        <w:rPr>
          <w:rFonts w:cs="TimesNewRomanPSMT"/>
          <w:lang w:eastAsia="en-NZ"/>
        </w:rPr>
        <w:t>udies of revealed preferences that</w:t>
      </w:r>
      <w:r w:rsidR="004B3CF4" w:rsidRPr="00B74558">
        <w:rPr>
          <w:rFonts w:cs="TimesNewRomanPSMT"/>
          <w:lang w:eastAsia="en-NZ"/>
        </w:rPr>
        <w:t xml:space="preserve"> conclude “</w:t>
      </w:r>
      <w:r w:rsidR="004B3CF4">
        <w:rPr>
          <w:lang w:eastAsia="en-NZ"/>
        </w:rPr>
        <w:t>our society, quite simply, does not place much value on</w:t>
      </w:r>
      <w:r w:rsidR="00AA7340">
        <w:rPr>
          <w:lang w:eastAsia="en-NZ"/>
        </w:rPr>
        <w:t xml:space="preserve"> </w:t>
      </w:r>
      <w:r w:rsidR="004B3CF4">
        <w:rPr>
          <w:lang w:eastAsia="en-NZ"/>
        </w:rPr>
        <w:t>privacy</w:t>
      </w:r>
      <w:r w:rsidR="00AA7340">
        <w:rPr>
          <w:lang w:eastAsia="en-NZ"/>
        </w:rPr>
        <w:t>.”</w:t>
      </w:r>
      <w:r w:rsidR="00AA7340" w:rsidRPr="00AA7340">
        <w:rPr>
          <w:rStyle w:val="FootnoteReference"/>
          <w:rFonts w:ascii="Calibri" w:hAnsi="Calibri"/>
          <w:lang w:eastAsia="en-NZ"/>
        </w:rPr>
        <w:footnoteReference w:id="6"/>
      </w:r>
      <w:r w:rsidR="00AA7340">
        <w:rPr>
          <w:lang w:eastAsia="en-NZ"/>
        </w:rPr>
        <w:t xml:space="preserve">  </w:t>
      </w:r>
      <w:r w:rsidR="00B74558">
        <w:rPr>
          <w:lang w:eastAsia="en-NZ"/>
        </w:rPr>
        <w:t>C</w:t>
      </w:r>
      <w:r w:rsidR="00AA7340">
        <w:rPr>
          <w:lang w:eastAsia="en-NZ"/>
        </w:rPr>
        <w:t>ontext is critic</w:t>
      </w:r>
      <w:r w:rsidR="00B74558">
        <w:rPr>
          <w:lang w:eastAsia="en-NZ"/>
        </w:rPr>
        <w:t>al.  T</w:t>
      </w:r>
      <w:r w:rsidR="00AA7340">
        <w:rPr>
          <w:lang w:eastAsia="en-NZ"/>
        </w:rPr>
        <w:t>here are few fields as sensitive as child welfare and protection</w:t>
      </w:r>
      <w:r w:rsidR="00B74558">
        <w:rPr>
          <w:lang w:eastAsia="en-NZ"/>
        </w:rPr>
        <w:t xml:space="preserve">, </w:t>
      </w:r>
      <w:r w:rsidR="00AA7340">
        <w:rPr>
          <w:lang w:eastAsia="en-NZ"/>
        </w:rPr>
        <w:t xml:space="preserve">whereas </w:t>
      </w:r>
      <w:r w:rsidR="003E42BB">
        <w:rPr>
          <w:lang w:eastAsia="en-NZ"/>
        </w:rPr>
        <w:t xml:space="preserve">privacy valuations are </w:t>
      </w:r>
      <w:r w:rsidR="00B74558">
        <w:rPr>
          <w:lang w:eastAsia="en-NZ"/>
        </w:rPr>
        <w:t xml:space="preserve">conducted in the context of commercial </w:t>
      </w:r>
      <w:r w:rsidR="00AA7340">
        <w:rPr>
          <w:lang w:eastAsia="en-NZ"/>
        </w:rPr>
        <w:t xml:space="preserve">exchanges.  The adverse consequences of </w:t>
      </w:r>
      <w:r w:rsidR="00494524">
        <w:rPr>
          <w:lang w:eastAsia="en-NZ"/>
        </w:rPr>
        <w:t xml:space="preserve">encroachments on </w:t>
      </w:r>
      <w:r w:rsidR="00AA7340">
        <w:rPr>
          <w:lang w:eastAsia="en-NZ"/>
        </w:rPr>
        <w:t>privacy</w:t>
      </w:r>
      <w:r w:rsidR="003E42BB">
        <w:rPr>
          <w:lang w:eastAsia="en-NZ"/>
        </w:rPr>
        <w:t xml:space="preserve"> in a child welfare context</w:t>
      </w:r>
      <w:r w:rsidR="00AA7340">
        <w:rPr>
          <w:lang w:eastAsia="en-NZ"/>
        </w:rPr>
        <w:t xml:space="preserve"> </w:t>
      </w:r>
      <w:r w:rsidR="005F5EE1">
        <w:rPr>
          <w:lang w:eastAsia="en-NZ"/>
        </w:rPr>
        <w:t xml:space="preserve">might </w:t>
      </w:r>
      <w:r w:rsidR="00AA7340">
        <w:rPr>
          <w:lang w:eastAsia="en-NZ"/>
        </w:rPr>
        <w:t>include:</w:t>
      </w:r>
    </w:p>
    <w:p w14:paraId="11A9E6F5" w14:textId="77777777" w:rsidR="00AA7340" w:rsidRDefault="00AA7340" w:rsidP="00AA7340">
      <w:pPr>
        <w:pStyle w:val="MOJNumPara"/>
        <w:numPr>
          <w:ilvl w:val="0"/>
          <w:numId w:val="10"/>
        </w:numPr>
        <w:tabs>
          <w:tab w:val="left" w:pos="1276"/>
        </w:tabs>
        <w:ind w:left="1276" w:hanging="567"/>
      </w:pPr>
      <w:r>
        <w:t xml:space="preserve">the </w:t>
      </w:r>
      <w:r w:rsidR="00B74558">
        <w:t xml:space="preserve">social </w:t>
      </w:r>
      <w:r>
        <w:t xml:space="preserve">stigma </w:t>
      </w:r>
      <w:r w:rsidR="00B74558">
        <w:t xml:space="preserve">that may arise from </w:t>
      </w:r>
      <w:r>
        <w:t>bei</w:t>
      </w:r>
      <w:r w:rsidR="003E42BB">
        <w:t>ng the subject of any inquiry or</w:t>
      </w:r>
      <w:r>
        <w:t xml:space="preserve"> statutory response;</w:t>
      </w:r>
    </w:p>
    <w:p w14:paraId="3E0E10C2" w14:textId="77777777" w:rsidR="005F5EE1" w:rsidRDefault="00AA7340" w:rsidP="00AA7340">
      <w:pPr>
        <w:pStyle w:val="MOJNumPara"/>
        <w:numPr>
          <w:ilvl w:val="0"/>
          <w:numId w:val="10"/>
        </w:numPr>
        <w:tabs>
          <w:tab w:val="left" w:pos="1276"/>
        </w:tabs>
        <w:ind w:left="1276" w:hanging="567"/>
      </w:pPr>
      <w:r>
        <w:t xml:space="preserve">the harm that may arise from false accusations </w:t>
      </w:r>
      <w:r w:rsidR="00B74558">
        <w:t xml:space="preserve">or inferences </w:t>
      </w:r>
      <w:r>
        <w:t xml:space="preserve">of being </w:t>
      </w:r>
      <w:r w:rsidR="00B74558">
        <w:t xml:space="preserve">a </w:t>
      </w:r>
      <w:r>
        <w:t>perpetrator of child neglect or abuse</w:t>
      </w:r>
      <w:r w:rsidR="005F5EE1">
        <w:t>;</w:t>
      </w:r>
    </w:p>
    <w:p w14:paraId="3CA5BC1C" w14:textId="77777777" w:rsidR="005F5EE1" w:rsidRDefault="005F5EE1" w:rsidP="00AA7340">
      <w:pPr>
        <w:pStyle w:val="MOJNumPara"/>
        <w:numPr>
          <w:ilvl w:val="0"/>
          <w:numId w:val="10"/>
        </w:numPr>
        <w:tabs>
          <w:tab w:val="left" w:pos="1276"/>
        </w:tabs>
        <w:ind w:left="1276" w:hanging="567"/>
      </w:pPr>
      <w:proofErr w:type="gramStart"/>
      <w:r>
        <w:t>the</w:t>
      </w:r>
      <w:proofErr w:type="gramEnd"/>
      <w:r>
        <w:t xml:space="preserve"> risk some families may be less inclined to engage with social services and other supports due to concerns about how their personal information will be used.</w:t>
      </w:r>
    </w:p>
    <w:p w14:paraId="3D2E596F" w14:textId="77777777" w:rsidR="00D76BEA" w:rsidRDefault="003E42BB" w:rsidP="00B74558">
      <w:pPr>
        <w:pStyle w:val="MOJNumPara"/>
        <w:spacing w:before="200"/>
        <w:ind w:right="-142"/>
      </w:pPr>
      <w:r>
        <w:t xml:space="preserve">Given the high stakes involved, the vulnerable children’s framework includes a number of important privacy safeguards, including:   </w:t>
      </w:r>
    </w:p>
    <w:p w14:paraId="3629DA4E" w14:textId="77777777" w:rsidR="00692F0C" w:rsidRPr="00692F0C" w:rsidRDefault="00692F0C" w:rsidP="00506D22">
      <w:pPr>
        <w:pStyle w:val="MOJNumPara"/>
        <w:numPr>
          <w:ilvl w:val="0"/>
          <w:numId w:val="0"/>
        </w:numPr>
        <w:ind w:left="709" w:right="-142"/>
        <w:rPr>
          <w:b/>
          <w:i/>
        </w:rPr>
      </w:pPr>
      <w:r w:rsidRPr="00692F0C">
        <w:rPr>
          <w:b/>
          <w:i/>
        </w:rPr>
        <w:t>Section 66</w:t>
      </w:r>
    </w:p>
    <w:p w14:paraId="7EA8BA26" w14:textId="77777777" w:rsidR="006017CA" w:rsidRPr="006017CA" w:rsidRDefault="006017CA" w:rsidP="00F6637E">
      <w:pPr>
        <w:pStyle w:val="MOJNumPara"/>
        <w:numPr>
          <w:ilvl w:val="0"/>
          <w:numId w:val="31"/>
        </w:numPr>
        <w:tabs>
          <w:tab w:val="left" w:pos="1276"/>
        </w:tabs>
        <w:ind w:left="1276" w:right="-142" w:hanging="567"/>
      </w:pPr>
      <w:r>
        <w:rPr>
          <w:sz w:val="22"/>
          <w:szCs w:val="22"/>
        </w:rPr>
        <w:t>T</w:t>
      </w:r>
      <w:r w:rsidRPr="006017CA">
        <w:rPr>
          <w:sz w:val="22"/>
          <w:szCs w:val="22"/>
        </w:rPr>
        <w:t>he power to compulsor</w:t>
      </w:r>
      <w:r w:rsidR="001714E6">
        <w:rPr>
          <w:sz w:val="22"/>
          <w:szCs w:val="22"/>
        </w:rPr>
        <w:t>il</w:t>
      </w:r>
      <w:r w:rsidRPr="006017CA">
        <w:rPr>
          <w:sz w:val="22"/>
          <w:szCs w:val="22"/>
        </w:rPr>
        <w:t xml:space="preserve">y collect information (section 66) will, in practice, only be exercised by the Ministry for Vulnerable Children, Oranga Tamariki for the purpose of conducting statutory investigations and responses under Part 2 of the Act.  </w:t>
      </w:r>
    </w:p>
    <w:p w14:paraId="29FA3F83" w14:textId="77777777" w:rsidR="006017CA" w:rsidRPr="006017CA" w:rsidRDefault="006017CA" w:rsidP="00F6637E">
      <w:pPr>
        <w:pStyle w:val="MOJNumPara"/>
        <w:numPr>
          <w:ilvl w:val="0"/>
          <w:numId w:val="31"/>
        </w:numPr>
        <w:tabs>
          <w:tab w:val="left" w:pos="1276"/>
        </w:tabs>
        <w:ind w:left="1276" w:right="-142" w:hanging="567"/>
      </w:pPr>
      <w:r>
        <w:rPr>
          <w:sz w:val="22"/>
          <w:szCs w:val="22"/>
        </w:rPr>
        <w:t xml:space="preserve">Section 66 </w:t>
      </w:r>
      <w:r w:rsidRPr="006017CA">
        <w:rPr>
          <w:sz w:val="22"/>
          <w:szCs w:val="22"/>
        </w:rPr>
        <w:t>cannot be used to collect informa</w:t>
      </w:r>
      <w:r w:rsidR="00B42C7B">
        <w:rPr>
          <w:sz w:val="22"/>
          <w:szCs w:val="22"/>
        </w:rPr>
        <w:t>tion to investigate offences, and information collected through this power cannot</w:t>
      </w:r>
      <w:r w:rsidRPr="006017CA">
        <w:rPr>
          <w:sz w:val="22"/>
          <w:szCs w:val="22"/>
        </w:rPr>
        <w:t xml:space="preserve"> be admitted as evidence in proceedings (other than under Part 2</w:t>
      </w:r>
      <w:r>
        <w:rPr>
          <w:sz w:val="22"/>
          <w:szCs w:val="22"/>
        </w:rPr>
        <w:t xml:space="preserve"> of the </w:t>
      </w:r>
      <w:r>
        <w:rPr>
          <w:rFonts w:cs="Arial"/>
        </w:rPr>
        <w:t>CYPF Act</w:t>
      </w:r>
      <w:r w:rsidRPr="006017CA">
        <w:rPr>
          <w:sz w:val="22"/>
          <w:szCs w:val="22"/>
        </w:rPr>
        <w:t xml:space="preserve">).  This prohibition is a critical safeguard for </w:t>
      </w:r>
      <w:r>
        <w:rPr>
          <w:sz w:val="22"/>
          <w:szCs w:val="22"/>
        </w:rPr>
        <w:t xml:space="preserve">parents and </w:t>
      </w:r>
      <w:r w:rsidRPr="006017CA">
        <w:rPr>
          <w:sz w:val="22"/>
          <w:szCs w:val="22"/>
        </w:rPr>
        <w:t xml:space="preserve">adults who may be concerned about </w:t>
      </w:r>
      <w:r>
        <w:rPr>
          <w:sz w:val="22"/>
          <w:szCs w:val="22"/>
        </w:rPr>
        <w:t>revealing potential incriminating information.</w:t>
      </w:r>
    </w:p>
    <w:p w14:paraId="00635A3D" w14:textId="77777777" w:rsidR="006017CA" w:rsidRPr="00692F0C" w:rsidRDefault="006017CA" w:rsidP="00F6637E">
      <w:pPr>
        <w:pStyle w:val="MOJNumPara"/>
        <w:numPr>
          <w:ilvl w:val="0"/>
          <w:numId w:val="31"/>
        </w:numPr>
        <w:tabs>
          <w:tab w:val="left" w:pos="1276"/>
        </w:tabs>
        <w:ind w:left="1276" w:right="-142" w:hanging="567"/>
        <w:rPr>
          <w:sz w:val="22"/>
          <w:szCs w:val="22"/>
        </w:rPr>
      </w:pPr>
      <w:r w:rsidRPr="007B3099">
        <w:rPr>
          <w:sz w:val="22"/>
          <w:szCs w:val="22"/>
        </w:rPr>
        <w:t xml:space="preserve">Information collected under section 66 </w:t>
      </w:r>
      <w:r w:rsidR="00B42C7B">
        <w:rPr>
          <w:sz w:val="22"/>
          <w:szCs w:val="22"/>
        </w:rPr>
        <w:t xml:space="preserve">cannot be shared </w:t>
      </w:r>
      <w:r w:rsidRPr="007B3099">
        <w:rPr>
          <w:sz w:val="22"/>
          <w:szCs w:val="22"/>
        </w:rPr>
        <w:t>with other child welfare and protection agenc</w:t>
      </w:r>
      <w:r w:rsidR="007B3099" w:rsidRPr="007B3099">
        <w:rPr>
          <w:sz w:val="22"/>
          <w:szCs w:val="22"/>
        </w:rPr>
        <w:t>ies or</w:t>
      </w:r>
      <w:r w:rsidRPr="007B3099">
        <w:rPr>
          <w:sz w:val="22"/>
          <w:szCs w:val="22"/>
        </w:rPr>
        <w:t xml:space="preserve"> independent person</w:t>
      </w:r>
      <w:r w:rsidR="00B42C7B">
        <w:rPr>
          <w:sz w:val="22"/>
          <w:szCs w:val="22"/>
        </w:rPr>
        <w:t>s</w:t>
      </w:r>
      <w:r w:rsidRPr="007B3099">
        <w:rPr>
          <w:sz w:val="22"/>
          <w:szCs w:val="22"/>
        </w:rPr>
        <w:t xml:space="preserve"> </w:t>
      </w:r>
      <w:r w:rsidRPr="007B3099">
        <w:rPr>
          <w:rFonts w:cs="Arial"/>
          <w:sz w:val="22"/>
          <w:szCs w:val="22"/>
        </w:rPr>
        <w:t xml:space="preserve">where the information was disclosed to the Ministry for Vulnerable Children, Oranga Tamariki in breach of a professional duty of confidentiality.  This </w:t>
      </w:r>
      <w:r w:rsidR="007B3099" w:rsidRPr="007B3099">
        <w:rPr>
          <w:rFonts w:cs="Arial"/>
          <w:sz w:val="22"/>
          <w:szCs w:val="22"/>
        </w:rPr>
        <w:t xml:space="preserve">prohibition </w:t>
      </w:r>
      <w:r w:rsidRPr="007B3099">
        <w:rPr>
          <w:rFonts w:cs="Arial"/>
          <w:sz w:val="22"/>
          <w:szCs w:val="22"/>
        </w:rPr>
        <w:t xml:space="preserve">recognises the sensitivity of </w:t>
      </w:r>
      <w:r w:rsidR="00B42C7B">
        <w:rPr>
          <w:rFonts w:cs="Arial"/>
          <w:sz w:val="22"/>
          <w:szCs w:val="22"/>
        </w:rPr>
        <w:t xml:space="preserve">some </w:t>
      </w:r>
      <w:r w:rsidRPr="007B3099">
        <w:rPr>
          <w:rFonts w:cs="Arial"/>
          <w:sz w:val="22"/>
          <w:szCs w:val="22"/>
        </w:rPr>
        <w:t>information</w:t>
      </w:r>
      <w:r w:rsidR="00B42C7B">
        <w:rPr>
          <w:rFonts w:cs="Arial"/>
          <w:sz w:val="22"/>
          <w:szCs w:val="22"/>
        </w:rPr>
        <w:t xml:space="preserve"> acquired through </w:t>
      </w:r>
      <w:r w:rsidR="007B3099" w:rsidRPr="007B3099">
        <w:rPr>
          <w:rFonts w:cs="Arial"/>
          <w:sz w:val="22"/>
          <w:szCs w:val="22"/>
        </w:rPr>
        <w:t>a mandatory power</w:t>
      </w:r>
      <w:r w:rsidRPr="007B3099">
        <w:rPr>
          <w:rFonts w:cs="Arial"/>
          <w:sz w:val="22"/>
          <w:szCs w:val="22"/>
        </w:rPr>
        <w:t xml:space="preserve">.  </w:t>
      </w:r>
      <w:r w:rsidR="007B3099" w:rsidRPr="007B3099">
        <w:rPr>
          <w:sz w:val="22"/>
          <w:szCs w:val="22"/>
        </w:rPr>
        <w:t xml:space="preserve">Child welfare and protection agencies </w:t>
      </w:r>
      <w:r w:rsidR="007B3099" w:rsidRPr="007B3099">
        <w:rPr>
          <w:rFonts w:cs="Arial"/>
          <w:sz w:val="22"/>
          <w:szCs w:val="22"/>
        </w:rPr>
        <w:t>or</w:t>
      </w:r>
      <w:r w:rsidRPr="007B3099">
        <w:rPr>
          <w:rFonts w:cs="Arial"/>
          <w:sz w:val="22"/>
          <w:szCs w:val="22"/>
        </w:rPr>
        <w:t xml:space="preserve"> independent persons will still have </w:t>
      </w:r>
      <w:r w:rsidR="007B3099" w:rsidRPr="007B3099">
        <w:rPr>
          <w:rFonts w:cs="Arial"/>
          <w:sz w:val="22"/>
          <w:szCs w:val="22"/>
        </w:rPr>
        <w:t xml:space="preserve">a </w:t>
      </w:r>
      <w:r w:rsidRPr="007B3099">
        <w:rPr>
          <w:rFonts w:cs="Arial"/>
          <w:sz w:val="22"/>
          <w:szCs w:val="22"/>
        </w:rPr>
        <w:t xml:space="preserve">right to request </w:t>
      </w:r>
      <w:r w:rsidR="007B3099">
        <w:rPr>
          <w:rFonts w:cs="Arial"/>
          <w:sz w:val="22"/>
          <w:szCs w:val="22"/>
        </w:rPr>
        <w:t xml:space="preserve">this </w:t>
      </w:r>
      <w:r w:rsidRPr="007B3099">
        <w:rPr>
          <w:rFonts w:cs="Arial"/>
          <w:sz w:val="22"/>
          <w:szCs w:val="22"/>
        </w:rPr>
        <w:t xml:space="preserve">information under the new presumptive provision, </w:t>
      </w:r>
      <w:r w:rsidR="00B42C7B">
        <w:rPr>
          <w:rFonts w:cs="Arial"/>
          <w:sz w:val="22"/>
          <w:szCs w:val="22"/>
        </w:rPr>
        <w:t xml:space="preserve">but </w:t>
      </w:r>
      <w:r w:rsidRPr="007B3099">
        <w:rPr>
          <w:rFonts w:cs="Arial"/>
          <w:sz w:val="22"/>
          <w:szCs w:val="22"/>
        </w:rPr>
        <w:t xml:space="preserve">any </w:t>
      </w:r>
      <w:r w:rsidR="007B3099" w:rsidRPr="007B3099">
        <w:rPr>
          <w:rFonts w:cs="Arial"/>
          <w:sz w:val="22"/>
          <w:szCs w:val="22"/>
        </w:rPr>
        <w:t xml:space="preserve">professional receiving a request </w:t>
      </w:r>
      <w:r w:rsidR="00B42C7B">
        <w:rPr>
          <w:rFonts w:cs="Arial"/>
          <w:sz w:val="22"/>
          <w:szCs w:val="22"/>
        </w:rPr>
        <w:t xml:space="preserve">will need to determine </w:t>
      </w:r>
      <w:r w:rsidR="007B3099" w:rsidRPr="007B3099">
        <w:rPr>
          <w:rFonts w:cs="Arial"/>
          <w:sz w:val="22"/>
          <w:szCs w:val="22"/>
        </w:rPr>
        <w:t xml:space="preserve">whether any of </w:t>
      </w:r>
      <w:r w:rsidRPr="007B3099">
        <w:rPr>
          <w:rFonts w:cs="Arial"/>
          <w:sz w:val="22"/>
          <w:szCs w:val="22"/>
        </w:rPr>
        <w:t xml:space="preserve">statutory </w:t>
      </w:r>
      <w:r w:rsidR="007B3099" w:rsidRPr="007B3099">
        <w:rPr>
          <w:rFonts w:cs="Arial"/>
          <w:sz w:val="22"/>
          <w:szCs w:val="22"/>
        </w:rPr>
        <w:t xml:space="preserve">grounds </w:t>
      </w:r>
      <w:r w:rsidRPr="007B3099">
        <w:rPr>
          <w:rFonts w:cs="Arial"/>
          <w:sz w:val="22"/>
          <w:szCs w:val="22"/>
        </w:rPr>
        <w:t>for declining a request apply</w:t>
      </w:r>
      <w:r w:rsidR="00B42C7B">
        <w:rPr>
          <w:rFonts w:cs="Arial"/>
          <w:sz w:val="22"/>
          <w:szCs w:val="22"/>
        </w:rPr>
        <w:t xml:space="preserve"> (they cannot apply this filter to section 66 requests). </w:t>
      </w:r>
    </w:p>
    <w:p w14:paraId="7E897ADF" w14:textId="77777777" w:rsidR="00692F0C" w:rsidRPr="00692F0C" w:rsidRDefault="00692F0C" w:rsidP="009A1276">
      <w:pPr>
        <w:pStyle w:val="MOJNumPara"/>
        <w:numPr>
          <w:ilvl w:val="0"/>
          <w:numId w:val="0"/>
        </w:numPr>
        <w:tabs>
          <w:tab w:val="left" w:pos="1276"/>
        </w:tabs>
        <w:ind w:left="709" w:right="-142"/>
        <w:rPr>
          <w:b/>
          <w:i/>
          <w:sz w:val="22"/>
          <w:szCs w:val="22"/>
        </w:rPr>
      </w:pPr>
      <w:r w:rsidRPr="00692F0C">
        <w:rPr>
          <w:rFonts w:cs="Arial"/>
          <w:b/>
          <w:i/>
          <w:sz w:val="22"/>
          <w:szCs w:val="22"/>
        </w:rPr>
        <w:t xml:space="preserve">Limitations Imposed by </w:t>
      </w:r>
      <w:r w:rsidR="009A1276">
        <w:rPr>
          <w:rFonts w:cs="Arial"/>
          <w:b/>
          <w:i/>
          <w:sz w:val="22"/>
          <w:szCs w:val="22"/>
        </w:rPr>
        <w:t>Purposes</w:t>
      </w:r>
    </w:p>
    <w:p w14:paraId="7B3BBD5D" w14:textId="77777777" w:rsidR="00B42C7B" w:rsidRPr="00B42C7B" w:rsidRDefault="009A1276" w:rsidP="00F6637E">
      <w:pPr>
        <w:pStyle w:val="MOJNumPara"/>
        <w:numPr>
          <w:ilvl w:val="0"/>
          <w:numId w:val="31"/>
        </w:numPr>
        <w:tabs>
          <w:tab w:val="left" w:pos="1276"/>
        </w:tabs>
        <w:ind w:left="1276" w:right="-142" w:hanging="567"/>
        <w:rPr>
          <w:sz w:val="22"/>
          <w:szCs w:val="22"/>
        </w:rPr>
      </w:pPr>
      <w:r>
        <w:rPr>
          <w:sz w:val="22"/>
          <w:szCs w:val="22"/>
        </w:rPr>
        <w:t>T</w:t>
      </w:r>
      <w:r w:rsidR="006017CA" w:rsidRPr="007B3099">
        <w:rPr>
          <w:sz w:val="22"/>
          <w:szCs w:val="22"/>
        </w:rPr>
        <w:t>he specific purposes for holding, using and disclosing information under the framework are set out in Part 2</w:t>
      </w:r>
      <w:r w:rsidR="00692F0C">
        <w:rPr>
          <w:sz w:val="22"/>
          <w:szCs w:val="22"/>
        </w:rPr>
        <w:t xml:space="preserve"> of the CYPF Act</w:t>
      </w:r>
      <w:r w:rsidR="006017CA" w:rsidRPr="007B3099">
        <w:rPr>
          <w:sz w:val="22"/>
          <w:szCs w:val="22"/>
        </w:rPr>
        <w:t>, which immediately limits the information of relevance and the uses it can be put to (e.g. information about a child with non-accidental injuries will be relevant, but not whether they have also been diagnosed with a common cold)</w:t>
      </w:r>
    </w:p>
    <w:p w14:paraId="3DDC86DB" w14:textId="77777777" w:rsidR="00B42C7B" w:rsidRPr="00B42C7B" w:rsidRDefault="00B42C7B" w:rsidP="00B42C7B">
      <w:pPr>
        <w:pStyle w:val="MOJNumPara"/>
        <w:numPr>
          <w:ilvl w:val="0"/>
          <w:numId w:val="0"/>
        </w:numPr>
        <w:tabs>
          <w:tab w:val="left" w:pos="1276"/>
        </w:tabs>
        <w:ind w:left="709" w:right="-142"/>
        <w:rPr>
          <w:b/>
          <w:i/>
          <w:sz w:val="22"/>
          <w:szCs w:val="22"/>
        </w:rPr>
      </w:pPr>
      <w:r w:rsidRPr="00B42C7B">
        <w:rPr>
          <w:b/>
          <w:i/>
          <w:sz w:val="22"/>
          <w:szCs w:val="22"/>
        </w:rPr>
        <w:t>General Principle of Engagement</w:t>
      </w:r>
    </w:p>
    <w:p w14:paraId="502E52F4" w14:textId="77777777" w:rsidR="009A1276" w:rsidRPr="009A1276" w:rsidRDefault="00B42C7B" w:rsidP="00F6637E">
      <w:pPr>
        <w:pStyle w:val="MOJNumPara"/>
        <w:numPr>
          <w:ilvl w:val="0"/>
          <w:numId w:val="31"/>
        </w:numPr>
        <w:tabs>
          <w:tab w:val="left" w:pos="1276"/>
        </w:tabs>
        <w:ind w:left="1276" w:right="-142" w:hanging="567"/>
        <w:rPr>
          <w:sz w:val="22"/>
          <w:szCs w:val="22"/>
        </w:rPr>
      </w:pPr>
      <w:r>
        <w:t xml:space="preserve">The framework </w:t>
      </w:r>
      <w:r w:rsidR="009A1276">
        <w:t>establishes</w:t>
      </w:r>
      <w:r>
        <w:t xml:space="preserve"> the </w:t>
      </w:r>
      <w:r w:rsidRPr="003E42BB">
        <w:t>statutory principle that children and young people should be engaged about intended information sharing w</w:t>
      </w:r>
      <w:r>
        <w:t>henever practical and desirable.</w:t>
      </w:r>
      <w:r>
        <w:rPr>
          <w:sz w:val="22"/>
          <w:szCs w:val="22"/>
        </w:rPr>
        <w:t xml:space="preserve"> </w:t>
      </w:r>
      <w:r>
        <w:t xml:space="preserve">This principle applies to the entire risk spectrum, not just low risk scenarios. It does not, however, establish consent as a statutory requirement.  This would create undue risk for children and young people at risk of harm, and would negate the need </w:t>
      </w:r>
      <w:r>
        <w:lastRenderedPageBreak/>
        <w:t xml:space="preserve">for legislative reform.  </w:t>
      </w:r>
      <w:r w:rsidR="009A1276">
        <w:t>Nonetheless, i</w:t>
      </w:r>
      <w:r>
        <w:t>n many situations a consent-based approach will be both practical and desirable.  The setting of expectations about the appropriate use of consent can best be given expression through the issuance of guidance tailored for specific professions and situations, rather than through codifying detailed requirements in legislation.  At the high end of the spectrum, such as cases of serious child abuse, practitioners will face starker choices about whether to engage with a family about information sharing</w:t>
      </w:r>
    </w:p>
    <w:p w14:paraId="1C313ADA" w14:textId="77777777" w:rsidR="009A1276" w:rsidRPr="00B42C7B" w:rsidRDefault="009A1276" w:rsidP="009A1276">
      <w:pPr>
        <w:pStyle w:val="MOJNumPara"/>
        <w:numPr>
          <w:ilvl w:val="0"/>
          <w:numId w:val="0"/>
        </w:numPr>
        <w:tabs>
          <w:tab w:val="left" w:pos="1276"/>
        </w:tabs>
        <w:ind w:left="709" w:right="-142"/>
        <w:rPr>
          <w:b/>
          <w:i/>
          <w:sz w:val="22"/>
          <w:szCs w:val="22"/>
        </w:rPr>
      </w:pPr>
      <w:r w:rsidRPr="00B42C7B">
        <w:rPr>
          <w:b/>
          <w:i/>
          <w:sz w:val="22"/>
          <w:szCs w:val="22"/>
        </w:rPr>
        <w:t>Enabling provision</w:t>
      </w:r>
    </w:p>
    <w:p w14:paraId="27AB795D" w14:textId="77777777" w:rsidR="009A1276" w:rsidRPr="009A1276" w:rsidRDefault="009A1276" w:rsidP="00F6637E">
      <w:pPr>
        <w:pStyle w:val="MOJNumPara"/>
        <w:numPr>
          <w:ilvl w:val="0"/>
          <w:numId w:val="31"/>
        </w:numPr>
        <w:tabs>
          <w:tab w:val="left" w:pos="1276"/>
        </w:tabs>
        <w:ind w:left="1276" w:right="-142" w:hanging="567"/>
        <w:rPr>
          <w:sz w:val="22"/>
          <w:szCs w:val="22"/>
        </w:rPr>
      </w:pPr>
      <w:r>
        <w:rPr>
          <w:rFonts w:cs="Arial"/>
        </w:rPr>
        <w:t>T</w:t>
      </w:r>
      <w:r w:rsidRPr="009A1276">
        <w:rPr>
          <w:rFonts w:cs="Arial"/>
        </w:rPr>
        <w:t>he new enabling provision will allow linked data-sets of identifiable personal information sourced from multiple agencies to be analysed for operational purposes, primarily for the purpose of risk and needs assessment.  Given it will not always be practical to engage with children, young people and their families about the use of their personal information in analysis of this nature, any child welfare and protection agency undertaking activity of this nature will be required to be transparent about the information they use, the purposes for which it is used, and the privacy protections they have implemented.  This transparency will allow these activities to be subject to public scrutiny</w:t>
      </w:r>
      <w:r>
        <w:rPr>
          <w:rFonts w:cs="Arial"/>
        </w:rPr>
        <w:t>.</w:t>
      </w:r>
    </w:p>
    <w:p w14:paraId="785BB927" w14:textId="77777777" w:rsidR="00B42C7B" w:rsidRPr="00B42C7B" w:rsidRDefault="00B42C7B" w:rsidP="009A1276">
      <w:pPr>
        <w:pStyle w:val="MOJNumPara"/>
        <w:numPr>
          <w:ilvl w:val="0"/>
          <w:numId w:val="0"/>
        </w:numPr>
        <w:tabs>
          <w:tab w:val="left" w:pos="1276"/>
        </w:tabs>
        <w:ind w:left="709" w:right="-142"/>
        <w:rPr>
          <w:b/>
          <w:i/>
          <w:sz w:val="22"/>
          <w:szCs w:val="22"/>
        </w:rPr>
      </w:pPr>
      <w:r w:rsidRPr="00B42C7B">
        <w:rPr>
          <w:b/>
          <w:i/>
        </w:rPr>
        <w:t>Presumptive Provision</w:t>
      </w:r>
      <w:r>
        <w:rPr>
          <w:b/>
          <w:i/>
        </w:rPr>
        <w:t xml:space="preserve"> (“must share unless”)</w:t>
      </w:r>
    </w:p>
    <w:p w14:paraId="71DAFB3C" w14:textId="77777777" w:rsidR="006017CA" w:rsidRPr="009A1276" w:rsidRDefault="009A1276" w:rsidP="00F6637E">
      <w:pPr>
        <w:pStyle w:val="MOJNumPara"/>
        <w:numPr>
          <w:ilvl w:val="0"/>
          <w:numId w:val="31"/>
        </w:numPr>
        <w:tabs>
          <w:tab w:val="left" w:pos="1276"/>
        </w:tabs>
        <w:ind w:left="1276" w:right="-142" w:hanging="567"/>
        <w:rPr>
          <w:sz w:val="22"/>
          <w:szCs w:val="22"/>
        </w:rPr>
      </w:pPr>
      <w:r>
        <w:rPr>
          <w:sz w:val="22"/>
          <w:szCs w:val="22"/>
        </w:rPr>
        <w:t>T</w:t>
      </w:r>
      <w:r w:rsidR="006017CA" w:rsidRPr="009A1276">
        <w:rPr>
          <w:sz w:val="22"/>
          <w:szCs w:val="22"/>
        </w:rPr>
        <w:t xml:space="preserve">here will be an obligation on any supplier of information to hold a “reasonable belief” the information will assist the recipient to fulfil any of the purposes specified in Part 2, and requires any requestor to provide sufficient evidence about the purpose served by the proposed disclosure.  Reasonable belief is an objective criterion that can </w:t>
      </w:r>
      <w:r w:rsidR="008F661B">
        <w:rPr>
          <w:sz w:val="22"/>
          <w:szCs w:val="22"/>
        </w:rPr>
        <w:t xml:space="preserve">be </w:t>
      </w:r>
      <w:r w:rsidR="006017CA" w:rsidRPr="009A1276">
        <w:rPr>
          <w:sz w:val="22"/>
          <w:szCs w:val="22"/>
        </w:rPr>
        <w:t xml:space="preserve">tested in legal proceedings.  </w:t>
      </w:r>
    </w:p>
    <w:p w14:paraId="78E5268D" w14:textId="77777777" w:rsidR="006017CA" w:rsidRPr="00B42C7B" w:rsidRDefault="009A1276" w:rsidP="00F6637E">
      <w:pPr>
        <w:pStyle w:val="MOJNumPara"/>
        <w:numPr>
          <w:ilvl w:val="0"/>
          <w:numId w:val="31"/>
        </w:numPr>
        <w:tabs>
          <w:tab w:val="left" w:pos="1276"/>
        </w:tabs>
        <w:ind w:left="1276" w:right="-142" w:hanging="567"/>
        <w:rPr>
          <w:sz w:val="22"/>
          <w:szCs w:val="22"/>
        </w:rPr>
      </w:pPr>
      <w:r>
        <w:rPr>
          <w:sz w:val="22"/>
          <w:szCs w:val="22"/>
        </w:rPr>
        <w:t>A</w:t>
      </w:r>
      <w:r w:rsidR="006017CA" w:rsidRPr="007B3099">
        <w:rPr>
          <w:sz w:val="22"/>
          <w:szCs w:val="22"/>
        </w:rPr>
        <w:t xml:space="preserve"> child welfare and protection or independent person will have a number of grounds for declining a request for information, including where disclosure is likely to increase the risk of a child or young person being subject to harm, ill-treatment, abuse, neglect or deprivation, and where a child has expressly not given consent to disclosure </w:t>
      </w:r>
      <w:r w:rsidR="006017CA" w:rsidRPr="008F661B">
        <w:rPr>
          <w:sz w:val="22"/>
          <w:szCs w:val="22"/>
          <w:u w:val="single"/>
        </w:rPr>
        <w:t>and</w:t>
      </w:r>
      <w:r w:rsidR="006017CA" w:rsidRPr="007B3099">
        <w:rPr>
          <w:sz w:val="22"/>
          <w:szCs w:val="22"/>
        </w:rPr>
        <w:t xml:space="preserve"> disclosure is not in their best interests</w:t>
      </w:r>
      <w:r w:rsidR="00B42C7B">
        <w:rPr>
          <w:sz w:val="22"/>
          <w:szCs w:val="22"/>
        </w:rPr>
        <w:t>.</w:t>
      </w:r>
    </w:p>
    <w:p w14:paraId="0A04F5DF" w14:textId="77777777" w:rsidR="00B42C7B" w:rsidRPr="00B42C7B" w:rsidRDefault="00B42C7B" w:rsidP="00B42C7B">
      <w:pPr>
        <w:pStyle w:val="MOJNumPara"/>
        <w:numPr>
          <w:ilvl w:val="0"/>
          <w:numId w:val="0"/>
        </w:numPr>
        <w:tabs>
          <w:tab w:val="left" w:pos="1276"/>
        </w:tabs>
        <w:ind w:left="709" w:right="-142"/>
        <w:rPr>
          <w:b/>
          <w:i/>
          <w:sz w:val="22"/>
          <w:szCs w:val="22"/>
        </w:rPr>
      </w:pPr>
      <w:r w:rsidRPr="00B42C7B">
        <w:rPr>
          <w:b/>
          <w:i/>
          <w:sz w:val="22"/>
          <w:szCs w:val="22"/>
        </w:rPr>
        <w:t>Information Privacy Principles still apply</w:t>
      </w:r>
    </w:p>
    <w:p w14:paraId="7B592F38" w14:textId="77777777" w:rsidR="00A05990" w:rsidRPr="003E42BB" w:rsidRDefault="003E42BB" w:rsidP="00F6637E">
      <w:pPr>
        <w:pStyle w:val="MOJNumPara"/>
        <w:numPr>
          <w:ilvl w:val="0"/>
          <w:numId w:val="31"/>
        </w:numPr>
        <w:tabs>
          <w:tab w:val="left" w:pos="1276"/>
        </w:tabs>
        <w:ind w:left="1276" w:right="-142" w:hanging="567"/>
      </w:pPr>
      <w:r w:rsidRPr="003E42BB">
        <w:t xml:space="preserve">The privacy </w:t>
      </w:r>
      <w:r w:rsidR="00A05990" w:rsidRPr="003E42BB">
        <w:t>protections in the Privacy Act will continue to apply, unless overridden</w:t>
      </w:r>
      <w:r w:rsidRPr="003E42BB">
        <w:t xml:space="preserve"> by the</w:t>
      </w:r>
      <w:r w:rsidR="00A05990" w:rsidRPr="003E42BB">
        <w:t xml:space="preserve"> legislative reforms.  Accordingly, </w:t>
      </w:r>
      <w:r w:rsidRPr="003E42BB">
        <w:t xml:space="preserve">all </w:t>
      </w:r>
      <w:r w:rsidR="00A05990" w:rsidRPr="003E42BB">
        <w:t>information exchanges</w:t>
      </w:r>
      <w:r w:rsidRPr="003E42BB">
        <w:t xml:space="preserve"> authorised by th</w:t>
      </w:r>
      <w:r w:rsidR="00A05990" w:rsidRPr="003E42BB">
        <w:t>e legislative reform will still be subject to</w:t>
      </w:r>
      <w:r>
        <w:t xml:space="preserve"> the relevant </w:t>
      </w:r>
      <w:r w:rsidRPr="003E42BB">
        <w:rPr>
          <w:i/>
        </w:rPr>
        <w:t>Information Privacy Principles</w:t>
      </w:r>
      <w:r>
        <w:t>, including:</w:t>
      </w:r>
    </w:p>
    <w:p w14:paraId="277574ED" w14:textId="77777777" w:rsidR="003E42BB" w:rsidRPr="003E42BB" w:rsidRDefault="00A05990" w:rsidP="00F6637E">
      <w:pPr>
        <w:pStyle w:val="Heading4"/>
        <w:numPr>
          <w:ilvl w:val="0"/>
          <w:numId w:val="30"/>
        </w:numPr>
        <w:shd w:val="clear" w:color="auto" w:fill="FFFFFF"/>
        <w:tabs>
          <w:tab w:val="left" w:pos="1843"/>
        </w:tabs>
        <w:spacing w:before="120" w:after="0"/>
        <w:ind w:left="1843" w:hanging="567"/>
        <w:jc w:val="both"/>
        <w:rPr>
          <w:b w:val="0"/>
          <w:color w:val="333333"/>
          <w:sz w:val="23"/>
          <w:szCs w:val="23"/>
        </w:rPr>
      </w:pPr>
      <w:r w:rsidRPr="003E42BB">
        <w:rPr>
          <w:b w:val="0"/>
          <w:color w:val="auto"/>
          <w:sz w:val="23"/>
          <w:szCs w:val="23"/>
        </w:rPr>
        <w:t>Principle 5</w:t>
      </w:r>
      <w:r w:rsidRPr="003E42BB">
        <w:rPr>
          <w:b w:val="0"/>
          <w:sz w:val="23"/>
          <w:szCs w:val="23"/>
        </w:rPr>
        <w:t xml:space="preserve"> </w:t>
      </w:r>
      <w:r w:rsidR="00D76BEA" w:rsidRPr="003E42BB">
        <w:rPr>
          <w:b w:val="0"/>
          <w:sz w:val="23"/>
          <w:szCs w:val="23"/>
        </w:rPr>
        <w:t>(</w:t>
      </w:r>
      <w:r w:rsidRPr="003E42BB">
        <w:rPr>
          <w:b w:val="0"/>
          <w:color w:val="333333"/>
          <w:sz w:val="23"/>
          <w:szCs w:val="23"/>
        </w:rPr>
        <w:t xml:space="preserve">Storage and </w:t>
      </w:r>
      <w:r w:rsidR="00D76BEA" w:rsidRPr="003E42BB">
        <w:rPr>
          <w:b w:val="0"/>
          <w:color w:val="333333"/>
          <w:sz w:val="23"/>
          <w:szCs w:val="23"/>
        </w:rPr>
        <w:t>security of personal information)</w:t>
      </w:r>
      <w:r w:rsidR="003E42BB" w:rsidRPr="003E42BB">
        <w:rPr>
          <w:b w:val="0"/>
          <w:color w:val="333333"/>
          <w:sz w:val="23"/>
          <w:szCs w:val="23"/>
        </w:rPr>
        <w:t xml:space="preserve"> </w:t>
      </w:r>
      <w:r w:rsidR="003E42BB">
        <w:rPr>
          <w:b w:val="0"/>
          <w:i w:val="0"/>
          <w:color w:val="333333"/>
          <w:sz w:val="23"/>
          <w:szCs w:val="23"/>
        </w:rPr>
        <w:t>which requires</w:t>
      </w:r>
      <w:r w:rsidR="003E42BB" w:rsidRPr="003E42BB">
        <w:rPr>
          <w:b w:val="0"/>
          <w:i w:val="0"/>
          <w:color w:val="333333"/>
          <w:sz w:val="23"/>
          <w:szCs w:val="23"/>
        </w:rPr>
        <w:t xml:space="preserve"> any </w:t>
      </w:r>
      <w:r w:rsidRPr="003E42BB">
        <w:rPr>
          <w:b w:val="0"/>
          <w:i w:val="0"/>
          <w:color w:val="333333"/>
          <w:sz w:val="23"/>
          <w:szCs w:val="23"/>
        </w:rPr>
        <w:t>agency holding person</w:t>
      </w:r>
      <w:r w:rsidR="003E42BB" w:rsidRPr="003E42BB">
        <w:rPr>
          <w:b w:val="0"/>
          <w:i w:val="0"/>
          <w:color w:val="333333"/>
          <w:sz w:val="23"/>
          <w:szCs w:val="23"/>
        </w:rPr>
        <w:t xml:space="preserve">al information </w:t>
      </w:r>
      <w:r w:rsidR="003E42BB">
        <w:rPr>
          <w:b w:val="0"/>
          <w:i w:val="0"/>
          <w:color w:val="333333"/>
          <w:sz w:val="23"/>
          <w:szCs w:val="23"/>
        </w:rPr>
        <w:t xml:space="preserve">to ensure </w:t>
      </w:r>
      <w:r w:rsidRPr="003E42BB">
        <w:rPr>
          <w:b w:val="0"/>
          <w:i w:val="0"/>
          <w:color w:val="333333"/>
          <w:sz w:val="23"/>
          <w:szCs w:val="23"/>
        </w:rPr>
        <w:t>there are reasonable safeguards against loss, m</w:t>
      </w:r>
      <w:r w:rsidR="003E42BB" w:rsidRPr="003E42BB">
        <w:rPr>
          <w:b w:val="0"/>
          <w:i w:val="0"/>
          <w:color w:val="333333"/>
          <w:sz w:val="23"/>
          <w:szCs w:val="23"/>
        </w:rPr>
        <w:t>isuse or unauthorised disclosure of information</w:t>
      </w:r>
    </w:p>
    <w:p w14:paraId="60136C0E" w14:textId="77777777" w:rsidR="00B74558" w:rsidRPr="00B74558" w:rsidRDefault="003E42BB" w:rsidP="00F6637E">
      <w:pPr>
        <w:pStyle w:val="Heading4"/>
        <w:numPr>
          <w:ilvl w:val="0"/>
          <w:numId w:val="30"/>
        </w:numPr>
        <w:shd w:val="clear" w:color="auto" w:fill="FFFFFF"/>
        <w:tabs>
          <w:tab w:val="left" w:pos="1843"/>
        </w:tabs>
        <w:spacing w:before="120" w:after="0"/>
        <w:ind w:left="1843" w:hanging="567"/>
        <w:jc w:val="both"/>
        <w:rPr>
          <w:b w:val="0"/>
          <w:color w:val="333333"/>
          <w:sz w:val="23"/>
          <w:szCs w:val="23"/>
        </w:rPr>
      </w:pPr>
      <w:r w:rsidRPr="003E42BB">
        <w:rPr>
          <w:b w:val="0"/>
          <w:color w:val="333333"/>
          <w:sz w:val="23"/>
          <w:szCs w:val="23"/>
        </w:rPr>
        <w:t>Principle 6 (</w:t>
      </w:r>
      <w:r w:rsidR="00D76BEA" w:rsidRPr="003E42BB">
        <w:rPr>
          <w:b w:val="0"/>
          <w:color w:val="333333"/>
          <w:sz w:val="23"/>
          <w:szCs w:val="23"/>
        </w:rPr>
        <w:t>Access to personal information</w:t>
      </w:r>
      <w:r w:rsidRPr="003E42BB">
        <w:rPr>
          <w:b w:val="0"/>
          <w:color w:val="333333"/>
          <w:sz w:val="23"/>
          <w:szCs w:val="23"/>
        </w:rPr>
        <w:t xml:space="preserve">) </w:t>
      </w:r>
      <w:r w:rsidRPr="003E42BB">
        <w:rPr>
          <w:b w:val="0"/>
          <w:i w:val="0"/>
          <w:color w:val="333333"/>
          <w:sz w:val="23"/>
          <w:szCs w:val="23"/>
        </w:rPr>
        <w:t xml:space="preserve">which entitles any individual to </w:t>
      </w:r>
      <w:r w:rsidR="00D76BEA" w:rsidRPr="003E42BB">
        <w:rPr>
          <w:b w:val="0"/>
          <w:i w:val="0"/>
          <w:color w:val="333333"/>
          <w:sz w:val="23"/>
          <w:szCs w:val="23"/>
        </w:rPr>
        <w:t xml:space="preserve">have access to information </w:t>
      </w:r>
      <w:r w:rsidRPr="003E42BB">
        <w:rPr>
          <w:b w:val="0"/>
          <w:i w:val="0"/>
          <w:color w:val="333333"/>
          <w:sz w:val="23"/>
          <w:szCs w:val="23"/>
        </w:rPr>
        <w:t xml:space="preserve">held </w:t>
      </w:r>
      <w:r w:rsidR="00D76BEA" w:rsidRPr="003E42BB">
        <w:rPr>
          <w:b w:val="0"/>
          <w:i w:val="0"/>
          <w:color w:val="333333"/>
          <w:sz w:val="23"/>
          <w:szCs w:val="23"/>
        </w:rPr>
        <w:t>about them</w:t>
      </w:r>
      <w:r w:rsidRPr="003E42BB">
        <w:rPr>
          <w:b w:val="0"/>
          <w:i w:val="0"/>
          <w:color w:val="333333"/>
          <w:sz w:val="23"/>
          <w:szCs w:val="23"/>
        </w:rPr>
        <w:t xml:space="preserve">, and to correct any errors under </w:t>
      </w:r>
      <w:r w:rsidRPr="003E42BB">
        <w:rPr>
          <w:b w:val="0"/>
          <w:color w:val="auto"/>
          <w:sz w:val="23"/>
          <w:szCs w:val="23"/>
        </w:rPr>
        <w:t xml:space="preserve">Information Privacy Principle </w:t>
      </w:r>
      <w:r w:rsidRPr="003E42BB">
        <w:rPr>
          <w:b w:val="0"/>
          <w:sz w:val="23"/>
          <w:szCs w:val="23"/>
        </w:rPr>
        <w:t>7</w:t>
      </w:r>
    </w:p>
    <w:p w14:paraId="64254B9F" w14:textId="77777777" w:rsidR="00A05990" w:rsidRPr="00B74558" w:rsidRDefault="00D76BEA" w:rsidP="00F6637E">
      <w:pPr>
        <w:pStyle w:val="Heading4"/>
        <w:numPr>
          <w:ilvl w:val="0"/>
          <w:numId w:val="30"/>
        </w:numPr>
        <w:shd w:val="clear" w:color="auto" w:fill="FFFFFF"/>
        <w:tabs>
          <w:tab w:val="left" w:pos="1843"/>
        </w:tabs>
        <w:spacing w:before="120" w:after="0"/>
        <w:ind w:left="1843" w:hanging="567"/>
        <w:jc w:val="both"/>
        <w:rPr>
          <w:b w:val="0"/>
          <w:color w:val="333333"/>
          <w:sz w:val="23"/>
          <w:szCs w:val="23"/>
        </w:rPr>
      </w:pPr>
      <w:r w:rsidRPr="00B74558">
        <w:rPr>
          <w:b w:val="0"/>
          <w:color w:val="333333"/>
          <w:sz w:val="23"/>
          <w:szCs w:val="23"/>
        </w:rPr>
        <w:t>Principle 8</w:t>
      </w:r>
      <w:r w:rsidR="00B74558">
        <w:rPr>
          <w:b w:val="0"/>
          <w:color w:val="333333"/>
          <w:sz w:val="23"/>
          <w:szCs w:val="23"/>
        </w:rPr>
        <w:t xml:space="preserve"> (</w:t>
      </w:r>
      <w:r w:rsidRPr="00B74558">
        <w:rPr>
          <w:b w:val="0"/>
          <w:color w:val="333333"/>
          <w:sz w:val="23"/>
          <w:szCs w:val="23"/>
        </w:rPr>
        <w:t>Accuracy of per</w:t>
      </w:r>
      <w:r w:rsidR="00B74558">
        <w:rPr>
          <w:b w:val="0"/>
          <w:color w:val="333333"/>
          <w:sz w:val="23"/>
          <w:szCs w:val="23"/>
        </w:rPr>
        <w:t xml:space="preserve">sonal information) </w:t>
      </w:r>
      <w:r w:rsidR="00B74558" w:rsidRPr="00B74558">
        <w:rPr>
          <w:b w:val="0"/>
          <w:i w:val="0"/>
          <w:color w:val="333333"/>
          <w:sz w:val="23"/>
          <w:szCs w:val="23"/>
        </w:rPr>
        <w:t xml:space="preserve">which stipulates that an </w:t>
      </w:r>
      <w:r w:rsidRPr="00B74558">
        <w:rPr>
          <w:b w:val="0"/>
          <w:i w:val="0"/>
          <w:color w:val="333333"/>
          <w:sz w:val="23"/>
          <w:szCs w:val="23"/>
        </w:rPr>
        <w:t>agency must not use or disclose personal information without taking reasonable steps to check it is accurate, complete, relevant, up to date, and not misleading.</w:t>
      </w:r>
    </w:p>
    <w:p w14:paraId="05D2FA3E" w14:textId="77777777" w:rsidR="008F661B" w:rsidRDefault="00B74558" w:rsidP="00B74558">
      <w:pPr>
        <w:pStyle w:val="MOJNumPara"/>
        <w:spacing w:before="200"/>
        <w:ind w:right="-142"/>
      </w:pPr>
      <w:r>
        <w:t>Given the safeguards that have been built into the proposals, we are satisfied that any social costs created by the framework will be outweighed by the social benefits it facilitates</w:t>
      </w:r>
      <w:r w:rsidR="001E6908">
        <w:t>.  These benefits include</w:t>
      </w:r>
      <w:r w:rsidR="008F661B">
        <w:t>, over time,</w:t>
      </w:r>
      <w:r w:rsidR="001E6908">
        <w:t xml:space="preserve"> </w:t>
      </w:r>
      <w:r w:rsidR="002C0ECA">
        <w:t xml:space="preserve">the reduced placement of children into statutory care or </w:t>
      </w:r>
      <w:r w:rsidR="002C0ECA">
        <w:lastRenderedPageBreak/>
        <w:t>protection</w:t>
      </w:r>
      <w:r w:rsidR="008F661B">
        <w:t xml:space="preserve"> (though in the initial period placements may spike given the evidence better risk assessment will see more children meet the threshold for statutory care or protection).</w:t>
      </w:r>
    </w:p>
    <w:p w14:paraId="09D6CA15" w14:textId="77777777" w:rsidR="00A05990" w:rsidRPr="00813AA7" w:rsidRDefault="00A05990" w:rsidP="00B74558">
      <w:pPr>
        <w:pStyle w:val="MOJNumPara"/>
        <w:numPr>
          <w:ilvl w:val="0"/>
          <w:numId w:val="0"/>
        </w:numPr>
        <w:spacing w:before="240"/>
        <w:rPr>
          <w:b/>
          <w:i/>
          <w:color w:val="263E78"/>
        </w:rPr>
      </w:pPr>
      <w:r w:rsidRPr="00813AA7">
        <w:rPr>
          <w:b/>
          <w:i/>
          <w:color w:val="263E78"/>
        </w:rPr>
        <w:t>Fiscal Costs</w:t>
      </w:r>
    </w:p>
    <w:p w14:paraId="16225942" w14:textId="43F008E5" w:rsidR="00EA0F84" w:rsidRDefault="00EA0F84" w:rsidP="00EA0F84">
      <w:pPr>
        <w:pStyle w:val="MOJNumPara"/>
      </w:pPr>
      <w:r w:rsidRPr="00A67FE8">
        <w:rPr>
          <w:b/>
        </w:rPr>
        <w:t>[Section 9(2)(f)(iv) OIA]</w:t>
      </w:r>
      <w:r>
        <w:rPr>
          <w:b/>
        </w:rPr>
        <w:t xml:space="preserve"> </w:t>
      </w:r>
      <w:r>
        <w:t>This cost will arise in two areas:</w:t>
      </w:r>
    </w:p>
    <w:p w14:paraId="1B718AC6" w14:textId="77777777" w:rsidR="00EA0F84" w:rsidRPr="00F412FD" w:rsidRDefault="00EA0F84" w:rsidP="00EA0F84">
      <w:pPr>
        <w:pStyle w:val="Bullet-list"/>
      </w:pPr>
      <w:r w:rsidRPr="00A67FE8">
        <w:rPr>
          <w:b/>
        </w:rPr>
        <w:t>Compliance costs</w:t>
      </w:r>
      <w:r w:rsidRPr="00F412FD">
        <w:t>, specifically those arising from the new request-based information sharing provisions.  These costs will be heavily concentrated in the Ministry for Vulnerable Children, Oranga Tamariki because it will have the largest holdings of personal information about vulnerable children and young people and will be subject to the most requests.  The experience in New South Wales suggests the Ministry for Vulnerable Children, Oranga Tamariki may require between 10-15 FTE to process information requests from other child welfare and protection a</w:t>
      </w:r>
      <w:r>
        <w:t>gencies and independent person</w:t>
      </w:r>
      <w:r w:rsidRPr="00A67FE8">
        <w:rPr>
          <w:b/>
        </w:rPr>
        <w:t xml:space="preserve"> [Section 9(2</w:t>
      </w:r>
      <w:proofErr w:type="gramStart"/>
      <w:r w:rsidRPr="00A67FE8">
        <w:rPr>
          <w:b/>
        </w:rPr>
        <w:t>)(</w:t>
      </w:r>
      <w:proofErr w:type="gramEnd"/>
      <w:r w:rsidRPr="00A67FE8">
        <w:rPr>
          <w:b/>
        </w:rPr>
        <w:t>f)(iv) OIA].</w:t>
      </w:r>
    </w:p>
    <w:p w14:paraId="6DE5890C" w14:textId="77777777" w:rsidR="00EA0F84" w:rsidRPr="00F412FD" w:rsidRDefault="00EA0F84" w:rsidP="00EA0F84">
      <w:pPr>
        <w:pStyle w:val="MOJNumPara"/>
        <w:numPr>
          <w:ilvl w:val="0"/>
          <w:numId w:val="0"/>
        </w:numPr>
        <w:tabs>
          <w:tab w:val="left" w:pos="1276"/>
        </w:tabs>
        <w:ind w:left="1276" w:hanging="567"/>
      </w:pPr>
      <w:r>
        <w:tab/>
      </w:r>
      <w:r w:rsidRPr="00F412FD">
        <w:t xml:space="preserve">Other child welfare and protection agencies and independent persons may also </w:t>
      </w:r>
      <w:r>
        <w:t xml:space="preserve">experience </w:t>
      </w:r>
      <w:r w:rsidRPr="00F412FD">
        <w:t>increased compliance costs, but the impa</w:t>
      </w:r>
      <w:r>
        <w:t xml:space="preserve">ct will be widely dispersed with </w:t>
      </w:r>
      <w:r w:rsidRPr="00F412FD">
        <w:t xml:space="preserve">most agencies and practitioners </w:t>
      </w:r>
      <w:r>
        <w:t>only making</w:t>
      </w:r>
      <w:r w:rsidRPr="00F412FD">
        <w:t xml:space="preserve"> or be</w:t>
      </w:r>
      <w:r>
        <w:t>ing</w:t>
      </w:r>
      <w:r w:rsidRPr="00F412FD">
        <w:t xml:space="preserve"> the subject of requests on an infrequent basis. </w:t>
      </w:r>
      <w:r>
        <w:t xml:space="preserve">Given the dispersed nature of these costs we do not propose any agency outside the </w:t>
      </w:r>
      <w:r w:rsidRPr="00F412FD">
        <w:t>Ministry for Vulnerable Children, Oranga Tamariki</w:t>
      </w:r>
      <w:r>
        <w:t xml:space="preserve"> should be compensated for the additional compliance burden associated with the framework. </w:t>
      </w:r>
    </w:p>
    <w:p w14:paraId="19C77744" w14:textId="77777777" w:rsidR="00EA0F84" w:rsidRDefault="00EA0F84" w:rsidP="00EA0F84">
      <w:pPr>
        <w:pStyle w:val="Bullet-list"/>
      </w:pPr>
      <w:r w:rsidRPr="00A67FE8">
        <w:rPr>
          <w:b/>
        </w:rPr>
        <w:t>Training and guidance</w:t>
      </w:r>
      <w:r w:rsidRPr="00F412FD">
        <w:t xml:space="preserve">, for child welfare and protection agencies and independent persons using the new framework.  This is essential to achieve a change in </w:t>
      </w:r>
      <w:proofErr w:type="spellStart"/>
      <w:r w:rsidRPr="00F412FD">
        <w:t>mindsets</w:t>
      </w:r>
      <w:proofErr w:type="spellEnd"/>
      <w:r w:rsidRPr="00F412FD">
        <w:t xml:space="preserve"> and behaviours, and will need to be sustained over a number of years to embed the ne</w:t>
      </w:r>
      <w:r>
        <w:t xml:space="preserve">w ways of sharing information. </w:t>
      </w:r>
      <w:r w:rsidRPr="00A67FE8">
        <w:rPr>
          <w:b/>
        </w:rPr>
        <w:t>[Section 9(2)(f)(iv) OIA]</w:t>
      </w:r>
      <w:r>
        <w:t xml:space="preserve"> </w:t>
      </w:r>
    </w:p>
    <w:p w14:paraId="426BDF65" w14:textId="77777777" w:rsidR="00A05990" w:rsidRPr="008C2916" w:rsidRDefault="00A05990" w:rsidP="00A05990">
      <w:pPr>
        <w:pStyle w:val="MOJNumPara"/>
        <w:spacing w:before="200"/>
        <w:ind w:right="-142"/>
      </w:pPr>
      <w:r w:rsidRPr="00F412FD">
        <w:t>Further decisions on the reasonable costs for implementing the framework will be made during the development of the operating model for the Ministry for Vulnerable Children, Oranga Tamariki.  Fiscal allocations will be confirmed through the Budget process and align with wider decisions on services and the funding for the new Ministry</w:t>
      </w:r>
      <w:r>
        <w:t>.</w:t>
      </w:r>
    </w:p>
    <w:p w14:paraId="3F660C0B" w14:textId="77777777" w:rsidR="00A05990" w:rsidRPr="00A05990" w:rsidRDefault="00A05990" w:rsidP="00A05990">
      <w:pPr>
        <w:pStyle w:val="MOJNumPara"/>
        <w:numPr>
          <w:ilvl w:val="0"/>
          <w:numId w:val="0"/>
        </w:numPr>
        <w:spacing w:before="200"/>
        <w:ind w:right="-142"/>
        <w:rPr>
          <w:b/>
          <w:i/>
        </w:rPr>
      </w:pPr>
      <w:r w:rsidRPr="00A05990">
        <w:rPr>
          <w:b/>
          <w:i/>
        </w:rPr>
        <w:t>Cost Benefit Analysis</w:t>
      </w:r>
    </w:p>
    <w:p w14:paraId="48E8E07B" w14:textId="77777777" w:rsidR="00F412FD" w:rsidRDefault="00F412FD" w:rsidP="00A05990">
      <w:pPr>
        <w:pStyle w:val="MOJNumPara"/>
        <w:ind w:right="-142"/>
      </w:pPr>
      <w:r w:rsidRPr="008C2916">
        <w:t xml:space="preserve">Given the information sharing framework is an enabler for the wider reforms to Child Youth and Family, </w:t>
      </w:r>
      <w:r w:rsidR="008C2916">
        <w:t>there are challenges in undertaking</w:t>
      </w:r>
      <w:r w:rsidRPr="008C2916">
        <w:t xml:space="preserve"> a formal cost benefit analysis of the framework in isolation.  This is because the benefits derived from the framework are largely in the form of the earlier consumption of services and s</w:t>
      </w:r>
      <w:r w:rsidR="008C2916">
        <w:t xml:space="preserve">upports facilitated by the </w:t>
      </w:r>
      <w:r w:rsidR="008C2916" w:rsidRPr="00F412FD">
        <w:t>Ministry for Vulnerable Children, Oranga Tamariki</w:t>
      </w:r>
      <w:r w:rsidRPr="008C2916">
        <w:t xml:space="preserve">, </w:t>
      </w:r>
      <w:r w:rsidR="008C2916">
        <w:t xml:space="preserve">along with the </w:t>
      </w:r>
      <w:r w:rsidRPr="008C2916">
        <w:t xml:space="preserve">better matching of services to </w:t>
      </w:r>
      <w:r w:rsidR="008C2916">
        <w:t xml:space="preserve">a child’s </w:t>
      </w:r>
      <w:r w:rsidRPr="008C2916">
        <w:t xml:space="preserve">assessed needs.  These benefits </w:t>
      </w:r>
      <w:r w:rsidR="008C2916">
        <w:t xml:space="preserve">will </w:t>
      </w:r>
      <w:r w:rsidRPr="008C2916">
        <w:t xml:space="preserve">serve to reduce the forward fiscal liability, but they may already be captured in the modelling of specific service lines and </w:t>
      </w:r>
      <w:r w:rsidR="008C2916">
        <w:t xml:space="preserve">the overall reform package. </w:t>
      </w:r>
      <w:r w:rsidR="00A05990">
        <w:t xml:space="preserve"> Undertaking a</w:t>
      </w:r>
      <w:r w:rsidRPr="008C2916">
        <w:t xml:space="preserve"> separate analysis creates the risk of double counting benefits.  </w:t>
      </w:r>
    </w:p>
    <w:p w14:paraId="28F8AA66" w14:textId="504511D8" w:rsidR="008F7E33" w:rsidRPr="008C2916" w:rsidRDefault="00F412FD" w:rsidP="00A05990">
      <w:pPr>
        <w:pStyle w:val="MOJNumPara"/>
        <w:spacing w:before="200"/>
        <w:ind w:right="-142"/>
      </w:pPr>
      <w:r w:rsidRPr="008C2916">
        <w:t xml:space="preserve">Notwithstanding these grounds for caution, </w:t>
      </w:r>
      <w:r w:rsidR="00A67FE8" w:rsidRPr="00A67FE8">
        <w:rPr>
          <w:b/>
        </w:rPr>
        <w:t>[Section 9(2)(f)(iv) OIA]</w:t>
      </w:r>
      <w:r w:rsidR="00A67FE8">
        <w:t xml:space="preserve"> </w:t>
      </w:r>
      <w:r w:rsidR="008C2916" w:rsidRPr="008C2916">
        <w:t>our assessment is that it</w:t>
      </w:r>
      <w:r w:rsidRPr="008C2916">
        <w:t xml:space="preserve"> will more than </w:t>
      </w:r>
      <w:r w:rsidR="008F7E33" w:rsidRPr="008C2916">
        <w:t xml:space="preserve">‘pay for itself’ in terms of social costs avoided in the event there are two fewer preventable deaths </w:t>
      </w:r>
      <w:r w:rsidR="008C2916">
        <w:t xml:space="preserve">each </w:t>
      </w:r>
      <w:r w:rsidR="008F7E33" w:rsidRPr="008C2916">
        <w:t xml:space="preserve">year </w:t>
      </w:r>
      <w:r w:rsidR="008C2916">
        <w:t xml:space="preserve">that can be attributed to </w:t>
      </w:r>
      <w:r w:rsidR="008F7E33" w:rsidRPr="008C2916">
        <w:t>the framework’s impact.</w:t>
      </w:r>
      <w:r w:rsidR="008F7E33" w:rsidRPr="008C2916">
        <w:rPr>
          <w:rStyle w:val="FootnoteReference"/>
          <w:rFonts w:ascii="Calibri" w:hAnsi="Calibri"/>
          <w:szCs w:val="16"/>
        </w:rPr>
        <w:footnoteReference w:id="7"/>
      </w:r>
      <w:r w:rsidR="008F7E33" w:rsidRPr="008C2916">
        <w:rPr>
          <w:sz w:val="16"/>
          <w:szCs w:val="16"/>
        </w:rPr>
        <w:t xml:space="preserve">  </w:t>
      </w:r>
    </w:p>
    <w:p w14:paraId="66ADCB1E" w14:textId="77777777" w:rsidR="007905BF" w:rsidRPr="003A2E6A" w:rsidRDefault="007905BF" w:rsidP="00A81A1B">
      <w:pPr>
        <w:pStyle w:val="Heading2"/>
        <w:spacing w:before="360"/>
        <w:ind w:right="-142"/>
      </w:pPr>
      <w:r w:rsidRPr="003A2E6A">
        <w:lastRenderedPageBreak/>
        <w:t>Consultation</w:t>
      </w:r>
      <w:bookmarkEnd w:id="78"/>
      <w:bookmarkEnd w:id="79"/>
      <w:bookmarkEnd w:id="80"/>
      <w:bookmarkEnd w:id="81"/>
      <w:bookmarkEnd w:id="82"/>
      <w:bookmarkEnd w:id="83"/>
      <w:bookmarkEnd w:id="84"/>
      <w:bookmarkEnd w:id="85"/>
      <w:bookmarkEnd w:id="86"/>
      <w:bookmarkEnd w:id="87"/>
      <w:bookmarkEnd w:id="88"/>
    </w:p>
    <w:p w14:paraId="3456235A" w14:textId="77777777" w:rsidR="0076793E" w:rsidRPr="0076793E" w:rsidRDefault="0076793E" w:rsidP="0076793E">
      <w:pPr>
        <w:pStyle w:val="MOJNumPara"/>
        <w:ind w:right="-142"/>
      </w:pPr>
      <w:r>
        <w:t>Throughout the development of</w:t>
      </w:r>
      <w:r w:rsidRPr="009A6CCB">
        <w:t xml:space="preserve"> the proposals contained in this </w:t>
      </w:r>
      <w:r>
        <w:t>RIS</w:t>
      </w:r>
      <w:r w:rsidRPr="009A6CCB">
        <w:t xml:space="preserve">, we </w:t>
      </w:r>
      <w:r>
        <w:t>have sought and incorporated feedback from</w:t>
      </w:r>
      <w:r w:rsidR="00AB4EC4">
        <w:t xml:space="preserve"> the</w:t>
      </w:r>
      <w:r>
        <w:t>:</w:t>
      </w:r>
    </w:p>
    <w:p w14:paraId="67970B49" w14:textId="77777777" w:rsidR="0076793E" w:rsidRDefault="0076793E" w:rsidP="00F6637E">
      <w:pPr>
        <w:pStyle w:val="MOJNumPara"/>
        <w:numPr>
          <w:ilvl w:val="0"/>
          <w:numId w:val="21"/>
        </w:numPr>
        <w:ind w:right="-142" w:hanging="567"/>
      </w:pPr>
      <w:r>
        <w:t xml:space="preserve">Ministry of Social Development, </w:t>
      </w:r>
      <w:r w:rsidR="000A0A18" w:rsidRPr="006862F5">
        <w:t>including Child</w:t>
      </w:r>
      <w:r>
        <w:t>,</w:t>
      </w:r>
      <w:r w:rsidR="000A0A18" w:rsidRPr="006862F5">
        <w:t xml:space="preserve"> Youth and Family and the Chil</w:t>
      </w:r>
      <w:r>
        <w:t>dren’s Action Plan Directorate</w:t>
      </w:r>
    </w:p>
    <w:p w14:paraId="2898D653" w14:textId="77777777" w:rsidR="0076793E" w:rsidRDefault="0076793E" w:rsidP="00F6637E">
      <w:pPr>
        <w:pStyle w:val="MOJNumPara"/>
        <w:numPr>
          <w:ilvl w:val="0"/>
          <w:numId w:val="21"/>
        </w:numPr>
        <w:ind w:right="-142" w:hanging="567"/>
      </w:pPr>
      <w:r>
        <w:t>Ministry of Health</w:t>
      </w:r>
    </w:p>
    <w:p w14:paraId="0A62E9B9" w14:textId="77777777" w:rsidR="0076793E" w:rsidRDefault="0076793E" w:rsidP="00F6637E">
      <w:pPr>
        <w:pStyle w:val="MOJNumPara"/>
        <w:numPr>
          <w:ilvl w:val="0"/>
          <w:numId w:val="21"/>
        </w:numPr>
        <w:ind w:right="-142" w:hanging="567"/>
      </w:pPr>
      <w:r>
        <w:t>Ministry of Education</w:t>
      </w:r>
    </w:p>
    <w:p w14:paraId="0FAD2132" w14:textId="77777777" w:rsidR="0076793E" w:rsidRDefault="0076793E" w:rsidP="00F6637E">
      <w:pPr>
        <w:pStyle w:val="MOJNumPara"/>
        <w:numPr>
          <w:ilvl w:val="0"/>
          <w:numId w:val="21"/>
        </w:numPr>
        <w:ind w:right="-142" w:hanging="567"/>
      </w:pPr>
      <w:r>
        <w:t>Ministry of Justice</w:t>
      </w:r>
    </w:p>
    <w:p w14:paraId="7FDF3D79" w14:textId="77777777" w:rsidR="0076793E" w:rsidRDefault="0076793E" w:rsidP="00F6637E">
      <w:pPr>
        <w:pStyle w:val="MOJNumPara"/>
        <w:numPr>
          <w:ilvl w:val="0"/>
          <w:numId w:val="21"/>
        </w:numPr>
        <w:ind w:right="-142" w:hanging="567"/>
      </w:pPr>
      <w:r>
        <w:t>Te Puni Kokiri</w:t>
      </w:r>
    </w:p>
    <w:p w14:paraId="324641A5" w14:textId="77777777" w:rsidR="0076793E" w:rsidRDefault="000A0A18" w:rsidP="00F6637E">
      <w:pPr>
        <w:pStyle w:val="MOJNumPara"/>
        <w:numPr>
          <w:ilvl w:val="0"/>
          <w:numId w:val="21"/>
        </w:numPr>
        <w:ind w:right="-142" w:hanging="567"/>
      </w:pPr>
      <w:r w:rsidRPr="006862F5">
        <w:t>New Zealand Police</w:t>
      </w:r>
    </w:p>
    <w:p w14:paraId="4C5125FE" w14:textId="77777777" w:rsidR="0076793E" w:rsidRDefault="0076793E" w:rsidP="00F6637E">
      <w:pPr>
        <w:pStyle w:val="MOJNumPara"/>
        <w:numPr>
          <w:ilvl w:val="0"/>
          <w:numId w:val="21"/>
        </w:numPr>
        <w:ind w:right="-142" w:hanging="567"/>
      </w:pPr>
      <w:r>
        <w:t>Department of Corrections</w:t>
      </w:r>
    </w:p>
    <w:p w14:paraId="602B4CF3" w14:textId="77777777" w:rsidR="0076793E" w:rsidRDefault="000046BF" w:rsidP="00F6637E">
      <w:pPr>
        <w:pStyle w:val="MOJNumPara"/>
        <w:numPr>
          <w:ilvl w:val="0"/>
          <w:numId w:val="21"/>
        </w:numPr>
        <w:ind w:right="-142" w:hanging="567"/>
      </w:pPr>
      <w:r w:rsidRPr="006862F5">
        <w:t>The T</w:t>
      </w:r>
      <w:r w:rsidR="0076793E">
        <w:t>reasury</w:t>
      </w:r>
    </w:p>
    <w:p w14:paraId="7833F1A5" w14:textId="77777777" w:rsidR="0076793E" w:rsidRPr="0076793E" w:rsidRDefault="000A0A18" w:rsidP="00F6637E">
      <w:pPr>
        <w:pStyle w:val="MOJNumPara"/>
        <w:numPr>
          <w:ilvl w:val="0"/>
          <w:numId w:val="21"/>
        </w:numPr>
        <w:ind w:right="-142" w:hanging="567"/>
      </w:pPr>
      <w:r w:rsidRPr="006862F5">
        <w:t xml:space="preserve">State Services </w:t>
      </w:r>
      <w:r w:rsidRPr="006862F5">
        <w:rPr>
          <w:color w:val="000000"/>
        </w:rPr>
        <w:t>Commission</w:t>
      </w:r>
    </w:p>
    <w:p w14:paraId="7BCA524E" w14:textId="77777777" w:rsidR="0076793E" w:rsidRPr="00AB4EC4" w:rsidRDefault="000A0A18" w:rsidP="00F6637E">
      <w:pPr>
        <w:pStyle w:val="MOJNumPara"/>
        <w:numPr>
          <w:ilvl w:val="0"/>
          <w:numId w:val="21"/>
        </w:numPr>
        <w:ind w:right="-142" w:hanging="567"/>
      </w:pPr>
      <w:r w:rsidRPr="006862F5">
        <w:rPr>
          <w:color w:val="000000"/>
        </w:rPr>
        <w:t>Social Investment Unit</w:t>
      </w:r>
    </w:p>
    <w:p w14:paraId="1BC474D9" w14:textId="77777777" w:rsidR="00AB4EC4" w:rsidRPr="0076793E" w:rsidRDefault="00AB4EC4" w:rsidP="00F6637E">
      <w:pPr>
        <w:pStyle w:val="MOJNumPara"/>
        <w:numPr>
          <w:ilvl w:val="0"/>
          <w:numId w:val="21"/>
        </w:numPr>
        <w:ind w:right="-142" w:hanging="567"/>
      </w:pPr>
      <w:r w:rsidRPr="006862F5">
        <w:rPr>
          <w:color w:val="000000"/>
        </w:rPr>
        <w:t>Government Chief Privacy Officer</w:t>
      </w:r>
    </w:p>
    <w:p w14:paraId="5AC35BB5" w14:textId="77777777" w:rsidR="0076793E" w:rsidRPr="0076793E" w:rsidRDefault="000A0A18" w:rsidP="00F6637E">
      <w:pPr>
        <w:pStyle w:val="MOJNumPara"/>
        <w:numPr>
          <w:ilvl w:val="0"/>
          <w:numId w:val="21"/>
        </w:numPr>
        <w:ind w:right="-142" w:hanging="567"/>
      </w:pPr>
      <w:r w:rsidRPr="006862F5">
        <w:rPr>
          <w:color w:val="000000"/>
        </w:rPr>
        <w:t>Accident Compensation Corporation</w:t>
      </w:r>
    </w:p>
    <w:p w14:paraId="13A21569" w14:textId="77777777" w:rsidR="0076793E" w:rsidRPr="0076793E" w:rsidRDefault="000A0A18" w:rsidP="00F6637E">
      <w:pPr>
        <w:pStyle w:val="MOJNumPara"/>
        <w:numPr>
          <w:ilvl w:val="0"/>
          <w:numId w:val="21"/>
        </w:numPr>
        <w:ind w:right="-142" w:hanging="567"/>
      </w:pPr>
      <w:r w:rsidRPr="006862F5">
        <w:rPr>
          <w:color w:val="000000"/>
        </w:rPr>
        <w:t>Housing New Zealand Corporation</w:t>
      </w:r>
    </w:p>
    <w:p w14:paraId="4C1C0AC7" w14:textId="77777777" w:rsidR="0076793E" w:rsidRPr="00AB4EC4" w:rsidRDefault="00AB4EC4" w:rsidP="00AB4EC4">
      <w:pPr>
        <w:pStyle w:val="MOJNumPara"/>
        <w:spacing w:before="200"/>
        <w:ind w:right="-142"/>
      </w:pPr>
      <w:r w:rsidRPr="00AB4EC4">
        <w:t xml:space="preserve">We </w:t>
      </w:r>
      <w:r w:rsidR="0076793E" w:rsidRPr="00AB4EC4">
        <w:t xml:space="preserve">also </w:t>
      </w:r>
      <w:r w:rsidRPr="00AB4EC4">
        <w:t xml:space="preserve">have consulted with </w:t>
      </w:r>
      <w:r w:rsidR="0076793E" w:rsidRPr="00AB4EC4">
        <w:t>a limited group of external stakeholders</w:t>
      </w:r>
      <w:r w:rsidRPr="00AB4EC4">
        <w:t>, and incorporate</w:t>
      </w:r>
      <w:r w:rsidR="005F631E">
        <w:t>d</w:t>
      </w:r>
      <w:r w:rsidRPr="00AB4EC4">
        <w:t xml:space="preserve"> </w:t>
      </w:r>
      <w:r>
        <w:t>their feedback where possible:</w:t>
      </w:r>
    </w:p>
    <w:p w14:paraId="6AD63F85" w14:textId="77777777" w:rsidR="00AB4EC4" w:rsidRPr="00AB4EC4" w:rsidRDefault="00AB4EC4" w:rsidP="00F6637E">
      <w:pPr>
        <w:pStyle w:val="MOJNumPara"/>
        <w:numPr>
          <w:ilvl w:val="0"/>
          <w:numId w:val="22"/>
        </w:numPr>
        <w:spacing w:before="200"/>
        <w:ind w:right="-142" w:hanging="567"/>
      </w:pPr>
      <w:r>
        <w:t>Members of the M</w:t>
      </w:r>
      <w:r w:rsidRPr="00AB4EC4">
        <w:rPr>
          <w:color w:val="000000"/>
        </w:rPr>
        <w:t>ā</w:t>
      </w:r>
      <w:r>
        <w:t>ori Reference Group</w:t>
      </w:r>
    </w:p>
    <w:p w14:paraId="384FB93E" w14:textId="77777777" w:rsidR="00AB4EC4" w:rsidRPr="00AB4EC4" w:rsidRDefault="00AB4EC4" w:rsidP="00F6637E">
      <w:pPr>
        <w:pStyle w:val="MOJNumPara"/>
        <w:numPr>
          <w:ilvl w:val="0"/>
          <w:numId w:val="22"/>
        </w:numPr>
        <w:spacing w:before="200"/>
        <w:ind w:right="-142" w:hanging="567"/>
      </w:pPr>
      <w:r>
        <w:t>Office of the Children’s Commissioner</w:t>
      </w:r>
    </w:p>
    <w:p w14:paraId="658256F6" w14:textId="77777777" w:rsidR="00AB4EC4" w:rsidRPr="00AB4EC4" w:rsidRDefault="00AB4EC4" w:rsidP="00F6637E">
      <w:pPr>
        <w:pStyle w:val="MOJNumPara"/>
        <w:numPr>
          <w:ilvl w:val="0"/>
          <w:numId w:val="22"/>
        </w:numPr>
        <w:spacing w:before="200"/>
        <w:ind w:right="-142" w:hanging="567"/>
      </w:pPr>
      <w:r>
        <w:t>Office of the Privacy Commissioner</w:t>
      </w:r>
    </w:p>
    <w:p w14:paraId="544F1A98" w14:textId="77777777" w:rsidR="00B547FC" w:rsidRDefault="000046BF" w:rsidP="00B547FC">
      <w:pPr>
        <w:pStyle w:val="MOJNumPara"/>
        <w:numPr>
          <w:ilvl w:val="0"/>
          <w:numId w:val="0"/>
        </w:numPr>
        <w:spacing w:before="200"/>
        <w:ind w:left="709" w:right="-142"/>
        <w:rPr>
          <w:b/>
          <w:i/>
        </w:rPr>
      </w:pPr>
      <w:r w:rsidRPr="00B547FC">
        <w:rPr>
          <w:b/>
          <w:i/>
        </w:rPr>
        <w:t>Privacy Commissioner</w:t>
      </w:r>
    </w:p>
    <w:p w14:paraId="40B3E8D6" w14:textId="77777777" w:rsidR="00EA0F84" w:rsidRDefault="00EA0F84" w:rsidP="00EA0F84">
      <w:pPr>
        <w:pStyle w:val="MOJNumPara"/>
      </w:pPr>
      <w:r>
        <w:t>The Privacy Commissioner agrees that, of the options considered, an information sharing framework in the Children, Young Persons and their Families Act 1989 is the most appropriate option to address the identified information sharing needs.</w:t>
      </w:r>
    </w:p>
    <w:p w14:paraId="50F836E1" w14:textId="77777777" w:rsidR="00EA0F84" w:rsidRDefault="00EA0F84" w:rsidP="00EA0F84">
      <w:pPr>
        <w:pStyle w:val="MOJNumPara"/>
      </w:pPr>
      <w:r>
        <w:t xml:space="preserve">However, the Commissioner is concerned that introduction of compulsory information sharing without a clear understanding of the operating model, and without  first consulting with affected agencies, may lead to negative unintended consequences, such as deterring some vulnerable families from seeking support services. This could lead to worse outcomes for children. The other elements of the proposed framework (the enabling information sharing provision coupled with a broad immunity for disclosures made in good faith) would be sufficient to address the information sharing problems identified.   </w:t>
      </w:r>
    </w:p>
    <w:p w14:paraId="2FB8C2D1" w14:textId="77777777" w:rsidR="00AB4EC4" w:rsidRPr="008F661B" w:rsidRDefault="00B547FC" w:rsidP="00B547FC">
      <w:pPr>
        <w:pStyle w:val="MOJNumPara"/>
        <w:numPr>
          <w:ilvl w:val="0"/>
          <w:numId w:val="0"/>
        </w:numPr>
        <w:spacing w:before="200"/>
        <w:ind w:right="-142"/>
        <w:rPr>
          <w:b/>
        </w:rPr>
      </w:pPr>
      <w:r w:rsidRPr="008F661B">
        <w:rPr>
          <w:rFonts w:cs="Arial"/>
          <w:b/>
          <w:color w:val="000000"/>
        </w:rPr>
        <w:t>External Stakeholders</w:t>
      </w:r>
    </w:p>
    <w:p w14:paraId="5E169F18" w14:textId="77777777" w:rsidR="008F7424" w:rsidRPr="008F7424" w:rsidRDefault="000A0A18" w:rsidP="000136C4">
      <w:pPr>
        <w:pStyle w:val="MOJNumPara"/>
        <w:spacing w:before="200"/>
        <w:ind w:right="-142"/>
      </w:pPr>
      <w:r w:rsidRPr="00C4105A">
        <w:t xml:space="preserve">In the time available it has not been possible to consult other agencies and representative </w:t>
      </w:r>
      <w:r w:rsidRPr="008F7424">
        <w:t xml:space="preserve">professional bodies affected by the proposed framework, including District Health Boards, </w:t>
      </w:r>
      <w:r w:rsidRPr="008F7424">
        <w:lastRenderedPageBreak/>
        <w:t>school boards, licensed early childhood education providers, community housing providers, non-government organisations, health practitioners and children’s workers</w:t>
      </w:r>
      <w:r w:rsidR="00C4105A" w:rsidRPr="008F7424">
        <w:t>.</w:t>
      </w:r>
    </w:p>
    <w:p w14:paraId="24E24D63" w14:textId="77777777" w:rsidR="008F7424" w:rsidRPr="008F7424" w:rsidRDefault="008F7424" w:rsidP="008F7424">
      <w:pPr>
        <w:pStyle w:val="MOJNumPara"/>
        <w:spacing w:before="200"/>
        <w:ind w:right="-142"/>
      </w:pPr>
      <w:r w:rsidRPr="008F7424">
        <w:t xml:space="preserve">Given this, we have undertaken a </w:t>
      </w:r>
      <w:r w:rsidRPr="008F7424">
        <w:rPr>
          <w:rFonts w:cs="Arial"/>
        </w:rPr>
        <w:t>stakeholder analysis that draws on the positions and statements made by stakeholders and representative bodies in past consultation processes, specifically the:</w:t>
      </w:r>
    </w:p>
    <w:p w14:paraId="18BF9780" w14:textId="77777777" w:rsidR="008F7424" w:rsidRPr="008F7424" w:rsidRDefault="008F7424" w:rsidP="00F6637E">
      <w:pPr>
        <w:pStyle w:val="MOJNumPara"/>
        <w:numPr>
          <w:ilvl w:val="0"/>
          <w:numId w:val="20"/>
        </w:numPr>
        <w:tabs>
          <w:tab w:val="left" w:pos="1276"/>
        </w:tabs>
        <w:spacing w:before="200"/>
        <w:ind w:left="1276" w:right="-142" w:hanging="567"/>
        <w:rPr>
          <w:rStyle w:val="Emphasis"/>
          <w:i w:val="0"/>
          <w:iCs w:val="0"/>
        </w:rPr>
      </w:pPr>
      <w:r w:rsidRPr="008F7424">
        <w:rPr>
          <w:rStyle w:val="Emphasis"/>
        </w:rPr>
        <w:t xml:space="preserve">Green Paper on Vulnerable Children (the “Green Paper”) </w:t>
      </w:r>
      <w:r w:rsidRPr="008F7424">
        <w:rPr>
          <w:rStyle w:val="Emphasis"/>
          <w:i w:val="0"/>
        </w:rPr>
        <w:t>in 2012</w:t>
      </w:r>
      <w:r w:rsidRPr="008F7424">
        <w:rPr>
          <w:rStyle w:val="Emphasis"/>
        </w:rPr>
        <w:t xml:space="preserve"> </w:t>
      </w:r>
      <w:r w:rsidRPr="008F7424">
        <w:rPr>
          <w:rStyle w:val="Emphasis"/>
          <w:i w:val="0"/>
        </w:rPr>
        <w:t>which, amongst other things, discussed information sharing, and generated ~10,000 submissions</w:t>
      </w:r>
    </w:p>
    <w:p w14:paraId="0923B663" w14:textId="77777777" w:rsidR="008F7424" w:rsidRPr="008F7424" w:rsidRDefault="008F7424" w:rsidP="00F6637E">
      <w:pPr>
        <w:pStyle w:val="MOJNumPara"/>
        <w:numPr>
          <w:ilvl w:val="0"/>
          <w:numId w:val="20"/>
        </w:numPr>
        <w:tabs>
          <w:tab w:val="left" w:pos="1276"/>
        </w:tabs>
        <w:spacing w:before="200"/>
        <w:ind w:left="1276" w:right="-142" w:hanging="567"/>
        <w:rPr>
          <w:rStyle w:val="Emphasis"/>
          <w:i w:val="0"/>
          <w:iCs w:val="0"/>
        </w:rPr>
      </w:pPr>
      <w:r w:rsidRPr="008F7424">
        <w:rPr>
          <w:rStyle w:val="Emphasis"/>
          <w:i w:val="0"/>
          <w:iCs w:val="0"/>
        </w:rPr>
        <w:t>The V</w:t>
      </w:r>
      <w:r w:rsidRPr="008F7424">
        <w:rPr>
          <w:rStyle w:val="Emphasis"/>
        </w:rPr>
        <w:t xml:space="preserve">ulnerable Children’s Approved Information Sharing </w:t>
      </w:r>
      <w:r w:rsidRPr="008F7424">
        <w:rPr>
          <w:rStyle w:val="Emphasis"/>
          <w:i w:val="0"/>
        </w:rPr>
        <w:t xml:space="preserve">Agreement in December 2014, which at that that time proposed a broad coverage of agencies, including non-governmental organisations (NGOs), and specified similar purposes to those proposed for the vulnerable children’s framework (subsequently this AISA was significantly narrowed in terms of participating agencies and purposes) The consultation generated 19 submissions.  </w:t>
      </w:r>
    </w:p>
    <w:p w14:paraId="3A189FE0" w14:textId="77777777" w:rsidR="008F7424" w:rsidRPr="0034269F" w:rsidRDefault="008F7424" w:rsidP="000136C4">
      <w:pPr>
        <w:pStyle w:val="MOJNumPara"/>
        <w:spacing w:before="200"/>
        <w:ind w:right="-142"/>
        <w:rPr>
          <w:i/>
        </w:rPr>
      </w:pPr>
      <w:r w:rsidRPr="0034269F">
        <w:rPr>
          <w:rStyle w:val="Emphasis"/>
          <w:i w:val="0"/>
        </w:rPr>
        <w:t>Where appropriate we have also drawn from other sources</w:t>
      </w:r>
      <w:r w:rsidR="0034269F">
        <w:rPr>
          <w:rStyle w:val="Emphasis"/>
          <w:i w:val="0"/>
        </w:rPr>
        <w:t xml:space="preserve">. </w:t>
      </w:r>
    </w:p>
    <w:p w14:paraId="5DBA18C8" w14:textId="77777777" w:rsidR="008F7424" w:rsidRPr="0034269F" w:rsidRDefault="008F7424" w:rsidP="008F7424">
      <w:pPr>
        <w:pStyle w:val="MOJNumPara"/>
        <w:numPr>
          <w:ilvl w:val="0"/>
          <w:numId w:val="0"/>
        </w:numPr>
        <w:spacing w:before="200"/>
        <w:ind w:left="709" w:right="-142"/>
        <w:rPr>
          <w:rStyle w:val="Emphasis"/>
          <w:b/>
          <w:iCs w:val="0"/>
        </w:rPr>
      </w:pPr>
      <w:r w:rsidRPr="0034269F">
        <w:rPr>
          <w:rStyle w:val="Emphasis"/>
          <w:b/>
          <w:iCs w:val="0"/>
        </w:rPr>
        <w:t>Young People</w:t>
      </w:r>
    </w:p>
    <w:p w14:paraId="4755AAA4" w14:textId="77777777" w:rsidR="008F7424" w:rsidRPr="0034269F" w:rsidRDefault="008F7424" w:rsidP="008F7424">
      <w:pPr>
        <w:pStyle w:val="MOJNumPara"/>
        <w:spacing w:before="200"/>
        <w:ind w:right="-142"/>
      </w:pPr>
      <w:r w:rsidRPr="0034269F">
        <w:rPr>
          <w:rStyle w:val="Emphasis"/>
          <w:i w:val="0"/>
        </w:rPr>
        <w:t xml:space="preserve">Young </w:t>
      </w:r>
      <w:r w:rsidRPr="0034269F">
        <w:rPr>
          <w:rFonts w:cs="Arial"/>
        </w:rPr>
        <w:t xml:space="preserve">submitters (generally 13-24 year olds) on the Green Paper said it was “okay” for people who are working with the child to share personal information, but specified they should first ask for the child or young person’s permission. </w:t>
      </w:r>
      <w:r w:rsidR="00021274">
        <w:rPr>
          <w:rFonts w:cs="Arial"/>
        </w:rPr>
        <w:t xml:space="preserve"> </w:t>
      </w:r>
      <w:r w:rsidRPr="0034269F">
        <w:rPr>
          <w:rFonts w:cs="Arial"/>
        </w:rPr>
        <w:t>Submissions commonly argued it is acceptable to share information if it is needed to protect a child from harm, so long as that information is correct and the child’s privacy is protected as much as possible.</w:t>
      </w:r>
    </w:p>
    <w:p w14:paraId="3C802454" w14:textId="77777777" w:rsidR="008F7424" w:rsidRPr="0034269F" w:rsidRDefault="0034269F" w:rsidP="0034269F">
      <w:pPr>
        <w:pStyle w:val="MOJNumPara"/>
        <w:numPr>
          <w:ilvl w:val="0"/>
          <w:numId w:val="0"/>
        </w:numPr>
        <w:spacing w:before="200"/>
        <w:ind w:left="709" w:right="-142"/>
        <w:rPr>
          <w:b/>
          <w:i/>
        </w:rPr>
      </w:pPr>
      <w:r w:rsidRPr="0034269F">
        <w:rPr>
          <w:rStyle w:val="Emphasis"/>
          <w:b/>
          <w:iCs w:val="0"/>
        </w:rPr>
        <w:t>General public</w:t>
      </w:r>
    </w:p>
    <w:p w14:paraId="1AFE80B0" w14:textId="77777777" w:rsidR="0034269F" w:rsidRPr="0034269F" w:rsidRDefault="0034269F" w:rsidP="0034269F">
      <w:pPr>
        <w:pStyle w:val="MOJNumPara"/>
        <w:spacing w:before="200"/>
        <w:ind w:right="-142"/>
      </w:pPr>
      <w:r w:rsidRPr="0034269F">
        <w:t xml:space="preserve">Green Paper submissions show the balance of public opinion was for information to be shared in order to keep children safe. </w:t>
      </w:r>
      <w:r w:rsidR="00021274">
        <w:t xml:space="preserve"> </w:t>
      </w:r>
      <w:r w:rsidRPr="0034269F">
        <w:t>Most submissions that addressed information sharing were in support of sharing the minimum of information to keep children safe.  Support for sharing all information was low in comparison, as was total opposition to information sharing. Many submissions discussed the need for protocols to guide information-sharing to preserve family privacy where possible.</w:t>
      </w:r>
    </w:p>
    <w:p w14:paraId="309B8F12" w14:textId="77777777" w:rsidR="008A3548" w:rsidRDefault="0034269F" w:rsidP="0034269F">
      <w:pPr>
        <w:pStyle w:val="MOJNumPara"/>
      </w:pPr>
      <w:r w:rsidRPr="0034269F">
        <w:t>Almost all Green Paper submissions supported monitoring vulnerable children in some way. There were diverse views on how much monitoring should take place. Common ideas included having as much monitoring as possible and monitoring at a minimum level to ensure child safety, with a small number of submissions opposing any form of monitoring</w:t>
      </w:r>
    </w:p>
    <w:p w14:paraId="5ACC62AE" w14:textId="77777777" w:rsidR="008A3548" w:rsidRPr="008A3548" w:rsidRDefault="008A3548" w:rsidP="008A3548">
      <w:pPr>
        <w:pStyle w:val="MOJNumPara"/>
        <w:numPr>
          <w:ilvl w:val="0"/>
          <w:numId w:val="0"/>
        </w:numPr>
        <w:ind w:left="709"/>
        <w:rPr>
          <w:b/>
          <w:i/>
        </w:rPr>
      </w:pPr>
      <w:r w:rsidRPr="008A3548">
        <w:rPr>
          <w:b/>
          <w:i/>
        </w:rPr>
        <w:t>Frontline social workers</w:t>
      </w:r>
    </w:p>
    <w:p w14:paraId="6DF28F70" w14:textId="77777777" w:rsidR="008A3548" w:rsidRPr="008A3548" w:rsidRDefault="008A3548" w:rsidP="008A3548">
      <w:pPr>
        <w:pStyle w:val="MOJNumPara"/>
      </w:pPr>
      <w:r w:rsidRPr="008A3548">
        <w:t xml:space="preserve">The Ministry of Social Development conducted targeted consultation with </w:t>
      </w:r>
      <w:r w:rsidRPr="008A3548">
        <w:rPr>
          <w:b/>
        </w:rPr>
        <w:t>Child, Youth and Family operational staff</w:t>
      </w:r>
      <w:r w:rsidRPr="008A3548">
        <w:t xml:space="preserve"> about the proposal.  The feedback was very supportive, with staff noting the legislative framework: </w:t>
      </w:r>
    </w:p>
    <w:p w14:paraId="0D75C0EA" w14:textId="77777777" w:rsidR="008A3548" w:rsidRPr="008A3548" w:rsidRDefault="008A3548" w:rsidP="008A3548">
      <w:pPr>
        <w:pStyle w:val="MOJNumPara"/>
        <w:numPr>
          <w:ilvl w:val="0"/>
          <w:numId w:val="0"/>
        </w:numPr>
        <w:ind w:left="1276" w:hanging="567"/>
      </w:pPr>
      <w:r w:rsidRPr="008A3548">
        <w:t>•</w:t>
      </w:r>
      <w:r w:rsidRPr="008A3548">
        <w:tab/>
        <w:t>is well aligned with the Expert Panel recommendations, and sends a strong message about the new agency and the ways of working that will be expected across the sector</w:t>
      </w:r>
    </w:p>
    <w:p w14:paraId="797682FB" w14:textId="77777777" w:rsidR="008A3548" w:rsidRPr="008A3548" w:rsidRDefault="008A3548" w:rsidP="008A3548">
      <w:pPr>
        <w:pStyle w:val="MOJNumPara"/>
        <w:numPr>
          <w:ilvl w:val="0"/>
          <w:numId w:val="0"/>
        </w:numPr>
        <w:ind w:left="1276" w:hanging="567"/>
      </w:pPr>
      <w:r w:rsidRPr="008A3548">
        <w:t>•</w:t>
      </w:r>
      <w:r w:rsidRPr="008A3548">
        <w:tab/>
        <w:t>will open up the opportunities for information sharing that have been challenging to date</w:t>
      </w:r>
    </w:p>
    <w:p w14:paraId="528BDD4E" w14:textId="77777777" w:rsidR="008A3548" w:rsidRPr="008A3548" w:rsidRDefault="008A3548" w:rsidP="008A3548">
      <w:pPr>
        <w:pStyle w:val="MOJNumPara"/>
      </w:pPr>
      <w:r w:rsidRPr="008A3548">
        <w:t xml:space="preserve">We expect social workers working outside of Child, Youth and Family will value the two-way information flows created by the enabling and presumptive provisions.  </w:t>
      </w:r>
    </w:p>
    <w:p w14:paraId="5AB5D892" w14:textId="77777777" w:rsidR="008A3548" w:rsidRPr="008A3548" w:rsidRDefault="008A3548" w:rsidP="008A3548">
      <w:pPr>
        <w:pStyle w:val="MOJNumPara"/>
      </w:pPr>
      <w:r w:rsidRPr="008A3548">
        <w:lastRenderedPageBreak/>
        <w:t xml:space="preserve">Support from frontline social workers may not be matched by their professional body </w:t>
      </w:r>
      <w:r w:rsidRPr="008A3548">
        <w:rPr>
          <w:b/>
        </w:rPr>
        <w:t>Aotearoa New Zealand Association for Social Workers (ANZSW)</w:t>
      </w:r>
      <w:r w:rsidR="00021274">
        <w:t xml:space="preserve">.  </w:t>
      </w:r>
      <w:r w:rsidRPr="008A3548">
        <w:t xml:space="preserve">In 2011 ANZSW opposed a legislative proposal for the mandatory reporting of child abuse, even though ANZSW’s own survey evidence indicated overwhelming support for mandatory reporting from its membership (84% support).  This suggests Ministers may want to invite ANZSW to test its views with its membership should ANZSW adopt an unsupportive stance. </w:t>
      </w:r>
    </w:p>
    <w:p w14:paraId="0D422DB6" w14:textId="77777777" w:rsidR="008A3548" w:rsidRPr="008A3548" w:rsidRDefault="008A3548" w:rsidP="004D58E0">
      <w:pPr>
        <w:pStyle w:val="MOJNumPara"/>
        <w:numPr>
          <w:ilvl w:val="0"/>
          <w:numId w:val="0"/>
        </w:numPr>
        <w:ind w:left="567"/>
        <w:rPr>
          <w:b/>
          <w:i/>
        </w:rPr>
      </w:pPr>
      <w:r w:rsidRPr="008A3548">
        <w:rPr>
          <w:b/>
          <w:i/>
        </w:rPr>
        <w:t xml:space="preserve">Health </w:t>
      </w:r>
      <w:r w:rsidR="00021274">
        <w:rPr>
          <w:b/>
          <w:i/>
        </w:rPr>
        <w:t>s</w:t>
      </w:r>
      <w:r w:rsidRPr="008A3548">
        <w:rPr>
          <w:b/>
          <w:i/>
        </w:rPr>
        <w:t xml:space="preserve">ector </w:t>
      </w:r>
    </w:p>
    <w:p w14:paraId="3EE05C56" w14:textId="77777777" w:rsidR="008A3548" w:rsidRPr="008A3548" w:rsidRDefault="008A3548" w:rsidP="008A3548">
      <w:pPr>
        <w:pStyle w:val="MOJNumPara"/>
      </w:pPr>
      <w:r w:rsidRPr="008A3548">
        <w:t xml:space="preserve">We anticipate a number of influential health bodies will support the intent of the legislative framework.  </w:t>
      </w:r>
    </w:p>
    <w:p w14:paraId="40431214" w14:textId="77777777" w:rsidR="008A3548" w:rsidRPr="008A3548" w:rsidRDefault="008A3548" w:rsidP="008A3548">
      <w:pPr>
        <w:pStyle w:val="MOJNumPara"/>
        <w:numPr>
          <w:ilvl w:val="0"/>
          <w:numId w:val="0"/>
        </w:numPr>
        <w:ind w:left="1276" w:hanging="567"/>
      </w:pPr>
      <w:r w:rsidRPr="008A3548">
        <w:t>•</w:t>
      </w:r>
      <w:r w:rsidRPr="008A3548">
        <w:tab/>
      </w:r>
      <w:r w:rsidRPr="008A3548">
        <w:rPr>
          <w:b/>
        </w:rPr>
        <w:t>District Health Boards</w:t>
      </w:r>
      <w:r w:rsidRPr="008A3548">
        <w:t xml:space="preserve"> (DHBs) have adopted child protection policies which commentators have characterised as mandatory reporting in all but name.  Many have dedicated child protection teams that are vocal in their advocacy of system improvements to prevent child abuse.  Given this, we expect DHBs to be generally supportive of the framework. </w:t>
      </w:r>
    </w:p>
    <w:p w14:paraId="68196400" w14:textId="77777777" w:rsidR="008A3548" w:rsidRPr="008A3548" w:rsidRDefault="008A3548" w:rsidP="008A3548">
      <w:pPr>
        <w:pStyle w:val="MOJNumPara"/>
        <w:numPr>
          <w:ilvl w:val="0"/>
          <w:numId w:val="0"/>
        </w:numPr>
        <w:ind w:left="1276" w:hanging="567"/>
      </w:pPr>
      <w:r w:rsidRPr="008A3548">
        <w:t>•</w:t>
      </w:r>
      <w:r w:rsidRPr="008A3548">
        <w:tab/>
      </w:r>
      <w:proofErr w:type="gramStart"/>
      <w:r w:rsidRPr="008A3548">
        <w:t>the</w:t>
      </w:r>
      <w:proofErr w:type="gramEnd"/>
      <w:r w:rsidRPr="008A3548">
        <w:t xml:space="preserve"> </w:t>
      </w:r>
      <w:r w:rsidRPr="008A3548">
        <w:rPr>
          <w:b/>
        </w:rPr>
        <w:t>Child and Youth Mortality Review Committee</w:t>
      </w:r>
      <w:r w:rsidRPr="008A3548">
        <w:t xml:space="preserve"> (CYMRC) is expected to lend its support.  The CYMRC’s submission on the Green Paper stated: </w:t>
      </w:r>
    </w:p>
    <w:p w14:paraId="311E52EE" w14:textId="77777777" w:rsidR="008A3548" w:rsidRPr="008A3548" w:rsidRDefault="008A3548" w:rsidP="008A3548">
      <w:pPr>
        <w:pStyle w:val="MOJNumPara"/>
        <w:numPr>
          <w:ilvl w:val="0"/>
          <w:numId w:val="0"/>
        </w:numPr>
        <w:ind w:left="1843"/>
        <w:rPr>
          <w:i/>
        </w:rPr>
      </w:pPr>
      <w:r w:rsidRPr="008A3548">
        <w:rPr>
          <w:i/>
        </w:rPr>
        <w:t xml:space="preserve">“Many death reviews highlight deficits in systems to share information across organisations and disciplines. When data from different service sources is linked after death, we frequently recognise where the system of care could have been improved before death. Data needs to be linked better to support the care of the living.”  </w:t>
      </w:r>
    </w:p>
    <w:p w14:paraId="736042C2" w14:textId="77777777" w:rsidR="008A3548" w:rsidRPr="008A3548" w:rsidRDefault="008A3548" w:rsidP="008A3548">
      <w:pPr>
        <w:pStyle w:val="MOJNumPara"/>
        <w:numPr>
          <w:ilvl w:val="0"/>
          <w:numId w:val="0"/>
        </w:numPr>
        <w:ind w:left="1276" w:hanging="567"/>
      </w:pPr>
      <w:r w:rsidRPr="008A3548">
        <w:t>•</w:t>
      </w:r>
      <w:r w:rsidRPr="008A3548">
        <w:tab/>
        <w:t xml:space="preserve">In its 2013 submission on the Vulnerable Children Bill the </w:t>
      </w:r>
      <w:r w:rsidRPr="008A3548">
        <w:rPr>
          <w:b/>
        </w:rPr>
        <w:t>Paediatric Society of New Zealand</w:t>
      </w:r>
      <w:r w:rsidRPr="008A3548">
        <w:t xml:space="preserve"> recommended a review of the Privacy Act’s AISA provisions on the grounds that “the process to establish an AISA is so resource intensive (both in time and cost) that it prevents most agencies progressing with an application”.  In the event AISAs were found to be too onerous, the Society recommended that </w:t>
      </w:r>
      <w:proofErr w:type="gramStart"/>
      <w:r w:rsidRPr="008A3548">
        <w:t>relevant  legislation</w:t>
      </w:r>
      <w:proofErr w:type="gramEnd"/>
      <w:r w:rsidRPr="008A3548">
        <w:t xml:space="preserve"> be amended to:</w:t>
      </w:r>
    </w:p>
    <w:p w14:paraId="4EEE058F" w14:textId="77777777" w:rsidR="008A3548" w:rsidRPr="008A3548" w:rsidRDefault="008A3548" w:rsidP="008A3548">
      <w:pPr>
        <w:pStyle w:val="MOJNumPara"/>
        <w:numPr>
          <w:ilvl w:val="0"/>
          <w:numId w:val="0"/>
        </w:numPr>
        <w:ind w:left="1843"/>
        <w:rPr>
          <w:i/>
        </w:rPr>
      </w:pPr>
      <w:r w:rsidRPr="008A3548">
        <w:rPr>
          <w:i/>
        </w:rPr>
        <w:t>“</w:t>
      </w:r>
      <w:proofErr w:type="gramStart"/>
      <w:r w:rsidRPr="008A3548">
        <w:rPr>
          <w:i/>
        </w:rPr>
        <w:t>a</w:t>
      </w:r>
      <w:proofErr w:type="gramEnd"/>
      <w:r w:rsidRPr="008A3548">
        <w:rPr>
          <w:i/>
        </w:rPr>
        <w:t xml:space="preserve"> presumption of information sharing within and between agencies where child protection concerns are present (similar to those in New South Wales)”</w:t>
      </w:r>
    </w:p>
    <w:p w14:paraId="1C582D2C" w14:textId="77777777" w:rsidR="008A3548" w:rsidRPr="008A3548" w:rsidRDefault="008A3548" w:rsidP="008A3548">
      <w:pPr>
        <w:pStyle w:val="MOJNumPara"/>
        <w:numPr>
          <w:ilvl w:val="0"/>
          <w:numId w:val="0"/>
        </w:numPr>
        <w:ind w:left="1276" w:hanging="567"/>
      </w:pPr>
      <w:r w:rsidRPr="008A3548">
        <w:t>•</w:t>
      </w:r>
      <w:r w:rsidRPr="008A3548">
        <w:tab/>
      </w:r>
      <w:proofErr w:type="gramStart"/>
      <w:r w:rsidRPr="008A3548">
        <w:t>the</w:t>
      </w:r>
      <w:proofErr w:type="gramEnd"/>
      <w:r w:rsidRPr="008A3548">
        <w:t xml:space="preserve"> </w:t>
      </w:r>
      <w:r w:rsidRPr="008A3548">
        <w:rPr>
          <w:b/>
        </w:rPr>
        <w:t>Royal Australasian College of Physicians</w:t>
      </w:r>
      <w:r w:rsidRPr="008A3548">
        <w:t xml:space="preserve"> was broadly supportive of the VC AISA but stressed informed consent must be sought wherever possible</w:t>
      </w:r>
    </w:p>
    <w:p w14:paraId="3CD3A7BC" w14:textId="77777777" w:rsidR="008A3548" w:rsidRPr="008A3548" w:rsidRDefault="008A3548" w:rsidP="008A3548">
      <w:pPr>
        <w:pStyle w:val="MOJNumPara"/>
        <w:numPr>
          <w:ilvl w:val="0"/>
          <w:numId w:val="0"/>
        </w:numPr>
        <w:ind w:left="1276" w:hanging="567"/>
      </w:pPr>
      <w:r w:rsidRPr="008A3548">
        <w:t>•</w:t>
      </w:r>
      <w:r w:rsidRPr="008A3548">
        <w:tab/>
      </w:r>
      <w:proofErr w:type="gramStart"/>
      <w:r w:rsidRPr="008A3548">
        <w:t>the</w:t>
      </w:r>
      <w:proofErr w:type="gramEnd"/>
      <w:r w:rsidRPr="008A3548">
        <w:t xml:space="preserve"> </w:t>
      </w:r>
      <w:r w:rsidRPr="008A3548">
        <w:rPr>
          <w:b/>
        </w:rPr>
        <w:t>New Zealand Nurses Organisation (NZNO)</w:t>
      </w:r>
      <w:r w:rsidRPr="008A3548">
        <w:t xml:space="preserve"> is expected to be supportive.  Its submission on the VC AISA stated:</w:t>
      </w:r>
    </w:p>
    <w:p w14:paraId="1ED6BEC6" w14:textId="77777777" w:rsidR="008A3548" w:rsidRPr="008A3548" w:rsidRDefault="008A3548" w:rsidP="008A3548">
      <w:pPr>
        <w:pStyle w:val="MOJNumPara"/>
        <w:numPr>
          <w:ilvl w:val="0"/>
          <w:numId w:val="0"/>
        </w:numPr>
        <w:ind w:left="1843"/>
        <w:rPr>
          <w:i/>
        </w:rPr>
      </w:pPr>
      <w:r w:rsidRPr="008A3548">
        <w:rPr>
          <w:i/>
        </w:rPr>
        <w:t xml:space="preserve">“We suggest that the focus should be on building trusted relationships and reciprocal communication between </w:t>
      </w:r>
      <w:proofErr w:type="spellStart"/>
      <w:r w:rsidRPr="008A3548">
        <w:rPr>
          <w:i/>
        </w:rPr>
        <w:t>multi disciplinary</w:t>
      </w:r>
      <w:proofErr w:type="spellEnd"/>
      <w:r w:rsidRPr="008A3548">
        <w:rPr>
          <w:i/>
        </w:rPr>
        <w:t xml:space="preserve"> teams.” </w:t>
      </w:r>
    </w:p>
    <w:p w14:paraId="2F6185DA" w14:textId="77777777" w:rsidR="008A3548" w:rsidRPr="008A3548" w:rsidRDefault="008A3548" w:rsidP="008A3548">
      <w:pPr>
        <w:pStyle w:val="MOJNumPara"/>
        <w:numPr>
          <w:ilvl w:val="0"/>
          <w:numId w:val="0"/>
        </w:numPr>
        <w:ind w:left="1843"/>
        <w:rPr>
          <w:i/>
        </w:rPr>
      </w:pPr>
      <w:r w:rsidRPr="008A3548">
        <w:rPr>
          <w:i/>
        </w:rPr>
        <w:t>“Nurses are well aware of both the benefits and risks of sharing sensitive health information, and also the frustration of not having access to information that could inform the delivery of health care.”</w:t>
      </w:r>
    </w:p>
    <w:p w14:paraId="4B58C074" w14:textId="77777777" w:rsidR="008A3548" w:rsidRPr="008A3548" w:rsidRDefault="008A3548" w:rsidP="008A3548">
      <w:pPr>
        <w:pStyle w:val="MOJNumPara"/>
        <w:numPr>
          <w:ilvl w:val="0"/>
          <w:numId w:val="0"/>
        </w:numPr>
        <w:ind w:left="1843"/>
        <w:rPr>
          <w:i/>
        </w:rPr>
      </w:pPr>
      <w:r w:rsidRPr="008A3548">
        <w:rPr>
          <w:i/>
        </w:rPr>
        <w:t>“Robust information sharing protocols would go a long way towards assuring continuity of primary health care for vulnerable children.”</w:t>
      </w:r>
    </w:p>
    <w:p w14:paraId="26DC0E30" w14:textId="77777777" w:rsidR="008A3548" w:rsidRPr="008A3548" w:rsidRDefault="008A3548" w:rsidP="008A3548">
      <w:pPr>
        <w:pStyle w:val="MOJNumPara"/>
        <w:numPr>
          <w:ilvl w:val="0"/>
          <w:numId w:val="0"/>
        </w:numPr>
        <w:ind w:left="1276" w:hanging="567"/>
      </w:pPr>
      <w:r w:rsidRPr="008A3548">
        <w:t>•</w:t>
      </w:r>
      <w:r w:rsidRPr="008A3548">
        <w:tab/>
        <w:t xml:space="preserve">The </w:t>
      </w:r>
      <w:r w:rsidRPr="008A3548">
        <w:rPr>
          <w:b/>
        </w:rPr>
        <w:t>New Zealand Medical Association</w:t>
      </w:r>
      <w:r w:rsidRPr="008A3548">
        <w:t xml:space="preserve"> is expected to be supportive, but may emphasise the need to preserve trust in the therapeutic relationship and the use of consent wherever possible.  Its submissions on the Green Paper and VC AISA stated: </w:t>
      </w:r>
    </w:p>
    <w:p w14:paraId="63191E6D" w14:textId="77777777" w:rsidR="008A3548" w:rsidRPr="008A3548" w:rsidRDefault="008A3548" w:rsidP="008A3548">
      <w:pPr>
        <w:pStyle w:val="MOJNumPara"/>
        <w:numPr>
          <w:ilvl w:val="0"/>
          <w:numId w:val="0"/>
        </w:numPr>
        <w:ind w:left="1843"/>
        <w:rPr>
          <w:i/>
        </w:rPr>
      </w:pPr>
      <w:r w:rsidRPr="008A3548">
        <w:rPr>
          <w:i/>
        </w:rPr>
        <w:lastRenderedPageBreak/>
        <w:t xml:space="preserve">“Strengthening data collection and information sharing will help to identify and provide care for vulnerable children.” </w:t>
      </w:r>
    </w:p>
    <w:p w14:paraId="55B13761" w14:textId="77777777" w:rsidR="008A3548" w:rsidRPr="008A3548" w:rsidRDefault="008A3548" w:rsidP="008A3548">
      <w:pPr>
        <w:pStyle w:val="MOJNumPara"/>
        <w:numPr>
          <w:ilvl w:val="0"/>
          <w:numId w:val="0"/>
        </w:numPr>
        <w:ind w:left="1843"/>
        <w:rPr>
          <w:i/>
        </w:rPr>
      </w:pPr>
      <w:r w:rsidRPr="008A3548">
        <w:rPr>
          <w:i/>
        </w:rPr>
        <w:t>“The NZMA has expressed concern in the past that the current system is reactionary rather than preventive and that there is little inter-agency coordination.”</w:t>
      </w:r>
    </w:p>
    <w:p w14:paraId="0AA660C7" w14:textId="77777777" w:rsidR="008A3548" w:rsidRPr="008A3548" w:rsidRDefault="008A3548" w:rsidP="008A3548">
      <w:pPr>
        <w:pStyle w:val="MOJNumPara"/>
        <w:numPr>
          <w:ilvl w:val="0"/>
          <w:numId w:val="0"/>
        </w:numPr>
        <w:ind w:left="1843"/>
        <w:rPr>
          <w:i/>
        </w:rPr>
      </w:pPr>
      <w:r w:rsidRPr="008A3548">
        <w:rPr>
          <w:i/>
        </w:rPr>
        <w:t>“We believe that it (the VC AISA) will contribute towards improved inter-agency coordination as well as facilitate a more proactive approach to identifying and providing care for vulnerable children.”</w:t>
      </w:r>
    </w:p>
    <w:p w14:paraId="2BDB7249" w14:textId="77777777" w:rsidR="008A3548" w:rsidRPr="008A3548" w:rsidRDefault="008A3548" w:rsidP="008A3548">
      <w:pPr>
        <w:pStyle w:val="MOJNumPara"/>
        <w:numPr>
          <w:ilvl w:val="0"/>
          <w:numId w:val="0"/>
        </w:numPr>
        <w:ind w:left="1843"/>
        <w:rPr>
          <w:i/>
        </w:rPr>
      </w:pPr>
      <w:r w:rsidRPr="008A3548">
        <w:rPr>
          <w:i/>
        </w:rPr>
        <w:t>“Our main concern relates to the possible negative implications of broader information sharing, namely, the possible erosion of trust between at-risk children and/or their parents/caregivers and those individuals/agencies tasked with helping them. Developing ways to mitigate this possible erosion of trust requires careful consideration.”</w:t>
      </w:r>
    </w:p>
    <w:p w14:paraId="175A99F0" w14:textId="77777777" w:rsidR="008435C7" w:rsidRPr="008A3548" w:rsidRDefault="008435C7" w:rsidP="008435C7">
      <w:pPr>
        <w:pStyle w:val="MOJNumPara"/>
      </w:pPr>
      <w:r w:rsidRPr="008A3548">
        <w:t xml:space="preserve">We anticipate some health bodies </w:t>
      </w:r>
      <w:r>
        <w:t xml:space="preserve">will have reservations </w:t>
      </w:r>
      <w:r w:rsidRPr="008A3548">
        <w:t xml:space="preserve">about the legislative framework.  </w:t>
      </w:r>
    </w:p>
    <w:p w14:paraId="09D053AC" w14:textId="3418A32D" w:rsidR="008435C7" w:rsidRPr="008A3548" w:rsidRDefault="008435C7" w:rsidP="008435C7">
      <w:pPr>
        <w:pStyle w:val="MOJNumPara"/>
        <w:numPr>
          <w:ilvl w:val="0"/>
          <w:numId w:val="0"/>
        </w:numPr>
        <w:ind w:left="1276" w:hanging="567"/>
      </w:pPr>
      <w:r w:rsidRPr="008A3548">
        <w:t>•</w:t>
      </w:r>
      <w:r w:rsidRPr="008A3548">
        <w:tab/>
      </w:r>
      <w:r w:rsidR="00072421" w:rsidRPr="00A67FE8">
        <w:rPr>
          <w:b/>
        </w:rPr>
        <w:t>[Section 9(</w:t>
      </w:r>
      <w:r w:rsidR="00072421">
        <w:rPr>
          <w:b/>
        </w:rPr>
        <w:t>2</w:t>
      </w:r>
      <w:proofErr w:type="gramStart"/>
      <w:r w:rsidR="00072421">
        <w:rPr>
          <w:b/>
        </w:rPr>
        <w:t>)(</w:t>
      </w:r>
      <w:proofErr w:type="gramEnd"/>
      <w:r w:rsidR="00072421">
        <w:rPr>
          <w:b/>
        </w:rPr>
        <w:t>g</w:t>
      </w:r>
      <w:r w:rsidR="00072421" w:rsidRPr="00A67FE8">
        <w:rPr>
          <w:b/>
        </w:rPr>
        <w:t>)(i) OIA]</w:t>
      </w:r>
    </w:p>
    <w:p w14:paraId="1826ABE7" w14:textId="77777777" w:rsidR="008435C7" w:rsidRPr="008A3548" w:rsidRDefault="008435C7" w:rsidP="008435C7">
      <w:pPr>
        <w:pStyle w:val="MOJNumPara"/>
        <w:numPr>
          <w:ilvl w:val="0"/>
          <w:numId w:val="0"/>
        </w:numPr>
        <w:ind w:left="1276" w:hanging="567"/>
      </w:pPr>
      <w:r w:rsidRPr="008A3548">
        <w:t>•</w:t>
      </w:r>
      <w:r w:rsidRPr="008A3548">
        <w:tab/>
        <w:t xml:space="preserve">The Ministry of Health advises that </w:t>
      </w:r>
      <w:r w:rsidRPr="004D58E0">
        <w:rPr>
          <w:b/>
        </w:rPr>
        <w:t>midwives</w:t>
      </w:r>
      <w:r w:rsidRPr="008A3548">
        <w:t xml:space="preserve"> are wary of sharing information regarding women in pregnancy if there is a risk that it will result in the removal of a baby from its mother</w:t>
      </w:r>
      <w:r>
        <w:t xml:space="preserve"> at </w:t>
      </w:r>
      <w:proofErr w:type="gramStart"/>
      <w:r>
        <w:t>birth</w:t>
      </w:r>
      <w:r w:rsidRPr="008A3548">
        <w:t>,</w:t>
      </w:r>
      <w:proofErr w:type="gramEnd"/>
      <w:r w:rsidRPr="008A3548">
        <w:t xml:space="preserve"> or within a short time after birth.  With regard to the VC AISA the New Ze</w:t>
      </w:r>
      <w:r>
        <w:t>aland College of Midwives stated:</w:t>
      </w:r>
    </w:p>
    <w:p w14:paraId="1E9D7C29" w14:textId="77777777" w:rsidR="008435C7" w:rsidRPr="008A3548" w:rsidRDefault="008435C7" w:rsidP="008435C7">
      <w:pPr>
        <w:pStyle w:val="MOJNumPara"/>
        <w:numPr>
          <w:ilvl w:val="0"/>
          <w:numId w:val="0"/>
        </w:numPr>
        <w:ind w:left="1843"/>
        <w:rPr>
          <w:i/>
        </w:rPr>
      </w:pPr>
      <w:r w:rsidRPr="008A3548">
        <w:rPr>
          <w:i/>
        </w:rPr>
        <w:t>“Midwives are concerned that trust between themselves and the women that they provide care for will be undermined by the AISA and that this will make them less able to work effectively with vulnerable women and their families / whanau.”</w:t>
      </w:r>
    </w:p>
    <w:p w14:paraId="1AB0F010" w14:textId="77777777" w:rsidR="008435C7" w:rsidRPr="008A3548" w:rsidRDefault="008435C7" w:rsidP="008435C7">
      <w:pPr>
        <w:pStyle w:val="MOJNumPara"/>
        <w:numPr>
          <w:ilvl w:val="0"/>
          <w:numId w:val="0"/>
        </w:numPr>
        <w:ind w:left="1843"/>
        <w:rPr>
          <w:i/>
        </w:rPr>
      </w:pPr>
      <w:r w:rsidRPr="008A3548">
        <w:rPr>
          <w:i/>
        </w:rPr>
        <w:t>“The AISA has the potential to change the nature of a midwife’s role to one of surveillance rather than the supportive and enabling heath professional role.”</w:t>
      </w:r>
    </w:p>
    <w:p w14:paraId="10F64E03" w14:textId="77777777" w:rsidR="008435C7" w:rsidRDefault="008435C7" w:rsidP="008435C7">
      <w:pPr>
        <w:pStyle w:val="MOJNumPara"/>
        <w:numPr>
          <w:ilvl w:val="0"/>
          <w:numId w:val="0"/>
        </w:numPr>
        <w:ind w:left="1843"/>
        <w:rPr>
          <w:i/>
        </w:rPr>
      </w:pPr>
      <w:r w:rsidRPr="008A3548">
        <w:rPr>
          <w:i/>
        </w:rPr>
        <w:t>“Midwives have expressed concerns for their personal safety at times when they have made a CYFS notification as CYFS have not understood the role of the midwife or the context in which she provides care, and failed to maintain her safety in their processes of</w:t>
      </w:r>
      <w:r>
        <w:rPr>
          <w:i/>
        </w:rPr>
        <w:t xml:space="preserve"> investigation or care planning</w:t>
      </w:r>
      <w:r w:rsidRPr="008A3548">
        <w:rPr>
          <w:i/>
        </w:rPr>
        <w:t>.”</w:t>
      </w:r>
    </w:p>
    <w:p w14:paraId="541B8568" w14:textId="77777777" w:rsidR="008435C7" w:rsidRPr="004D58E0" w:rsidRDefault="008435C7" w:rsidP="008435C7">
      <w:pPr>
        <w:pStyle w:val="MOJNumPara"/>
        <w:numPr>
          <w:ilvl w:val="0"/>
          <w:numId w:val="0"/>
        </w:numPr>
        <w:ind w:left="1276"/>
      </w:pPr>
      <w:r>
        <w:t xml:space="preserve">Since that statement the implementation of the Maternity Clinical Information System in five DHBs and the rollout of a similar system across primary Lead Maternity Carers </w:t>
      </w:r>
      <w:proofErr w:type="gramStart"/>
      <w:r>
        <w:t>has</w:t>
      </w:r>
      <w:proofErr w:type="gramEnd"/>
      <w:r>
        <w:t xml:space="preserve"> demonstrated to midwives the benefits of information sharing.  The overall comfort of midwives with the proposals in this RIS could be influenced by the extent to which they are embraced as key partners under new operating model for the </w:t>
      </w:r>
      <w:r w:rsidRPr="000F5BBF">
        <w:rPr>
          <w:rFonts w:cs="Arial"/>
        </w:rPr>
        <w:t>Ministry for Vulnerable Children, Oranga Tamariki</w:t>
      </w:r>
      <w:r>
        <w:rPr>
          <w:rFonts w:cs="Calibri"/>
        </w:rPr>
        <w:t xml:space="preserve">.  Lead maternity carers are in a unique position to work with families during the </w:t>
      </w:r>
      <w:r>
        <w:t xml:space="preserve">critical pre-natal and post-natal period of a child’s life.  </w:t>
      </w:r>
    </w:p>
    <w:p w14:paraId="489BD3EE" w14:textId="77777777" w:rsidR="008A3548" w:rsidRPr="008A3548" w:rsidRDefault="008A3548" w:rsidP="008A3548">
      <w:pPr>
        <w:pStyle w:val="MOJNumPara"/>
        <w:numPr>
          <w:ilvl w:val="0"/>
          <w:numId w:val="0"/>
        </w:numPr>
        <w:ind w:left="709"/>
        <w:rPr>
          <w:b/>
          <w:i/>
        </w:rPr>
      </w:pPr>
      <w:r w:rsidRPr="008A3548">
        <w:rPr>
          <w:b/>
          <w:i/>
        </w:rPr>
        <w:t>Education sector</w:t>
      </w:r>
    </w:p>
    <w:p w14:paraId="4F01F1AE" w14:textId="77777777" w:rsidR="008435C7" w:rsidRPr="008A3548" w:rsidRDefault="008435C7" w:rsidP="008435C7">
      <w:pPr>
        <w:pStyle w:val="MOJNumPara"/>
      </w:pPr>
      <w:r w:rsidRPr="008A3548">
        <w:t>The education sector is likely to be unhappy about the lack of consultation to date, and some early learning se</w:t>
      </w:r>
      <w:r>
        <w:t xml:space="preserve">ctor bodies may be unsupportive. </w:t>
      </w:r>
    </w:p>
    <w:p w14:paraId="18A173AF" w14:textId="77777777" w:rsidR="008435C7" w:rsidRPr="008A3548" w:rsidRDefault="008435C7" w:rsidP="008435C7">
      <w:pPr>
        <w:pStyle w:val="MOJNumPara"/>
      </w:pPr>
      <w:r w:rsidRPr="008A3548">
        <w:t>The Ministry of Education advises that:</w:t>
      </w:r>
    </w:p>
    <w:p w14:paraId="04DFC164" w14:textId="77777777" w:rsidR="008435C7" w:rsidRPr="008A3548" w:rsidRDefault="008435C7" w:rsidP="008435C7">
      <w:pPr>
        <w:pStyle w:val="MOJNumPara"/>
        <w:numPr>
          <w:ilvl w:val="0"/>
          <w:numId w:val="0"/>
        </w:numPr>
        <w:ind w:left="1276" w:hanging="567"/>
      </w:pPr>
      <w:r w:rsidRPr="008A3548">
        <w:t>•</w:t>
      </w:r>
      <w:r w:rsidRPr="008A3548">
        <w:tab/>
      </w:r>
      <w:proofErr w:type="gramStart"/>
      <w:r w:rsidRPr="008A3548">
        <w:t>as</w:t>
      </w:r>
      <w:proofErr w:type="gramEnd"/>
      <w:r w:rsidRPr="008A3548">
        <w:t xml:space="preserve"> a matter of principle, the sector will be concerned about the lack of consultation to date, which may affect their trust in the government’s intentions.  Given the education system changes occurring at the moment – including the Funding </w:t>
      </w:r>
      <w:r w:rsidRPr="008A3548">
        <w:lastRenderedPageBreak/>
        <w:t>Review’s work on risk indicators – there is a risk the sector</w:t>
      </w:r>
      <w:r>
        <w:t xml:space="preserve"> may perceive </w:t>
      </w:r>
      <w:r w:rsidRPr="008A3548">
        <w:t xml:space="preserve">this as “drip feeding” components of an overall strategy in a non-transparent way.  </w:t>
      </w:r>
    </w:p>
    <w:p w14:paraId="170AD161" w14:textId="77777777" w:rsidR="008435C7" w:rsidRPr="008A3548" w:rsidRDefault="008435C7" w:rsidP="008435C7">
      <w:pPr>
        <w:pStyle w:val="MOJNumPara"/>
        <w:numPr>
          <w:ilvl w:val="0"/>
          <w:numId w:val="0"/>
        </w:numPr>
        <w:ind w:left="1276" w:hanging="567"/>
      </w:pPr>
      <w:r w:rsidRPr="008A3548">
        <w:t>•</w:t>
      </w:r>
      <w:r w:rsidRPr="008A3548">
        <w:tab/>
        <w:t xml:space="preserve">after some initial concerns, the education sector is likely to support the general concept, especially if they can see that the Ministry for Vulnerable Children will support them to get the information they need to be able to better support the education of children and young people. </w:t>
      </w:r>
    </w:p>
    <w:p w14:paraId="150F249F" w14:textId="77777777" w:rsidR="008435C7" w:rsidRPr="008A3548" w:rsidRDefault="008435C7" w:rsidP="008435C7">
      <w:pPr>
        <w:pStyle w:val="MOJNumPara"/>
        <w:numPr>
          <w:ilvl w:val="0"/>
          <w:numId w:val="0"/>
        </w:numPr>
        <w:ind w:left="1276" w:hanging="567"/>
      </w:pPr>
      <w:r w:rsidRPr="008A3548">
        <w:t>•</w:t>
      </w:r>
      <w:r w:rsidRPr="008A3548">
        <w:tab/>
        <w:t>the education sector is likely to be concerned about the additional workload potentially involved in answering information requests as well as the additional accountability that the new Ministry may place on them in relation to delivering responses to children.</w:t>
      </w:r>
    </w:p>
    <w:p w14:paraId="00FCABF3" w14:textId="77777777" w:rsidR="008435C7" w:rsidRPr="008A3548" w:rsidRDefault="008435C7" w:rsidP="008435C7">
      <w:pPr>
        <w:pStyle w:val="MOJNumPara"/>
        <w:numPr>
          <w:ilvl w:val="0"/>
          <w:numId w:val="0"/>
        </w:numPr>
        <w:ind w:left="1276" w:hanging="567"/>
      </w:pPr>
      <w:r w:rsidRPr="008A3548">
        <w:t>•</w:t>
      </w:r>
      <w:r w:rsidRPr="008A3548">
        <w:tab/>
        <w:t>As part of the implementation of Children’s Teams, some concern and challenge was expressed by some of the special education professionals.  They are likely to emphasise the need to preserve trust in therapeutic relationships (especially important in smaller communities), the need to ensure the broader safety and wellbeing of the child (including privacy), and the importance of informed consent</w:t>
      </w:r>
      <w:r>
        <w:t xml:space="preserve">. </w:t>
      </w:r>
    </w:p>
    <w:p w14:paraId="785D47FD" w14:textId="77777777" w:rsidR="008435C7" w:rsidRPr="008A3548" w:rsidRDefault="008435C7" w:rsidP="008435C7">
      <w:pPr>
        <w:pStyle w:val="MOJNumPara"/>
      </w:pPr>
      <w:r w:rsidRPr="008A3548">
        <w:t xml:space="preserve">We anticipate a mixed response from early learning sector representative bodies, with some welcoming conversations about the intent of the framework, and others being unsupportive.  The </w:t>
      </w:r>
      <w:r w:rsidRPr="008A3548">
        <w:rPr>
          <w:b/>
        </w:rPr>
        <w:t>Early Childhood Council</w:t>
      </w:r>
      <w:r w:rsidRPr="008A3548">
        <w:t xml:space="preserve"> (which represents over 1,000 independent early childhood centres) stated in its submission on the VC AISA:</w:t>
      </w:r>
    </w:p>
    <w:p w14:paraId="2D9FB664" w14:textId="77777777" w:rsidR="008435C7" w:rsidRPr="00021274" w:rsidRDefault="008435C7" w:rsidP="008435C7">
      <w:pPr>
        <w:pStyle w:val="MOJNumPara"/>
        <w:numPr>
          <w:ilvl w:val="0"/>
          <w:numId w:val="0"/>
        </w:numPr>
        <w:ind w:left="1276"/>
        <w:rPr>
          <w:i/>
        </w:rPr>
      </w:pPr>
      <w:r w:rsidRPr="00021274">
        <w:rPr>
          <w:i/>
        </w:rPr>
        <w:t xml:space="preserve">“The Early Childhood Council recommends ….that any legal framework does not unduly force childcare centre teachers and other staff to breach customer/client confidentiality unless there is a clear threat to the safety of the child.”  </w:t>
      </w:r>
    </w:p>
    <w:p w14:paraId="6324D48C" w14:textId="77777777" w:rsidR="008435C7" w:rsidRPr="00021274" w:rsidRDefault="008435C7" w:rsidP="008435C7">
      <w:pPr>
        <w:pStyle w:val="MOJNumPara"/>
        <w:numPr>
          <w:ilvl w:val="0"/>
          <w:numId w:val="0"/>
        </w:numPr>
        <w:ind w:left="1276"/>
        <w:rPr>
          <w:i/>
        </w:rPr>
      </w:pPr>
      <w:r w:rsidRPr="00021274">
        <w:rPr>
          <w:i/>
        </w:rPr>
        <w:t xml:space="preserve">“The ECC is especially concerned regarding the potential adverse impact on trust between centres and the caregivers of our most at risk children, many of whom are disinclined to trust institutions of any kind.”  </w:t>
      </w:r>
    </w:p>
    <w:p w14:paraId="16FADDDF" w14:textId="77777777" w:rsidR="008435C7" w:rsidRPr="00021274" w:rsidRDefault="008435C7" w:rsidP="008435C7">
      <w:pPr>
        <w:pStyle w:val="MOJNumPara"/>
        <w:numPr>
          <w:ilvl w:val="0"/>
          <w:numId w:val="0"/>
        </w:numPr>
        <w:ind w:left="1276"/>
        <w:rPr>
          <w:i/>
        </w:rPr>
      </w:pPr>
      <w:r w:rsidRPr="00021274">
        <w:rPr>
          <w:i/>
        </w:rPr>
        <w:t xml:space="preserve">History has demonstrated that frequently when such agencies (e.g. Child, Youth and Family) are involved, the centre finds that both the child and their family “disappear” from their community.” </w:t>
      </w:r>
    </w:p>
    <w:p w14:paraId="5994292D" w14:textId="77777777" w:rsidR="00021274" w:rsidRPr="00021274" w:rsidRDefault="00021274" w:rsidP="00021274">
      <w:pPr>
        <w:pStyle w:val="MOJNumPara"/>
        <w:numPr>
          <w:ilvl w:val="0"/>
          <w:numId w:val="0"/>
        </w:numPr>
        <w:ind w:left="709"/>
        <w:rPr>
          <w:b/>
          <w:i/>
        </w:rPr>
      </w:pPr>
      <w:r w:rsidRPr="00021274">
        <w:rPr>
          <w:b/>
          <w:i/>
        </w:rPr>
        <w:t>Non-governmental organisations</w:t>
      </w:r>
    </w:p>
    <w:p w14:paraId="7AD9CBC9" w14:textId="77777777" w:rsidR="008435C7" w:rsidRPr="00021274" w:rsidRDefault="008435C7" w:rsidP="008435C7">
      <w:pPr>
        <w:pStyle w:val="MOJNumPara"/>
      </w:pPr>
      <w:r w:rsidRPr="008A3548">
        <w:t>Some NGOs will be supportive but others are likely to be sceptical</w:t>
      </w:r>
      <w:r>
        <w:t xml:space="preserve">.  </w:t>
      </w:r>
      <w:r w:rsidRPr="00021274">
        <w:t>The submissions on the VC AISA attracted support from:</w:t>
      </w:r>
    </w:p>
    <w:p w14:paraId="106BD2D6" w14:textId="77777777" w:rsidR="008435C7" w:rsidRPr="008A3548" w:rsidRDefault="008435C7" w:rsidP="008435C7">
      <w:pPr>
        <w:pStyle w:val="MOJNumPara"/>
        <w:numPr>
          <w:ilvl w:val="0"/>
          <w:numId w:val="0"/>
        </w:numPr>
        <w:ind w:left="709"/>
      </w:pPr>
      <w:r w:rsidRPr="008A3548">
        <w:t>•</w:t>
      </w:r>
      <w:r w:rsidRPr="008A3548">
        <w:tab/>
      </w:r>
      <w:r w:rsidRPr="00021274">
        <w:rPr>
          <w:b/>
        </w:rPr>
        <w:t>National Council of Women</w:t>
      </w:r>
      <w:r w:rsidRPr="008A3548">
        <w:t>, which stated:</w:t>
      </w:r>
    </w:p>
    <w:p w14:paraId="1384161D" w14:textId="77777777" w:rsidR="008435C7" w:rsidRPr="00021274" w:rsidRDefault="008435C7" w:rsidP="008435C7">
      <w:pPr>
        <w:pStyle w:val="MOJNumPara"/>
        <w:numPr>
          <w:ilvl w:val="0"/>
          <w:numId w:val="0"/>
        </w:numPr>
        <w:ind w:left="1276"/>
        <w:rPr>
          <w:i/>
        </w:rPr>
      </w:pPr>
      <w:r w:rsidRPr="00021274">
        <w:rPr>
          <w:i/>
        </w:rPr>
        <w:t>“</w:t>
      </w:r>
      <w:proofErr w:type="gramStart"/>
      <w:r w:rsidRPr="00021274">
        <w:rPr>
          <w:i/>
        </w:rPr>
        <w:t>there</w:t>
      </w:r>
      <w:proofErr w:type="gramEnd"/>
      <w:r w:rsidRPr="00021274">
        <w:rPr>
          <w:i/>
        </w:rPr>
        <w:t xml:space="preserve"> need to be better protocols for speedy information transfer among agencies at local and national level - covering issues as diverse as housing, health, justice, courts, education and social welfare”.</w:t>
      </w:r>
    </w:p>
    <w:p w14:paraId="4D511D1E" w14:textId="77777777" w:rsidR="008435C7" w:rsidRDefault="008435C7" w:rsidP="008435C7">
      <w:pPr>
        <w:pStyle w:val="MOJNumPara"/>
        <w:numPr>
          <w:ilvl w:val="0"/>
          <w:numId w:val="0"/>
        </w:numPr>
        <w:spacing w:before="200"/>
        <w:ind w:left="709" w:right="-142"/>
      </w:pPr>
      <w:r>
        <w:t>•</w:t>
      </w:r>
      <w:r>
        <w:tab/>
      </w:r>
      <w:r w:rsidRPr="00021274">
        <w:rPr>
          <w:b/>
        </w:rPr>
        <w:t>Rural Women NZ</w:t>
      </w:r>
      <w:r>
        <w:t xml:space="preserve"> which stated:</w:t>
      </w:r>
    </w:p>
    <w:p w14:paraId="3BD6E5C9" w14:textId="77777777" w:rsidR="008435C7" w:rsidRPr="00021274" w:rsidRDefault="008435C7" w:rsidP="008435C7">
      <w:pPr>
        <w:pStyle w:val="MOJNumPara"/>
        <w:numPr>
          <w:ilvl w:val="0"/>
          <w:numId w:val="0"/>
        </w:numPr>
        <w:spacing w:before="200"/>
        <w:ind w:left="1276" w:right="-142"/>
        <w:rPr>
          <w:i/>
        </w:rPr>
      </w:pPr>
      <w:r w:rsidRPr="00021274">
        <w:rPr>
          <w:i/>
        </w:rPr>
        <w:t>“</w:t>
      </w:r>
      <w:proofErr w:type="gramStart"/>
      <w:r w:rsidRPr="00021274">
        <w:rPr>
          <w:i/>
        </w:rPr>
        <w:t>the</w:t>
      </w:r>
      <w:proofErr w:type="gramEnd"/>
      <w:r w:rsidRPr="00021274">
        <w:rPr>
          <w:i/>
        </w:rPr>
        <w:t xml:space="preserve"> information sharing proposal covers a broad church of agencies which will breakdown silos and create a greater collaborative environment.”</w:t>
      </w:r>
    </w:p>
    <w:p w14:paraId="3E3A1A59" w14:textId="77777777" w:rsidR="008435C7" w:rsidRDefault="008435C7" w:rsidP="008435C7">
      <w:pPr>
        <w:pStyle w:val="MOJNumPara"/>
        <w:spacing w:before="200"/>
        <w:ind w:right="-142"/>
      </w:pPr>
      <w:r>
        <w:t xml:space="preserve">NGOs involved in the direct delivery of children’s services are likely to be more cautious about information sharing. Some NGOs emphasise that their clients primarily use them because they are not government agencies, which is why they are resistant to the notion of sharing client data with the government.  </w:t>
      </w:r>
    </w:p>
    <w:p w14:paraId="5611A95D" w14:textId="77777777" w:rsidR="008435C7" w:rsidRPr="00021274" w:rsidRDefault="008435C7" w:rsidP="008435C7">
      <w:pPr>
        <w:pStyle w:val="MOJNumPara"/>
        <w:spacing w:before="200"/>
        <w:ind w:right="-142"/>
      </w:pPr>
      <w:r>
        <w:lastRenderedPageBreak/>
        <w:t xml:space="preserve">NGOs delivering children’s services often emphasise that securing client consent for information sharing is best practice in terms of ethics and transparency.  This view was expressed by </w:t>
      </w:r>
      <w:r w:rsidRPr="00021274">
        <w:rPr>
          <w:b/>
        </w:rPr>
        <w:t>Stand Children’s Services</w:t>
      </w:r>
      <w:r>
        <w:t xml:space="preserve"> (specialist home and school social services for 5-12 year olds), </w:t>
      </w:r>
      <w:r w:rsidRPr="00021274">
        <w:rPr>
          <w:b/>
        </w:rPr>
        <w:t>NZ Family Works</w:t>
      </w:r>
      <w:r>
        <w:t xml:space="preserve"> (child &amp; family services provided by Presbyterian Support) and </w:t>
      </w:r>
      <w:r w:rsidRPr="00021274">
        <w:rPr>
          <w:b/>
        </w:rPr>
        <w:t>Plunket</w:t>
      </w:r>
      <w:r>
        <w:t xml:space="preserve"> in the context of the VC AISA consultation.  </w:t>
      </w:r>
    </w:p>
    <w:p w14:paraId="08D0BCD1" w14:textId="77777777" w:rsidR="00021274" w:rsidRPr="008F661B" w:rsidRDefault="00021274" w:rsidP="008F661B">
      <w:pPr>
        <w:pStyle w:val="MOJNumPara"/>
        <w:numPr>
          <w:ilvl w:val="0"/>
          <w:numId w:val="0"/>
        </w:numPr>
        <w:spacing w:before="200"/>
        <w:ind w:right="-142"/>
        <w:rPr>
          <w:b/>
        </w:rPr>
      </w:pPr>
      <w:r w:rsidRPr="008F661B">
        <w:rPr>
          <w:b/>
        </w:rPr>
        <w:t>Further Stakeholder Engagement</w:t>
      </w:r>
    </w:p>
    <w:p w14:paraId="4AE85932" w14:textId="77777777" w:rsidR="000A0A18" w:rsidRPr="00C4105A" w:rsidRDefault="00C4105A" w:rsidP="000136C4">
      <w:pPr>
        <w:pStyle w:val="MOJNumPara"/>
        <w:spacing w:before="200"/>
        <w:ind w:right="-142"/>
      </w:pPr>
      <w:r>
        <w:rPr>
          <w:rFonts w:cs="Arial"/>
        </w:rPr>
        <w:t>T</w:t>
      </w:r>
      <w:r w:rsidRPr="00C4105A">
        <w:rPr>
          <w:rFonts w:cs="Arial"/>
        </w:rPr>
        <w:t xml:space="preserve">he Ministries of Justice and Social Development intend to undertake targeted engagement with key </w:t>
      </w:r>
      <w:r w:rsidRPr="00C4105A">
        <w:rPr>
          <w:iCs/>
          <w:lang w:val="en-AU"/>
        </w:rPr>
        <w:t>external stakeholders and professional bodies on the practical impact of the vulnerable children’s framework, in concert with the targeted engagements planned for the family violence information sharing framework</w:t>
      </w:r>
    </w:p>
    <w:p w14:paraId="4EB2A0A4" w14:textId="77777777" w:rsidR="007905BF" w:rsidRPr="003A2E6A" w:rsidRDefault="007905BF" w:rsidP="00A81A1B">
      <w:pPr>
        <w:pStyle w:val="Heading2"/>
        <w:spacing w:before="360"/>
        <w:ind w:right="-142"/>
      </w:pPr>
      <w:bookmarkStart w:id="89" w:name="_Preferred_option_[optional]"/>
      <w:bookmarkStart w:id="90" w:name="_Toc244580367"/>
      <w:bookmarkStart w:id="91" w:name="_Toc244587043"/>
      <w:bookmarkStart w:id="92" w:name="_Toc244857277"/>
      <w:bookmarkStart w:id="93" w:name="_Toc244912542"/>
      <w:bookmarkStart w:id="94" w:name="_Toc244916999"/>
      <w:bookmarkStart w:id="95" w:name="_Toc362368108"/>
      <w:bookmarkStart w:id="96" w:name="_Toc362434949"/>
      <w:bookmarkStart w:id="97" w:name="_Toc362589335"/>
      <w:bookmarkStart w:id="98" w:name="_Toc362619035"/>
      <w:bookmarkStart w:id="99" w:name="_Toc362940599"/>
      <w:bookmarkStart w:id="100" w:name="_Toc363047107"/>
      <w:bookmarkEnd w:id="89"/>
      <w:r w:rsidRPr="003A2E6A">
        <w:t>Conclusions and recommendations</w:t>
      </w:r>
      <w:bookmarkEnd w:id="90"/>
      <w:bookmarkEnd w:id="91"/>
      <w:bookmarkEnd w:id="92"/>
      <w:bookmarkEnd w:id="93"/>
      <w:bookmarkEnd w:id="94"/>
      <w:bookmarkEnd w:id="95"/>
      <w:bookmarkEnd w:id="96"/>
      <w:bookmarkEnd w:id="97"/>
      <w:bookmarkEnd w:id="98"/>
      <w:bookmarkEnd w:id="99"/>
      <w:bookmarkEnd w:id="100"/>
    </w:p>
    <w:p w14:paraId="35C98660" w14:textId="77777777" w:rsidR="006862F5" w:rsidRPr="000136C4" w:rsidRDefault="00DC774F" w:rsidP="00966EAB">
      <w:pPr>
        <w:pStyle w:val="MOJNumPara"/>
        <w:ind w:right="-142"/>
      </w:pPr>
      <w:r w:rsidRPr="000136C4">
        <w:t>This</w:t>
      </w:r>
      <w:r w:rsidR="0052046B" w:rsidRPr="000136C4">
        <w:t xml:space="preserve"> analysis of</w:t>
      </w:r>
      <w:r w:rsidR="00FC59F7" w:rsidRPr="000136C4">
        <w:t xml:space="preserve"> options has highlighted that a new framework in the CYPF Act </w:t>
      </w:r>
      <w:r w:rsidR="0052046B" w:rsidRPr="000136C4">
        <w:t xml:space="preserve">will </w:t>
      </w:r>
      <w:r w:rsidR="004E60F1" w:rsidRPr="000136C4">
        <w:t>best meet the objectives stated</w:t>
      </w:r>
      <w:r w:rsidR="0052046B" w:rsidRPr="000136C4">
        <w:t xml:space="preserve">. </w:t>
      </w:r>
      <w:r w:rsidR="00FC59F7" w:rsidRPr="000136C4">
        <w:t xml:space="preserve">To mitigate any risks of negative or unforeseen implications, the preferred option </w:t>
      </w:r>
      <w:r w:rsidR="006862F5" w:rsidRPr="000136C4">
        <w:t xml:space="preserve">has been based on an existing information sharing frame (New South Wales) </w:t>
      </w:r>
      <w:r w:rsidR="00FC59F7" w:rsidRPr="000136C4">
        <w:t xml:space="preserve">that has been evaluated as successful. The framework will also be tuned </w:t>
      </w:r>
      <w:r w:rsidR="006862F5" w:rsidRPr="000136C4">
        <w:t>through time through the issuance of Codes to support frontline practice.</w:t>
      </w:r>
    </w:p>
    <w:p w14:paraId="0F34DFB4" w14:textId="77777777" w:rsidR="000136C4" w:rsidRPr="000136C4" w:rsidRDefault="000136C4" w:rsidP="000136C4">
      <w:pPr>
        <w:pStyle w:val="MOJNumPara"/>
        <w:ind w:right="-142"/>
      </w:pPr>
      <w:r w:rsidRPr="000136C4">
        <w:rPr>
          <w:rFonts w:cs="Arial"/>
        </w:rPr>
        <w:t>The key features of the framework</w:t>
      </w:r>
      <w:r w:rsidR="008F661B">
        <w:rPr>
          <w:rFonts w:cs="Arial"/>
        </w:rPr>
        <w:t xml:space="preserve"> are</w:t>
      </w:r>
      <w:r w:rsidRPr="000136C4">
        <w:rPr>
          <w:rFonts w:cs="Arial"/>
        </w:rPr>
        <w:t>:</w:t>
      </w:r>
    </w:p>
    <w:p w14:paraId="7A76B329" w14:textId="77777777" w:rsidR="000136C4" w:rsidRPr="000136C4" w:rsidRDefault="000136C4" w:rsidP="00F6637E">
      <w:pPr>
        <w:pStyle w:val="ReportBody"/>
        <w:numPr>
          <w:ilvl w:val="0"/>
          <w:numId w:val="23"/>
        </w:numPr>
        <w:tabs>
          <w:tab w:val="left" w:pos="1276"/>
        </w:tabs>
        <w:spacing w:before="180" w:after="0"/>
        <w:ind w:left="1276" w:hanging="567"/>
        <w:jc w:val="both"/>
        <w:rPr>
          <w:rFonts w:ascii="Calibri" w:hAnsi="Calibri"/>
          <w:sz w:val="23"/>
          <w:szCs w:val="23"/>
        </w:rPr>
      </w:pPr>
      <w:r w:rsidRPr="000136C4">
        <w:rPr>
          <w:rFonts w:ascii="Calibri" w:hAnsi="Calibri"/>
          <w:sz w:val="23"/>
          <w:szCs w:val="23"/>
        </w:rPr>
        <w:t xml:space="preserve">It will apply to Part 2 of the CYPF Act, thereby limiting its coverage to the </w:t>
      </w:r>
      <w:r w:rsidR="008F661B">
        <w:rPr>
          <w:rFonts w:ascii="Calibri" w:hAnsi="Calibri"/>
          <w:sz w:val="23"/>
          <w:szCs w:val="23"/>
        </w:rPr>
        <w:t>purposes specified in that Part.</w:t>
      </w:r>
    </w:p>
    <w:p w14:paraId="36C423A1" w14:textId="77777777" w:rsidR="000136C4" w:rsidRPr="000136C4" w:rsidRDefault="000136C4" w:rsidP="00F6637E">
      <w:pPr>
        <w:pStyle w:val="ReportBody"/>
        <w:numPr>
          <w:ilvl w:val="0"/>
          <w:numId w:val="23"/>
        </w:numPr>
        <w:tabs>
          <w:tab w:val="left" w:pos="1276"/>
        </w:tabs>
        <w:spacing w:before="180" w:after="0"/>
        <w:ind w:left="1276" w:hanging="567"/>
        <w:jc w:val="both"/>
        <w:rPr>
          <w:rFonts w:ascii="Calibri" w:hAnsi="Calibri"/>
          <w:sz w:val="23"/>
          <w:szCs w:val="23"/>
        </w:rPr>
      </w:pPr>
      <w:r w:rsidRPr="000136C4">
        <w:rPr>
          <w:rFonts w:ascii="Calibri" w:hAnsi="Calibri"/>
          <w:sz w:val="23"/>
          <w:szCs w:val="23"/>
        </w:rPr>
        <w:t xml:space="preserve">The powers available to the Ministry for Vulnerable Children, Oranga Tamariki to collect information when responding to a notification of concern or proceedings under Part 2 will be expanded by extending the coverage of section 66 to any person, or agency (as defined in the Privacy Act), rather </w:t>
      </w:r>
      <w:r w:rsidR="008F661B">
        <w:rPr>
          <w:rFonts w:ascii="Calibri" w:hAnsi="Calibri"/>
          <w:sz w:val="23"/>
          <w:szCs w:val="23"/>
        </w:rPr>
        <w:t>than just state sector agencies.</w:t>
      </w:r>
    </w:p>
    <w:p w14:paraId="1D97BB85" w14:textId="77777777" w:rsidR="000136C4" w:rsidRPr="000136C4" w:rsidRDefault="000136C4" w:rsidP="00F6637E">
      <w:pPr>
        <w:pStyle w:val="ReportBody"/>
        <w:numPr>
          <w:ilvl w:val="0"/>
          <w:numId w:val="23"/>
        </w:numPr>
        <w:tabs>
          <w:tab w:val="left" w:pos="1276"/>
        </w:tabs>
        <w:spacing w:before="180" w:after="0"/>
        <w:ind w:left="1276" w:hanging="567"/>
        <w:jc w:val="both"/>
        <w:rPr>
          <w:rFonts w:ascii="Calibri" w:hAnsi="Calibri"/>
          <w:sz w:val="23"/>
          <w:szCs w:val="23"/>
        </w:rPr>
      </w:pPr>
      <w:r w:rsidRPr="000136C4">
        <w:rPr>
          <w:rFonts w:ascii="Calibri" w:hAnsi="Calibri"/>
          <w:sz w:val="23"/>
          <w:szCs w:val="23"/>
        </w:rPr>
        <w:t>A new enabling provision will allow any agency or person in the sector to use and share personal information it holds for the purposes of child welfare</w:t>
      </w:r>
      <w:r w:rsidR="008F661B">
        <w:rPr>
          <w:rFonts w:ascii="Calibri" w:hAnsi="Calibri"/>
          <w:sz w:val="23"/>
          <w:szCs w:val="23"/>
        </w:rPr>
        <w:t xml:space="preserve"> and safety specified in Part 2.</w:t>
      </w:r>
    </w:p>
    <w:p w14:paraId="6101A399" w14:textId="77777777" w:rsidR="000136C4" w:rsidRPr="000136C4" w:rsidRDefault="000136C4" w:rsidP="00F6637E">
      <w:pPr>
        <w:pStyle w:val="ReportBody"/>
        <w:numPr>
          <w:ilvl w:val="0"/>
          <w:numId w:val="23"/>
        </w:numPr>
        <w:tabs>
          <w:tab w:val="left" w:pos="1276"/>
        </w:tabs>
        <w:spacing w:before="180" w:after="0"/>
        <w:ind w:left="1276" w:hanging="567"/>
        <w:jc w:val="both"/>
        <w:rPr>
          <w:rFonts w:ascii="Calibri" w:hAnsi="Calibri"/>
          <w:sz w:val="23"/>
          <w:szCs w:val="23"/>
        </w:rPr>
      </w:pPr>
      <w:r w:rsidRPr="000136C4">
        <w:rPr>
          <w:rFonts w:ascii="Calibri" w:hAnsi="Calibri"/>
          <w:sz w:val="23"/>
          <w:szCs w:val="23"/>
        </w:rPr>
        <w:t>There will be a new presumptive provision that agencies and persons in the sector must share personal information about a child or young person when requested to do so by another authorised agency or person, unless there ar</w:t>
      </w:r>
      <w:r w:rsidR="008F661B">
        <w:rPr>
          <w:rFonts w:ascii="Calibri" w:hAnsi="Calibri"/>
          <w:sz w:val="23"/>
          <w:szCs w:val="23"/>
        </w:rPr>
        <w:t>e good grounds for not doing so.</w:t>
      </w:r>
    </w:p>
    <w:p w14:paraId="16EE0CF6" w14:textId="77777777" w:rsidR="000136C4" w:rsidRPr="000136C4" w:rsidRDefault="000136C4" w:rsidP="00F6637E">
      <w:pPr>
        <w:pStyle w:val="ReportBody"/>
        <w:numPr>
          <w:ilvl w:val="0"/>
          <w:numId w:val="23"/>
        </w:numPr>
        <w:tabs>
          <w:tab w:val="left" w:pos="1276"/>
        </w:tabs>
        <w:spacing w:before="180" w:after="0"/>
        <w:ind w:left="1276" w:hanging="567"/>
        <w:jc w:val="both"/>
        <w:rPr>
          <w:rFonts w:ascii="Calibri" w:hAnsi="Calibri"/>
          <w:sz w:val="23"/>
          <w:szCs w:val="23"/>
        </w:rPr>
      </w:pPr>
      <w:r w:rsidRPr="000136C4">
        <w:rPr>
          <w:rFonts w:ascii="Calibri" w:hAnsi="Calibri"/>
          <w:sz w:val="23"/>
          <w:szCs w:val="23"/>
        </w:rPr>
        <w:t>A broad definition of the ‘child welfare and protection sector’ (the sector) will be adopted for the purposes of information use and sharing, including social sector departments, some Crown entities, district health boards, school boards, licensed early childhood services, government funded NGOs, health practitioners, and children’s workers (as defined in the Vulne</w:t>
      </w:r>
      <w:r w:rsidR="008F661B">
        <w:rPr>
          <w:rFonts w:ascii="Calibri" w:hAnsi="Calibri"/>
          <w:sz w:val="23"/>
          <w:szCs w:val="23"/>
        </w:rPr>
        <w:t xml:space="preserve">rable Children Act 2014). </w:t>
      </w:r>
    </w:p>
    <w:p w14:paraId="4573EDD1" w14:textId="77777777" w:rsidR="000136C4" w:rsidRPr="000136C4" w:rsidRDefault="000136C4" w:rsidP="00F6637E">
      <w:pPr>
        <w:pStyle w:val="ReportBody"/>
        <w:numPr>
          <w:ilvl w:val="0"/>
          <w:numId w:val="23"/>
        </w:numPr>
        <w:tabs>
          <w:tab w:val="left" w:pos="1276"/>
        </w:tabs>
        <w:spacing w:before="180" w:after="0"/>
        <w:ind w:left="1276" w:hanging="567"/>
        <w:jc w:val="both"/>
        <w:rPr>
          <w:rFonts w:ascii="Calibri" w:hAnsi="Calibri"/>
          <w:sz w:val="23"/>
          <w:szCs w:val="23"/>
        </w:rPr>
      </w:pPr>
      <w:r w:rsidRPr="000136C4">
        <w:rPr>
          <w:rFonts w:ascii="Calibri" w:hAnsi="Calibri"/>
          <w:sz w:val="23"/>
          <w:szCs w:val="23"/>
        </w:rPr>
        <w:t>A general principle is established that children and young people should be informed about intended information sharing, and their views sought, unless it is impractical or undesirable to do so.  In practice this means child welfare agencies will normally be expected to adopt consent based information sharing at the lower end of the risk spectrum.  We expect that guidance on engaging with children and young people will be set out in Codes of Practice issued by the Minister responsible for the Ministry for Vulne</w:t>
      </w:r>
      <w:r w:rsidR="008F661B">
        <w:rPr>
          <w:rFonts w:ascii="Calibri" w:hAnsi="Calibri"/>
          <w:sz w:val="23"/>
          <w:szCs w:val="23"/>
        </w:rPr>
        <w:t xml:space="preserve">rable Children, Oranga Tamariki. </w:t>
      </w:r>
    </w:p>
    <w:p w14:paraId="0B774A76" w14:textId="77777777" w:rsidR="000136C4" w:rsidRPr="000136C4" w:rsidRDefault="000136C4" w:rsidP="00F6637E">
      <w:pPr>
        <w:pStyle w:val="ReportBody"/>
        <w:numPr>
          <w:ilvl w:val="0"/>
          <w:numId w:val="23"/>
        </w:numPr>
        <w:tabs>
          <w:tab w:val="left" w:pos="1276"/>
        </w:tabs>
        <w:spacing w:before="180" w:after="0"/>
        <w:ind w:left="1276" w:hanging="567"/>
        <w:jc w:val="both"/>
        <w:rPr>
          <w:rFonts w:ascii="Calibri" w:hAnsi="Calibri"/>
          <w:sz w:val="23"/>
          <w:szCs w:val="23"/>
        </w:rPr>
      </w:pPr>
      <w:r w:rsidRPr="000136C4">
        <w:rPr>
          <w:rFonts w:ascii="Calibri" w:hAnsi="Calibri"/>
          <w:sz w:val="23"/>
          <w:szCs w:val="23"/>
        </w:rPr>
        <w:lastRenderedPageBreak/>
        <w:t xml:space="preserve">A general principle is established that the welfare and interests of a child and young person takes precedence over any professional duty of confidentiality. This principle is intended to provide certainty to any person who might have conflicting expectations </w:t>
      </w:r>
      <w:r w:rsidR="008F661B">
        <w:rPr>
          <w:rFonts w:ascii="Calibri" w:hAnsi="Calibri"/>
          <w:sz w:val="23"/>
          <w:szCs w:val="23"/>
        </w:rPr>
        <w:t>in their professional standards.</w:t>
      </w:r>
    </w:p>
    <w:p w14:paraId="7A705B0B" w14:textId="77777777" w:rsidR="000136C4" w:rsidRPr="000136C4" w:rsidRDefault="008F661B" w:rsidP="00F6637E">
      <w:pPr>
        <w:pStyle w:val="ReportBody"/>
        <w:numPr>
          <w:ilvl w:val="0"/>
          <w:numId w:val="23"/>
        </w:numPr>
        <w:tabs>
          <w:tab w:val="left" w:pos="1276"/>
        </w:tabs>
        <w:spacing w:before="180" w:after="0"/>
        <w:ind w:left="1276" w:hanging="567"/>
        <w:jc w:val="both"/>
        <w:rPr>
          <w:rFonts w:ascii="Calibri" w:hAnsi="Calibri"/>
          <w:sz w:val="23"/>
          <w:szCs w:val="23"/>
        </w:rPr>
      </w:pPr>
      <w:r>
        <w:rPr>
          <w:rFonts w:ascii="Calibri" w:hAnsi="Calibri"/>
          <w:sz w:val="23"/>
          <w:szCs w:val="23"/>
        </w:rPr>
        <w:t xml:space="preserve">There will be </w:t>
      </w:r>
      <w:proofErr w:type="gramStart"/>
      <w:r>
        <w:rPr>
          <w:rFonts w:ascii="Calibri" w:hAnsi="Calibri"/>
          <w:sz w:val="23"/>
          <w:szCs w:val="23"/>
        </w:rPr>
        <w:t xml:space="preserve">an </w:t>
      </w:r>
      <w:r w:rsidR="000136C4" w:rsidRPr="000136C4">
        <w:rPr>
          <w:rFonts w:ascii="Calibri" w:hAnsi="Calibri"/>
          <w:sz w:val="23"/>
          <w:szCs w:val="23"/>
        </w:rPr>
        <w:t>immunity</w:t>
      </w:r>
      <w:proofErr w:type="gramEnd"/>
      <w:r w:rsidR="000136C4" w:rsidRPr="000136C4">
        <w:rPr>
          <w:rFonts w:ascii="Calibri" w:hAnsi="Calibri"/>
          <w:sz w:val="23"/>
          <w:szCs w:val="23"/>
        </w:rPr>
        <w:t xml:space="preserve"> from civil, criminal, or disciplinary proceedings for all information disclosures made under Part 2 of the CYPF Act, so long as they are not made in bad faith.</w:t>
      </w:r>
    </w:p>
    <w:p w14:paraId="4361AE74" w14:textId="77777777" w:rsidR="007905BF" w:rsidRPr="003A2E6A" w:rsidRDefault="007905BF" w:rsidP="00A81A1B">
      <w:pPr>
        <w:pStyle w:val="Heading2"/>
        <w:spacing w:before="360"/>
        <w:ind w:right="-142"/>
      </w:pPr>
      <w:bookmarkStart w:id="101" w:name="_Toc244580368"/>
      <w:bookmarkStart w:id="102" w:name="_Toc244587044"/>
      <w:bookmarkStart w:id="103" w:name="_Toc244857278"/>
      <w:bookmarkStart w:id="104" w:name="_Toc244912543"/>
      <w:bookmarkStart w:id="105" w:name="_Toc244917000"/>
      <w:bookmarkStart w:id="106" w:name="_Toc362368109"/>
      <w:bookmarkStart w:id="107" w:name="_Toc362434950"/>
      <w:bookmarkStart w:id="108" w:name="_Toc362589336"/>
      <w:bookmarkStart w:id="109" w:name="_Toc362619036"/>
      <w:bookmarkStart w:id="110" w:name="_Toc362940600"/>
      <w:bookmarkStart w:id="111" w:name="_Toc363047108"/>
      <w:r w:rsidRPr="003A2E6A">
        <w:t>Implementation</w:t>
      </w:r>
      <w:bookmarkEnd w:id="101"/>
      <w:bookmarkEnd w:id="102"/>
      <w:bookmarkEnd w:id="103"/>
      <w:bookmarkEnd w:id="104"/>
      <w:bookmarkEnd w:id="105"/>
      <w:r w:rsidRPr="003A2E6A">
        <w:t xml:space="preserve"> plan</w:t>
      </w:r>
      <w:bookmarkEnd w:id="106"/>
      <w:bookmarkEnd w:id="107"/>
      <w:bookmarkEnd w:id="108"/>
      <w:bookmarkEnd w:id="109"/>
      <w:bookmarkEnd w:id="110"/>
      <w:bookmarkEnd w:id="111"/>
    </w:p>
    <w:p w14:paraId="156E82EB" w14:textId="77777777" w:rsidR="00202E3C" w:rsidRPr="00C74C64" w:rsidRDefault="00441007" w:rsidP="00A81A1B">
      <w:pPr>
        <w:pStyle w:val="MOJNumPara"/>
        <w:ind w:right="-142"/>
      </w:pPr>
      <w:r w:rsidRPr="00FC59F7">
        <w:t>Successful implem</w:t>
      </w:r>
      <w:r w:rsidR="00FC59F7" w:rsidRPr="00FC59F7">
        <w:t xml:space="preserve">entation </w:t>
      </w:r>
      <w:r w:rsidR="00C4105A">
        <w:t xml:space="preserve">of the preferred option </w:t>
      </w:r>
      <w:r w:rsidR="00FC59F7" w:rsidRPr="00FC59F7">
        <w:t>will be reliant on individuals and agencies within the wider sector understanding th</w:t>
      </w:r>
      <w:r w:rsidR="00202E3C">
        <w:t>eir roles and responsibilities under</w:t>
      </w:r>
      <w:r w:rsidR="00FC59F7" w:rsidRPr="00FC59F7">
        <w:t xml:space="preserve"> the reformed framework.  </w:t>
      </w:r>
      <w:r w:rsidR="00202E3C">
        <w:t xml:space="preserve">For many practitioners a change in </w:t>
      </w:r>
      <w:proofErr w:type="spellStart"/>
      <w:r w:rsidR="00202E3C" w:rsidRPr="00C74C64">
        <w:t>mindsets</w:t>
      </w:r>
      <w:proofErr w:type="spellEnd"/>
      <w:r w:rsidR="00202E3C" w:rsidRPr="00C74C64">
        <w:t xml:space="preserve"> and behaviours </w:t>
      </w:r>
      <w:r w:rsidR="00202E3C">
        <w:t xml:space="preserve">is required.  </w:t>
      </w:r>
      <w:r w:rsidR="003D6227">
        <w:t>T</w:t>
      </w:r>
      <w:r w:rsidR="00202E3C">
        <w:t xml:space="preserve">here </w:t>
      </w:r>
      <w:r w:rsidR="00202E3C" w:rsidRPr="00C74C64">
        <w:t xml:space="preserve">is a pressing need to reduce the risk aversion that currently biases many practitioners towards not disclosing information.  Further, the </w:t>
      </w:r>
      <w:r w:rsidR="00202E3C" w:rsidRPr="00202E3C">
        <w:rPr>
          <w:color w:val="000000"/>
        </w:rPr>
        <w:t xml:space="preserve">Office of the Children’s Commissioner has queried whether all the agencies and professionals that will constitute the </w:t>
      </w:r>
      <w:r w:rsidR="00202E3C">
        <w:rPr>
          <w:color w:val="000000"/>
        </w:rPr>
        <w:t xml:space="preserve">child welfare and protection </w:t>
      </w:r>
      <w:r w:rsidR="00202E3C" w:rsidRPr="00202E3C">
        <w:rPr>
          <w:color w:val="000000"/>
        </w:rPr>
        <w:t xml:space="preserve">sector </w:t>
      </w:r>
      <w:r w:rsidR="00202E3C">
        <w:rPr>
          <w:color w:val="000000"/>
        </w:rPr>
        <w:t xml:space="preserve">for information sharing purposes </w:t>
      </w:r>
      <w:r w:rsidR="00202E3C" w:rsidRPr="00202E3C">
        <w:rPr>
          <w:color w:val="000000"/>
        </w:rPr>
        <w:t xml:space="preserve">have the necessary expertise to work directly with children, engage effectively with them, and understand their rights.  </w:t>
      </w:r>
    </w:p>
    <w:p w14:paraId="4BA11EA1" w14:textId="77777777" w:rsidR="00202E3C" w:rsidRPr="00FC59F7" w:rsidRDefault="00202E3C" w:rsidP="00966EAB">
      <w:pPr>
        <w:pStyle w:val="MOJNumPara"/>
        <w:ind w:right="-142"/>
      </w:pPr>
      <w:r w:rsidRPr="00C74C64">
        <w:t xml:space="preserve">Law change </w:t>
      </w:r>
      <w:r>
        <w:t xml:space="preserve">will </w:t>
      </w:r>
      <w:r w:rsidRPr="00C74C64">
        <w:t xml:space="preserve">send a strong message that </w:t>
      </w:r>
      <w:r>
        <w:t>will encourage</w:t>
      </w:r>
      <w:r w:rsidRPr="00C74C64">
        <w:t xml:space="preserve"> information sharing, </w:t>
      </w:r>
      <w:r>
        <w:t xml:space="preserve">and this </w:t>
      </w:r>
      <w:r w:rsidR="003D6227">
        <w:t xml:space="preserve">signalling effect </w:t>
      </w:r>
      <w:r w:rsidR="00F83C15">
        <w:t xml:space="preserve">was </w:t>
      </w:r>
      <w:r w:rsidR="003D6227">
        <w:t xml:space="preserve">one of the primary benefits of the law reforms </w:t>
      </w:r>
      <w:r>
        <w:t xml:space="preserve">in New South Wales.  </w:t>
      </w:r>
      <w:r w:rsidR="00F83C15">
        <w:t>The l</w:t>
      </w:r>
      <w:r w:rsidR="003D6227">
        <w:t xml:space="preserve">aw reform needs to be </w:t>
      </w:r>
      <w:r w:rsidRPr="00C74C64">
        <w:t xml:space="preserve">reinforced by a cultural change programme that provides </w:t>
      </w:r>
      <w:r w:rsidR="003D6227">
        <w:t xml:space="preserve">sustained </w:t>
      </w:r>
      <w:r w:rsidRPr="00C74C64">
        <w:t xml:space="preserve">guidance and training to frontline practitioners.  Without an investment in cultural change there is a risk that </w:t>
      </w:r>
      <w:r w:rsidR="003D6227">
        <w:t xml:space="preserve">current </w:t>
      </w:r>
      <w:r w:rsidRPr="00C74C64">
        <w:t xml:space="preserve">inconsistencies in information sharing practices, including in the engagement of children and their families, will persist.     </w:t>
      </w:r>
    </w:p>
    <w:p w14:paraId="7F20D53C" w14:textId="77777777" w:rsidR="00A830BC" w:rsidRPr="00FC59F7" w:rsidRDefault="001B4988" w:rsidP="00966EAB">
      <w:pPr>
        <w:pStyle w:val="MOJNumPara"/>
        <w:ind w:right="-142"/>
      </w:pPr>
      <w:r w:rsidRPr="00FC59F7">
        <w:t>The</w:t>
      </w:r>
      <w:r w:rsidR="00C4105A">
        <w:t xml:space="preserve"> </w:t>
      </w:r>
      <w:r w:rsidR="00C4105A" w:rsidRPr="000F5BBF">
        <w:rPr>
          <w:rFonts w:cs="Arial"/>
        </w:rPr>
        <w:t>Ministry for Vulnerable Children, Oranga Tamariki</w:t>
      </w:r>
      <w:r w:rsidR="00FC59F7" w:rsidRPr="00FC59F7">
        <w:t>,</w:t>
      </w:r>
      <w:r w:rsidRPr="00FC59F7">
        <w:t xml:space="preserve"> alongsid</w:t>
      </w:r>
      <w:r w:rsidR="000136C4">
        <w:t>e the Government Chief Privacy O</w:t>
      </w:r>
      <w:r w:rsidRPr="00FC59F7">
        <w:t>fficer</w:t>
      </w:r>
      <w:r w:rsidR="00FC59F7" w:rsidRPr="00FC59F7">
        <w:t>,</w:t>
      </w:r>
      <w:r w:rsidRPr="00FC59F7">
        <w:t xml:space="preserve"> will </w:t>
      </w:r>
      <w:r w:rsidR="00BB43A8" w:rsidRPr="00FC59F7">
        <w:t xml:space="preserve">work to create an operational </w:t>
      </w:r>
      <w:r w:rsidRPr="00FC59F7">
        <w:t xml:space="preserve">framework </w:t>
      </w:r>
      <w:r w:rsidR="00202E3C">
        <w:t xml:space="preserve">and cultural change programme </w:t>
      </w:r>
      <w:r w:rsidRPr="00FC59F7">
        <w:t xml:space="preserve">that: </w:t>
      </w:r>
    </w:p>
    <w:p w14:paraId="29A15B54" w14:textId="77777777" w:rsidR="00F83C15" w:rsidRDefault="00F83C15" w:rsidP="004B7689">
      <w:pPr>
        <w:pStyle w:val="MOJLevel2NumPara"/>
        <w:numPr>
          <w:ilvl w:val="1"/>
          <w:numId w:val="6"/>
        </w:numPr>
        <w:tabs>
          <w:tab w:val="clear" w:pos="1985"/>
          <w:tab w:val="left" w:pos="1276"/>
        </w:tabs>
        <w:ind w:left="1276" w:right="-142" w:hanging="567"/>
      </w:pPr>
      <w:r>
        <w:t>ensures there is sufficient capacity,  and efficient systems in place, to manage an anticipated increase in requests for information from other agencies and professionals;</w:t>
      </w:r>
    </w:p>
    <w:p w14:paraId="2E397B29" w14:textId="77777777" w:rsidR="00F83C15" w:rsidRDefault="00202E3C" w:rsidP="004B7689">
      <w:pPr>
        <w:pStyle w:val="MOJLevel2NumPara"/>
        <w:numPr>
          <w:ilvl w:val="1"/>
          <w:numId w:val="6"/>
        </w:numPr>
        <w:tabs>
          <w:tab w:val="clear" w:pos="1985"/>
          <w:tab w:val="left" w:pos="1276"/>
        </w:tabs>
        <w:ind w:left="1276" w:right="-142" w:hanging="567"/>
      </w:pPr>
      <w:r w:rsidRPr="00202E3C">
        <w:t xml:space="preserve">provides detailed guidance to </w:t>
      </w:r>
      <w:r w:rsidR="003D6227">
        <w:t xml:space="preserve">frontline </w:t>
      </w:r>
      <w:r w:rsidRPr="00202E3C">
        <w:t>practi</w:t>
      </w:r>
      <w:r w:rsidR="003D6227">
        <w:t>ti</w:t>
      </w:r>
      <w:r w:rsidRPr="00202E3C">
        <w:t xml:space="preserve">oners on </w:t>
      </w:r>
      <w:r w:rsidR="00F83C15">
        <w:t>using the new framework in ways that protects privacy interests and also avoids overly bureaucratic responses to compliance with the framework;</w:t>
      </w:r>
    </w:p>
    <w:p w14:paraId="6E369EF8" w14:textId="77777777" w:rsidR="00A830BC" w:rsidRPr="00202E3C" w:rsidRDefault="00F83C15" w:rsidP="004B7689">
      <w:pPr>
        <w:pStyle w:val="MOJLevel2NumPara"/>
        <w:numPr>
          <w:ilvl w:val="1"/>
          <w:numId w:val="6"/>
        </w:numPr>
        <w:tabs>
          <w:tab w:val="clear" w:pos="1985"/>
          <w:tab w:val="left" w:pos="1276"/>
        </w:tabs>
        <w:ind w:left="1276" w:right="-142" w:hanging="567"/>
      </w:pPr>
      <w:proofErr w:type="gramStart"/>
      <w:r>
        <w:t>promotes</w:t>
      </w:r>
      <w:proofErr w:type="gramEnd"/>
      <w:r>
        <w:t xml:space="preserve"> efficient and effective engagement</w:t>
      </w:r>
      <w:r w:rsidR="00202E3C" w:rsidRPr="00202E3C">
        <w:t xml:space="preserve"> with children, young people and their families</w:t>
      </w:r>
      <w:r>
        <w:t xml:space="preserve"> about information sharing under the framework.  </w:t>
      </w:r>
    </w:p>
    <w:p w14:paraId="407D9072" w14:textId="77777777" w:rsidR="007905BF" w:rsidRPr="003A2E6A" w:rsidRDefault="007905BF" w:rsidP="00A81A1B">
      <w:pPr>
        <w:pStyle w:val="Heading2"/>
        <w:spacing w:before="360"/>
        <w:ind w:right="-142"/>
      </w:pPr>
      <w:bookmarkStart w:id="112" w:name="_Toc244580369"/>
      <w:bookmarkStart w:id="113" w:name="_Toc244587045"/>
      <w:bookmarkStart w:id="114" w:name="_Toc244857279"/>
      <w:bookmarkStart w:id="115" w:name="_Toc244912544"/>
      <w:bookmarkStart w:id="116" w:name="_Toc244917001"/>
      <w:bookmarkStart w:id="117" w:name="_Toc362368110"/>
      <w:bookmarkStart w:id="118" w:name="_Toc362434951"/>
      <w:bookmarkStart w:id="119" w:name="_Toc362589337"/>
      <w:bookmarkStart w:id="120" w:name="_Toc362619037"/>
      <w:bookmarkStart w:id="121" w:name="_Toc362940601"/>
      <w:bookmarkStart w:id="122" w:name="_Toc363047109"/>
      <w:r w:rsidRPr="003A2E6A">
        <w:t>Monitoring, evaluation and review</w:t>
      </w:r>
      <w:bookmarkEnd w:id="112"/>
      <w:bookmarkEnd w:id="113"/>
      <w:bookmarkEnd w:id="114"/>
      <w:bookmarkEnd w:id="115"/>
      <w:bookmarkEnd w:id="116"/>
      <w:bookmarkEnd w:id="117"/>
      <w:bookmarkEnd w:id="118"/>
      <w:bookmarkEnd w:id="119"/>
      <w:bookmarkEnd w:id="120"/>
      <w:bookmarkEnd w:id="121"/>
      <w:bookmarkEnd w:id="122"/>
    </w:p>
    <w:p w14:paraId="2C1B4519" w14:textId="77777777" w:rsidR="00A81A1B" w:rsidRDefault="000136C4" w:rsidP="00A81A1B">
      <w:pPr>
        <w:pStyle w:val="MOJNumPara"/>
        <w:spacing w:before="180"/>
        <w:ind w:right="-142"/>
      </w:pPr>
      <w:r w:rsidRPr="009A6CCB">
        <w:t xml:space="preserve">These proposals form part of a large set of reforms to develop a new operating model for responding to vulnerable children, young people and their families. The success of the new system will be measured in a variety of ways by the agency responsible for the new operating model. Further work will be required with </w:t>
      </w:r>
      <w:r>
        <w:t xml:space="preserve">the </w:t>
      </w:r>
      <w:r w:rsidRPr="009A6CCB">
        <w:t>Treasury and the State Services Commission to build a detailed performance framework.</w:t>
      </w:r>
    </w:p>
    <w:p w14:paraId="2D36A833" w14:textId="77777777" w:rsidR="00101EFA" w:rsidRDefault="00101EFA" w:rsidP="00101EFA">
      <w:pPr>
        <w:pStyle w:val="MOJNumPara"/>
        <w:rPr>
          <w:sz w:val="22"/>
          <w:szCs w:val="22"/>
        </w:rPr>
      </w:pPr>
      <w:r>
        <w:t xml:space="preserve">A strategic evaluation plan is currently being developed. This plan will include </w:t>
      </w:r>
      <w:proofErr w:type="gramStart"/>
      <w:r>
        <w:t>an outcomes</w:t>
      </w:r>
      <w:proofErr w:type="gramEnd"/>
      <w:r>
        <w:t xml:space="preserve"> framework and intervention logic as well as setting out a schedule of evaluation activity </w:t>
      </w:r>
      <w:r>
        <w:lastRenderedPageBreak/>
        <w:t xml:space="preserve">that will take place over the next five years. The schedule will include a full range of activity, from regular performance monitoring and reporting, to process and effectiveness/impact evaluations, trials and a commitment to continuous improvement and learning under an investment approach.  </w:t>
      </w:r>
    </w:p>
    <w:p w14:paraId="24DF7762" w14:textId="77777777" w:rsidR="00101EFA" w:rsidRDefault="00101EFA" w:rsidP="00101EFA">
      <w:pPr>
        <w:pStyle w:val="MOJNumPara"/>
        <w:rPr>
          <w:sz w:val="22"/>
          <w:szCs w:val="22"/>
        </w:rPr>
      </w:pPr>
      <w:r>
        <w:t>The evaluation activity will include specific lines of inquiry about the impact of the new information sharing framework, including whether the framework has had any unintended adverse impacts, such as materially increasing the disengagement of vulnerable children and their families from accessing and using public services.</w:t>
      </w:r>
    </w:p>
    <w:p w14:paraId="2BF3AFB0" w14:textId="77777777" w:rsidR="00A81A1B" w:rsidRDefault="00A81A1B" w:rsidP="00A81A1B">
      <w:pPr>
        <w:pStyle w:val="MOJNumPara"/>
        <w:spacing w:before="180"/>
        <w:ind w:right="-142"/>
      </w:pPr>
      <w:r>
        <w:t>T</w:t>
      </w:r>
      <w:r w:rsidR="00350DAD" w:rsidRPr="00FC59F7">
        <w:t xml:space="preserve">he </w:t>
      </w:r>
      <w:r w:rsidR="00C4105A" w:rsidRPr="000F5BBF">
        <w:rPr>
          <w:rFonts w:cs="Arial"/>
        </w:rPr>
        <w:t>Ministry for Vulnerable Children, Oranga Tamariki</w:t>
      </w:r>
      <w:r w:rsidR="00C4105A">
        <w:rPr>
          <w:rFonts w:cs="Calibri"/>
        </w:rPr>
        <w:t xml:space="preserve"> </w:t>
      </w:r>
      <w:r w:rsidR="000136C4">
        <w:t xml:space="preserve">will also </w:t>
      </w:r>
      <w:r w:rsidR="00350DAD" w:rsidRPr="00FC59F7">
        <w:t>engage regularly with the Government Chief Privacy Officer and Privacy Commissioner about t</w:t>
      </w:r>
      <w:r w:rsidR="005414ED" w:rsidRPr="00FC59F7">
        <w:t>he state of information</w:t>
      </w:r>
      <w:r w:rsidR="00FC59F7" w:rsidRPr="00FC59F7">
        <w:t xml:space="preserve"> sharing in the </w:t>
      </w:r>
      <w:r w:rsidR="000A0A18">
        <w:t xml:space="preserve">child welfare and protection </w:t>
      </w:r>
      <w:r w:rsidR="00FC59F7" w:rsidRPr="00FC59F7">
        <w:t>sector. Th</w:t>
      </w:r>
      <w:r w:rsidR="005414ED" w:rsidRPr="00FC59F7">
        <w:t>e</w:t>
      </w:r>
      <w:r w:rsidR="00FC59F7" w:rsidRPr="00FC59F7">
        <w:t>y</w:t>
      </w:r>
      <w:r w:rsidR="005414ED" w:rsidRPr="00FC59F7">
        <w:t xml:space="preserve"> will also continue to examine cases and data regarding information sharing provided by these </w:t>
      </w:r>
      <w:r>
        <w:t>officers.</w:t>
      </w:r>
    </w:p>
    <w:p w14:paraId="3EA7B88C" w14:textId="77777777" w:rsidR="00B62A9E" w:rsidRPr="007905BF" w:rsidRDefault="001B4988" w:rsidP="00966EAB">
      <w:pPr>
        <w:pStyle w:val="MOJNumPara"/>
        <w:spacing w:before="200"/>
        <w:ind w:right="-142"/>
      </w:pPr>
      <w:r w:rsidRPr="00FC59F7">
        <w:t>The Privacy Commissioner will be able to enquire and investigate any information sharing practices</w:t>
      </w:r>
      <w:r w:rsidR="00FC59F7">
        <w:t xml:space="preserve"> or operational protocols</w:t>
      </w:r>
      <w:r w:rsidR="0034079A">
        <w:t xml:space="preserve">, through either </w:t>
      </w:r>
      <w:r w:rsidRPr="00FC59F7">
        <w:t>a proactive investigation or a</w:t>
      </w:r>
      <w:r w:rsidR="00B0721B" w:rsidRPr="00FC59F7">
        <w:t xml:space="preserve"> complaint from a member of the public. </w:t>
      </w:r>
      <w:r w:rsidR="007905BF" w:rsidRPr="00FC59F7">
        <w:t xml:space="preserve"> </w:t>
      </w:r>
      <w:bookmarkEnd w:id="17"/>
      <w:bookmarkEnd w:id="18"/>
      <w:bookmarkEnd w:id="19"/>
      <w:bookmarkEnd w:id="20"/>
      <w:bookmarkEnd w:id="21"/>
      <w:bookmarkEnd w:id="22"/>
      <w:bookmarkEnd w:id="23"/>
      <w:bookmarkEnd w:id="24"/>
      <w:bookmarkEnd w:id="25"/>
      <w:bookmarkEnd w:id="26"/>
    </w:p>
    <w:sectPr w:rsidR="00B62A9E" w:rsidRPr="007905BF" w:rsidSect="00966EAB">
      <w:pgSz w:w="11907" w:h="16840" w:code="9"/>
      <w:pgMar w:top="1418" w:right="1275" w:bottom="1134" w:left="1418" w:header="454" w:footer="454" w:gutter="0"/>
      <w:cols w:space="720"/>
      <w:titlePg/>
      <w:docGrid w:linePitch="299"/>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1736888" w15:done="0"/>
  <w15:commentEx w15:paraId="737E1C7E" w15:done="0"/>
  <w15:commentEx w15:paraId="48180DFA" w15:done="0"/>
  <w15:commentEx w15:paraId="5DDD0191" w15:done="0"/>
  <w15:commentEx w15:paraId="0291F80A" w15:done="0"/>
  <w15:commentEx w15:paraId="34E53B60" w15:done="0"/>
  <w15:commentEx w15:paraId="59239E01" w15:done="0"/>
  <w15:commentEx w15:paraId="46716BD2" w15:done="0"/>
  <w15:commentEx w15:paraId="7048BA4C" w15:done="0"/>
  <w15:commentEx w15:paraId="084240DE" w15:done="0"/>
  <w15:commentEx w15:paraId="21918D3C" w15:done="0"/>
  <w15:commentEx w15:paraId="542CFE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0E1833" w14:textId="77777777" w:rsidR="00AF4647" w:rsidRDefault="00AF4647" w:rsidP="00F72085">
      <w:r>
        <w:separator/>
      </w:r>
    </w:p>
  </w:endnote>
  <w:endnote w:type="continuationSeparator" w:id="0">
    <w:p w14:paraId="1634CF65" w14:textId="77777777" w:rsidR="00AF4647" w:rsidRDefault="00AF4647" w:rsidP="00F7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illSans">
    <w:panose1 w:val="00000000000000000000"/>
    <w:charset w:val="00"/>
    <w:family w:val="moder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inion">
    <w:altName w:val="Minion"/>
    <w:panose1 w:val="00000000000000000000"/>
    <w:charset w:val="00"/>
    <w:family w:val="roman"/>
    <w:notTrueType/>
    <w:pitch w:val="default"/>
    <w:sig w:usb0="00000003" w:usb1="00000000" w:usb2="00000000" w:usb3="00000000" w:csb0="00000001" w:csb1="00000000"/>
  </w:font>
  <w:font w:name="TimesNewRomanPSMT">
    <w:charset w:val="00"/>
    <w:family w:val="auto"/>
    <w:pitch w:val="variable"/>
    <w:sig w:usb0="E0002AEF" w:usb1="C0007841" w:usb2="00000009" w:usb3="00000000" w:csb0="000001FF" w:csb1="00000000"/>
  </w:font>
  <w:font w:name="Code20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F3E188" w14:textId="77777777" w:rsidR="00D76BEA" w:rsidRPr="00450886" w:rsidRDefault="00C81D88" w:rsidP="00450886">
    <w:pPr>
      <w:spacing w:after="160"/>
      <w:rPr>
        <w:rFonts w:cs="Arial"/>
        <w:sz w:val="16"/>
        <w:szCs w:val="16"/>
      </w:rPr>
    </w:pPr>
    <w:r w:rsidRPr="00450886">
      <w:rPr>
        <w:sz w:val="16"/>
        <w:szCs w:val="16"/>
      </w:rPr>
      <w:fldChar w:fldCharType="begin"/>
    </w:r>
    <w:r w:rsidR="00D76BEA" w:rsidRPr="00450886">
      <w:rPr>
        <w:sz w:val="16"/>
        <w:szCs w:val="16"/>
      </w:rPr>
      <w:instrText xml:space="preserve">PAGE  </w:instrText>
    </w:r>
    <w:r w:rsidRPr="00450886">
      <w:rPr>
        <w:sz w:val="16"/>
        <w:szCs w:val="16"/>
      </w:rPr>
      <w:fldChar w:fldCharType="separate"/>
    </w:r>
    <w:r w:rsidR="00582DCA">
      <w:rPr>
        <w:noProof/>
        <w:sz w:val="16"/>
        <w:szCs w:val="16"/>
      </w:rPr>
      <w:t>10</w:t>
    </w:r>
    <w:r w:rsidRPr="00450886">
      <w:rPr>
        <w:sz w:val="16"/>
        <w:szCs w:val="16"/>
      </w:rPr>
      <w:fldChar w:fldCharType="end"/>
    </w:r>
    <w:r w:rsidR="00D76BEA" w:rsidRPr="00450886">
      <w:rPr>
        <w:sz w:val="16"/>
        <w:szCs w:val="16"/>
      </w:rPr>
      <w:t xml:space="preserve">   |   Regulatory Impact </w:t>
    </w:r>
    <w:r w:rsidR="00D76BEA" w:rsidRPr="00450886">
      <w:rPr>
        <w:rFonts w:cs="Arial"/>
        <w:sz w:val="16"/>
        <w:szCs w:val="16"/>
      </w:rPr>
      <w:t xml:space="preserve">Statement – </w:t>
    </w:r>
    <w:r w:rsidR="00D76BEA">
      <w:rPr>
        <w:rFonts w:cs="Arial"/>
        <w:sz w:val="16"/>
        <w:szCs w:val="16"/>
      </w:rPr>
      <w:t>Investing in Children: Information Sharing</w:t>
    </w:r>
  </w:p>
  <w:p w14:paraId="562027D3" w14:textId="77777777" w:rsidR="00D76BEA" w:rsidRPr="00C73AEA" w:rsidRDefault="00D76BEA" w:rsidP="009C7BCF">
    <w:pPr>
      <w:pStyle w:val="EvenFooter"/>
      <w:ind w:right="-142"/>
      <w:rPr>
        <w:cap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E461A8" w14:textId="77777777" w:rsidR="00D76BEA" w:rsidRDefault="00FE6019">
    <w:pPr>
      <w:pStyle w:val="Footer"/>
      <w:pBdr>
        <w:top w:val="single" w:sz="4" w:space="1" w:color="D9D9D9"/>
      </w:pBdr>
      <w:rPr>
        <w:b/>
      </w:rPr>
    </w:pPr>
    <w:r>
      <w:fldChar w:fldCharType="begin"/>
    </w:r>
    <w:r>
      <w:instrText xml:space="preserve"> PAGE   \* MERGEFORMAT </w:instrText>
    </w:r>
    <w:r>
      <w:fldChar w:fldCharType="separate"/>
    </w:r>
    <w:r w:rsidR="00582DCA" w:rsidRPr="00582DCA">
      <w:rPr>
        <w:b/>
      </w:rPr>
      <w:t>13</w:t>
    </w:r>
    <w:r>
      <w:rPr>
        <w:b/>
      </w:rPr>
      <w:fldChar w:fldCharType="end"/>
    </w:r>
    <w:r w:rsidR="00D76BEA">
      <w:rPr>
        <w:b/>
      </w:rPr>
      <w:t xml:space="preserve"> | </w:t>
    </w:r>
    <w:r w:rsidR="00D76BEA" w:rsidRPr="00450886">
      <w:t xml:space="preserve">Regulatory Impact </w:t>
    </w:r>
    <w:r w:rsidR="00D76BEA" w:rsidRPr="00450886">
      <w:rPr>
        <w:rFonts w:cs="Arial"/>
      </w:rPr>
      <w:t xml:space="preserve">Statement – </w:t>
    </w:r>
    <w:r w:rsidR="00D76BEA">
      <w:rPr>
        <w:rFonts w:cs="Arial"/>
      </w:rPr>
      <w:t>Investing in Children; Informatiom Sharing</w:t>
    </w:r>
  </w:p>
  <w:p w14:paraId="1983115F" w14:textId="77777777" w:rsidR="00D76BEA" w:rsidRPr="00C73AEA" w:rsidRDefault="00D76BEA" w:rsidP="009C7B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EAFA7" w14:textId="77777777" w:rsidR="00D76BEA" w:rsidRPr="00D03BFC" w:rsidRDefault="00D76BEA" w:rsidP="00D03BFC">
    <w:pPr>
      <w:spacing w:after="160"/>
      <w:rPr>
        <w:rFonts w:cs="Arial"/>
        <w:sz w:val="16"/>
        <w:szCs w:val="16"/>
      </w:rPr>
    </w:pPr>
    <w:r w:rsidRPr="00450886">
      <w:rPr>
        <w:sz w:val="16"/>
        <w:szCs w:val="16"/>
      </w:rPr>
      <w:t xml:space="preserve">Regulatory Impact </w:t>
    </w:r>
    <w:r w:rsidRPr="00450886">
      <w:rPr>
        <w:rFonts w:cs="Arial"/>
        <w:sz w:val="16"/>
        <w:szCs w:val="16"/>
      </w:rPr>
      <w:t xml:space="preserve">Statement – </w:t>
    </w:r>
    <w:r>
      <w:rPr>
        <w:rFonts w:cs="Arial"/>
        <w:sz w:val="16"/>
        <w:szCs w:val="16"/>
      </w:rPr>
      <w:t>Investing in Children: Information Sharing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9499A" w14:textId="77777777" w:rsidR="00AF4647" w:rsidRDefault="00AF4647" w:rsidP="00F72085">
      <w:r>
        <w:separator/>
      </w:r>
    </w:p>
  </w:footnote>
  <w:footnote w:type="continuationSeparator" w:id="0">
    <w:p w14:paraId="249120A4" w14:textId="77777777" w:rsidR="00AF4647" w:rsidRDefault="00AF4647" w:rsidP="00F72085">
      <w:r>
        <w:continuationSeparator/>
      </w:r>
    </w:p>
  </w:footnote>
  <w:footnote w:id="1">
    <w:p w14:paraId="05152742" w14:textId="77777777" w:rsidR="00D76BEA" w:rsidRPr="004214DB" w:rsidRDefault="00D76BEA" w:rsidP="004214DB">
      <w:pPr>
        <w:pStyle w:val="FootnoteText"/>
        <w:rPr>
          <w:rFonts w:ascii="Calibri" w:hAnsi="Calibri"/>
          <w:sz w:val="16"/>
          <w:szCs w:val="16"/>
        </w:rPr>
      </w:pPr>
      <w:r w:rsidRPr="004214DB">
        <w:rPr>
          <w:rStyle w:val="FootnoteReference"/>
          <w:rFonts w:ascii="Calibri" w:hAnsi="Calibri"/>
          <w:szCs w:val="16"/>
        </w:rPr>
        <w:footnoteRef/>
      </w:r>
      <w:r w:rsidRPr="004214DB">
        <w:rPr>
          <w:rFonts w:ascii="Calibri" w:hAnsi="Calibri"/>
          <w:sz w:val="16"/>
          <w:szCs w:val="16"/>
        </w:rPr>
        <w:t xml:space="preserve"> </w:t>
      </w:r>
      <w:r w:rsidRPr="004214DB">
        <w:rPr>
          <w:rFonts w:ascii="Calibri" w:hAnsi="Calibri"/>
          <w:sz w:val="16"/>
          <w:szCs w:val="16"/>
          <w:lang w:val="mi-NZ"/>
        </w:rPr>
        <w:t xml:space="preserve">Expert Panel. (2015). </w:t>
      </w:r>
      <w:r w:rsidRPr="004214DB">
        <w:rPr>
          <w:rFonts w:ascii="Calibri" w:hAnsi="Calibri"/>
          <w:i/>
          <w:sz w:val="16"/>
          <w:szCs w:val="16"/>
          <w:lang w:val="mi-NZ"/>
        </w:rPr>
        <w:t>Final Report: Investing in New Zealand’s Children and Their Families</w:t>
      </w:r>
      <w:r w:rsidRPr="004214DB">
        <w:rPr>
          <w:rFonts w:ascii="Calibri" w:hAnsi="Calibri"/>
          <w:sz w:val="16"/>
          <w:szCs w:val="16"/>
          <w:lang w:val="mi-NZ"/>
        </w:rPr>
        <w:t xml:space="preserve">. </w:t>
      </w:r>
      <w:hyperlink r:id="rId1" w:history="1">
        <w:r w:rsidRPr="004214DB">
          <w:rPr>
            <w:rStyle w:val="Hyperlink"/>
            <w:rFonts w:ascii="Calibri" w:hAnsi="Calibri"/>
            <w:sz w:val="16"/>
            <w:szCs w:val="16"/>
            <w:lang w:val="mi-NZ"/>
          </w:rPr>
          <w:t>https://www.msd.govt.nz/documents/about-msd-and-our-work/work-programmes/investing-in-children/investing-in-children-report.pdf</w:t>
        </w:r>
      </w:hyperlink>
      <w:r w:rsidRPr="004214DB">
        <w:rPr>
          <w:rFonts w:ascii="Calibri" w:hAnsi="Calibri"/>
          <w:sz w:val="16"/>
          <w:szCs w:val="16"/>
          <w:lang w:val="mi-NZ"/>
        </w:rPr>
        <w:t xml:space="preserve"> </w:t>
      </w:r>
    </w:p>
  </w:footnote>
  <w:footnote w:id="2">
    <w:p w14:paraId="178FC4B4" w14:textId="77777777" w:rsidR="00D76BEA" w:rsidRPr="002B475A" w:rsidRDefault="00D76BEA" w:rsidP="002B475A">
      <w:pPr>
        <w:pStyle w:val="FootnoteText"/>
        <w:rPr>
          <w:rFonts w:ascii="Calibri" w:hAnsi="Calibri"/>
          <w:sz w:val="16"/>
          <w:szCs w:val="16"/>
        </w:rPr>
      </w:pPr>
      <w:r w:rsidRPr="002B475A">
        <w:rPr>
          <w:rStyle w:val="FootnoteReference"/>
          <w:rFonts w:ascii="Calibri" w:hAnsi="Calibri"/>
          <w:szCs w:val="16"/>
        </w:rPr>
        <w:footnoteRef/>
      </w:r>
      <w:r w:rsidRPr="002B475A">
        <w:rPr>
          <w:rFonts w:ascii="Calibri" w:hAnsi="Calibri"/>
          <w:sz w:val="16"/>
          <w:szCs w:val="16"/>
        </w:rPr>
        <w:t xml:space="preserve"> </w:t>
      </w:r>
      <w:r>
        <w:rPr>
          <w:rFonts w:ascii="Calibri" w:hAnsi="Calibri"/>
          <w:sz w:val="16"/>
          <w:szCs w:val="16"/>
        </w:rPr>
        <w:tab/>
      </w:r>
      <w:r w:rsidRPr="002B475A">
        <w:rPr>
          <w:rFonts w:ascii="Calibri" w:hAnsi="Calibri"/>
          <w:sz w:val="16"/>
          <w:szCs w:val="16"/>
        </w:rPr>
        <w:t xml:space="preserve">A study of five London Boroughs found the implementation of multi-agency safeguarding hubs (MASHs) resulted in a higher proportion of cases being escalated to a more serious rating (6% to 11%) than when risk assessment are conducted by agencies relying solely on the information they have to hand – see UK Home Office (2014) </w:t>
      </w:r>
      <w:r w:rsidRPr="002B475A">
        <w:rPr>
          <w:rFonts w:ascii="Calibri" w:hAnsi="Calibri"/>
          <w:i/>
          <w:sz w:val="16"/>
          <w:szCs w:val="16"/>
        </w:rPr>
        <w:t>Multi Agency Working and information Sharing Project - Final Report</w:t>
      </w:r>
      <w:r w:rsidRPr="002B475A">
        <w:rPr>
          <w:rFonts w:ascii="Calibri" w:hAnsi="Calibri"/>
          <w:sz w:val="16"/>
          <w:szCs w:val="16"/>
        </w:rPr>
        <w:t xml:space="preserve">, July 2014, p 8. </w:t>
      </w:r>
    </w:p>
  </w:footnote>
  <w:footnote w:id="3">
    <w:p w14:paraId="0179E9F0" w14:textId="77777777" w:rsidR="00D76BEA" w:rsidRPr="00AF01E6" w:rsidRDefault="00D76BEA" w:rsidP="000645FA">
      <w:pPr>
        <w:pStyle w:val="FootnoteText"/>
        <w:ind w:left="284" w:hanging="284"/>
        <w:rPr>
          <w:rFonts w:ascii="Calibri" w:hAnsi="Calibri"/>
          <w:sz w:val="16"/>
          <w:szCs w:val="16"/>
        </w:rPr>
      </w:pPr>
      <w:r w:rsidRPr="00AF01E6">
        <w:rPr>
          <w:rStyle w:val="FootnoteReference"/>
          <w:rFonts w:ascii="Calibri" w:hAnsi="Calibri"/>
          <w:szCs w:val="16"/>
        </w:rPr>
        <w:footnoteRef/>
      </w:r>
      <w:r w:rsidRPr="00AF01E6">
        <w:rPr>
          <w:rFonts w:ascii="Calibri" w:hAnsi="Calibri"/>
          <w:sz w:val="16"/>
          <w:szCs w:val="16"/>
        </w:rPr>
        <w:t xml:space="preserve"> </w:t>
      </w:r>
      <w:r w:rsidRPr="00AF01E6">
        <w:rPr>
          <w:rFonts w:ascii="Calibri" w:hAnsi="Calibri"/>
          <w:sz w:val="16"/>
          <w:szCs w:val="16"/>
        </w:rPr>
        <w:tab/>
        <w:t xml:space="preserve">Report to Hon Paula Bennett, Minister for Social Development and Employment, </w:t>
      </w:r>
      <w:r w:rsidRPr="00AF01E6">
        <w:rPr>
          <w:rFonts w:ascii="Calibri" w:hAnsi="Calibri"/>
          <w:sz w:val="16"/>
          <w:szCs w:val="16"/>
          <w:u w:val="single"/>
        </w:rPr>
        <w:t xml:space="preserve">Following </w:t>
      </w:r>
      <w:proofErr w:type="gramStart"/>
      <w:r w:rsidRPr="00AF01E6">
        <w:rPr>
          <w:rFonts w:ascii="Calibri" w:hAnsi="Calibri"/>
          <w:sz w:val="16"/>
          <w:szCs w:val="16"/>
          <w:u w:val="single"/>
        </w:rPr>
        <w:t>An Inquiry Into The Serious Abuse Of A</w:t>
      </w:r>
      <w:proofErr w:type="gramEnd"/>
      <w:r w:rsidRPr="00AF01E6">
        <w:rPr>
          <w:rFonts w:ascii="Calibri" w:hAnsi="Calibri"/>
          <w:sz w:val="16"/>
          <w:szCs w:val="16"/>
          <w:u w:val="single"/>
        </w:rPr>
        <w:t xml:space="preserve"> Nine year Old Girl and Other Matters Relating To The Welfare, Safety and Protection Of Children In New Zealand</w:t>
      </w:r>
      <w:r w:rsidRPr="00AF01E6">
        <w:rPr>
          <w:rFonts w:ascii="Calibri" w:hAnsi="Calibri"/>
          <w:sz w:val="16"/>
          <w:szCs w:val="16"/>
        </w:rPr>
        <w:t xml:space="preserve">, conducted by Mel Smith CNZM, 31 March 2011, page 72. </w:t>
      </w:r>
    </w:p>
  </w:footnote>
  <w:footnote w:id="4">
    <w:p w14:paraId="3D1046AC" w14:textId="77777777" w:rsidR="00D76BEA" w:rsidRPr="00AA2CDC" w:rsidRDefault="00D76BEA" w:rsidP="000645FA">
      <w:pPr>
        <w:pStyle w:val="FootnoteText"/>
        <w:tabs>
          <w:tab w:val="left" w:pos="284"/>
        </w:tabs>
        <w:ind w:left="284" w:hanging="284"/>
        <w:rPr>
          <w:sz w:val="16"/>
          <w:szCs w:val="16"/>
        </w:rPr>
      </w:pPr>
      <w:r w:rsidRPr="00AF01E6">
        <w:rPr>
          <w:rStyle w:val="FootnoteReference"/>
          <w:rFonts w:ascii="Calibri" w:hAnsi="Calibri"/>
          <w:szCs w:val="16"/>
        </w:rPr>
        <w:footnoteRef/>
      </w:r>
      <w:r w:rsidRPr="00AF01E6">
        <w:rPr>
          <w:rFonts w:ascii="Calibri" w:hAnsi="Calibri"/>
          <w:sz w:val="16"/>
          <w:szCs w:val="16"/>
        </w:rPr>
        <w:t xml:space="preserve"> </w:t>
      </w:r>
      <w:r w:rsidRPr="00AF01E6">
        <w:rPr>
          <w:rFonts w:ascii="Calibri" w:hAnsi="Calibri"/>
          <w:sz w:val="16"/>
          <w:szCs w:val="16"/>
        </w:rPr>
        <w:tab/>
        <w:t xml:space="preserve">These exceptions relate to </w:t>
      </w:r>
      <w:r w:rsidRPr="00AF01E6">
        <w:rPr>
          <w:rFonts w:ascii="Calibri" w:hAnsi="Calibri"/>
          <w:i/>
          <w:sz w:val="16"/>
          <w:szCs w:val="16"/>
        </w:rPr>
        <w:t>Information Privacy Principles</w:t>
      </w:r>
      <w:r w:rsidRPr="00AF01E6">
        <w:rPr>
          <w:rFonts w:ascii="Calibri" w:hAnsi="Calibri"/>
          <w:sz w:val="16"/>
          <w:szCs w:val="16"/>
        </w:rPr>
        <w:t xml:space="preserve"> 10 (limits on use of personal information) and 11 (limits on disclosure of personal information)</w:t>
      </w:r>
    </w:p>
  </w:footnote>
  <w:footnote w:id="5">
    <w:p w14:paraId="34740DF3" w14:textId="77777777" w:rsidR="00813AA7" w:rsidRPr="00813AA7" w:rsidRDefault="00813AA7" w:rsidP="00813AA7">
      <w:pPr>
        <w:autoSpaceDE w:val="0"/>
        <w:autoSpaceDN w:val="0"/>
        <w:adjustRightInd w:val="0"/>
        <w:spacing w:after="0" w:line="240" w:lineRule="auto"/>
        <w:rPr>
          <w:rFonts w:ascii="Calibri" w:hAnsi="Calibri" w:cs="Code2000"/>
          <w:sz w:val="16"/>
          <w:szCs w:val="16"/>
          <w:lang w:val="en-NZ" w:eastAsia="en-NZ"/>
        </w:rPr>
      </w:pPr>
      <w:r w:rsidRPr="00813AA7">
        <w:rPr>
          <w:rStyle w:val="FootnoteReference"/>
          <w:rFonts w:ascii="Calibri" w:hAnsi="Calibri"/>
          <w:szCs w:val="16"/>
        </w:rPr>
        <w:footnoteRef/>
      </w:r>
      <w:r w:rsidRPr="00813AA7">
        <w:rPr>
          <w:rFonts w:ascii="Calibri" w:hAnsi="Calibri"/>
          <w:sz w:val="16"/>
          <w:szCs w:val="16"/>
        </w:rPr>
        <w:t xml:space="preserve">  </w:t>
      </w:r>
      <w:r w:rsidRPr="00813AA7">
        <w:rPr>
          <w:rFonts w:ascii="Calibri" w:hAnsi="Calibri" w:cs="Code2000"/>
          <w:sz w:val="16"/>
          <w:szCs w:val="16"/>
          <w:lang w:val="en-NZ" w:eastAsia="en-NZ"/>
        </w:rPr>
        <w:t xml:space="preserve">Alessandro </w:t>
      </w:r>
      <w:proofErr w:type="spellStart"/>
      <w:r w:rsidRPr="00813AA7">
        <w:rPr>
          <w:rFonts w:ascii="Calibri" w:hAnsi="Calibri" w:cs="Code2000"/>
          <w:sz w:val="16"/>
          <w:szCs w:val="16"/>
          <w:lang w:val="en-NZ" w:eastAsia="en-NZ"/>
        </w:rPr>
        <w:t>Acquisti</w:t>
      </w:r>
      <w:proofErr w:type="spellEnd"/>
      <w:r w:rsidRPr="00813AA7">
        <w:rPr>
          <w:rFonts w:ascii="Calibri" w:hAnsi="Calibri" w:cs="Code2000"/>
          <w:sz w:val="16"/>
          <w:szCs w:val="16"/>
          <w:lang w:val="en-NZ" w:eastAsia="en-NZ"/>
        </w:rPr>
        <w:t xml:space="preserve">, Leslie K. John, and George </w:t>
      </w:r>
      <w:proofErr w:type="spellStart"/>
      <w:r w:rsidRPr="00813AA7">
        <w:rPr>
          <w:rFonts w:ascii="Calibri" w:hAnsi="Calibri" w:cs="Code2000"/>
          <w:sz w:val="16"/>
          <w:szCs w:val="16"/>
          <w:lang w:val="en-NZ" w:eastAsia="en-NZ"/>
        </w:rPr>
        <w:t>Loewenstein</w:t>
      </w:r>
      <w:proofErr w:type="spellEnd"/>
      <w:r w:rsidRPr="00813AA7">
        <w:rPr>
          <w:rFonts w:ascii="Calibri" w:hAnsi="Calibri" w:cs="Code2000"/>
          <w:sz w:val="16"/>
          <w:szCs w:val="16"/>
          <w:lang w:val="en-NZ" w:eastAsia="en-NZ"/>
        </w:rPr>
        <w:t xml:space="preserve"> (2013) “What Is Privacy Worth?”</w:t>
      </w:r>
      <w:r>
        <w:rPr>
          <w:rFonts w:ascii="Calibri" w:hAnsi="Calibri" w:cs="Code2000"/>
          <w:sz w:val="16"/>
          <w:szCs w:val="16"/>
          <w:lang w:val="en-NZ" w:eastAsia="en-NZ"/>
        </w:rPr>
        <w:t xml:space="preserve"> </w:t>
      </w:r>
      <w:r w:rsidRPr="00813AA7">
        <w:rPr>
          <w:rFonts w:ascii="Calibri" w:hAnsi="Calibri" w:cs="Code2000"/>
          <w:sz w:val="16"/>
          <w:szCs w:val="16"/>
          <w:u w:val="single"/>
          <w:lang w:val="en-NZ" w:eastAsia="en-NZ"/>
        </w:rPr>
        <w:t>The Journal of Legal Studies</w:t>
      </w:r>
      <w:r w:rsidRPr="00813AA7">
        <w:rPr>
          <w:rFonts w:ascii="Calibri" w:hAnsi="Calibri" w:cs="Code2000"/>
          <w:sz w:val="16"/>
          <w:szCs w:val="16"/>
          <w:lang w:val="en-NZ" w:eastAsia="en-NZ"/>
        </w:rPr>
        <w:t>, Vol. 42, No. 2 (June 2013), pp. 249-274</w:t>
      </w:r>
    </w:p>
  </w:footnote>
  <w:footnote w:id="6">
    <w:p w14:paraId="634803EF" w14:textId="77777777" w:rsidR="00AA7340" w:rsidRPr="007B3099" w:rsidRDefault="00AA7340">
      <w:pPr>
        <w:pStyle w:val="FootnoteText"/>
        <w:rPr>
          <w:rFonts w:ascii="Calibri" w:hAnsi="Calibri"/>
          <w:sz w:val="16"/>
          <w:szCs w:val="16"/>
          <w:lang w:val="en-NZ"/>
        </w:rPr>
      </w:pPr>
      <w:r w:rsidRPr="007B3099">
        <w:rPr>
          <w:rStyle w:val="FootnoteReference"/>
          <w:rFonts w:ascii="Calibri" w:hAnsi="Calibri"/>
          <w:szCs w:val="16"/>
        </w:rPr>
        <w:footnoteRef/>
      </w:r>
      <w:r w:rsidRPr="007B3099">
        <w:rPr>
          <w:rFonts w:ascii="Calibri" w:hAnsi="Calibri"/>
          <w:sz w:val="16"/>
          <w:szCs w:val="16"/>
        </w:rPr>
        <w:t xml:space="preserve"> </w:t>
      </w:r>
      <w:proofErr w:type="gramStart"/>
      <w:r w:rsidRPr="007B3099">
        <w:rPr>
          <w:rFonts w:ascii="Calibri" w:hAnsi="Calibri"/>
          <w:sz w:val="16"/>
          <w:szCs w:val="16"/>
          <w:lang w:val="en-NZ"/>
        </w:rPr>
        <w:t>Ibid.</w:t>
      </w:r>
      <w:proofErr w:type="gramEnd"/>
      <w:r w:rsidRPr="007B3099">
        <w:rPr>
          <w:rFonts w:ascii="Calibri" w:hAnsi="Calibri"/>
          <w:sz w:val="16"/>
          <w:szCs w:val="16"/>
          <w:lang w:val="en-NZ"/>
        </w:rPr>
        <w:t xml:space="preserve"> </w:t>
      </w:r>
    </w:p>
  </w:footnote>
  <w:footnote w:id="7">
    <w:p w14:paraId="5CCBCDCD" w14:textId="5E2E8E8B" w:rsidR="00D76BEA" w:rsidRPr="00032735" w:rsidRDefault="00D76BEA" w:rsidP="008F7E33">
      <w:pPr>
        <w:pStyle w:val="Default"/>
        <w:rPr>
          <w:rFonts w:eastAsia="Calibri"/>
          <w:sz w:val="16"/>
          <w:szCs w:val="16"/>
        </w:rPr>
      </w:pPr>
      <w:r w:rsidRPr="00D61993">
        <w:rPr>
          <w:rStyle w:val="FootnoteReference"/>
          <w:szCs w:val="16"/>
        </w:rPr>
        <w:footnoteRef/>
      </w:r>
      <w:r>
        <w:rPr>
          <w:sz w:val="16"/>
          <w:szCs w:val="16"/>
        </w:rPr>
        <w:t xml:space="preserve"> This </w:t>
      </w:r>
      <w:r w:rsidRPr="00D61993">
        <w:rPr>
          <w:sz w:val="16"/>
          <w:szCs w:val="16"/>
        </w:rPr>
        <w:t xml:space="preserve">estimate is derived from Ministry of </w:t>
      </w:r>
      <w:r>
        <w:rPr>
          <w:sz w:val="16"/>
          <w:szCs w:val="16"/>
        </w:rPr>
        <w:t>T</w:t>
      </w:r>
      <w:r w:rsidRPr="00D61993">
        <w:rPr>
          <w:sz w:val="16"/>
          <w:szCs w:val="16"/>
        </w:rPr>
        <w:t>ransport value of statistical life (</w:t>
      </w:r>
      <w:r w:rsidRPr="00032735">
        <w:rPr>
          <w:sz w:val="16"/>
          <w:szCs w:val="16"/>
        </w:rPr>
        <w:t>VOSL</w:t>
      </w:r>
      <w:r w:rsidRPr="00D61993">
        <w:rPr>
          <w:sz w:val="16"/>
          <w:szCs w:val="16"/>
        </w:rPr>
        <w:t xml:space="preserve">) </w:t>
      </w:r>
      <w:r>
        <w:rPr>
          <w:sz w:val="16"/>
          <w:szCs w:val="16"/>
        </w:rPr>
        <w:t xml:space="preserve">estimates, which measure </w:t>
      </w:r>
      <w:r w:rsidRPr="00D61993">
        <w:rPr>
          <w:sz w:val="16"/>
          <w:szCs w:val="16"/>
        </w:rPr>
        <w:t xml:space="preserve">the </w:t>
      </w:r>
      <w:r w:rsidRPr="00D61993">
        <w:rPr>
          <w:color w:val="464749"/>
          <w:sz w:val="16"/>
          <w:szCs w:val="16"/>
        </w:rPr>
        <w:t>loss of life and life quality component of the socia</w:t>
      </w:r>
      <w:r>
        <w:rPr>
          <w:color w:val="464749"/>
          <w:sz w:val="16"/>
          <w:szCs w:val="16"/>
        </w:rPr>
        <w:t>l costs of road crashes.  T</w:t>
      </w:r>
      <w:r w:rsidRPr="00D61993">
        <w:rPr>
          <w:color w:val="464749"/>
          <w:sz w:val="16"/>
          <w:szCs w:val="16"/>
        </w:rPr>
        <w:t xml:space="preserve">he Ministry estimates </w:t>
      </w:r>
      <w:r>
        <w:rPr>
          <w:color w:val="464749"/>
          <w:sz w:val="16"/>
          <w:szCs w:val="16"/>
        </w:rPr>
        <w:t xml:space="preserve">the VOSL </w:t>
      </w:r>
      <w:r w:rsidRPr="00D61993">
        <w:rPr>
          <w:color w:val="464749"/>
          <w:sz w:val="16"/>
          <w:szCs w:val="16"/>
        </w:rPr>
        <w:t xml:space="preserve">at </w:t>
      </w:r>
      <w:r w:rsidR="00AF2115" w:rsidRPr="00AF2115">
        <w:rPr>
          <w:b/>
          <w:color w:val="464749"/>
          <w:sz w:val="16"/>
          <w:szCs w:val="16"/>
        </w:rPr>
        <w:t>[section 9(f</w:t>
      </w:r>
      <w:proofErr w:type="gramStart"/>
      <w:r w:rsidR="00AF2115" w:rsidRPr="00AF2115">
        <w:rPr>
          <w:b/>
          <w:color w:val="464749"/>
          <w:sz w:val="16"/>
          <w:szCs w:val="16"/>
        </w:rPr>
        <w:t>)(</w:t>
      </w:r>
      <w:proofErr w:type="gramEnd"/>
      <w:r w:rsidR="00AF2115" w:rsidRPr="00AF2115">
        <w:rPr>
          <w:b/>
          <w:color w:val="464749"/>
          <w:sz w:val="16"/>
          <w:szCs w:val="16"/>
        </w:rPr>
        <w:t>iv)OIA]</w:t>
      </w:r>
      <w:r>
        <w:rPr>
          <w:color w:val="464749"/>
          <w:sz w:val="16"/>
          <w:szCs w:val="16"/>
        </w:rPr>
        <w:t xml:space="preserve"> per fatality </w:t>
      </w:r>
      <w:r w:rsidRPr="00D61993">
        <w:rPr>
          <w:color w:val="464749"/>
          <w:sz w:val="16"/>
          <w:szCs w:val="16"/>
        </w:rPr>
        <w:t xml:space="preserve">at June 2015 prices.   </w:t>
      </w:r>
      <w:r>
        <w:rPr>
          <w:color w:val="464749"/>
          <w:sz w:val="16"/>
          <w:szCs w:val="16"/>
        </w:rPr>
        <w:t xml:space="preserve">A transport related social cost estimate is not a perfect proxy for fatalities arising from child abuse or suicide.  The VOSL for a child’s death, for example, is likely to be higher than the average social cost of a road fatality.  </w:t>
      </w:r>
    </w:p>
    <w:p w14:paraId="11A3137B" w14:textId="77777777" w:rsidR="00D76BEA" w:rsidRDefault="00D76BEA" w:rsidP="008F7E3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6A6F"/>
    <w:multiLevelType w:val="hybridMultilevel"/>
    <w:tmpl w:val="FAEA998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06D66883"/>
    <w:multiLevelType w:val="hybridMultilevel"/>
    <w:tmpl w:val="5352EA24"/>
    <w:lvl w:ilvl="0" w:tplc="1409000F">
      <w:start w:val="1"/>
      <w:numFmt w:val="decimal"/>
      <w:lvlText w:val="%1."/>
      <w:lvlJc w:val="left"/>
      <w:pPr>
        <w:ind w:left="720" w:hanging="360"/>
      </w:pPr>
    </w:lvl>
    <w:lvl w:ilvl="1" w:tplc="14090001">
      <w:start w:val="1"/>
      <w:numFmt w:val="bullet"/>
      <w:lvlText w:val=""/>
      <w:lvlJc w:val="left"/>
      <w:pPr>
        <w:ind w:left="1440" w:hanging="360"/>
      </w:pPr>
      <w:rPr>
        <w:rFonts w:ascii="Symbol" w:hAnsi="Symbol" w:hint="default"/>
      </w:r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nsid w:val="07E87901"/>
    <w:multiLevelType w:val="hybridMultilevel"/>
    <w:tmpl w:val="EA705CC0"/>
    <w:lvl w:ilvl="0" w:tplc="14090001">
      <w:start w:val="1"/>
      <w:numFmt w:val="bullet"/>
      <w:lvlText w:val=""/>
      <w:lvlJc w:val="left"/>
      <w:pPr>
        <w:ind w:left="360" w:hanging="360"/>
      </w:pPr>
      <w:rPr>
        <w:rFonts w:ascii="Symbol" w:hAnsi="Symbol" w:hint="default"/>
      </w:rPr>
    </w:lvl>
    <w:lvl w:ilvl="1" w:tplc="14090001">
      <w:start w:val="1"/>
      <w:numFmt w:val="bullet"/>
      <w:lvlText w:val=""/>
      <w:lvlJc w:val="left"/>
      <w:pPr>
        <w:ind w:left="1080" w:hanging="360"/>
      </w:pPr>
      <w:rPr>
        <w:rFonts w:ascii="Symbol" w:hAnsi="Symbol" w:hint="default"/>
      </w:rPr>
    </w:lvl>
    <w:lvl w:ilvl="2" w:tplc="12661F04">
      <w:numFmt w:val="bullet"/>
      <w:lvlText w:val="•"/>
      <w:lvlJc w:val="left"/>
      <w:pPr>
        <w:ind w:left="2010" w:hanging="570"/>
      </w:pPr>
      <w:rPr>
        <w:rFonts w:ascii="Calibri" w:eastAsia="Times New Roman" w:hAnsi="Calibri" w:cs="Calibri"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
    <w:nsid w:val="0BAB5BA0"/>
    <w:multiLevelType w:val="hybridMultilevel"/>
    <w:tmpl w:val="90DCF586"/>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nsid w:val="124E7751"/>
    <w:multiLevelType w:val="multilevel"/>
    <w:tmpl w:val="85D01AE6"/>
    <w:lvl w:ilvl="0">
      <w:start w:val="1"/>
      <w:numFmt w:val="decimal"/>
      <w:isLgl/>
      <w:lvlText w:val="%1."/>
      <w:lvlJc w:val="left"/>
      <w:pPr>
        <w:tabs>
          <w:tab w:val="num" w:pos="709"/>
        </w:tabs>
        <w:ind w:left="709" w:hanging="709"/>
      </w:pPr>
      <w:rPr>
        <w:rFonts w:hint="default"/>
        <w:i w:val="0"/>
        <w:color w:val="000000"/>
      </w:rPr>
    </w:lvl>
    <w:lvl w:ilvl="1">
      <w:start w:val="1"/>
      <w:numFmt w:val="bullet"/>
      <w:lvlText w:val=""/>
      <w:lvlJc w:val="left"/>
      <w:pPr>
        <w:tabs>
          <w:tab w:val="num" w:pos="1418"/>
        </w:tabs>
        <w:ind w:left="1418" w:hanging="709"/>
      </w:pPr>
      <w:rPr>
        <w:rFonts w:ascii="Symbol" w:hAnsi="Symbol" w:hint="default"/>
      </w:rPr>
    </w:lvl>
    <w:lvl w:ilvl="2">
      <w:start w:val="1"/>
      <w:numFmt w:val="decimal"/>
      <w:isLgl/>
      <w:lvlText w:val="%1.%2.%3."/>
      <w:lvlJc w:val="left"/>
      <w:pPr>
        <w:tabs>
          <w:tab w:val="num" w:pos="2268"/>
        </w:tabs>
        <w:ind w:left="2268" w:hanging="850"/>
      </w:pPr>
      <w:rPr>
        <w:rFonts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nsid w:val="17DF6874"/>
    <w:multiLevelType w:val="hybridMultilevel"/>
    <w:tmpl w:val="7326DCF4"/>
    <w:lvl w:ilvl="0" w:tplc="2D929458">
      <w:start w:val="1"/>
      <w:numFmt w:val="bullet"/>
      <w:lvlText w:val=""/>
      <w:lvlJc w:val="left"/>
      <w:pPr>
        <w:ind w:left="106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6">
    <w:nsid w:val="1E3E6F25"/>
    <w:multiLevelType w:val="multilevel"/>
    <w:tmpl w:val="B536525C"/>
    <w:lvl w:ilvl="0">
      <w:start w:val="1"/>
      <w:numFmt w:val="bullet"/>
      <w:pStyle w:val="Bullet-list"/>
      <w:lvlText w:val=""/>
      <w:lvlJc w:val="left"/>
      <w:pPr>
        <w:tabs>
          <w:tab w:val="num" w:pos="1276"/>
        </w:tabs>
        <w:ind w:left="1276" w:hanging="709"/>
      </w:pPr>
      <w:rPr>
        <w:rFonts w:ascii="Symbol" w:hAnsi="Symbol" w:hint="default"/>
        <w:i w:val="0"/>
      </w:rPr>
    </w:lvl>
    <w:lvl w:ilvl="1">
      <w:start w:val="1"/>
      <w:numFmt w:val="bullet"/>
      <w:lvlText w:val=""/>
      <w:lvlJc w:val="left"/>
      <w:pPr>
        <w:tabs>
          <w:tab w:val="num" w:pos="1985"/>
        </w:tabs>
        <w:ind w:left="1985" w:hanging="709"/>
      </w:pPr>
      <w:rPr>
        <w:rFonts w:ascii="Symbol" w:hAnsi="Symbol" w:hint="default"/>
      </w:rPr>
    </w:lvl>
    <w:lvl w:ilvl="2">
      <w:start w:val="1"/>
      <w:numFmt w:val="decimal"/>
      <w:isLgl/>
      <w:lvlText w:val="%1.%2.%3."/>
      <w:lvlJc w:val="left"/>
      <w:pPr>
        <w:tabs>
          <w:tab w:val="num" w:pos="2835"/>
        </w:tabs>
        <w:ind w:left="2835" w:hanging="850"/>
      </w:pPr>
      <w:rPr>
        <w:rFonts w:hint="default"/>
      </w:rPr>
    </w:lvl>
    <w:lvl w:ilvl="3">
      <w:start w:val="1"/>
      <w:numFmt w:val="decimal"/>
      <w:isLgl/>
      <w:lvlText w:val="%1.%2.%3.%4."/>
      <w:lvlJc w:val="left"/>
      <w:pPr>
        <w:tabs>
          <w:tab w:val="num" w:pos="3686"/>
        </w:tabs>
        <w:ind w:left="3686" w:hanging="851"/>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7">
    <w:nsid w:val="25253BA8"/>
    <w:multiLevelType w:val="hybridMultilevel"/>
    <w:tmpl w:val="3ADC5D8A"/>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8">
    <w:nsid w:val="3174597C"/>
    <w:multiLevelType w:val="multilevel"/>
    <w:tmpl w:val="B502918A"/>
    <w:lvl w:ilvl="0">
      <w:start w:val="1"/>
      <w:numFmt w:val="decimal"/>
      <w:pStyle w:val="ReportBody"/>
      <w:lvlText w:val="%1"/>
      <w:lvlJc w:val="left"/>
      <w:pPr>
        <w:tabs>
          <w:tab w:val="num" w:pos="493"/>
        </w:tabs>
        <w:ind w:left="493" w:hanging="493"/>
      </w:pPr>
      <w:rPr>
        <w:rFonts w:hint="default"/>
      </w:rPr>
    </w:lvl>
    <w:lvl w:ilvl="1">
      <w:start w:val="1"/>
      <w:numFmt w:val="decimal"/>
      <w:pStyle w:val="ReportBody2"/>
      <w:lvlText w:val="%1.%2"/>
      <w:lvlJc w:val="left"/>
      <w:pPr>
        <w:tabs>
          <w:tab w:val="num" w:pos="493"/>
        </w:tabs>
        <w:ind w:left="987" w:hanging="494"/>
      </w:pPr>
      <w:rPr>
        <w:rFonts w:hint="default"/>
      </w:rPr>
    </w:lvl>
    <w:lvl w:ilvl="2">
      <w:start w:val="1"/>
      <w:numFmt w:val="decimal"/>
      <w:lvlText w:val="%1.%2.%3"/>
      <w:lvlJc w:val="left"/>
      <w:pPr>
        <w:tabs>
          <w:tab w:val="num" w:pos="1554"/>
        </w:tabs>
        <w:ind w:left="1554" w:hanging="567"/>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9">
    <w:nsid w:val="31AC5BCC"/>
    <w:multiLevelType w:val="multilevel"/>
    <w:tmpl w:val="FD6CDC10"/>
    <w:lvl w:ilvl="0">
      <w:start w:val="1"/>
      <w:numFmt w:val="decimal"/>
      <w:pStyle w:val="CabStandard"/>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rPr>
        <w:rFonts w:hint="default"/>
      </w:rPr>
    </w:lvl>
    <w:lvl w:ilvl="2">
      <w:start w:val="1"/>
      <w:numFmt w:val="decimal"/>
      <w:lvlText w:val="%1.%2.%3"/>
      <w:lvlJc w:val="left"/>
      <w:pPr>
        <w:tabs>
          <w:tab w:val="num" w:pos="2410"/>
        </w:tabs>
        <w:ind w:left="2410" w:hanging="970"/>
      </w:pPr>
      <w:rPr>
        <w:rFonts w:hint="default"/>
      </w:rPr>
    </w:lvl>
    <w:lvl w:ilvl="3">
      <w:start w:val="1"/>
      <w:numFmt w:val="decimal"/>
      <w:lvlText w:val="%1.%2.%3.%4"/>
      <w:lvlJc w:val="left"/>
      <w:pPr>
        <w:tabs>
          <w:tab w:val="num" w:pos="3572"/>
        </w:tabs>
        <w:ind w:left="3572" w:hanging="1162"/>
      </w:pPr>
      <w:rPr>
        <w:rFonts w:hint="default"/>
      </w:rPr>
    </w:lvl>
    <w:lvl w:ilvl="4">
      <w:start w:val="1"/>
      <w:numFmt w:val="decimal"/>
      <w:lvlText w:val="%1.%2.%3.%4.%5"/>
      <w:lvlJc w:val="left"/>
      <w:pPr>
        <w:tabs>
          <w:tab w:val="num" w:pos="4876"/>
        </w:tabs>
        <w:ind w:left="4876" w:hanging="1304"/>
      </w:pPr>
      <w:rPr>
        <w:rFonts w:hint="default"/>
      </w:rPr>
    </w:lvl>
    <w:lvl w:ilvl="5">
      <w:start w:val="1"/>
      <w:numFmt w:val="decimal"/>
      <w:lvlText w:val="(%6)"/>
      <w:lvlJc w:val="left"/>
      <w:pPr>
        <w:tabs>
          <w:tab w:val="num" w:pos="2160"/>
        </w:tabs>
        <w:ind w:left="2160" w:hanging="363"/>
      </w:pPr>
      <w:rPr>
        <w:rFonts w:hint="default"/>
      </w:rPr>
    </w:lvl>
    <w:lvl w:ilvl="6">
      <w:start w:val="1"/>
      <w:numFmt w:val="lowerRoman"/>
      <w:lvlText w:val="%7)"/>
      <w:lvlJc w:val="left"/>
      <w:pPr>
        <w:tabs>
          <w:tab w:val="num" w:pos="2880"/>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10">
    <w:nsid w:val="37DC27CA"/>
    <w:multiLevelType w:val="multilevel"/>
    <w:tmpl w:val="07A473D0"/>
    <w:lvl w:ilvl="0">
      <w:start w:val="1"/>
      <w:numFmt w:val="bullet"/>
      <w:pStyle w:val="TableBullet1"/>
      <w:lvlText w:val=""/>
      <w:lvlJc w:val="left"/>
      <w:pPr>
        <w:tabs>
          <w:tab w:val="num" w:pos="284"/>
        </w:tabs>
        <w:ind w:left="284" w:hanging="284"/>
      </w:pPr>
      <w:rPr>
        <w:rFonts w:ascii="Wingdings" w:hAnsi="Wingdings" w:hint="default"/>
      </w:rPr>
    </w:lvl>
    <w:lvl w:ilvl="1">
      <w:start w:val="1"/>
      <w:numFmt w:val="bullet"/>
      <w:pStyle w:val="TableBullet2"/>
      <w:lvlText w:val="–"/>
      <w:lvlJc w:val="left"/>
      <w:pPr>
        <w:tabs>
          <w:tab w:val="num" w:pos="567"/>
        </w:tabs>
        <w:ind w:left="567" w:hanging="283"/>
      </w:pPr>
      <w:rPr>
        <w:rFonts w:ascii="Times New Roman" w:hAnsi="Times New Roman" w:cs="Times New Roman" w:hint="default"/>
      </w:rPr>
    </w:lvl>
    <w:lvl w:ilvl="2">
      <w:start w:val="1"/>
      <w:numFmt w:val="none"/>
      <w:suff w:val="nothing"/>
      <w:lvlText w:val=""/>
      <w:lvlJc w:val="left"/>
      <w:pPr>
        <w:ind w:left="567" w:firstLine="0"/>
      </w:pPr>
      <w:rPr>
        <w:rFonts w:hint="default"/>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1">
    <w:nsid w:val="3B974584"/>
    <w:multiLevelType w:val="multilevel"/>
    <w:tmpl w:val="B536525C"/>
    <w:lvl w:ilvl="0">
      <w:start w:val="1"/>
      <w:numFmt w:val="bullet"/>
      <w:lvlText w:val=""/>
      <w:lvlJc w:val="left"/>
      <w:pPr>
        <w:tabs>
          <w:tab w:val="num" w:pos="1276"/>
        </w:tabs>
        <w:ind w:left="1276" w:hanging="709"/>
      </w:pPr>
      <w:rPr>
        <w:rFonts w:ascii="Symbol" w:hAnsi="Symbol" w:hint="default"/>
        <w:i w:val="0"/>
      </w:rPr>
    </w:lvl>
    <w:lvl w:ilvl="1">
      <w:start w:val="1"/>
      <w:numFmt w:val="bullet"/>
      <w:lvlText w:val=""/>
      <w:lvlJc w:val="left"/>
      <w:pPr>
        <w:tabs>
          <w:tab w:val="num" w:pos="1985"/>
        </w:tabs>
        <w:ind w:left="1985" w:hanging="709"/>
      </w:pPr>
      <w:rPr>
        <w:rFonts w:ascii="Symbol" w:hAnsi="Symbol" w:hint="default"/>
      </w:rPr>
    </w:lvl>
    <w:lvl w:ilvl="2">
      <w:start w:val="1"/>
      <w:numFmt w:val="decimal"/>
      <w:isLgl/>
      <w:lvlText w:val="%1.%2.%3."/>
      <w:lvlJc w:val="left"/>
      <w:pPr>
        <w:tabs>
          <w:tab w:val="num" w:pos="2835"/>
        </w:tabs>
        <w:ind w:left="2835" w:hanging="850"/>
      </w:pPr>
      <w:rPr>
        <w:rFonts w:hint="default"/>
      </w:rPr>
    </w:lvl>
    <w:lvl w:ilvl="3">
      <w:start w:val="1"/>
      <w:numFmt w:val="decimal"/>
      <w:isLgl/>
      <w:lvlText w:val="%1.%2.%3.%4."/>
      <w:lvlJc w:val="left"/>
      <w:pPr>
        <w:tabs>
          <w:tab w:val="num" w:pos="3686"/>
        </w:tabs>
        <w:ind w:left="3686" w:hanging="851"/>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2">
    <w:nsid w:val="44830ACE"/>
    <w:multiLevelType w:val="multilevel"/>
    <w:tmpl w:val="60B8E090"/>
    <w:lvl w:ilvl="0">
      <w:start w:val="1"/>
      <w:numFmt w:val="bullet"/>
      <w:lvlText w:val=""/>
      <w:lvlJc w:val="left"/>
      <w:pPr>
        <w:tabs>
          <w:tab w:val="num" w:pos="1276"/>
        </w:tabs>
        <w:ind w:left="1276" w:hanging="709"/>
      </w:pPr>
      <w:rPr>
        <w:rFonts w:ascii="Symbol" w:hAnsi="Symbol" w:hint="default"/>
        <w:i w:val="0"/>
        <w:color w:val="000000"/>
      </w:rPr>
    </w:lvl>
    <w:lvl w:ilvl="1">
      <w:start w:val="1"/>
      <w:numFmt w:val="decimal"/>
      <w:isLgl/>
      <w:lvlText w:val="%1.%2."/>
      <w:lvlJc w:val="left"/>
      <w:pPr>
        <w:tabs>
          <w:tab w:val="num" w:pos="1985"/>
        </w:tabs>
        <w:ind w:left="1985" w:hanging="709"/>
      </w:pPr>
      <w:rPr>
        <w:rFonts w:hint="default"/>
      </w:rPr>
    </w:lvl>
    <w:lvl w:ilvl="2">
      <w:start w:val="1"/>
      <w:numFmt w:val="decimal"/>
      <w:isLgl/>
      <w:lvlText w:val="%1.%2.%3."/>
      <w:lvlJc w:val="left"/>
      <w:pPr>
        <w:tabs>
          <w:tab w:val="num" w:pos="2835"/>
        </w:tabs>
        <w:ind w:left="2835" w:hanging="850"/>
      </w:pPr>
      <w:rPr>
        <w:rFonts w:hint="default"/>
      </w:rPr>
    </w:lvl>
    <w:lvl w:ilvl="3">
      <w:start w:val="1"/>
      <w:numFmt w:val="decimal"/>
      <w:isLgl/>
      <w:lvlText w:val="%1.%2.%3.%4."/>
      <w:lvlJc w:val="left"/>
      <w:pPr>
        <w:tabs>
          <w:tab w:val="num" w:pos="3686"/>
        </w:tabs>
        <w:ind w:left="3686" w:hanging="851"/>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3">
    <w:nsid w:val="46224CA7"/>
    <w:multiLevelType w:val="hybridMultilevel"/>
    <w:tmpl w:val="CE7C1FB0"/>
    <w:lvl w:ilvl="0" w:tplc="14090001">
      <w:start w:val="1"/>
      <w:numFmt w:val="bullet"/>
      <w:lvlText w:val=""/>
      <w:lvlJc w:val="left"/>
      <w:pPr>
        <w:ind w:left="1854" w:hanging="360"/>
      </w:pPr>
      <w:rPr>
        <w:rFonts w:ascii="Symbol" w:hAnsi="Symbol" w:hint="default"/>
      </w:rPr>
    </w:lvl>
    <w:lvl w:ilvl="1" w:tplc="14090019">
      <w:start w:val="1"/>
      <w:numFmt w:val="lowerLetter"/>
      <w:lvlText w:val="%2."/>
      <w:lvlJc w:val="left"/>
      <w:pPr>
        <w:ind w:left="2574" w:hanging="360"/>
      </w:pPr>
    </w:lvl>
    <w:lvl w:ilvl="2" w:tplc="1409001B" w:tentative="1">
      <w:start w:val="1"/>
      <w:numFmt w:val="lowerRoman"/>
      <w:lvlText w:val="%3."/>
      <w:lvlJc w:val="right"/>
      <w:pPr>
        <w:ind w:left="3294" w:hanging="180"/>
      </w:pPr>
    </w:lvl>
    <w:lvl w:ilvl="3" w:tplc="1409000F" w:tentative="1">
      <w:start w:val="1"/>
      <w:numFmt w:val="decimal"/>
      <w:lvlText w:val="%4."/>
      <w:lvlJc w:val="left"/>
      <w:pPr>
        <w:ind w:left="4014" w:hanging="360"/>
      </w:pPr>
    </w:lvl>
    <w:lvl w:ilvl="4" w:tplc="14090019" w:tentative="1">
      <w:start w:val="1"/>
      <w:numFmt w:val="lowerLetter"/>
      <w:lvlText w:val="%5."/>
      <w:lvlJc w:val="left"/>
      <w:pPr>
        <w:ind w:left="4734" w:hanging="360"/>
      </w:pPr>
    </w:lvl>
    <w:lvl w:ilvl="5" w:tplc="1409001B" w:tentative="1">
      <w:start w:val="1"/>
      <w:numFmt w:val="lowerRoman"/>
      <w:lvlText w:val="%6."/>
      <w:lvlJc w:val="right"/>
      <w:pPr>
        <w:ind w:left="5454" w:hanging="180"/>
      </w:pPr>
    </w:lvl>
    <w:lvl w:ilvl="6" w:tplc="1409000F" w:tentative="1">
      <w:start w:val="1"/>
      <w:numFmt w:val="decimal"/>
      <w:lvlText w:val="%7."/>
      <w:lvlJc w:val="left"/>
      <w:pPr>
        <w:ind w:left="6174" w:hanging="360"/>
      </w:pPr>
    </w:lvl>
    <w:lvl w:ilvl="7" w:tplc="14090019" w:tentative="1">
      <w:start w:val="1"/>
      <w:numFmt w:val="lowerLetter"/>
      <w:lvlText w:val="%8."/>
      <w:lvlJc w:val="left"/>
      <w:pPr>
        <w:ind w:left="6894" w:hanging="360"/>
      </w:pPr>
    </w:lvl>
    <w:lvl w:ilvl="8" w:tplc="1409001B" w:tentative="1">
      <w:start w:val="1"/>
      <w:numFmt w:val="lowerRoman"/>
      <w:lvlText w:val="%9."/>
      <w:lvlJc w:val="right"/>
      <w:pPr>
        <w:ind w:left="7614" w:hanging="180"/>
      </w:pPr>
    </w:lvl>
  </w:abstractNum>
  <w:abstractNum w:abstractNumId="14">
    <w:nsid w:val="50B865E7"/>
    <w:multiLevelType w:val="multilevel"/>
    <w:tmpl w:val="3DB482FC"/>
    <w:styleLink w:val="RecList"/>
    <w:lvl w:ilvl="0">
      <w:start w:val="1"/>
      <w:numFmt w:val="decimal"/>
      <w:lvlText w:val="%1"/>
      <w:lvlJc w:val="left"/>
      <w:pPr>
        <w:tabs>
          <w:tab w:val="num" w:pos="987"/>
        </w:tabs>
        <w:ind w:left="987" w:hanging="494"/>
      </w:pPr>
      <w:rPr>
        <w:rFonts w:hint="default"/>
      </w:rPr>
    </w:lvl>
    <w:lvl w:ilvl="1">
      <w:start w:val="1"/>
      <w:numFmt w:val="decimal"/>
      <w:lvlText w:val="%1.%2"/>
      <w:lvlJc w:val="left"/>
      <w:pPr>
        <w:tabs>
          <w:tab w:val="num" w:pos="1480"/>
        </w:tabs>
        <w:ind w:left="1480" w:hanging="493"/>
      </w:pPr>
      <w:rPr>
        <w:rFonts w:hint="default"/>
      </w:rPr>
    </w:lvl>
    <w:lvl w:ilvl="2">
      <w:start w:val="1"/>
      <w:numFmt w:val="decimal"/>
      <w:lvlText w:val="%1.%2.%3"/>
      <w:lvlJc w:val="left"/>
      <w:pPr>
        <w:tabs>
          <w:tab w:val="num" w:pos="2160"/>
        </w:tabs>
        <w:ind w:left="2160" w:hanging="680"/>
      </w:pPr>
      <w:rPr>
        <w:rFonts w:hint="default"/>
      </w:rPr>
    </w:lvl>
    <w:lvl w:ilvl="3">
      <w:start w:val="1"/>
      <w:numFmt w:val="decimal"/>
      <w:lvlText w:val="%1.%2.%3.%4."/>
      <w:lvlJc w:val="left"/>
      <w:pPr>
        <w:tabs>
          <w:tab w:val="num" w:pos="2133"/>
        </w:tabs>
        <w:ind w:left="1701" w:hanging="648"/>
      </w:pPr>
      <w:rPr>
        <w:rFonts w:hint="default"/>
      </w:rPr>
    </w:lvl>
    <w:lvl w:ilvl="4">
      <w:start w:val="1"/>
      <w:numFmt w:val="decimal"/>
      <w:lvlText w:val="%1.%2.%3.%4.%5."/>
      <w:lvlJc w:val="left"/>
      <w:pPr>
        <w:tabs>
          <w:tab w:val="num" w:pos="2493"/>
        </w:tabs>
        <w:ind w:left="2205" w:hanging="792"/>
      </w:pPr>
      <w:rPr>
        <w:rFonts w:hint="default"/>
      </w:rPr>
    </w:lvl>
    <w:lvl w:ilvl="5">
      <w:start w:val="1"/>
      <w:numFmt w:val="decimal"/>
      <w:lvlText w:val="%1.%2.%3.%4.%5.%6."/>
      <w:lvlJc w:val="left"/>
      <w:pPr>
        <w:tabs>
          <w:tab w:val="num" w:pos="3213"/>
        </w:tabs>
        <w:ind w:left="2709" w:hanging="936"/>
      </w:pPr>
      <w:rPr>
        <w:rFonts w:hint="default"/>
      </w:rPr>
    </w:lvl>
    <w:lvl w:ilvl="6">
      <w:start w:val="1"/>
      <w:numFmt w:val="decimal"/>
      <w:lvlText w:val="%1.%2.%3.%4.%5.%6.%7."/>
      <w:lvlJc w:val="left"/>
      <w:pPr>
        <w:tabs>
          <w:tab w:val="num" w:pos="3573"/>
        </w:tabs>
        <w:ind w:left="3213" w:hanging="1080"/>
      </w:pPr>
      <w:rPr>
        <w:rFonts w:hint="default"/>
      </w:rPr>
    </w:lvl>
    <w:lvl w:ilvl="7">
      <w:start w:val="1"/>
      <w:numFmt w:val="decimal"/>
      <w:lvlText w:val="%1.%2.%3.%4.%5.%6.%7.%8."/>
      <w:lvlJc w:val="left"/>
      <w:pPr>
        <w:tabs>
          <w:tab w:val="num" w:pos="4293"/>
        </w:tabs>
        <w:ind w:left="3717" w:hanging="1224"/>
      </w:pPr>
      <w:rPr>
        <w:rFonts w:hint="default"/>
      </w:rPr>
    </w:lvl>
    <w:lvl w:ilvl="8">
      <w:start w:val="1"/>
      <w:numFmt w:val="decimal"/>
      <w:lvlText w:val="%1.%2.%3.%4.%5.%6.%7.%8.%9."/>
      <w:lvlJc w:val="left"/>
      <w:pPr>
        <w:tabs>
          <w:tab w:val="num" w:pos="4653"/>
        </w:tabs>
        <w:ind w:left="4293" w:hanging="1440"/>
      </w:pPr>
      <w:rPr>
        <w:rFonts w:hint="default"/>
      </w:rPr>
    </w:lvl>
  </w:abstractNum>
  <w:abstractNum w:abstractNumId="15">
    <w:nsid w:val="52AD7667"/>
    <w:multiLevelType w:val="hybridMultilevel"/>
    <w:tmpl w:val="3392E860"/>
    <w:lvl w:ilvl="0" w:tplc="4E64D376">
      <w:start w:val="1"/>
      <w:numFmt w:val="bullet"/>
      <w:lvlText w:val=""/>
      <w:lvlJc w:val="left"/>
      <w:pPr>
        <w:ind w:left="1080" w:hanging="360"/>
      </w:pPr>
      <w:rPr>
        <w:rFonts w:ascii="Symbol" w:hAnsi="Symbol" w:hint="default"/>
      </w:rPr>
    </w:lvl>
    <w:lvl w:ilvl="1" w:tplc="E292B3FC" w:tentative="1">
      <w:start w:val="1"/>
      <w:numFmt w:val="bullet"/>
      <w:lvlText w:val="o"/>
      <w:lvlJc w:val="left"/>
      <w:pPr>
        <w:ind w:left="1800" w:hanging="360"/>
      </w:pPr>
      <w:rPr>
        <w:rFonts w:ascii="Courier New" w:hAnsi="Courier New" w:cs="Courier New" w:hint="default"/>
      </w:rPr>
    </w:lvl>
    <w:lvl w:ilvl="2" w:tplc="57D290EE" w:tentative="1">
      <w:start w:val="1"/>
      <w:numFmt w:val="bullet"/>
      <w:lvlText w:val=""/>
      <w:lvlJc w:val="left"/>
      <w:pPr>
        <w:ind w:left="2520" w:hanging="360"/>
      </w:pPr>
      <w:rPr>
        <w:rFonts w:ascii="Wingdings" w:hAnsi="Wingdings" w:hint="default"/>
      </w:rPr>
    </w:lvl>
    <w:lvl w:ilvl="3" w:tplc="84C62E96" w:tentative="1">
      <w:start w:val="1"/>
      <w:numFmt w:val="bullet"/>
      <w:lvlText w:val=""/>
      <w:lvlJc w:val="left"/>
      <w:pPr>
        <w:ind w:left="3240" w:hanging="360"/>
      </w:pPr>
      <w:rPr>
        <w:rFonts w:ascii="Symbol" w:hAnsi="Symbol" w:hint="default"/>
      </w:rPr>
    </w:lvl>
    <w:lvl w:ilvl="4" w:tplc="95F0C292" w:tentative="1">
      <w:start w:val="1"/>
      <w:numFmt w:val="bullet"/>
      <w:lvlText w:val="o"/>
      <w:lvlJc w:val="left"/>
      <w:pPr>
        <w:ind w:left="3960" w:hanging="360"/>
      </w:pPr>
      <w:rPr>
        <w:rFonts w:ascii="Courier New" w:hAnsi="Courier New" w:cs="Courier New" w:hint="default"/>
      </w:rPr>
    </w:lvl>
    <w:lvl w:ilvl="5" w:tplc="14BCE4C8" w:tentative="1">
      <w:start w:val="1"/>
      <w:numFmt w:val="bullet"/>
      <w:lvlText w:val=""/>
      <w:lvlJc w:val="left"/>
      <w:pPr>
        <w:ind w:left="4680" w:hanging="360"/>
      </w:pPr>
      <w:rPr>
        <w:rFonts w:ascii="Wingdings" w:hAnsi="Wingdings" w:hint="default"/>
      </w:rPr>
    </w:lvl>
    <w:lvl w:ilvl="6" w:tplc="793C4F42" w:tentative="1">
      <w:start w:val="1"/>
      <w:numFmt w:val="bullet"/>
      <w:lvlText w:val=""/>
      <w:lvlJc w:val="left"/>
      <w:pPr>
        <w:ind w:left="5400" w:hanging="360"/>
      </w:pPr>
      <w:rPr>
        <w:rFonts w:ascii="Symbol" w:hAnsi="Symbol" w:hint="default"/>
      </w:rPr>
    </w:lvl>
    <w:lvl w:ilvl="7" w:tplc="09020B28" w:tentative="1">
      <w:start w:val="1"/>
      <w:numFmt w:val="bullet"/>
      <w:lvlText w:val="o"/>
      <w:lvlJc w:val="left"/>
      <w:pPr>
        <w:ind w:left="6120" w:hanging="360"/>
      </w:pPr>
      <w:rPr>
        <w:rFonts w:ascii="Courier New" w:hAnsi="Courier New" w:cs="Courier New" w:hint="default"/>
      </w:rPr>
    </w:lvl>
    <w:lvl w:ilvl="8" w:tplc="75DA8850" w:tentative="1">
      <w:start w:val="1"/>
      <w:numFmt w:val="bullet"/>
      <w:lvlText w:val=""/>
      <w:lvlJc w:val="left"/>
      <w:pPr>
        <w:ind w:left="6840" w:hanging="360"/>
      </w:pPr>
      <w:rPr>
        <w:rFonts w:ascii="Wingdings" w:hAnsi="Wingdings" w:hint="default"/>
      </w:rPr>
    </w:lvl>
  </w:abstractNum>
  <w:abstractNum w:abstractNumId="16">
    <w:nsid w:val="542F617B"/>
    <w:multiLevelType w:val="multilevel"/>
    <w:tmpl w:val="C8E8FE22"/>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549478D9"/>
    <w:multiLevelType w:val="hybridMultilevel"/>
    <w:tmpl w:val="E00822A0"/>
    <w:lvl w:ilvl="0" w:tplc="B20ABDE2">
      <w:start w:val="1"/>
      <w:numFmt w:val="bullet"/>
      <w:lvlText w:val=""/>
      <w:lvlJc w:val="left"/>
      <w:pPr>
        <w:ind w:left="720" w:hanging="360"/>
      </w:pPr>
      <w:rPr>
        <w:rFonts w:ascii="Symbol" w:hAnsi="Symbol" w:hint="default"/>
      </w:rPr>
    </w:lvl>
    <w:lvl w:ilvl="1" w:tplc="26B8DB92" w:tentative="1">
      <w:start w:val="1"/>
      <w:numFmt w:val="bullet"/>
      <w:lvlText w:val="o"/>
      <w:lvlJc w:val="left"/>
      <w:pPr>
        <w:ind w:left="1440" w:hanging="360"/>
      </w:pPr>
      <w:rPr>
        <w:rFonts w:ascii="Courier New" w:hAnsi="Courier New" w:cs="Courier New" w:hint="default"/>
      </w:rPr>
    </w:lvl>
    <w:lvl w:ilvl="2" w:tplc="1B3C1314" w:tentative="1">
      <w:start w:val="1"/>
      <w:numFmt w:val="bullet"/>
      <w:lvlText w:val=""/>
      <w:lvlJc w:val="left"/>
      <w:pPr>
        <w:ind w:left="2160" w:hanging="360"/>
      </w:pPr>
      <w:rPr>
        <w:rFonts w:ascii="Wingdings" w:hAnsi="Wingdings" w:hint="default"/>
      </w:rPr>
    </w:lvl>
    <w:lvl w:ilvl="3" w:tplc="45206BB0" w:tentative="1">
      <w:start w:val="1"/>
      <w:numFmt w:val="bullet"/>
      <w:lvlText w:val=""/>
      <w:lvlJc w:val="left"/>
      <w:pPr>
        <w:ind w:left="2880" w:hanging="360"/>
      </w:pPr>
      <w:rPr>
        <w:rFonts w:ascii="Symbol" w:hAnsi="Symbol" w:hint="default"/>
      </w:rPr>
    </w:lvl>
    <w:lvl w:ilvl="4" w:tplc="AC328D58" w:tentative="1">
      <w:start w:val="1"/>
      <w:numFmt w:val="bullet"/>
      <w:lvlText w:val="o"/>
      <w:lvlJc w:val="left"/>
      <w:pPr>
        <w:ind w:left="3600" w:hanging="360"/>
      </w:pPr>
      <w:rPr>
        <w:rFonts w:ascii="Courier New" w:hAnsi="Courier New" w:cs="Courier New" w:hint="default"/>
      </w:rPr>
    </w:lvl>
    <w:lvl w:ilvl="5" w:tplc="07F217D8" w:tentative="1">
      <w:start w:val="1"/>
      <w:numFmt w:val="bullet"/>
      <w:lvlText w:val=""/>
      <w:lvlJc w:val="left"/>
      <w:pPr>
        <w:ind w:left="4320" w:hanging="360"/>
      </w:pPr>
      <w:rPr>
        <w:rFonts w:ascii="Wingdings" w:hAnsi="Wingdings" w:hint="default"/>
      </w:rPr>
    </w:lvl>
    <w:lvl w:ilvl="6" w:tplc="1A0208BC" w:tentative="1">
      <w:start w:val="1"/>
      <w:numFmt w:val="bullet"/>
      <w:lvlText w:val=""/>
      <w:lvlJc w:val="left"/>
      <w:pPr>
        <w:ind w:left="5040" w:hanging="360"/>
      </w:pPr>
      <w:rPr>
        <w:rFonts w:ascii="Symbol" w:hAnsi="Symbol" w:hint="default"/>
      </w:rPr>
    </w:lvl>
    <w:lvl w:ilvl="7" w:tplc="6BA64454" w:tentative="1">
      <w:start w:val="1"/>
      <w:numFmt w:val="bullet"/>
      <w:lvlText w:val="o"/>
      <w:lvlJc w:val="left"/>
      <w:pPr>
        <w:ind w:left="5760" w:hanging="360"/>
      </w:pPr>
      <w:rPr>
        <w:rFonts w:ascii="Courier New" w:hAnsi="Courier New" w:cs="Courier New" w:hint="default"/>
      </w:rPr>
    </w:lvl>
    <w:lvl w:ilvl="8" w:tplc="B0AA01D8" w:tentative="1">
      <w:start w:val="1"/>
      <w:numFmt w:val="bullet"/>
      <w:lvlText w:val=""/>
      <w:lvlJc w:val="left"/>
      <w:pPr>
        <w:ind w:left="6480" w:hanging="360"/>
      </w:pPr>
      <w:rPr>
        <w:rFonts w:ascii="Wingdings" w:hAnsi="Wingdings" w:hint="default"/>
      </w:rPr>
    </w:lvl>
  </w:abstractNum>
  <w:abstractNum w:abstractNumId="18">
    <w:nsid w:val="557532C2"/>
    <w:multiLevelType w:val="hybridMultilevel"/>
    <w:tmpl w:val="D7A44E54"/>
    <w:lvl w:ilvl="0" w:tplc="7C506550">
      <w:start w:val="1"/>
      <w:numFmt w:val="bullet"/>
      <w:lvlText w:val=""/>
      <w:lvlJc w:val="left"/>
      <w:pPr>
        <w:ind w:left="1213" w:hanging="360"/>
      </w:pPr>
      <w:rPr>
        <w:rFonts w:ascii="Symbol" w:hAnsi="Symbol" w:hint="default"/>
      </w:rPr>
    </w:lvl>
    <w:lvl w:ilvl="1" w:tplc="3BA8F74C" w:tentative="1">
      <w:start w:val="1"/>
      <w:numFmt w:val="bullet"/>
      <w:lvlText w:val="o"/>
      <w:lvlJc w:val="left"/>
      <w:pPr>
        <w:ind w:left="1933" w:hanging="360"/>
      </w:pPr>
      <w:rPr>
        <w:rFonts w:ascii="Courier New" w:hAnsi="Courier New" w:cs="Courier New" w:hint="default"/>
      </w:rPr>
    </w:lvl>
    <w:lvl w:ilvl="2" w:tplc="BCACAF56" w:tentative="1">
      <w:start w:val="1"/>
      <w:numFmt w:val="bullet"/>
      <w:lvlText w:val=""/>
      <w:lvlJc w:val="left"/>
      <w:pPr>
        <w:ind w:left="2653" w:hanging="360"/>
      </w:pPr>
      <w:rPr>
        <w:rFonts w:ascii="Wingdings" w:hAnsi="Wingdings" w:hint="default"/>
      </w:rPr>
    </w:lvl>
    <w:lvl w:ilvl="3" w:tplc="0ADCF240" w:tentative="1">
      <w:start w:val="1"/>
      <w:numFmt w:val="bullet"/>
      <w:lvlText w:val=""/>
      <w:lvlJc w:val="left"/>
      <w:pPr>
        <w:ind w:left="3373" w:hanging="360"/>
      </w:pPr>
      <w:rPr>
        <w:rFonts w:ascii="Symbol" w:hAnsi="Symbol" w:hint="default"/>
      </w:rPr>
    </w:lvl>
    <w:lvl w:ilvl="4" w:tplc="3422435A" w:tentative="1">
      <w:start w:val="1"/>
      <w:numFmt w:val="bullet"/>
      <w:lvlText w:val="o"/>
      <w:lvlJc w:val="left"/>
      <w:pPr>
        <w:ind w:left="4093" w:hanging="360"/>
      </w:pPr>
      <w:rPr>
        <w:rFonts w:ascii="Courier New" w:hAnsi="Courier New" w:cs="Courier New" w:hint="default"/>
      </w:rPr>
    </w:lvl>
    <w:lvl w:ilvl="5" w:tplc="6A8A94EE" w:tentative="1">
      <w:start w:val="1"/>
      <w:numFmt w:val="bullet"/>
      <w:lvlText w:val=""/>
      <w:lvlJc w:val="left"/>
      <w:pPr>
        <w:ind w:left="4813" w:hanging="360"/>
      </w:pPr>
      <w:rPr>
        <w:rFonts w:ascii="Wingdings" w:hAnsi="Wingdings" w:hint="default"/>
      </w:rPr>
    </w:lvl>
    <w:lvl w:ilvl="6" w:tplc="D94A8D96" w:tentative="1">
      <w:start w:val="1"/>
      <w:numFmt w:val="bullet"/>
      <w:lvlText w:val=""/>
      <w:lvlJc w:val="left"/>
      <w:pPr>
        <w:ind w:left="5533" w:hanging="360"/>
      </w:pPr>
      <w:rPr>
        <w:rFonts w:ascii="Symbol" w:hAnsi="Symbol" w:hint="default"/>
      </w:rPr>
    </w:lvl>
    <w:lvl w:ilvl="7" w:tplc="4F3AF5B6" w:tentative="1">
      <w:start w:val="1"/>
      <w:numFmt w:val="bullet"/>
      <w:lvlText w:val="o"/>
      <w:lvlJc w:val="left"/>
      <w:pPr>
        <w:ind w:left="6253" w:hanging="360"/>
      </w:pPr>
      <w:rPr>
        <w:rFonts w:ascii="Courier New" w:hAnsi="Courier New" w:cs="Courier New" w:hint="default"/>
      </w:rPr>
    </w:lvl>
    <w:lvl w:ilvl="8" w:tplc="F676B7D2" w:tentative="1">
      <w:start w:val="1"/>
      <w:numFmt w:val="bullet"/>
      <w:lvlText w:val=""/>
      <w:lvlJc w:val="left"/>
      <w:pPr>
        <w:ind w:left="6973" w:hanging="360"/>
      </w:pPr>
      <w:rPr>
        <w:rFonts w:ascii="Wingdings" w:hAnsi="Wingdings" w:hint="default"/>
      </w:rPr>
    </w:lvl>
  </w:abstractNum>
  <w:abstractNum w:abstractNumId="19">
    <w:nsid w:val="561A693C"/>
    <w:multiLevelType w:val="hybridMultilevel"/>
    <w:tmpl w:val="C8423C5E"/>
    <w:lvl w:ilvl="0" w:tplc="14090001">
      <w:start w:val="1"/>
      <w:numFmt w:val="bullet"/>
      <w:pStyle w:val="Boxbullet"/>
      <w:lvlText w:val="•"/>
      <w:lvlJc w:val="left"/>
      <w:pPr>
        <w:tabs>
          <w:tab w:val="num" w:pos="644"/>
        </w:tabs>
        <w:ind w:left="567" w:hanging="283"/>
      </w:pPr>
      <w:rPr>
        <w:rFonts w:hAnsi="Arial" w:hint="default"/>
        <w:b/>
        <w:i w:val="0"/>
        <w:sz w:val="20"/>
      </w:rPr>
    </w:lvl>
    <w:lvl w:ilvl="1" w:tplc="14090003" w:tentative="1">
      <w:start w:val="1"/>
      <w:numFmt w:val="bullet"/>
      <w:lvlText w:val="o"/>
      <w:lvlJc w:val="left"/>
      <w:pPr>
        <w:tabs>
          <w:tab w:val="num" w:pos="1440"/>
        </w:tabs>
        <w:ind w:left="1440" w:hanging="360"/>
      </w:pPr>
      <w:rPr>
        <w:rFonts w:ascii="Courier New" w:hAnsi="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20">
    <w:nsid w:val="59AD023F"/>
    <w:multiLevelType w:val="multilevel"/>
    <w:tmpl w:val="60B8E090"/>
    <w:lvl w:ilvl="0">
      <w:start w:val="1"/>
      <w:numFmt w:val="bullet"/>
      <w:lvlText w:val=""/>
      <w:lvlJc w:val="left"/>
      <w:pPr>
        <w:tabs>
          <w:tab w:val="num" w:pos="1276"/>
        </w:tabs>
        <w:ind w:left="1276" w:hanging="709"/>
      </w:pPr>
      <w:rPr>
        <w:rFonts w:ascii="Symbol" w:hAnsi="Symbol" w:hint="default"/>
        <w:i w:val="0"/>
        <w:color w:val="000000"/>
      </w:rPr>
    </w:lvl>
    <w:lvl w:ilvl="1">
      <w:start w:val="1"/>
      <w:numFmt w:val="decimal"/>
      <w:isLgl/>
      <w:lvlText w:val="%1.%2."/>
      <w:lvlJc w:val="left"/>
      <w:pPr>
        <w:tabs>
          <w:tab w:val="num" w:pos="1985"/>
        </w:tabs>
        <w:ind w:left="1985" w:hanging="709"/>
      </w:pPr>
      <w:rPr>
        <w:rFonts w:hint="default"/>
      </w:rPr>
    </w:lvl>
    <w:lvl w:ilvl="2">
      <w:start w:val="1"/>
      <w:numFmt w:val="decimal"/>
      <w:isLgl/>
      <w:lvlText w:val="%1.%2.%3."/>
      <w:lvlJc w:val="left"/>
      <w:pPr>
        <w:tabs>
          <w:tab w:val="num" w:pos="2835"/>
        </w:tabs>
        <w:ind w:left="2835" w:hanging="850"/>
      </w:pPr>
      <w:rPr>
        <w:rFonts w:hint="default"/>
      </w:rPr>
    </w:lvl>
    <w:lvl w:ilvl="3">
      <w:start w:val="1"/>
      <w:numFmt w:val="decimal"/>
      <w:isLgl/>
      <w:lvlText w:val="%1.%2.%3.%4."/>
      <w:lvlJc w:val="left"/>
      <w:pPr>
        <w:tabs>
          <w:tab w:val="num" w:pos="3686"/>
        </w:tabs>
        <w:ind w:left="3686" w:hanging="851"/>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21">
    <w:nsid w:val="5ADA139A"/>
    <w:multiLevelType w:val="hybridMultilevel"/>
    <w:tmpl w:val="BFCEE3EC"/>
    <w:lvl w:ilvl="0" w:tplc="41F4BD7E">
      <w:start w:val="1"/>
      <w:numFmt w:val="bullet"/>
      <w:pStyle w:val="Bullet1"/>
      <w:lvlText w:val=""/>
      <w:lvlJc w:val="left"/>
      <w:pPr>
        <w:tabs>
          <w:tab w:val="num" w:pos="1134"/>
        </w:tabs>
        <w:ind w:left="1134" w:hanging="567"/>
      </w:pPr>
      <w:rPr>
        <w:rFonts w:ascii="Symbol" w:hAnsi="Symbol" w:hint="default"/>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CA14DD4"/>
    <w:multiLevelType w:val="hybridMultilevel"/>
    <w:tmpl w:val="55E0DC5C"/>
    <w:lvl w:ilvl="0" w:tplc="14090001">
      <w:start w:val="1"/>
      <w:numFmt w:val="bullet"/>
      <w:lvlText w:val=""/>
      <w:lvlJc w:val="left"/>
      <w:pPr>
        <w:ind w:left="142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23">
    <w:nsid w:val="61F7792E"/>
    <w:multiLevelType w:val="hybridMultilevel"/>
    <w:tmpl w:val="74DA363A"/>
    <w:lvl w:ilvl="0" w:tplc="E4006DAC">
      <w:start w:val="1"/>
      <w:numFmt w:val="bullet"/>
      <w:lvlText w:val=""/>
      <w:lvlJc w:val="left"/>
      <w:pPr>
        <w:ind w:left="360" w:hanging="360"/>
      </w:pPr>
      <w:rPr>
        <w:rFonts w:ascii="Symbol" w:hAnsi="Symbol" w:hint="default"/>
        <w:i w:val="0"/>
      </w:rPr>
    </w:lvl>
    <w:lvl w:ilvl="1" w:tplc="246826FE">
      <w:start w:val="1"/>
      <w:numFmt w:val="bullet"/>
      <w:lvlText w:val="-"/>
      <w:lvlJc w:val="left"/>
      <w:pPr>
        <w:ind w:left="1440" w:hanging="360"/>
      </w:pPr>
      <w:rPr>
        <w:rFonts w:ascii="Courier New" w:hAnsi="Courier New" w:hint="default"/>
        <w:sz w:val="20"/>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649F6FFA"/>
    <w:multiLevelType w:val="hybridMultilevel"/>
    <w:tmpl w:val="1DD4A1EA"/>
    <w:lvl w:ilvl="0" w:tplc="14090001">
      <w:start w:val="1"/>
      <w:numFmt w:val="bullet"/>
      <w:lvlText w:val=""/>
      <w:lvlJc w:val="left"/>
      <w:pPr>
        <w:ind w:left="360" w:hanging="360"/>
      </w:pPr>
      <w:rPr>
        <w:rFonts w:ascii="Symbol" w:hAnsi="Symbol" w:hint="default"/>
      </w:rPr>
    </w:lvl>
    <w:lvl w:ilvl="1" w:tplc="2D929458">
      <w:start w:val="1"/>
      <w:numFmt w:val="bullet"/>
      <w:lvlText w:val=""/>
      <w:lvlJc w:val="left"/>
      <w:pPr>
        <w:ind w:left="108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nsid w:val="6D0D68D9"/>
    <w:multiLevelType w:val="hybridMultilevel"/>
    <w:tmpl w:val="2E9EAE1A"/>
    <w:lvl w:ilvl="0" w:tplc="211EFB14">
      <w:start w:val="1"/>
      <w:numFmt w:val="bullet"/>
      <w:lvlText w:val=""/>
      <w:lvlJc w:val="left"/>
      <w:pPr>
        <w:ind w:left="720" w:hanging="360"/>
      </w:pPr>
      <w:rPr>
        <w:rFonts w:ascii="Symbol" w:hAnsi="Symbol" w:hint="default"/>
      </w:rPr>
    </w:lvl>
    <w:lvl w:ilvl="1" w:tplc="BAA8786E">
      <w:start w:val="1"/>
      <w:numFmt w:val="bullet"/>
      <w:pStyle w:val="TableBullet"/>
      <w:lvlText w:val=""/>
      <w:lvlJc w:val="left"/>
      <w:pPr>
        <w:ind w:left="1440" w:hanging="360"/>
      </w:pPr>
      <w:rPr>
        <w:rFonts w:ascii="Symbol" w:hAnsi="Symbol" w:hint="default"/>
      </w:rPr>
    </w:lvl>
    <w:lvl w:ilvl="2" w:tplc="7D32612E" w:tentative="1">
      <w:start w:val="1"/>
      <w:numFmt w:val="bullet"/>
      <w:lvlText w:val=""/>
      <w:lvlJc w:val="left"/>
      <w:pPr>
        <w:ind w:left="2160" w:hanging="360"/>
      </w:pPr>
      <w:rPr>
        <w:rFonts w:ascii="Wingdings" w:hAnsi="Wingdings" w:hint="default"/>
      </w:rPr>
    </w:lvl>
    <w:lvl w:ilvl="3" w:tplc="8398D1BC" w:tentative="1">
      <w:start w:val="1"/>
      <w:numFmt w:val="bullet"/>
      <w:lvlText w:val=""/>
      <w:lvlJc w:val="left"/>
      <w:pPr>
        <w:ind w:left="2880" w:hanging="360"/>
      </w:pPr>
      <w:rPr>
        <w:rFonts w:ascii="Symbol" w:hAnsi="Symbol" w:hint="default"/>
      </w:rPr>
    </w:lvl>
    <w:lvl w:ilvl="4" w:tplc="CC522268" w:tentative="1">
      <w:start w:val="1"/>
      <w:numFmt w:val="bullet"/>
      <w:lvlText w:val="o"/>
      <w:lvlJc w:val="left"/>
      <w:pPr>
        <w:ind w:left="3600" w:hanging="360"/>
      </w:pPr>
      <w:rPr>
        <w:rFonts w:ascii="Courier New" w:hAnsi="Courier New" w:cs="Courier New" w:hint="default"/>
      </w:rPr>
    </w:lvl>
    <w:lvl w:ilvl="5" w:tplc="4FD2BFE6" w:tentative="1">
      <w:start w:val="1"/>
      <w:numFmt w:val="bullet"/>
      <w:lvlText w:val=""/>
      <w:lvlJc w:val="left"/>
      <w:pPr>
        <w:ind w:left="4320" w:hanging="360"/>
      </w:pPr>
      <w:rPr>
        <w:rFonts w:ascii="Wingdings" w:hAnsi="Wingdings" w:hint="default"/>
      </w:rPr>
    </w:lvl>
    <w:lvl w:ilvl="6" w:tplc="94864AB4" w:tentative="1">
      <w:start w:val="1"/>
      <w:numFmt w:val="bullet"/>
      <w:lvlText w:val=""/>
      <w:lvlJc w:val="left"/>
      <w:pPr>
        <w:ind w:left="5040" w:hanging="360"/>
      </w:pPr>
      <w:rPr>
        <w:rFonts w:ascii="Symbol" w:hAnsi="Symbol" w:hint="default"/>
      </w:rPr>
    </w:lvl>
    <w:lvl w:ilvl="7" w:tplc="29A64328" w:tentative="1">
      <w:start w:val="1"/>
      <w:numFmt w:val="bullet"/>
      <w:lvlText w:val="o"/>
      <w:lvlJc w:val="left"/>
      <w:pPr>
        <w:ind w:left="5760" w:hanging="360"/>
      </w:pPr>
      <w:rPr>
        <w:rFonts w:ascii="Courier New" w:hAnsi="Courier New" w:cs="Courier New" w:hint="default"/>
      </w:rPr>
    </w:lvl>
    <w:lvl w:ilvl="8" w:tplc="DFBA7334" w:tentative="1">
      <w:start w:val="1"/>
      <w:numFmt w:val="bullet"/>
      <w:lvlText w:val=""/>
      <w:lvlJc w:val="left"/>
      <w:pPr>
        <w:ind w:left="6480" w:hanging="360"/>
      </w:pPr>
      <w:rPr>
        <w:rFonts w:ascii="Wingdings" w:hAnsi="Wingdings" w:hint="default"/>
      </w:rPr>
    </w:lvl>
  </w:abstractNum>
  <w:abstractNum w:abstractNumId="26">
    <w:nsid w:val="6E7E3641"/>
    <w:multiLevelType w:val="hybridMultilevel"/>
    <w:tmpl w:val="551C67C2"/>
    <w:lvl w:ilvl="0" w:tplc="E2C8BEB8">
      <w:start w:val="1"/>
      <w:numFmt w:val="bullet"/>
      <w:lvlText w:val=""/>
      <w:lvlJc w:val="left"/>
      <w:pPr>
        <w:ind w:left="720" w:hanging="360"/>
      </w:pPr>
      <w:rPr>
        <w:rFonts w:ascii="Symbol" w:hAnsi="Symbol" w:hint="default"/>
      </w:rPr>
    </w:lvl>
    <w:lvl w:ilvl="1" w:tplc="6A549158"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703146D8"/>
    <w:multiLevelType w:val="multilevel"/>
    <w:tmpl w:val="7F1CD942"/>
    <w:lvl w:ilvl="0">
      <w:start w:val="9"/>
      <w:numFmt w:val="decimal"/>
      <w:pStyle w:val="MOJNumPara"/>
      <w:isLgl/>
      <w:lvlText w:val="%1."/>
      <w:lvlJc w:val="left"/>
      <w:pPr>
        <w:tabs>
          <w:tab w:val="num" w:pos="709"/>
        </w:tabs>
        <w:ind w:left="709" w:hanging="709"/>
      </w:pPr>
      <w:rPr>
        <w:rFonts w:hint="default"/>
        <w:i w:val="0"/>
        <w:color w:val="000000"/>
      </w:rPr>
    </w:lvl>
    <w:lvl w:ilvl="1">
      <w:start w:val="1"/>
      <w:numFmt w:val="decimal"/>
      <w:pStyle w:val="MOJLevel2NumPara"/>
      <w:isLgl/>
      <w:lvlText w:val="%1.%2."/>
      <w:lvlJc w:val="left"/>
      <w:pPr>
        <w:tabs>
          <w:tab w:val="num" w:pos="1418"/>
        </w:tabs>
        <w:ind w:left="1418" w:hanging="709"/>
      </w:pPr>
      <w:rPr>
        <w:rFonts w:hint="default"/>
      </w:rPr>
    </w:lvl>
    <w:lvl w:ilvl="2">
      <w:start w:val="1"/>
      <w:numFmt w:val="decimal"/>
      <w:pStyle w:val="MOJLevel3NumPara"/>
      <w:isLgl/>
      <w:lvlText w:val="%1.%2.%3."/>
      <w:lvlJc w:val="left"/>
      <w:pPr>
        <w:tabs>
          <w:tab w:val="num" w:pos="2268"/>
        </w:tabs>
        <w:ind w:left="2268" w:hanging="850"/>
      </w:pPr>
      <w:rPr>
        <w:rFonts w:hint="default"/>
      </w:rPr>
    </w:lvl>
    <w:lvl w:ilvl="3">
      <w:start w:val="1"/>
      <w:numFmt w:val="decimal"/>
      <w:pStyle w:val="MOJLevel4NumPara"/>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71355023"/>
    <w:multiLevelType w:val="hybridMultilevel"/>
    <w:tmpl w:val="48D0A0F8"/>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nsid w:val="751C7CCB"/>
    <w:multiLevelType w:val="hybridMultilevel"/>
    <w:tmpl w:val="3EE64682"/>
    <w:lvl w:ilvl="0" w:tplc="1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0">
    <w:nsid w:val="77CB67FF"/>
    <w:multiLevelType w:val="hybridMultilevel"/>
    <w:tmpl w:val="C916D88A"/>
    <w:lvl w:ilvl="0" w:tplc="14090001">
      <w:start w:val="1"/>
      <w:numFmt w:val="bullet"/>
      <w:lvlText w:val=""/>
      <w:lvlJc w:val="left"/>
      <w:pPr>
        <w:ind w:left="1069" w:hanging="360"/>
      </w:pPr>
      <w:rPr>
        <w:rFonts w:ascii="Symbol" w:hAnsi="Symbol" w:hint="default"/>
      </w:rPr>
    </w:lvl>
    <w:lvl w:ilvl="1" w:tplc="14090003" w:tentative="1">
      <w:start w:val="1"/>
      <w:numFmt w:val="bullet"/>
      <w:lvlText w:val="o"/>
      <w:lvlJc w:val="left"/>
      <w:pPr>
        <w:ind w:left="2149" w:hanging="360"/>
      </w:pPr>
      <w:rPr>
        <w:rFonts w:ascii="Courier New" w:hAnsi="Courier New" w:cs="Courier New" w:hint="default"/>
      </w:rPr>
    </w:lvl>
    <w:lvl w:ilvl="2" w:tplc="14090005" w:tentative="1">
      <w:start w:val="1"/>
      <w:numFmt w:val="bullet"/>
      <w:lvlText w:val=""/>
      <w:lvlJc w:val="left"/>
      <w:pPr>
        <w:ind w:left="2869" w:hanging="360"/>
      </w:pPr>
      <w:rPr>
        <w:rFonts w:ascii="Wingdings" w:hAnsi="Wingdings" w:hint="default"/>
      </w:rPr>
    </w:lvl>
    <w:lvl w:ilvl="3" w:tplc="14090001" w:tentative="1">
      <w:start w:val="1"/>
      <w:numFmt w:val="bullet"/>
      <w:lvlText w:val=""/>
      <w:lvlJc w:val="left"/>
      <w:pPr>
        <w:ind w:left="3589" w:hanging="360"/>
      </w:pPr>
      <w:rPr>
        <w:rFonts w:ascii="Symbol" w:hAnsi="Symbol" w:hint="default"/>
      </w:rPr>
    </w:lvl>
    <w:lvl w:ilvl="4" w:tplc="14090003" w:tentative="1">
      <w:start w:val="1"/>
      <w:numFmt w:val="bullet"/>
      <w:lvlText w:val="o"/>
      <w:lvlJc w:val="left"/>
      <w:pPr>
        <w:ind w:left="4309" w:hanging="360"/>
      </w:pPr>
      <w:rPr>
        <w:rFonts w:ascii="Courier New" w:hAnsi="Courier New" w:cs="Courier New" w:hint="default"/>
      </w:rPr>
    </w:lvl>
    <w:lvl w:ilvl="5" w:tplc="14090005" w:tentative="1">
      <w:start w:val="1"/>
      <w:numFmt w:val="bullet"/>
      <w:lvlText w:val=""/>
      <w:lvlJc w:val="left"/>
      <w:pPr>
        <w:ind w:left="5029" w:hanging="360"/>
      </w:pPr>
      <w:rPr>
        <w:rFonts w:ascii="Wingdings" w:hAnsi="Wingdings" w:hint="default"/>
      </w:rPr>
    </w:lvl>
    <w:lvl w:ilvl="6" w:tplc="14090001" w:tentative="1">
      <w:start w:val="1"/>
      <w:numFmt w:val="bullet"/>
      <w:lvlText w:val=""/>
      <w:lvlJc w:val="left"/>
      <w:pPr>
        <w:ind w:left="5749" w:hanging="360"/>
      </w:pPr>
      <w:rPr>
        <w:rFonts w:ascii="Symbol" w:hAnsi="Symbol" w:hint="default"/>
      </w:rPr>
    </w:lvl>
    <w:lvl w:ilvl="7" w:tplc="14090003" w:tentative="1">
      <w:start w:val="1"/>
      <w:numFmt w:val="bullet"/>
      <w:lvlText w:val="o"/>
      <w:lvlJc w:val="left"/>
      <w:pPr>
        <w:ind w:left="6469" w:hanging="360"/>
      </w:pPr>
      <w:rPr>
        <w:rFonts w:ascii="Courier New" w:hAnsi="Courier New" w:cs="Courier New" w:hint="default"/>
      </w:rPr>
    </w:lvl>
    <w:lvl w:ilvl="8" w:tplc="14090005" w:tentative="1">
      <w:start w:val="1"/>
      <w:numFmt w:val="bullet"/>
      <w:lvlText w:val=""/>
      <w:lvlJc w:val="left"/>
      <w:pPr>
        <w:ind w:left="7189" w:hanging="360"/>
      </w:pPr>
      <w:rPr>
        <w:rFonts w:ascii="Wingdings" w:hAnsi="Wingdings" w:hint="default"/>
      </w:rPr>
    </w:lvl>
  </w:abstractNum>
  <w:abstractNum w:abstractNumId="31">
    <w:nsid w:val="7BD741B3"/>
    <w:multiLevelType w:val="multilevel"/>
    <w:tmpl w:val="85D01AE6"/>
    <w:lvl w:ilvl="0">
      <w:start w:val="1"/>
      <w:numFmt w:val="decimal"/>
      <w:isLgl/>
      <w:lvlText w:val="%1."/>
      <w:lvlJc w:val="left"/>
      <w:pPr>
        <w:tabs>
          <w:tab w:val="num" w:pos="709"/>
        </w:tabs>
        <w:ind w:left="709" w:hanging="709"/>
      </w:pPr>
      <w:rPr>
        <w:rFonts w:hint="default"/>
        <w:i w:val="0"/>
        <w:color w:val="000000"/>
      </w:rPr>
    </w:lvl>
    <w:lvl w:ilvl="1">
      <w:start w:val="1"/>
      <w:numFmt w:val="bullet"/>
      <w:lvlText w:val=""/>
      <w:lvlJc w:val="left"/>
      <w:pPr>
        <w:tabs>
          <w:tab w:val="num" w:pos="1418"/>
        </w:tabs>
        <w:ind w:left="1418" w:hanging="709"/>
      </w:pPr>
      <w:rPr>
        <w:rFonts w:ascii="Symbol" w:hAnsi="Symbol" w:hint="default"/>
      </w:rPr>
    </w:lvl>
    <w:lvl w:ilvl="2">
      <w:start w:val="1"/>
      <w:numFmt w:val="decimal"/>
      <w:isLgl/>
      <w:lvlText w:val="%1.%2.%3."/>
      <w:lvlJc w:val="left"/>
      <w:pPr>
        <w:tabs>
          <w:tab w:val="num" w:pos="2268"/>
        </w:tabs>
        <w:ind w:left="2268" w:hanging="850"/>
      </w:pPr>
      <w:rPr>
        <w:rFonts w:hint="default"/>
      </w:rPr>
    </w:lvl>
    <w:lvl w:ilvl="3">
      <w:start w:val="1"/>
      <w:numFmt w:val="decimal"/>
      <w:isLgl/>
      <w:lvlText w:val="%1.%2.%3.%4."/>
      <w:lvlJc w:val="left"/>
      <w:pPr>
        <w:tabs>
          <w:tab w:val="num" w:pos="3119"/>
        </w:tabs>
        <w:ind w:left="3119" w:hanging="851"/>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19"/>
  </w:num>
  <w:num w:numId="2">
    <w:abstractNumId w:val="10"/>
  </w:num>
  <w:num w:numId="3">
    <w:abstractNumId w:val="25"/>
  </w:num>
  <w:num w:numId="4">
    <w:abstractNumId w:val="27"/>
  </w:num>
  <w:num w:numId="5">
    <w:abstractNumId w:val="6"/>
  </w:num>
  <w:num w:numId="6">
    <w:abstractNumId w:val="11"/>
  </w:num>
  <w:num w:numId="7">
    <w:abstractNumId w:val="26"/>
  </w:num>
  <w:num w:numId="8">
    <w:abstractNumId w:val="8"/>
    <w:lvlOverride w:ilvl="0">
      <w:lvl w:ilvl="0">
        <w:start w:val="1"/>
        <w:numFmt w:val="decimal"/>
        <w:pStyle w:val="ReportBody"/>
        <w:lvlText w:val="%1"/>
        <w:lvlJc w:val="left"/>
        <w:pPr>
          <w:tabs>
            <w:tab w:val="num" w:pos="493"/>
          </w:tabs>
          <w:ind w:left="493" w:hanging="493"/>
        </w:pPr>
        <w:rPr>
          <w:rFonts w:hint="default"/>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9">
    <w:abstractNumId w:val="7"/>
  </w:num>
  <w:num w:numId="10">
    <w:abstractNumId w:val="29"/>
  </w:num>
  <w:num w:numId="11">
    <w:abstractNumId w:val="4"/>
  </w:num>
  <w:num w:numId="12">
    <w:abstractNumId w:val="31"/>
  </w:num>
  <w:num w:numId="13">
    <w:abstractNumId w:val="9"/>
  </w:num>
  <w:num w:numId="14">
    <w:abstractNumId w:val="18"/>
  </w:num>
  <w:num w:numId="15">
    <w:abstractNumId w:val="2"/>
  </w:num>
  <w:num w:numId="16">
    <w:abstractNumId w:val="15"/>
  </w:num>
  <w:num w:numId="17">
    <w:abstractNumId w:val="21"/>
  </w:num>
  <w:num w:numId="18">
    <w:abstractNumId w:val="23"/>
  </w:num>
  <w:num w:numId="19">
    <w:abstractNumId w:val="0"/>
  </w:num>
  <w:num w:numId="20">
    <w:abstractNumId w:val="22"/>
  </w:num>
  <w:num w:numId="21">
    <w:abstractNumId w:val="12"/>
  </w:num>
  <w:num w:numId="22">
    <w:abstractNumId w:val="20"/>
  </w:num>
  <w:num w:numId="23">
    <w:abstractNumId w:val="17"/>
  </w:num>
  <w:num w:numId="24">
    <w:abstractNumId w:val="16"/>
  </w:num>
  <w:num w:numId="25">
    <w:abstractNumId w:val="24"/>
  </w:num>
  <w:num w:numId="26">
    <w:abstractNumId w:val="28"/>
  </w:num>
  <w:num w:numId="27">
    <w:abstractNumId w:val="13"/>
  </w:num>
  <w:num w:numId="28">
    <w:abstractNumId w:val="1"/>
  </w:num>
  <w:num w:numId="29">
    <w:abstractNumId w:val="3"/>
  </w:num>
  <w:num w:numId="30">
    <w:abstractNumId w:val="5"/>
  </w:num>
  <w:num w:numId="31">
    <w:abstractNumId w:val="30"/>
  </w:num>
  <w:num w:numId="32">
    <w:abstractNumId w:val="14"/>
  </w:num>
  <w:num w:numId="33">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lvlOverride w:ilvl="0">
      <w:lvl w:ilvl="0">
        <w:start w:val="1"/>
        <w:numFmt w:val="decimal"/>
        <w:pStyle w:val="ReportBody"/>
        <w:lvlText w:val="%1"/>
        <w:lvlJc w:val="left"/>
        <w:pPr>
          <w:tabs>
            <w:tab w:val="num" w:pos="493"/>
          </w:tabs>
          <w:ind w:left="493" w:hanging="493"/>
        </w:pPr>
        <w:rPr>
          <w:rFonts w:hint="default"/>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 w:numId="35">
    <w:abstractNumId w:val="8"/>
    <w:lvlOverride w:ilvl="0">
      <w:lvl w:ilvl="0">
        <w:start w:val="1"/>
        <w:numFmt w:val="decimal"/>
        <w:pStyle w:val="ReportBody"/>
        <w:lvlText w:val="%1"/>
        <w:lvlJc w:val="left"/>
        <w:pPr>
          <w:tabs>
            <w:tab w:val="num" w:pos="493"/>
          </w:tabs>
          <w:ind w:left="493" w:hanging="493"/>
        </w:pPr>
        <w:rPr>
          <w:rFonts w:hint="default"/>
        </w:rPr>
      </w:lvl>
    </w:lvlOverride>
    <w:lvlOverride w:ilvl="1">
      <w:lvl w:ilvl="1">
        <w:start w:val="1"/>
        <w:numFmt w:val="decimal"/>
        <w:pStyle w:val="ReportBody2"/>
        <w:lvlText w:val="%1.%2"/>
        <w:lvlJc w:val="left"/>
        <w:pPr>
          <w:tabs>
            <w:tab w:val="num" w:pos="493"/>
          </w:tabs>
          <w:ind w:left="987" w:hanging="494"/>
        </w:pPr>
        <w:rPr>
          <w:rFonts w:hint="default"/>
        </w:rPr>
      </w:lvl>
    </w:lvlOverride>
    <w:lvlOverride w:ilvl="2">
      <w:lvl w:ilvl="2">
        <w:start w:val="1"/>
        <w:numFmt w:val="decimal"/>
        <w:lvlText w:val="%1.%2.%3"/>
        <w:lvlJc w:val="left"/>
        <w:pPr>
          <w:tabs>
            <w:tab w:val="num" w:pos="1554"/>
          </w:tabs>
          <w:ind w:left="1554" w:hanging="567"/>
        </w:pPr>
        <w:rPr>
          <w:rFonts w:hint="default"/>
        </w:rPr>
      </w:lvl>
    </w:lvlOverride>
    <w:lvlOverride w:ilvl="3">
      <w:lvl w:ilvl="3">
        <w:start w:val="1"/>
        <w:numFmt w:val="decimal"/>
        <w:lvlText w:val="%1.%2.%3.%4."/>
        <w:lvlJc w:val="left"/>
        <w:pPr>
          <w:tabs>
            <w:tab w:val="num" w:pos="2133"/>
          </w:tabs>
          <w:ind w:left="1701" w:hanging="648"/>
        </w:pPr>
        <w:rPr>
          <w:rFonts w:hint="default"/>
        </w:rPr>
      </w:lvl>
    </w:lvlOverride>
    <w:lvlOverride w:ilvl="4">
      <w:lvl w:ilvl="4">
        <w:start w:val="1"/>
        <w:numFmt w:val="decimal"/>
        <w:lvlText w:val="%1.%2.%3.%4.%5."/>
        <w:lvlJc w:val="left"/>
        <w:pPr>
          <w:tabs>
            <w:tab w:val="num" w:pos="2493"/>
          </w:tabs>
          <w:ind w:left="2205" w:hanging="792"/>
        </w:pPr>
        <w:rPr>
          <w:rFonts w:hint="default"/>
        </w:rPr>
      </w:lvl>
    </w:lvlOverride>
    <w:lvlOverride w:ilvl="5">
      <w:lvl w:ilvl="5">
        <w:start w:val="1"/>
        <w:numFmt w:val="decimal"/>
        <w:lvlText w:val="%1.%2.%3.%4.%5.%6."/>
        <w:lvlJc w:val="left"/>
        <w:pPr>
          <w:tabs>
            <w:tab w:val="num" w:pos="3213"/>
          </w:tabs>
          <w:ind w:left="2709" w:hanging="936"/>
        </w:pPr>
        <w:rPr>
          <w:rFonts w:hint="default"/>
        </w:rPr>
      </w:lvl>
    </w:lvlOverride>
    <w:lvlOverride w:ilvl="6">
      <w:lvl w:ilvl="6">
        <w:start w:val="1"/>
        <w:numFmt w:val="decimal"/>
        <w:lvlText w:val="%1.%2.%3.%4.%5.%6.%7."/>
        <w:lvlJc w:val="left"/>
        <w:pPr>
          <w:tabs>
            <w:tab w:val="num" w:pos="3573"/>
          </w:tabs>
          <w:ind w:left="3213" w:hanging="1080"/>
        </w:pPr>
        <w:rPr>
          <w:rFonts w:hint="default"/>
        </w:rPr>
      </w:lvl>
    </w:lvlOverride>
    <w:lvlOverride w:ilvl="7">
      <w:lvl w:ilvl="7">
        <w:start w:val="1"/>
        <w:numFmt w:val="decimal"/>
        <w:lvlText w:val="%1.%2.%3.%4.%5.%6.%7.%8."/>
        <w:lvlJc w:val="left"/>
        <w:pPr>
          <w:tabs>
            <w:tab w:val="num" w:pos="4293"/>
          </w:tabs>
          <w:ind w:left="3717" w:hanging="1224"/>
        </w:pPr>
        <w:rPr>
          <w:rFonts w:hint="default"/>
        </w:rPr>
      </w:lvl>
    </w:lvlOverride>
    <w:lvlOverride w:ilvl="8">
      <w:lvl w:ilvl="8">
        <w:start w:val="1"/>
        <w:numFmt w:val="decimal"/>
        <w:lvlText w:val="%1.%2.%3.%4.%5.%6.%7.%8.%9."/>
        <w:lvlJc w:val="left"/>
        <w:pPr>
          <w:tabs>
            <w:tab w:val="num" w:pos="4653"/>
          </w:tabs>
          <w:ind w:left="4293" w:hanging="1440"/>
        </w:pPr>
        <w:rPr>
          <w:rFonts w:hint="default"/>
        </w:rPr>
      </w:lvl>
    </w:lvlOverride>
  </w:num>
  <w:numIdMacAtCleanup w:val="3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fa77eb49c308adf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evenAndOddHeaders/>
  <w:drawingGridHorizontalSpacing w:val="110"/>
  <w:displayHorizontalDrawingGridEvery w:val="0"/>
  <w:displayVerticalDrawingGridEvery w:val="0"/>
  <w:noPunctuationKerning/>
  <w:characterSpacingControl w:val="doNotCompress"/>
  <w:hdrShapeDefaults>
    <o:shapedefaults v:ext="edit" spidmax="2049" fillcolor="white" stroke="f">
      <v:fill color="white" opacity="0"/>
      <v:stroke on="f"/>
      <o:colormru v:ext="edit" colors="#ddd,#cfcfcf,#cacaca,#66f,blue,#ccd3e1,#002469,#33508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127"/>
    <w:rsid w:val="00001539"/>
    <w:rsid w:val="00002433"/>
    <w:rsid w:val="000037F4"/>
    <w:rsid w:val="000046BF"/>
    <w:rsid w:val="00004A8A"/>
    <w:rsid w:val="00005DC9"/>
    <w:rsid w:val="00006CA1"/>
    <w:rsid w:val="00010986"/>
    <w:rsid w:val="00010F7D"/>
    <w:rsid w:val="000136C4"/>
    <w:rsid w:val="00013A18"/>
    <w:rsid w:val="00014196"/>
    <w:rsid w:val="000147DC"/>
    <w:rsid w:val="00015072"/>
    <w:rsid w:val="00016722"/>
    <w:rsid w:val="0002068B"/>
    <w:rsid w:val="00021274"/>
    <w:rsid w:val="000232EB"/>
    <w:rsid w:val="00023BAB"/>
    <w:rsid w:val="00023EA6"/>
    <w:rsid w:val="0002568E"/>
    <w:rsid w:val="00025954"/>
    <w:rsid w:val="00026ED2"/>
    <w:rsid w:val="00030DEA"/>
    <w:rsid w:val="00031EB0"/>
    <w:rsid w:val="00033950"/>
    <w:rsid w:val="000343E7"/>
    <w:rsid w:val="00035185"/>
    <w:rsid w:val="00036A3D"/>
    <w:rsid w:val="00036EE4"/>
    <w:rsid w:val="00040861"/>
    <w:rsid w:val="00041469"/>
    <w:rsid w:val="0004309F"/>
    <w:rsid w:val="0004310C"/>
    <w:rsid w:val="000432CA"/>
    <w:rsid w:val="000435AD"/>
    <w:rsid w:val="00045AFC"/>
    <w:rsid w:val="00046F46"/>
    <w:rsid w:val="00047559"/>
    <w:rsid w:val="00050189"/>
    <w:rsid w:val="000523FC"/>
    <w:rsid w:val="000526E4"/>
    <w:rsid w:val="00052902"/>
    <w:rsid w:val="0005434D"/>
    <w:rsid w:val="0005503E"/>
    <w:rsid w:val="00055373"/>
    <w:rsid w:val="00056263"/>
    <w:rsid w:val="00056F77"/>
    <w:rsid w:val="00057AC4"/>
    <w:rsid w:val="000606D4"/>
    <w:rsid w:val="00060AAB"/>
    <w:rsid w:val="00060CD3"/>
    <w:rsid w:val="000645FA"/>
    <w:rsid w:val="000655B2"/>
    <w:rsid w:val="000660A8"/>
    <w:rsid w:val="00070193"/>
    <w:rsid w:val="00070423"/>
    <w:rsid w:val="00072421"/>
    <w:rsid w:val="00073A19"/>
    <w:rsid w:val="00073D98"/>
    <w:rsid w:val="00073F31"/>
    <w:rsid w:val="00074B13"/>
    <w:rsid w:val="00074D02"/>
    <w:rsid w:val="00080CE0"/>
    <w:rsid w:val="00080DE3"/>
    <w:rsid w:val="000827D5"/>
    <w:rsid w:val="00082ABC"/>
    <w:rsid w:val="00083ADB"/>
    <w:rsid w:val="00086007"/>
    <w:rsid w:val="000863E2"/>
    <w:rsid w:val="00086898"/>
    <w:rsid w:val="0008712F"/>
    <w:rsid w:val="00087A25"/>
    <w:rsid w:val="00087C41"/>
    <w:rsid w:val="00096BFA"/>
    <w:rsid w:val="000A0A18"/>
    <w:rsid w:val="000A0ADA"/>
    <w:rsid w:val="000A20D1"/>
    <w:rsid w:val="000A39F4"/>
    <w:rsid w:val="000A43F8"/>
    <w:rsid w:val="000A4419"/>
    <w:rsid w:val="000B005C"/>
    <w:rsid w:val="000B01CC"/>
    <w:rsid w:val="000B0480"/>
    <w:rsid w:val="000B0615"/>
    <w:rsid w:val="000B0C12"/>
    <w:rsid w:val="000B0D42"/>
    <w:rsid w:val="000B16BF"/>
    <w:rsid w:val="000B5B1E"/>
    <w:rsid w:val="000C0912"/>
    <w:rsid w:val="000C1056"/>
    <w:rsid w:val="000C2111"/>
    <w:rsid w:val="000C26E9"/>
    <w:rsid w:val="000C3EB5"/>
    <w:rsid w:val="000C43B6"/>
    <w:rsid w:val="000C684B"/>
    <w:rsid w:val="000C6EED"/>
    <w:rsid w:val="000D0FA0"/>
    <w:rsid w:val="000D2A6B"/>
    <w:rsid w:val="000D5E01"/>
    <w:rsid w:val="000D6393"/>
    <w:rsid w:val="000D7A39"/>
    <w:rsid w:val="000D7C12"/>
    <w:rsid w:val="000E0036"/>
    <w:rsid w:val="000E05AC"/>
    <w:rsid w:val="000E3979"/>
    <w:rsid w:val="000E3CE1"/>
    <w:rsid w:val="000E730B"/>
    <w:rsid w:val="000E73FF"/>
    <w:rsid w:val="000E7C1C"/>
    <w:rsid w:val="000F03B0"/>
    <w:rsid w:val="000F058F"/>
    <w:rsid w:val="000F3333"/>
    <w:rsid w:val="000F42B3"/>
    <w:rsid w:val="000F4A1A"/>
    <w:rsid w:val="000F5BBF"/>
    <w:rsid w:val="000F6F99"/>
    <w:rsid w:val="000F7020"/>
    <w:rsid w:val="00100E8D"/>
    <w:rsid w:val="00101218"/>
    <w:rsid w:val="001015C8"/>
    <w:rsid w:val="00101A24"/>
    <w:rsid w:val="00101EFA"/>
    <w:rsid w:val="001034C3"/>
    <w:rsid w:val="00103F54"/>
    <w:rsid w:val="00106D9E"/>
    <w:rsid w:val="00113146"/>
    <w:rsid w:val="00114F56"/>
    <w:rsid w:val="00116006"/>
    <w:rsid w:val="00116B51"/>
    <w:rsid w:val="0012410B"/>
    <w:rsid w:val="00125812"/>
    <w:rsid w:val="00126CD1"/>
    <w:rsid w:val="00127757"/>
    <w:rsid w:val="001304A6"/>
    <w:rsid w:val="00130E8F"/>
    <w:rsid w:val="00132634"/>
    <w:rsid w:val="001336E3"/>
    <w:rsid w:val="001339BB"/>
    <w:rsid w:val="00136EED"/>
    <w:rsid w:val="00141B20"/>
    <w:rsid w:val="00141D39"/>
    <w:rsid w:val="00142051"/>
    <w:rsid w:val="00143437"/>
    <w:rsid w:val="00144369"/>
    <w:rsid w:val="00144ADC"/>
    <w:rsid w:val="00144BBB"/>
    <w:rsid w:val="00146FC1"/>
    <w:rsid w:val="00150932"/>
    <w:rsid w:val="00152D49"/>
    <w:rsid w:val="001579BA"/>
    <w:rsid w:val="00157E18"/>
    <w:rsid w:val="00161022"/>
    <w:rsid w:val="00161358"/>
    <w:rsid w:val="001620EB"/>
    <w:rsid w:val="0016538E"/>
    <w:rsid w:val="00166A7A"/>
    <w:rsid w:val="00166C49"/>
    <w:rsid w:val="001674EB"/>
    <w:rsid w:val="00167EE1"/>
    <w:rsid w:val="001705C4"/>
    <w:rsid w:val="00170AD0"/>
    <w:rsid w:val="00171281"/>
    <w:rsid w:val="001712D6"/>
    <w:rsid w:val="001714E6"/>
    <w:rsid w:val="00171E15"/>
    <w:rsid w:val="001726B0"/>
    <w:rsid w:val="00174A13"/>
    <w:rsid w:val="00175644"/>
    <w:rsid w:val="001765D4"/>
    <w:rsid w:val="001767C7"/>
    <w:rsid w:val="00176F0F"/>
    <w:rsid w:val="001800AF"/>
    <w:rsid w:val="00180A3B"/>
    <w:rsid w:val="00180BD5"/>
    <w:rsid w:val="00180D17"/>
    <w:rsid w:val="00180E93"/>
    <w:rsid w:val="00183D99"/>
    <w:rsid w:val="00183EB1"/>
    <w:rsid w:val="00184219"/>
    <w:rsid w:val="00185884"/>
    <w:rsid w:val="001901C1"/>
    <w:rsid w:val="00190331"/>
    <w:rsid w:val="0019141D"/>
    <w:rsid w:val="00191B67"/>
    <w:rsid w:val="00191EEC"/>
    <w:rsid w:val="0019245A"/>
    <w:rsid w:val="00193EA5"/>
    <w:rsid w:val="00194CF9"/>
    <w:rsid w:val="001956F8"/>
    <w:rsid w:val="00197273"/>
    <w:rsid w:val="001A0AE8"/>
    <w:rsid w:val="001A0EC6"/>
    <w:rsid w:val="001A13C8"/>
    <w:rsid w:val="001A1C61"/>
    <w:rsid w:val="001A1DFB"/>
    <w:rsid w:val="001A5694"/>
    <w:rsid w:val="001A5BEE"/>
    <w:rsid w:val="001A6C15"/>
    <w:rsid w:val="001B018D"/>
    <w:rsid w:val="001B0726"/>
    <w:rsid w:val="001B0DF0"/>
    <w:rsid w:val="001B1A87"/>
    <w:rsid w:val="001B1BDF"/>
    <w:rsid w:val="001B24D5"/>
    <w:rsid w:val="001B2869"/>
    <w:rsid w:val="001B3F6D"/>
    <w:rsid w:val="001B3F81"/>
    <w:rsid w:val="001B41EF"/>
    <w:rsid w:val="001B43D5"/>
    <w:rsid w:val="001B4988"/>
    <w:rsid w:val="001B4E6C"/>
    <w:rsid w:val="001B7122"/>
    <w:rsid w:val="001C05C1"/>
    <w:rsid w:val="001C0CF6"/>
    <w:rsid w:val="001C2214"/>
    <w:rsid w:val="001C2523"/>
    <w:rsid w:val="001C2524"/>
    <w:rsid w:val="001C41C2"/>
    <w:rsid w:val="001C4555"/>
    <w:rsid w:val="001C5C8B"/>
    <w:rsid w:val="001D0A46"/>
    <w:rsid w:val="001D22ED"/>
    <w:rsid w:val="001D3440"/>
    <w:rsid w:val="001D3714"/>
    <w:rsid w:val="001D37FB"/>
    <w:rsid w:val="001D53A8"/>
    <w:rsid w:val="001D7325"/>
    <w:rsid w:val="001D7E14"/>
    <w:rsid w:val="001E1A8F"/>
    <w:rsid w:val="001E1F3D"/>
    <w:rsid w:val="001E6908"/>
    <w:rsid w:val="001F0DD3"/>
    <w:rsid w:val="001F21CB"/>
    <w:rsid w:val="001F492F"/>
    <w:rsid w:val="001F6750"/>
    <w:rsid w:val="00200311"/>
    <w:rsid w:val="002008D1"/>
    <w:rsid w:val="00200C45"/>
    <w:rsid w:val="002021E4"/>
    <w:rsid w:val="002027DD"/>
    <w:rsid w:val="0020298F"/>
    <w:rsid w:val="00202E3C"/>
    <w:rsid w:val="002036AA"/>
    <w:rsid w:val="00203789"/>
    <w:rsid w:val="00205334"/>
    <w:rsid w:val="0020595B"/>
    <w:rsid w:val="00210833"/>
    <w:rsid w:val="00213A98"/>
    <w:rsid w:val="00213B41"/>
    <w:rsid w:val="002148E2"/>
    <w:rsid w:val="00216DB5"/>
    <w:rsid w:val="00216F08"/>
    <w:rsid w:val="002224AA"/>
    <w:rsid w:val="00222CA5"/>
    <w:rsid w:val="00224A1F"/>
    <w:rsid w:val="002258FC"/>
    <w:rsid w:val="00226226"/>
    <w:rsid w:val="00226A86"/>
    <w:rsid w:val="00226FD2"/>
    <w:rsid w:val="00227D78"/>
    <w:rsid w:val="00227FE4"/>
    <w:rsid w:val="002317B4"/>
    <w:rsid w:val="002331A0"/>
    <w:rsid w:val="00233DC9"/>
    <w:rsid w:val="0023447D"/>
    <w:rsid w:val="00235021"/>
    <w:rsid w:val="00236A55"/>
    <w:rsid w:val="0023708B"/>
    <w:rsid w:val="00237194"/>
    <w:rsid w:val="00237318"/>
    <w:rsid w:val="00237FE9"/>
    <w:rsid w:val="00245DA0"/>
    <w:rsid w:val="00247ADA"/>
    <w:rsid w:val="00251406"/>
    <w:rsid w:val="00257836"/>
    <w:rsid w:val="00257BB6"/>
    <w:rsid w:val="00262410"/>
    <w:rsid w:val="002626BE"/>
    <w:rsid w:val="00264EEE"/>
    <w:rsid w:val="0026530E"/>
    <w:rsid w:val="00265DED"/>
    <w:rsid w:val="00265E0A"/>
    <w:rsid w:val="00265E6C"/>
    <w:rsid w:val="00266A30"/>
    <w:rsid w:val="0026794D"/>
    <w:rsid w:val="00267FAB"/>
    <w:rsid w:val="00270CBA"/>
    <w:rsid w:val="002712C8"/>
    <w:rsid w:val="002719ED"/>
    <w:rsid w:val="00271EB7"/>
    <w:rsid w:val="00272E82"/>
    <w:rsid w:val="00273732"/>
    <w:rsid w:val="00273D5C"/>
    <w:rsid w:val="00273ECF"/>
    <w:rsid w:val="00275209"/>
    <w:rsid w:val="0027527B"/>
    <w:rsid w:val="00275B26"/>
    <w:rsid w:val="002768BB"/>
    <w:rsid w:val="0027706F"/>
    <w:rsid w:val="00281580"/>
    <w:rsid w:val="00282DD1"/>
    <w:rsid w:val="00283AFA"/>
    <w:rsid w:val="00287942"/>
    <w:rsid w:val="002904CC"/>
    <w:rsid w:val="00290CE8"/>
    <w:rsid w:val="002915F8"/>
    <w:rsid w:val="0029399F"/>
    <w:rsid w:val="00293E21"/>
    <w:rsid w:val="00294611"/>
    <w:rsid w:val="00295264"/>
    <w:rsid w:val="00296404"/>
    <w:rsid w:val="0029649F"/>
    <w:rsid w:val="002A05D3"/>
    <w:rsid w:val="002A06C6"/>
    <w:rsid w:val="002A535E"/>
    <w:rsid w:val="002A5881"/>
    <w:rsid w:val="002A5E7A"/>
    <w:rsid w:val="002B0025"/>
    <w:rsid w:val="002B0801"/>
    <w:rsid w:val="002B475A"/>
    <w:rsid w:val="002B5324"/>
    <w:rsid w:val="002B5524"/>
    <w:rsid w:val="002B56E7"/>
    <w:rsid w:val="002C0074"/>
    <w:rsid w:val="002C097E"/>
    <w:rsid w:val="002C0ECA"/>
    <w:rsid w:val="002C2315"/>
    <w:rsid w:val="002C301D"/>
    <w:rsid w:val="002C4A38"/>
    <w:rsid w:val="002C6298"/>
    <w:rsid w:val="002C65B8"/>
    <w:rsid w:val="002C734D"/>
    <w:rsid w:val="002C744C"/>
    <w:rsid w:val="002D01BF"/>
    <w:rsid w:val="002D0FAA"/>
    <w:rsid w:val="002D3E81"/>
    <w:rsid w:val="002D4AC3"/>
    <w:rsid w:val="002D52A0"/>
    <w:rsid w:val="002D6691"/>
    <w:rsid w:val="002D68CC"/>
    <w:rsid w:val="002E062E"/>
    <w:rsid w:val="002E1D30"/>
    <w:rsid w:val="002E28C6"/>
    <w:rsid w:val="002E4DB3"/>
    <w:rsid w:val="002E79A6"/>
    <w:rsid w:val="002F10BF"/>
    <w:rsid w:val="002F110D"/>
    <w:rsid w:val="002F32BD"/>
    <w:rsid w:val="002F3F2D"/>
    <w:rsid w:val="002F4407"/>
    <w:rsid w:val="002F5A1A"/>
    <w:rsid w:val="002F6E67"/>
    <w:rsid w:val="002F70A1"/>
    <w:rsid w:val="002F71F1"/>
    <w:rsid w:val="002F7C03"/>
    <w:rsid w:val="0030111A"/>
    <w:rsid w:val="003020F3"/>
    <w:rsid w:val="003038AC"/>
    <w:rsid w:val="00303E69"/>
    <w:rsid w:val="00305726"/>
    <w:rsid w:val="00306E9B"/>
    <w:rsid w:val="003076FA"/>
    <w:rsid w:val="00310D70"/>
    <w:rsid w:val="0031214B"/>
    <w:rsid w:val="00312AEE"/>
    <w:rsid w:val="00313880"/>
    <w:rsid w:val="00313F3E"/>
    <w:rsid w:val="00315307"/>
    <w:rsid w:val="00315D17"/>
    <w:rsid w:val="003176BB"/>
    <w:rsid w:val="00317E1A"/>
    <w:rsid w:val="00322345"/>
    <w:rsid w:val="003237B0"/>
    <w:rsid w:val="0032503F"/>
    <w:rsid w:val="003258CB"/>
    <w:rsid w:val="003262CE"/>
    <w:rsid w:val="003264ED"/>
    <w:rsid w:val="003308B4"/>
    <w:rsid w:val="00333209"/>
    <w:rsid w:val="00334A4E"/>
    <w:rsid w:val="003352EF"/>
    <w:rsid w:val="0033744C"/>
    <w:rsid w:val="0034079A"/>
    <w:rsid w:val="003424A8"/>
    <w:rsid w:val="003425F7"/>
    <w:rsid w:val="0034269F"/>
    <w:rsid w:val="00343012"/>
    <w:rsid w:val="00343233"/>
    <w:rsid w:val="00343B25"/>
    <w:rsid w:val="003441E3"/>
    <w:rsid w:val="003445EA"/>
    <w:rsid w:val="00347274"/>
    <w:rsid w:val="00350DAD"/>
    <w:rsid w:val="00351EC0"/>
    <w:rsid w:val="00352990"/>
    <w:rsid w:val="00353113"/>
    <w:rsid w:val="00353518"/>
    <w:rsid w:val="003613F4"/>
    <w:rsid w:val="00361819"/>
    <w:rsid w:val="00362FE1"/>
    <w:rsid w:val="00363DCE"/>
    <w:rsid w:val="00364E9D"/>
    <w:rsid w:val="00365680"/>
    <w:rsid w:val="00366A1A"/>
    <w:rsid w:val="00367B6E"/>
    <w:rsid w:val="00370B2E"/>
    <w:rsid w:val="00372D68"/>
    <w:rsid w:val="0037447C"/>
    <w:rsid w:val="0037458C"/>
    <w:rsid w:val="00374E9A"/>
    <w:rsid w:val="003811C9"/>
    <w:rsid w:val="00381DB8"/>
    <w:rsid w:val="003826A0"/>
    <w:rsid w:val="00383462"/>
    <w:rsid w:val="00385683"/>
    <w:rsid w:val="00386DD1"/>
    <w:rsid w:val="00387CA4"/>
    <w:rsid w:val="003901F8"/>
    <w:rsid w:val="0039303B"/>
    <w:rsid w:val="00395750"/>
    <w:rsid w:val="0039581F"/>
    <w:rsid w:val="00396861"/>
    <w:rsid w:val="0039783E"/>
    <w:rsid w:val="003A0009"/>
    <w:rsid w:val="003A0ADF"/>
    <w:rsid w:val="003A0C7C"/>
    <w:rsid w:val="003A2E6A"/>
    <w:rsid w:val="003A4360"/>
    <w:rsid w:val="003A6BFC"/>
    <w:rsid w:val="003A76E4"/>
    <w:rsid w:val="003B09F2"/>
    <w:rsid w:val="003B1253"/>
    <w:rsid w:val="003B1282"/>
    <w:rsid w:val="003B1384"/>
    <w:rsid w:val="003B35B8"/>
    <w:rsid w:val="003B42BE"/>
    <w:rsid w:val="003B4A9D"/>
    <w:rsid w:val="003B4B13"/>
    <w:rsid w:val="003B4D2C"/>
    <w:rsid w:val="003B53A6"/>
    <w:rsid w:val="003B6DA2"/>
    <w:rsid w:val="003B7C95"/>
    <w:rsid w:val="003C0785"/>
    <w:rsid w:val="003C1764"/>
    <w:rsid w:val="003C3AD0"/>
    <w:rsid w:val="003C56BA"/>
    <w:rsid w:val="003C722C"/>
    <w:rsid w:val="003C7985"/>
    <w:rsid w:val="003C7CAC"/>
    <w:rsid w:val="003D0845"/>
    <w:rsid w:val="003D20ED"/>
    <w:rsid w:val="003D4ED7"/>
    <w:rsid w:val="003D6227"/>
    <w:rsid w:val="003D6531"/>
    <w:rsid w:val="003E017A"/>
    <w:rsid w:val="003E1FAF"/>
    <w:rsid w:val="003E20B9"/>
    <w:rsid w:val="003E3836"/>
    <w:rsid w:val="003E39B9"/>
    <w:rsid w:val="003E42BB"/>
    <w:rsid w:val="003E4AC8"/>
    <w:rsid w:val="003E4BB4"/>
    <w:rsid w:val="003E68FB"/>
    <w:rsid w:val="003E7F60"/>
    <w:rsid w:val="003F14AC"/>
    <w:rsid w:val="003F27A7"/>
    <w:rsid w:val="003F2D09"/>
    <w:rsid w:val="003F34BF"/>
    <w:rsid w:val="003F37EA"/>
    <w:rsid w:val="003F47F5"/>
    <w:rsid w:val="003F489A"/>
    <w:rsid w:val="003F59CC"/>
    <w:rsid w:val="003F5E57"/>
    <w:rsid w:val="003F5F9D"/>
    <w:rsid w:val="003F7652"/>
    <w:rsid w:val="003F7EDA"/>
    <w:rsid w:val="00401D87"/>
    <w:rsid w:val="00402BF8"/>
    <w:rsid w:val="00403755"/>
    <w:rsid w:val="00406227"/>
    <w:rsid w:val="00407D3B"/>
    <w:rsid w:val="00411A21"/>
    <w:rsid w:val="00415CC4"/>
    <w:rsid w:val="00415FD6"/>
    <w:rsid w:val="0041696F"/>
    <w:rsid w:val="00420D4C"/>
    <w:rsid w:val="004214DB"/>
    <w:rsid w:val="00423B79"/>
    <w:rsid w:val="004240D2"/>
    <w:rsid w:val="004247E1"/>
    <w:rsid w:val="00424ADF"/>
    <w:rsid w:val="00425805"/>
    <w:rsid w:val="004264D2"/>
    <w:rsid w:val="004303B8"/>
    <w:rsid w:val="004312B1"/>
    <w:rsid w:val="00431677"/>
    <w:rsid w:val="00433183"/>
    <w:rsid w:val="00433AED"/>
    <w:rsid w:val="00435F4A"/>
    <w:rsid w:val="004361D7"/>
    <w:rsid w:val="004368DF"/>
    <w:rsid w:val="00437C49"/>
    <w:rsid w:val="00441007"/>
    <w:rsid w:val="0044117C"/>
    <w:rsid w:val="004418F2"/>
    <w:rsid w:val="00443662"/>
    <w:rsid w:val="00444BCD"/>
    <w:rsid w:val="00444E78"/>
    <w:rsid w:val="004455A5"/>
    <w:rsid w:val="00445911"/>
    <w:rsid w:val="00445F4D"/>
    <w:rsid w:val="00446050"/>
    <w:rsid w:val="00446FC1"/>
    <w:rsid w:val="00447C26"/>
    <w:rsid w:val="00447F1A"/>
    <w:rsid w:val="004501B8"/>
    <w:rsid w:val="0045085A"/>
    <w:rsid w:val="00450886"/>
    <w:rsid w:val="00450CBA"/>
    <w:rsid w:val="0045110A"/>
    <w:rsid w:val="00455011"/>
    <w:rsid w:val="00455363"/>
    <w:rsid w:val="00455FE0"/>
    <w:rsid w:val="00456B8F"/>
    <w:rsid w:val="004574C4"/>
    <w:rsid w:val="00457A91"/>
    <w:rsid w:val="004604E9"/>
    <w:rsid w:val="00460A55"/>
    <w:rsid w:val="0046180A"/>
    <w:rsid w:val="00462BC6"/>
    <w:rsid w:val="00462D5F"/>
    <w:rsid w:val="00463FEB"/>
    <w:rsid w:val="00466738"/>
    <w:rsid w:val="00466F2F"/>
    <w:rsid w:val="00470C11"/>
    <w:rsid w:val="00471759"/>
    <w:rsid w:val="0047175C"/>
    <w:rsid w:val="004721E0"/>
    <w:rsid w:val="00472F9C"/>
    <w:rsid w:val="00473803"/>
    <w:rsid w:val="00476857"/>
    <w:rsid w:val="00476B4E"/>
    <w:rsid w:val="0047782F"/>
    <w:rsid w:val="00477DCD"/>
    <w:rsid w:val="004828C6"/>
    <w:rsid w:val="00484452"/>
    <w:rsid w:val="00484675"/>
    <w:rsid w:val="00484F33"/>
    <w:rsid w:val="004869CF"/>
    <w:rsid w:val="00487545"/>
    <w:rsid w:val="00490239"/>
    <w:rsid w:val="00490B1D"/>
    <w:rsid w:val="004910CF"/>
    <w:rsid w:val="004911B9"/>
    <w:rsid w:val="00491DC5"/>
    <w:rsid w:val="00492871"/>
    <w:rsid w:val="004929EC"/>
    <w:rsid w:val="004935F6"/>
    <w:rsid w:val="00493B10"/>
    <w:rsid w:val="00493F24"/>
    <w:rsid w:val="0049401F"/>
    <w:rsid w:val="00494524"/>
    <w:rsid w:val="00494919"/>
    <w:rsid w:val="004949A2"/>
    <w:rsid w:val="00495017"/>
    <w:rsid w:val="0049615F"/>
    <w:rsid w:val="004971EF"/>
    <w:rsid w:val="004A2043"/>
    <w:rsid w:val="004A6D51"/>
    <w:rsid w:val="004B03BE"/>
    <w:rsid w:val="004B1950"/>
    <w:rsid w:val="004B2839"/>
    <w:rsid w:val="004B300A"/>
    <w:rsid w:val="004B3724"/>
    <w:rsid w:val="004B3C51"/>
    <w:rsid w:val="004B3CF4"/>
    <w:rsid w:val="004B4B2B"/>
    <w:rsid w:val="004B4E7B"/>
    <w:rsid w:val="004B5C82"/>
    <w:rsid w:val="004B7418"/>
    <w:rsid w:val="004B7689"/>
    <w:rsid w:val="004B780C"/>
    <w:rsid w:val="004C0FBA"/>
    <w:rsid w:val="004C1080"/>
    <w:rsid w:val="004C118D"/>
    <w:rsid w:val="004C2B29"/>
    <w:rsid w:val="004C3F7B"/>
    <w:rsid w:val="004C78C4"/>
    <w:rsid w:val="004D13A4"/>
    <w:rsid w:val="004D2B88"/>
    <w:rsid w:val="004D2EB8"/>
    <w:rsid w:val="004D3A3F"/>
    <w:rsid w:val="004D512D"/>
    <w:rsid w:val="004D53D6"/>
    <w:rsid w:val="004D58A1"/>
    <w:rsid w:val="004D58E0"/>
    <w:rsid w:val="004D5F74"/>
    <w:rsid w:val="004D6ED4"/>
    <w:rsid w:val="004E1004"/>
    <w:rsid w:val="004E10E0"/>
    <w:rsid w:val="004E198A"/>
    <w:rsid w:val="004E2A32"/>
    <w:rsid w:val="004E2D70"/>
    <w:rsid w:val="004E3F7E"/>
    <w:rsid w:val="004E60F1"/>
    <w:rsid w:val="004E67E6"/>
    <w:rsid w:val="004E759F"/>
    <w:rsid w:val="004F19CD"/>
    <w:rsid w:val="004F1F6E"/>
    <w:rsid w:val="004F245D"/>
    <w:rsid w:val="004F5E93"/>
    <w:rsid w:val="004F603D"/>
    <w:rsid w:val="004F6545"/>
    <w:rsid w:val="004F6BBD"/>
    <w:rsid w:val="004F6D32"/>
    <w:rsid w:val="004F6FC8"/>
    <w:rsid w:val="0050046F"/>
    <w:rsid w:val="00500EEF"/>
    <w:rsid w:val="005015CE"/>
    <w:rsid w:val="00501BD9"/>
    <w:rsid w:val="005041A7"/>
    <w:rsid w:val="00504E3C"/>
    <w:rsid w:val="00506456"/>
    <w:rsid w:val="00506825"/>
    <w:rsid w:val="00506D22"/>
    <w:rsid w:val="00506FA2"/>
    <w:rsid w:val="00507196"/>
    <w:rsid w:val="005102FB"/>
    <w:rsid w:val="005103B1"/>
    <w:rsid w:val="00515680"/>
    <w:rsid w:val="00516410"/>
    <w:rsid w:val="005173F5"/>
    <w:rsid w:val="00517D7F"/>
    <w:rsid w:val="00517E7D"/>
    <w:rsid w:val="0052046B"/>
    <w:rsid w:val="00520779"/>
    <w:rsid w:val="00523AAC"/>
    <w:rsid w:val="00523CF5"/>
    <w:rsid w:val="005246FD"/>
    <w:rsid w:val="00525A4C"/>
    <w:rsid w:val="00525C51"/>
    <w:rsid w:val="00530417"/>
    <w:rsid w:val="00530871"/>
    <w:rsid w:val="00530B0F"/>
    <w:rsid w:val="005321B7"/>
    <w:rsid w:val="005328C3"/>
    <w:rsid w:val="0053379A"/>
    <w:rsid w:val="005337D5"/>
    <w:rsid w:val="005340E0"/>
    <w:rsid w:val="0053679A"/>
    <w:rsid w:val="0054067C"/>
    <w:rsid w:val="005414ED"/>
    <w:rsid w:val="00541C62"/>
    <w:rsid w:val="00543754"/>
    <w:rsid w:val="005437B7"/>
    <w:rsid w:val="00543E03"/>
    <w:rsid w:val="00545D1A"/>
    <w:rsid w:val="00545F4F"/>
    <w:rsid w:val="00545F60"/>
    <w:rsid w:val="00547754"/>
    <w:rsid w:val="0054782B"/>
    <w:rsid w:val="0055051C"/>
    <w:rsid w:val="00550BD7"/>
    <w:rsid w:val="005520E3"/>
    <w:rsid w:val="005536BC"/>
    <w:rsid w:val="00554B2A"/>
    <w:rsid w:val="00554B2F"/>
    <w:rsid w:val="00557118"/>
    <w:rsid w:val="005612C1"/>
    <w:rsid w:val="005614F2"/>
    <w:rsid w:val="00561CB5"/>
    <w:rsid w:val="005633C4"/>
    <w:rsid w:val="0056357E"/>
    <w:rsid w:val="00563B07"/>
    <w:rsid w:val="00564874"/>
    <w:rsid w:val="00566834"/>
    <w:rsid w:val="005668F0"/>
    <w:rsid w:val="005677E2"/>
    <w:rsid w:val="0057019F"/>
    <w:rsid w:val="005704E5"/>
    <w:rsid w:val="00570549"/>
    <w:rsid w:val="005712DF"/>
    <w:rsid w:val="00571BA5"/>
    <w:rsid w:val="00573B85"/>
    <w:rsid w:val="00574342"/>
    <w:rsid w:val="005754DE"/>
    <w:rsid w:val="00576798"/>
    <w:rsid w:val="00577C67"/>
    <w:rsid w:val="00580450"/>
    <w:rsid w:val="00580CDE"/>
    <w:rsid w:val="00582DC6"/>
    <w:rsid w:val="00582DCA"/>
    <w:rsid w:val="0058321E"/>
    <w:rsid w:val="00585F5E"/>
    <w:rsid w:val="00586637"/>
    <w:rsid w:val="00586DC7"/>
    <w:rsid w:val="00590BD9"/>
    <w:rsid w:val="00590D92"/>
    <w:rsid w:val="00593561"/>
    <w:rsid w:val="005940A1"/>
    <w:rsid w:val="005961EB"/>
    <w:rsid w:val="00596392"/>
    <w:rsid w:val="00597DFE"/>
    <w:rsid w:val="00597EC6"/>
    <w:rsid w:val="00597FAF"/>
    <w:rsid w:val="005A13E7"/>
    <w:rsid w:val="005A196E"/>
    <w:rsid w:val="005A3D06"/>
    <w:rsid w:val="005A3DA9"/>
    <w:rsid w:val="005A6CC1"/>
    <w:rsid w:val="005A6CCD"/>
    <w:rsid w:val="005A7107"/>
    <w:rsid w:val="005B174D"/>
    <w:rsid w:val="005B27FC"/>
    <w:rsid w:val="005B29AF"/>
    <w:rsid w:val="005B39D2"/>
    <w:rsid w:val="005B3B36"/>
    <w:rsid w:val="005B545C"/>
    <w:rsid w:val="005B55F8"/>
    <w:rsid w:val="005B5924"/>
    <w:rsid w:val="005B6561"/>
    <w:rsid w:val="005B7EA4"/>
    <w:rsid w:val="005C0453"/>
    <w:rsid w:val="005C10C5"/>
    <w:rsid w:val="005C21D1"/>
    <w:rsid w:val="005C24B6"/>
    <w:rsid w:val="005C29FA"/>
    <w:rsid w:val="005C3AD5"/>
    <w:rsid w:val="005C6EDB"/>
    <w:rsid w:val="005D0763"/>
    <w:rsid w:val="005D0FD8"/>
    <w:rsid w:val="005D2127"/>
    <w:rsid w:val="005D3791"/>
    <w:rsid w:val="005D3DE0"/>
    <w:rsid w:val="005D4C84"/>
    <w:rsid w:val="005D57F3"/>
    <w:rsid w:val="005D67EA"/>
    <w:rsid w:val="005E0B96"/>
    <w:rsid w:val="005E4156"/>
    <w:rsid w:val="005E61BD"/>
    <w:rsid w:val="005E7559"/>
    <w:rsid w:val="005F2C40"/>
    <w:rsid w:val="005F4DCE"/>
    <w:rsid w:val="005F5EE1"/>
    <w:rsid w:val="005F631E"/>
    <w:rsid w:val="006017CA"/>
    <w:rsid w:val="0060184B"/>
    <w:rsid w:val="00601A52"/>
    <w:rsid w:val="00602E73"/>
    <w:rsid w:val="00603627"/>
    <w:rsid w:val="006036A6"/>
    <w:rsid w:val="00603E2B"/>
    <w:rsid w:val="00603FA8"/>
    <w:rsid w:val="006050DD"/>
    <w:rsid w:val="006057D8"/>
    <w:rsid w:val="006062EF"/>
    <w:rsid w:val="00607307"/>
    <w:rsid w:val="0061025C"/>
    <w:rsid w:val="00612D19"/>
    <w:rsid w:val="0061317B"/>
    <w:rsid w:val="00613972"/>
    <w:rsid w:val="006141B0"/>
    <w:rsid w:val="00615886"/>
    <w:rsid w:val="006159F2"/>
    <w:rsid w:val="00615E70"/>
    <w:rsid w:val="006170F2"/>
    <w:rsid w:val="00617398"/>
    <w:rsid w:val="0061761D"/>
    <w:rsid w:val="006207E9"/>
    <w:rsid w:val="00621E70"/>
    <w:rsid w:val="00623614"/>
    <w:rsid w:val="00626B7E"/>
    <w:rsid w:val="006307C5"/>
    <w:rsid w:val="00632BA7"/>
    <w:rsid w:val="00632C89"/>
    <w:rsid w:val="00632E8C"/>
    <w:rsid w:val="00634F11"/>
    <w:rsid w:val="006359D1"/>
    <w:rsid w:val="006359F5"/>
    <w:rsid w:val="00635A18"/>
    <w:rsid w:val="006362C2"/>
    <w:rsid w:val="006377D3"/>
    <w:rsid w:val="00637BB7"/>
    <w:rsid w:val="00642ADD"/>
    <w:rsid w:val="0064402C"/>
    <w:rsid w:val="006445A2"/>
    <w:rsid w:val="00645C45"/>
    <w:rsid w:val="00646179"/>
    <w:rsid w:val="006464FD"/>
    <w:rsid w:val="0064671E"/>
    <w:rsid w:val="0064763A"/>
    <w:rsid w:val="006507A1"/>
    <w:rsid w:val="006544DB"/>
    <w:rsid w:val="00656647"/>
    <w:rsid w:val="0065713B"/>
    <w:rsid w:val="0065713C"/>
    <w:rsid w:val="00657686"/>
    <w:rsid w:val="0065773E"/>
    <w:rsid w:val="00660B1F"/>
    <w:rsid w:val="006620D0"/>
    <w:rsid w:val="00662194"/>
    <w:rsid w:val="00663B17"/>
    <w:rsid w:val="00666A40"/>
    <w:rsid w:val="006678E1"/>
    <w:rsid w:val="00671103"/>
    <w:rsid w:val="00671424"/>
    <w:rsid w:val="00671A52"/>
    <w:rsid w:val="00675451"/>
    <w:rsid w:val="006755C1"/>
    <w:rsid w:val="006772A7"/>
    <w:rsid w:val="006772CA"/>
    <w:rsid w:val="00677EE9"/>
    <w:rsid w:val="006822DA"/>
    <w:rsid w:val="00682473"/>
    <w:rsid w:val="006829A8"/>
    <w:rsid w:val="00682FBC"/>
    <w:rsid w:val="00683A57"/>
    <w:rsid w:val="0068449E"/>
    <w:rsid w:val="00684A4C"/>
    <w:rsid w:val="006862F5"/>
    <w:rsid w:val="006873EA"/>
    <w:rsid w:val="00687BD8"/>
    <w:rsid w:val="00692162"/>
    <w:rsid w:val="00692F0C"/>
    <w:rsid w:val="00693024"/>
    <w:rsid w:val="00694ABE"/>
    <w:rsid w:val="00694E49"/>
    <w:rsid w:val="00696A85"/>
    <w:rsid w:val="006A0E74"/>
    <w:rsid w:val="006A0FE1"/>
    <w:rsid w:val="006A218F"/>
    <w:rsid w:val="006A3F76"/>
    <w:rsid w:val="006A4054"/>
    <w:rsid w:val="006A40A1"/>
    <w:rsid w:val="006A5C00"/>
    <w:rsid w:val="006A6165"/>
    <w:rsid w:val="006A61CA"/>
    <w:rsid w:val="006A6392"/>
    <w:rsid w:val="006A7E28"/>
    <w:rsid w:val="006B2116"/>
    <w:rsid w:val="006B2982"/>
    <w:rsid w:val="006B351D"/>
    <w:rsid w:val="006B4903"/>
    <w:rsid w:val="006C0A18"/>
    <w:rsid w:val="006C0A4C"/>
    <w:rsid w:val="006C1B43"/>
    <w:rsid w:val="006C1D7C"/>
    <w:rsid w:val="006C6FA2"/>
    <w:rsid w:val="006C7000"/>
    <w:rsid w:val="006C7763"/>
    <w:rsid w:val="006C781B"/>
    <w:rsid w:val="006D012B"/>
    <w:rsid w:val="006D12A7"/>
    <w:rsid w:val="006D2BD5"/>
    <w:rsid w:val="006D3ECE"/>
    <w:rsid w:val="006D4E45"/>
    <w:rsid w:val="006D5350"/>
    <w:rsid w:val="006E0317"/>
    <w:rsid w:val="006E0511"/>
    <w:rsid w:val="006E12C1"/>
    <w:rsid w:val="006E4E0D"/>
    <w:rsid w:val="006E5580"/>
    <w:rsid w:val="006E7DC2"/>
    <w:rsid w:val="006F0263"/>
    <w:rsid w:val="006F0D73"/>
    <w:rsid w:val="006F131B"/>
    <w:rsid w:val="006F1342"/>
    <w:rsid w:val="006F2539"/>
    <w:rsid w:val="006F344A"/>
    <w:rsid w:val="006F3D80"/>
    <w:rsid w:val="006F3EF5"/>
    <w:rsid w:val="006F49F0"/>
    <w:rsid w:val="00702E8D"/>
    <w:rsid w:val="0070360B"/>
    <w:rsid w:val="00704726"/>
    <w:rsid w:val="007053E7"/>
    <w:rsid w:val="00705884"/>
    <w:rsid w:val="00705BD1"/>
    <w:rsid w:val="007063F2"/>
    <w:rsid w:val="00706E77"/>
    <w:rsid w:val="00706F80"/>
    <w:rsid w:val="00707B2E"/>
    <w:rsid w:val="00710B00"/>
    <w:rsid w:val="00711471"/>
    <w:rsid w:val="00713B98"/>
    <w:rsid w:val="00716DEA"/>
    <w:rsid w:val="0072105B"/>
    <w:rsid w:val="00723508"/>
    <w:rsid w:val="00726082"/>
    <w:rsid w:val="007276CD"/>
    <w:rsid w:val="0073286C"/>
    <w:rsid w:val="007328CC"/>
    <w:rsid w:val="007330DF"/>
    <w:rsid w:val="00735070"/>
    <w:rsid w:val="00735309"/>
    <w:rsid w:val="00735AD3"/>
    <w:rsid w:val="007404F6"/>
    <w:rsid w:val="007410FD"/>
    <w:rsid w:val="00742222"/>
    <w:rsid w:val="00743650"/>
    <w:rsid w:val="00743EA9"/>
    <w:rsid w:val="00744DAB"/>
    <w:rsid w:val="0074529C"/>
    <w:rsid w:val="00747ECC"/>
    <w:rsid w:val="00750BF8"/>
    <w:rsid w:val="00750E2F"/>
    <w:rsid w:val="007515BC"/>
    <w:rsid w:val="00751B0C"/>
    <w:rsid w:val="00753328"/>
    <w:rsid w:val="00753433"/>
    <w:rsid w:val="00754E11"/>
    <w:rsid w:val="00756097"/>
    <w:rsid w:val="00760447"/>
    <w:rsid w:val="007609B5"/>
    <w:rsid w:val="007609C5"/>
    <w:rsid w:val="0076244B"/>
    <w:rsid w:val="00764F3A"/>
    <w:rsid w:val="00765CC1"/>
    <w:rsid w:val="007669BA"/>
    <w:rsid w:val="0076793E"/>
    <w:rsid w:val="00770A86"/>
    <w:rsid w:val="007712EA"/>
    <w:rsid w:val="00772876"/>
    <w:rsid w:val="00773ACD"/>
    <w:rsid w:val="007768C5"/>
    <w:rsid w:val="007773BD"/>
    <w:rsid w:val="00777B72"/>
    <w:rsid w:val="00777EEE"/>
    <w:rsid w:val="007800AC"/>
    <w:rsid w:val="007811C0"/>
    <w:rsid w:val="007819CF"/>
    <w:rsid w:val="00783657"/>
    <w:rsid w:val="00784745"/>
    <w:rsid w:val="0078537E"/>
    <w:rsid w:val="00786840"/>
    <w:rsid w:val="007905BF"/>
    <w:rsid w:val="00791304"/>
    <w:rsid w:val="00791677"/>
    <w:rsid w:val="00791E8E"/>
    <w:rsid w:val="007931A9"/>
    <w:rsid w:val="00794E52"/>
    <w:rsid w:val="00794E6C"/>
    <w:rsid w:val="007952A7"/>
    <w:rsid w:val="00796982"/>
    <w:rsid w:val="007A02C7"/>
    <w:rsid w:val="007A1334"/>
    <w:rsid w:val="007A2C70"/>
    <w:rsid w:val="007A375D"/>
    <w:rsid w:val="007A4CBF"/>
    <w:rsid w:val="007A5456"/>
    <w:rsid w:val="007A5826"/>
    <w:rsid w:val="007A6228"/>
    <w:rsid w:val="007A657A"/>
    <w:rsid w:val="007A7E4C"/>
    <w:rsid w:val="007B249F"/>
    <w:rsid w:val="007B3099"/>
    <w:rsid w:val="007B4330"/>
    <w:rsid w:val="007B435A"/>
    <w:rsid w:val="007B5D7E"/>
    <w:rsid w:val="007B69E0"/>
    <w:rsid w:val="007C127D"/>
    <w:rsid w:val="007C17B1"/>
    <w:rsid w:val="007C43BB"/>
    <w:rsid w:val="007C6849"/>
    <w:rsid w:val="007C6ED9"/>
    <w:rsid w:val="007D0A18"/>
    <w:rsid w:val="007D1D13"/>
    <w:rsid w:val="007D36F2"/>
    <w:rsid w:val="007D3B6C"/>
    <w:rsid w:val="007D3F11"/>
    <w:rsid w:val="007D57DC"/>
    <w:rsid w:val="007D5983"/>
    <w:rsid w:val="007E00A1"/>
    <w:rsid w:val="007E2BB1"/>
    <w:rsid w:val="007E2F2D"/>
    <w:rsid w:val="007E3A3A"/>
    <w:rsid w:val="007E4CDC"/>
    <w:rsid w:val="007E6D47"/>
    <w:rsid w:val="007E71C7"/>
    <w:rsid w:val="007F0096"/>
    <w:rsid w:val="007F2BB3"/>
    <w:rsid w:val="007F35FA"/>
    <w:rsid w:val="007F3724"/>
    <w:rsid w:val="007F4330"/>
    <w:rsid w:val="007F45A7"/>
    <w:rsid w:val="007F4C1B"/>
    <w:rsid w:val="007F527C"/>
    <w:rsid w:val="007F62A9"/>
    <w:rsid w:val="008007C3"/>
    <w:rsid w:val="008022F1"/>
    <w:rsid w:val="0080288A"/>
    <w:rsid w:val="00802E2A"/>
    <w:rsid w:val="00803569"/>
    <w:rsid w:val="00803FDF"/>
    <w:rsid w:val="008049CE"/>
    <w:rsid w:val="00807058"/>
    <w:rsid w:val="0080739F"/>
    <w:rsid w:val="0080758E"/>
    <w:rsid w:val="0081025E"/>
    <w:rsid w:val="008124E6"/>
    <w:rsid w:val="00812B72"/>
    <w:rsid w:val="00813360"/>
    <w:rsid w:val="00813620"/>
    <w:rsid w:val="00813AA7"/>
    <w:rsid w:val="00813C8F"/>
    <w:rsid w:val="00816F3A"/>
    <w:rsid w:val="008171ED"/>
    <w:rsid w:val="008175AE"/>
    <w:rsid w:val="00820A32"/>
    <w:rsid w:val="00820A94"/>
    <w:rsid w:val="00822E3D"/>
    <w:rsid w:val="008230AC"/>
    <w:rsid w:val="00823B52"/>
    <w:rsid w:val="00823B90"/>
    <w:rsid w:val="008318DD"/>
    <w:rsid w:val="00831ACA"/>
    <w:rsid w:val="00831AD5"/>
    <w:rsid w:val="00831BAA"/>
    <w:rsid w:val="00831E32"/>
    <w:rsid w:val="00834C7B"/>
    <w:rsid w:val="00836367"/>
    <w:rsid w:val="008375CF"/>
    <w:rsid w:val="008435C7"/>
    <w:rsid w:val="00843D20"/>
    <w:rsid w:val="00844454"/>
    <w:rsid w:val="00846D53"/>
    <w:rsid w:val="00847192"/>
    <w:rsid w:val="0084731D"/>
    <w:rsid w:val="00850142"/>
    <w:rsid w:val="008511D0"/>
    <w:rsid w:val="00855476"/>
    <w:rsid w:val="00857420"/>
    <w:rsid w:val="0085773A"/>
    <w:rsid w:val="008603F1"/>
    <w:rsid w:val="00860CCE"/>
    <w:rsid w:val="00861613"/>
    <w:rsid w:val="00862540"/>
    <w:rsid w:val="00862551"/>
    <w:rsid w:val="0086294E"/>
    <w:rsid w:val="00863459"/>
    <w:rsid w:val="008637E1"/>
    <w:rsid w:val="00864CE2"/>
    <w:rsid w:val="00866A91"/>
    <w:rsid w:val="00867E68"/>
    <w:rsid w:val="00871BAB"/>
    <w:rsid w:val="0087340F"/>
    <w:rsid w:val="00873D37"/>
    <w:rsid w:val="00876879"/>
    <w:rsid w:val="00880572"/>
    <w:rsid w:val="0088302D"/>
    <w:rsid w:val="008830FE"/>
    <w:rsid w:val="008831E9"/>
    <w:rsid w:val="008841C7"/>
    <w:rsid w:val="00885271"/>
    <w:rsid w:val="0088541D"/>
    <w:rsid w:val="00885C28"/>
    <w:rsid w:val="00885F6B"/>
    <w:rsid w:val="00887803"/>
    <w:rsid w:val="00890C61"/>
    <w:rsid w:val="00890DF6"/>
    <w:rsid w:val="00891481"/>
    <w:rsid w:val="008928D4"/>
    <w:rsid w:val="00893A34"/>
    <w:rsid w:val="00893F1F"/>
    <w:rsid w:val="0089683C"/>
    <w:rsid w:val="00897964"/>
    <w:rsid w:val="008A2903"/>
    <w:rsid w:val="008A2ECB"/>
    <w:rsid w:val="008A3548"/>
    <w:rsid w:val="008A39CB"/>
    <w:rsid w:val="008A3E8D"/>
    <w:rsid w:val="008A41D1"/>
    <w:rsid w:val="008A6B32"/>
    <w:rsid w:val="008A7DEB"/>
    <w:rsid w:val="008B1F3C"/>
    <w:rsid w:val="008B39F2"/>
    <w:rsid w:val="008B7CC7"/>
    <w:rsid w:val="008C0BAD"/>
    <w:rsid w:val="008C1654"/>
    <w:rsid w:val="008C2916"/>
    <w:rsid w:val="008C2E66"/>
    <w:rsid w:val="008C3CF3"/>
    <w:rsid w:val="008C4059"/>
    <w:rsid w:val="008C40D5"/>
    <w:rsid w:val="008C4240"/>
    <w:rsid w:val="008C5061"/>
    <w:rsid w:val="008D0FD7"/>
    <w:rsid w:val="008D321E"/>
    <w:rsid w:val="008D4069"/>
    <w:rsid w:val="008D4C74"/>
    <w:rsid w:val="008D578D"/>
    <w:rsid w:val="008D5CD9"/>
    <w:rsid w:val="008D607D"/>
    <w:rsid w:val="008E0799"/>
    <w:rsid w:val="008E144C"/>
    <w:rsid w:val="008E1524"/>
    <w:rsid w:val="008E1751"/>
    <w:rsid w:val="008E1C2F"/>
    <w:rsid w:val="008E35D5"/>
    <w:rsid w:val="008E47B3"/>
    <w:rsid w:val="008E499D"/>
    <w:rsid w:val="008F002C"/>
    <w:rsid w:val="008F078B"/>
    <w:rsid w:val="008F1742"/>
    <w:rsid w:val="008F45DD"/>
    <w:rsid w:val="008F524F"/>
    <w:rsid w:val="008F546B"/>
    <w:rsid w:val="008F661B"/>
    <w:rsid w:val="008F6969"/>
    <w:rsid w:val="008F7424"/>
    <w:rsid w:val="008F7E33"/>
    <w:rsid w:val="009011FA"/>
    <w:rsid w:val="00903A46"/>
    <w:rsid w:val="009062B0"/>
    <w:rsid w:val="00907276"/>
    <w:rsid w:val="00907CEA"/>
    <w:rsid w:val="00907EF1"/>
    <w:rsid w:val="009112D6"/>
    <w:rsid w:val="00911779"/>
    <w:rsid w:val="009118C7"/>
    <w:rsid w:val="00912583"/>
    <w:rsid w:val="00914B76"/>
    <w:rsid w:val="00914DBD"/>
    <w:rsid w:val="0091537A"/>
    <w:rsid w:val="0091613C"/>
    <w:rsid w:val="00917703"/>
    <w:rsid w:val="00921613"/>
    <w:rsid w:val="00921AD9"/>
    <w:rsid w:val="00922DFB"/>
    <w:rsid w:val="00924DAD"/>
    <w:rsid w:val="00924EF9"/>
    <w:rsid w:val="00925714"/>
    <w:rsid w:val="00926860"/>
    <w:rsid w:val="00926B17"/>
    <w:rsid w:val="009303EC"/>
    <w:rsid w:val="00931139"/>
    <w:rsid w:val="00931186"/>
    <w:rsid w:val="00931C60"/>
    <w:rsid w:val="00932080"/>
    <w:rsid w:val="00932330"/>
    <w:rsid w:val="009366A0"/>
    <w:rsid w:val="0094013D"/>
    <w:rsid w:val="009407EE"/>
    <w:rsid w:val="00942E09"/>
    <w:rsid w:val="00943B26"/>
    <w:rsid w:val="00950357"/>
    <w:rsid w:val="00950D43"/>
    <w:rsid w:val="00951D9B"/>
    <w:rsid w:val="0095200D"/>
    <w:rsid w:val="00952CC0"/>
    <w:rsid w:val="00953FB7"/>
    <w:rsid w:val="009542D3"/>
    <w:rsid w:val="00956DA6"/>
    <w:rsid w:val="009575E3"/>
    <w:rsid w:val="00957F52"/>
    <w:rsid w:val="00960387"/>
    <w:rsid w:val="00961C3D"/>
    <w:rsid w:val="00961C87"/>
    <w:rsid w:val="00961DC0"/>
    <w:rsid w:val="009620B7"/>
    <w:rsid w:val="00962484"/>
    <w:rsid w:val="0096278C"/>
    <w:rsid w:val="009643C4"/>
    <w:rsid w:val="00966EAB"/>
    <w:rsid w:val="00967BAA"/>
    <w:rsid w:val="00970DF3"/>
    <w:rsid w:val="00972B5F"/>
    <w:rsid w:val="00972F89"/>
    <w:rsid w:val="00975870"/>
    <w:rsid w:val="00975CDC"/>
    <w:rsid w:val="009768F2"/>
    <w:rsid w:val="00981A56"/>
    <w:rsid w:val="00982032"/>
    <w:rsid w:val="009827FD"/>
    <w:rsid w:val="00983242"/>
    <w:rsid w:val="00984467"/>
    <w:rsid w:val="009844E6"/>
    <w:rsid w:val="0098563C"/>
    <w:rsid w:val="0098603E"/>
    <w:rsid w:val="00986F53"/>
    <w:rsid w:val="00987066"/>
    <w:rsid w:val="009878EA"/>
    <w:rsid w:val="0099053A"/>
    <w:rsid w:val="009918E8"/>
    <w:rsid w:val="00991ACC"/>
    <w:rsid w:val="00992345"/>
    <w:rsid w:val="0099604A"/>
    <w:rsid w:val="009962FE"/>
    <w:rsid w:val="00997E46"/>
    <w:rsid w:val="009A0E5A"/>
    <w:rsid w:val="009A1276"/>
    <w:rsid w:val="009A131E"/>
    <w:rsid w:val="009A133E"/>
    <w:rsid w:val="009A2C24"/>
    <w:rsid w:val="009A6068"/>
    <w:rsid w:val="009B0615"/>
    <w:rsid w:val="009B1209"/>
    <w:rsid w:val="009B3F9B"/>
    <w:rsid w:val="009B432B"/>
    <w:rsid w:val="009B4464"/>
    <w:rsid w:val="009B5ED9"/>
    <w:rsid w:val="009B687E"/>
    <w:rsid w:val="009B78C5"/>
    <w:rsid w:val="009C4DC5"/>
    <w:rsid w:val="009C5262"/>
    <w:rsid w:val="009C6B0A"/>
    <w:rsid w:val="009C7BCF"/>
    <w:rsid w:val="009D1F5B"/>
    <w:rsid w:val="009D3686"/>
    <w:rsid w:val="009D474F"/>
    <w:rsid w:val="009D5865"/>
    <w:rsid w:val="009D5E4C"/>
    <w:rsid w:val="009D6D25"/>
    <w:rsid w:val="009E03FB"/>
    <w:rsid w:val="009E17B9"/>
    <w:rsid w:val="009E31E7"/>
    <w:rsid w:val="009E56D2"/>
    <w:rsid w:val="009E5FBF"/>
    <w:rsid w:val="009E6512"/>
    <w:rsid w:val="009E6D53"/>
    <w:rsid w:val="009F09E6"/>
    <w:rsid w:val="009F10C4"/>
    <w:rsid w:val="009F39B2"/>
    <w:rsid w:val="009F630C"/>
    <w:rsid w:val="009F7F75"/>
    <w:rsid w:val="00A0238F"/>
    <w:rsid w:val="00A02E9C"/>
    <w:rsid w:val="00A03074"/>
    <w:rsid w:val="00A0358C"/>
    <w:rsid w:val="00A03704"/>
    <w:rsid w:val="00A05990"/>
    <w:rsid w:val="00A05AD3"/>
    <w:rsid w:val="00A067D6"/>
    <w:rsid w:val="00A06AC7"/>
    <w:rsid w:val="00A11347"/>
    <w:rsid w:val="00A12961"/>
    <w:rsid w:val="00A136AC"/>
    <w:rsid w:val="00A13885"/>
    <w:rsid w:val="00A144CF"/>
    <w:rsid w:val="00A169B4"/>
    <w:rsid w:val="00A16CD8"/>
    <w:rsid w:val="00A178DF"/>
    <w:rsid w:val="00A20C92"/>
    <w:rsid w:val="00A21B95"/>
    <w:rsid w:val="00A227F2"/>
    <w:rsid w:val="00A23954"/>
    <w:rsid w:val="00A23E19"/>
    <w:rsid w:val="00A240B1"/>
    <w:rsid w:val="00A241BD"/>
    <w:rsid w:val="00A260D3"/>
    <w:rsid w:val="00A262E8"/>
    <w:rsid w:val="00A2777E"/>
    <w:rsid w:val="00A3103A"/>
    <w:rsid w:val="00A31268"/>
    <w:rsid w:val="00A31E8F"/>
    <w:rsid w:val="00A32829"/>
    <w:rsid w:val="00A32DCB"/>
    <w:rsid w:val="00A34806"/>
    <w:rsid w:val="00A356E9"/>
    <w:rsid w:val="00A3580A"/>
    <w:rsid w:val="00A41E37"/>
    <w:rsid w:val="00A420D2"/>
    <w:rsid w:val="00A44EB9"/>
    <w:rsid w:val="00A458F0"/>
    <w:rsid w:val="00A468DF"/>
    <w:rsid w:val="00A46A67"/>
    <w:rsid w:val="00A474F8"/>
    <w:rsid w:val="00A51CC9"/>
    <w:rsid w:val="00A51EF6"/>
    <w:rsid w:val="00A52763"/>
    <w:rsid w:val="00A52964"/>
    <w:rsid w:val="00A538CD"/>
    <w:rsid w:val="00A62D65"/>
    <w:rsid w:val="00A65938"/>
    <w:rsid w:val="00A65EA6"/>
    <w:rsid w:val="00A67FE8"/>
    <w:rsid w:val="00A71FB4"/>
    <w:rsid w:val="00A72D91"/>
    <w:rsid w:val="00A73D4B"/>
    <w:rsid w:val="00A761FA"/>
    <w:rsid w:val="00A771C0"/>
    <w:rsid w:val="00A80CA4"/>
    <w:rsid w:val="00A81192"/>
    <w:rsid w:val="00A81297"/>
    <w:rsid w:val="00A81A1B"/>
    <w:rsid w:val="00A82A72"/>
    <w:rsid w:val="00A830BC"/>
    <w:rsid w:val="00A8461B"/>
    <w:rsid w:val="00A85A08"/>
    <w:rsid w:val="00A86724"/>
    <w:rsid w:val="00A8672D"/>
    <w:rsid w:val="00A90B93"/>
    <w:rsid w:val="00A92E1D"/>
    <w:rsid w:val="00A94F1D"/>
    <w:rsid w:val="00A95810"/>
    <w:rsid w:val="00A95DA6"/>
    <w:rsid w:val="00A97DC2"/>
    <w:rsid w:val="00AA0305"/>
    <w:rsid w:val="00AA1DBA"/>
    <w:rsid w:val="00AA1E55"/>
    <w:rsid w:val="00AA2A15"/>
    <w:rsid w:val="00AA2A96"/>
    <w:rsid w:val="00AA42A7"/>
    <w:rsid w:val="00AA714E"/>
    <w:rsid w:val="00AA7340"/>
    <w:rsid w:val="00AB1C8B"/>
    <w:rsid w:val="00AB4B80"/>
    <w:rsid w:val="00AB4EC4"/>
    <w:rsid w:val="00AB7678"/>
    <w:rsid w:val="00AC014E"/>
    <w:rsid w:val="00AC238D"/>
    <w:rsid w:val="00AC4B7F"/>
    <w:rsid w:val="00AC7238"/>
    <w:rsid w:val="00AC7BEB"/>
    <w:rsid w:val="00AC7C05"/>
    <w:rsid w:val="00AD162D"/>
    <w:rsid w:val="00AD16E4"/>
    <w:rsid w:val="00AD2189"/>
    <w:rsid w:val="00AD2C02"/>
    <w:rsid w:val="00AD31A9"/>
    <w:rsid w:val="00AD43B5"/>
    <w:rsid w:val="00AD5287"/>
    <w:rsid w:val="00AD6CF5"/>
    <w:rsid w:val="00AD7847"/>
    <w:rsid w:val="00AE097A"/>
    <w:rsid w:val="00AE1B5A"/>
    <w:rsid w:val="00AE1D51"/>
    <w:rsid w:val="00AE2151"/>
    <w:rsid w:val="00AE249D"/>
    <w:rsid w:val="00AE31B0"/>
    <w:rsid w:val="00AE3EC0"/>
    <w:rsid w:val="00AE64BC"/>
    <w:rsid w:val="00AE6F4B"/>
    <w:rsid w:val="00AE6FC4"/>
    <w:rsid w:val="00AF01E6"/>
    <w:rsid w:val="00AF0479"/>
    <w:rsid w:val="00AF2115"/>
    <w:rsid w:val="00AF26A2"/>
    <w:rsid w:val="00AF3DFB"/>
    <w:rsid w:val="00AF411C"/>
    <w:rsid w:val="00AF4647"/>
    <w:rsid w:val="00AF4B64"/>
    <w:rsid w:val="00AF6999"/>
    <w:rsid w:val="00AF7EC6"/>
    <w:rsid w:val="00B0170B"/>
    <w:rsid w:val="00B01B51"/>
    <w:rsid w:val="00B03333"/>
    <w:rsid w:val="00B033B6"/>
    <w:rsid w:val="00B03771"/>
    <w:rsid w:val="00B0406A"/>
    <w:rsid w:val="00B06841"/>
    <w:rsid w:val="00B06B03"/>
    <w:rsid w:val="00B0721B"/>
    <w:rsid w:val="00B07DB6"/>
    <w:rsid w:val="00B113E5"/>
    <w:rsid w:val="00B1162D"/>
    <w:rsid w:val="00B14C06"/>
    <w:rsid w:val="00B153F0"/>
    <w:rsid w:val="00B162A3"/>
    <w:rsid w:val="00B16D79"/>
    <w:rsid w:val="00B1751E"/>
    <w:rsid w:val="00B17ECC"/>
    <w:rsid w:val="00B209AD"/>
    <w:rsid w:val="00B23398"/>
    <w:rsid w:val="00B245B0"/>
    <w:rsid w:val="00B26E56"/>
    <w:rsid w:val="00B31879"/>
    <w:rsid w:val="00B3311C"/>
    <w:rsid w:val="00B33125"/>
    <w:rsid w:val="00B34A3B"/>
    <w:rsid w:val="00B355C5"/>
    <w:rsid w:val="00B3673D"/>
    <w:rsid w:val="00B40942"/>
    <w:rsid w:val="00B41B80"/>
    <w:rsid w:val="00B42C7B"/>
    <w:rsid w:val="00B43F15"/>
    <w:rsid w:val="00B44C6C"/>
    <w:rsid w:val="00B4757F"/>
    <w:rsid w:val="00B5187A"/>
    <w:rsid w:val="00B52E33"/>
    <w:rsid w:val="00B547FC"/>
    <w:rsid w:val="00B55CD1"/>
    <w:rsid w:val="00B57D21"/>
    <w:rsid w:val="00B605F9"/>
    <w:rsid w:val="00B61C67"/>
    <w:rsid w:val="00B61E00"/>
    <w:rsid w:val="00B62A9E"/>
    <w:rsid w:val="00B62FA1"/>
    <w:rsid w:val="00B6314D"/>
    <w:rsid w:val="00B64BD8"/>
    <w:rsid w:val="00B66E69"/>
    <w:rsid w:val="00B671F6"/>
    <w:rsid w:val="00B70EFF"/>
    <w:rsid w:val="00B711BD"/>
    <w:rsid w:val="00B713DA"/>
    <w:rsid w:val="00B71654"/>
    <w:rsid w:val="00B727C2"/>
    <w:rsid w:val="00B738C7"/>
    <w:rsid w:val="00B74558"/>
    <w:rsid w:val="00B747AC"/>
    <w:rsid w:val="00B75F95"/>
    <w:rsid w:val="00B76AF1"/>
    <w:rsid w:val="00B77124"/>
    <w:rsid w:val="00B8023E"/>
    <w:rsid w:val="00B82106"/>
    <w:rsid w:val="00B82526"/>
    <w:rsid w:val="00B82809"/>
    <w:rsid w:val="00B844F7"/>
    <w:rsid w:val="00B8504F"/>
    <w:rsid w:val="00B86353"/>
    <w:rsid w:val="00B91224"/>
    <w:rsid w:val="00B91420"/>
    <w:rsid w:val="00B92DEC"/>
    <w:rsid w:val="00B9525A"/>
    <w:rsid w:val="00BA015D"/>
    <w:rsid w:val="00BA064C"/>
    <w:rsid w:val="00BA0C85"/>
    <w:rsid w:val="00BA1313"/>
    <w:rsid w:val="00BA1B22"/>
    <w:rsid w:val="00BA4091"/>
    <w:rsid w:val="00BA4735"/>
    <w:rsid w:val="00BA4D0B"/>
    <w:rsid w:val="00BB2DB8"/>
    <w:rsid w:val="00BB3A50"/>
    <w:rsid w:val="00BB43A8"/>
    <w:rsid w:val="00BB4D9B"/>
    <w:rsid w:val="00BB647C"/>
    <w:rsid w:val="00BC0C83"/>
    <w:rsid w:val="00BC33E7"/>
    <w:rsid w:val="00BC61B1"/>
    <w:rsid w:val="00BC6AA8"/>
    <w:rsid w:val="00BC74B2"/>
    <w:rsid w:val="00BD1F16"/>
    <w:rsid w:val="00BD201F"/>
    <w:rsid w:val="00BD55D3"/>
    <w:rsid w:val="00BD787F"/>
    <w:rsid w:val="00BD7E26"/>
    <w:rsid w:val="00BE00F2"/>
    <w:rsid w:val="00BE209A"/>
    <w:rsid w:val="00BE2293"/>
    <w:rsid w:val="00BE24AF"/>
    <w:rsid w:val="00BE37DF"/>
    <w:rsid w:val="00BE37E1"/>
    <w:rsid w:val="00BE4B28"/>
    <w:rsid w:val="00BE4ED0"/>
    <w:rsid w:val="00BE57F6"/>
    <w:rsid w:val="00BE7220"/>
    <w:rsid w:val="00BF021D"/>
    <w:rsid w:val="00BF2D80"/>
    <w:rsid w:val="00BF2DF2"/>
    <w:rsid w:val="00BF32A0"/>
    <w:rsid w:val="00BF34A5"/>
    <w:rsid w:val="00BF3828"/>
    <w:rsid w:val="00BF4F4D"/>
    <w:rsid w:val="00BF5144"/>
    <w:rsid w:val="00BF5E9D"/>
    <w:rsid w:val="00C00747"/>
    <w:rsid w:val="00C01084"/>
    <w:rsid w:val="00C01116"/>
    <w:rsid w:val="00C02336"/>
    <w:rsid w:val="00C04254"/>
    <w:rsid w:val="00C043A7"/>
    <w:rsid w:val="00C044F1"/>
    <w:rsid w:val="00C050D3"/>
    <w:rsid w:val="00C0568C"/>
    <w:rsid w:val="00C06030"/>
    <w:rsid w:val="00C06F83"/>
    <w:rsid w:val="00C10374"/>
    <w:rsid w:val="00C12840"/>
    <w:rsid w:val="00C14C04"/>
    <w:rsid w:val="00C1593D"/>
    <w:rsid w:val="00C172E3"/>
    <w:rsid w:val="00C2158E"/>
    <w:rsid w:val="00C217D7"/>
    <w:rsid w:val="00C21910"/>
    <w:rsid w:val="00C22372"/>
    <w:rsid w:val="00C22791"/>
    <w:rsid w:val="00C23D1C"/>
    <w:rsid w:val="00C23EFB"/>
    <w:rsid w:val="00C244FF"/>
    <w:rsid w:val="00C26A8B"/>
    <w:rsid w:val="00C27FC3"/>
    <w:rsid w:val="00C33D51"/>
    <w:rsid w:val="00C35BF3"/>
    <w:rsid w:val="00C35DB6"/>
    <w:rsid w:val="00C3670D"/>
    <w:rsid w:val="00C407C6"/>
    <w:rsid w:val="00C4105A"/>
    <w:rsid w:val="00C41370"/>
    <w:rsid w:val="00C41EED"/>
    <w:rsid w:val="00C442B6"/>
    <w:rsid w:val="00C44893"/>
    <w:rsid w:val="00C44F37"/>
    <w:rsid w:val="00C459A1"/>
    <w:rsid w:val="00C5096F"/>
    <w:rsid w:val="00C525DC"/>
    <w:rsid w:val="00C52B10"/>
    <w:rsid w:val="00C5302D"/>
    <w:rsid w:val="00C5403F"/>
    <w:rsid w:val="00C55956"/>
    <w:rsid w:val="00C55C5D"/>
    <w:rsid w:val="00C55CDD"/>
    <w:rsid w:val="00C5787F"/>
    <w:rsid w:val="00C57E44"/>
    <w:rsid w:val="00C6022D"/>
    <w:rsid w:val="00C60E71"/>
    <w:rsid w:val="00C61A6F"/>
    <w:rsid w:val="00C62F4A"/>
    <w:rsid w:val="00C6318D"/>
    <w:rsid w:val="00C634DB"/>
    <w:rsid w:val="00C63883"/>
    <w:rsid w:val="00C66487"/>
    <w:rsid w:val="00C66506"/>
    <w:rsid w:val="00C70729"/>
    <w:rsid w:val="00C72EDC"/>
    <w:rsid w:val="00C72EF0"/>
    <w:rsid w:val="00C7318D"/>
    <w:rsid w:val="00C73AEA"/>
    <w:rsid w:val="00C74CC2"/>
    <w:rsid w:val="00C76487"/>
    <w:rsid w:val="00C77322"/>
    <w:rsid w:val="00C77ACD"/>
    <w:rsid w:val="00C80115"/>
    <w:rsid w:val="00C81D88"/>
    <w:rsid w:val="00C82FC1"/>
    <w:rsid w:val="00C83726"/>
    <w:rsid w:val="00C85536"/>
    <w:rsid w:val="00C9240D"/>
    <w:rsid w:val="00C96565"/>
    <w:rsid w:val="00C9766A"/>
    <w:rsid w:val="00C9795B"/>
    <w:rsid w:val="00CA1310"/>
    <w:rsid w:val="00CA27D5"/>
    <w:rsid w:val="00CA3336"/>
    <w:rsid w:val="00CA3630"/>
    <w:rsid w:val="00CA49A2"/>
    <w:rsid w:val="00CA4D80"/>
    <w:rsid w:val="00CA552A"/>
    <w:rsid w:val="00CA55AC"/>
    <w:rsid w:val="00CA5DA4"/>
    <w:rsid w:val="00CA6831"/>
    <w:rsid w:val="00CA683E"/>
    <w:rsid w:val="00CB0179"/>
    <w:rsid w:val="00CB0C87"/>
    <w:rsid w:val="00CB2278"/>
    <w:rsid w:val="00CB38AA"/>
    <w:rsid w:val="00CB6BD8"/>
    <w:rsid w:val="00CB74C1"/>
    <w:rsid w:val="00CC0031"/>
    <w:rsid w:val="00CC0AA8"/>
    <w:rsid w:val="00CC1B2D"/>
    <w:rsid w:val="00CC2534"/>
    <w:rsid w:val="00CC2C4F"/>
    <w:rsid w:val="00CC3FDF"/>
    <w:rsid w:val="00CC60B9"/>
    <w:rsid w:val="00CD1628"/>
    <w:rsid w:val="00CD2712"/>
    <w:rsid w:val="00CD3AB5"/>
    <w:rsid w:val="00CD41EE"/>
    <w:rsid w:val="00CD4482"/>
    <w:rsid w:val="00CD476F"/>
    <w:rsid w:val="00CD664F"/>
    <w:rsid w:val="00CD675E"/>
    <w:rsid w:val="00CD7C95"/>
    <w:rsid w:val="00CE3D5E"/>
    <w:rsid w:val="00CE4977"/>
    <w:rsid w:val="00CF0F9E"/>
    <w:rsid w:val="00CF32E9"/>
    <w:rsid w:val="00CF345C"/>
    <w:rsid w:val="00CF4E94"/>
    <w:rsid w:val="00CF56C1"/>
    <w:rsid w:val="00CF75BA"/>
    <w:rsid w:val="00D010E3"/>
    <w:rsid w:val="00D01A19"/>
    <w:rsid w:val="00D02E90"/>
    <w:rsid w:val="00D03138"/>
    <w:rsid w:val="00D03BFC"/>
    <w:rsid w:val="00D05810"/>
    <w:rsid w:val="00D10925"/>
    <w:rsid w:val="00D11229"/>
    <w:rsid w:val="00D12770"/>
    <w:rsid w:val="00D15ADE"/>
    <w:rsid w:val="00D17B5E"/>
    <w:rsid w:val="00D202AA"/>
    <w:rsid w:val="00D20416"/>
    <w:rsid w:val="00D20CCF"/>
    <w:rsid w:val="00D21942"/>
    <w:rsid w:val="00D22B65"/>
    <w:rsid w:val="00D23682"/>
    <w:rsid w:val="00D30C9F"/>
    <w:rsid w:val="00D31044"/>
    <w:rsid w:val="00D3196B"/>
    <w:rsid w:val="00D324FC"/>
    <w:rsid w:val="00D35F36"/>
    <w:rsid w:val="00D378DF"/>
    <w:rsid w:val="00D4008A"/>
    <w:rsid w:val="00D41322"/>
    <w:rsid w:val="00D42B0C"/>
    <w:rsid w:val="00D44625"/>
    <w:rsid w:val="00D450EB"/>
    <w:rsid w:val="00D47AC5"/>
    <w:rsid w:val="00D50D50"/>
    <w:rsid w:val="00D50DCC"/>
    <w:rsid w:val="00D5113F"/>
    <w:rsid w:val="00D53CE6"/>
    <w:rsid w:val="00D56336"/>
    <w:rsid w:val="00D56BA7"/>
    <w:rsid w:val="00D576E9"/>
    <w:rsid w:val="00D5781D"/>
    <w:rsid w:val="00D617EF"/>
    <w:rsid w:val="00D62ECD"/>
    <w:rsid w:val="00D65CF2"/>
    <w:rsid w:val="00D65EA9"/>
    <w:rsid w:val="00D6682C"/>
    <w:rsid w:val="00D66CF8"/>
    <w:rsid w:val="00D66DB5"/>
    <w:rsid w:val="00D67F9B"/>
    <w:rsid w:val="00D7008D"/>
    <w:rsid w:val="00D7086E"/>
    <w:rsid w:val="00D70C49"/>
    <w:rsid w:val="00D70F3A"/>
    <w:rsid w:val="00D72BEF"/>
    <w:rsid w:val="00D72C62"/>
    <w:rsid w:val="00D73886"/>
    <w:rsid w:val="00D76AB8"/>
    <w:rsid w:val="00D76BEA"/>
    <w:rsid w:val="00D772B3"/>
    <w:rsid w:val="00D777A2"/>
    <w:rsid w:val="00D77A52"/>
    <w:rsid w:val="00D81B58"/>
    <w:rsid w:val="00D81C14"/>
    <w:rsid w:val="00D832D5"/>
    <w:rsid w:val="00D83376"/>
    <w:rsid w:val="00D84B5D"/>
    <w:rsid w:val="00D853FF"/>
    <w:rsid w:val="00D865EF"/>
    <w:rsid w:val="00D8705F"/>
    <w:rsid w:val="00D87A07"/>
    <w:rsid w:val="00D92A15"/>
    <w:rsid w:val="00D957C0"/>
    <w:rsid w:val="00D965FE"/>
    <w:rsid w:val="00D96C69"/>
    <w:rsid w:val="00DA03FB"/>
    <w:rsid w:val="00DA0546"/>
    <w:rsid w:val="00DA1332"/>
    <w:rsid w:val="00DA377B"/>
    <w:rsid w:val="00DA48F6"/>
    <w:rsid w:val="00DA5238"/>
    <w:rsid w:val="00DA53C1"/>
    <w:rsid w:val="00DA5621"/>
    <w:rsid w:val="00DA5B67"/>
    <w:rsid w:val="00DA7ECD"/>
    <w:rsid w:val="00DB09E4"/>
    <w:rsid w:val="00DB2D17"/>
    <w:rsid w:val="00DB5E4D"/>
    <w:rsid w:val="00DB5F03"/>
    <w:rsid w:val="00DB5F9F"/>
    <w:rsid w:val="00DB605A"/>
    <w:rsid w:val="00DB6D1F"/>
    <w:rsid w:val="00DB78EA"/>
    <w:rsid w:val="00DC11CB"/>
    <w:rsid w:val="00DC13EA"/>
    <w:rsid w:val="00DC1BB7"/>
    <w:rsid w:val="00DC3ADA"/>
    <w:rsid w:val="00DC4A0B"/>
    <w:rsid w:val="00DC4D66"/>
    <w:rsid w:val="00DC774F"/>
    <w:rsid w:val="00DD026E"/>
    <w:rsid w:val="00DD02DB"/>
    <w:rsid w:val="00DD1715"/>
    <w:rsid w:val="00DD2C4D"/>
    <w:rsid w:val="00DD35FE"/>
    <w:rsid w:val="00DD37BF"/>
    <w:rsid w:val="00DD44AD"/>
    <w:rsid w:val="00DD45F6"/>
    <w:rsid w:val="00DD5596"/>
    <w:rsid w:val="00DD5A7F"/>
    <w:rsid w:val="00DD6B23"/>
    <w:rsid w:val="00DE1E06"/>
    <w:rsid w:val="00DE24BA"/>
    <w:rsid w:val="00DE342A"/>
    <w:rsid w:val="00DE48C3"/>
    <w:rsid w:val="00DE493A"/>
    <w:rsid w:val="00DE5099"/>
    <w:rsid w:val="00DE58AE"/>
    <w:rsid w:val="00DE7190"/>
    <w:rsid w:val="00DF1157"/>
    <w:rsid w:val="00DF178D"/>
    <w:rsid w:val="00DF2C4D"/>
    <w:rsid w:val="00DF2E2D"/>
    <w:rsid w:val="00DF38C7"/>
    <w:rsid w:val="00DF3E5E"/>
    <w:rsid w:val="00DF4392"/>
    <w:rsid w:val="00DF4E1F"/>
    <w:rsid w:val="00DF6841"/>
    <w:rsid w:val="00DF69A1"/>
    <w:rsid w:val="00DF6DE1"/>
    <w:rsid w:val="00DF752E"/>
    <w:rsid w:val="00DF7FDF"/>
    <w:rsid w:val="00E0035B"/>
    <w:rsid w:val="00E00956"/>
    <w:rsid w:val="00E011B3"/>
    <w:rsid w:val="00E01A14"/>
    <w:rsid w:val="00E01A51"/>
    <w:rsid w:val="00E02EE2"/>
    <w:rsid w:val="00E04D61"/>
    <w:rsid w:val="00E05109"/>
    <w:rsid w:val="00E05894"/>
    <w:rsid w:val="00E0642C"/>
    <w:rsid w:val="00E06BD0"/>
    <w:rsid w:val="00E109E0"/>
    <w:rsid w:val="00E14FA3"/>
    <w:rsid w:val="00E151B6"/>
    <w:rsid w:val="00E153CF"/>
    <w:rsid w:val="00E1543D"/>
    <w:rsid w:val="00E15D9B"/>
    <w:rsid w:val="00E17572"/>
    <w:rsid w:val="00E176F6"/>
    <w:rsid w:val="00E177EE"/>
    <w:rsid w:val="00E204AA"/>
    <w:rsid w:val="00E23CFC"/>
    <w:rsid w:val="00E245F0"/>
    <w:rsid w:val="00E2566D"/>
    <w:rsid w:val="00E25EF0"/>
    <w:rsid w:val="00E27820"/>
    <w:rsid w:val="00E304B3"/>
    <w:rsid w:val="00E31996"/>
    <w:rsid w:val="00E329AF"/>
    <w:rsid w:val="00E342B0"/>
    <w:rsid w:val="00E34C6C"/>
    <w:rsid w:val="00E350B7"/>
    <w:rsid w:val="00E356BA"/>
    <w:rsid w:val="00E37D1E"/>
    <w:rsid w:val="00E40979"/>
    <w:rsid w:val="00E42562"/>
    <w:rsid w:val="00E435B7"/>
    <w:rsid w:val="00E43A26"/>
    <w:rsid w:val="00E46074"/>
    <w:rsid w:val="00E466D8"/>
    <w:rsid w:val="00E46AF2"/>
    <w:rsid w:val="00E47557"/>
    <w:rsid w:val="00E503F7"/>
    <w:rsid w:val="00E50FE3"/>
    <w:rsid w:val="00E5543F"/>
    <w:rsid w:val="00E5570B"/>
    <w:rsid w:val="00E6140D"/>
    <w:rsid w:val="00E61F52"/>
    <w:rsid w:val="00E6414B"/>
    <w:rsid w:val="00E64851"/>
    <w:rsid w:val="00E67C51"/>
    <w:rsid w:val="00E7049F"/>
    <w:rsid w:val="00E70BD3"/>
    <w:rsid w:val="00E71783"/>
    <w:rsid w:val="00E7237E"/>
    <w:rsid w:val="00E72A5A"/>
    <w:rsid w:val="00E735B1"/>
    <w:rsid w:val="00E741ED"/>
    <w:rsid w:val="00E770AD"/>
    <w:rsid w:val="00E77FD2"/>
    <w:rsid w:val="00E81DCB"/>
    <w:rsid w:val="00E836EE"/>
    <w:rsid w:val="00E85206"/>
    <w:rsid w:val="00E90B31"/>
    <w:rsid w:val="00E90BDF"/>
    <w:rsid w:val="00E92DB0"/>
    <w:rsid w:val="00E94F36"/>
    <w:rsid w:val="00E95883"/>
    <w:rsid w:val="00E96409"/>
    <w:rsid w:val="00EA0F84"/>
    <w:rsid w:val="00EA258A"/>
    <w:rsid w:val="00EA40B2"/>
    <w:rsid w:val="00EA447E"/>
    <w:rsid w:val="00EA4DBC"/>
    <w:rsid w:val="00EA5DBC"/>
    <w:rsid w:val="00EA673B"/>
    <w:rsid w:val="00EB037F"/>
    <w:rsid w:val="00EB10EA"/>
    <w:rsid w:val="00EB249A"/>
    <w:rsid w:val="00EB31AB"/>
    <w:rsid w:val="00EB4305"/>
    <w:rsid w:val="00EB4EFE"/>
    <w:rsid w:val="00EB5751"/>
    <w:rsid w:val="00EB5E51"/>
    <w:rsid w:val="00EB6704"/>
    <w:rsid w:val="00EB702A"/>
    <w:rsid w:val="00EC0403"/>
    <w:rsid w:val="00EC0499"/>
    <w:rsid w:val="00EC10C7"/>
    <w:rsid w:val="00EC175E"/>
    <w:rsid w:val="00EC22D7"/>
    <w:rsid w:val="00EC245A"/>
    <w:rsid w:val="00EC4771"/>
    <w:rsid w:val="00EC4BAE"/>
    <w:rsid w:val="00EC5D37"/>
    <w:rsid w:val="00EC69A1"/>
    <w:rsid w:val="00EC6A3F"/>
    <w:rsid w:val="00ED2391"/>
    <w:rsid w:val="00ED39BA"/>
    <w:rsid w:val="00ED3DA3"/>
    <w:rsid w:val="00ED4D67"/>
    <w:rsid w:val="00ED6E93"/>
    <w:rsid w:val="00EE1FEA"/>
    <w:rsid w:val="00EE5CF6"/>
    <w:rsid w:val="00EE6411"/>
    <w:rsid w:val="00EE66C7"/>
    <w:rsid w:val="00EE6B2F"/>
    <w:rsid w:val="00EF02F8"/>
    <w:rsid w:val="00EF0400"/>
    <w:rsid w:val="00EF0585"/>
    <w:rsid w:val="00EF1737"/>
    <w:rsid w:val="00EF5C83"/>
    <w:rsid w:val="00EF7D7A"/>
    <w:rsid w:val="00F002B2"/>
    <w:rsid w:val="00F00AC2"/>
    <w:rsid w:val="00F013A3"/>
    <w:rsid w:val="00F01C27"/>
    <w:rsid w:val="00F0204B"/>
    <w:rsid w:val="00F05B44"/>
    <w:rsid w:val="00F0601A"/>
    <w:rsid w:val="00F0724E"/>
    <w:rsid w:val="00F105E2"/>
    <w:rsid w:val="00F10F59"/>
    <w:rsid w:val="00F12FA2"/>
    <w:rsid w:val="00F14C67"/>
    <w:rsid w:val="00F15518"/>
    <w:rsid w:val="00F15766"/>
    <w:rsid w:val="00F17616"/>
    <w:rsid w:val="00F22E5F"/>
    <w:rsid w:val="00F22F34"/>
    <w:rsid w:val="00F233B0"/>
    <w:rsid w:val="00F24E5E"/>
    <w:rsid w:val="00F25D76"/>
    <w:rsid w:val="00F26DA9"/>
    <w:rsid w:val="00F303EC"/>
    <w:rsid w:val="00F31D64"/>
    <w:rsid w:val="00F33736"/>
    <w:rsid w:val="00F33B09"/>
    <w:rsid w:val="00F3434E"/>
    <w:rsid w:val="00F35873"/>
    <w:rsid w:val="00F358FC"/>
    <w:rsid w:val="00F36D4A"/>
    <w:rsid w:val="00F376EB"/>
    <w:rsid w:val="00F37FE5"/>
    <w:rsid w:val="00F40EC2"/>
    <w:rsid w:val="00F40EFA"/>
    <w:rsid w:val="00F412FD"/>
    <w:rsid w:val="00F41545"/>
    <w:rsid w:val="00F416D0"/>
    <w:rsid w:val="00F41EEA"/>
    <w:rsid w:val="00F4341D"/>
    <w:rsid w:val="00F4545C"/>
    <w:rsid w:val="00F45955"/>
    <w:rsid w:val="00F45E80"/>
    <w:rsid w:val="00F50177"/>
    <w:rsid w:val="00F5076C"/>
    <w:rsid w:val="00F51132"/>
    <w:rsid w:val="00F51CC5"/>
    <w:rsid w:val="00F51F90"/>
    <w:rsid w:val="00F567BF"/>
    <w:rsid w:val="00F56AC0"/>
    <w:rsid w:val="00F56F0E"/>
    <w:rsid w:val="00F56F47"/>
    <w:rsid w:val="00F57335"/>
    <w:rsid w:val="00F57A39"/>
    <w:rsid w:val="00F60832"/>
    <w:rsid w:val="00F61F72"/>
    <w:rsid w:val="00F62680"/>
    <w:rsid w:val="00F63723"/>
    <w:rsid w:val="00F63BA4"/>
    <w:rsid w:val="00F64101"/>
    <w:rsid w:val="00F65E9E"/>
    <w:rsid w:val="00F6637E"/>
    <w:rsid w:val="00F7025D"/>
    <w:rsid w:val="00F72085"/>
    <w:rsid w:val="00F73FF5"/>
    <w:rsid w:val="00F74EFB"/>
    <w:rsid w:val="00F76F54"/>
    <w:rsid w:val="00F7712A"/>
    <w:rsid w:val="00F803F8"/>
    <w:rsid w:val="00F80E02"/>
    <w:rsid w:val="00F8144D"/>
    <w:rsid w:val="00F82B0E"/>
    <w:rsid w:val="00F83C15"/>
    <w:rsid w:val="00F83CB5"/>
    <w:rsid w:val="00F8415B"/>
    <w:rsid w:val="00F84536"/>
    <w:rsid w:val="00F8591F"/>
    <w:rsid w:val="00F869F8"/>
    <w:rsid w:val="00F86AB2"/>
    <w:rsid w:val="00F86BE3"/>
    <w:rsid w:val="00F90EFD"/>
    <w:rsid w:val="00F926D8"/>
    <w:rsid w:val="00F93488"/>
    <w:rsid w:val="00F93F4C"/>
    <w:rsid w:val="00F9535B"/>
    <w:rsid w:val="00F95DE8"/>
    <w:rsid w:val="00F962C7"/>
    <w:rsid w:val="00F96474"/>
    <w:rsid w:val="00F96FD2"/>
    <w:rsid w:val="00F9780A"/>
    <w:rsid w:val="00FA0E40"/>
    <w:rsid w:val="00FA13F8"/>
    <w:rsid w:val="00FA1906"/>
    <w:rsid w:val="00FA2EC0"/>
    <w:rsid w:val="00FA31AD"/>
    <w:rsid w:val="00FA47E1"/>
    <w:rsid w:val="00FA4EA3"/>
    <w:rsid w:val="00FB1024"/>
    <w:rsid w:val="00FB13E0"/>
    <w:rsid w:val="00FB32BF"/>
    <w:rsid w:val="00FB38D6"/>
    <w:rsid w:val="00FB4CA8"/>
    <w:rsid w:val="00FB5EBA"/>
    <w:rsid w:val="00FB6B34"/>
    <w:rsid w:val="00FC07C4"/>
    <w:rsid w:val="00FC1619"/>
    <w:rsid w:val="00FC19E8"/>
    <w:rsid w:val="00FC22CF"/>
    <w:rsid w:val="00FC4541"/>
    <w:rsid w:val="00FC5866"/>
    <w:rsid w:val="00FC59F7"/>
    <w:rsid w:val="00FC5B63"/>
    <w:rsid w:val="00FC5E53"/>
    <w:rsid w:val="00FD0BDA"/>
    <w:rsid w:val="00FD0FAC"/>
    <w:rsid w:val="00FD3EB9"/>
    <w:rsid w:val="00FD4975"/>
    <w:rsid w:val="00FD4992"/>
    <w:rsid w:val="00FD79FF"/>
    <w:rsid w:val="00FE297B"/>
    <w:rsid w:val="00FE371A"/>
    <w:rsid w:val="00FE3880"/>
    <w:rsid w:val="00FE47DF"/>
    <w:rsid w:val="00FE6019"/>
    <w:rsid w:val="00FE7555"/>
    <w:rsid w:val="00FE75DD"/>
    <w:rsid w:val="00FF0C5F"/>
    <w:rsid w:val="00FF0CC1"/>
    <w:rsid w:val="00FF274C"/>
    <w:rsid w:val="00FF2931"/>
    <w:rsid w:val="00FF2B67"/>
    <w:rsid w:val="00FF354D"/>
    <w:rsid w:val="00FF3FAF"/>
    <w:rsid w:val="00FF61E2"/>
    <w:rsid w:val="00FF6B48"/>
    <w:rsid w:val="00FF7227"/>
    <w:rsid w:val="00FF756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opacity="0"/>
      <v:stroke on="f"/>
      <o:colormru v:ext="edit" colors="#ddd,#cfcfcf,#cacaca,#66f,blue,#ccd3e1,#002469,#335087"/>
    </o:shapedefaults>
    <o:shapelayout v:ext="edit">
      <o:idmap v:ext="edit" data="1"/>
    </o:shapelayout>
  </w:shapeDefaults>
  <w:decimalSymbol w:val="."/>
  <w:listSeparator w:val=","/>
  <w14:docId w14:val="69C81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lsdException w:name="heading 6" w:unhideWhenUsed="1"/>
    <w:lsdException w:name="heading 7" w:unhideWhenUsed="1"/>
    <w:lsdException w:name="heading 8" w:unhideWhenUsed="1"/>
    <w:lsdException w:name="heading 9" w:unhideWhenUsed="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99" w:unhideWhenUsed="1" w:qFormat="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iPriority="99" w:unhideWhenUsed="1"/>
    <w:lsdException w:name="FollowedHyperlink" w:unhideWhenUsed="1"/>
    <w:lsdException w:name="Strong" w:semiHidden="0" w:uiPriority="22"/>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7B435A"/>
    <w:pPr>
      <w:spacing w:after="240" w:line="280" w:lineRule="atLeast"/>
    </w:pPr>
    <w:rPr>
      <w:rFonts w:ascii="Arial" w:hAnsi="Arial"/>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3A2E6A"/>
    <w:pPr>
      <w:keepNext/>
      <w:tabs>
        <w:tab w:val="left" w:pos="567"/>
      </w:tabs>
      <w:spacing w:before="240" w:after="180" w:line="240" w:lineRule="auto"/>
      <w:ind w:left="567" w:hanging="567"/>
      <w:outlineLvl w:val="1"/>
    </w:pPr>
    <w:rPr>
      <w:rFonts w:ascii="Calibri" w:hAnsi="Calibri"/>
      <w:b/>
      <w:color w:val="263E78"/>
      <w:spacing w:val="20"/>
      <w:w w:val="90"/>
      <w:sz w:val="32"/>
      <w:szCs w:val="24"/>
    </w:rPr>
  </w:style>
  <w:style w:type="paragraph" w:styleId="Heading3">
    <w:name w:val="heading 3"/>
    <w:basedOn w:val="Heading2"/>
    <w:next w:val="Normal"/>
    <w:qFormat/>
    <w:rsid w:val="00374E9A"/>
    <w:pPr>
      <w:spacing w:before="200"/>
      <w:outlineLvl w:val="2"/>
    </w:pPr>
    <w:rPr>
      <w:sz w:val="24"/>
      <w:szCs w:val="22"/>
    </w:rPr>
  </w:style>
  <w:style w:type="paragraph" w:styleId="Heading4">
    <w:name w:val="heading 4"/>
    <w:basedOn w:val="Normal"/>
    <w:next w:val="Normal"/>
    <w:qFormat/>
    <w:rsid w:val="007410FD"/>
    <w:pPr>
      <w:spacing w:before="240" w:after="120" w:line="240" w:lineRule="auto"/>
      <w:outlineLvl w:val="3"/>
    </w:pPr>
    <w:rPr>
      <w:rFonts w:ascii="Calibri" w:hAnsi="Calibri"/>
      <w:b/>
      <w:bCs/>
      <w:i/>
      <w:color w:val="263E78"/>
      <w:szCs w:val="22"/>
    </w:rPr>
  </w:style>
  <w:style w:type="paragraph" w:styleId="Heading5">
    <w:name w:val="heading 5"/>
    <w:basedOn w:val="Normal"/>
    <w:next w:val="Normal"/>
    <w:rsid w:val="00504E3C"/>
    <w:pPr>
      <w:keepNext/>
      <w:widowControl w:val="0"/>
      <w:spacing w:before="80" w:after="120"/>
      <w:outlineLvl w:val="4"/>
    </w:pPr>
    <w:rPr>
      <w:color w:val="000000"/>
      <w:szCs w:val="22"/>
    </w:rPr>
  </w:style>
  <w:style w:type="paragraph" w:styleId="Heading6">
    <w:name w:val="heading 6"/>
    <w:basedOn w:val="Normal"/>
    <w:next w:val="Normal"/>
    <w:rsid w:val="00504E3C"/>
    <w:pPr>
      <w:spacing w:before="240"/>
      <w:outlineLvl w:val="5"/>
    </w:pPr>
    <w:rPr>
      <w:i/>
      <w:sz w:val="20"/>
    </w:rPr>
  </w:style>
  <w:style w:type="paragraph" w:styleId="Heading7">
    <w:name w:val="heading 7"/>
    <w:basedOn w:val="Normal"/>
    <w:next w:val="Normal"/>
    <w:rsid w:val="00504E3C"/>
    <w:pPr>
      <w:spacing w:before="240"/>
      <w:outlineLvl w:val="6"/>
    </w:pPr>
    <w:rPr>
      <w:sz w:val="20"/>
    </w:rPr>
  </w:style>
  <w:style w:type="paragraph" w:styleId="Heading8">
    <w:name w:val="heading 8"/>
    <w:basedOn w:val="Normal"/>
    <w:next w:val="Normal"/>
    <w:rsid w:val="00504E3C"/>
    <w:pPr>
      <w:spacing w:before="80" w:after="80"/>
      <w:outlineLvl w:val="7"/>
    </w:pPr>
    <w:rPr>
      <w:sz w:val="20"/>
    </w:rPr>
  </w:style>
  <w:style w:type="paragraph" w:styleId="Heading9">
    <w:name w:val="heading 9"/>
    <w:next w:val="Normal"/>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basedOn w:val="DefaultParagraphFont"/>
    <w:link w:val="Heading2"/>
    <w:rsid w:val="003A2E6A"/>
    <w:rPr>
      <w:rFonts w:ascii="Calibri" w:hAnsi="Calibri"/>
      <w:b/>
      <w:color w:val="263E78"/>
      <w:spacing w:val="20"/>
      <w:w w:val="90"/>
      <w:sz w:val="32"/>
      <w:szCs w:val="24"/>
      <w:lang w:val="en-GB" w:eastAsia="en-GB"/>
    </w:rPr>
  </w:style>
  <w:style w:type="paragraph" w:styleId="Header">
    <w:name w:val="header"/>
    <w:basedOn w:val="Normal"/>
    <w:link w:val="HeaderChar"/>
    <w:uiPriority w:val="99"/>
    <w:rsid w:val="004C2B29"/>
    <w:pPr>
      <w:tabs>
        <w:tab w:val="center" w:pos="4153"/>
        <w:tab w:val="right" w:pos="8306"/>
      </w:tabs>
    </w:pPr>
  </w:style>
  <w:style w:type="paragraph" w:styleId="Footer">
    <w:name w:val="footer"/>
    <w:basedOn w:val="Normal"/>
    <w:link w:val="FooterChar"/>
    <w:autoRedefine/>
    <w:uiPriority w:val="99"/>
    <w:rsid w:val="009C7BCF"/>
    <w:pPr>
      <w:tabs>
        <w:tab w:val="right" w:pos="9072"/>
      </w:tabs>
      <w:spacing w:after="0" w:line="240" w:lineRule="auto"/>
      <w:ind w:left="-142"/>
    </w:pPr>
    <w:rPr>
      <w:noProof/>
      <w:color w:val="002469"/>
      <w:spacing w:val="6"/>
      <w:sz w:val="16"/>
      <w:szCs w:val="16"/>
    </w:rPr>
  </w:style>
  <w:style w:type="character" w:customStyle="1" w:styleId="FooterChar">
    <w:name w:val="Footer Char"/>
    <w:basedOn w:val="DefaultParagraphFont"/>
    <w:link w:val="Footer"/>
    <w:uiPriority w:val="99"/>
    <w:rsid w:val="009C7BCF"/>
    <w:rPr>
      <w:rFonts w:ascii="Arial" w:hAnsi="Arial"/>
      <w:noProof/>
      <w:color w:val="002469"/>
      <w:spacing w:val="6"/>
      <w:sz w:val="16"/>
      <w:szCs w:val="16"/>
      <w:lang w:val="en-GB" w:eastAsia="en-GB"/>
    </w:rPr>
  </w:style>
  <w:style w:type="character" w:styleId="Hyperlink">
    <w:name w:val="Hyperlink"/>
    <w:basedOn w:val="DefaultParagraphFont"/>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rsid w:val="006A3F76"/>
    <w:rPr>
      <w:b/>
      <w:bCs/>
      <w:sz w:val="20"/>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504E3C"/>
    <w:pPr>
      <w:tabs>
        <w:tab w:val="left" w:pos="425"/>
      </w:tabs>
      <w:spacing w:after="60" w:line="240" w:lineRule="auto"/>
      <w:ind w:left="425" w:hanging="425"/>
    </w:pPr>
    <w:rPr>
      <w:sz w:val="18"/>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E25EF0"/>
    <w:rPr>
      <w:rFonts w:ascii="Arial" w:hAnsi="Arial"/>
      <w:sz w:val="18"/>
      <w:lang w:val="en-GB" w:eastAsia="en-GB"/>
    </w:rPr>
  </w:style>
  <w:style w:type="character" w:styleId="FootnoteReference">
    <w:name w:val="footnote reference"/>
    <w:basedOn w:val="DefaultParagraphFont"/>
    <w:uiPriority w:val="99"/>
    <w:rsid w:val="00504E3C"/>
    <w:rPr>
      <w:rFonts w:ascii="Arial" w:hAnsi="Arial"/>
      <w:color w:val="auto"/>
      <w:position w:val="8"/>
      <w:sz w:val="16"/>
    </w:rPr>
  </w:style>
  <w:style w:type="paragraph" w:styleId="TOC1">
    <w:name w:val="toc 1"/>
    <w:basedOn w:val="Normal"/>
    <w:next w:val="Normal"/>
    <w:uiPriority w:val="39"/>
    <w:rsid w:val="00F80E02"/>
    <w:pPr>
      <w:tabs>
        <w:tab w:val="left" w:pos="426"/>
        <w:tab w:val="right" w:leader="dot" w:pos="9072"/>
      </w:tabs>
      <w:spacing w:before="120" w:after="120"/>
    </w:pPr>
    <w:rPr>
      <w:bCs/>
      <w:noProof/>
      <w:sz w:val="24"/>
      <w:szCs w:val="44"/>
    </w:rPr>
  </w:style>
  <w:style w:type="paragraph" w:styleId="TOC2">
    <w:name w:val="toc 2"/>
    <w:basedOn w:val="Normal"/>
    <w:next w:val="Normal"/>
    <w:uiPriority w:val="39"/>
    <w:rsid w:val="00F80E02"/>
    <w:pPr>
      <w:tabs>
        <w:tab w:val="left" w:pos="851"/>
        <w:tab w:val="right" w:leader="dot" w:pos="9072"/>
      </w:tabs>
      <w:spacing w:after="100"/>
      <w:ind w:left="425" w:right="-1"/>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basedOn w:val="DefaultParagraphFont"/>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basedOn w:val="MOJNumPara"/>
    <w:qFormat/>
    <w:rsid w:val="005712DF"/>
    <w:pPr>
      <w:numPr>
        <w:numId w:val="5"/>
      </w:numPr>
    </w:pPr>
  </w:style>
  <w:style w:type="paragraph" w:customStyle="1" w:styleId="EvenFooter">
    <w:name w:val="Even Footer"/>
    <w:basedOn w:val="Footer"/>
    <w:rsid w:val="0054782B"/>
  </w:style>
  <w:style w:type="table" w:styleId="TableGrid">
    <w:name w:val="Table Grid"/>
    <w:basedOn w:val="TableNormal"/>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basedOn w:val="DefaultParagraphFont"/>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basedOn w:val="DefaultParagraphFont"/>
    <w:uiPriority w:val="99"/>
    <w:semiHidden/>
    <w:rsid w:val="00504E3C"/>
    <w:rPr>
      <w:sz w:val="16"/>
      <w:szCs w:val="16"/>
    </w:rPr>
  </w:style>
  <w:style w:type="character" w:styleId="FollowedHyperlink">
    <w:name w:val="FollowedHyperlink"/>
    <w:basedOn w:val="DefaultParagraphFont"/>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basedOn w:val="DefaultParagraphFont"/>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2"/>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2"/>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8D5CD9"/>
    <w:pPr>
      <w:spacing w:line="360" w:lineRule="atLeast"/>
    </w:pPr>
    <w:rPr>
      <w:color w:val="335087"/>
      <w:sz w:val="24"/>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basedOn w:val="DefaultParagraphFont"/>
    <w:link w:val="Text"/>
    <w:rsid w:val="008D5CD9"/>
    <w:rPr>
      <w:rFonts w:ascii="Arial" w:hAnsi="Arial"/>
      <w:sz w:val="22"/>
      <w:lang w:val="en-GB" w:eastAsia="en-US"/>
    </w:rPr>
  </w:style>
  <w:style w:type="paragraph" w:customStyle="1" w:styleId="TableBullet">
    <w:name w:val="Table Bullet"/>
    <w:basedOn w:val="Normal"/>
    <w:rsid w:val="001F492F"/>
    <w:pPr>
      <w:numPr>
        <w:ilvl w:val="1"/>
        <w:numId w:val="3"/>
      </w:numPr>
    </w:pPr>
  </w:style>
  <w:style w:type="paragraph" w:customStyle="1" w:styleId="MOJHeading1">
    <w:name w:val="MOJ Heading 1"/>
    <w:basedOn w:val="Normal"/>
    <w:next w:val="MOJNumPara"/>
    <w:link w:val="MOJHeading1Char"/>
    <w:rsid w:val="009E5FBF"/>
    <w:pPr>
      <w:keepNext/>
      <w:spacing w:before="230" w:after="0" w:line="240" w:lineRule="auto"/>
      <w:jc w:val="both"/>
      <w:outlineLvl w:val="0"/>
    </w:pPr>
    <w:rPr>
      <w:b/>
      <w:sz w:val="26"/>
      <w:lang w:val="en-NZ"/>
    </w:rPr>
  </w:style>
  <w:style w:type="paragraph" w:customStyle="1" w:styleId="MOJNumPara">
    <w:name w:val="MOJ Num Para"/>
    <w:basedOn w:val="Normal"/>
    <w:link w:val="MOJNumParaChar"/>
    <w:qFormat/>
    <w:rsid w:val="007410FD"/>
    <w:pPr>
      <w:numPr>
        <w:numId w:val="4"/>
      </w:numPr>
      <w:spacing w:before="120" w:after="0" w:line="240" w:lineRule="auto"/>
      <w:jc w:val="both"/>
    </w:pPr>
    <w:rPr>
      <w:rFonts w:ascii="Calibri" w:hAnsi="Calibri"/>
      <w:sz w:val="23"/>
      <w:szCs w:val="23"/>
      <w:lang w:val="en-NZ"/>
    </w:rPr>
  </w:style>
  <w:style w:type="paragraph" w:customStyle="1" w:styleId="MOJLevel2NumPara">
    <w:name w:val="MOJ Level 2 Num Para"/>
    <w:basedOn w:val="MOJNumPara"/>
    <w:qFormat/>
    <w:rsid w:val="009E5FBF"/>
    <w:pPr>
      <w:numPr>
        <w:ilvl w:val="1"/>
      </w:numPr>
    </w:pPr>
  </w:style>
  <w:style w:type="paragraph" w:customStyle="1" w:styleId="MOJLevel3NumPara">
    <w:name w:val="MOJ Level 3 Num Para"/>
    <w:basedOn w:val="MOJLevel2NumPara"/>
    <w:qFormat/>
    <w:rsid w:val="009E5FBF"/>
    <w:pPr>
      <w:numPr>
        <w:ilvl w:val="2"/>
      </w:numPr>
    </w:pPr>
  </w:style>
  <w:style w:type="paragraph" w:customStyle="1" w:styleId="MOJLevel4NumPara">
    <w:name w:val="MOJ Level 4 Num Para"/>
    <w:basedOn w:val="MOJLevel3NumPara"/>
    <w:qFormat/>
    <w:rsid w:val="009E5FBF"/>
    <w:pPr>
      <w:numPr>
        <w:ilvl w:val="3"/>
      </w:numPr>
    </w:pPr>
  </w:style>
  <w:style w:type="character" w:customStyle="1" w:styleId="MOJNumParaChar">
    <w:name w:val="MOJ Num Para Char"/>
    <w:basedOn w:val="DefaultParagraphFont"/>
    <w:link w:val="MOJNumPara"/>
    <w:rsid w:val="007410FD"/>
    <w:rPr>
      <w:rFonts w:ascii="Calibri" w:hAnsi="Calibri"/>
      <w:sz w:val="23"/>
      <w:szCs w:val="23"/>
      <w:lang w:eastAsia="en-GB"/>
    </w:rPr>
  </w:style>
  <w:style w:type="character" w:customStyle="1" w:styleId="MOJHeading1Char">
    <w:name w:val="MOJ Heading 1 Char"/>
    <w:basedOn w:val="DefaultParagraphFont"/>
    <w:link w:val="MOJHeading1"/>
    <w:rsid w:val="009E5FBF"/>
    <w:rPr>
      <w:rFonts w:ascii="Arial" w:hAnsi="Arial"/>
      <w:b/>
      <w:sz w:val="26"/>
      <w:lang w:eastAsia="en-GB"/>
    </w:rPr>
  </w:style>
  <w:style w:type="paragraph" w:customStyle="1" w:styleId="Default">
    <w:name w:val="Default"/>
    <w:rsid w:val="00950D4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CB38AA"/>
    <w:rPr>
      <w:rFonts w:ascii="Arial" w:hAnsi="Arial"/>
      <w:sz w:val="22"/>
      <w:lang w:val="en-GB" w:eastAsia="en-GB"/>
    </w:rPr>
  </w:style>
  <w:style w:type="paragraph" w:customStyle="1" w:styleId="ReportBody">
    <w:name w:val="Report Body"/>
    <w:basedOn w:val="Normal"/>
    <w:link w:val="ReportBodyChar"/>
    <w:qFormat/>
    <w:rsid w:val="001579BA"/>
    <w:pPr>
      <w:numPr>
        <w:numId w:val="8"/>
      </w:numPr>
      <w:spacing w:before="120" w:after="120" w:line="240" w:lineRule="auto"/>
    </w:pPr>
    <w:rPr>
      <w:rFonts w:ascii="Verdana" w:hAnsi="Verdana" w:cs="Arial"/>
      <w:color w:val="000000"/>
      <w:kern w:val="22"/>
      <w:sz w:val="20"/>
      <w:lang w:val="en-NZ" w:eastAsia="en-NZ"/>
    </w:rPr>
  </w:style>
  <w:style w:type="paragraph" w:customStyle="1" w:styleId="ReportBody2">
    <w:name w:val="Report Body 2"/>
    <w:basedOn w:val="ReportBody"/>
    <w:qFormat/>
    <w:rsid w:val="001579BA"/>
    <w:pPr>
      <w:numPr>
        <w:ilvl w:val="1"/>
      </w:numPr>
      <w:tabs>
        <w:tab w:val="clear" w:pos="493"/>
        <w:tab w:val="num" w:pos="360"/>
      </w:tabs>
      <w:ind w:left="720" w:hanging="360"/>
    </w:pPr>
  </w:style>
  <w:style w:type="character" w:customStyle="1" w:styleId="ReportBodyChar">
    <w:name w:val="Report Body Char"/>
    <w:basedOn w:val="DefaultParagraphFont"/>
    <w:link w:val="ReportBody"/>
    <w:rsid w:val="001579BA"/>
    <w:rPr>
      <w:rFonts w:ascii="Verdana" w:hAnsi="Verdana" w:cs="Arial"/>
      <w:color w:val="000000"/>
      <w:kern w:val="22"/>
    </w:rPr>
  </w:style>
  <w:style w:type="paragraph" w:customStyle="1" w:styleId="CabStandard">
    <w:name w:val="CabStandard"/>
    <w:basedOn w:val="Normal"/>
    <w:rsid w:val="00202E3C"/>
    <w:pPr>
      <w:numPr>
        <w:numId w:val="13"/>
      </w:numPr>
      <w:spacing w:line="240" w:lineRule="auto"/>
    </w:pPr>
    <w:rPr>
      <w:rFonts w:ascii="Times New Roman" w:hAnsi="Times New Roman"/>
      <w:sz w:val="24"/>
      <w:lang w:eastAsia="ja-JP"/>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4D53D6"/>
    <w:rPr>
      <w:rFonts w:ascii="Arial" w:hAnsi="Arial"/>
      <w:sz w:val="22"/>
      <w:lang w:val="en-GB" w:eastAsia="en-GB"/>
    </w:rPr>
  </w:style>
  <w:style w:type="paragraph" w:customStyle="1" w:styleId="Bullet1">
    <w:name w:val="Bullet1"/>
    <w:basedOn w:val="Normal"/>
    <w:qFormat/>
    <w:rsid w:val="00607307"/>
    <w:pPr>
      <w:numPr>
        <w:numId w:val="17"/>
      </w:numPr>
      <w:suppressAutoHyphens/>
      <w:autoSpaceDE w:val="0"/>
      <w:autoSpaceDN w:val="0"/>
      <w:adjustRightInd w:val="0"/>
      <w:spacing w:before="120" w:after="120" w:line="240" w:lineRule="auto"/>
      <w:textAlignment w:val="center"/>
    </w:pPr>
    <w:rPr>
      <w:rFonts w:ascii="Verdana" w:hAnsi="Verdana" w:cs="Arial"/>
      <w:kern w:val="28"/>
      <w:sz w:val="20"/>
      <w:lang w:val="en-US" w:eastAsia="en-US"/>
    </w:rPr>
  </w:style>
  <w:style w:type="paragraph" w:styleId="NormalWeb">
    <w:name w:val="Normal (Web)"/>
    <w:basedOn w:val="Normal"/>
    <w:uiPriority w:val="99"/>
    <w:unhideWhenUsed/>
    <w:rsid w:val="00A05990"/>
    <w:pPr>
      <w:spacing w:before="100" w:beforeAutospacing="1" w:after="100" w:afterAutospacing="1" w:line="240" w:lineRule="auto"/>
    </w:pPr>
    <w:rPr>
      <w:rFonts w:ascii="Times New Roman" w:hAnsi="Times New Roman"/>
      <w:sz w:val="24"/>
      <w:szCs w:val="24"/>
      <w:lang w:val="en-NZ" w:eastAsia="en-NZ"/>
    </w:rPr>
  </w:style>
  <w:style w:type="character" w:styleId="Emphasis">
    <w:name w:val="Emphasis"/>
    <w:basedOn w:val="DefaultParagraphFont"/>
    <w:uiPriority w:val="20"/>
    <w:qFormat/>
    <w:rsid w:val="008F7424"/>
    <w:rPr>
      <w:i/>
      <w:iCs/>
    </w:rPr>
  </w:style>
  <w:style w:type="numbering" w:customStyle="1" w:styleId="RecList">
    <w:name w:val="Rec List"/>
    <w:basedOn w:val="NoList"/>
    <w:rsid w:val="0034269F"/>
    <w:pPr>
      <w:numPr>
        <w:numId w:val="3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NZ" w:eastAsia="en-NZ"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semiHidden="0" w:qFormat="1"/>
    <w:lsdException w:name="heading 5" w:unhideWhenUsed="1"/>
    <w:lsdException w:name="heading 6" w:unhideWhenUsed="1"/>
    <w:lsdException w:name="heading 7" w:unhideWhenUsed="1"/>
    <w:lsdException w:name="heading 8" w:unhideWhenUsed="1"/>
    <w:lsdException w:name="heading 9" w:unhideWhenUsed="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footnote text" w:uiPriority="99" w:unhideWhenUsed="1" w:qFormat="1"/>
    <w:lsdException w:name="annotation text" w:uiPriority="99" w:unhideWhenUsed="1"/>
    <w:lsdException w:name="header" w:uiPriority="99" w:unhideWhenUsed="1"/>
    <w:lsdException w:name="footer" w:uiPriority="99"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iPriority="99" w:unhideWhenUsed="1"/>
    <w:lsdException w:name="annotation reference" w:uiPriority="99"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semiHidden="0"/>
    <w:lsdException w:name="List Bullet" w:unhideWhenUsed="1"/>
    <w:lsdException w:name="List Number" w:unhideWhenUsed="1"/>
    <w:lsdException w:name="List 2" w:semiHidden="0"/>
    <w:lsdException w:name="List 3" w:semiHidden="0"/>
    <w:lsdException w:name="List 4" w:semiHidden="0"/>
    <w:lsdException w:name="List 5" w:semiHidden="0"/>
    <w:lsdException w:name="List Bullet 2" w:semiHidden="0"/>
    <w:lsdException w:name="List Bullet 3" w:semiHidden="0"/>
    <w:lsdException w:name="List Bullet 4" w:semiHidden="0"/>
    <w:lsdException w:name="List Bullet 5" w:semiHidden="0"/>
    <w:lsdException w:name="List Number 2" w:semiHidden="0"/>
    <w:lsdException w:name="List Number 3" w:semiHidden="0"/>
    <w:lsdException w:name="List Number 4" w:semiHidden="0"/>
    <w:lsdException w:name="List Number 5" w:unhideWhenUsed="1"/>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semiHidden="0"/>
    <w:lsdException w:name="Body Text Indent 2" w:semiHidden="0"/>
    <w:lsdException w:name="Body Text Indent 3" w:semiHidden="0"/>
    <w:lsdException w:name="Block Text" w:semiHidden="0"/>
    <w:lsdException w:name="Hyperlink" w:uiPriority="99" w:unhideWhenUsed="1"/>
    <w:lsdException w:name="FollowedHyperlink" w:unhideWhenUsed="1"/>
    <w:lsdException w:name="Strong" w:semiHidden="0" w:uiPriority="22"/>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iPriority="99"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iPriority="99"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Placeholder Text" w:uiPriority="99"/>
    <w:lsdException w:name="No Spacing" w:semiHidden="0" w:uiPriority="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lsdException w:name="Intense Quote" w:semiHidden="0"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lsdException w:name="Intense Emphasis" w:semiHidden="0" w:uiPriority="21"/>
    <w:lsdException w:name="Subtle Reference" w:semiHidden="0" w:uiPriority="31"/>
    <w:lsdException w:name="Intense Reference" w:semiHidden="0" w:uiPriority="32"/>
    <w:lsdException w:name="Book Title" w:semiHidden="0" w:uiPriority="33"/>
    <w:lsdException w:name="Bibliography" w:uiPriority="37" w:unhideWhenUsed="1"/>
    <w:lsdException w:name="TOC Heading" w:uiPriority="39" w:unhideWhenUsed="1" w:qFormat="1"/>
  </w:latentStyles>
  <w:style w:type="paragraph" w:default="1" w:styleId="Normal">
    <w:name w:val="Normal"/>
    <w:qFormat/>
    <w:rsid w:val="007B435A"/>
    <w:pPr>
      <w:spacing w:after="240" w:line="280" w:lineRule="atLeast"/>
    </w:pPr>
    <w:rPr>
      <w:rFonts w:ascii="Arial" w:hAnsi="Arial"/>
      <w:sz w:val="22"/>
      <w:lang w:val="en-GB" w:eastAsia="en-GB"/>
    </w:rPr>
  </w:style>
  <w:style w:type="paragraph" w:styleId="Heading1">
    <w:name w:val="heading 1"/>
    <w:basedOn w:val="Normal"/>
    <w:next w:val="Normal"/>
    <w:link w:val="Heading1Char"/>
    <w:qFormat/>
    <w:rsid w:val="004B4B2B"/>
    <w:pPr>
      <w:keepNext/>
      <w:tabs>
        <w:tab w:val="left" w:pos="567"/>
      </w:tabs>
      <w:spacing w:before="480" w:line="240" w:lineRule="auto"/>
      <w:outlineLvl w:val="0"/>
    </w:pPr>
    <w:rPr>
      <w:rFonts w:cs="Arial"/>
      <w:b/>
      <w:color w:val="002469"/>
      <w:spacing w:val="20"/>
      <w:w w:val="90"/>
      <w:sz w:val="38"/>
      <w:szCs w:val="38"/>
    </w:rPr>
  </w:style>
  <w:style w:type="paragraph" w:styleId="Heading2">
    <w:name w:val="heading 2"/>
    <w:basedOn w:val="Normal"/>
    <w:next w:val="Normal"/>
    <w:link w:val="Heading2Char"/>
    <w:qFormat/>
    <w:rsid w:val="003A2E6A"/>
    <w:pPr>
      <w:keepNext/>
      <w:tabs>
        <w:tab w:val="left" w:pos="567"/>
      </w:tabs>
      <w:spacing w:before="240" w:after="180" w:line="240" w:lineRule="auto"/>
      <w:ind w:left="567" w:hanging="567"/>
      <w:outlineLvl w:val="1"/>
    </w:pPr>
    <w:rPr>
      <w:rFonts w:ascii="Calibri" w:hAnsi="Calibri"/>
      <w:b/>
      <w:color w:val="263E78"/>
      <w:spacing w:val="20"/>
      <w:w w:val="90"/>
      <w:sz w:val="32"/>
      <w:szCs w:val="24"/>
    </w:rPr>
  </w:style>
  <w:style w:type="paragraph" w:styleId="Heading3">
    <w:name w:val="heading 3"/>
    <w:basedOn w:val="Heading2"/>
    <w:next w:val="Normal"/>
    <w:qFormat/>
    <w:rsid w:val="00374E9A"/>
    <w:pPr>
      <w:spacing w:before="200"/>
      <w:outlineLvl w:val="2"/>
    </w:pPr>
    <w:rPr>
      <w:sz w:val="24"/>
      <w:szCs w:val="22"/>
    </w:rPr>
  </w:style>
  <w:style w:type="paragraph" w:styleId="Heading4">
    <w:name w:val="heading 4"/>
    <w:basedOn w:val="Normal"/>
    <w:next w:val="Normal"/>
    <w:qFormat/>
    <w:rsid w:val="007410FD"/>
    <w:pPr>
      <w:spacing w:before="240" w:after="120" w:line="240" w:lineRule="auto"/>
      <w:outlineLvl w:val="3"/>
    </w:pPr>
    <w:rPr>
      <w:rFonts w:ascii="Calibri" w:hAnsi="Calibri"/>
      <w:b/>
      <w:bCs/>
      <w:i/>
      <w:color w:val="263E78"/>
      <w:szCs w:val="22"/>
    </w:rPr>
  </w:style>
  <w:style w:type="paragraph" w:styleId="Heading5">
    <w:name w:val="heading 5"/>
    <w:basedOn w:val="Normal"/>
    <w:next w:val="Normal"/>
    <w:rsid w:val="00504E3C"/>
    <w:pPr>
      <w:keepNext/>
      <w:widowControl w:val="0"/>
      <w:spacing w:before="80" w:after="120"/>
      <w:outlineLvl w:val="4"/>
    </w:pPr>
    <w:rPr>
      <w:color w:val="000000"/>
      <w:szCs w:val="22"/>
    </w:rPr>
  </w:style>
  <w:style w:type="paragraph" w:styleId="Heading6">
    <w:name w:val="heading 6"/>
    <w:basedOn w:val="Normal"/>
    <w:next w:val="Normal"/>
    <w:rsid w:val="00504E3C"/>
    <w:pPr>
      <w:spacing w:before="240"/>
      <w:outlineLvl w:val="5"/>
    </w:pPr>
    <w:rPr>
      <w:i/>
      <w:sz w:val="20"/>
    </w:rPr>
  </w:style>
  <w:style w:type="paragraph" w:styleId="Heading7">
    <w:name w:val="heading 7"/>
    <w:basedOn w:val="Normal"/>
    <w:next w:val="Normal"/>
    <w:rsid w:val="00504E3C"/>
    <w:pPr>
      <w:spacing w:before="240"/>
      <w:outlineLvl w:val="6"/>
    </w:pPr>
    <w:rPr>
      <w:sz w:val="20"/>
    </w:rPr>
  </w:style>
  <w:style w:type="paragraph" w:styleId="Heading8">
    <w:name w:val="heading 8"/>
    <w:basedOn w:val="Normal"/>
    <w:next w:val="Normal"/>
    <w:rsid w:val="00504E3C"/>
    <w:pPr>
      <w:spacing w:before="80" w:after="80"/>
      <w:outlineLvl w:val="7"/>
    </w:pPr>
    <w:rPr>
      <w:sz w:val="20"/>
    </w:rPr>
  </w:style>
  <w:style w:type="paragraph" w:styleId="Heading9">
    <w:name w:val="heading 9"/>
    <w:next w:val="Normal"/>
    <w:rsid w:val="00504E3C"/>
    <w:pPr>
      <w:keepNext/>
      <w:spacing w:before="160" w:line="260" w:lineRule="exact"/>
      <w:outlineLvl w:val="8"/>
    </w:pPr>
    <w:rPr>
      <w:rFonts w:ascii="Arial" w:hAnsi="Arial"/>
      <w:b/>
      <w:i/>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B4B2B"/>
    <w:rPr>
      <w:rFonts w:ascii="Arial" w:hAnsi="Arial" w:cs="Arial"/>
      <w:b/>
      <w:color w:val="002469"/>
      <w:spacing w:val="20"/>
      <w:w w:val="90"/>
      <w:sz w:val="38"/>
      <w:szCs w:val="38"/>
      <w:lang w:val="en-GB" w:eastAsia="en-GB"/>
    </w:rPr>
  </w:style>
  <w:style w:type="character" w:customStyle="1" w:styleId="Heading2Char">
    <w:name w:val="Heading 2 Char"/>
    <w:basedOn w:val="DefaultParagraphFont"/>
    <w:link w:val="Heading2"/>
    <w:rsid w:val="003A2E6A"/>
    <w:rPr>
      <w:rFonts w:ascii="Calibri" w:hAnsi="Calibri"/>
      <w:b/>
      <w:color w:val="263E78"/>
      <w:spacing w:val="20"/>
      <w:w w:val="90"/>
      <w:sz w:val="32"/>
      <w:szCs w:val="24"/>
      <w:lang w:val="en-GB" w:eastAsia="en-GB"/>
    </w:rPr>
  </w:style>
  <w:style w:type="paragraph" w:styleId="Header">
    <w:name w:val="header"/>
    <w:basedOn w:val="Normal"/>
    <w:link w:val="HeaderChar"/>
    <w:uiPriority w:val="99"/>
    <w:rsid w:val="004C2B29"/>
    <w:pPr>
      <w:tabs>
        <w:tab w:val="center" w:pos="4153"/>
        <w:tab w:val="right" w:pos="8306"/>
      </w:tabs>
    </w:pPr>
  </w:style>
  <w:style w:type="paragraph" w:styleId="Footer">
    <w:name w:val="footer"/>
    <w:basedOn w:val="Normal"/>
    <w:link w:val="FooterChar"/>
    <w:autoRedefine/>
    <w:uiPriority w:val="99"/>
    <w:rsid w:val="009C7BCF"/>
    <w:pPr>
      <w:tabs>
        <w:tab w:val="right" w:pos="9072"/>
      </w:tabs>
      <w:spacing w:after="0" w:line="240" w:lineRule="auto"/>
      <w:ind w:left="-142"/>
    </w:pPr>
    <w:rPr>
      <w:noProof/>
      <w:color w:val="002469"/>
      <w:spacing w:val="6"/>
      <w:sz w:val="16"/>
      <w:szCs w:val="16"/>
    </w:rPr>
  </w:style>
  <w:style w:type="character" w:customStyle="1" w:styleId="FooterChar">
    <w:name w:val="Footer Char"/>
    <w:basedOn w:val="DefaultParagraphFont"/>
    <w:link w:val="Footer"/>
    <w:uiPriority w:val="99"/>
    <w:rsid w:val="009C7BCF"/>
    <w:rPr>
      <w:rFonts w:ascii="Arial" w:hAnsi="Arial"/>
      <w:noProof/>
      <w:color w:val="002469"/>
      <w:spacing w:val="6"/>
      <w:sz w:val="16"/>
      <w:szCs w:val="16"/>
      <w:lang w:val="en-GB" w:eastAsia="en-GB"/>
    </w:rPr>
  </w:style>
  <w:style w:type="character" w:styleId="Hyperlink">
    <w:name w:val="Hyperlink"/>
    <w:basedOn w:val="DefaultParagraphFont"/>
    <w:uiPriority w:val="99"/>
    <w:rsid w:val="002C097E"/>
    <w:rPr>
      <w:color w:val="002469"/>
      <w:u w:val="single"/>
    </w:rPr>
  </w:style>
  <w:style w:type="paragraph" w:styleId="BalloonText">
    <w:name w:val="Balloon Text"/>
    <w:basedOn w:val="Normal"/>
    <w:semiHidden/>
    <w:rsid w:val="00504E3C"/>
    <w:rPr>
      <w:rFonts w:ascii="Tahoma" w:hAnsi="Tahoma" w:cs="Tahoma"/>
      <w:sz w:val="16"/>
      <w:szCs w:val="16"/>
    </w:rPr>
  </w:style>
  <w:style w:type="paragraph" w:styleId="Caption">
    <w:name w:val="caption"/>
    <w:basedOn w:val="Normal"/>
    <w:next w:val="Normal"/>
    <w:rsid w:val="006A3F76"/>
    <w:rPr>
      <w:b/>
      <w:bCs/>
      <w:sz w:val="20"/>
    </w:rPr>
  </w:style>
  <w:style w:type="paragraph" w:styleId="FootnoteText">
    <w:name w:val="footnote text"/>
    <w:aliases w:val="Footnote Text Char Char,Footnote Text Char Char2 Char Char,Footnote Text Char Char1 Char Char Char Char,Footnote Text Char1 Char Char Char Char Char Char,Footnote Text Char Char Char Char Char Char Char Char,Footnote Text Char1"/>
    <w:basedOn w:val="Normal"/>
    <w:link w:val="FootnoteTextChar"/>
    <w:uiPriority w:val="99"/>
    <w:qFormat/>
    <w:rsid w:val="00504E3C"/>
    <w:pPr>
      <w:tabs>
        <w:tab w:val="left" w:pos="425"/>
      </w:tabs>
      <w:spacing w:after="60" w:line="240" w:lineRule="auto"/>
      <w:ind w:left="425" w:hanging="425"/>
    </w:pPr>
    <w:rPr>
      <w:sz w:val="18"/>
    </w:rPr>
  </w:style>
  <w:style w:type="character" w:customStyle="1" w:styleId="FootnoteTextChar">
    <w:name w:val="Footnote Text Char"/>
    <w:aliases w:val="Footnote Text Char Char Char,Footnote Text Char Char2 Char Char Char,Footnote Text Char Char1 Char Char Char Char Char,Footnote Text Char1 Char Char Char Char Char Char Char,Footnote Text Char Char Char Char Char Char Char Char Char"/>
    <w:basedOn w:val="DefaultParagraphFont"/>
    <w:link w:val="FootnoteText"/>
    <w:uiPriority w:val="99"/>
    <w:rsid w:val="00E25EF0"/>
    <w:rPr>
      <w:rFonts w:ascii="Arial" w:hAnsi="Arial"/>
      <w:sz w:val="18"/>
      <w:lang w:val="en-GB" w:eastAsia="en-GB"/>
    </w:rPr>
  </w:style>
  <w:style w:type="character" w:styleId="FootnoteReference">
    <w:name w:val="footnote reference"/>
    <w:basedOn w:val="DefaultParagraphFont"/>
    <w:uiPriority w:val="99"/>
    <w:rsid w:val="00504E3C"/>
    <w:rPr>
      <w:rFonts w:ascii="Arial" w:hAnsi="Arial"/>
      <w:color w:val="auto"/>
      <w:position w:val="8"/>
      <w:sz w:val="16"/>
    </w:rPr>
  </w:style>
  <w:style w:type="paragraph" w:styleId="TOC1">
    <w:name w:val="toc 1"/>
    <w:basedOn w:val="Normal"/>
    <w:next w:val="Normal"/>
    <w:uiPriority w:val="39"/>
    <w:rsid w:val="00F80E02"/>
    <w:pPr>
      <w:tabs>
        <w:tab w:val="left" w:pos="426"/>
        <w:tab w:val="right" w:leader="dot" w:pos="9072"/>
      </w:tabs>
      <w:spacing w:before="120" w:after="120"/>
    </w:pPr>
    <w:rPr>
      <w:bCs/>
      <w:noProof/>
      <w:sz w:val="24"/>
      <w:szCs w:val="44"/>
    </w:rPr>
  </w:style>
  <w:style w:type="paragraph" w:styleId="TOC2">
    <w:name w:val="toc 2"/>
    <w:basedOn w:val="Normal"/>
    <w:next w:val="Normal"/>
    <w:uiPriority w:val="39"/>
    <w:rsid w:val="00F80E02"/>
    <w:pPr>
      <w:tabs>
        <w:tab w:val="left" w:pos="851"/>
        <w:tab w:val="right" w:leader="dot" w:pos="9072"/>
      </w:tabs>
      <w:spacing w:after="100"/>
      <w:ind w:left="425" w:right="-1"/>
    </w:pPr>
    <w:rPr>
      <w:noProof/>
      <w:sz w:val="24"/>
    </w:rPr>
  </w:style>
  <w:style w:type="paragraph" w:styleId="TOC3">
    <w:name w:val="toc 3"/>
    <w:basedOn w:val="Normal"/>
    <w:next w:val="Normal"/>
    <w:uiPriority w:val="39"/>
    <w:rsid w:val="00504E3C"/>
    <w:pPr>
      <w:tabs>
        <w:tab w:val="left" w:leader="dot" w:pos="8646"/>
        <w:tab w:val="right" w:pos="9072"/>
      </w:tabs>
      <w:ind w:left="1418" w:right="850"/>
    </w:pPr>
  </w:style>
  <w:style w:type="paragraph" w:styleId="CommentText">
    <w:name w:val="annotation text"/>
    <w:basedOn w:val="Normal"/>
    <w:link w:val="CommentTextChar"/>
    <w:uiPriority w:val="99"/>
    <w:semiHidden/>
    <w:rsid w:val="00504E3C"/>
    <w:rPr>
      <w:sz w:val="20"/>
    </w:rPr>
  </w:style>
  <w:style w:type="character" w:customStyle="1" w:styleId="CommentTextChar">
    <w:name w:val="Comment Text Char"/>
    <w:basedOn w:val="DefaultParagraphFont"/>
    <w:link w:val="CommentText"/>
    <w:uiPriority w:val="99"/>
    <w:semiHidden/>
    <w:rsid w:val="008D5CD9"/>
    <w:rPr>
      <w:rFonts w:ascii="Arial" w:hAnsi="Arial"/>
      <w:lang w:val="en-GB" w:eastAsia="en-GB"/>
    </w:rPr>
  </w:style>
  <w:style w:type="paragraph" w:styleId="CommentSubject">
    <w:name w:val="annotation subject"/>
    <w:basedOn w:val="CommentText"/>
    <w:next w:val="CommentText"/>
    <w:semiHidden/>
    <w:rsid w:val="00504E3C"/>
    <w:rPr>
      <w:b/>
      <w:bCs/>
    </w:rPr>
  </w:style>
  <w:style w:type="paragraph" w:styleId="DocumentMap">
    <w:name w:val="Document Map"/>
    <w:basedOn w:val="Normal"/>
    <w:semiHidden/>
    <w:rsid w:val="00504E3C"/>
    <w:pPr>
      <w:shd w:val="clear" w:color="auto" w:fill="000080"/>
    </w:pPr>
    <w:rPr>
      <w:rFonts w:ascii="Tahoma" w:hAnsi="Tahoma" w:cs="Tahoma"/>
      <w:sz w:val="20"/>
    </w:rPr>
  </w:style>
  <w:style w:type="paragraph" w:customStyle="1" w:styleId="Boxtext">
    <w:name w:val="Box text"/>
    <w:basedOn w:val="Normal"/>
    <w:rsid w:val="00374E9A"/>
    <w:pPr>
      <w:pBdr>
        <w:top w:val="single" w:sz="4" w:space="10" w:color="DDDDDD"/>
        <w:left w:val="single" w:sz="4" w:space="4" w:color="DDDDDD"/>
        <w:bottom w:val="single" w:sz="4" w:space="10" w:color="DDDDDD"/>
        <w:right w:val="single" w:sz="4" w:space="4" w:color="DDDDDD"/>
      </w:pBdr>
      <w:shd w:val="clear" w:color="auto" w:fill="E5E9F0"/>
      <w:spacing w:after="80"/>
      <w:ind w:left="142" w:right="142"/>
    </w:pPr>
    <w:rPr>
      <w:sz w:val="20"/>
    </w:rPr>
  </w:style>
  <w:style w:type="paragraph" w:customStyle="1" w:styleId="Boxbullet">
    <w:name w:val="Box bullet"/>
    <w:basedOn w:val="Boxtext"/>
    <w:rsid w:val="006062EF"/>
    <w:pPr>
      <w:numPr>
        <w:numId w:val="1"/>
      </w:numPr>
      <w:tabs>
        <w:tab w:val="clear" w:pos="644"/>
        <w:tab w:val="num" w:pos="426"/>
      </w:tabs>
      <w:spacing w:before="80"/>
      <w:ind w:left="426" w:hanging="284"/>
    </w:pPr>
  </w:style>
  <w:style w:type="paragraph" w:customStyle="1" w:styleId="Boxheading">
    <w:name w:val="Box heading"/>
    <w:basedOn w:val="Boxtext"/>
    <w:next w:val="Boxtext"/>
    <w:autoRedefine/>
    <w:rsid w:val="005C10C5"/>
    <w:pPr>
      <w:spacing w:after="0"/>
    </w:pPr>
    <w:rPr>
      <w:b/>
      <w:color w:val="335087"/>
      <w:sz w:val="22"/>
    </w:rPr>
  </w:style>
  <w:style w:type="paragraph" w:customStyle="1" w:styleId="Bullet-list">
    <w:name w:val="Bullet-list"/>
    <w:basedOn w:val="MOJNumPara"/>
    <w:qFormat/>
    <w:rsid w:val="005712DF"/>
    <w:pPr>
      <w:numPr>
        <w:numId w:val="5"/>
      </w:numPr>
    </w:pPr>
  </w:style>
  <w:style w:type="paragraph" w:customStyle="1" w:styleId="EvenFooter">
    <w:name w:val="Even Footer"/>
    <w:basedOn w:val="Footer"/>
    <w:rsid w:val="0054782B"/>
  </w:style>
  <w:style w:type="table" w:styleId="TableGrid">
    <w:name w:val="Table Grid"/>
    <w:basedOn w:val="TableNormal"/>
    <w:rsid w:val="00504E3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spacer">
    <w:name w:val="table_spacer"/>
    <w:basedOn w:val="Normal"/>
    <w:next w:val="Normal"/>
    <w:rsid w:val="00504E3C"/>
    <w:pPr>
      <w:keepNext/>
      <w:spacing w:after="0" w:line="240" w:lineRule="auto"/>
    </w:pPr>
    <w:rPr>
      <w:sz w:val="20"/>
    </w:rPr>
  </w:style>
  <w:style w:type="paragraph" w:customStyle="1" w:styleId="TableText">
    <w:name w:val="Table Text"/>
    <w:basedOn w:val="Normal"/>
    <w:link w:val="TableTextChar"/>
    <w:qFormat/>
    <w:rsid w:val="00504E3C"/>
    <w:pPr>
      <w:autoSpaceDE w:val="0"/>
      <w:autoSpaceDN w:val="0"/>
      <w:adjustRightInd w:val="0"/>
      <w:spacing w:before="60" w:after="60" w:line="240" w:lineRule="atLeast"/>
    </w:pPr>
    <w:rPr>
      <w:rFonts w:cs="GillSans"/>
      <w:sz w:val="20"/>
      <w:szCs w:val="22"/>
      <w:lang w:eastAsia="en-AU"/>
    </w:rPr>
  </w:style>
  <w:style w:type="character" w:customStyle="1" w:styleId="TableTextChar">
    <w:name w:val="Table Text Char"/>
    <w:basedOn w:val="DefaultParagraphFont"/>
    <w:link w:val="TableText"/>
    <w:rsid w:val="00E25EF0"/>
    <w:rPr>
      <w:rFonts w:ascii="Arial" w:hAnsi="Arial" w:cs="GillSans"/>
      <w:szCs w:val="22"/>
      <w:lang w:val="en-GB" w:eastAsia="en-AU"/>
    </w:rPr>
  </w:style>
  <w:style w:type="paragraph" w:customStyle="1" w:styleId="Evenfooter-wide">
    <w:name w:val="Even footer-wide"/>
    <w:basedOn w:val="EvenFooter"/>
    <w:rsid w:val="0054782B"/>
  </w:style>
  <w:style w:type="character" w:styleId="CommentReference">
    <w:name w:val="annotation reference"/>
    <w:basedOn w:val="DefaultParagraphFont"/>
    <w:uiPriority w:val="99"/>
    <w:semiHidden/>
    <w:rsid w:val="00504E3C"/>
    <w:rPr>
      <w:sz w:val="16"/>
      <w:szCs w:val="16"/>
    </w:rPr>
  </w:style>
  <w:style w:type="character" w:styleId="FollowedHyperlink">
    <w:name w:val="FollowedHyperlink"/>
    <w:basedOn w:val="DefaultParagraphFont"/>
    <w:rsid w:val="00912583"/>
    <w:rPr>
      <w:color w:val="800080"/>
      <w:u w:val="single"/>
    </w:rPr>
  </w:style>
  <w:style w:type="paragraph" w:styleId="List">
    <w:name w:val="List"/>
    <w:basedOn w:val="Normal"/>
    <w:rsid w:val="00C9795B"/>
    <w:pPr>
      <w:ind w:left="283" w:hanging="283"/>
    </w:pPr>
  </w:style>
  <w:style w:type="paragraph" w:customStyle="1" w:styleId="Boxindent">
    <w:name w:val="Box indent"/>
    <w:basedOn w:val="Boxtext"/>
    <w:rsid w:val="001B24D5"/>
    <w:pPr>
      <w:tabs>
        <w:tab w:val="left" w:pos="426"/>
      </w:tabs>
      <w:ind w:left="426" w:hanging="284"/>
    </w:pPr>
  </w:style>
  <w:style w:type="paragraph" w:styleId="Title">
    <w:name w:val="Title"/>
    <w:basedOn w:val="Normal"/>
    <w:rsid w:val="00855476"/>
    <w:pPr>
      <w:widowControl w:val="0"/>
      <w:autoSpaceDE w:val="0"/>
      <w:autoSpaceDN w:val="0"/>
      <w:adjustRightInd w:val="0"/>
      <w:spacing w:before="1560" w:after="720" w:line="240" w:lineRule="atLeast"/>
    </w:pPr>
    <w:rPr>
      <w:rFonts w:cs="Arial"/>
      <w:color w:val="002469"/>
      <w:spacing w:val="40"/>
      <w:w w:val="90"/>
      <w:sz w:val="48"/>
      <w:szCs w:val="48"/>
    </w:rPr>
  </w:style>
  <w:style w:type="paragraph" w:customStyle="1" w:styleId="Author">
    <w:name w:val="Author"/>
    <w:basedOn w:val="Normal"/>
    <w:semiHidden/>
    <w:rsid w:val="00DF4E1F"/>
    <w:pPr>
      <w:spacing w:before="240" w:after="1200"/>
      <w:ind w:left="-181"/>
      <w:jc w:val="right"/>
    </w:pPr>
    <w:rPr>
      <w:rFonts w:cs="Arial"/>
      <w:i/>
      <w:sz w:val="40"/>
      <w:szCs w:val="22"/>
    </w:rPr>
  </w:style>
  <w:style w:type="paragraph" w:customStyle="1" w:styleId="spacer">
    <w:name w:val="spacer"/>
    <w:basedOn w:val="Normal"/>
    <w:qFormat/>
    <w:rsid w:val="00BF2DF2"/>
    <w:pPr>
      <w:spacing w:after="0" w:line="240" w:lineRule="auto"/>
    </w:pPr>
    <w:rPr>
      <w:sz w:val="16"/>
      <w:szCs w:val="22"/>
      <w:lang w:eastAsia="en-AU"/>
    </w:rPr>
  </w:style>
  <w:style w:type="paragraph" w:styleId="Subtitle">
    <w:name w:val="Subtitle"/>
    <w:basedOn w:val="Title"/>
    <w:next w:val="Normal"/>
    <w:link w:val="SubtitleChar"/>
    <w:rsid w:val="00855476"/>
    <w:pPr>
      <w:spacing w:before="360" w:line="600" w:lineRule="atLeast"/>
    </w:pPr>
    <w:rPr>
      <w:sz w:val="36"/>
      <w:szCs w:val="36"/>
    </w:rPr>
  </w:style>
  <w:style w:type="character" w:customStyle="1" w:styleId="SubtitleChar">
    <w:name w:val="Subtitle Char"/>
    <w:basedOn w:val="DefaultParagraphFont"/>
    <w:link w:val="Subtitle"/>
    <w:rsid w:val="00855476"/>
    <w:rPr>
      <w:rFonts w:ascii="Arial" w:hAnsi="Arial" w:cs="Arial"/>
      <w:color w:val="001C4D"/>
      <w:spacing w:val="40"/>
      <w:w w:val="90"/>
      <w:sz w:val="36"/>
      <w:szCs w:val="36"/>
      <w:lang w:val="en-GB" w:eastAsia="en-GB"/>
    </w:rPr>
  </w:style>
  <w:style w:type="paragraph" w:customStyle="1" w:styleId="TableBullet1">
    <w:name w:val="Table Bullet 1"/>
    <w:basedOn w:val="TableText"/>
    <w:rsid w:val="00E25EF0"/>
    <w:pPr>
      <w:numPr>
        <w:numId w:val="2"/>
      </w:numPr>
      <w:autoSpaceDE/>
      <w:autoSpaceDN/>
      <w:adjustRightInd/>
      <w:spacing w:before="30" w:after="30" w:line="240" w:lineRule="auto"/>
    </w:pPr>
    <w:rPr>
      <w:rFonts w:ascii="Garamond" w:hAnsi="Garamond" w:cs="Times New Roman"/>
      <w:sz w:val="22"/>
      <w:szCs w:val="24"/>
      <w:lang w:val="en-NZ" w:eastAsia="en-NZ"/>
    </w:rPr>
  </w:style>
  <w:style w:type="paragraph" w:customStyle="1" w:styleId="TableBullet2">
    <w:name w:val="Table Bullet 2"/>
    <w:basedOn w:val="TableText"/>
    <w:rsid w:val="00E25EF0"/>
    <w:pPr>
      <w:numPr>
        <w:ilvl w:val="1"/>
        <w:numId w:val="2"/>
      </w:numPr>
      <w:autoSpaceDE/>
      <w:autoSpaceDN/>
      <w:adjustRightInd/>
      <w:spacing w:before="30" w:after="30" w:line="240" w:lineRule="auto"/>
    </w:pPr>
    <w:rPr>
      <w:rFonts w:ascii="Garamond" w:hAnsi="Garamond" w:cs="Times New Roman"/>
      <w:sz w:val="22"/>
      <w:szCs w:val="24"/>
      <w:lang w:val="en-NZ" w:eastAsia="en-NZ"/>
    </w:rPr>
  </w:style>
  <w:style w:type="paragraph" w:customStyle="1" w:styleId="Intro">
    <w:name w:val="Intro"/>
    <w:basedOn w:val="Normal"/>
    <w:qFormat/>
    <w:rsid w:val="008D5CD9"/>
    <w:pPr>
      <w:spacing w:line="360" w:lineRule="atLeast"/>
    </w:pPr>
    <w:rPr>
      <w:color w:val="335087"/>
      <w:sz w:val="24"/>
    </w:rPr>
  </w:style>
  <w:style w:type="paragraph" w:styleId="ListParagraph">
    <w:name w:val="List Paragraph"/>
    <w:aliases w:val="List Paragraph1,Recommendation,List Paragraph11,TOC style,lp1,Bullet OSM,Proposal Bullet List,Bullets,Rec para,Dot pt,F5 List Paragraph,No Spacing1,List Paragraph Char Char Char,Indicator Text,Numbered Para 1,Colorful List - Accent 11,L"/>
    <w:basedOn w:val="Normal"/>
    <w:link w:val="ListParagraphChar"/>
    <w:uiPriority w:val="34"/>
    <w:qFormat/>
    <w:rsid w:val="008D5CD9"/>
    <w:pPr>
      <w:ind w:left="720"/>
      <w:contextualSpacing/>
    </w:pPr>
  </w:style>
  <w:style w:type="paragraph" w:customStyle="1" w:styleId="Text">
    <w:name w:val="Text"/>
    <w:basedOn w:val="Normal"/>
    <w:link w:val="TextChar"/>
    <w:rsid w:val="008D5CD9"/>
    <w:pPr>
      <w:spacing w:before="120" w:after="120" w:line="300" w:lineRule="exact"/>
      <w:jc w:val="both"/>
    </w:pPr>
    <w:rPr>
      <w:lang w:eastAsia="en-US"/>
    </w:rPr>
  </w:style>
  <w:style w:type="character" w:customStyle="1" w:styleId="TextChar">
    <w:name w:val="Text Char"/>
    <w:basedOn w:val="DefaultParagraphFont"/>
    <w:link w:val="Text"/>
    <w:rsid w:val="008D5CD9"/>
    <w:rPr>
      <w:rFonts w:ascii="Arial" w:hAnsi="Arial"/>
      <w:sz w:val="22"/>
      <w:lang w:val="en-GB" w:eastAsia="en-US"/>
    </w:rPr>
  </w:style>
  <w:style w:type="paragraph" w:customStyle="1" w:styleId="TableBullet">
    <w:name w:val="Table Bullet"/>
    <w:basedOn w:val="Normal"/>
    <w:rsid w:val="001F492F"/>
    <w:pPr>
      <w:numPr>
        <w:ilvl w:val="1"/>
        <w:numId w:val="3"/>
      </w:numPr>
    </w:pPr>
  </w:style>
  <w:style w:type="paragraph" w:customStyle="1" w:styleId="MOJHeading1">
    <w:name w:val="MOJ Heading 1"/>
    <w:basedOn w:val="Normal"/>
    <w:next w:val="MOJNumPara"/>
    <w:link w:val="MOJHeading1Char"/>
    <w:rsid w:val="009E5FBF"/>
    <w:pPr>
      <w:keepNext/>
      <w:spacing w:before="230" w:after="0" w:line="240" w:lineRule="auto"/>
      <w:jc w:val="both"/>
      <w:outlineLvl w:val="0"/>
    </w:pPr>
    <w:rPr>
      <w:b/>
      <w:sz w:val="26"/>
      <w:lang w:val="en-NZ"/>
    </w:rPr>
  </w:style>
  <w:style w:type="paragraph" w:customStyle="1" w:styleId="MOJNumPara">
    <w:name w:val="MOJ Num Para"/>
    <w:basedOn w:val="Normal"/>
    <w:link w:val="MOJNumParaChar"/>
    <w:qFormat/>
    <w:rsid w:val="007410FD"/>
    <w:pPr>
      <w:numPr>
        <w:numId w:val="4"/>
      </w:numPr>
      <w:spacing w:before="120" w:after="0" w:line="240" w:lineRule="auto"/>
      <w:jc w:val="both"/>
    </w:pPr>
    <w:rPr>
      <w:rFonts w:ascii="Calibri" w:hAnsi="Calibri"/>
      <w:sz w:val="23"/>
      <w:szCs w:val="23"/>
      <w:lang w:val="en-NZ"/>
    </w:rPr>
  </w:style>
  <w:style w:type="paragraph" w:customStyle="1" w:styleId="MOJLevel2NumPara">
    <w:name w:val="MOJ Level 2 Num Para"/>
    <w:basedOn w:val="MOJNumPara"/>
    <w:qFormat/>
    <w:rsid w:val="009E5FBF"/>
    <w:pPr>
      <w:numPr>
        <w:ilvl w:val="1"/>
      </w:numPr>
    </w:pPr>
  </w:style>
  <w:style w:type="paragraph" w:customStyle="1" w:styleId="MOJLevel3NumPara">
    <w:name w:val="MOJ Level 3 Num Para"/>
    <w:basedOn w:val="MOJLevel2NumPara"/>
    <w:qFormat/>
    <w:rsid w:val="009E5FBF"/>
    <w:pPr>
      <w:numPr>
        <w:ilvl w:val="2"/>
      </w:numPr>
    </w:pPr>
  </w:style>
  <w:style w:type="paragraph" w:customStyle="1" w:styleId="MOJLevel4NumPara">
    <w:name w:val="MOJ Level 4 Num Para"/>
    <w:basedOn w:val="MOJLevel3NumPara"/>
    <w:qFormat/>
    <w:rsid w:val="009E5FBF"/>
    <w:pPr>
      <w:numPr>
        <w:ilvl w:val="3"/>
      </w:numPr>
    </w:pPr>
  </w:style>
  <w:style w:type="character" w:customStyle="1" w:styleId="MOJNumParaChar">
    <w:name w:val="MOJ Num Para Char"/>
    <w:basedOn w:val="DefaultParagraphFont"/>
    <w:link w:val="MOJNumPara"/>
    <w:rsid w:val="007410FD"/>
    <w:rPr>
      <w:rFonts w:ascii="Calibri" w:hAnsi="Calibri"/>
      <w:sz w:val="23"/>
      <w:szCs w:val="23"/>
      <w:lang w:eastAsia="en-GB"/>
    </w:rPr>
  </w:style>
  <w:style w:type="character" w:customStyle="1" w:styleId="MOJHeading1Char">
    <w:name w:val="MOJ Heading 1 Char"/>
    <w:basedOn w:val="DefaultParagraphFont"/>
    <w:link w:val="MOJHeading1"/>
    <w:rsid w:val="009E5FBF"/>
    <w:rPr>
      <w:rFonts w:ascii="Arial" w:hAnsi="Arial"/>
      <w:b/>
      <w:sz w:val="26"/>
      <w:lang w:eastAsia="en-GB"/>
    </w:rPr>
  </w:style>
  <w:style w:type="paragraph" w:customStyle="1" w:styleId="Default">
    <w:name w:val="Default"/>
    <w:rsid w:val="00950D43"/>
    <w:pPr>
      <w:autoSpaceDE w:val="0"/>
      <w:autoSpaceDN w:val="0"/>
      <w:adjustRightInd w:val="0"/>
    </w:pPr>
    <w:rPr>
      <w:rFonts w:ascii="Arial" w:hAnsi="Arial" w:cs="Arial"/>
      <w:color w:val="000000"/>
      <w:sz w:val="24"/>
      <w:szCs w:val="24"/>
    </w:rPr>
  </w:style>
  <w:style w:type="character" w:customStyle="1" w:styleId="HeaderChar">
    <w:name w:val="Header Char"/>
    <w:basedOn w:val="DefaultParagraphFont"/>
    <w:link w:val="Header"/>
    <w:uiPriority w:val="99"/>
    <w:rsid w:val="00CB38AA"/>
    <w:rPr>
      <w:rFonts w:ascii="Arial" w:hAnsi="Arial"/>
      <w:sz w:val="22"/>
      <w:lang w:val="en-GB" w:eastAsia="en-GB"/>
    </w:rPr>
  </w:style>
  <w:style w:type="paragraph" w:customStyle="1" w:styleId="ReportBody">
    <w:name w:val="Report Body"/>
    <w:basedOn w:val="Normal"/>
    <w:link w:val="ReportBodyChar"/>
    <w:qFormat/>
    <w:rsid w:val="001579BA"/>
    <w:pPr>
      <w:numPr>
        <w:numId w:val="8"/>
      </w:numPr>
      <w:spacing w:before="120" w:after="120" w:line="240" w:lineRule="auto"/>
    </w:pPr>
    <w:rPr>
      <w:rFonts w:ascii="Verdana" w:hAnsi="Verdana" w:cs="Arial"/>
      <w:color w:val="000000"/>
      <w:kern w:val="22"/>
      <w:sz w:val="20"/>
      <w:lang w:val="en-NZ" w:eastAsia="en-NZ"/>
    </w:rPr>
  </w:style>
  <w:style w:type="paragraph" w:customStyle="1" w:styleId="ReportBody2">
    <w:name w:val="Report Body 2"/>
    <w:basedOn w:val="ReportBody"/>
    <w:qFormat/>
    <w:rsid w:val="001579BA"/>
    <w:pPr>
      <w:numPr>
        <w:ilvl w:val="1"/>
      </w:numPr>
      <w:tabs>
        <w:tab w:val="clear" w:pos="493"/>
        <w:tab w:val="num" w:pos="360"/>
      </w:tabs>
      <w:ind w:left="720" w:hanging="360"/>
    </w:pPr>
  </w:style>
  <w:style w:type="character" w:customStyle="1" w:styleId="ReportBodyChar">
    <w:name w:val="Report Body Char"/>
    <w:basedOn w:val="DefaultParagraphFont"/>
    <w:link w:val="ReportBody"/>
    <w:rsid w:val="001579BA"/>
    <w:rPr>
      <w:rFonts w:ascii="Verdana" w:hAnsi="Verdana" w:cs="Arial"/>
      <w:color w:val="000000"/>
      <w:kern w:val="22"/>
    </w:rPr>
  </w:style>
  <w:style w:type="paragraph" w:customStyle="1" w:styleId="CabStandard">
    <w:name w:val="CabStandard"/>
    <w:basedOn w:val="Normal"/>
    <w:rsid w:val="00202E3C"/>
    <w:pPr>
      <w:numPr>
        <w:numId w:val="13"/>
      </w:numPr>
      <w:spacing w:line="240" w:lineRule="auto"/>
    </w:pPr>
    <w:rPr>
      <w:rFonts w:ascii="Times New Roman" w:hAnsi="Times New Roman"/>
      <w:sz w:val="24"/>
      <w:lang w:eastAsia="ja-JP"/>
    </w:rPr>
  </w:style>
  <w:style w:type="character" w:customStyle="1" w:styleId="ListParagraphChar">
    <w:name w:val="List Paragraph Char"/>
    <w:aliases w:val="List Paragraph1 Char,Recommendation Char,List Paragraph11 Char,TOC style Char,lp1 Char,Bullet OSM Char,Proposal Bullet List Char,Bullets Char,Rec para Char,Dot pt Char,F5 List Paragraph Char,No Spacing1 Char,Indicator Text Char"/>
    <w:basedOn w:val="DefaultParagraphFont"/>
    <w:link w:val="ListParagraph"/>
    <w:uiPriority w:val="34"/>
    <w:qFormat/>
    <w:rsid w:val="004D53D6"/>
    <w:rPr>
      <w:rFonts w:ascii="Arial" w:hAnsi="Arial"/>
      <w:sz w:val="22"/>
      <w:lang w:val="en-GB" w:eastAsia="en-GB"/>
    </w:rPr>
  </w:style>
  <w:style w:type="paragraph" w:customStyle="1" w:styleId="Bullet1">
    <w:name w:val="Bullet1"/>
    <w:basedOn w:val="Normal"/>
    <w:qFormat/>
    <w:rsid w:val="00607307"/>
    <w:pPr>
      <w:numPr>
        <w:numId w:val="17"/>
      </w:numPr>
      <w:suppressAutoHyphens/>
      <w:autoSpaceDE w:val="0"/>
      <w:autoSpaceDN w:val="0"/>
      <w:adjustRightInd w:val="0"/>
      <w:spacing w:before="120" w:after="120" w:line="240" w:lineRule="auto"/>
      <w:textAlignment w:val="center"/>
    </w:pPr>
    <w:rPr>
      <w:rFonts w:ascii="Verdana" w:hAnsi="Verdana" w:cs="Arial"/>
      <w:kern w:val="28"/>
      <w:sz w:val="20"/>
      <w:lang w:val="en-US" w:eastAsia="en-US"/>
    </w:rPr>
  </w:style>
  <w:style w:type="paragraph" w:styleId="NormalWeb">
    <w:name w:val="Normal (Web)"/>
    <w:basedOn w:val="Normal"/>
    <w:uiPriority w:val="99"/>
    <w:unhideWhenUsed/>
    <w:rsid w:val="00A05990"/>
    <w:pPr>
      <w:spacing w:before="100" w:beforeAutospacing="1" w:after="100" w:afterAutospacing="1" w:line="240" w:lineRule="auto"/>
    </w:pPr>
    <w:rPr>
      <w:rFonts w:ascii="Times New Roman" w:hAnsi="Times New Roman"/>
      <w:sz w:val="24"/>
      <w:szCs w:val="24"/>
      <w:lang w:val="en-NZ" w:eastAsia="en-NZ"/>
    </w:rPr>
  </w:style>
  <w:style w:type="character" w:styleId="Emphasis">
    <w:name w:val="Emphasis"/>
    <w:basedOn w:val="DefaultParagraphFont"/>
    <w:uiPriority w:val="20"/>
    <w:qFormat/>
    <w:rsid w:val="008F7424"/>
    <w:rPr>
      <w:i/>
      <w:iCs/>
    </w:rPr>
  </w:style>
  <w:style w:type="numbering" w:customStyle="1" w:styleId="RecList">
    <w:name w:val="Rec List"/>
    <w:basedOn w:val="NoList"/>
    <w:rsid w:val="0034269F"/>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13835">
      <w:bodyDiv w:val="1"/>
      <w:marLeft w:val="0"/>
      <w:marRight w:val="0"/>
      <w:marTop w:val="0"/>
      <w:marBottom w:val="0"/>
      <w:divBdr>
        <w:top w:val="none" w:sz="0" w:space="0" w:color="auto"/>
        <w:left w:val="none" w:sz="0" w:space="0" w:color="auto"/>
        <w:bottom w:val="none" w:sz="0" w:space="0" w:color="auto"/>
        <w:right w:val="none" w:sz="0" w:space="0" w:color="auto"/>
      </w:divBdr>
      <w:divsChild>
        <w:div w:id="671572252">
          <w:marLeft w:val="0"/>
          <w:marRight w:val="0"/>
          <w:marTop w:val="0"/>
          <w:marBottom w:val="0"/>
          <w:divBdr>
            <w:top w:val="none" w:sz="0" w:space="0" w:color="auto"/>
            <w:left w:val="none" w:sz="0" w:space="0" w:color="auto"/>
            <w:bottom w:val="none" w:sz="0" w:space="0" w:color="auto"/>
            <w:right w:val="none" w:sz="0" w:space="0" w:color="auto"/>
          </w:divBdr>
          <w:divsChild>
            <w:div w:id="859707625">
              <w:marLeft w:val="0"/>
              <w:marRight w:val="0"/>
              <w:marTop w:val="0"/>
              <w:marBottom w:val="0"/>
              <w:divBdr>
                <w:top w:val="none" w:sz="0" w:space="0" w:color="auto"/>
                <w:left w:val="none" w:sz="0" w:space="0" w:color="auto"/>
                <w:bottom w:val="none" w:sz="0" w:space="0" w:color="auto"/>
                <w:right w:val="none" w:sz="0" w:space="0" w:color="auto"/>
              </w:divBdr>
              <w:divsChild>
                <w:div w:id="649408707">
                  <w:marLeft w:val="0"/>
                  <w:marRight w:val="0"/>
                  <w:marTop w:val="0"/>
                  <w:marBottom w:val="0"/>
                  <w:divBdr>
                    <w:top w:val="none" w:sz="0" w:space="0" w:color="auto"/>
                    <w:left w:val="none" w:sz="0" w:space="0" w:color="auto"/>
                    <w:bottom w:val="none" w:sz="0" w:space="0" w:color="auto"/>
                    <w:right w:val="none" w:sz="0" w:space="0" w:color="auto"/>
                  </w:divBdr>
                  <w:divsChild>
                    <w:div w:id="809906057">
                      <w:marLeft w:val="0"/>
                      <w:marRight w:val="0"/>
                      <w:marTop w:val="0"/>
                      <w:marBottom w:val="0"/>
                      <w:divBdr>
                        <w:top w:val="none" w:sz="0" w:space="0" w:color="auto"/>
                        <w:left w:val="none" w:sz="0" w:space="0" w:color="auto"/>
                        <w:bottom w:val="none" w:sz="0" w:space="0" w:color="auto"/>
                        <w:right w:val="none" w:sz="0" w:space="0" w:color="auto"/>
                      </w:divBdr>
                      <w:divsChild>
                        <w:div w:id="1132791379">
                          <w:marLeft w:val="0"/>
                          <w:marRight w:val="0"/>
                          <w:marTop w:val="0"/>
                          <w:marBottom w:val="0"/>
                          <w:divBdr>
                            <w:top w:val="none" w:sz="0" w:space="0" w:color="auto"/>
                            <w:left w:val="none" w:sz="0" w:space="0" w:color="auto"/>
                            <w:bottom w:val="none" w:sz="0" w:space="0" w:color="auto"/>
                            <w:right w:val="none" w:sz="0" w:space="0" w:color="auto"/>
                          </w:divBdr>
                          <w:divsChild>
                            <w:div w:id="1112633500">
                              <w:marLeft w:val="0"/>
                              <w:marRight w:val="0"/>
                              <w:marTop w:val="0"/>
                              <w:marBottom w:val="0"/>
                              <w:divBdr>
                                <w:top w:val="none" w:sz="0" w:space="0" w:color="auto"/>
                                <w:left w:val="none" w:sz="0" w:space="0" w:color="auto"/>
                                <w:bottom w:val="none" w:sz="0" w:space="0" w:color="auto"/>
                                <w:right w:val="none" w:sz="0" w:space="0" w:color="auto"/>
                              </w:divBdr>
                              <w:divsChild>
                                <w:div w:id="122167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489943">
      <w:bodyDiv w:val="1"/>
      <w:marLeft w:val="0"/>
      <w:marRight w:val="0"/>
      <w:marTop w:val="0"/>
      <w:marBottom w:val="0"/>
      <w:divBdr>
        <w:top w:val="none" w:sz="0" w:space="0" w:color="auto"/>
        <w:left w:val="none" w:sz="0" w:space="0" w:color="auto"/>
        <w:bottom w:val="none" w:sz="0" w:space="0" w:color="auto"/>
        <w:right w:val="none" w:sz="0" w:space="0" w:color="auto"/>
      </w:divBdr>
    </w:div>
    <w:div w:id="137309396">
      <w:bodyDiv w:val="1"/>
      <w:marLeft w:val="0"/>
      <w:marRight w:val="0"/>
      <w:marTop w:val="0"/>
      <w:marBottom w:val="0"/>
      <w:divBdr>
        <w:top w:val="none" w:sz="0" w:space="0" w:color="auto"/>
        <w:left w:val="none" w:sz="0" w:space="0" w:color="auto"/>
        <w:bottom w:val="none" w:sz="0" w:space="0" w:color="auto"/>
        <w:right w:val="none" w:sz="0" w:space="0" w:color="auto"/>
      </w:divBdr>
    </w:div>
    <w:div w:id="165100710">
      <w:bodyDiv w:val="1"/>
      <w:marLeft w:val="0"/>
      <w:marRight w:val="0"/>
      <w:marTop w:val="0"/>
      <w:marBottom w:val="0"/>
      <w:divBdr>
        <w:top w:val="single" w:sz="48" w:space="0" w:color="063853"/>
        <w:left w:val="none" w:sz="0" w:space="0" w:color="auto"/>
        <w:bottom w:val="none" w:sz="0" w:space="0" w:color="auto"/>
        <w:right w:val="none" w:sz="0" w:space="0" w:color="auto"/>
      </w:divBdr>
      <w:divsChild>
        <w:div w:id="1087577437">
          <w:marLeft w:val="0"/>
          <w:marRight w:val="0"/>
          <w:marTop w:val="0"/>
          <w:marBottom w:val="0"/>
          <w:divBdr>
            <w:top w:val="none" w:sz="0" w:space="0" w:color="auto"/>
            <w:left w:val="none" w:sz="0" w:space="0" w:color="auto"/>
            <w:bottom w:val="none" w:sz="0" w:space="0" w:color="auto"/>
            <w:right w:val="none" w:sz="0" w:space="0" w:color="auto"/>
          </w:divBdr>
          <w:divsChild>
            <w:div w:id="951589815">
              <w:marLeft w:val="-468"/>
              <w:marRight w:val="0"/>
              <w:marTop w:val="0"/>
              <w:marBottom w:val="0"/>
              <w:divBdr>
                <w:top w:val="none" w:sz="0" w:space="0" w:color="auto"/>
                <w:left w:val="none" w:sz="0" w:space="0" w:color="auto"/>
                <w:bottom w:val="none" w:sz="0" w:space="0" w:color="auto"/>
                <w:right w:val="none" w:sz="0" w:space="0" w:color="auto"/>
              </w:divBdr>
            </w:div>
          </w:divsChild>
        </w:div>
      </w:divsChild>
    </w:div>
    <w:div w:id="200172542">
      <w:bodyDiv w:val="1"/>
      <w:marLeft w:val="0"/>
      <w:marRight w:val="0"/>
      <w:marTop w:val="0"/>
      <w:marBottom w:val="0"/>
      <w:divBdr>
        <w:top w:val="none" w:sz="0" w:space="0" w:color="auto"/>
        <w:left w:val="none" w:sz="0" w:space="0" w:color="auto"/>
        <w:bottom w:val="none" w:sz="0" w:space="0" w:color="auto"/>
        <w:right w:val="none" w:sz="0" w:space="0" w:color="auto"/>
      </w:divBdr>
      <w:divsChild>
        <w:div w:id="1975140607">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1439450257">
                  <w:marLeft w:val="0"/>
                  <w:marRight w:val="0"/>
                  <w:marTop w:val="0"/>
                  <w:marBottom w:val="0"/>
                  <w:divBdr>
                    <w:top w:val="none" w:sz="0" w:space="0" w:color="auto"/>
                    <w:left w:val="none" w:sz="0" w:space="0" w:color="auto"/>
                    <w:bottom w:val="none" w:sz="0" w:space="0" w:color="auto"/>
                    <w:right w:val="none" w:sz="0" w:space="0" w:color="auto"/>
                  </w:divBdr>
                  <w:divsChild>
                    <w:div w:id="1832716204">
                      <w:marLeft w:val="0"/>
                      <w:marRight w:val="0"/>
                      <w:marTop w:val="0"/>
                      <w:marBottom w:val="0"/>
                      <w:divBdr>
                        <w:top w:val="none" w:sz="0" w:space="0" w:color="auto"/>
                        <w:left w:val="none" w:sz="0" w:space="0" w:color="auto"/>
                        <w:bottom w:val="none" w:sz="0" w:space="0" w:color="auto"/>
                        <w:right w:val="none" w:sz="0" w:space="0" w:color="auto"/>
                      </w:divBdr>
                      <w:divsChild>
                        <w:div w:id="1923293342">
                          <w:marLeft w:val="0"/>
                          <w:marRight w:val="0"/>
                          <w:marTop w:val="0"/>
                          <w:marBottom w:val="0"/>
                          <w:divBdr>
                            <w:top w:val="none" w:sz="0" w:space="0" w:color="auto"/>
                            <w:left w:val="none" w:sz="0" w:space="0" w:color="auto"/>
                            <w:bottom w:val="none" w:sz="0" w:space="0" w:color="auto"/>
                            <w:right w:val="none" w:sz="0" w:space="0" w:color="auto"/>
                          </w:divBdr>
                          <w:divsChild>
                            <w:div w:id="1192455352">
                              <w:marLeft w:val="0"/>
                              <w:marRight w:val="0"/>
                              <w:marTop w:val="0"/>
                              <w:marBottom w:val="0"/>
                              <w:divBdr>
                                <w:top w:val="none" w:sz="0" w:space="0" w:color="auto"/>
                                <w:left w:val="none" w:sz="0" w:space="0" w:color="auto"/>
                                <w:bottom w:val="none" w:sz="0" w:space="0" w:color="auto"/>
                                <w:right w:val="none" w:sz="0" w:space="0" w:color="auto"/>
                              </w:divBdr>
                              <w:divsChild>
                                <w:div w:id="154029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4485323">
      <w:bodyDiv w:val="1"/>
      <w:marLeft w:val="0"/>
      <w:marRight w:val="0"/>
      <w:marTop w:val="0"/>
      <w:marBottom w:val="0"/>
      <w:divBdr>
        <w:top w:val="none" w:sz="0" w:space="0" w:color="auto"/>
        <w:left w:val="none" w:sz="0" w:space="0" w:color="auto"/>
        <w:bottom w:val="none" w:sz="0" w:space="0" w:color="auto"/>
        <w:right w:val="none" w:sz="0" w:space="0" w:color="auto"/>
      </w:divBdr>
      <w:divsChild>
        <w:div w:id="745689828">
          <w:marLeft w:val="0"/>
          <w:marRight w:val="0"/>
          <w:marTop w:val="0"/>
          <w:marBottom w:val="0"/>
          <w:divBdr>
            <w:top w:val="none" w:sz="0" w:space="0" w:color="auto"/>
            <w:left w:val="none" w:sz="0" w:space="0" w:color="auto"/>
            <w:bottom w:val="none" w:sz="0" w:space="0" w:color="auto"/>
            <w:right w:val="none" w:sz="0" w:space="0" w:color="auto"/>
          </w:divBdr>
          <w:divsChild>
            <w:div w:id="1771196443">
              <w:marLeft w:val="0"/>
              <w:marRight w:val="0"/>
              <w:marTop w:val="0"/>
              <w:marBottom w:val="0"/>
              <w:divBdr>
                <w:top w:val="none" w:sz="0" w:space="0" w:color="auto"/>
                <w:left w:val="none" w:sz="0" w:space="0" w:color="auto"/>
                <w:bottom w:val="none" w:sz="0" w:space="0" w:color="auto"/>
                <w:right w:val="none" w:sz="0" w:space="0" w:color="auto"/>
              </w:divBdr>
              <w:divsChild>
                <w:div w:id="805047860">
                  <w:marLeft w:val="0"/>
                  <w:marRight w:val="0"/>
                  <w:marTop w:val="0"/>
                  <w:marBottom w:val="0"/>
                  <w:divBdr>
                    <w:top w:val="none" w:sz="0" w:space="0" w:color="auto"/>
                    <w:left w:val="none" w:sz="0" w:space="0" w:color="auto"/>
                    <w:bottom w:val="none" w:sz="0" w:space="0" w:color="auto"/>
                    <w:right w:val="none" w:sz="0" w:space="0" w:color="auto"/>
                  </w:divBdr>
                  <w:divsChild>
                    <w:div w:id="1012754767">
                      <w:marLeft w:val="0"/>
                      <w:marRight w:val="0"/>
                      <w:marTop w:val="0"/>
                      <w:marBottom w:val="0"/>
                      <w:divBdr>
                        <w:top w:val="none" w:sz="0" w:space="0" w:color="auto"/>
                        <w:left w:val="none" w:sz="0" w:space="0" w:color="auto"/>
                        <w:bottom w:val="none" w:sz="0" w:space="0" w:color="auto"/>
                        <w:right w:val="none" w:sz="0" w:space="0" w:color="auto"/>
                      </w:divBdr>
                      <w:divsChild>
                        <w:div w:id="138768720">
                          <w:marLeft w:val="0"/>
                          <w:marRight w:val="0"/>
                          <w:marTop w:val="0"/>
                          <w:marBottom w:val="0"/>
                          <w:divBdr>
                            <w:top w:val="none" w:sz="0" w:space="0" w:color="auto"/>
                            <w:left w:val="none" w:sz="0" w:space="0" w:color="auto"/>
                            <w:bottom w:val="none" w:sz="0" w:space="0" w:color="auto"/>
                            <w:right w:val="none" w:sz="0" w:space="0" w:color="auto"/>
                          </w:divBdr>
                          <w:divsChild>
                            <w:div w:id="138034671">
                              <w:marLeft w:val="0"/>
                              <w:marRight w:val="0"/>
                              <w:marTop w:val="0"/>
                              <w:marBottom w:val="0"/>
                              <w:divBdr>
                                <w:top w:val="none" w:sz="0" w:space="0" w:color="auto"/>
                                <w:left w:val="none" w:sz="0" w:space="0" w:color="auto"/>
                                <w:bottom w:val="none" w:sz="0" w:space="0" w:color="auto"/>
                                <w:right w:val="none" w:sz="0" w:space="0" w:color="auto"/>
                              </w:divBdr>
                              <w:divsChild>
                                <w:div w:id="178738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5062850">
      <w:bodyDiv w:val="1"/>
      <w:marLeft w:val="0"/>
      <w:marRight w:val="0"/>
      <w:marTop w:val="0"/>
      <w:marBottom w:val="0"/>
      <w:divBdr>
        <w:top w:val="none" w:sz="0" w:space="0" w:color="auto"/>
        <w:left w:val="none" w:sz="0" w:space="0" w:color="auto"/>
        <w:bottom w:val="none" w:sz="0" w:space="0" w:color="auto"/>
        <w:right w:val="none" w:sz="0" w:space="0" w:color="auto"/>
      </w:divBdr>
    </w:div>
    <w:div w:id="405148139">
      <w:bodyDiv w:val="1"/>
      <w:marLeft w:val="0"/>
      <w:marRight w:val="0"/>
      <w:marTop w:val="0"/>
      <w:marBottom w:val="0"/>
      <w:divBdr>
        <w:top w:val="none" w:sz="0" w:space="0" w:color="auto"/>
        <w:left w:val="none" w:sz="0" w:space="0" w:color="auto"/>
        <w:bottom w:val="none" w:sz="0" w:space="0" w:color="auto"/>
        <w:right w:val="none" w:sz="0" w:space="0" w:color="auto"/>
      </w:divBdr>
    </w:div>
    <w:div w:id="424041024">
      <w:bodyDiv w:val="1"/>
      <w:marLeft w:val="0"/>
      <w:marRight w:val="0"/>
      <w:marTop w:val="0"/>
      <w:marBottom w:val="0"/>
      <w:divBdr>
        <w:top w:val="single" w:sz="48" w:space="0" w:color="063853"/>
        <w:left w:val="none" w:sz="0" w:space="0" w:color="auto"/>
        <w:bottom w:val="none" w:sz="0" w:space="0" w:color="auto"/>
        <w:right w:val="none" w:sz="0" w:space="0" w:color="auto"/>
      </w:divBdr>
      <w:divsChild>
        <w:div w:id="852845552">
          <w:marLeft w:val="0"/>
          <w:marRight w:val="0"/>
          <w:marTop w:val="0"/>
          <w:marBottom w:val="0"/>
          <w:divBdr>
            <w:top w:val="none" w:sz="0" w:space="0" w:color="auto"/>
            <w:left w:val="none" w:sz="0" w:space="0" w:color="auto"/>
            <w:bottom w:val="none" w:sz="0" w:space="0" w:color="auto"/>
            <w:right w:val="none" w:sz="0" w:space="0" w:color="auto"/>
          </w:divBdr>
          <w:divsChild>
            <w:div w:id="917792603">
              <w:marLeft w:val="-364"/>
              <w:marRight w:val="0"/>
              <w:marTop w:val="0"/>
              <w:marBottom w:val="0"/>
              <w:divBdr>
                <w:top w:val="none" w:sz="0" w:space="0" w:color="auto"/>
                <w:left w:val="none" w:sz="0" w:space="0" w:color="auto"/>
                <w:bottom w:val="none" w:sz="0" w:space="0" w:color="auto"/>
                <w:right w:val="none" w:sz="0" w:space="0" w:color="auto"/>
              </w:divBdr>
            </w:div>
          </w:divsChild>
        </w:div>
      </w:divsChild>
    </w:div>
    <w:div w:id="463156412">
      <w:bodyDiv w:val="1"/>
      <w:marLeft w:val="0"/>
      <w:marRight w:val="0"/>
      <w:marTop w:val="0"/>
      <w:marBottom w:val="0"/>
      <w:divBdr>
        <w:top w:val="none" w:sz="0" w:space="0" w:color="auto"/>
        <w:left w:val="none" w:sz="0" w:space="0" w:color="auto"/>
        <w:bottom w:val="none" w:sz="0" w:space="0" w:color="auto"/>
        <w:right w:val="none" w:sz="0" w:space="0" w:color="auto"/>
      </w:divBdr>
      <w:divsChild>
        <w:div w:id="1691570663">
          <w:marLeft w:val="0"/>
          <w:marRight w:val="0"/>
          <w:marTop w:val="0"/>
          <w:marBottom w:val="0"/>
          <w:divBdr>
            <w:top w:val="none" w:sz="0" w:space="0" w:color="auto"/>
            <w:left w:val="none" w:sz="0" w:space="0" w:color="auto"/>
            <w:bottom w:val="none" w:sz="0" w:space="0" w:color="auto"/>
            <w:right w:val="none" w:sz="0" w:space="0" w:color="auto"/>
          </w:divBdr>
          <w:divsChild>
            <w:div w:id="433551838">
              <w:marLeft w:val="0"/>
              <w:marRight w:val="0"/>
              <w:marTop w:val="0"/>
              <w:marBottom w:val="0"/>
              <w:divBdr>
                <w:top w:val="none" w:sz="0" w:space="0" w:color="auto"/>
                <w:left w:val="none" w:sz="0" w:space="0" w:color="auto"/>
                <w:bottom w:val="none" w:sz="0" w:space="0" w:color="auto"/>
                <w:right w:val="none" w:sz="0" w:space="0" w:color="auto"/>
              </w:divBdr>
              <w:divsChild>
                <w:div w:id="1065418759">
                  <w:marLeft w:val="0"/>
                  <w:marRight w:val="0"/>
                  <w:marTop w:val="0"/>
                  <w:marBottom w:val="0"/>
                  <w:divBdr>
                    <w:top w:val="none" w:sz="0" w:space="0" w:color="auto"/>
                    <w:left w:val="none" w:sz="0" w:space="0" w:color="auto"/>
                    <w:bottom w:val="none" w:sz="0" w:space="0" w:color="auto"/>
                    <w:right w:val="none" w:sz="0" w:space="0" w:color="auto"/>
                  </w:divBdr>
                  <w:divsChild>
                    <w:div w:id="392050089">
                      <w:marLeft w:val="0"/>
                      <w:marRight w:val="0"/>
                      <w:marTop w:val="0"/>
                      <w:marBottom w:val="0"/>
                      <w:divBdr>
                        <w:top w:val="none" w:sz="0" w:space="0" w:color="auto"/>
                        <w:left w:val="none" w:sz="0" w:space="0" w:color="auto"/>
                        <w:bottom w:val="none" w:sz="0" w:space="0" w:color="auto"/>
                        <w:right w:val="none" w:sz="0" w:space="0" w:color="auto"/>
                      </w:divBdr>
                      <w:divsChild>
                        <w:div w:id="1319269234">
                          <w:marLeft w:val="0"/>
                          <w:marRight w:val="0"/>
                          <w:marTop w:val="0"/>
                          <w:marBottom w:val="0"/>
                          <w:divBdr>
                            <w:top w:val="none" w:sz="0" w:space="0" w:color="auto"/>
                            <w:left w:val="none" w:sz="0" w:space="0" w:color="auto"/>
                            <w:bottom w:val="none" w:sz="0" w:space="0" w:color="auto"/>
                            <w:right w:val="none" w:sz="0" w:space="0" w:color="auto"/>
                          </w:divBdr>
                          <w:divsChild>
                            <w:div w:id="1292591590">
                              <w:marLeft w:val="0"/>
                              <w:marRight w:val="0"/>
                              <w:marTop w:val="0"/>
                              <w:marBottom w:val="0"/>
                              <w:divBdr>
                                <w:top w:val="none" w:sz="0" w:space="0" w:color="auto"/>
                                <w:left w:val="none" w:sz="0" w:space="0" w:color="auto"/>
                                <w:bottom w:val="none" w:sz="0" w:space="0" w:color="auto"/>
                                <w:right w:val="none" w:sz="0" w:space="0" w:color="auto"/>
                              </w:divBdr>
                              <w:divsChild>
                                <w:div w:id="883248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222158">
      <w:bodyDiv w:val="1"/>
      <w:marLeft w:val="0"/>
      <w:marRight w:val="0"/>
      <w:marTop w:val="0"/>
      <w:marBottom w:val="0"/>
      <w:divBdr>
        <w:top w:val="none" w:sz="0" w:space="0" w:color="auto"/>
        <w:left w:val="none" w:sz="0" w:space="0" w:color="auto"/>
        <w:bottom w:val="none" w:sz="0" w:space="0" w:color="auto"/>
        <w:right w:val="none" w:sz="0" w:space="0" w:color="auto"/>
      </w:divBdr>
      <w:divsChild>
        <w:div w:id="99883370">
          <w:marLeft w:val="0"/>
          <w:marRight w:val="0"/>
          <w:marTop w:val="0"/>
          <w:marBottom w:val="0"/>
          <w:divBdr>
            <w:top w:val="none" w:sz="0" w:space="0" w:color="auto"/>
            <w:left w:val="none" w:sz="0" w:space="0" w:color="auto"/>
            <w:bottom w:val="none" w:sz="0" w:space="0" w:color="auto"/>
            <w:right w:val="none" w:sz="0" w:space="0" w:color="auto"/>
          </w:divBdr>
        </w:div>
        <w:div w:id="131943788">
          <w:marLeft w:val="0"/>
          <w:marRight w:val="0"/>
          <w:marTop w:val="0"/>
          <w:marBottom w:val="0"/>
          <w:divBdr>
            <w:top w:val="none" w:sz="0" w:space="0" w:color="auto"/>
            <w:left w:val="none" w:sz="0" w:space="0" w:color="auto"/>
            <w:bottom w:val="none" w:sz="0" w:space="0" w:color="auto"/>
            <w:right w:val="none" w:sz="0" w:space="0" w:color="auto"/>
          </w:divBdr>
        </w:div>
        <w:div w:id="299456906">
          <w:marLeft w:val="0"/>
          <w:marRight w:val="0"/>
          <w:marTop w:val="0"/>
          <w:marBottom w:val="0"/>
          <w:divBdr>
            <w:top w:val="none" w:sz="0" w:space="0" w:color="auto"/>
            <w:left w:val="none" w:sz="0" w:space="0" w:color="auto"/>
            <w:bottom w:val="none" w:sz="0" w:space="0" w:color="auto"/>
            <w:right w:val="none" w:sz="0" w:space="0" w:color="auto"/>
          </w:divBdr>
        </w:div>
        <w:div w:id="331492920">
          <w:marLeft w:val="0"/>
          <w:marRight w:val="0"/>
          <w:marTop w:val="0"/>
          <w:marBottom w:val="0"/>
          <w:divBdr>
            <w:top w:val="none" w:sz="0" w:space="0" w:color="auto"/>
            <w:left w:val="none" w:sz="0" w:space="0" w:color="auto"/>
            <w:bottom w:val="none" w:sz="0" w:space="0" w:color="auto"/>
            <w:right w:val="none" w:sz="0" w:space="0" w:color="auto"/>
          </w:divBdr>
        </w:div>
        <w:div w:id="362636883">
          <w:marLeft w:val="0"/>
          <w:marRight w:val="0"/>
          <w:marTop w:val="0"/>
          <w:marBottom w:val="0"/>
          <w:divBdr>
            <w:top w:val="none" w:sz="0" w:space="0" w:color="auto"/>
            <w:left w:val="none" w:sz="0" w:space="0" w:color="auto"/>
            <w:bottom w:val="none" w:sz="0" w:space="0" w:color="auto"/>
            <w:right w:val="none" w:sz="0" w:space="0" w:color="auto"/>
          </w:divBdr>
        </w:div>
        <w:div w:id="420375677">
          <w:marLeft w:val="0"/>
          <w:marRight w:val="0"/>
          <w:marTop w:val="0"/>
          <w:marBottom w:val="0"/>
          <w:divBdr>
            <w:top w:val="none" w:sz="0" w:space="0" w:color="auto"/>
            <w:left w:val="none" w:sz="0" w:space="0" w:color="auto"/>
            <w:bottom w:val="none" w:sz="0" w:space="0" w:color="auto"/>
            <w:right w:val="none" w:sz="0" w:space="0" w:color="auto"/>
          </w:divBdr>
        </w:div>
        <w:div w:id="440298270">
          <w:marLeft w:val="0"/>
          <w:marRight w:val="0"/>
          <w:marTop w:val="0"/>
          <w:marBottom w:val="0"/>
          <w:divBdr>
            <w:top w:val="none" w:sz="0" w:space="0" w:color="auto"/>
            <w:left w:val="none" w:sz="0" w:space="0" w:color="auto"/>
            <w:bottom w:val="none" w:sz="0" w:space="0" w:color="auto"/>
            <w:right w:val="none" w:sz="0" w:space="0" w:color="auto"/>
          </w:divBdr>
        </w:div>
        <w:div w:id="454255256">
          <w:marLeft w:val="0"/>
          <w:marRight w:val="0"/>
          <w:marTop w:val="0"/>
          <w:marBottom w:val="0"/>
          <w:divBdr>
            <w:top w:val="none" w:sz="0" w:space="0" w:color="auto"/>
            <w:left w:val="none" w:sz="0" w:space="0" w:color="auto"/>
            <w:bottom w:val="none" w:sz="0" w:space="0" w:color="auto"/>
            <w:right w:val="none" w:sz="0" w:space="0" w:color="auto"/>
          </w:divBdr>
        </w:div>
        <w:div w:id="516626506">
          <w:marLeft w:val="0"/>
          <w:marRight w:val="0"/>
          <w:marTop w:val="0"/>
          <w:marBottom w:val="0"/>
          <w:divBdr>
            <w:top w:val="none" w:sz="0" w:space="0" w:color="auto"/>
            <w:left w:val="none" w:sz="0" w:space="0" w:color="auto"/>
            <w:bottom w:val="none" w:sz="0" w:space="0" w:color="auto"/>
            <w:right w:val="none" w:sz="0" w:space="0" w:color="auto"/>
          </w:divBdr>
        </w:div>
        <w:div w:id="537007129">
          <w:marLeft w:val="0"/>
          <w:marRight w:val="0"/>
          <w:marTop w:val="0"/>
          <w:marBottom w:val="0"/>
          <w:divBdr>
            <w:top w:val="none" w:sz="0" w:space="0" w:color="auto"/>
            <w:left w:val="none" w:sz="0" w:space="0" w:color="auto"/>
            <w:bottom w:val="none" w:sz="0" w:space="0" w:color="auto"/>
            <w:right w:val="none" w:sz="0" w:space="0" w:color="auto"/>
          </w:divBdr>
        </w:div>
        <w:div w:id="613444914">
          <w:marLeft w:val="0"/>
          <w:marRight w:val="0"/>
          <w:marTop w:val="0"/>
          <w:marBottom w:val="0"/>
          <w:divBdr>
            <w:top w:val="none" w:sz="0" w:space="0" w:color="auto"/>
            <w:left w:val="none" w:sz="0" w:space="0" w:color="auto"/>
            <w:bottom w:val="none" w:sz="0" w:space="0" w:color="auto"/>
            <w:right w:val="none" w:sz="0" w:space="0" w:color="auto"/>
          </w:divBdr>
        </w:div>
        <w:div w:id="677737962">
          <w:marLeft w:val="0"/>
          <w:marRight w:val="0"/>
          <w:marTop w:val="0"/>
          <w:marBottom w:val="0"/>
          <w:divBdr>
            <w:top w:val="none" w:sz="0" w:space="0" w:color="auto"/>
            <w:left w:val="none" w:sz="0" w:space="0" w:color="auto"/>
            <w:bottom w:val="none" w:sz="0" w:space="0" w:color="auto"/>
            <w:right w:val="none" w:sz="0" w:space="0" w:color="auto"/>
          </w:divBdr>
        </w:div>
        <w:div w:id="754202508">
          <w:marLeft w:val="0"/>
          <w:marRight w:val="0"/>
          <w:marTop w:val="0"/>
          <w:marBottom w:val="0"/>
          <w:divBdr>
            <w:top w:val="none" w:sz="0" w:space="0" w:color="auto"/>
            <w:left w:val="none" w:sz="0" w:space="0" w:color="auto"/>
            <w:bottom w:val="none" w:sz="0" w:space="0" w:color="auto"/>
            <w:right w:val="none" w:sz="0" w:space="0" w:color="auto"/>
          </w:divBdr>
        </w:div>
        <w:div w:id="768549184">
          <w:marLeft w:val="0"/>
          <w:marRight w:val="0"/>
          <w:marTop w:val="0"/>
          <w:marBottom w:val="0"/>
          <w:divBdr>
            <w:top w:val="none" w:sz="0" w:space="0" w:color="auto"/>
            <w:left w:val="none" w:sz="0" w:space="0" w:color="auto"/>
            <w:bottom w:val="none" w:sz="0" w:space="0" w:color="auto"/>
            <w:right w:val="none" w:sz="0" w:space="0" w:color="auto"/>
          </w:divBdr>
        </w:div>
        <w:div w:id="787313451">
          <w:marLeft w:val="0"/>
          <w:marRight w:val="0"/>
          <w:marTop w:val="0"/>
          <w:marBottom w:val="0"/>
          <w:divBdr>
            <w:top w:val="none" w:sz="0" w:space="0" w:color="auto"/>
            <w:left w:val="none" w:sz="0" w:space="0" w:color="auto"/>
            <w:bottom w:val="none" w:sz="0" w:space="0" w:color="auto"/>
            <w:right w:val="none" w:sz="0" w:space="0" w:color="auto"/>
          </w:divBdr>
        </w:div>
        <w:div w:id="841235694">
          <w:marLeft w:val="0"/>
          <w:marRight w:val="0"/>
          <w:marTop w:val="0"/>
          <w:marBottom w:val="0"/>
          <w:divBdr>
            <w:top w:val="none" w:sz="0" w:space="0" w:color="auto"/>
            <w:left w:val="none" w:sz="0" w:space="0" w:color="auto"/>
            <w:bottom w:val="none" w:sz="0" w:space="0" w:color="auto"/>
            <w:right w:val="none" w:sz="0" w:space="0" w:color="auto"/>
          </w:divBdr>
        </w:div>
        <w:div w:id="850027725">
          <w:marLeft w:val="0"/>
          <w:marRight w:val="0"/>
          <w:marTop w:val="0"/>
          <w:marBottom w:val="0"/>
          <w:divBdr>
            <w:top w:val="none" w:sz="0" w:space="0" w:color="auto"/>
            <w:left w:val="none" w:sz="0" w:space="0" w:color="auto"/>
            <w:bottom w:val="none" w:sz="0" w:space="0" w:color="auto"/>
            <w:right w:val="none" w:sz="0" w:space="0" w:color="auto"/>
          </w:divBdr>
        </w:div>
        <w:div w:id="873348659">
          <w:marLeft w:val="0"/>
          <w:marRight w:val="0"/>
          <w:marTop w:val="0"/>
          <w:marBottom w:val="0"/>
          <w:divBdr>
            <w:top w:val="none" w:sz="0" w:space="0" w:color="auto"/>
            <w:left w:val="none" w:sz="0" w:space="0" w:color="auto"/>
            <w:bottom w:val="none" w:sz="0" w:space="0" w:color="auto"/>
            <w:right w:val="none" w:sz="0" w:space="0" w:color="auto"/>
          </w:divBdr>
        </w:div>
        <w:div w:id="894698180">
          <w:marLeft w:val="0"/>
          <w:marRight w:val="0"/>
          <w:marTop w:val="0"/>
          <w:marBottom w:val="0"/>
          <w:divBdr>
            <w:top w:val="none" w:sz="0" w:space="0" w:color="auto"/>
            <w:left w:val="none" w:sz="0" w:space="0" w:color="auto"/>
            <w:bottom w:val="none" w:sz="0" w:space="0" w:color="auto"/>
            <w:right w:val="none" w:sz="0" w:space="0" w:color="auto"/>
          </w:divBdr>
        </w:div>
        <w:div w:id="948901768">
          <w:marLeft w:val="0"/>
          <w:marRight w:val="0"/>
          <w:marTop w:val="0"/>
          <w:marBottom w:val="0"/>
          <w:divBdr>
            <w:top w:val="none" w:sz="0" w:space="0" w:color="auto"/>
            <w:left w:val="none" w:sz="0" w:space="0" w:color="auto"/>
            <w:bottom w:val="none" w:sz="0" w:space="0" w:color="auto"/>
            <w:right w:val="none" w:sz="0" w:space="0" w:color="auto"/>
          </w:divBdr>
        </w:div>
        <w:div w:id="961307912">
          <w:marLeft w:val="0"/>
          <w:marRight w:val="0"/>
          <w:marTop w:val="0"/>
          <w:marBottom w:val="0"/>
          <w:divBdr>
            <w:top w:val="none" w:sz="0" w:space="0" w:color="auto"/>
            <w:left w:val="none" w:sz="0" w:space="0" w:color="auto"/>
            <w:bottom w:val="none" w:sz="0" w:space="0" w:color="auto"/>
            <w:right w:val="none" w:sz="0" w:space="0" w:color="auto"/>
          </w:divBdr>
        </w:div>
        <w:div w:id="1016201337">
          <w:marLeft w:val="0"/>
          <w:marRight w:val="0"/>
          <w:marTop w:val="0"/>
          <w:marBottom w:val="0"/>
          <w:divBdr>
            <w:top w:val="none" w:sz="0" w:space="0" w:color="auto"/>
            <w:left w:val="none" w:sz="0" w:space="0" w:color="auto"/>
            <w:bottom w:val="none" w:sz="0" w:space="0" w:color="auto"/>
            <w:right w:val="none" w:sz="0" w:space="0" w:color="auto"/>
          </w:divBdr>
        </w:div>
        <w:div w:id="1048264157">
          <w:marLeft w:val="0"/>
          <w:marRight w:val="0"/>
          <w:marTop w:val="0"/>
          <w:marBottom w:val="0"/>
          <w:divBdr>
            <w:top w:val="none" w:sz="0" w:space="0" w:color="auto"/>
            <w:left w:val="none" w:sz="0" w:space="0" w:color="auto"/>
            <w:bottom w:val="none" w:sz="0" w:space="0" w:color="auto"/>
            <w:right w:val="none" w:sz="0" w:space="0" w:color="auto"/>
          </w:divBdr>
        </w:div>
        <w:div w:id="1063025212">
          <w:marLeft w:val="0"/>
          <w:marRight w:val="0"/>
          <w:marTop w:val="0"/>
          <w:marBottom w:val="0"/>
          <w:divBdr>
            <w:top w:val="none" w:sz="0" w:space="0" w:color="auto"/>
            <w:left w:val="none" w:sz="0" w:space="0" w:color="auto"/>
            <w:bottom w:val="none" w:sz="0" w:space="0" w:color="auto"/>
            <w:right w:val="none" w:sz="0" w:space="0" w:color="auto"/>
          </w:divBdr>
        </w:div>
        <w:div w:id="1186868592">
          <w:marLeft w:val="0"/>
          <w:marRight w:val="0"/>
          <w:marTop w:val="0"/>
          <w:marBottom w:val="0"/>
          <w:divBdr>
            <w:top w:val="none" w:sz="0" w:space="0" w:color="auto"/>
            <w:left w:val="none" w:sz="0" w:space="0" w:color="auto"/>
            <w:bottom w:val="none" w:sz="0" w:space="0" w:color="auto"/>
            <w:right w:val="none" w:sz="0" w:space="0" w:color="auto"/>
          </w:divBdr>
        </w:div>
        <w:div w:id="1191141608">
          <w:marLeft w:val="0"/>
          <w:marRight w:val="0"/>
          <w:marTop w:val="0"/>
          <w:marBottom w:val="0"/>
          <w:divBdr>
            <w:top w:val="none" w:sz="0" w:space="0" w:color="auto"/>
            <w:left w:val="none" w:sz="0" w:space="0" w:color="auto"/>
            <w:bottom w:val="none" w:sz="0" w:space="0" w:color="auto"/>
            <w:right w:val="none" w:sz="0" w:space="0" w:color="auto"/>
          </w:divBdr>
        </w:div>
        <w:div w:id="1206482600">
          <w:marLeft w:val="0"/>
          <w:marRight w:val="0"/>
          <w:marTop w:val="0"/>
          <w:marBottom w:val="0"/>
          <w:divBdr>
            <w:top w:val="none" w:sz="0" w:space="0" w:color="auto"/>
            <w:left w:val="none" w:sz="0" w:space="0" w:color="auto"/>
            <w:bottom w:val="none" w:sz="0" w:space="0" w:color="auto"/>
            <w:right w:val="none" w:sz="0" w:space="0" w:color="auto"/>
          </w:divBdr>
        </w:div>
        <w:div w:id="1222015919">
          <w:marLeft w:val="0"/>
          <w:marRight w:val="0"/>
          <w:marTop w:val="0"/>
          <w:marBottom w:val="0"/>
          <w:divBdr>
            <w:top w:val="none" w:sz="0" w:space="0" w:color="auto"/>
            <w:left w:val="none" w:sz="0" w:space="0" w:color="auto"/>
            <w:bottom w:val="none" w:sz="0" w:space="0" w:color="auto"/>
            <w:right w:val="none" w:sz="0" w:space="0" w:color="auto"/>
          </w:divBdr>
        </w:div>
        <w:div w:id="1241132527">
          <w:marLeft w:val="0"/>
          <w:marRight w:val="0"/>
          <w:marTop w:val="0"/>
          <w:marBottom w:val="0"/>
          <w:divBdr>
            <w:top w:val="none" w:sz="0" w:space="0" w:color="auto"/>
            <w:left w:val="none" w:sz="0" w:space="0" w:color="auto"/>
            <w:bottom w:val="none" w:sz="0" w:space="0" w:color="auto"/>
            <w:right w:val="none" w:sz="0" w:space="0" w:color="auto"/>
          </w:divBdr>
        </w:div>
        <w:div w:id="1350183698">
          <w:marLeft w:val="0"/>
          <w:marRight w:val="0"/>
          <w:marTop w:val="0"/>
          <w:marBottom w:val="0"/>
          <w:divBdr>
            <w:top w:val="none" w:sz="0" w:space="0" w:color="auto"/>
            <w:left w:val="none" w:sz="0" w:space="0" w:color="auto"/>
            <w:bottom w:val="none" w:sz="0" w:space="0" w:color="auto"/>
            <w:right w:val="none" w:sz="0" w:space="0" w:color="auto"/>
          </w:divBdr>
        </w:div>
        <w:div w:id="1365130079">
          <w:marLeft w:val="0"/>
          <w:marRight w:val="0"/>
          <w:marTop w:val="0"/>
          <w:marBottom w:val="0"/>
          <w:divBdr>
            <w:top w:val="none" w:sz="0" w:space="0" w:color="auto"/>
            <w:left w:val="none" w:sz="0" w:space="0" w:color="auto"/>
            <w:bottom w:val="none" w:sz="0" w:space="0" w:color="auto"/>
            <w:right w:val="none" w:sz="0" w:space="0" w:color="auto"/>
          </w:divBdr>
        </w:div>
        <w:div w:id="1431587209">
          <w:marLeft w:val="0"/>
          <w:marRight w:val="0"/>
          <w:marTop w:val="0"/>
          <w:marBottom w:val="0"/>
          <w:divBdr>
            <w:top w:val="none" w:sz="0" w:space="0" w:color="auto"/>
            <w:left w:val="none" w:sz="0" w:space="0" w:color="auto"/>
            <w:bottom w:val="none" w:sz="0" w:space="0" w:color="auto"/>
            <w:right w:val="none" w:sz="0" w:space="0" w:color="auto"/>
          </w:divBdr>
        </w:div>
        <w:div w:id="1449544066">
          <w:marLeft w:val="0"/>
          <w:marRight w:val="0"/>
          <w:marTop w:val="0"/>
          <w:marBottom w:val="0"/>
          <w:divBdr>
            <w:top w:val="none" w:sz="0" w:space="0" w:color="auto"/>
            <w:left w:val="none" w:sz="0" w:space="0" w:color="auto"/>
            <w:bottom w:val="none" w:sz="0" w:space="0" w:color="auto"/>
            <w:right w:val="none" w:sz="0" w:space="0" w:color="auto"/>
          </w:divBdr>
        </w:div>
        <w:div w:id="1470324054">
          <w:marLeft w:val="0"/>
          <w:marRight w:val="0"/>
          <w:marTop w:val="0"/>
          <w:marBottom w:val="0"/>
          <w:divBdr>
            <w:top w:val="none" w:sz="0" w:space="0" w:color="auto"/>
            <w:left w:val="none" w:sz="0" w:space="0" w:color="auto"/>
            <w:bottom w:val="none" w:sz="0" w:space="0" w:color="auto"/>
            <w:right w:val="none" w:sz="0" w:space="0" w:color="auto"/>
          </w:divBdr>
        </w:div>
        <w:div w:id="1482651087">
          <w:marLeft w:val="0"/>
          <w:marRight w:val="0"/>
          <w:marTop w:val="0"/>
          <w:marBottom w:val="0"/>
          <w:divBdr>
            <w:top w:val="none" w:sz="0" w:space="0" w:color="auto"/>
            <w:left w:val="none" w:sz="0" w:space="0" w:color="auto"/>
            <w:bottom w:val="none" w:sz="0" w:space="0" w:color="auto"/>
            <w:right w:val="none" w:sz="0" w:space="0" w:color="auto"/>
          </w:divBdr>
        </w:div>
        <w:div w:id="1626276639">
          <w:marLeft w:val="0"/>
          <w:marRight w:val="0"/>
          <w:marTop w:val="0"/>
          <w:marBottom w:val="0"/>
          <w:divBdr>
            <w:top w:val="none" w:sz="0" w:space="0" w:color="auto"/>
            <w:left w:val="none" w:sz="0" w:space="0" w:color="auto"/>
            <w:bottom w:val="none" w:sz="0" w:space="0" w:color="auto"/>
            <w:right w:val="none" w:sz="0" w:space="0" w:color="auto"/>
          </w:divBdr>
        </w:div>
        <w:div w:id="1715930031">
          <w:marLeft w:val="0"/>
          <w:marRight w:val="0"/>
          <w:marTop w:val="0"/>
          <w:marBottom w:val="0"/>
          <w:divBdr>
            <w:top w:val="none" w:sz="0" w:space="0" w:color="auto"/>
            <w:left w:val="none" w:sz="0" w:space="0" w:color="auto"/>
            <w:bottom w:val="none" w:sz="0" w:space="0" w:color="auto"/>
            <w:right w:val="none" w:sz="0" w:space="0" w:color="auto"/>
          </w:divBdr>
        </w:div>
        <w:div w:id="1755786947">
          <w:marLeft w:val="0"/>
          <w:marRight w:val="0"/>
          <w:marTop w:val="0"/>
          <w:marBottom w:val="0"/>
          <w:divBdr>
            <w:top w:val="none" w:sz="0" w:space="0" w:color="auto"/>
            <w:left w:val="none" w:sz="0" w:space="0" w:color="auto"/>
            <w:bottom w:val="none" w:sz="0" w:space="0" w:color="auto"/>
            <w:right w:val="none" w:sz="0" w:space="0" w:color="auto"/>
          </w:divBdr>
        </w:div>
        <w:div w:id="1973556528">
          <w:marLeft w:val="0"/>
          <w:marRight w:val="0"/>
          <w:marTop w:val="0"/>
          <w:marBottom w:val="0"/>
          <w:divBdr>
            <w:top w:val="none" w:sz="0" w:space="0" w:color="auto"/>
            <w:left w:val="none" w:sz="0" w:space="0" w:color="auto"/>
            <w:bottom w:val="none" w:sz="0" w:space="0" w:color="auto"/>
            <w:right w:val="none" w:sz="0" w:space="0" w:color="auto"/>
          </w:divBdr>
        </w:div>
        <w:div w:id="2030569224">
          <w:marLeft w:val="0"/>
          <w:marRight w:val="0"/>
          <w:marTop w:val="0"/>
          <w:marBottom w:val="0"/>
          <w:divBdr>
            <w:top w:val="none" w:sz="0" w:space="0" w:color="auto"/>
            <w:left w:val="none" w:sz="0" w:space="0" w:color="auto"/>
            <w:bottom w:val="none" w:sz="0" w:space="0" w:color="auto"/>
            <w:right w:val="none" w:sz="0" w:space="0" w:color="auto"/>
          </w:divBdr>
        </w:div>
        <w:div w:id="2082481059">
          <w:marLeft w:val="0"/>
          <w:marRight w:val="0"/>
          <w:marTop w:val="0"/>
          <w:marBottom w:val="0"/>
          <w:divBdr>
            <w:top w:val="none" w:sz="0" w:space="0" w:color="auto"/>
            <w:left w:val="none" w:sz="0" w:space="0" w:color="auto"/>
            <w:bottom w:val="none" w:sz="0" w:space="0" w:color="auto"/>
            <w:right w:val="none" w:sz="0" w:space="0" w:color="auto"/>
          </w:divBdr>
        </w:div>
        <w:div w:id="2138597569">
          <w:marLeft w:val="0"/>
          <w:marRight w:val="0"/>
          <w:marTop w:val="0"/>
          <w:marBottom w:val="0"/>
          <w:divBdr>
            <w:top w:val="none" w:sz="0" w:space="0" w:color="auto"/>
            <w:left w:val="none" w:sz="0" w:space="0" w:color="auto"/>
            <w:bottom w:val="none" w:sz="0" w:space="0" w:color="auto"/>
            <w:right w:val="none" w:sz="0" w:space="0" w:color="auto"/>
          </w:divBdr>
        </w:div>
      </w:divsChild>
    </w:div>
    <w:div w:id="508255898">
      <w:bodyDiv w:val="1"/>
      <w:marLeft w:val="0"/>
      <w:marRight w:val="0"/>
      <w:marTop w:val="0"/>
      <w:marBottom w:val="0"/>
      <w:divBdr>
        <w:top w:val="none" w:sz="0" w:space="0" w:color="auto"/>
        <w:left w:val="none" w:sz="0" w:space="0" w:color="auto"/>
        <w:bottom w:val="none" w:sz="0" w:space="0" w:color="auto"/>
        <w:right w:val="none" w:sz="0" w:space="0" w:color="auto"/>
      </w:divBdr>
      <w:divsChild>
        <w:div w:id="22480906">
          <w:marLeft w:val="0"/>
          <w:marRight w:val="0"/>
          <w:marTop w:val="0"/>
          <w:marBottom w:val="0"/>
          <w:divBdr>
            <w:top w:val="none" w:sz="0" w:space="0" w:color="auto"/>
            <w:left w:val="none" w:sz="0" w:space="0" w:color="auto"/>
            <w:bottom w:val="none" w:sz="0" w:space="0" w:color="auto"/>
            <w:right w:val="none" w:sz="0" w:space="0" w:color="auto"/>
          </w:divBdr>
        </w:div>
        <w:div w:id="56588788">
          <w:marLeft w:val="0"/>
          <w:marRight w:val="0"/>
          <w:marTop w:val="0"/>
          <w:marBottom w:val="0"/>
          <w:divBdr>
            <w:top w:val="none" w:sz="0" w:space="0" w:color="auto"/>
            <w:left w:val="none" w:sz="0" w:space="0" w:color="auto"/>
            <w:bottom w:val="none" w:sz="0" w:space="0" w:color="auto"/>
            <w:right w:val="none" w:sz="0" w:space="0" w:color="auto"/>
          </w:divBdr>
        </w:div>
        <w:div w:id="113139810">
          <w:marLeft w:val="0"/>
          <w:marRight w:val="0"/>
          <w:marTop w:val="0"/>
          <w:marBottom w:val="0"/>
          <w:divBdr>
            <w:top w:val="none" w:sz="0" w:space="0" w:color="auto"/>
            <w:left w:val="none" w:sz="0" w:space="0" w:color="auto"/>
            <w:bottom w:val="none" w:sz="0" w:space="0" w:color="auto"/>
            <w:right w:val="none" w:sz="0" w:space="0" w:color="auto"/>
          </w:divBdr>
        </w:div>
        <w:div w:id="165021367">
          <w:marLeft w:val="0"/>
          <w:marRight w:val="0"/>
          <w:marTop w:val="0"/>
          <w:marBottom w:val="0"/>
          <w:divBdr>
            <w:top w:val="none" w:sz="0" w:space="0" w:color="auto"/>
            <w:left w:val="none" w:sz="0" w:space="0" w:color="auto"/>
            <w:bottom w:val="none" w:sz="0" w:space="0" w:color="auto"/>
            <w:right w:val="none" w:sz="0" w:space="0" w:color="auto"/>
          </w:divBdr>
        </w:div>
        <w:div w:id="230387206">
          <w:marLeft w:val="0"/>
          <w:marRight w:val="0"/>
          <w:marTop w:val="0"/>
          <w:marBottom w:val="0"/>
          <w:divBdr>
            <w:top w:val="none" w:sz="0" w:space="0" w:color="auto"/>
            <w:left w:val="none" w:sz="0" w:space="0" w:color="auto"/>
            <w:bottom w:val="none" w:sz="0" w:space="0" w:color="auto"/>
            <w:right w:val="none" w:sz="0" w:space="0" w:color="auto"/>
          </w:divBdr>
        </w:div>
        <w:div w:id="259723644">
          <w:marLeft w:val="0"/>
          <w:marRight w:val="0"/>
          <w:marTop w:val="0"/>
          <w:marBottom w:val="0"/>
          <w:divBdr>
            <w:top w:val="none" w:sz="0" w:space="0" w:color="auto"/>
            <w:left w:val="none" w:sz="0" w:space="0" w:color="auto"/>
            <w:bottom w:val="none" w:sz="0" w:space="0" w:color="auto"/>
            <w:right w:val="none" w:sz="0" w:space="0" w:color="auto"/>
          </w:divBdr>
        </w:div>
        <w:div w:id="285816342">
          <w:marLeft w:val="0"/>
          <w:marRight w:val="0"/>
          <w:marTop w:val="0"/>
          <w:marBottom w:val="0"/>
          <w:divBdr>
            <w:top w:val="none" w:sz="0" w:space="0" w:color="auto"/>
            <w:left w:val="none" w:sz="0" w:space="0" w:color="auto"/>
            <w:bottom w:val="none" w:sz="0" w:space="0" w:color="auto"/>
            <w:right w:val="none" w:sz="0" w:space="0" w:color="auto"/>
          </w:divBdr>
        </w:div>
        <w:div w:id="311714484">
          <w:marLeft w:val="0"/>
          <w:marRight w:val="0"/>
          <w:marTop w:val="0"/>
          <w:marBottom w:val="0"/>
          <w:divBdr>
            <w:top w:val="none" w:sz="0" w:space="0" w:color="auto"/>
            <w:left w:val="none" w:sz="0" w:space="0" w:color="auto"/>
            <w:bottom w:val="none" w:sz="0" w:space="0" w:color="auto"/>
            <w:right w:val="none" w:sz="0" w:space="0" w:color="auto"/>
          </w:divBdr>
        </w:div>
        <w:div w:id="528834917">
          <w:marLeft w:val="0"/>
          <w:marRight w:val="0"/>
          <w:marTop w:val="0"/>
          <w:marBottom w:val="0"/>
          <w:divBdr>
            <w:top w:val="none" w:sz="0" w:space="0" w:color="auto"/>
            <w:left w:val="none" w:sz="0" w:space="0" w:color="auto"/>
            <w:bottom w:val="none" w:sz="0" w:space="0" w:color="auto"/>
            <w:right w:val="none" w:sz="0" w:space="0" w:color="auto"/>
          </w:divBdr>
        </w:div>
        <w:div w:id="552010637">
          <w:marLeft w:val="0"/>
          <w:marRight w:val="0"/>
          <w:marTop w:val="0"/>
          <w:marBottom w:val="0"/>
          <w:divBdr>
            <w:top w:val="none" w:sz="0" w:space="0" w:color="auto"/>
            <w:left w:val="none" w:sz="0" w:space="0" w:color="auto"/>
            <w:bottom w:val="none" w:sz="0" w:space="0" w:color="auto"/>
            <w:right w:val="none" w:sz="0" w:space="0" w:color="auto"/>
          </w:divBdr>
        </w:div>
        <w:div w:id="631715714">
          <w:marLeft w:val="0"/>
          <w:marRight w:val="0"/>
          <w:marTop w:val="0"/>
          <w:marBottom w:val="0"/>
          <w:divBdr>
            <w:top w:val="none" w:sz="0" w:space="0" w:color="auto"/>
            <w:left w:val="none" w:sz="0" w:space="0" w:color="auto"/>
            <w:bottom w:val="none" w:sz="0" w:space="0" w:color="auto"/>
            <w:right w:val="none" w:sz="0" w:space="0" w:color="auto"/>
          </w:divBdr>
        </w:div>
        <w:div w:id="669062849">
          <w:marLeft w:val="0"/>
          <w:marRight w:val="0"/>
          <w:marTop w:val="0"/>
          <w:marBottom w:val="0"/>
          <w:divBdr>
            <w:top w:val="none" w:sz="0" w:space="0" w:color="auto"/>
            <w:left w:val="none" w:sz="0" w:space="0" w:color="auto"/>
            <w:bottom w:val="none" w:sz="0" w:space="0" w:color="auto"/>
            <w:right w:val="none" w:sz="0" w:space="0" w:color="auto"/>
          </w:divBdr>
        </w:div>
        <w:div w:id="695468643">
          <w:marLeft w:val="0"/>
          <w:marRight w:val="0"/>
          <w:marTop w:val="0"/>
          <w:marBottom w:val="0"/>
          <w:divBdr>
            <w:top w:val="none" w:sz="0" w:space="0" w:color="auto"/>
            <w:left w:val="none" w:sz="0" w:space="0" w:color="auto"/>
            <w:bottom w:val="none" w:sz="0" w:space="0" w:color="auto"/>
            <w:right w:val="none" w:sz="0" w:space="0" w:color="auto"/>
          </w:divBdr>
        </w:div>
        <w:div w:id="728311988">
          <w:marLeft w:val="0"/>
          <w:marRight w:val="0"/>
          <w:marTop w:val="0"/>
          <w:marBottom w:val="0"/>
          <w:divBdr>
            <w:top w:val="none" w:sz="0" w:space="0" w:color="auto"/>
            <w:left w:val="none" w:sz="0" w:space="0" w:color="auto"/>
            <w:bottom w:val="none" w:sz="0" w:space="0" w:color="auto"/>
            <w:right w:val="none" w:sz="0" w:space="0" w:color="auto"/>
          </w:divBdr>
        </w:div>
        <w:div w:id="756949076">
          <w:marLeft w:val="0"/>
          <w:marRight w:val="0"/>
          <w:marTop w:val="0"/>
          <w:marBottom w:val="0"/>
          <w:divBdr>
            <w:top w:val="none" w:sz="0" w:space="0" w:color="auto"/>
            <w:left w:val="none" w:sz="0" w:space="0" w:color="auto"/>
            <w:bottom w:val="none" w:sz="0" w:space="0" w:color="auto"/>
            <w:right w:val="none" w:sz="0" w:space="0" w:color="auto"/>
          </w:divBdr>
        </w:div>
        <w:div w:id="772483795">
          <w:marLeft w:val="0"/>
          <w:marRight w:val="0"/>
          <w:marTop w:val="0"/>
          <w:marBottom w:val="0"/>
          <w:divBdr>
            <w:top w:val="none" w:sz="0" w:space="0" w:color="auto"/>
            <w:left w:val="none" w:sz="0" w:space="0" w:color="auto"/>
            <w:bottom w:val="none" w:sz="0" w:space="0" w:color="auto"/>
            <w:right w:val="none" w:sz="0" w:space="0" w:color="auto"/>
          </w:divBdr>
        </w:div>
        <w:div w:id="805273039">
          <w:marLeft w:val="0"/>
          <w:marRight w:val="0"/>
          <w:marTop w:val="0"/>
          <w:marBottom w:val="0"/>
          <w:divBdr>
            <w:top w:val="none" w:sz="0" w:space="0" w:color="auto"/>
            <w:left w:val="none" w:sz="0" w:space="0" w:color="auto"/>
            <w:bottom w:val="none" w:sz="0" w:space="0" w:color="auto"/>
            <w:right w:val="none" w:sz="0" w:space="0" w:color="auto"/>
          </w:divBdr>
        </w:div>
        <w:div w:id="838926778">
          <w:marLeft w:val="0"/>
          <w:marRight w:val="0"/>
          <w:marTop w:val="0"/>
          <w:marBottom w:val="0"/>
          <w:divBdr>
            <w:top w:val="none" w:sz="0" w:space="0" w:color="auto"/>
            <w:left w:val="none" w:sz="0" w:space="0" w:color="auto"/>
            <w:bottom w:val="none" w:sz="0" w:space="0" w:color="auto"/>
            <w:right w:val="none" w:sz="0" w:space="0" w:color="auto"/>
          </w:divBdr>
        </w:div>
        <w:div w:id="922837003">
          <w:marLeft w:val="0"/>
          <w:marRight w:val="0"/>
          <w:marTop w:val="0"/>
          <w:marBottom w:val="0"/>
          <w:divBdr>
            <w:top w:val="none" w:sz="0" w:space="0" w:color="auto"/>
            <w:left w:val="none" w:sz="0" w:space="0" w:color="auto"/>
            <w:bottom w:val="none" w:sz="0" w:space="0" w:color="auto"/>
            <w:right w:val="none" w:sz="0" w:space="0" w:color="auto"/>
          </w:divBdr>
        </w:div>
        <w:div w:id="940648125">
          <w:marLeft w:val="0"/>
          <w:marRight w:val="0"/>
          <w:marTop w:val="0"/>
          <w:marBottom w:val="0"/>
          <w:divBdr>
            <w:top w:val="none" w:sz="0" w:space="0" w:color="auto"/>
            <w:left w:val="none" w:sz="0" w:space="0" w:color="auto"/>
            <w:bottom w:val="none" w:sz="0" w:space="0" w:color="auto"/>
            <w:right w:val="none" w:sz="0" w:space="0" w:color="auto"/>
          </w:divBdr>
        </w:div>
        <w:div w:id="948774676">
          <w:marLeft w:val="0"/>
          <w:marRight w:val="0"/>
          <w:marTop w:val="0"/>
          <w:marBottom w:val="0"/>
          <w:divBdr>
            <w:top w:val="none" w:sz="0" w:space="0" w:color="auto"/>
            <w:left w:val="none" w:sz="0" w:space="0" w:color="auto"/>
            <w:bottom w:val="none" w:sz="0" w:space="0" w:color="auto"/>
            <w:right w:val="none" w:sz="0" w:space="0" w:color="auto"/>
          </w:divBdr>
        </w:div>
        <w:div w:id="951546378">
          <w:marLeft w:val="0"/>
          <w:marRight w:val="0"/>
          <w:marTop w:val="0"/>
          <w:marBottom w:val="0"/>
          <w:divBdr>
            <w:top w:val="none" w:sz="0" w:space="0" w:color="auto"/>
            <w:left w:val="none" w:sz="0" w:space="0" w:color="auto"/>
            <w:bottom w:val="none" w:sz="0" w:space="0" w:color="auto"/>
            <w:right w:val="none" w:sz="0" w:space="0" w:color="auto"/>
          </w:divBdr>
        </w:div>
        <w:div w:id="954287828">
          <w:marLeft w:val="0"/>
          <w:marRight w:val="0"/>
          <w:marTop w:val="0"/>
          <w:marBottom w:val="0"/>
          <w:divBdr>
            <w:top w:val="none" w:sz="0" w:space="0" w:color="auto"/>
            <w:left w:val="none" w:sz="0" w:space="0" w:color="auto"/>
            <w:bottom w:val="none" w:sz="0" w:space="0" w:color="auto"/>
            <w:right w:val="none" w:sz="0" w:space="0" w:color="auto"/>
          </w:divBdr>
        </w:div>
        <w:div w:id="978727588">
          <w:marLeft w:val="0"/>
          <w:marRight w:val="0"/>
          <w:marTop w:val="0"/>
          <w:marBottom w:val="0"/>
          <w:divBdr>
            <w:top w:val="none" w:sz="0" w:space="0" w:color="auto"/>
            <w:left w:val="none" w:sz="0" w:space="0" w:color="auto"/>
            <w:bottom w:val="none" w:sz="0" w:space="0" w:color="auto"/>
            <w:right w:val="none" w:sz="0" w:space="0" w:color="auto"/>
          </w:divBdr>
        </w:div>
        <w:div w:id="988705873">
          <w:marLeft w:val="0"/>
          <w:marRight w:val="0"/>
          <w:marTop w:val="0"/>
          <w:marBottom w:val="0"/>
          <w:divBdr>
            <w:top w:val="none" w:sz="0" w:space="0" w:color="auto"/>
            <w:left w:val="none" w:sz="0" w:space="0" w:color="auto"/>
            <w:bottom w:val="none" w:sz="0" w:space="0" w:color="auto"/>
            <w:right w:val="none" w:sz="0" w:space="0" w:color="auto"/>
          </w:divBdr>
        </w:div>
        <w:div w:id="1047559453">
          <w:marLeft w:val="0"/>
          <w:marRight w:val="0"/>
          <w:marTop w:val="0"/>
          <w:marBottom w:val="0"/>
          <w:divBdr>
            <w:top w:val="none" w:sz="0" w:space="0" w:color="auto"/>
            <w:left w:val="none" w:sz="0" w:space="0" w:color="auto"/>
            <w:bottom w:val="none" w:sz="0" w:space="0" w:color="auto"/>
            <w:right w:val="none" w:sz="0" w:space="0" w:color="auto"/>
          </w:divBdr>
        </w:div>
        <w:div w:id="1066344002">
          <w:marLeft w:val="0"/>
          <w:marRight w:val="0"/>
          <w:marTop w:val="0"/>
          <w:marBottom w:val="0"/>
          <w:divBdr>
            <w:top w:val="none" w:sz="0" w:space="0" w:color="auto"/>
            <w:left w:val="none" w:sz="0" w:space="0" w:color="auto"/>
            <w:bottom w:val="none" w:sz="0" w:space="0" w:color="auto"/>
            <w:right w:val="none" w:sz="0" w:space="0" w:color="auto"/>
          </w:divBdr>
        </w:div>
        <w:div w:id="1135172358">
          <w:marLeft w:val="0"/>
          <w:marRight w:val="0"/>
          <w:marTop w:val="0"/>
          <w:marBottom w:val="0"/>
          <w:divBdr>
            <w:top w:val="none" w:sz="0" w:space="0" w:color="auto"/>
            <w:left w:val="none" w:sz="0" w:space="0" w:color="auto"/>
            <w:bottom w:val="none" w:sz="0" w:space="0" w:color="auto"/>
            <w:right w:val="none" w:sz="0" w:space="0" w:color="auto"/>
          </w:divBdr>
        </w:div>
        <w:div w:id="1338927586">
          <w:marLeft w:val="0"/>
          <w:marRight w:val="0"/>
          <w:marTop w:val="0"/>
          <w:marBottom w:val="0"/>
          <w:divBdr>
            <w:top w:val="none" w:sz="0" w:space="0" w:color="auto"/>
            <w:left w:val="none" w:sz="0" w:space="0" w:color="auto"/>
            <w:bottom w:val="none" w:sz="0" w:space="0" w:color="auto"/>
            <w:right w:val="none" w:sz="0" w:space="0" w:color="auto"/>
          </w:divBdr>
        </w:div>
        <w:div w:id="1365713677">
          <w:marLeft w:val="0"/>
          <w:marRight w:val="0"/>
          <w:marTop w:val="0"/>
          <w:marBottom w:val="0"/>
          <w:divBdr>
            <w:top w:val="none" w:sz="0" w:space="0" w:color="auto"/>
            <w:left w:val="none" w:sz="0" w:space="0" w:color="auto"/>
            <w:bottom w:val="none" w:sz="0" w:space="0" w:color="auto"/>
            <w:right w:val="none" w:sz="0" w:space="0" w:color="auto"/>
          </w:divBdr>
        </w:div>
        <w:div w:id="1417900747">
          <w:marLeft w:val="0"/>
          <w:marRight w:val="0"/>
          <w:marTop w:val="0"/>
          <w:marBottom w:val="0"/>
          <w:divBdr>
            <w:top w:val="none" w:sz="0" w:space="0" w:color="auto"/>
            <w:left w:val="none" w:sz="0" w:space="0" w:color="auto"/>
            <w:bottom w:val="none" w:sz="0" w:space="0" w:color="auto"/>
            <w:right w:val="none" w:sz="0" w:space="0" w:color="auto"/>
          </w:divBdr>
        </w:div>
        <w:div w:id="1442604275">
          <w:marLeft w:val="0"/>
          <w:marRight w:val="0"/>
          <w:marTop w:val="0"/>
          <w:marBottom w:val="0"/>
          <w:divBdr>
            <w:top w:val="none" w:sz="0" w:space="0" w:color="auto"/>
            <w:left w:val="none" w:sz="0" w:space="0" w:color="auto"/>
            <w:bottom w:val="none" w:sz="0" w:space="0" w:color="auto"/>
            <w:right w:val="none" w:sz="0" w:space="0" w:color="auto"/>
          </w:divBdr>
        </w:div>
        <w:div w:id="1653292432">
          <w:marLeft w:val="0"/>
          <w:marRight w:val="0"/>
          <w:marTop w:val="0"/>
          <w:marBottom w:val="0"/>
          <w:divBdr>
            <w:top w:val="none" w:sz="0" w:space="0" w:color="auto"/>
            <w:left w:val="none" w:sz="0" w:space="0" w:color="auto"/>
            <w:bottom w:val="none" w:sz="0" w:space="0" w:color="auto"/>
            <w:right w:val="none" w:sz="0" w:space="0" w:color="auto"/>
          </w:divBdr>
        </w:div>
        <w:div w:id="1676298759">
          <w:marLeft w:val="0"/>
          <w:marRight w:val="0"/>
          <w:marTop w:val="0"/>
          <w:marBottom w:val="0"/>
          <w:divBdr>
            <w:top w:val="none" w:sz="0" w:space="0" w:color="auto"/>
            <w:left w:val="none" w:sz="0" w:space="0" w:color="auto"/>
            <w:bottom w:val="none" w:sz="0" w:space="0" w:color="auto"/>
            <w:right w:val="none" w:sz="0" w:space="0" w:color="auto"/>
          </w:divBdr>
        </w:div>
        <w:div w:id="1873104424">
          <w:marLeft w:val="0"/>
          <w:marRight w:val="0"/>
          <w:marTop w:val="0"/>
          <w:marBottom w:val="0"/>
          <w:divBdr>
            <w:top w:val="none" w:sz="0" w:space="0" w:color="auto"/>
            <w:left w:val="none" w:sz="0" w:space="0" w:color="auto"/>
            <w:bottom w:val="none" w:sz="0" w:space="0" w:color="auto"/>
            <w:right w:val="none" w:sz="0" w:space="0" w:color="auto"/>
          </w:divBdr>
        </w:div>
        <w:div w:id="2005932254">
          <w:marLeft w:val="0"/>
          <w:marRight w:val="0"/>
          <w:marTop w:val="0"/>
          <w:marBottom w:val="0"/>
          <w:divBdr>
            <w:top w:val="none" w:sz="0" w:space="0" w:color="auto"/>
            <w:left w:val="none" w:sz="0" w:space="0" w:color="auto"/>
            <w:bottom w:val="none" w:sz="0" w:space="0" w:color="auto"/>
            <w:right w:val="none" w:sz="0" w:space="0" w:color="auto"/>
          </w:divBdr>
        </w:div>
        <w:div w:id="2008706409">
          <w:marLeft w:val="0"/>
          <w:marRight w:val="0"/>
          <w:marTop w:val="0"/>
          <w:marBottom w:val="0"/>
          <w:divBdr>
            <w:top w:val="none" w:sz="0" w:space="0" w:color="auto"/>
            <w:left w:val="none" w:sz="0" w:space="0" w:color="auto"/>
            <w:bottom w:val="none" w:sz="0" w:space="0" w:color="auto"/>
            <w:right w:val="none" w:sz="0" w:space="0" w:color="auto"/>
          </w:divBdr>
        </w:div>
        <w:div w:id="2013221897">
          <w:marLeft w:val="0"/>
          <w:marRight w:val="0"/>
          <w:marTop w:val="0"/>
          <w:marBottom w:val="0"/>
          <w:divBdr>
            <w:top w:val="none" w:sz="0" w:space="0" w:color="auto"/>
            <w:left w:val="none" w:sz="0" w:space="0" w:color="auto"/>
            <w:bottom w:val="none" w:sz="0" w:space="0" w:color="auto"/>
            <w:right w:val="none" w:sz="0" w:space="0" w:color="auto"/>
          </w:divBdr>
        </w:div>
        <w:div w:id="2022198842">
          <w:marLeft w:val="0"/>
          <w:marRight w:val="0"/>
          <w:marTop w:val="0"/>
          <w:marBottom w:val="0"/>
          <w:divBdr>
            <w:top w:val="none" w:sz="0" w:space="0" w:color="auto"/>
            <w:left w:val="none" w:sz="0" w:space="0" w:color="auto"/>
            <w:bottom w:val="none" w:sz="0" w:space="0" w:color="auto"/>
            <w:right w:val="none" w:sz="0" w:space="0" w:color="auto"/>
          </w:divBdr>
        </w:div>
        <w:div w:id="2051564443">
          <w:marLeft w:val="0"/>
          <w:marRight w:val="0"/>
          <w:marTop w:val="0"/>
          <w:marBottom w:val="0"/>
          <w:divBdr>
            <w:top w:val="none" w:sz="0" w:space="0" w:color="auto"/>
            <w:left w:val="none" w:sz="0" w:space="0" w:color="auto"/>
            <w:bottom w:val="none" w:sz="0" w:space="0" w:color="auto"/>
            <w:right w:val="none" w:sz="0" w:space="0" w:color="auto"/>
          </w:divBdr>
        </w:div>
        <w:div w:id="2084789068">
          <w:marLeft w:val="0"/>
          <w:marRight w:val="0"/>
          <w:marTop w:val="0"/>
          <w:marBottom w:val="0"/>
          <w:divBdr>
            <w:top w:val="none" w:sz="0" w:space="0" w:color="auto"/>
            <w:left w:val="none" w:sz="0" w:space="0" w:color="auto"/>
            <w:bottom w:val="none" w:sz="0" w:space="0" w:color="auto"/>
            <w:right w:val="none" w:sz="0" w:space="0" w:color="auto"/>
          </w:divBdr>
        </w:div>
        <w:div w:id="2111119797">
          <w:marLeft w:val="0"/>
          <w:marRight w:val="0"/>
          <w:marTop w:val="0"/>
          <w:marBottom w:val="0"/>
          <w:divBdr>
            <w:top w:val="none" w:sz="0" w:space="0" w:color="auto"/>
            <w:left w:val="none" w:sz="0" w:space="0" w:color="auto"/>
            <w:bottom w:val="none" w:sz="0" w:space="0" w:color="auto"/>
            <w:right w:val="none" w:sz="0" w:space="0" w:color="auto"/>
          </w:divBdr>
        </w:div>
      </w:divsChild>
    </w:div>
    <w:div w:id="560749516">
      <w:bodyDiv w:val="1"/>
      <w:marLeft w:val="0"/>
      <w:marRight w:val="0"/>
      <w:marTop w:val="0"/>
      <w:marBottom w:val="0"/>
      <w:divBdr>
        <w:top w:val="none" w:sz="0" w:space="0" w:color="auto"/>
        <w:left w:val="none" w:sz="0" w:space="0" w:color="auto"/>
        <w:bottom w:val="none" w:sz="0" w:space="0" w:color="auto"/>
        <w:right w:val="none" w:sz="0" w:space="0" w:color="auto"/>
      </w:divBdr>
      <w:divsChild>
        <w:div w:id="7409969">
          <w:marLeft w:val="0"/>
          <w:marRight w:val="0"/>
          <w:marTop w:val="0"/>
          <w:marBottom w:val="0"/>
          <w:divBdr>
            <w:top w:val="none" w:sz="0" w:space="0" w:color="auto"/>
            <w:left w:val="none" w:sz="0" w:space="0" w:color="auto"/>
            <w:bottom w:val="none" w:sz="0" w:space="0" w:color="auto"/>
            <w:right w:val="none" w:sz="0" w:space="0" w:color="auto"/>
          </w:divBdr>
        </w:div>
        <w:div w:id="46609169">
          <w:marLeft w:val="0"/>
          <w:marRight w:val="0"/>
          <w:marTop w:val="0"/>
          <w:marBottom w:val="0"/>
          <w:divBdr>
            <w:top w:val="none" w:sz="0" w:space="0" w:color="auto"/>
            <w:left w:val="none" w:sz="0" w:space="0" w:color="auto"/>
            <w:bottom w:val="none" w:sz="0" w:space="0" w:color="auto"/>
            <w:right w:val="none" w:sz="0" w:space="0" w:color="auto"/>
          </w:divBdr>
        </w:div>
        <w:div w:id="53352634">
          <w:marLeft w:val="0"/>
          <w:marRight w:val="0"/>
          <w:marTop w:val="0"/>
          <w:marBottom w:val="0"/>
          <w:divBdr>
            <w:top w:val="none" w:sz="0" w:space="0" w:color="auto"/>
            <w:left w:val="none" w:sz="0" w:space="0" w:color="auto"/>
            <w:bottom w:val="none" w:sz="0" w:space="0" w:color="auto"/>
            <w:right w:val="none" w:sz="0" w:space="0" w:color="auto"/>
          </w:divBdr>
        </w:div>
        <w:div w:id="85076200">
          <w:marLeft w:val="0"/>
          <w:marRight w:val="0"/>
          <w:marTop w:val="0"/>
          <w:marBottom w:val="0"/>
          <w:divBdr>
            <w:top w:val="none" w:sz="0" w:space="0" w:color="auto"/>
            <w:left w:val="none" w:sz="0" w:space="0" w:color="auto"/>
            <w:bottom w:val="none" w:sz="0" w:space="0" w:color="auto"/>
            <w:right w:val="none" w:sz="0" w:space="0" w:color="auto"/>
          </w:divBdr>
        </w:div>
        <w:div w:id="110714388">
          <w:marLeft w:val="0"/>
          <w:marRight w:val="0"/>
          <w:marTop w:val="0"/>
          <w:marBottom w:val="0"/>
          <w:divBdr>
            <w:top w:val="none" w:sz="0" w:space="0" w:color="auto"/>
            <w:left w:val="none" w:sz="0" w:space="0" w:color="auto"/>
            <w:bottom w:val="none" w:sz="0" w:space="0" w:color="auto"/>
            <w:right w:val="none" w:sz="0" w:space="0" w:color="auto"/>
          </w:divBdr>
        </w:div>
        <w:div w:id="133062407">
          <w:marLeft w:val="0"/>
          <w:marRight w:val="0"/>
          <w:marTop w:val="0"/>
          <w:marBottom w:val="0"/>
          <w:divBdr>
            <w:top w:val="none" w:sz="0" w:space="0" w:color="auto"/>
            <w:left w:val="none" w:sz="0" w:space="0" w:color="auto"/>
            <w:bottom w:val="none" w:sz="0" w:space="0" w:color="auto"/>
            <w:right w:val="none" w:sz="0" w:space="0" w:color="auto"/>
          </w:divBdr>
        </w:div>
        <w:div w:id="186529899">
          <w:marLeft w:val="0"/>
          <w:marRight w:val="0"/>
          <w:marTop w:val="0"/>
          <w:marBottom w:val="0"/>
          <w:divBdr>
            <w:top w:val="none" w:sz="0" w:space="0" w:color="auto"/>
            <w:left w:val="none" w:sz="0" w:space="0" w:color="auto"/>
            <w:bottom w:val="none" w:sz="0" w:space="0" w:color="auto"/>
            <w:right w:val="none" w:sz="0" w:space="0" w:color="auto"/>
          </w:divBdr>
        </w:div>
        <w:div w:id="192429078">
          <w:marLeft w:val="0"/>
          <w:marRight w:val="0"/>
          <w:marTop w:val="0"/>
          <w:marBottom w:val="0"/>
          <w:divBdr>
            <w:top w:val="none" w:sz="0" w:space="0" w:color="auto"/>
            <w:left w:val="none" w:sz="0" w:space="0" w:color="auto"/>
            <w:bottom w:val="none" w:sz="0" w:space="0" w:color="auto"/>
            <w:right w:val="none" w:sz="0" w:space="0" w:color="auto"/>
          </w:divBdr>
        </w:div>
        <w:div w:id="306475836">
          <w:marLeft w:val="0"/>
          <w:marRight w:val="0"/>
          <w:marTop w:val="0"/>
          <w:marBottom w:val="0"/>
          <w:divBdr>
            <w:top w:val="none" w:sz="0" w:space="0" w:color="auto"/>
            <w:left w:val="none" w:sz="0" w:space="0" w:color="auto"/>
            <w:bottom w:val="none" w:sz="0" w:space="0" w:color="auto"/>
            <w:right w:val="none" w:sz="0" w:space="0" w:color="auto"/>
          </w:divBdr>
        </w:div>
        <w:div w:id="336808115">
          <w:marLeft w:val="0"/>
          <w:marRight w:val="0"/>
          <w:marTop w:val="0"/>
          <w:marBottom w:val="0"/>
          <w:divBdr>
            <w:top w:val="none" w:sz="0" w:space="0" w:color="auto"/>
            <w:left w:val="none" w:sz="0" w:space="0" w:color="auto"/>
            <w:bottom w:val="none" w:sz="0" w:space="0" w:color="auto"/>
            <w:right w:val="none" w:sz="0" w:space="0" w:color="auto"/>
          </w:divBdr>
        </w:div>
        <w:div w:id="359279129">
          <w:marLeft w:val="0"/>
          <w:marRight w:val="0"/>
          <w:marTop w:val="0"/>
          <w:marBottom w:val="0"/>
          <w:divBdr>
            <w:top w:val="none" w:sz="0" w:space="0" w:color="auto"/>
            <w:left w:val="none" w:sz="0" w:space="0" w:color="auto"/>
            <w:bottom w:val="none" w:sz="0" w:space="0" w:color="auto"/>
            <w:right w:val="none" w:sz="0" w:space="0" w:color="auto"/>
          </w:divBdr>
        </w:div>
        <w:div w:id="398292305">
          <w:marLeft w:val="0"/>
          <w:marRight w:val="0"/>
          <w:marTop w:val="0"/>
          <w:marBottom w:val="0"/>
          <w:divBdr>
            <w:top w:val="none" w:sz="0" w:space="0" w:color="auto"/>
            <w:left w:val="none" w:sz="0" w:space="0" w:color="auto"/>
            <w:bottom w:val="none" w:sz="0" w:space="0" w:color="auto"/>
            <w:right w:val="none" w:sz="0" w:space="0" w:color="auto"/>
          </w:divBdr>
        </w:div>
        <w:div w:id="430902888">
          <w:marLeft w:val="0"/>
          <w:marRight w:val="0"/>
          <w:marTop w:val="0"/>
          <w:marBottom w:val="0"/>
          <w:divBdr>
            <w:top w:val="none" w:sz="0" w:space="0" w:color="auto"/>
            <w:left w:val="none" w:sz="0" w:space="0" w:color="auto"/>
            <w:bottom w:val="none" w:sz="0" w:space="0" w:color="auto"/>
            <w:right w:val="none" w:sz="0" w:space="0" w:color="auto"/>
          </w:divBdr>
        </w:div>
        <w:div w:id="525023053">
          <w:marLeft w:val="0"/>
          <w:marRight w:val="0"/>
          <w:marTop w:val="0"/>
          <w:marBottom w:val="0"/>
          <w:divBdr>
            <w:top w:val="none" w:sz="0" w:space="0" w:color="auto"/>
            <w:left w:val="none" w:sz="0" w:space="0" w:color="auto"/>
            <w:bottom w:val="none" w:sz="0" w:space="0" w:color="auto"/>
            <w:right w:val="none" w:sz="0" w:space="0" w:color="auto"/>
          </w:divBdr>
        </w:div>
        <w:div w:id="697388720">
          <w:marLeft w:val="0"/>
          <w:marRight w:val="0"/>
          <w:marTop w:val="0"/>
          <w:marBottom w:val="0"/>
          <w:divBdr>
            <w:top w:val="none" w:sz="0" w:space="0" w:color="auto"/>
            <w:left w:val="none" w:sz="0" w:space="0" w:color="auto"/>
            <w:bottom w:val="none" w:sz="0" w:space="0" w:color="auto"/>
            <w:right w:val="none" w:sz="0" w:space="0" w:color="auto"/>
          </w:divBdr>
        </w:div>
        <w:div w:id="712774023">
          <w:marLeft w:val="0"/>
          <w:marRight w:val="0"/>
          <w:marTop w:val="0"/>
          <w:marBottom w:val="0"/>
          <w:divBdr>
            <w:top w:val="none" w:sz="0" w:space="0" w:color="auto"/>
            <w:left w:val="none" w:sz="0" w:space="0" w:color="auto"/>
            <w:bottom w:val="none" w:sz="0" w:space="0" w:color="auto"/>
            <w:right w:val="none" w:sz="0" w:space="0" w:color="auto"/>
          </w:divBdr>
        </w:div>
        <w:div w:id="780033814">
          <w:marLeft w:val="0"/>
          <w:marRight w:val="0"/>
          <w:marTop w:val="0"/>
          <w:marBottom w:val="0"/>
          <w:divBdr>
            <w:top w:val="none" w:sz="0" w:space="0" w:color="auto"/>
            <w:left w:val="none" w:sz="0" w:space="0" w:color="auto"/>
            <w:bottom w:val="none" w:sz="0" w:space="0" w:color="auto"/>
            <w:right w:val="none" w:sz="0" w:space="0" w:color="auto"/>
          </w:divBdr>
        </w:div>
        <w:div w:id="902448075">
          <w:marLeft w:val="0"/>
          <w:marRight w:val="0"/>
          <w:marTop w:val="0"/>
          <w:marBottom w:val="0"/>
          <w:divBdr>
            <w:top w:val="none" w:sz="0" w:space="0" w:color="auto"/>
            <w:left w:val="none" w:sz="0" w:space="0" w:color="auto"/>
            <w:bottom w:val="none" w:sz="0" w:space="0" w:color="auto"/>
            <w:right w:val="none" w:sz="0" w:space="0" w:color="auto"/>
          </w:divBdr>
        </w:div>
        <w:div w:id="910777400">
          <w:marLeft w:val="0"/>
          <w:marRight w:val="0"/>
          <w:marTop w:val="0"/>
          <w:marBottom w:val="0"/>
          <w:divBdr>
            <w:top w:val="none" w:sz="0" w:space="0" w:color="auto"/>
            <w:left w:val="none" w:sz="0" w:space="0" w:color="auto"/>
            <w:bottom w:val="none" w:sz="0" w:space="0" w:color="auto"/>
            <w:right w:val="none" w:sz="0" w:space="0" w:color="auto"/>
          </w:divBdr>
        </w:div>
        <w:div w:id="917595770">
          <w:marLeft w:val="0"/>
          <w:marRight w:val="0"/>
          <w:marTop w:val="0"/>
          <w:marBottom w:val="0"/>
          <w:divBdr>
            <w:top w:val="none" w:sz="0" w:space="0" w:color="auto"/>
            <w:left w:val="none" w:sz="0" w:space="0" w:color="auto"/>
            <w:bottom w:val="none" w:sz="0" w:space="0" w:color="auto"/>
            <w:right w:val="none" w:sz="0" w:space="0" w:color="auto"/>
          </w:divBdr>
        </w:div>
        <w:div w:id="942617817">
          <w:marLeft w:val="0"/>
          <w:marRight w:val="0"/>
          <w:marTop w:val="0"/>
          <w:marBottom w:val="0"/>
          <w:divBdr>
            <w:top w:val="none" w:sz="0" w:space="0" w:color="auto"/>
            <w:left w:val="none" w:sz="0" w:space="0" w:color="auto"/>
            <w:bottom w:val="none" w:sz="0" w:space="0" w:color="auto"/>
            <w:right w:val="none" w:sz="0" w:space="0" w:color="auto"/>
          </w:divBdr>
        </w:div>
        <w:div w:id="975068536">
          <w:marLeft w:val="0"/>
          <w:marRight w:val="0"/>
          <w:marTop w:val="0"/>
          <w:marBottom w:val="0"/>
          <w:divBdr>
            <w:top w:val="none" w:sz="0" w:space="0" w:color="auto"/>
            <w:left w:val="none" w:sz="0" w:space="0" w:color="auto"/>
            <w:bottom w:val="none" w:sz="0" w:space="0" w:color="auto"/>
            <w:right w:val="none" w:sz="0" w:space="0" w:color="auto"/>
          </w:divBdr>
        </w:div>
        <w:div w:id="976685957">
          <w:marLeft w:val="0"/>
          <w:marRight w:val="0"/>
          <w:marTop w:val="0"/>
          <w:marBottom w:val="0"/>
          <w:divBdr>
            <w:top w:val="none" w:sz="0" w:space="0" w:color="auto"/>
            <w:left w:val="none" w:sz="0" w:space="0" w:color="auto"/>
            <w:bottom w:val="none" w:sz="0" w:space="0" w:color="auto"/>
            <w:right w:val="none" w:sz="0" w:space="0" w:color="auto"/>
          </w:divBdr>
        </w:div>
        <w:div w:id="1011104610">
          <w:marLeft w:val="0"/>
          <w:marRight w:val="0"/>
          <w:marTop w:val="0"/>
          <w:marBottom w:val="0"/>
          <w:divBdr>
            <w:top w:val="none" w:sz="0" w:space="0" w:color="auto"/>
            <w:left w:val="none" w:sz="0" w:space="0" w:color="auto"/>
            <w:bottom w:val="none" w:sz="0" w:space="0" w:color="auto"/>
            <w:right w:val="none" w:sz="0" w:space="0" w:color="auto"/>
          </w:divBdr>
        </w:div>
        <w:div w:id="1045331747">
          <w:marLeft w:val="0"/>
          <w:marRight w:val="0"/>
          <w:marTop w:val="0"/>
          <w:marBottom w:val="0"/>
          <w:divBdr>
            <w:top w:val="none" w:sz="0" w:space="0" w:color="auto"/>
            <w:left w:val="none" w:sz="0" w:space="0" w:color="auto"/>
            <w:bottom w:val="none" w:sz="0" w:space="0" w:color="auto"/>
            <w:right w:val="none" w:sz="0" w:space="0" w:color="auto"/>
          </w:divBdr>
        </w:div>
        <w:div w:id="1050228335">
          <w:marLeft w:val="0"/>
          <w:marRight w:val="0"/>
          <w:marTop w:val="0"/>
          <w:marBottom w:val="0"/>
          <w:divBdr>
            <w:top w:val="none" w:sz="0" w:space="0" w:color="auto"/>
            <w:left w:val="none" w:sz="0" w:space="0" w:color="auto"/>
            <w:bottom w:val="none" w:sz="0" w:space="0" w:color="auto"/>
            <w:right w:val="none" w:sz="0" w:space="0" w:color="auto"/>
          </w:divBdr>
        </w:div>
        <w:div w:id="1062682092">
          <w:marLeft w:val="0"/>
          <w:marRight w:val="0"/>
          <w:marTop w:val="0"/>
          <w:marBottom w:val="0"/>
          <w:divBdr>
            <w:top w:val="none" w:sz="0" w:space="0" w:color="auto"/>
            <w:left w:val="none" w:sz="0" w:space="0" w:color="auto"/>
            <w:bottom w:val="none" w:sz="0" w:space="0" w:color="auto"/>
            <w:right w:val="none" w:sz="0" w:space="0" w:color="auto"/>
          </w:divBdr>
        </w:div>
        <w:div w:id="1093665010">
          <w:marLeft w:val="0"/>
          <w:marRight w:val="0"/>
          <w:marTop w:val="0"/>
          <w:marBottom w:val="0"/>
          <w:divBdr>
            <w:top w:val="none" w:sz="0" w:space="0" w:color="auto"/>
            <w:left w:val="none" w:sz="0" w:space="0" w:color="auto"/>
            <w:bottom w:val="none" w:sz="0" w:space="0" w:color="auto"/>
            <w:right w:val="none" w:sz="0" w:space="0" w:color="auto"/>
          </w:divBdr>
        </w:div>
        <w:div w:id="1211771103">
          <w:marLeft w:val="0"/>
          <w:marRight w:val="0"/>
          <w:marTop w:val="0"/>
          <w:marBottom w:val="0"/>
          <w:divBdr>
            <w:top w:val="none" w:sz="0" w:space="0" w:color="auto"/>
            <w:left w:val="none" w:sz="0" w:space="0" w:color="auto"/>
            <w:bottom w:val="none" w:sz="0" w:space="0" w:color="auto"/>
            <w:right w:val="none" w:sz="0" w:space="0" w:color="auto"/>
          </w:divBdr>
        </w:div>
        <w:div w:id="1224876646">
          <w:marLeft w:val="0"/>
          <w:marRight w:val="0"/>
          <w:marTop w:val="0"/>
          <w:marBottom w:val="0"/>
          <w:divBdr>
            <w:top w:val="none" w:sz="0" w:space="0" w:color="auto"/>
            <w:left w:val="none" w:sz="0" w:space="0" w:color="auto"/>
            <w:bottom w:val="none" w:sz="0" w:space="0" w:color="auto"/>
            <w:right w:val="none" w:sz="0" w:space="0" w:color="auto"/>
          </w:divBdr>
        </w:div>
        <w:div w:id="1363557058">
          <w:marLeft w:val="0"/>
          <w:marRight w:val="0"/>
          <w:marTop w:val="0"/>
          <w:marBottom w:val="0"/>
          <w:divBdr>
            <w:top w:val="none" w:sz="0" w:space="0" w:color="auto"/>
            <w:left w:val="none" w:sz="0" w:space="0" w:color="auto"/>
            <w:bottom w:val="none" w:sz="0" w:space="0" w:color="auto"/>
            <w:right w:val="none" w:sz="0" w:space="0" w:color="auto"/>
          </w:divBdr>
        </w:div>
        <w:div w:id="1430541795">
          <w:marLeft w:val="0"/>
          <w:marRight w:val="0"/>
          <w:marTop w:val="0"/>
          <w:marBottom w:val="0"/>
          <w:divBdr>
            <w:top w:val="none" w:sz="0" w:space="0" w:color="auto"/>
            <w:left w:val="none" w:sz="0" w:space="0" w:color="auto"/>
            <w:bottom w:val="none" w:sz="0" w:space="0" w:color="auto"/>
            <w:right w:val="none" w:sz="0" w:space="0" w:color="auto"/>
          </w:divBdr>
        </w:div>
        <w:div w:id="1461336470">
          <w:marLeft w:val="0"/>
          <w:marRight w:val="0"/>
          <w:marTop w:val="0"/>
          <w:marBottom w:val="0"/>
          <w:divBdr>
            <w:top w:val="none" w:sz="0" w:space="0" w:color="auto"/>
            <w:left w:val="none" w:sz="0" w:space="0" w:color="auto"/>
            <w:bottom w:val="none" w:sz="0" w:space="0" w:color="auto"/>
            <w:right w:val="none" w:sz="0" w:space="0" w:color="auto"/>
          </w:divBdr>
        </w:div>
        <w:div w:id="1557934911">
          <w:marLeft w:val="0"/>
          <w:marRight w:val="0"/>
          <w:marTop w:val="0"/>
          <w:marBottom w:val="0"/>
          <w:divBdr>
            <w:top w:val="none" w:sz="0" w:space="0" w:color="auto"/>
            <w:left w:val="none" w:sz="0" w:space="0" w:color="auto"/>
            <w:bottom w:val="none" w:sz="0" w:space="0" w:color="auto"/>
            <w:right w:val="none" w:sz="0" w:space="0" w:color="auto"/>
          </w:divBdr>
        </w:div>
        <w:div w:id="1658919186">
          <w:marLeft w:val="0"/>
          <w:marRight w:val="0"/>
          <w:marTop w:val="0"/>
          <w:marBottom w:val="0"/>
          <w:divBdr>
            <w:top w:val="none" w:sz="0" w:space="0" w:color="auto"/>
            <w:left w:val="none" w:sz="0" w:space="0" w:color="auto"/>
            <w:bottom w:val="none" w:sz="0" w:space="0" w:color="auto"/>
            <w:right w:val="none" w:sz="0" w:space="0" w:color="auto"/>
          </w:divBdr>
        </w:div>
        <w:div w:id="1663460143">
          <w:marLeft w:val="0"/>
          <w:marRight w:val="0"/>
          <w:marTop w:val="0"/>
          <w:marBottom w:val="0"/>
          <w:divBdr>
            <w:top w:val="none" w:sz="0" w:space="0" w:color="auto"/>
            <w:left w:val="none" w:sz="0" w:space="0" w:color="auto"/>
            <w:bottom w:val="none" w:sz="0" w:space="0" w:color="auto"/>
            <w:right w:val="none" w:sz="0" w:space="0" w:color="auto"/>
          </w:divBdr>
        </w:div>
        <w:div w:id="1786263914">
          <w:marLeft w:val="0"/>
          <w:marRight w:val="0"/>
          <w:marTop w:val="0"/>
          <w:marBottom w:val="0"/>
          <w:divBdr>
            <w:top w:val="none" w:sz="0" w:space="0" w:color="auto"/>
            <w:left w:val="none" w:sz="0" w:space="0" w:color="auto"/>
            <w:bottom w:val="none" w:sz="0" w:space="0" w:color="auto"/>
            <w:right w:val="none" w:sz="0" w:space="0" w:color="auto"/>
          </w:divBdr>
        </w:div>
        <w:div w:id="1886141558">
          <w:marLeft w:val="0"/>
          <w:marRight w:val="0"/>
          <w:marTop w:val="0"/>
          <w:marBottom w:val="0"/>
          <w:divBdr>
            <w:top w:val="none" w:sz="0" w:space="0" w:color="auto"/>
            <w:left w:val="none" w:sz="0" w:space="0" w:color="auto"/>
            <w:bottom w:val="none" w:sz="0" w:space="0" w:color="auto"/>
            <w:right w:val="none" w:sz="0" w:space="0" w:color="auto"/>
          </w:divBdr>
        </w:div>
        <w:div w:id="1955016675">
          <w:marLeft w:val="0"/>
          <w:marRight w:val="0"/>
          <w:marTop w:val="0"/>
          <w:marBottom w:val="0"/>
          <w:divBdr>
            <w:top w:val="none" w:sz="0" w:space="0" w:color="auto"/>
            <w:left w:val="none" w:sz="0" w:space="0" w:color="auto"/>
            <w:bottom w:val="none" w:sz="0" w:space="0" w:color="auto"/>
            <w:right w:val="none" w:sz="0" w:space="0" w:color="auto"/>
          </w:divBdr>
        </w:div>
        <w:div w:id="1984236853">
          <w:marLeft w:val="0"/>
          <w:marRight w:val="0"/>
          <w:marTop w:val="0"/>
          <w:marBottom w:val="0"/>
          <w:divBdr>
            <w:top w:val="none" w:sz="0" w:space="0" w:color="auto"/>
            <w:left w:val="none" w:sz="0" w:space="0" w:color="auto"/>
            <w:bottom w:val="none" w:sz="0" w:space="0" w:color="auto"/>
            <w:right w:val="none" w:sz="0" w:space="0" w:color="auto"/>
          </w:divBdr>
        </w:div>
        <w:div w:id="2008047271">
          <w:marLeft w:val="0"/>
          <w:marRight w:val="0"/>
          <w:marTop w:val="0"/>
          <w:marBottom w:val="0"/>
          <w:divBdr>
            <w:top w:val="none" w:sz="0" w:space="0" w:color="auto"/>
            <w:left w:val="none" w:sz="0" w:space="0" w:color="auto"/>
            <w:bottom w:val="none" w:sz="0" w:space="0" w:color="auto"/>
            <w:right w:val="none" w:sz="0" w:space="0" w:color="auto"/>
          </w:divBdr>
        </w:div>
        <w:div w:id="2032218853">
          <w:marLeft w:val="0"/>
          <w:marRight w:val="0"/>
          <w:marTop w:val="0"/>
          <w:marBottom w:val="0"/>
          <w:divBdr>
            <w:top w:val="none" w:sz="0" w:space="0" w:color="auto"/>
            <w:left w:val="none" w:sz="0" w:space="0" w:color="auto"/>
            <w:bottom w:val="none" w:sz="0" w:space="0" w:color="auto"/>
            <w:right w:val="none" w:sz="0" w:space="0" w:color="auto"/>
          </w:divBdr>
        </w:div>
      </w:divsChild>
    </w:div>
    <w:div w:id="618607891">
      <w:bodyDiv w:val="1"/>
      <w:marLeft w:val="0"/>
      <w:marRight w:val="0"/>
      <w:marTop w:val="0"/>
      <w:marBottom w:val="0"/>
      <w:divBdr>
        <w:top w:val="none" w:sz="0" w:space="0" w:color="auto"/>
        <w:left w:val="none" w:sz="0" w:space="0" w:color="auto"/>
        <w:bottom w:val="none" w:sz="0" w:space="0" w:color="auto"/>
        <w:right w:val="none" w:sz="0" w:space="0" w:color="auto"/>
      </w:divBdr>
    </w:div>
    <w:div w:id="750543672">
      <w:bodyDiv w:val="1"/>
      <w:marLeft w:val="0"/>
      <w:marRight w:val="0"/>
      <w:marTop w:val="0"/>
      <w:marBottom w:val="0"/>
      <w:divBdr>
        <w:top w:val="none" w:sz="0" w:space="0" w:color="auto"/>
        <w:left w:val="none" w:sz="0" w:space="0" w:color="auto"/>
        <w:bottom w:val="none" w:sz="0" w:space="0" w:color="auto"/>
        <w:right w:val="none" w:sz="0" w:space="0" w:color="auto"/>
      </w:divBdr>
      <w:divsChild>
        <w:div w:id="369039519">
          <w:marLeft w:val="0"/>
          <w:marRight w:val="0"/>
          <w:marTop w:val="0"/>
          <w:marBottom w:val="0"/>
          <w:divBdr>
            <w:top w:val="none" w:sz="0" w:space="0" w:color="auto"/>
            <w:left w:val="none" w:sz="0" w:space="0" w:color="auto"/>
            <w:bottom w:val="none" w:sz="0" w:space="0" w:color="auto"/>
            <w:right w:val="none" w:sz="0" w:space="0" w:color="auto"/>
          </w:divBdr>
          <w:divsChild>
            <w:div w:id="1833064161">
              <w:marLeft w:val="0"/>
              <w:marRight w:val="0"/>
              <w:marTop w:val="0"/>
              <w:marBottom w:val="0"/>
              <w:divBdr>
                <w:top w:val="none" w:sz="0" w:space="0" w:color="auto"/>
                <w:left w:val="none" w:sz="0" w:space="0" w:color="auto"/>
                <w:bottom w:val="none" w:sz="0" w:space="0" w:color="auto"/>
                <w:right w:val="none" w:sz="0" w:space="0" w:color="auto"/>
              </w:divBdr>
              <w:divsChild>
                <w:div w:id="2073114934">
                  <w:marLeft w:val="0"/>
                  <w:marRight w:val="0"/>
                  <w:marTop w:val="0"/>
                  <w:marBottom w:val="0"/>
                  <w:divBdr>
                    <w:top w:val="none" w:sz="0" w:space="0" w:color="auto"/>
                    <w:left w:val="none" w:sz="0" w:space="0" w:color="auto"/>
                    <w:bottom w:val="none" w:sz="0" w:space="0" w:color="auto"/>
                    <w:right w:val="none" w:sz="0" w:space="0" w:color="auto"/>
                  </w:divBdr>
                  <w:divsChild>
                    <w:div w:id="1567687817">
                      <w:marLeft w:val="0"/>
                      <w:marRight w:val="0"/>
                      <w:marTop w:val="0"/>
                      <w:marBottom w:val="0"/>
                      <w:divBdr>
                        <w:top w:val="none" w:sz="0" w:space="0" w:color="auto"/>
                        <w:left w:val="none" w:sz="0" w:space="0" w:color="auto"/>
                        <w:bottom w:val="none" w:sz="0" w:space="0" w:color="auto"/>
                        <w:right w:val="none" w:sz="0" w:space="0" w:color="auto"/>
                      </w:divBdr>
                      <w:divsChild>
                        <w:div w:id="2107142745">
                          <w:marLeft w:val="0"/>
                          <w:marRight w:val="0"/>
                          <w:marTop w:val="0"/>
                          <w:marBottom w:val="0"/>
                          <w:divBdr>
                            <w:top w:val="none" w:sz="0" w:space="0" w:color="auto"/>
                            <w:left w:val="none" w:sz="0" w:space="0" w:color="auto"/>
                            <w:bottom w:val="none" w:sz="0" w:space="0" w:color="auto"/>
                            <w:right w:val="none" w:sz="0" w:space="0" w:color="auto"/>
                          </w:divBdr>
                          <w:divsChild>
                            <w:div w:id="1924214750">
                              <w:marLeft w:val="0"/>
                              <w:marRight w:val="0"/>
                              <w:marTop w:val="0"/>
                              <w:marBottom w:val="0"/>
                              <w:divBdr>
                                <w:top w:val="none" w:sz="0" w:space="0" w:color="auto"/>
                                <w:left w:val="none" w:sz="0" w:space="0" w:color="auto"/>
                                <w:bottom w:val="none" w:sz="0" w:space="0" w:color="auto"/>
                                <w:right w:val="none" w:sz="0" w:space="0" w:color="auto"/>
                              </w:divBdr>
                              <w:divsChild>
                                <w:div w:id="82493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0754394">
      <w:bodyDiv w:val="1"/>
      <w:marLeft w:val="0"/>
      <w:marRight w:val="0"/>
      <w:marTop w:val="0"/>
      <w:marBottom w:val="0"/>
      <w:divBdr>
        <w:top w:val="none" w:sz="0" w:space="0" w:color="auto"/>
        <w:left w:val="none" w:sz="0" w:space="0" w:color="auto"/>
        <w:bottom w:val="none" w:sz="0" w:space="0" w:color="auto"/>
        <w:right w:val="none" w:sz="0" w:space="0" w:color="auto"/>
      </w:divBdr>
      <w:divsChild>
        <w:div w:id="1256133631">
          <w:marLeft w:val="0"/>
          <w:marRight w:val="0"/>
          <w:marTop w:val="0"/>
          <w:marBottom w:val="0"/>
          <w:divBdr>
            <w:top w:val="none" w:sz="0" w:space="0" w:color="auto"/>
            <w:left w:val="none" w:sz="0" w:space="0" w:color="auto"/>
            <w:bottom w:val="none" w:sz="0" w:space="0" w:color="auto"/>
            <w:right w:val="none" w:sz="0" w:space="0" w:color="auto"/>
          </w:divBdr>
          <w:divsChild>
            <w:div w:id="1994405637">
              <w:marLeft w:val="0"/>
              <w:marRight w:val="0"/>
              <w:marTop w:val="0"/>
              <w:marBottom w:val="0"/>
              <w:divBdr>
                <w:top w:val="none" w:sz="0" w:space="0" w:color="auto"/>
                <w:left w:val="none" w:sz="0" w:space="0" w:color="auto"/>
                <w:bottom w:val="none" w:sz="0" w:space="0" w:color="auto"/>
                <w:right w:val="none" w:sz="0" w:space="0" w:color="auto"/>
              </w:divBdr>
              <w:divsChild>
                <w:div w:id="1107040778">
                  <w:marLeft w:val="0"/>
                  <w:marRight w:val="0"/>
                  <w:marTop w:val="0"/>
                  <w:marBottom w:val="0"/>
                  <w:divBdr>
                    <w:top w:val="none" w:sz="0" w:space="0" w:color="auto"/>
                    <w:left w:val="none" w:sz="0" w:space="0" w:color="auto"/>
                    <w:bottom w:val="none" w:sz="0" w:space="0" w:color="auto"/>
                    <w:right w:val="none" w:sz="0" w:space="0" w:color="auto"/>
                  </w:divBdr>
                  <w:divsChild>
                    <w:div w:id="1397359591">
                      <w:marLeft w:val="0"/>
                      <w:marRight w:val="0"/>
                      <w:marTop w:val="0"/>
                      <w:marBottom w:val="0"/>
                      <w:divBdr>
                        <w:top w:val="none" w:sz="0" w:space="0" w:color="auto"/>
                        <w:left w:val="none" w:sz="0" w:space="0" w:color="auto"/>
                        <w:bottom w:val="none" w:sz="0" w:space="0" w:color="auto"/>
                        <w:right w:val="none" w:sz="0" w:space="0" w:color="auto"/>
                      </w:divBdr>
                      <w:divsChild>
                        <w:div w:id="641693520">
                          <w:marLeft w:val="0"/>
                          <w:marRight w:val="0"/>
                          <w:marTop w:val="0"/>
                          <w:marBottom w:val="0"/>
                          <w:divBdr>
                            <w:top w:val="none" w:sz="0" w:space="0" w:color="auto"/>
                            <w:left w:val="none" w:sz="0" w:space="0" w:color="auto"/>
                            <w:bottom w:val="none" w:sz="0" w:space="0" w:color="auto"/>
                            <w:right w:val="none" w:sz="0" w:space="0" w:color="auto"/>
                          </w:divBdr>
                          <w:divsChild>
                            <w:div w:id="102195685">
                              <w:marLeft w:val="0"/>
                              <w:marRight w:val="0"/>
                              <w:marTop w:val="0"/>
                              <w:marBottom w:val="0"/>
                              <w:divBdr>
                                <w:top w:val="none" w:sz="0" w:space="0" w:color="auto"/>
                                <w:left w:val="none" w:sz="0" w:space="0" w:color="auto"/>
                                <w:bottom w:val="none" w:sz="0" w:space="0" w:color="auto"/>
                                <w:right w:val="none" w:sz="0" w:space="0" w:color="auto"/>
                              </w:divBdr>
                              <w:divsChild>
                                <w:div w:id="144908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36194">
      <w:bodyDiv w:val="1"/>
      <w:marLeft w:val="0"/>
      <w:marRight w:val="0"/>
      <w:marTop w:val="0"/>
      <w:marBottom w:val="0"/>
      <w:divBdr>
        <w:top w:val="none" w:sz="0" w:space="0" w:color="auto"/>
        <w:left w:val="none" w:sz="0" w:space="0" w:color="auto"/>
        <w:bottom w:val="none" w:sz="0" w:space="0" w:color="auto"/>
        <w:right w:val="none" w:sz="0" w:space="0" w:color="auto"/>
      </w:divBdr>
    </w:div>
    <w:div w:id="916790097">
      <w:bodyDiv w:val="1"/>
      <w:marLeft w:val="0"/>
      <w:marRight w:val="0"/>
      <w:marTop w:val="0"/>
      <w:marBottom w:val="0"/>
      <w:divBdr>
        <w:top w:val="none" w:sz="0" w:space="0" w:color="auto"/>
        <w:left w:val="none" w:sz="0" w:space="0" w:color="auto"/>
        <w:bottom w:val="none" w:sz="0" w:space="0" w:color="auto"/>
        <w:right w:val="none" w:sz="0" w:space="0" w:color="auto"/>
      </w:divBdr>
      <w:divsChild>
        <w:div w:id="272714738">
          <w:marLeft w:val="0"/>
          <w:marRight w:val="0"/>
          <w:marTop w:val="0"/>
          <w:marBottom w:val="0"/>
          <w:divBdr>
            <w:top w:val="none" w:sz="0" w:space="0" w:color="auto"/>
            <w:left w:val="none" w:sz="0" w:space="0" w:color="auto"/>
            <w:bottom w:val="none" w:sz="0" w:space="0" w:color="auto"/>
            <w:right w:val="none" w:sz="0" w:space="0" w:color="auto"/>
          </w:divBdr>
        </w:div>
        <w:div w:id="338195293">
          <w:marLeft w:val="0"/>
          <w:marRight w:val="0"/>
          <w:marTop w:val="0"/>
          <w:marBottom w:val="0"/>
          <w:divBdr>
            <w:top w:val="none" w:sz="0" w:space="0" w:color="auto"/>
            <w:left w:val="none" w:sz="0" w:space="0" w:color="auto"/>
            <w:bottom w:val="none" w:sz="0" w:space="0" w:color="auto"/>
            <w:right w:val="none" w:sz="0" w:space="0" w:color="auto"/>
          </w:divBdr>
        </w:div>
        <w:div w:id="705448742">
          <w:marLeft w:val="0"/>
          <w:marRight w:val="0"/>
          <w:marTop w:val="0"/>
          <w:marBottom w:val="0"/>
          <w:divBdr>
            <w:top w:val="none" w:sz="0" w:space="0" w:color="auto"/>
            <w:left w:val="none" w:sz="0" w:space="0" w:color="auto"/>
            <w:bottom w:val="none" w:sz="0" w:space="0" w:color="auto"/>
            <w:right w:val="none" w:sz="0" w:space="0" w:color="auto"/>
          </w:divBdr>
        </w:div>
        <w:div w:id="713122962">
          <w:marLeft w:val="0"/>
          <w:marRight w:val="0"/>
          <w:marTop w:val="0"/>
          <w:marBottom w:val="0"/>
          <w:divBdr>
            <w:top w:val="none" w:sz="0" w:space="0" w:color="auto"/>
            <w:left w:val="none" w:sz="0" w:space="0" w:color="auto"/>
            <w:bottom w:val="none" w:sz="0" w:space="0" w:color="auto"/>
            <w:right w:val="none" w:sz="0" w:space="0" w:color="auto"/>
          </w:divBdr>
        </w:div>
        <w:div w:id="1107849511">
          <w:marLeft w:val="0"/>
          <w:marRight w:val="0"/>
          <w:marTop w:val="0"/>
          <w:marBottom w:val="0"/>
          <w:divBdr>
            <w:top w:val="none" w:sz="0" w:space="0" w:color="auto"/>
            <w:left w:val="none" w:sz="0" w:space="0" w:color="auto"/>
            <w:bottom w:val="none" w:sz="0" w:space="0" w:color="auto"/>
            <w:right w:val="none" w:sz="0" w:space="0" w:color="auto"/>
          </w:divBdr>
        </w:div>
        <w:div w:id="1181818680">
          <w:marLeft w:val="0"/>
          <w:marRight w:val="0"/>
          <w:marTop w:val="0"/>
          <w:marBottom w:val="0"/>
          <w:divBdr>
            <w:top w:val="none" w:sz="0" w:space="0" w:color="auto"/>
            <w:left w:val="none" w:sz="0" w:space="0" w:color="auto"/>
            <w:bottom w:val="none" w:sz="0" w:space="0" w:color="auto"/>
            <w:right w:val="none" w:sz="0" w:space="0" w:color="auto"/>
          </w:divBdr>
        </w:div>
        <w:div w:id="1276795211">
          <w:marLeft w:val="0"/>
          <w:marRight w:val="0"/>
          <w:marTop w:val="0"/>
          <w:marBottom w:val="0"/>
          <w:divBdr>
            <w:top w:val="none" w:sz="0" w:space="0" w:color="auto"/>
            <w:left w:val="none" w:sz="0" w:space="0" w:color="auto"/>
            <w:bottom w:val="none" w:sz="0" w:space="0" w:color="auto"/>
            <w:right w:val="none" w:sz="0" w:space="0" w:color="auto"/>
          </w:divBdr>
        </w:div>
        <w:div w:id="1545292910">
          <w:marLeft w:val="0"/>
          <w:marRight w:val="0"/>
          <w:marTop w:val="0"/>
          <w:marBottom w:val="0"/>
          <w:divBdr>
            <w:top w:val="none" w:sz="0" w:space="0" w:color="auto"/>
            <w:left w:val="none" w:sz="0" w:space="0" w:color="auto"/>
            <w:bottom w:val="none" w:sz="0" w:space="0" w:color="auto"/>
            <w:right w:val="none" w:sz="0" w:space="0" w:color="auto"/>
          </w:divBdr>
        </w:div>
      </w:divsChild>
    </w:div>
    <w:div w:id="922488606">
      <w:bodyDiv w:val="1"/>
      <w:marLeft w:val="0"/>
      <w:marRight w:val="0"/>
      <w:marTop w:val="0"/>
      <w:marBottom w:val="0"/>
      <w:divBdr>
        <w:top w:val="none" w:sz="0" w:space="0" w:color="auto"/>
        <w:left w:val="none" w:sz="0" w:space="0" w:color="auto"/>
        <w:bottom w:val="none" w:sz="0" w:space="0" w:color="auto"/>
        <w:right w:val="none" w:sz="0" w:space="0" w:color="auto"/>
      </w:divBdr>
    </w:div>
    <w:div w:id="933048585">
      <w:bodyDiv w:val="1"/>
      <w:marLeft w:val="0"/>
      <w:marRight w:val="0"/>
      <w:marTop w:val="0"/>
      <w:marBottom w:val="0"/>
      <w:divBdr>
        <w:top w:val="none" w:sz="0" w:space="0" w:color="auto"/>
        <w:left w:val="none" w:sz="0" w:space="0" w:color="auto"/>
        <w:bottom w:val="none" w:sz="0" w:space="0" w:color="auto"/>
        <w:right w:val="none" w:sz="0" w:space="0" w:color="auto"/>
      </w:divBdr>
    </w:div>
    <w:div w:id="985165123">
      <w:bodyDiv w:val="1"/>
      <w:marLeft w:val="0"/>
      <w:marRight w:val="0"/>
      <w:marTop w:val="0"/>
      <w:marBottom w:val="0"/>
      <w:divBdr>
        <w:top w:val="single" w:sz="48" w:space="0" w:color="063853"/>
        <w:left w:val="none" w:sz="0" w:space="0" w:color="auto"/>
        <w:bottom w:val="none" w:sz="0" w:space="0" w:color="auto"/>
        <w:right w:val="none" w:sz="0" w:space="0" w:color="auto"/>
      </w:divBdr>
      <w:divsChild>
        <w:div w:id="450823954">
          <w:marLeft w:val="0"/>
          <w:marRight w:val="0"/>
          <w:marTop w:val="0"/>
          <w:marBottom w:val="0"/>
          <w:divBdr>
            <w:top w:val="none" w:sz="0" w:space="0" w:color="auto"/>
            <w:left w:val="none" w:sz="0" w:space="0" w:color="auto"/>
            <w:bottom w:val="none" w:sz="0" w:space="0" w:color="auto"/>
            <w:right w:val="none" w:sz="0" w:space="0" w:color="auto"/>
          </w:divBdr>
          <w:divsChild>
            <w:div w:id="1770664490">
              <w:marLeft w:val="-364"/>
              <w:marRight w:val="0"/>
              <w:marTop w:val="0"/>
              <w:marBottom w:val="0"/>
              <w:divBdr>
                <w:top w:val="none" w:sz="0" w:space="0" w:color="auto"/>
                <w:left w:val="none" w:sz="0" w:space="0" w:color="auto"/>
                <w:bottom w:val="none" w:sz="0" w:space="0" w:color="auto"/>
                <w:right w:val="none" w:sz="0" w:space="0" w:color="auto"/>
              </w:divBdr>
            </w:div>
          </w:divsChild>
        </w:div>
      </w:divsChild>
    </w:div>
    <w:div w:id="1222905856">
      <w:bodyDiv w:val="1"/>
      <w:marLeft w:val="0"/>
      <w:marRight w:val="0"/>
      <w:marTop w:val="0"/>
      <w:marBottom w:val="0"/>
      <w:divBdr>
        <w:top w:val="none" w:sz="0" w:space="0" w:color="auto"/>
        <w:left w:val="none" w:sz="0" w:space="0" w:color="auto"/>
        <w:bottom w:val="none" w:sz="0" w:space="0" w:color="auto"/>
        <w:right w:val="none" w:sz="0" w:space="0" w:color="auto"/>
      </w:divBdr>
    </w:div>
    <w:div w:id="1281298744">
      <w:bodyDiv w:val="1"/>
      <w:marLeft w:val="0"/>
      <w:marRight w:val="0"/>
      <w:marTop w:val="0"/>
      <w:marBottom w:val="0"/>
      <w:divBdr>
        <w:top w:val="none" w:sz="0" w:space="0" w:color="auto"/>
        <w:left w:val="none" w:sz="0" w:space="0" w:color="auto"/>
        <w:bottom w:val="none" w:sz="0" w:space="0" w:color="auto"/>
        <w:right w:val="none" w:sz="0" w:space="0" w:color="auto"/>
      </w:divBdr>
    </w:div>
    <w:div w:id="1366055307">
      <w:bodyDiv w:val="1"/>
      <w:marLeft w:val="0"/>
      <w:marRight w:val="0"/>
      <w:marTop w:val="0"/>
      <w:marBottom w:val="0"/>
      <w:divBdr>
        <w:top w:val="none" w:sz="0" w:space="0" w:color="auto"/>
        <w:left w:val="none" w:sz="0" w:space="0" w:color="auto"/>
        <w:bottom w:val="none" w:sz="0" w:space="0" w:color="auto"/>
        <w:right w:val="none" w:sz="0" w:space="0" w:color="auto"/>
      </w:divBdr>
    </w:div>
    <w:div w:id="1419254939">
      <w:bodyDiv w:val="1"/>
      <w:marLeft w:val="0"/>
      <w:marRight w:val="0"/>
      <w:marTop w:val="0"/>
      <w:marBottom w:val="0"/>
      <w:divBdr>
        <w:top w:val="none" w:sz="0" w:space="0" w:color="auto"/>
        <w:left w:val="none" w:sz="0" w:space="0" w:color="auto"/>
        <w:bottom w:val="none" w:sz="0" w:space="0" w:color="auto"/>
        <w:right w:val="none" w:sz="0" w:space="0" w:color="auto"/>
      </w:divBdr>
    </w:div>
    <w:div w:id="1480613111">
      <w:bodyDiv w:val="1"/>
      <w:marLeft w:val="0"/>
      <w:marRight w:val="0"/>
      <w:marTop w:val="0"/>
      <w:marBottom w:val="0"/>
      <w:divBdr>
        <w:top w:val="none" w:sz="0" w:space="0" w:color="auto"/>
        <w:left w:val="none" w:sz="0" w:space="0" w:color="auto"/>
        <w:bottom w:val="none" w:sz="0" w:space="0" w:color="auto"/>
        <w:right w:val="none" w:sz="0" w:space="0" w:color="auto"/>
      </w:divBdr>
      <w:divsChild>
        <w:div w:id="379594136">
          <w:marLeft w:val="0"/>
          <w:marRight w:val="0"/>
          <w:marTop w:val="0"/>
          <w:marBottom w:val="0"/>
          <w:divBdr>
            <w:top w:val="none" w:sz="0" w:space="0" w:color="auto"/>
            <w:left w:val="none" w:sz="0" w:space="0" w:color="auto"/>
            <w:bottom w:val="none" w:sz="0" w:space="0" w:color="auto"/>
            <w:right w:val="none" w:sz="0" w:space="0" w:color="auto"/>
          </w:divBdr>
          <w:divsChild>
            <w:div w:id="1208180123">
              <w:marLeft w:val="0"/>
              <w:marRight w:val="0"/>
              <w:marTop w:val="0"/>
              <w:marBottom w:val="0"/>
              <w:divBdr>
                <w:top w:val="none" w:sz="0" w:space="0" w:color="auto"/>
                <w:left w:val="none" w:sz="0" w:space="0" w:color="auto"/>
                <w:bottom w:val="none" w:sz="0" w:space="0" w:color="auto"/>
                <w:right w:val="none" w:sz="0" w:space="0" w:color="auto"/>
              </w:divBdr>
              <w:divsChild>
                <w:div w:id="1784225956">
                  <w:marLeft w:val="0"/>
                  <w:marRight w:val="0"/>
                  <w:marTop w:val="0"/>
                  <w:marBottom w:val="0"/>
                  <w:divBdr>
                    <w:top w:val="none" w:sz="0" w:space="0" w:color="auto"/>
                    <w:left w:val="none" w:sz="0" w:space="0" w:color="auto"/>
                    <w:bottom w:val="none" w:sz="0" w:space="0" w:color="auto"/>
                    <w:right w:val="none" w:sz="0" w:space="0" w:color="auto"/>
                  </w:divBdr>
                  <w:divsChild>
                    <w:div w:id="1716656976">
                      <w:marLeft w:val="0"/>
                      <w:marRight w:val="0"/>
                      <w:marTop w:val="0"/>
                      <w:marBottom w:val="0"/>
                      <w:divBdr>
                        <w:top w:val="none" w:sz="0" w:space="0" w:color="auto"/>
                        <w:left w:val="none" w:sz="0" w:space="0" w:color="auto"/>
                        <w:bottom w:val="none" w:sz="0" w:space="0" w:color="auto"/>
                        <w:right w:val="none" w:sz="0" w:space="0" w:color="auto"/>
                      </w:divBdr>
                      <w:divsChild>
                        <w:div w:id="844589303">
                          <w:marLeft w:val="0"/>
                          <w:marRight w:val="0"/>
                          <w:marTop w:val="0"/>
                          <w:marBottom w:val="0"/>
                          <w:divBdr>
                            <w:top w:val="none" w:sz="0" w:space="0" w:color="auto"/>
                            <w:left w:val="none" w:sz="0" w:space="0" w:color="auto"/>
                            <w:bottom w:val="none" w:sz="0" w:space="0" w:color="auto"/>
                            <w:right w:val="none" w:sz="0" w:space="0" w:color="auto"/>
                          </w:divBdr>
                          <w:divsChild>
                            <w:div w:id="1649704807">
                              <w:marLeft w:val="0"/>
                              <w:marRight w:val="0"/>
                              <w:marTop w:val="0"/>
                              <w:marBottom w:val="0"/>
                              <w:divBdr>
                                <w:top w:val="none" w:sz="0" w:space="0" w:color="auto"/>
                                <w:left w:val="none" w:sz="0" w:space="0" w:color="auto"/>
                                <w:bottom w:val="none" w:sz="0" w:space="0" w:color="auto"/>
                                <w:right w:val="none" w:sz="0" w:space="0" w:color="auto"/>
                              </w:divBdr>
                              <w:divsChild>
                                <w:div w:id="196434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9468630">
      <w:bodyDiv w:val="1"/>
      <w:marLeft w:val="0"/>
      <w:marRight w:val="0"/>
      <w:marTop w:val="0"/>
      <w:marBottom w:val="0"/>
      <w:divBdr>
        <w:top w:val="none" w:sz="0" w:space="0" w:color="auto"/>
        <w:left w:val="none" w:sz="0" w:space="0" w:color="auto"/>
        <w:bottom w:val="none" w:sz="0" w:space="0" w:color="auto"/>
        <w:right w:val="none" w:sz="0" w:space="0" w:color="auto"/>
      </w:divBdr>
    </w:div>
    <w:div w:id="1756324392">
      <w:bodyDiv w:val="1"/>
      <w:marLeft w:val="0"/>
      <w:marRight w:val="0"/>
      <w:marTop w:val="0"/>
      <w:marBottom w:val="0"/>
      <w:divBdr>
        <w:top w:val="none" w:sz="0" w:space="0" w:color="auto"/>
        <w:left w:val="none" w:sz="0" w:space="0" w:color="auto"/>
        <w:bottom w:val="none" w:sz="0" w:space="0" w:color="auto"/>
        <w:right w:val="none" w:sz="0" w:space="0" w:color="auto"/>
      </w:divBdr>
    </w:div>
    <w:div w:id="1816946365">
      <w:bodyDiv w:val="1"/>
      <w:marLeft w:val="0"/>
      <w:marRight w:val="0"/>
      <w:marTop w:val="0"/>
      <w:marBottom w:val="0"/>
      <w:divBdr>
        <w:top w:val="none" w:sz="0" w:space="0" w:color="auto"/>
        <w:left w:val="none" w:sz="0" w:space="0" w:color="auto"/>
        <w:bottom w:val="none" w:sz="0" w:space="0" w:color="auto"/>
        <w:right w:val="none" w:sz="0" w:space="0" w:color="auto"/>
      </w:divBdr>
    </w:div>
    <w:div w:id="1843424949">
      <w:bodyDiv w:val="1"/>
      <w:marLeft w:val="0"/>
      <w:marRight w:val="0"/>
      <w:marTop w:val="0"/>
      <w:marBottom w:val="0"/>
      <w:divBdr>
        <w:top w:val="none" w:sz="0" w:space="0" w:color="auto"/>
        <w:left w:val="none" w:sz="0" w:space="0" w:color="auto"/>
        <w:bottom w:val="none" w:sz="0" w:space="0" w:color="auto"/>
        <w:right w:val="none" w:sz="0" w:space="0" w:color="auto"/>
      </w:divBdr>
    </w:div>
    <w:div w:id="1898318742">
      <w:bodyDiv w:val="1"/>
      <w:marLeft w:val="0"/>
      <w:marRight w:val="0"/>
      <w:marTop w:val="0"/>
      <w:marBottom w:val="0"/>
      <w:divBdr>
        <w:top w:val="none" w:sz="0" w:space="0" w:color="auto"/>
        <w:left w:val="none" w:sz="0" w:space="0" w:color="auto"/>
        <w:bottom w:val="none" w:sz="0" w:space="0" w:color="auto"/>
        <w:right w:val="none" w:sz="0" w:space="0" w:color="auto"/>
      </w:divBdr>
    </w:div>
    <w:div w:id="2056541265">
      <w:bodyDiv w:val="1"/>
      <w:marLeft w:val="0"/>
      <w:marRight w:val="0"/>
      <w:marTop w:val="0"/>
      <w:marBottom w:val="0"/>
      <w:divBdr>
        <w:top w:val="none" w:sz="0" w:space="0" w:color="auto"/>
        <w:left w:val="none" w:sz="0" w:space="0" w:color="auto"/>
        <w:bottom w:val="none" w:sz="0" w:space="0" w:color="auto"/>
        <w:right w:val="none" w:sz="0" w:space="0" w:color="auto"/>
      </w:divBdr>
      <w:divsChild>
        <w:div w:id="58584075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sd.govt.nz/documents/about-msd-and-our-work/work-programmes/investing-in-children/investing-in-children-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syTemplates\Guidan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72535F-E502-4C13-B46E-5C502B6F3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Guidance.dotx</Template>
  <TotalTime>60</TotalTime>
  <Pages>26</Pages>
  <Words>10164</Words>
  <Characters>57937</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PFA SECTION 04(D) – 2006/07 SOI GUIDANCE</vt:lpstr>
    </vt:vector>
  </TitlesOfParts>
  <Company>Ministry of Justice</Company>
  <LinksUpToDate>false</LinksUpToDate>
  <CharactersWithSpaces>67966</CharactersWithSpaces>
  <SharedDoc>false</SharedDoc>
  <HLinks>
    <vt:vector size="6" baseType="variant">
      <vt:variant>
        <vt:i4>6815864</vt:i4>
      </vt:variant>
      <vt:variant>
        <vt:i4>0</vt:i4>
      </vt:variant>
      <vt:variant>
        <vt:i4>0</vt:i4>
      </vt:variant>
      <vt:variant>
        <vt:i4>5</vt:i4>
      </vt:variant>
      <vt:variant>
        <vt:lpwstr>https://www.msd.govt.nz/documents/about-msd-and-our-work/work-programmes/investing-in-children/investing-in-children-report.pdf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PFA SECTION 04(D) – 2006/07 SOI GUIDANCE</dc:title>
  <dc:creator>Geraldine Bruin</dc:creator>
  <cp:lastModifiedBy>Kieren Gera</cp:lastModifiedBy>
  <cp:revision>7</cp:revision>
  <cp:lastPrinted>2016-09-07T01:28:00Z</cp:lastPrinted>
  <dcterms:created xsi:type="dcterms:W3CDTF">2016-11-29T00:59:00Z</dcterms:created>
  <dcterms:modified xsi:type="dcterms:W3CDTF">2016-12-01T22:42:00Z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yUpdateFooter">
    <vt:bool>false</vt:bool>
  </property>
  <property fmtid="{D5CDD505-2E9C-101B-9397-08002B2CF9AE}" pid="3" name="TsySecurityClassification">
    <vt:lpwstr>IN-CONFIDENCE</vt:lpwstr>
  </property>
  <property fmtid="{D5CDD505-2E9C-101B-9397-08002B2CF9AE}" pid="4" name="TsyDisplayedSecurityClassification">
    <vt:lpwstr>IN-CONFIDENCE</vt:lpwstr>
  </property>
  <property fmtid="{D5CDD505-2E9C-101B-9397-08002B2CF9AE}" pid="5" name="TsySeemailSecurityClassification">
    <vt:lpwstr> [IN-CONFIDENCE]</vt:lpwstr>
  </property>
  <property fmtid="{D5CDD505-2E9C-101B-9397-08002B2CF9AE}" pid="6" name="TsyDocNum">
    <vt:i4>2702188</vt:i4>
  </property>
  <property fmtid="{D5CDD505-2E9C-101B-9397-08002B2CF9AE}" pid="7" name="TsyDocVer">
    <vt:i4>2</vt:i4>
  </property>
  <property fmtid="{D5CDD505-2E9C-101B-9397-08002B2CF9AE}" pid="8" name="TsyDisplayedDocNumVer">
    <vt:lpwstr>Treasury:2702188v2</vt:lpwstr>
  </property>
  <property fmtid="{D5CDD505-2E9C-101B-9397-08002B2CF9AE}" pid="9" name="TsyFileNo">
    <vt:lpwstr>SH-11-2-7-9</vt:lpwstr>
  </property>
  <property fmtid="{D5CDD505-2E9C-101B-9397-08002B2CF9AE}" pid="10" name="TsyDescription">
    <vt:lpwstr>RIA Handbook 2013 DRAFT (from KIS Web &amp; Publishing)</vt:lpwstr>
  </property>
  <property fmtid="{D5CDD505-2E9C-101B-9397-08002B2CF9AE}" pid="11" name="TsyTrNum">
    <vt:lpwstr/>
  </property>
  <property fmtid="{D5CDD505-2E9C-101B-9397-08002B2CF9AE}" pid="12" name="TsyOiaNum">
    <vt:lpwstr/>
  </property>
  <property fmtid="{D5CDD505-2E9C-101B-9397-08002B2CF9AE}" pid="13" name="TsyManagerUsername">
    <vt:lpwstr/>
  </property>
  <property fmtid="{D5CDD505-2E9C-101B-9397-08002B2CF9AE}" pid="14" name="TsyManagerFullname">
    <vt:lpwstr/>
  </property>
  <property fmtid="{D5CDD505-2E9C-101B-9397-08002B2CF9AE}" pid="15" name="TsyHeaderFooterPropertyVersion">
    <vt:i4>1</vt:i4>
  </property>
  <property fmtid="{D5CDD505-2E9C-101B-9397-08002B2CF9AE}" pid="16" name="TsyAuthorUsername">
    <vt:lpwstr>TEMPLEB</vt:lpwstr>
  </property>
  <property fmtid="{D5CDD505-2E9C-101B-9397-08002B2CF9AE}" pid="17" name="TsyAuthorFullname">
    <vt:lpwstr>Ben Temple</vt:lpwstr>
  </property>
  <property fmtid="{D5CDD505-2E9C-101B-9397-08002B2CF9AE}" pid="18" name="_AdHocReviewCycleID">
    <vt:i4>1637852461</vt:i4>
  </property>
  <property fmtid="{D5CDD505-2E9C-101B-9397-08002B2CF9AE}" pid="19" name="_NewReviewCycle">
    <vt:lpwstr/>
  </property>
  <property fmtid="{D5CDD505-2E9C-101B-9397-08002B2CF9AE}" pid="20" name="_EmailSubject">
    <vt:lpwstr>Info sharing SOC paper</vt:lpwstr>
  </property>
  <property fmtid="{D5CDD505-2E9C-101B-9397-08002B2CF9AE}" pid="21" name="_AuthorEmail">
    <vt:lpwstr>David.Wood@justice.govt.nz</vt:lpwstr>
  </property>
  <property fmtid="{D5CDD505-2E9C-101B-9397-08002B2CF9AE}" pid="22" name="_AuthorEmailDisplayName">
    <vt:lpwstr>Wood, David</vt:lpwstr>
  </property>
  <property fmtid="{D5CDD505-2E9C-101B-9397-08002B2CF9AE}" pid="23" name="_ReviewingToolsShownOnce">
    <vt:lpwstr/>
  </property>
  <property fmtid="{D5CDD505-2E9C-101B-9397-08002B2CF9AE}" pid="24" name="Objective-Id">
    <vt:lpwstr>A9308383</vt:lpwstr>
  </property>
  <property fmtid="{D5CDD505-2E9C-101B-9397-08002B2CF9AE}" pid="25" name="Objective-Title">
    <vt:lpwstr>Investing in Children: Information sharing RIS</vt:lpwstr>
  </property>
  <property fmtid="{D5CDD505-2E9C-101B-9397-08002B2CF9AE}" pid="26" name="Objective-Comment">
    <vt:lpwstr/>
  </property>
  <property fmtid="{D5CDD505-2E9C-101B-9397-08002B2CF9AE}" pid="27" name="Objective-CreationStamp">
    <vt:filetime>2016-11-30T01:50:30Z</vt:filetime>
  </property>
  <property fmtid="{D5CDD505-2E9C-101B-9397-08002B2CF9AE}" pid="28" name="Objective-IsApproved">
    <vt:bool>false</vt:bool>
  </property>
  <property fmtid="{D5CDD505-2E9C-101B-9397-08002B2CF9AE}" pid="29" name="Objective-IsPublished">
    <vt:bool>true</vt:bool>
  </property>
  <property fmtid="{D5CDD505-2E9C-101B-9397-08002B2CF9AE}" pid="30" name="Objective-DatePublished">
    <vt:filetime>2016-12-01T22:51:48Z</vt:filetime>
  </property>
  <property fmtid="{D5CDD505-2E9C-101B-9397-08002B2CF9AE}" pid="31" name="Objective-ModificationStamp">
    <vt:filetime>2016-12-04T22:43:46Z</vt:filetime>
  </property>
  <property fmtid="{D5CDD505-2E9C-101B-9397-08002B2CF9AE}" pid="32" name="Objective-Owner">
    <vt:lpwstr>Amy Dolden</vt:lpwstr>
  </property>
  <property fmtid="{D5CDD505-2E9C-101B-9397-08002B2CF9AE}" pid="33" name="Objective-Path">
    <vt:lpwstr>Global Folder:MSD INFORMATION REPOSITORY:Corporate Management &amp; Administration:Organisational Transformation:Transformation Programme:Investing in Children Programme:06 CYF Legislative Reform:6.2 Bill Two:_ Workstream Management:Bill Two:1. Legislative process:Disclosure Statement:Redacted RISs for publication:Final redactions for publication:</vt:lpwstr>
  </property>
  <property fmtid="{D5CDD505-2E9C-101B-9397-08002B2CF9AE}" pid="34" name="Objective-Parent">
    <vt:lpwstr>Final redactions for publication</vt:lpwstr>
  </property>
  <property fmtid="{D5CDD505-2E9C-101B-9397-08002B2CF9AE}" pid="35" name="Objective-State">
    <vt:lpwstr>Published</vt:lpwstr>
  </property>
  <property fmtid="{D5CDD505-2E9C-101B-9397-08002B2CF9AE}" pid="36" name="Objective-Version">
    <vt:lpwstr>2.0</vt:lpwstr>
  </property>
  <property fmtid="{D5CDD505-2E9C-101B-9397-08002B2CF9AE}" pid="37" name="Objective-VersionNumber">
    <vt:r8>2</vt:r8>
  </property>
  <property fmtid="{D5CDD505-2E9C-101B-9397-08002B2CF9AE}" pid="38" name="Objective-VersionComment">
    <vt:lpwstr/>
  </property>
  <property fmtid="{D5CDD505-2E9C-101B-9397-08002B2CF9AE}" pid="39" name="Objective-FileNumber">
    <vt:lpwstr>CT/OT/02/02/06/02/01/16-25549</vt:lpwstr>
  </property>
  <property fmtid="{D5CDD505-2E9C-101B-9397-08002B2CF9AE}" pid="40" name="Objective-Classification">
    <vt:lpwstr>[Inherited - In Confidence]</vt:lpwstr>
  </property>
  <property fmtid="{D5CDD505-2E9C-101B-9397-08002B2CF9AE}" pid="41" name="Objective-Caveats">
    <vt:lpwstr/>
  </property>
  <property fmtid="{D5CDD505-2E9C-101B-9397-08002B2CF9AE}" pid="42" name="Objective-Document Status [system]">
    <vt:lpwstr>Final</vt:lpwstr>
  </property>
  <property fmtid="{D5CDD505-2E9C-101B-9397-08002B2CF9AE}" pid="43" name="Objective-Email is Vaulted? [system]">
    <vt:lpwstr/>
  </property>
</Properties>
</file>