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771" w:rsidRPr="000032C2" w:rsidRDefault="00C05771" w:rsidP="00294107">
      <w:pPr>
        <w:rPr>
          <w:color w:val="0070C0"/>
          <w:sz w:val="40"/>
          <w:szCs w:val="40"/>
        </w:rPr>
      </w:pPr>
      <w:bookmarkStart w:id="0" w:name="_Regulatory_Impact_Statement"/>
      <w:bookmarkStart w:id="1" w:name="_Toc244580362"/>
      <w:bookmarkStart w:id="2" w:name="_Toc244587038"/>
      <w:bookmarkStart w:id="3" w:name="_Toc244857272"/>
      <w:bookmarkStart w:id="4" w:name="_Toc244912537"/>
      <w:bookmarkStart w:id="5" w:name="_Toc244916994"/>
      <w:bookmarkStart w:id="6" w:name="_Toc362368102"/>
      <w:bookmarkStart w:id="7" w:name="_Toc362940592"/>
      <w:bookmarkStart w:id="8" w:name="_Toc363047100"/>
      <w:bookmarkStart w:id="9" w:name="_Toc362368103"/>
      <w:bookmarkStart w:id="10" w:name="_Toc362434944"/>
      <w:bookmarkStart w:id="11" w:name="_Toc362589330"/>
      <w:bookmarkStart w:id="12" w:name="_Toc362619030"/>
      <w:bookmarkStart w:id="13" w:name="_Toc362940594"/>
      <w:bookmarkStart w:id="14" w:name="_Toc363047102"/>
      <w:bookmarkStart w:id="15" w:name="_Toc111173195"/>
      <w:bookmarkStart w:id="16" w:name="_Toc112306482"/>
      <w:bookmarkStart w:id="17" w:name="_Toc114287559"/>
      <w:bookmarkStart w:id="18" w:name="_Toc115188196"/>
      <w:bookmarkStart w:id="19" w:name="_Toc118514380"/>
      <w:bookmarkStart w:id="20" w:name="_Toc110071692"/>
      <w:bookmarkStart w:id="21" w:name="_Toc110072564"/>
      <w:bookmarkStart w:id="22" w:name="_Toc138735614"/>
      <w:bookmarkStart w:id="23" w:name="_Toc139335927"/>
      <w:bookmarkStart w:id="24" w:name="_Toc362526401"/>
      <w:bookmarkEnd w:id="0"/>
    </w:p>
    <w:p w:rsidR="00C05771" w:rsidRPr="000032C2" w:rsidRDefault="00C05771" w:rsidP="00294107">
      <w:pPr>
        <w:rPr>
          <w:color w:val="0070C0"/>
          <w:sz w:val="40"/>
          <w:szCs w:val="40"/>
        </w:rPr>
      </w:pPr>
      <w:bookmarkStart w:id="25" w:name="_Toc478732133"/>
      <w:bookmarkStart w:id="26" w:name="_Toc478735879"/>
      <w:r w:rsidRPr="000032C2">
        <w:rPr>
          <w:color w:val="0070C0"/>
          <w:sz w:val="40"/>
          <w:szCs w:val="40"/>
        </w:rPr>
        <w:t>Regulatory Impact Statement</w:t>
      </w:r>
      <w:bookmarkEnd w:id="25"/>
      <w:bookmarkEnd w:id="26"/>
    </w:p>
    <w:p w:rsidR="00C05771" w:rsidRPr="000032C2" w:rsidRDefault="009A5EF7" w:rsidP="00294107">
      <w:pPr>
        <w:rPr>
          <w:color w:val="0070C0"/>
          <w:sz w:val="40"/>
          <w:szCs w:val="40"/>
        </w:rPr>
      </w:pPr>
      <w:bookmarkStart w:id="27" w:name="_Toc478732134"/>
      <w:bookmarkStart w:id="28" w:name="_Toc478735880"/>
      <w:r w:rsidRPr="000032C2">
        <w:rPr>
          <w:color w:val="0070C0"/>
          <w:sz w:val="40"/>
          <w:szCs w:val="40"/>
        </w:rPr>
        <w:t>Legislative changes to increase the professionalism of the social work workforce</w:t>
      </w:r>
      <w:bookmarkEnd w:id="27"/>
      <w:bookmarkEnd w:id="28"/>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C05771" w:rsidRPr="000032C2" w:rsidRDefault="00C05771" w:rsidP="00294107">
      <w:pPr>
        <w:rPr>
          <w:color w:val="0070C0"/>
          <w:sz w:val="40"/>
          <w:szCs w:val="40"/>
        </w:rPr>
      </w:pPr>
    </w:p>
    <w:p w:rsidR="00B902D9" w:rsidRPr="000032C2" w:rsidRDefault="00C05771" w:rsidP="00294107">
      <w:pPr>
        <w:rPr>
          <w:color w:val="0070C0"/>
          <w:sz w:val="40"/>
          <w:szCs w:val="40"/>
        </w:rPr>
      </w:pPr>
      <w:bookmarkStart w:id="29" w:name="_Toc460945208"/>
      <w:bookmarkStart w:id="30" w:name="_Toc478732135"/>
      <w:bookmarkStart w:id="31" w:name="_Toc478735881"/>
      <w:r w:rsidRPr="000032C2">
        <w:rPr>
          <w:color w:val="0070C0"/>
          <w:sz w:val="40"/>
          <w:szCs w:val="40"/>
        </w:rPr>
        <w:t>Ministry of Social Development</w:t>
      </w:r>
      <w:bookmarkStart w:id="32" w:name="_Toc460945209"/>
      <w:bookmarkEnd w:id="29"/>
      <w:bookmarkEnd w:id="30"/>
      <w:bookmarkEnd w:id="31"/>
    </w:p>
    <w:p w:rsidR="00C05771" w:rsidRPr="000032C2" w:rsidRDefault="00DF4203" w:rsidP="00294107">
      <w:pPr>
        <w:rPr>
          <w:color w:val="0070C0"/>
          <w:sz w:val="40"/>
          <w:szCs w:val="40"/>
        </w:rPr>
      </w:pPr>
      <w:r w:rsidRPr="00C82B1A">
        <w:rPr>
          <w:color w:val="0070C0"/>
          <w:sz w:val="40"/>
          <w:szCs w:val="40"/>
        </w:rPr>
        <w:t>1</w:t>
      </w:r>
      <w:r w:rsidR="00CB2909" w:rsidRPr="00C82B1A">
        <w:rPr>
          <w:color w:val="0070C0"/>
          <w:sz w:val="40"/>
          <w:szCs w:val="40"/>
        </w:rPr>
        <w:t xml:space="preserve"> </w:t>
      </w:r>
      <w:r w:rsidRPr="00C82B1A">
        <w:rPr>
          <w:color w:val="0070C0"/>
          <w:sz w:val="40"/>
          <w:szCs w:val="40"/>
        </w:rPr>
        <w:t>May</w:t>
      </w:r>
      <w:r w:rsidR="00CE3BBB" w:rsidRPr="000032C2">
        <w:rPr>
          <w:color w:val="0070C0"/>
          <w:sz w:val="40"/>
          <w:szCs w:val="40"/>
        </w:rPr>
        <w:t xml:space="preserve"> </w:t>
      </w:r>
      <w:r w:rsidR="00C05771" w:rsidRPr="000032C2">
        <w:rPr>
          <w:color w:val="0070C0"/>
          <w:sz w:val="40"/>
          <w:szCs w:val="40"/>
        </w:rPr>
        <w:t>201</w:t>
      </w:r>
      <w:bookmarkEnd w:id="32"/>
      <w:r w:rsidR="00856C62" w:rsidRPr="000032C2">
        <w:rPr>
          <w:color w:val="0070C0"/>
          <w:sz w:val="40"/>
          <w:szCs w:val="40"/>
        </w:rPr>
        <w:t>7</w:t>
      </w:r>
    </w:p>
    <w:p w:rsidR="00C05771" w:rsidRPr="00C05771" w:rsidRDefault="00C05771" w:rsidP="00177E1D">
      <w:pPr>
        <w:spacing w:after="0" w:line="240" w:lineRule="auto"/>
        <w:rPr>
          <w:rFonts w:ascii="Georgia" w:eastAsiaTheme="majorEastAsia" w:hAnsi="Georgia" w:cs="Times New Roman"/>
          <w:b/>
          <w:bCs/>
          <w:color w:val="1F497D" w:themeColor="text2"/>
          <w:sz w:val="44"/>
          <w:szCs w:val="44"/>
          <w:lang w:val="en-GB" w:eastAsia="en-GB"/>
        </w:rPr>
      </w:pPr>
      <w:r w:rsidRPr="00C05771">
        <w:rPr>
          <w:rFonts w:ascii="Arial" w:eastAsia="Times New Roman" w:hAnsi="Arial" w:cs="Times New Roman"/>
          <w:color w:val="1F497D" w:themeColor="text2"/>
          <w:sz w:val="44"/>
          <w:szCs w:val="44"/>
          <w:lang w:val="en-GB" w:eastAsia="en-GB"/>
        </w:rPr>
        <w:br w:type="page"/>
      </w:r>
    </w:p>
    <w:p w:rsidR="00B261BF" w:rsidRDefault="00B261BF" w:rsidP="00CF2F69">
      <w:pPr>
        <w:spacing w:after="240" w:line="240" w:lineRule="auto"/>
        <w:outlineLvl w:val="1"/>
        <w:rPr>
          <w:rFonts w:eastAsia="Times New Roman" w:cs="Times New Roman"/>
          <w:b/>
          <w:color w:val="1F497D" w:themeColor="text2"/>
          <w:sz w:val="28"/>
          <w:szCs w:val="28"/>
          <w:lang w:val="en-GB" w:eastAsia="en-GB"/>
        </w:rPr>
      </w:pPr>
      <w:bookmarkStart w:id="33" w:name="_Toc362434943"/>
      <w:bookmarkStart w:id="34" w:name="_Toc362589329"/>
      <w:bookmarkStart w:id="35" w:name="_Toc362619029"/>
      <w:bookmarkStart w:id="36" w:name="_Toc362940593"/>
      <w:bookmarkStart w:id="37" w:name="_Toc363047101"/>
      <w:bookmarkStart w:id="38" w:name="_Toc481662078"/>
      <w:bookmarkEnd w:id="1"/>
      <w:bookmarkEnd w:id="2"/>
      <w:bookmarkEnd w:id="3"/>
      <w:bookmarkEnd w:id="4"/>
      <w:bookmarkEnd w:id="5"/>
      <w:bookmarkEnd w:id="6"/>
      <w:bookmarkEnd w:id="7"/>
      <w:bookmarkEnd w:id="8"/>
    </w:p>
    <w:p w:rsidR="00C05771" w:rsidRPr="00663DA5" w:rsidRDefault="00C05771" w:rsidP="00CF2F69">
      <w:pPr>
        <w:spacing w:after="240" w:line="240" w:lineRule="auto"/>
        <w:outlineLvl w:val="1"/>
        <w:rPr>
          <w:rFonts w:eastAsia="Times New Roman" w:cs="Times New Roman"/>
          <w:b/>
          <w:color w:val="1F497D" w:themeColor="text2"/>
          <w:sz w:val="28"/>
          <w:szCs w:val="28"/>
          <w:lang w:val="en-GB" w:eastAsia="en-GB"/>
        </w:rPr>
      </w:pPr>
      <w:r w:rsidRPr="00C05771">
        <w:rPr>
          <w:rFonts w:eastAsia="Times New Roman" w:cs="Times New Roman"/>
          <w:b/>
          <w:color w:val="1F497D" w:themeColor="text2"/>
          <w:sz w:val="28"/>
          <w:szCs w:val="28"/>
          <w:lang w:val="en-GB" w:eastAsia="en-GB"/>
        </w:rPr>
        <w:t>Agency Disclosure Statement</w:t>
      </w:r>
      <w:bookmarkEnd w:id="33"/>
      <w:bookmarkEnd w:id="34"/>
      <w:bookmarkEnd w:id="35"/>
      <w:bookmarkEnd w:id="36"/>
      <w:bookmarkEnd w:id="37"/>
      <w:bookmarkEnd w:id="38"/>
      <w:r w:rsidRPr="00C05771">
        <w:rPr>
          <w:rFonts w:eastAsia="Times New Roman" w:cs="Times New Roman"/>
          <w:b/>
          <w:color w:val="1F497D" w:themeColor="text2"/>
          <w:sz w:val="28"/>
          <w:szCs w:val="28"/>
          <w:lang w:val="en-GB" w:eastAsia="en-GB"/>
        </w:rPr>
        <w:t xml:space="preserve"> </w:t>
      </w:r>
    </w:p>
    <w:p w:rsidR="006B345A" w:rsidRDefault="00F87BA3" w:rsidP="00177E1D">
      <w:pPr>
        <w:spacing w:before="120"/>
        <w:ind w:right="170"/>
        <w:rPr>
          <w:highlight w:val="yellow"/>
        </w:rPr>
      </w:pPr>
      <w:r w:rsidRPr="00C05771">
        <w:t>This Regulatory Impact Statement (RIS) has been prepared by the Min</w:t>
      </w:r>
      <w:r>
        <w:t xml:space="preserve">istry of Social Development. It </w:t>
      </w:r>
      <w:r w:rsidRPr="00C05771">
        <w:t>provides an analysis of options to achieve a leg</w:t>
      </w:r>
      <w:r>
        <w:t>islative framework via amendments to the Social Workers Registration Act 2003 (SWR Act</w:t>
      </w:r>
      <w:r w:rsidR="006B345A">
        <w:t>) that will increase</w:t>
      </w:r>
      <w:r>
        <w:t xml:space="preserve"> the professionalism of the social work workforce. </w:t>
      </w:r>
    </w:p>
    <w:p w:rsidR="006B345A" w:rsidRPr="006B345A" w:rsidRDefault="006B345A" w:rsidP="006B345A">
      <w:pPr>
        <w:pStyle w:val="BodyText"/>
      </w:pPr>
      <w:r>
        <w:t xml:space="preserve">The Social Services Committee </w:t>
      </w:r>
      <w:r w:rsidR="00044B7B">
        <w:t xml:space="preserve">(the Select Committee) </w:t>
      </w:r>
      <w:r>
        <w:t xml:space="preserve">inquired into the operation of the </w:t>
      </w:r>
      <w:r w:rsidR="00DF4203">
        <w:t>SWR</w:t>
      </w:r>
      <w:r>
        <w:t xml:space="preserve"> Act at the request of Minister </w:t>
      </w:r>
      <w:proofErr w:type="spellStart"/>
      <w:r>
        <w:t>Tolley</w:t>
      </w:r>
      <w:proofErr w:type="spellEnd"/>
      <w:r>
        <w:t xml:space="preserve">, reporting back to the House </w:t>
      </w:r>
      <w:r w:rsidR="00DF4203">
        <w:t xml:space="preserve">of Representatives </w:t>
      </w:r>
      <w:r>
        <w:t xml:space="preserve">on 2 December 2016. The Government Response, presented to the House on 21 March 2017, acknowledged the overall intent of the </w:t>
      </w:r>
      <w:r w:rsidR="00044B7B">
        <w:t xml:space="preserve">Select </w:t>
      </w:r>
      <w:r>
        <w:t>Committee’s recommendations and the case made by the Committee for some form of increased regulation of social workers. The proposals analysed in this RIS are those referred to in that Response and are the result of further work undertaken by the Ministry of Social Development in February to April 2017.</w:t>
      </w:r>
    </w:p>
    <w:p w:rsidR="00F87BA3" w:rsidRPr="009A1C49" w:rsidRDefault="00F87BA3" w:rsidP="00177E1D">
      <w:pPr>
        <w:spacing w:before="120"/>
        <w:ind w:right="170"/>
        <w:rPr>
          <w:rFonts w:cstheme="minorHAnsi"/>
          <w:szCs w:val="20"/>
        </w:rPr>
      </w:pPr>
      <w:r w:rsidRPr="006B345A">
        <w:rPr>
          <w:rFonts w:cstheme="minorHAnsi"/>
          <w:szCs w:val="20"/>
        </w:rPr>
        <w:t xml:space="preserve">The proposals are expected to be considered by the Cabinet Social Policy Committee (SOC) in May 2017. The proposals in this RIS </w:t>
      </w:r>
      <w:r w:rsidRPr="009A1C49">
        <w:rPr>
          <w:rFonts w:cstheme="minorHAnsi"/>
          <w:szCs w:val="20"/>
        </w:rPr>
        <w:t>address</w:t>
      </w:r>
      <w:r w:rsidR="009A5AF8" w:rsidRPr="009A1C49">
        <w:rPr>
          <w:rFonts w:cstheme="minorHAnsi"/>
          <w:szCs w:val="20"/>
        </w:rPr>
        <w:t xml:space="preserve"> the options of increased regulation of social work and social workers, and make recommendations to</w:t>
      </w:r>
      <w:r w:rsidRPr="009A1C49">
        <w:rPr>
          <w:rFonts w:cstheme="minorHAnsi"/>
          <w:szCs w:val="20"/>
        </w:rPr>
        <w:t xml:space="preserve">: </w:t>
      </w:r>
    </w:p>
    <w:p w:rsidR="009A5AF8" w:rsidRPr="009A1C49" w:rsidRDefault="00DF4203" w:rsidP="005B5FC6">
      <w:pPr>
        <w:numPr>
          <w:ilvl w:val="0"/>
          <w:numId w:val="18"/>
        </w:numPr>
        <w:tabs>
          <w:tab w:val="num" w:pos="1418"/>
        </w:tabs>
        <w:spacing w:before="120" w:after="240" w:line="240" w:lineRule="auto"/>
        <w:rPr>
          <w:rFonts w:eastAsia="Times New Roman"/>
          <w:szCs w:val="20"/>
          <w:lang w:val="en-GB" w:eastAsia="ja-JP"/>
        </w:rPr>
      </w:pPr>
      <w:r>
        <w:rPr>
          <w:rFonts w:eastAsia="Times New Roman"/>
          <w:szCs w:val="20"/>
          <w:lang w:val="en-GB" w:eastAsia="ja-JP"/>
        </w:rPr>
        <w:t>expand</w:t>
      </w:r>
      <w:r w:rsidR="00241751" w:rsidRPr="009A1C49">
        <w:rPr>
          <w:rFonts w:eastAsia="Times New Roman"/>
          <w:szCs w:val="20"/>
          <w:lang w:val="en-GB" w:eastAsia="ja-JP"/>
        </w:rPr>
        <w:t xml:space="preserve"> the coverage of the </w:t>
      </w:r>
      <w:r w:rsidR="009A5AF8" w:rsidRPr="009A1C49">
        <w:rPr>
          <w:rFonts w:eastAsia="Times New Roman"/>
          <w:szCs w:val="20"/>
          <w:lang w:val="en-GB" w:eastAsia="ja-JP"/>
        </w:rPr>
        <w:t>current</w:t>
      </w:r>
      <w:r w:rsidR="00241751" w:rsidRPr="009A1C49">
        <w:rPr>
          <w:rFonts w:eastAsia="Times New Roman"/>
          <w:szCs w:val="20"/>
          <w:lang w:val="en-GB" w:eastAsia="ja-JP"/>
        </w:rPr>
        <w:t xml:space="preserve"> </w:t>
      </w:r>
      <w:r w:rsidR="003B0745" w:rsidRPr="009A1C49">
        <w:rPr>
          <w:rFonts w:eastAsia="Times New Roman"/>
          <w:szCs w:val="20"/>
          <w:lang w:val="en-GB" w:eastAsia="ja-JP"/>
        </w:rPr>
        <w:t xml:space="preserve">voluntary </w:t>
      </w:r>
      <w:r w:rsidR="00241751" w:rsidRPr="009A1C49">
        <w:rPr>
          <w:rFonts w:eastAsia="Times New Roman"/>
          <w:szCs w:val="20"/>
          <w:lang w:val="en-GB" w:eastAsia="ja-JP"/>
        </w:rPr>
        <w:t xml:space="preserve">certification </w:t>
      </w:r>
      <w:r w:rsidR="009A1C49">
        <w:rPr>
          <w:rFonts w:eastAsia="Times New Roman"/>
          <w:szCs w:val="20"/>
          <w:lang w:val="en-GB" w:eastAsia="ja-JP"/>
        </w:rPr>
        <w:t xml:space="preserve">approach by </w:t>
      </w:r>
      <w:r w:rsidR="009A5AF8" w:rsidRPr="009A1C49">
        <w:rPr>
          <w:rFonts w:eastAsia="Times New Roman"/>
          <w:szCs w:val="20"/>
          <w:lang w:val="en-GB" w:eastAsia="ja-JP"/>
        </w:rPr>
        <w:t>m</w:t>
      </w:r>
      <w:r w:rsidR="009A1C49">
        <w:rPr>
          <w:rFonts w:eastAsia="Times New Roman"/>
          <w:szCs w:val="20"/>
          <w:lang w:val="en-GB" w:eastAsia="ja-JP"/>
        </w:rPr>
        <w:t>oving</w:t>
      </w:r>
      <w:r w:rsidR="009A5AF8" w:rsidRPr="009A1C49">
        <w:rPr>
          <w:rFonts w:eastAsia="Times New Roman"/>
          <w:szCs w:val="20"/>
          <w:lang w:val="en-GB" w:eastAsia="ja-JP"/>
        </w:rPr>
        <w:t xml:space="preserve"> to </w:t>
      </w:r>
      <w:r w:rsidR="009A1C49">
        <w:rPr>
          <w:rFonts w:eastAsia="Times New Roman"/>
          <w:szCs w:val="20"/>
          <w:lang w:val="en-GB" w:eastAsia="ja-JP"/>
        </w:rPr>
        <w:t xml:space="preserve">a </w:t>
      </w:r>
      <w:r w:rsidR="009A5AF8" w:rsidRPr="009A1C49">
        <w:rPr>
          <w:rFonts w:eastAsia="Times New Roman"/>
          <w:szCs w:val="20"/>
          <w:lang w:val="en-GB" w:eastAsia="ja-JP"/>
        </w:rPr>
        <w:t xml:space="preserve">mandatory certification and broader title protection </w:t>
      </w:r>
      <w:r w:rsidR="009A1C49">
        <w:rPr>
          <w:rFonts w:eastAsia="Times New Roman"/>
          <w:szCs w:val="20"/>
          <w:lang w:val="en-GB" w:eastAsia="ja-JP"/>
        </w:rPr>
        <w:t xml:space="preserve">regime </w:t>
      </w:r>
      <w:r w:rsidR="009A5AF8" w:rsidRPr="009A1C49">
        <w:rPr>
          <w:rFonts w:eastAsia="Times New Roman"/>
          <w:szCs w:val="20"/>
          <w:lang w:val="en-GB" w:eastAsia="ja-JP"/>
        </w:rPr>
        <w:t>so that only those who are registered are able to call themselves “social workers”</w:t>
      </w:r>
    </w:p>
    <w:p w:rsidR="00F87BA3" w:rsidRPr="00800F6E" w:rsidRDefault="00DF4203" w:rsidP="005B5FC6">
      <w:pPr>
        <w:numPr>
          <w:ilvl w:val="0"/>
          <w:numId w:val="18"/>
        </w:numPr>
        <w:tabs>
          <w:tab w:val="num" w:pos="1418"/>
        </w:tabs>
        <w:spacing w:before="120" w:after="240" w:line="240" w:lineRule="auto"/>
        <w:rPr>
          <w:rFonts w:eastAsia="Times New Roman"/>
          <w:szCs w:val="20"/>
          <w:lang w:val="en-GB" w:eastAsia="ja-JP"/>
        </w:rPr>
      </w:pPr>
      <w:r>
        <w:rPr>
          <w:rFonts w:eastAsia="Times New Roman"/>
          <w:szCs w:val="20"/>
          <w:lang w:val="en-GB" w:eastAsia="ja-JP"/>
        </w:rPr>
        <w:t>support</w:t>
      </w:r>
      <w:r w:rsidR="00241751" w:rsidRPr="00800F6E">
        <w:rPr>
          <w:rFonts w:eastAsia="Times New Roman"/>
          <w:szCs w:val="20"/>
          <w:lang w:val="en-GB" w:eastAsia="ja-JP"/>
        </w:rPr>
        <w:t xml:space="preserve"> the efficient operation of the regulatory regime through various changes aimed at improving regulatory coherence and efficiency; and</w:t>
      </w:r>
    </w:p>
    <w:p w:rsidR="00241751" w:rsidRPr="00241751" w:rsidRDefault="00DF4203" w:rsidP="005B5FC6">
      <w:pPr>
        <w:numPr>
          <w:ilvl w:val="0"/>
          <w:numId w:val="18"/>
        </w:numPr>
        <w:tabs>
          <w:tab w:val="num" w:pos="1418"/>
        </w:tabs>
        <w:spacing w:after="240" w:line="240" w:lineRule="auto"/>
        <w:rPr>
          <w:rFonts w:eastAsia="Times New Roman"/>
          <w:szCs w:val="20"/>
          <w:lang w:val="en-GB" w:eastAsia="ja-JP"/>
        </w:rPr>
      </w:pPr>
      <w:proofErr w:type="gramStart"/>
      <w:r>
        <w:rPr>
          <w:rFonts w:eastAsia="Times New Roman"/>
          <w:szCs w:val="20"/>
          <w:lang w:val="en-GB" w:eastAsia="ja-JP"/>
        </w:rPr>
        <w:t>support</w:t>
      </w:r>
      <w:proofErr w:type="gramEnd"/>
      <w:r w:rsidR="00241751">
        <w:rPr>
          <w:rFonts w:eastAsia="Times New Roman"/>
          <w:szCs w:val="20"/>
          <w:lang w:val="en-GB" w:eastAsia="ja-JP"/>
        </w:rPr>
        <w:t xml:space="preserve"> wider moves towards improving the professionalism and quality of social work services in New Zealand</w:t>
      </w:r>
      <w:r w:rsidR="00241751" w:rsidRPr="00AD1C1A">
        <w:rPr>
          <w:rFonts w:eastAsia="Times New Roman"/>
          <w:szCs w:val="20"/>
          <w:lang w:val="en-GB" w:eastAsia="ja-JP"/>
        </w:rPr>
        <w:t>.</w:t>
      </w:r>
    </w:p>
    <w:p w:rsidR="00F87BA3" w:rsidRDefault="00F87BA3" w:rsidP="00177E1D">
      <w:pPr>
        <w:spacing w:before="120"/>
        <w:ind w:right="170"/>
        <w:rPr>
          <w:rFonts w:cstheme="minorHAnsi"/>
        </w:rPr>
      </w:pPr>
      <w:r>
        <w:t>T</w:t>
      </w:r>
      <w:r w:rsidRPr="002A5D5B">
        <w:t>he</w:t>
      </w:r>
      <w:r>
        <w:t>r</w:t>
      </w:r>
      <w:r w:rsidRPr="002A5D5B">
        <w:t xml:space="preserve">e </w:t>
      </w:r>
      <w:r>
        <w:t xml:space="preserve">are various legislative changes of a </w:t>
      </w:r>
      <w:r w:rsidRPr="00434FCF">
        <w:t>technical</w:t>
      </w:r>
      <w:r>
        <w:t>, short</w:t>
      </w:r>
      <w:r w:rsidRPr="00434FCF">
        <w:t xml:space="preserve"> </w:t>
      </w:r>
      <w:r>
        <w:t>and</w:t>
      </w:r>
      <w:r w:rsidRPr="00434FCF">
        <w:t xml:space="preserve"> </w:t>
      </w:r>
      <w:r>
        <w:t xml:space="preserve">non-controversial </w:t>
      </w:r>
      <w:r w:rsidRPr="00434FCF">
        <w:t xml:space="preserve">nature </w:t>
      </w:r>
      <w:r w:rsidRPr="002A5D5B">
        <w:t xml:space="preserve">which </w:t>
      </w:r>
      <w:r>
        <w:t>will be referred to in the paper</w:t>
      </w:r>
      <w:r w:rsidRPr="002A5D5B">
        <w:t xml:space="preserve"> to be considered by SOC </w:t>
      </w:r>
      <w:r>
        <w:t>which</w:t>
      </w:r>
      <w:r w:rsidRPr="002A5D5B">
        <w:t xml:space="preserve"> have not undergone regulatory impact </w:t>
      </w:r>
      <w:r w:rsidR="00F51DD6" w:rsidRPr="002A5D5B">
        <w:t>analysis</w:t>
      </w:r>
      <w:r w:rsidR="00F51DD6">
        <w:rPr>
          <w:rFonts w:cstheme="minorHAnsi"/>
        </w:rPr>
        <w:t>.</w:t>
      </w:r>
    </w:p>
    <w:p w:rsidR="00F87BA3" w:rsidRDefault="00F87BA3" w:rsidP="00177E1D">
      <w:pPr>
        <w:spacing w:before="120"/>
        <w:ind w:right="170"/>
        <w:rPr>
          <w:rFonts w:cstheme="minorHAnsi"/>
        </w:rPr>
      </w:pPr>
      <w:r w:rsidRPr="00C05771">
        <w:rPr>
          <w:rFonts w:cstheme="minorHAnsi"/>
        </w:rPr>
        <w:t xml:space="preserve">The key constraint </w:t>
      </w:r>
      <w:r w:rsidR="00F51DD6">
        <w:rPr>
          <w:rFonts w:cstheme="minorHAnsi"/>
        </w:rPr>
        <w:t>on</w:t>
      </w:r>
      <w:r w:rsidRPr="00C05771">
        <w:rPr>
          <w:rFonts w:cstheme="minorHAnsi"/>
        </w:rPr>
        <w:t xml:space="preserve"> the analysis presented in this pa</w:t>
      </w:r>
      <w:r>
        <w:rPr>
          <w:rFonts w:cstheme="minorHAnsi"/>
        </w:rPr>
        <w:t xml:space="preserve">per </w:t>
      </w:r>
      <w:r w:rsidR="00F51DD6">
        <w:rPr>
          <w:rFonts w:cstheme="minorHAnsi"/>
        </w:rPr>
        <w:t>is a</w:t>
      </w:r>
      <w:r>
        <w:rPr>
          <w:rFonts w:cstheme="minorHAnsi"/>
        </w:rPr>
        <w:t xml:space="preserve"> lack of comprehensive information about the numbers and roles of social worke</w:t>
      </w:r>
      <w:r w:rsidR="00F51DD6">
        <w:rPr>
          <w:rFonts w:cstheme="minorHAnsi"/>
        </w:rPr>
        <w:t xml:space="preserve">rs practising in the </w:t>
      </w:r>
      <w:r w:rsidR="00D97D37">
        <w:rPr>
          <w:rFonts w:cstheme="minorHAnsi"/>
        </w:rPr>
        <w:t>non-government</w:t>
      </w:r>
      <w:r w:rsidR="0064484F">
        <w:rPr>
          <w:rFonts w:cstheme="minorHAnsi"/>
        </w:rPr>
        <w:t>al</w:t>
      </w:r>
      <w:r w:rsidR="00D97D37">
        <w:rPr>
          <w:rFonts w:cstheme="minorHAnsi"/>
        </w:rPr>
        <w:t xml:space="preserve"> organisation (</w:t>
      </w:r>
      <w:r w:rsidR="00F51DD6">
        <w:rPr>
          <w:rFonts w:cstheme="minorHAnsi"/>
        </w:rPr>
        <w:t>NGO</w:t>
      </w:r>
      <w:r w:rsidR="00D97D37">
        <w:rPr>
          <w:rFonts w:cstheme="minorHAnsi"/>
        </w:rPr>
        <w:t>)</w:t>
      </w:r>
      <w:r w:rsidR="00F51DD6">
        <w:rPr>
          <w:rFonts w:cstheme="minorHAnsi"/>
        </w:rPr>
        <w:t xml:space="preserve"> sector.</w:t>
      </w:r>
    </w:p>
    <w:p w:rsidR="00F87BA3" w:rsidRDefault="00F87BA3" w:rsidP="00177E1D">
      <w:pPr>
        <w:spacing w:before="120"/>
        <w:ind w:right="170"/>
        <w:rPr>
          <w:rFonts w:cstheme="minorHAnsi"/>
        </w:rPr>
      </w:pPr>
    </w:p>
    <w:p w:rsidR="00F87BA3" w:rsidRDefault="00F87BA3" w:rsidP="00177E1D">
      <w:pPr>
        <w:spacing w:before="120"/>
        <w:ind w:right="170"/>
      </w:pPr>
    </w:p>
    <w:p w:rsidR="00F87BA3" w:rsidRDefault="00F87BA3" w:rsidP="00177E1D">
      <w:pPr>
        <w:spacing w:before="120"/>
        <w:ind w:right="170"/>
      </w:pPr>
    </w:p>
    <w:p w:rsidR="00F87BA3" w:rsidRDefault="00F87BA3" w:rsidP="00177E1D">
      <w:pPr>
        <w:spacing w:before="120"/>
        <w:ind w:right="170"/>
      </w:pPr>
    </w:p>
    <w:p w:rsidR="00F87BA3" w:rsidRPr="00F87BA3" w:rsidRDefault="00F87BA3" w:rsidP="00177E1D">
      <w:pPr>
        <w:spacing w:before="120"/>
        <w:ind w:right="170"/>
      </w:pPr>
    </w:p>
    <w:tbl>
      <w:tblPr>
        <w:tblW w:w="0" w:type="auto"/>
        <w:tblInd w:w="108" w:type="dxa"/>
        <w:tblLook w:val="01E0" w:firstRow="1" w:lastRow="1" w:firstColumn="1" w:lastColumn="1" w:noHBand="0" w:noVBand="0"/>
      </w:tblPr>
      <w:tblGrid>
        <w:gridCol w:w="5245"/>
        <w:gridCol w:w="992"/>
        <w:gridCol w:w="2694"/>
      </w:tblGrid>
      <w:tr w:rsidR="00F87BA3" w:rsidRPr="00C05771" w:rsidTr="00F87BA3">
        <w:tc>
          <w:tcPr>
            <w:tcW w:w="5245" w:type="dxa"/>
            <w:tcBorders>
              <w:bottom w:val="single" w:sz="8" w:space="0" w:color="auto"/>
            </w:tcBorders>
            <w:shd w:val="clear" w:color="auto" w:fill="auto"/>
          </w:tcPr>
          <w:p w:rsidR="00F87BA3" w:rsidRPr="00C05771" w:rsidRDefault="00F87BA3" w:rsidP="00177E1D">
            <w:pPr>
              <w:spacing w:after="180"/>
              <w:ind w:right="170"/>
              <w:rPr>
                <w:kern w:val="28"/>
                <w:lang w:eastAsia="en-AU"/>
              </w:rPr>
            </w:pPr>
          </w:p>
        </w:tc>
        <w:tc>
          <w:tcPr>
            <w:tcW w:w="992" w:type="dxa"/>
            <w:shd w:val="clear" w:color="auto" w:fill="auto"/>
          </w:tcPr>
          <w:p w:rsidR="00F87BA3" w:rsidRPr="00C05771" w:rsidRDefault="00F87BA3" w:rsidP="00177E1D">
            <w:pPr>
              <w:spacing w:after="180"/>
              <w:ind w:left="567" w:right="170"/>
              <w:rPr>
                <w:kern w:val="28"/>
                <w:lang w:eastAsia="en-AU"/>
              </w:rPr>
            </w:pPr>
          </w:p>
        </w:tc>
        <w:tc>
          <w:tcPr>
            <w:tcW w:w="2694" w:type="dxa"/>
            <w:tcBorders>
              <w:bottom w:val="single" w:sz="8" w:space="0" w:color="auto"/>
            </w:tcBorders>
            <w:shd w:val="clear" w:color="auto" w:fill="auto"/>
          </w:tcPr>
          <w:p w:rsidR="00F87BA3" w:rsidRPr="00C05771" w:rsidRDefault="00F87BA3" w:rsidP="00177E1D">
            <w:pPr>
              <w:spacing w:after="180"/>
              <w:ind w:right="170"/>
              <w:rPr>
                <w:kern w:val="28"/>
                <w:lang w:eastAsia="en-AU"/>
              </w:rPr>
            </w:pPr>
          </w:p>
        </w:tc>
      </w:tr>
      <w:tr w:rsidR="00F87BA3" w:rsidRPr="00C05771" w:rsidTr="00F87BA3">
        <w:tc>
          <w:tcPr>
            <w:tcW w:w="5245" w:type="dxa"/>
            <w:tcBorders>
              <w:top w:val="single" w:sz="8" w:space="0" w:color="auto"/>
            </w:tcBorders>
            <w:shd w:val="clear" w:color="auto" w:fill="auto"/>
          </w:tcPr>
          <w:p w:rsidR="00F87BA3" w:rsidRPr="00C05771" w:rsidRDefault="00F87BA3" w:rsidP="00CF2F69">
            <w:pPr>
              <w:spacing w:after="0" w:line="276" w:lineRule="auto"/>
              <w:ind w:right="170"/>
              <w:rPr>
                <w:kern w:val="28"/>
                <w:lang w:eastAsia="en-AU"/>
              </w:rPr>
            </w:pPr>
            <w:r>
              <w:rPr>
                <w:kern w:val="28"/>
                <w:lang w:eastAsia="en-AU"/>
              </w:rPr>
              <w:t>Simon MacPherson</w:t>
            </w:r>
          </w:p>
          <w:p w:rsidR="00F87BA3" w:rsidRPr="00C05771" w:rsidRDefault="00F87BA3" w:rsidP="00177E1D">
            <w:pPr>
              <w:spacing w:after="0" w:line="276" w:lineRule="auto"/>
              <w:ind w:right="170"/>
              <w:rPr>
                <w:kern w:val="28"/>
                <w:lang w:eastAsia="en-AU"/>
              </w:rPr>
            </w:pPr>
            <w:r w:rsidRPr="00C05771">
              <w:rPr>
                <w:kern w:val="28"/>
                <w:lang w:eastAsia="en-AU"/>
              </w:rPr>
              <w:t>Deputy Chief Executive, Social Policy</w:t>
            </w:r>
          </w:p>
          <w:p w:rsidR="00F87BA3" w:rsidRPr="00C05771" w:rsidRDefault="00F87BA3" w:rsidP="00177E1D">
            <w:pPr>
              <w:spacing w:after="0" w:line="276" w:lineRule="auto"/>
              <w:ind w:right="170"/>
              <w:rPr>
                <w:kern w:val="28"/>
                <w:lang w:eastAsia="en-AU"/>
              </w:rPr>
            </w:pPr>
            <w:r w:rsidRPr="00C05771">
              <w:rPr>
                <w:kern w:val="28"/>
                <w:lang w:eastAsia="en-AU"/>
              </w:rPr>
              <w:t>Ministry of Social Development</w:t>
            </w:r>
          </w:p>
          <w:p w:rsidR="00F87BA3" w:rsidRPr="00C05771" w:rsidRDefault="00F87BA3" w:rsidP="00177E1D">
            <w:pPr>
              <w:spacing w:after="0" w:line="276" w:lineRule="auto"/>
              <w:ind w:left="567" w:right="170"/>
              <w:rPr>
                <w:kern w:val="28"/>
                <w:lang w:eastAsia="en-AU"/>
              </w:rPr>
            </w:pPr>
          </w:p>
        </w:tc>
        <w:tc>
          <w:tcPr>
            <w:tcW w:w="992" w:type="dxa"/>
            <w:shd w:val="clear" w:color="auto" w:fill="auto"/>
          </w:tcPr>
          <w:p w:rsidR="00F87BA3" w:rsidRPr="00C05771" w:rsidRDefault="00F87BA3" w:rsidP="00177E1D">
            <w:pPr>
              <w:spacing w:after="0" w:line="276" w:lineRule="auto"/>
              <w:ind w:left="567" w:right="170"/>
              <w:rPr>
                <w:kern w:val="28"/>
                <w:lang w:eastAsia="en-AU"/>
              </w:rPr>
            </w:pPr>
          </w:p>
        </w:tc>
        <w:tc>
          <w:tcPr>
            <w:tcW w:w="2694" w:type="dxa"/>
            <w:tcBorders>
              <w:top w:val="single" w:sz="8" w:space="0" w:color="auto"/>
            </w:tcBorders>
            <w:shd w:val="clear" w:color="auto" w:fill="auto"/>
          </w:tcPr>
          <w:p w:rsidR="00F87BA3" w:rsidRPr="00C05771" w:rsidRDefault="00F87BA3" w:rsidP="00177E1D">
            <w:pPr>
              <w:spacing w:after="0" w:line="276" w:lineRule="auto"/>
              <w:ind w:right="170"/>
              <w:rPr>
                <w:kern w:val="28"/>
                <w:lang w:eastAsia="en-AU"/>
              </w:rPr>
            </w:pPr>
            <w:r w:rsidRPr="00C05771">
              <w:rPr>
                <w:kern w:val="28"/>
                <w:lang w:eastAsia="en-AU"/>
              </w:rPr>
              <w:t>Date</w:t>
            </w:r>
          </w:p>
        </w:tc>
      </w:tr>
    </w:tbl>
    <w:p w:rsidR="00F87BA3" w:rsidRDefault="00F87BA3" w:rsidP="00CF2F69">
      <w:pPr>
        <w:pStyle w:val="TOC2"/>
        <w:tabs>
          <w:tab w:val="right" w:leader="dot" w:pos="9061"/>
        </w:tabs>
        <w:rPr>
          <w:rFonts w:ascii="Arial" w:eastAsia="Times New Roman" w:hAnsi="Arial" w:cs="Times New Roman"/>
          <w:sz w:val="22"/>
          <w:szCs w:val="20"/>
          <w:lang w:val="en-GB" w:eastAsia="en-GB"/>
        </w:rPr>
      </w:pPr>
    </w:p>
    <w:p w:rsidR="00F87BA3" w:rsidRDefault="00F87BA3" w:rsidP="00177E1D">
      <w:pPr>
        <w:pStyle w:val="TOC2"/>
        <w:tabs>
          <w:tab w:val="right" w:leader="dot" w:pos="9061"/>
        </w:tabs>
        <w:rPr>
          <w:rFonts w:ascii="Arial" w:eastAsia="Times New Roman" w:hAnsi="Arial" w:cs="Times New Roman"/>
          <w:sz w:val="22"/>
          <w:szCs w:val="20"/>
          <w:lang w:val="en-GB" w:eastAsia="en-GB"/>
        </w:rPr>
      </w:pPr>
    </w:p>
    <w:p w:rsidR="00F87BA3" w:rsidRDefault="00F87BA3" w:rsidP="00177E1D">
      <w:pPr>
        <w:pStyle w:val="TOC2"/>
        <w:tabs>
          <w:tab w:val="right" w:leader="dot" w:pos="9061"/>
        </w:tabs>
        <w:rPr>
          <w:rFonts w:ascii="Arial" w:eastAsia="Times New Roman" w:hAnsi="Arial" w:cs="Times New Roman"/>
          <w:sz w:val="22"/>
          <w:szCs w:val="20"/>
          <w:lang w:val="en-GB" w:eastAsia="en-GB"/>
        </w:rPr>
      </w:pPr>
    </w:p>
    <w:p w:rsidR="00F87BA3" w:rsidRDefault="00F87BA3" w:rsidP="00177E1D">
      <w:pPr>
        <w:pStyle w:val="TOC2"/>
        <w:tabs>
          <w:tab w:val="right" w:leader="dot" w:pos="9061"/>
        </w:tabs>
        <w:rPr>
          <w:rFonts w:ascii="Arial" w:eastAsia="Times New Roman" w:hAnsi="Arial" w:cs="Times New Roman"/>
          <w:sz w:val="22"/>
          <w:szCs w:val="20"/>
          <w:lang w:val="en-GB" w:eastAsia="en-GB"/>
        </w:rPr>
      </w:pPr>
    </w:p>
    <w:p w:rsidR="00F87BA3" w:rsidRDefault="00F87BA3" w:rsidP="00177E1D">
      <w:pPr>
        <w:pStyle w:val="TOC2"/>
        <w:tabs>
          <w:tab w:val="right" w:leader="dot" w:pos="9061"/>
        </w:tabs>
        <w:rPr>
          <w:rFonts w:ascii="Arial" w:eastAsia="Times New Roman" w:hAnsi="Arial" w:cs="Times New Roman"/>
          <w:sz w:val="22"/>
          <w:szCs w:val="20"/>
          <w:lang w:val="en-GB" w:eastAsia="en-GB"/>
        </w:rPr>
      </w:pPr>
    </w:p>
    <w:p w:rsidR="00F87BA3" w:rsidRDefault="00F87BA3" w:rsidP="00177E1D">
      <w:pPr>
        <w:pStyle w:val="TOC2"/>
        <w:tabs>
          <w:tab w:val="right" w:leader="dot" w:pos="9061"/>
        </w:tabs>
        <w:rPr>
          <w:rFonts w:ascii="Arial" w:eastAsia="Times New Roman" w:hAnsi="Arial" w:cs="Times New Roman"/>
          <w:sz w:val="22"/>
          <w:szCs w:val="20"/>
          <w:lang w:val="en-GB" w:eastAsia="en-GB"/>
        </w:rPr>
      </w:pPr>
    </w:p>
    <w:p w:rsidR="00327F3D" w:rsidRPr="00327F3D" w:rsidRDefault="00327F3D" w:rsidP="00177E1D">
      <w:pPr>
        <w:spacing w:after="0" w:line="240" w:lineRule="auto"/>
        <w:rPr>
          <w:rFonts w:eastAsia="Times New Roman" w:cs="Times New Roman"/>
          <w:b/>
          <w:color w:val="0070C0"/>
          <w:sz w:val="28"/>
          <w:szCs w:val="28"/>
          <w:lang w:val="en-GB" w:eastAsia="en-GB"/>
        </w:rPr>
      </w:pPr>
      <w:r w:rsidRPr="00327F3D">
        <w:rPr>
          <w:rFonts w:eastAsia="Times New Roman" w:cs="Times New Roman"/>
          <w:b/>
          <w:color w:val="0070C0"/>
          <w:sz w:val="28"/>
          <w:szCs w:val="28"/>
          <w:lang w:val="en-GB" w:eastAsia="en-GB"/>
        </w:rPr>
        <w:t>Contents</w:t>
      </w:r>
    </w:p>
    <w:p w:rsidR="00327F3D" w:rsidRDefault="00327F3D" w:rsidP="00177E1D">
      <w:pPr>
        <w:spacing w:after="0" w:line="240" w:lineRule="auto"/>
        <w:rPr>
          <w:rFonts w:ascii="Arial" w:eastAsia="Times New Roman" w:hAnsi="Arial" w:cs="Times New Roman"/>
          <w:sz w:val="22"/>
          <w:szCs w:val="20"/>
          <w:lang w:val="en-GB" w:eastAsia="en-GB"/>
        </w:rPr>
      </w:pPr>
    </w:p>
    <w:sdt>
      <w:sdtPr>
        <w:rPr>
          <w:rFonts w:ascii="Arial" w:eastAsia="Times New Roman" w:hAnsi="Arial" w:cs="Times New Roman"/>
          <w:sz w:val="22"/>
          <w:szCs w:val="20"/>
          <w:lang w:val="en-GB" w:eastAsia="en-GB"/>
        </w:rPr>
        <w:id w:val="-1175496307"/>
        <w:docPartObj>
          <w:docPartGallery w:val="Table of Contents"/>
          <w:docPartUnique/>
        </w:docPartObj>
      </w:sdtPr>
      <w:sdtEndPr>
        <w:rPr>
          <w:noProof/>
        </w:rPr>
      </w:sdtEndPr>
      <w:sdtContent>
        <w:p w:rsidR="00C82B1A" w:rsidRDefault="00C05771">
          <w:pPr>
            <w:pStyle w:val="TOC2"/>
            <w:tabs>
              <w:tab w:val="right" w:leader="dot" w:pos="9061"/>
            </w:tabs>
            <w:rPr>
              <w:rFonts w:asciiTheme="minorHAnsi" w:eastAsiaTheme="minorEastAsia" w:hAnsiTheme="minorHAnsi" w:cstheme="minorBidi"/>
              <w:noProof/>
              <w:sz w:val="22"/>
              <w:lang w:eastAsia="en-NZ"/>
            </w:rPr>
          </w:pPr>
          <w:r w:rsidRPr="00C05771">
            <w:rPr>
              <w:rFonts w:ascii="Arial" w:eastAsia="Times New Roman" w:hAnsi="Arial" w:cs="Times New Roman"/>
              <w:sz w:val="22"/>
              <w:szCs w:val="20"/>
              <w:lang w:val="en-GB" w:eastAsia="en-GB"/>
            </w:rPr>
            <w:fldChar w:fldCharType="begin"/>
          </w:r>
          <w:r w:rsidRPr="00C05771">
            <w:rPr>
              <w:rFonts w:ascii="Arial" w:eastAsia="Times New Roman" w:hAnsi="Arial" w:cs="Times New Roman"/>
              <w:sz w:val="22"/>
              <w:szCs w:val="20"/>
              <w:lang w:val="en-GB" w:eastAsia="en-GB"/>
            </w:rPr>
            <w:instrText xml:space="preserve"> TOC \o "1-3" \h \z \u </w:instrText>
          </w:r>
          <w:r w:rsidRPr="00C05771">
            <w:rPr>
              <w:rFonts w:ascii="Arial" w:eastAsia="Times New Roman" w:hAnsi="Arial" w:cs="Times New Roman"/>
              <w:sz w:val="22"/>
              <w:szCs w:val="20"/>
              <w:lang w:val="en-GB" w:eastAsia="en-GB"/>
            </w:rPr>
            <w:fldChar w:fldCharType="separate"/>
          </w:r>
          <w:hyperlink w:anchor="_Toc481662078" w:history="1">
            <w:r w:rsidR="00C82B1A" w:rsidRPr="00D3276C">
              <w:rPr>
                <w:rStyle w:val="Hyperlink"/>
                <w:rFonts w:eastAsia="Times New Roman" w:cs="Times New Roman"/>
                <w:b/>
                <w:noProof/>
                <w:lang w:val="en-GB" w:eastAsia="en-GB"/>
              </w:rPr>
              <w:t>Agency Disclosure Statement</w:t>
            </w:r>
            <w:r w:rsidR="00C82B1A">
              <w:rPr>
                <w:noProof/>
                <w:webHidden/>
              </w:rPr>
              <w:tab/>
            </w:r>
            <w:r w:rsidR="00C82B1A">
              <w:rPr>
                <w:noProof/>
                <w:webHidden/>
              </w:rPr>
              <w:fldChar w:fldCharType="begin"/>
            </w:r>
            <w:r w:rsidR="00C82B1A">
              <w:rPr>
                <w:noProof/>
                <w:webHidden/>
              </w:rPr>
              <w:instrText xml:space="preserve"> PAGEREF _Toc481662078 \h </w:instrText>
            </w:r>
            <w:r w:rsidR="00C82B1A">
              <w:rPr>
                <w:noProof/>
                <w:webHidden/>
              </w:rPr>
            </w:r>
            <w:r w:rsidR="00C82B1A">
              <w:rPr>
                <w:noProof/>
                <w:webHidden/>
              </w:rPr>
              <w:fldChar w:fldCharType="separate"/>
            </w:r>
            <w:r w:rsidR="006A62CC">
              <w:rPr>
                <w:noProof/>
                <w:webHidden/>
              </w:rPr>
              <w:t>2</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79" w:history="1">
            <w:r w:rsidR="00C82B1A" w:rsidRPr="00D3276C">
              <w:rPr>
                <w:rStyle w:val="Hyperlink"/>
                <w:rFonts w:eastAsia="Times New Roman" w:cs="Times New Roman"/>
                <w:b/>
                <w:noProof/>
                <w:lang w:val="en-GB" w:eastAsia="en-GB"/>
              </w:rPr>
              <w:t>Executive summary</w:t>
            </w:r>
            <w:r w:rsidR="00C82B1A">
              <w:rPr>
                <w:noProof/>
                <w:webHidden/>
              </w:rPr>
              <w:tab/>
            </w:r>
            <w:r w:rsidR="00C82B1A">
              <w:rPr>
                <w:noProof/>
                <w:webHidden/>
              </w:rPr>
              <w:fldChar w:fldCharType="begin"/>
            </w:r>
            <w:r w:rsidR="00C82B1A">
              <w:rPr>
                <w:noProof/>
                <w:webHidden/>
              </w:rPr>
              <w:instrText xml:space="preserve"> PAGEREF _Toc481662079 \h </w:instrText>
            </w:r>
            <w:r w:rsidR="00C82B1A">
              <w:rPr>
                <w:noProof/>
                <w:webHidden/>
              </w:rPr>
            </w:r>
            <w:r w:rsidR="00C82B1A">
              <w:rPr>
                <w:noProof/>
                <w:webHidden/>
              </w:rPr>
              <w:fldChar w:fldCharType="separate"/>
            </w:r>
            <w:r w:rsidR="006A62CC">
              <w:rPr>
                <w:noProof/>
                <w:webHidden/>
              </w:rPr>
              <w:t>4</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80" w:history="1">
            <w:r w:rsidR="00C82B1A" w:rsidRPr="00D3276C">
              <w:rPr>
                <w:rStyle w:val="Hyperlink"/>
                <w:rFonts w:eastAsia="Times New Roman" w:cs="Times New Roman"/>
                <w:b/>
                <w:noProof/>
                <w:lang w:val="en-GB" w:eastAsia="en-GB"/>
              </w:rPr>
              <w:t>Objectives and Criteria</w:t>
            </w:r>
            <w:r w:rsidR="00C82B1A">
              <w:rPr>
                <w:noProof/>
                <w:webHidden/>
              </w:rPr>
              <w:tab/>
            </w:r>
            <w:r w:rsidR="00C82B1A">
              <w:rPr>
                <w:noProof/>
                <w:webHidden/>
              </w:rPr>
              <w:fldChar w:fldCharType="begin"/>
            </w:r>
            <w:r w:rsidR="00C82B1A">
              <w:rPr>
                <w:noProof/>
                <w:webHidden/>
              </w:rPr>
              <w:instrText xml:space="preserve"> PAGEREF _Toc481662080 \h </w:instrText>
            </w:r>
            <w:r w:rsidR="00C82B1A">
              <w:rPr>
                <w:noProof/>
                <w:webHidden/>
              </w:rPr>
            </w:r>
            <w:r w:rsidR="00C82B1A">
              <w:rPr>
                <w:noProof/>
                <w:webHidden/>
              </w:rPr>
              <w:fldChar w:fldCharType="separate"/>
            </w:r>
            <w:r w:rsidR="006A62CC">
              <w:rPr>
                <w:noProof/>
                <w:webHidden/>
              </w:rPr>
              <w:t>12</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81" w:history="1">
            <w:r w:rsidR="00C82B1A" w:rsidRPr="00D3276C">
              <w:rPr>
                <w:rStyle w:val="Hyperlink"/>
                <w:rFonts w:eastAsia="Times New Roman" w:cs="Times New Roman"/>
                <w:b/>
                <w:noProof/>
                <w:lang w:val="en-GB" w:eastAsia="en-GB"/>
              </w:rPr>
              <w:t>Specific proposals and options</w:t>
            </w:r>
            <w:r w:rsidR="00C82B1A">
              <w:rPr>
                <w:noProof/>
                <w:webHidden/>
              </w:rPr>
              <w:tab/>
            </w:r>
            <w:r w:rsidR="00C82B1A">
              <w:rPr>
                <w:noProof/>
                <w:webHidden/>
              </w:rPr>
              <w:fldChar w:fldCharType="begin"/>
            </w:r>
            <w:r w:rsidR="00C82B1A">
              <w:rPr>
                <w:noProof/>
                <w:webHidden/>
              </w:rPr>
              <w:instrText xml:space="preserve"> PAGEREF _Toc481662081 \h </w:instrText>
            </w:r>
            <w:r w:rsidR="00C82B1A">
              <w:rPr>
                <w:noProof/>
                <w:webHidden/>
              </w:rPr>
            </w:r>
            <w:r w:rsidR="00C82B1A">
              <w:rPr>
                <w:noProof/>
                <w:webHidden/>
              </w:rPr>
              <w:fldChar w:fldCharType="separate"/>
            </w:r>
            <w:r w:rsidR="006A62CC">
              <w:rPr>
                <w:noProof/>
                <w:webHidden/>
              </w:rPr>
              <w:t>14</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2" w:history="1">
            <w:r w:rsidR="00C82B1A" w:rsidRPr="00D3276C">
              <w:rPr>
                <w:rStyle w:val="Hyperlink"/>
                <w:rFonts w:eastAsia="Times New Roman" w:cs="Times New Roman"/>
                <w:b/>
                <w:noProof/>
                <w:lang w:val="en-GB" w:eastAsia="en-GB"/>
              </w:rPr>
              <w:t>Part One: Registration of social workers</w:t>
            </w:r>
            <w:r w:rsidR="00C82B1A">
              <w:rPr>
                <w:noProof/>
                <w:webHidden/>
              </w:rPr>
              <w:tab/>
            </w:r>
            <w:r w:rsidR="00C82B1A">
              <w:rPr>
                <w:noProof/>
                <w:webHidden/>
              </w:rPr>
              <w:fldChar w:fldCharType="begin"/>
            </w:r>
            <w:r w:rsidR="00C82B1A">
              <w:rPr>
                <w:noProof/>
                <w:webHidden/>
              </w:rPr>
              <w:instrText xml:space="preserve"> PAGEREF _Toc481662082 \h </w:instrText>
            </w:r>
            <w:r w:rsidR="00C82B1A">
              <w:rPr>
                <w:noProof/>
                <w:webHidden/>
              </w:rPr>
            </w:r>
            <w:r w:rsidR="00C82B1A">
              <w:rPr>
                <w:noProof/>
                <w:webHidden/>
              </w:rPr>
              <w:fldChar w:fldCharType="separate"/>
            </w:r>
            <w:r w:rsidR="006A62CC">
              <w:rPr>
                <w:noProof/>
                <w:webHidden/>
              </w:rPr>
              <w:t>14</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3" w:history="1">
            <w:r w:rsidR="00C82B1A" w:rsidRPr="00D3276C">
              <w:rPr>
                <w:rStyle w:val="Hyperlink"/>
                <w:rFonts w:eastAsia="Times New Roman" w:cs="Times New Roman"/>
                <w:b/>
                <w:noProof/>
                <w:lang w:val="en-GB" w:eastAsia="en-GB"/>
              </w:rPr>
              <w:t>Options for the registration system</w:t>
            </w:r>
            <w:r w:rsidR="00C82B1A">
              <w:rPr>
                <w:noProof/>
                <w:webHidden/>
              </w:rPr>
              <w:tab/>
            </w:r>
            <w:r w:rsidR="00C82B1A">
              <w:rPr>
                <w:noProof/>
                <w:webHidden/>
              </w:rPr>
              <w:fldChar w:fldCharType="begin"/>
            </w:r>
            <w:r w:rsidR="00C82B1A">
              <w:rPr>
                <w:noProof/>
                <w:webHidden/>
              </w:rPr>
              <w:instrText xml:space="preserve"> PAGEREF _Toc481662083 \h </w:instrText>
            </w:r>
            <w:r w:rsidR="00C82B1A">
              <w:rPr>
                <w:noProof/>
                <w:webHidden/>
              </w:rPr>
            </w:r>
            <w:r w:rsidR="00C82B1A">
              <w:rPr>
                <w:noProof/>
                <w:webHidden/>
              </w:rPr>
              <w:fldChar w:fldCharType="separate"/>
            </w:r>
            <w:r w:rsidR="006A62CC">
              <w:rPr>
                <w:noProof/>
                <w:webHidden/>
              </w:rPr>
              <w:t>20</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4" w:history="1">
            <w:r w:rsidR="00C82B1A" w:rsidRPr="00D3276C">
              <w:rPr>
                <w:rStyle w:val="Hyperlink"/>
                <w:rFonts w:eastAsia="Times New Roman" w:cs="Times New Roman"/>
                <w:b/>
                <w:noProof/>
                <w:lang w:val="en-GB" w:eastAsia="en-GB"/>
              </w:rPr>
              <w:t>Part Two: Amendments to the Social Workers Registration Act to increase effectiveness and transparency</w:t>
            </w:r>
            <w:r w:rsidR="00C82B1A">
              <w:rPr>
                <w:noProof/>
                <w:webHidden/>
              </w:rPr>
              <w:tab/>
            </w:r>
            <w:r w:rsidR="00C82B1A">
              <w:rPr>
                <w:noProof/>
                <w:webHidden/>
              </w:rPr>
              <w:fldChar w:fldCharType="begin"/>
            </w:r>
            <w:r w:rsidR="00C82B1A">
              <w:rPr>
                <w:noProof/>
                <w:webHidden/>
              </w:rPr>
              <w:instrText xml:space="preserve"> PAGEREF _Toc481662084 \h </w:instrText>
            </w:r>
            <w:r w:rsidR="00C82B1A">
              <w:rPr>
                <w:noProof/>
                <w:webHidden/>
              </w:rPr>
            </w:r>
            <w:r w:rsidR="00C82B1A">
              <w:rPr>
                <w:noProof/>
                <w:webHidden/>
              </w:rPr>
              <w:fldChar w:fldCharType="separate"/>
            </w:r>
            <w:r w:rsidR="006A62CC">
              <w:rPr>
                <w:noProof/>
                <w:webHidden/>
              </w:rPr>
              <w:t>28</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5" w:history="1">
            <w:r w:rsidR="00C82B1A" w:rsidRPr="00D3276C">
              <w:rPr>
                <w:rStyle w:val="Hyperlink"/>
                <w:rFonts w:eastAsia="Times New Roman" w:cs="Times New Roman"/>
                <w:b/>
                <w:noProof/>
                <w:lang w:val="en-GB" w:eastAsia="en-GB"/>
              </w:rPr>
              <w:t>Regulation of the Board</w:t>
            </w:r>
            <w:r w:rsidR="00C82B1A">
              <w:rPr>
                <w:noProof/>
                <w:webHidden/>
              </w:rPr>
              <w:tab/>
            </w:r>
            <w:r w:rsidR="00C82B1A">
              <w:rPr>
                <w:noProof/>
                <w:webHidden/>
              </w:rPr>
              <w:fldChar w:fldCharType="begin"/>
            </w:r>
            <w:r w:rsidR="00C82B1A">
              <w:rPr>
                <w:noProof/>
                <w:webHidden/>
              </w:rPr>
              <w:instrText xml:space="preserve"> PAGEREF _Toc481662085 \h </w:instrText>
            </w:r>
            <w:r w:rsidR="00C82B1A">
              <w:rPr>
                <w:noProof/>
                <w:webHidden/>
              </w:rPr>
            </w:r>
            <w:r w:rsidR="00C82B1A">
              <w:rPr>
                <w:noProof/>
                <w:webHidden/>
              </w:rPr>
              <w:fldChar w:fldCharType="separate"/>
            </w:r>
            <w:r w:rsidR="006A62CC">
              <w:rPr>
                <w:noProof/>
                <w:webHidden/>
              </w:rPr>
              <w:t>28</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6" w:history="1">
            <w:r w:rsidR="00C82B1A" w:rsidRPr="00D3276C">
              <w:rPr>
                <w:rStyle w:val="Hyperlink"/>
                <w:rFonts w:eastAsia="Times New Roman" w:cs="Times New Roman"/>
                <w:b/>
                <w:noProof/>
                <w:lang w:val="en-GB" w:eastAsia="en-GB"/>
              </w:rPr>
              <w:t>Experience based pathway to registration (Section13)</w:t>
            </w:r>
            <w:r w:rsidR="00C82B1A">
              <w:rPr>
                <w:noProof/>
                <w:webHidden/>
              </w:rPr>
              <w:tab/>
            </w:r>
            <w:r w:rsidR="00C82B1A">
              <w:rPr>
                <w:noProof/>
                <w:webHidden/>
              </w:rPr>
              <w:fldChar w:fldCharType="begin"/>
            </w:r>
            <w:r w:rsidR="00C82B1A">
              <w:rPr>
                <w:noProof/>
                <w:webHidden/>
              </w:rPr>
              <w:instrText xml:space="preserve"> PAGEREF _Toc481662086 \h </w:instrText>
            </w:r>
            <w:r w:rsidR="00C82B1A">
              <w:rPr>
                <w:noProof/>
                <w:webHidden/>
              </w:rPr>
            </w:r>
            <w:r w:rsidR="00C82B1A">
              <w:rPr>
                <w:noProof/>
                <w:webHidden/>
              </w:rPr>
              <w:fldChar w:fldCharType="separate"/>
            </w:r>
            <w:r w:rsidR="006A62CC">
              <w:rPr>
                <w:noProof/>
                <w:webHidden/>
              </w:rPr>
              <w:t>29</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7" w:history="1">
            <w:r w:rsidR="00C82B1A" w:rsidRPr="00D3276C">
              <w:rPr>
                <w:rStyle w:val="Hyperlink"/>
                <w:rFonts w:eastAsia="Times New Roman" w:cs="Times New Roman"/>
                <w:b/>
                <w:noProof/>
                <w:lang w:val="en-GB" w:eastAsia="en-GB"/>
              </w:rPr>
              <w:t>Competence requirements</w:t>
            </w:r>
            <w:r w:rsidR="00C82B1A">
              <w:rPr>
                <w:noProof/>
                <w:webHidden/>
              </w:rPr>
              <w:tab/>
            </w:r>
            <w:r w:rsidR="00C82B1A">
              <w:rPr>
                <w:noProof/>
                <w:webHidden/>
              </w:rPr>
              <w:fldChar w:fldCharType="begin"/>
            </w:r>
            <w:r w:rsidR="00C82B1A">
              <w:rPr>
                <w:noProof/>
                <w:webHidden/>
              </w:rPr>
              <w:instrText xml:space="preserve"> PAGEREF _Toc481662087 \h </w:instrText>
            </w:r>
            <w:r w:rsidR="00C82B1A">
              <w:rPr>
                <w:noProof/>
                <w:webHidden/>
              </w:rPr>
            </w:r>
            <w:r w:rsidR="00C82B1A">
              <w:rPr>
                <w:noProof/>
                <w:webHidden/>
              </w:rPr>
              <w:fldChar w:fldCharType="separate"/>
            </w:r>
            <w:r w:rsidR="006A62CC">
              <w:rPr>
                <w:noProof/>
                <w:webHidden/>
              </w:rPr>
              <w:t>30</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8" w:history="1">
            <w:r w:rsidR="00C82B1A" w:rsidRPr="00D3276C">
              <w:rPr>
                <w:rStyle w:val="Hyperlink"/>
                <w:rFonts w:eastAsia="Times New Roman" w:cs="Times New Roman"/>
                <w:b/>
                <w:noProof/>
                <w:lang w:val="en-GB" w:eastAsia="en-GB"/>
              </w:rPr>
              <w:t>Fit and proper person to practise</w:t>
            </w:r>
            <w:r w:rsidR="00C82B1A">
              <w:rPr>
                <w:noProof/>
                <w:webHidden/>
              </w:rPr>
              <w:tab/>
            </w:r>
            <w:r w:rsidR="00C82B1A">
              <w:rPr>
                <w:noProof/>
                <w:webHidden/>
              </w:rPr>
              <w:fldChar w:fldCharType="begin"/>
            </w:r>
            <w:r w:rsidR="00C82B1A">
              <w:rPr>
                <w:noProof/>
                <w:webHidden/>
              </w:rPr>
              <w:instrText xml:space="preserve"> PAGEREF _Toc481662088 \h </w:instrText>
            </w:r>
            <w:r w:rsidR="00C82B1A">
              <w:rPr>
                <w:noProof/>
                <w:webHidden/>
              </w:rPr>
            </w:r>
            <w:r w:rsidR="00C82B1A">
              <w:rPr>
                <w:noProof/>
                <w:webHidden/>
              </w:rPr>
              <w:fldChar w:fldCharType="separate"/>
            </w:r>
            <w:r w:rsidR="006A62CC">
              <w:rPr>
                <w:noProof/>
                <w:webHidden/>
              </w:rPr>
              <w:t>32</w:t>
            </w:r>
            <w:r w:rsidR="00C82B1A">
              <w:rPr>
                <w:noProof/>
                <w:webHidden/>
              </w:rPr>
              <w:fldChar w:fldCharType="end"/>
            </w:r>
          </w:hyperlink>
        </w:p>
        <w:p w:rsidR="00C82B1A" w:rsidRDefault="00BD555D">
          <w:pPr>
            <w:pStyle w:val="TOC3"/>
            <w:tabs>
              <w:tab w:val="right" w:leader="dot" w:pos="9061"/>
            </w:tabs>
            <w:rPr>
              <w:rFonts w:asciiTheme="minorHAnsi" w:eastAsiaTheme="minorEastAsia" w:hAnsiTheme="minorHAnsi" w:cstheme="minorBidi"/>
              <w:noProof/>
              <w:sz w:val="22"/>
              <w:lang w:eastAsia="en-NZ"/>
            </w:rPr>
          </w:pPr>
          <w:hyperlink w:anchor="_Toc481662089" w:history="1">
            <w:r w:rsidR="00C82B1A" w:rsidRPr="00D3276C">
              <w:rPr>
                <w:rStyle w:val="Hyperlink"/>
                <w:rFonts w:eastAsia="Times New Roman" w:cs="Times New Roman"/>
                <w:b/>
                <w:noProof/>
                <w:lang w:val="en-GB" w:eastAsia="en-GB"/>
              </w:rPr>
              <w:t>Complaints and disciplinary processes</w:t>
            </w:r>
            <w:r w:rsidR="00C82B1A">
              <w:rPr>
                <w:noProof/>
                <w:webHidden/>
              </w:rPr>
              <w:tab/>
            </w:r>
            <w:r w:rsidR="00C82B1A">
              <w:rPr>
                <w:noProof/>
                <w:webHidden/>
              </w:rPr>
              <w:fldChar w:fldCharType="begin"/>
            </w:r>
            <w:r w:rsidR="00C82B1A">
              <w:rPr>
                <w:noProof/>
                <w:webHidden/>
              </w:rPr>
              <w:instrText xml:space="preserve"> PAGEREF _Toc481662089 \h </w:instrText>
            </w:r>
            <w:r w:rsidR="00C82B1A">
              <w:rPr>
                <w:noProof/>
                <w:webHidden/>
              </w:rPr>
            </w:r>
            <w:r w:rsidR="00C82B1A">
              <w:rPr>
                <w:noProof/>
                <w:webHidden/>
              </w:rPr>
              <w:fldChar w:fldCharType="separate"/>
            </w:r>
            <w:r w:rsidR="006A62CC">
              <w:rPr>
                <w:noProof/>
                <w:webHidden/>
              </w:rPr>
              <w:t>34</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90" w:history="1">
            <w:r w:rsidR="00C82B1A" w:rsidRPr="00D3276C">
              <w:rPr>
                <w:rStyle w:val="Hyperlink"/>
                <w:rFonts w:eastAsia="Times New Roman" w:cs="Times New Roman"/>
                <w:b/>
                <w:noProof/>
                <w:lang w:val="en-GB" w:eastAsia="en-GB"/>
              </w:rPr>
              <w:t>Financial and operational implications of preferred options</w:t>
            </w:r>
            <w:r w:rsidR="00C82B1A">
              <w:rPr>
                <w:noProof/>
                <w:webHidden/>
              </w:rPr>
              <w:tab/>
            </w:r>
            <w:r w:rsidR="00C82B1A">
              <w:rPr>
                <w:noProof/>
                <w:webHidden/>
              </w:rPr>
              <w:fldChar w:fldCharType="begin"/>
            </w:r>
            <w:r w:rsidR="00C82B1A">
              <w:rPr>
                <w:noProof/>
                <w:webHidden/>
              </w:rPr>
              <w:instrText xml:space="preserve"> PAGEREF _Toc481662090 \h </w:instrText>
            </w:r>
            <w:r w:rsidR="00C82B1A">
              <w:rPr>
                <w:noProof/>
                <w:webHidden/>
              </w:rPr>
            </w:r>
            <w:r w:rsidR="00C82B1A">
              <w:rPr>
                <w:noProof/>
                <w:webHidden/>
              </w:rPr>
              <w:fldChar w:fldCharType="separate"/>
            </w:r>
            <w:r w:rsidR="006A62CC">
              <w:rPr>
                <w:noProof/>
                <w:webHidden/>
              </w:rPr>
              <w:t>38</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91" w:history="1">
            <w:r w:rsidR="00C82B1A" w:rsidRPr="00D3276C">
              <w:rPr>
                <w:rStyle w:val="Hyperlink"/>
                <w:rFonts w:eastAsia="Times New Roman" w:cs="Times New Roman"/>
                <w:b/>
                <w:noProof/>
                <w:lang w:val="en-GB" w:eastAsia="en-GB"/>
              </w:rPr>
              <w:t>Consultation</w:t>
            </w:r>
            <w:r w:rsidR="00C82B1A">
              <w:rPr>
                <w:noProof/>
                <w:webHidden/>
              </w:rPr>
              <w:tab/>
            </w:r>
            <w:r w:rsidR="00C82B1A">
              <w:rPr>
                <w:noProof/>
                <w:webHidden/>
              </w:rPr>
              <w:fldChar w:fldCharType="begin"/>
            </w:r>
            <w:r w:rsidR="00C82B1A">
              <w:rPr>
                <w:noProof/>
                <w:webHidden/>
              </w:rPr>
              <w:instrText xml:space="preserve"> PAGEREF _Toc481662091 \h </w:instrText>
            </w:r>
            <w:r w:rsidR="00C82B1A">
              <w:rPr>
                <w:noProof/>
                <w:webHidden/>
              </w:rPr>
            </w:r>
            <w:r w:rsidR="00C82B1A">
              <w:rPr>
                <w:noProof/>
                <w:webHidden/>
              </w:rPr>
              <w:fldChar w:fldCharType="separate"/>
            </w:r>
            <w:r w:rsidR="006A62CC">
              <w:rPr>
                <w:noProof/>
                <w:webHidden/>
              </w:rPr>
              <w:t>40</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92" w:history="1">
            <w:r w:rsidR="00C82B1A" w:rsidRPr="00D3276C">
              <w:rPr>
                <w:rStyle w:val="Hyperlink"/>
                <w:rFonts w:eastAsia="Times New Roman" w:cs="Times New Roman"/>
                <w:b/>
                <w:noProof/>
                <w:lang w:val="en-GB" w:eastAsia="en-GB"/>
              </w:rPr>
              <w:t>Conclusions and recommendations</w:t>
            </w:r>
            <w:r w:rsidR="00C82B1A">
              <w:rPr>
                <w:noProof/>
                <w:webHidden/>
              </w:rPr>
              <w:tab/>
            </w:r>
            <w:r w:rsidR="00C82B1A">
              <w:rPr>
                <w:noProof/>
                <w:webHidden/>
              </w:rPr>
              <w:fldChar w:fldCharType="begin"/>
            </w:r>
            <w:r w:rsidR="00C82B1A">
              <w:rPr>
                <w:noProof/>
                <w:webHidden/>
              </w:rPr>
              <w:instrText xml:space="preserve"> PAGEREF _Toc481662092 \h </w:instrText>
            </w:r>
            <w:r w:rsidR="00C82B1A">
              <w:rPr>
                <w:noProof/>
                <w:webHidden/>
              </w:rPr>
            </w:r>
            <w:r w:rsidR="00C82B1A">
              <w:rPr>
                <w:noProof/>
                <w:webHidden/>
              </w:rPr>
              <w:fldChar w:fldCharType="separate"/>
            </w:r>
            <w:r w:rsidR="006A62CC">
              <w:rPr>
                <w:noProof/>
                <w:webHidden/>
              </w:rPr>
              <w:t>40</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93" w:history="1">
            <w:r w:rsidR="00C82B1A" w:rsidRPr="00D3276C">
              <w:rPr>
                <w:rStyle w:val="Hyperlink"/>
                <w:rFonts w:eastAsia="Times New Roman" w:cs="Times New Roman"/>
                <w:b/>
                <w:noProof/>
                <w:lang w:val="en-GB" w:eastAsia="en-GB"/>
              </w:rPr>
              <w:t>Implementation plan</w:t>
            </w:r>
            <w:r w:rsidR="00C82B1A">
              <w:rPr>
                <w:noProof/>
                <w:webHidden/>
              </w:rPr>
              <w:tab/>
            </w:r>
            <w:r w:rsidR="00C82B1A">
              <w:rPr>
                <w:noProof/>
                <w:webHidden/>
              </w:rPr>
              <w:fldChar w:fldCharType="begin"/>
            </w:r>
            <w:r w:rsidR="00C82B1A">
              <w:rPr>
                <w:noProof/>
                <w:webHidden/>
              </w:rPr>
              <w:instrText xml:space="preserve"> PAGEREF _Toc481662093 \h </w:instrText>
            </w:r>
            <w:r w:rsidR="00C82B1A">
              <w:rPr>
                <w:noProof/>
                <w:webHidden/>
              </w:rPr>
            </w:r>
            <w:r w:rsidR="00C82B1A">
              <w:rPr>
                <w:noProof/>
                <w:webHidden/>
              </w:rPr>
              <w:fldChar w:fldCharType="separate"/>
            </w:r>
            <w:r w:rsidR="006A62CC">
              <w:rPr>
                <w:noProof/>
                <w:webHidden/>
              </w:rPr>
              <w:t>40</w:t>
            </w:r>
            <w:r w:rsidR="00C82B1A">
              <w:rPr>
                <w:noProof/>
                <w:webHidden/>
              </w:rPr>
              <w:fldChar w:fldCharType="end"/>
            </w:r>
          </w:hyperlink>
        </w:p>
        <w:p w:rsidR="00C82B1A" w:rsidRDefault="00BD555D">
          <w:pPr>
            <w:pStyle w:val="TOC2"/>
            <w:tabs>
              <w:tab w:val="right" w:leader="dot" w:pos="9061"/>
            </w:tabs>
            <w:rPr>
              <w:rFonts w:asciiTheme="minorHAnsi" w:eastAsiaTheme="minorEastAsia" w:hAnsiTheme="minorHAnsi" w:cstheme="minorBidi"/>
              <w:noProof/>
              <w:sz w:val="22"/>
              <w:lang w:eastAsia="en-NZ"/>
            </w:rPr>
          </w:pPr>
          <w:hyperlink w:anchor="_Toc481662094" w:history="1">
            <w:r w:rsidR="00C82B1A" w:rsidRPr="00D3276C">
              <w:rPr>
                <w:rStyle w:val="Hyperlink"/>
                <w:rFonts w:eastAsia="Times New Roman" w:cs="Times New Roman"/>
                <w:b/>
                <w:noProof/>
                <w:lang w:val="en-GB" w:eastAsia="en-GB"/>
              </w:rPr>
              <w:t>Monitoring, evaluation and review</w:t>
            </w:r>
            <w:r w:rsidR="00C82B1A">
              <w:rPr>
                <w:noProof/>
                <w:webHidden/>
              </w:rPr>
              <w:tab/>
            </w:r>
            <w:r w:rsidR="00C82B1A">
              <w:rPr>
                <w:noProof/>
                <w:webHidden/>
              </w:rPr>
              <w:fldChar w:fldCharType="begin"/>
            </w:r>
            <w:r w:rsidR="00C82B1A">
              <w:rPr>
                <w:noProof/>
                <w:webHidden/>
              </w:rPr>
              <w:instrText xml:space="preserve"> PAGEREF _Toc481662094 \h </w:instrText>
            </w:r>
            <w:r w:rsidR="00C82B1A">
              <w:rPr>
                <w:noProof/>
                <w:webHidden/>
              </w:rPr>
            </w:r>
            <w:r w:rsidR="00C82B1A">
              <w:rPr>
                <w:noProof/>
                <w:webHidden/>
              </w:rPr>
              <w:fldChar w:fldCharType="separate"/>
            </w:r>
            <w:r w:rsidR="006A62CC">
              <w:rPr>
                <w:noProof/>
                <w:webHidden/>
              </w:rPr>
              <w:t>41</w:t>
            </w:r>
            <w:r w:rsidR="00C82B1A">
              <w:rPr>
                <w:noProof/>
                <w:webHidden/>
              </w:rPr>
              <w:fldChar w:fldCharType="end"/>
            </w:r>
          </w:hyperlink>
        </w:p>
        <w:p w:rsidR="00C05771" w:rsidRPr="00C05771" w:rsidRDefault="00C05771" w:rsidP="00177E1D">
          <w:pPr>
            <w:spacing w:after="240" w:line="280" w:lineRule="atLeast"/>
            <w:rPr>
              <w:rFonts w:ascii="Arial" w:eastAsia="Times New Roman" w:hAnsi="Arial" w:cs="Times New Roman"/>
              <w:sz w:val="22"/>
              <w:szCs w:val="20"/>
              <w:lang w:val="en-GB" w:eastAsia="en-GB"/>
            </w:rPr>
          </w:pPr>
          <w:r w:rsidRPr="00C05771">
            <w:rPr>
              <w:rFonts w:ascii="Arial" w:eastAsia="Times New Roman" w:hAnsi="Arial" w:cs="Times New Roman"/>
              <w:b/>
              <w:bCs/>
              <w:noProof/>
              <w:sz w:val="22"/>
              <w:szCs w:val="20"/>
              <w:lang w:val="en-GB" w:eastAsia="en-GB"/>
            </w:rPr>
            <w:fldChar w:fldCharType="end"/>
          </w:r>
        </w:p>
      </w:sdtContent>
    </w:sdt>
    <w:p w:rsidR="00C05771" w:rsidRPr="00C05771" w:rsidRDefault="00C05771" w:rsidP="00177E1D">
      <w:pPr>
        <w:spacing w:after="240" w:line="240" w:lineRule="auto"/>
        <w:outlineLvl w:val="1"/>
        <w:rPr>
          <w:rFonts w:eastAsia="Times New Roman" w:cs="Times New Roman"/>
          <w:b/>
          <w:color w:val="335087"/>
          <w:spacing w:val="20"/>
          <w:w w:val="90"/>
          <w:sz w:val="24"/>
          <w:szCs w:val="24"/>
          <w:lang w:val="en-GB" w:eastAsia="en-GB"/>
        </w:rPr>
      </w:pPr>
      <w:r w:rsidRPr="00C05771">
        <w:rPr>
          <w:rFonts w:ascii="Arial" w:eastAsia="Times New Roman" w:hAnsi="Arial" w:cs="Times New Roman"/>
          <w:sz w:val="22"/>
          <w:szCs w:val="20"/>
          <w:lang w:val="en-GB" w:eastAsia="en-GB"/>
        </w:rPr>
        <w:br w:type="page"/>
      </w:r>
      <w:bookmarkStart w:id="39" w:name="_Toc481662079"/>
      <w:bookmarkEnd w:id="9"/>
      <w:bookmarkEnd w:id="10"/>
      <w:bookmarkEnd w:id="11"/>
      <w:bookmarkEnd w:id="12"/>
      <w:bookmarkEnd w:id="13"/>
      <w:bookmarkEnd w:id="14"/>
      <w:r w:rsidRPr="00327F3D">
        <w:rPr>
          <w:rFonts w:eastAsia="Times New Roman" w:cs="Times New Roman"/>
          <w:b/>
          <w:color w:val="0070C0"/>
          <w:sz w:val="28"/>
          <w:szCs w:val="28"/>
          <w:lang w:val="en-GB" w:eastAsia="en-GB"/>
        </w:rPr>
        <w:lastRenderedPageBreak/>
        <w:t>Executive summary</w:t>
      </w:r>
      <w:bookmarkEnd w:id="39"/>
    </w:p>
    <w:p w:rsidR="00C05771" w:rsidRPr="00222ED8" w:rsidRDefault="00222ED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w:t>
      </w:r>
      <w:r w:rsidR="00051B77">
        <w:rPr>
          <w:rFonts w:eastAsia="Times New Roman" w:cs="Times New Roman"/>
          <w:szCs w:val="20"/>
          <w:lang w:val="en-GB" w:eastAsia="en-GB"/>
        </w:rPr>
        <w:t>SWR</w:t>
      </w:r>
      <w:r w:rsidR="00C05771" w:rsidRPr="00222ED8">
        <w:rPr>
          <w:rFonts w:eastAsia="Times New Roman" w:cs="Times New Roman"/>
          <w:szCs w:val="20"/>
          <w:lang w:val="en-GB" w:eastAsia="en-GB"/>
        </w:rPr>
        <w:t xml:space="preserve"> Act establishes the legislative framework for </w:t>
      </w:r>
      <w:r w:rsidR="003C785E">
        <w:rPr>
          <w:rFonts w:eastAsia="Times New Roman" w:cs="Times New Roman"/>
          <w:szCs w:val="20"/>
          <w:lang w:val="en-GB" w:eastAsia="en-GB"/>
        </w:rPr>
        <w:t xml:space="preserve">the current voluntary registration system for social workers. </w:t>
      </w:r>
      <w:r w:rsidR="005E4FFF">
        <w:rPr>
          <w:rFonts w:eastAsia="Times New Roman" w:cs="Times New Roman"/>
          <w:szCs w:val="20"/>
          <w:lang w:val="en-GB" w:eastAsia="en-GB"/>
        </w:rPr>
        <w:t xml:space="preserve"> </w:t>
      </w:r>
      <w:r w:rsidR="003C785E">
        <w:rPr>
          <w:rFonts w:eastAsia="Times New Roman" w:cs="Times New Roman"/>
          <w:szCs w:val="20"/>
          <w:lang w:val="en-GB" w:eastAsia="en-GB"/>
        </w:rPr>
        <w:t xml:space="preserve">Under this system, </w:t>
      </w:r>
      <w:r w:rsidR="005E4FFF">
        <w:rPr>
          <w:rFonts w:eastAsia="Times New Roman" w:cs="Times New Roman"/>
          <w:szCs w:val="20"/>
          <w:lang w:val="en-GB" w:eastAsia="en-GB"/>
        </w:rPr>
        <w:t xml:space="preserve">individual </w:t>
      </w:r>
      <w:r w:rsidR="003C785E">
        <w:rPr>
          <w:rFonts w:eastAsia="Times New Roman" w:cs="Times New Roman"/>
          <w:szCs w:val="20"/>
          <w:lang w:val="en-GB" w:eastAsia="en-GB"/>
        </w:rPr>
        <w:t>social workers can choose whether they become registered or not.</w:t>
      </w:r>
      <w:r w:rsidR="005E4FFF">
        <w:rPr>
          <w:rFonts w:eastAsia="Times New Roman" w:cs="Times New Roman"/>
          <w:szCs w:val="20"/>
          <w:lang w:val="en-GB" w:eastAsia="en-GB"/>
        </w:rPr>
        <w:t xml:space="preserve">  </w:t>
      </w:r>
      <w:r w:rsidR="005E4FFF">
        <w:rPr>
          <w:lang w:eastAsia="en-NZ"/>
        </w:rPr>
        <w:t xml:space="preserve">Anyone can call themselves a “social worker” at present, whether they have qualifications or not.  If they are not registered they can use the title “social worker”, but not the title “registered social worker”. </w:t>
      </w:r>
    </w:p>
    <w:p w:rsidR="006D44F9" w:rsidRDefault="0083036D" w:rsidP="006D44F9">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In 2016, the </w:t>
      </w:r>
      <w:r w:rsidR="00101F12">
        <w:rPr>
          <w:rFonts w:eastAsia="Times New Roman" w:cs="Times New Roman"/>
          <w:szCs w:val="20"/>
          <w:lang w:val="en-GB" w:eastAsia="en-GB"/>
        </w:rPr>
        <w:t xml:space="preserve">Select </w:t>
      </w:r>
      <w:r w:rsidR="00A513F9">
        <w:rPr>
          <w:rFonts w:eastAsia="Times New Roman" w:cs="Times New Roman"/>
          <w:szCs w:val="20"/>
          <w:lang w:val="en-GB" w:eastAsia="en-GB"/>
        </w:rPr>
        <w:t xml:space="preserve">Committee undertook an inquiry into the operation of the </w:t>
      </w:r>
      <w:r w:rsidR="00A914A1">
        <w:rPr>
          <w:rFonts w:eastAsia="Times New Roman" w:cs="Times New Roman"/>
          <w:szCs w:val="20"/>
          <w:lang w:val="en-GB" w:eastAsia="en-GB"/>
        </w:rPr>
        <w:t xml:space="preserve">SWR </w:t>
      </w:r>
      <w:r w:rsidR="00A513F9">
        <w:rPr>
          <w:rFonts w:eastAsia="Times New Roman" w:cs="Times New Roman"/>
          <w:szCs w:val="20"/>
          <w:lang w:val="en-GB" w:eastAsia="en-GB"/>
        </w:rPr>
        <w:t>Act in order to identify how the standard of the social work workforce could be lifted so that vulnerable clients are protected from poor practice.</w:t>
      </w:r>
      <w:r w:rsidR="00CF603E" w:rsidRPr="00CF603E">
        <w:t xml:space="preserve"> </w:t>
      </w:r>
      <w:r w:rsidR="00CF603E">
        <w:t xml:space="preserve">The </w:t>
      </w:r>
      <w:r w:rsidR="00101F12">
        <w:t xml:space="preserve">Select </w:t>
      </w:r>
      <w:r w:rsidR="00CF603E">
        <w:t xml:space="preserve">Committee released its Inquiry Report on 2 December 2016. </w:t>
      </w:r>
      <w:r w:rsidR="001B2480">
        <w:t xml:space="preserve"> </w:t>
      </w:r>
      <w:r w:rsidR="00CF603E">
        <w:t xml:space="preserve">The </w:t>
      </w:r>
      <w:r w:rsidR="00101F12">
        <w:t xml:space="preserve">Select </w:t>
      </w:r>
      <w:r w:rsidR="00CF603E">
        <w:t xml:space="preserve">Committee concluded that legislative reform is needed </w:t>
      </w:r>
      <w:r w:rsidR="00CF603E" w:rsidRPr="006B1A36">
        <w:t>to: strengthen the regulatory framework for the sector</w:t>
      </w:r>
      <w:r w:rsidR="00EC5708" w:rsidRPr="006B1A36">
        <w:t>;</w:t>
      </w:r>
      <w:r w:rsidR="00CF603E" w:rsidRPr="006B1A36">
        <w:t xml:space="preserve"> to increase the professionalism and competence of social workers</w:t>
      </w:r>
      <w:r w:rsidR="00EC5708" w:rsidRPr="006B1A36">
        <w:t>;</w:t>
      </w:r>
      <w:r w:rsidR="00CF603E" w:rsidRPr="006B1A36">
        <w:t xml:space="preserve"> and provide greater protection </w:t>
      </w:r>
      <w:r w:rsidR="00CF603E" w:rsidRPr="006D44F9">
        <w:t>for the public.</w:t>
      </w:r>
    </w:p>
    <w:p w:rsidR="00EC5708" w:rsidRPr="006D44F9" w:rsidRDefault="00AD1C1A" w:rsidP="006D44F9">
      <w:pPr>
        <w:numPr>
          <w:ilvl w:val="0"/>
          <w:numId w:val="8"/>
        </w:numPr>
        <w:spacing w:after="240" w:line="240" w:lineRule="auto"/>
        <w:ind w:left="567" w:hanging="567"/>
        <w:rPr>
          <w:rFonts w:eastAsia="Times New Roman" w:cs="Times New Roman"/>
          <w:szCs w:val="20"/>
          <w:lang w:val="en-GB" w:eastAsia="en-GB"/>
        </w:rPr>
      </w:pPr>
      <w:r w:rsidRPr="006D44F9">
        <w:rPr>
          <w:rFonts w:eastAsia="Times New Roman"/>
          <w:szCs w:val="20"/>
          <w:lang w:val="en-GB" w:eastAsia="en-GB"/>
        </w:rPr>
        <w:t>T</w:t>
      </w:r>
      <w:r w:rsidR="006B1A36" w:rsidRPr="006D44F9">
        <w:rPr>
          <w:rFonts w:eastAsia="Times New Roman"/>
          <w:szCs w:val="20"/>
          <w:lang w:val="en-GB" w:eastAsia="en-GB"/>
        </w:rPr>
        <w:t>he immediate problem is that approximately two thousand</w:t>
      </w:r>
      <w:r w:rsidR="006D44F9" w:rsidRPr="006D44F9">
        <w:rPr>
          <w:rFonts w:eastAsia="Times New Roman"/>
          <w:szCs w:val="20"/>
          <w:lang w:val="en-GB" w:eastAsia="en-GB"/>
        </w:rPr>
        <w:t xml:space="preserve"> non-registered social workers (estimated to be around a quarter of the profession)</w:t>
      </w:r>
      <w:r w:rsidR="006B1A36" w:rsidRPr="006D44F9">
        <w:rPr>
          <w:rFonts w:eastAsia="Times New Roman"/>
          <w:szCs w:val="20"/>
          <w:lang w:val="en-GB" w:eastAsia="en-GB"/>
        </w:rPr>
        <w:t xml:space="preserve"> practise outside the regulatory regime designed to protect clients and the public, and ensure competent, effective and accountable social work services.  This means that the quality of social work services in New Zealand is not as good as it should be, and that the regulatory regime is not as effective as it could be in ensuring quality and addressing risks and failures.  There are a range of reasons why a significant number of social workers are choosing not to register, including unwillingness to be accountable or undertake training, financial and time costs, and concerns about some features of the current regime.</w:t>
      </w:r>
    </w:p>
    <w:p w:rsidR="00CF603E" w:rsidRPr="00A25228" w:rsidRDefault="00CF603E" w:rsidP="00177E1D">
      <w:pPr>
        <w:numPr>
          <w:ilvl w:val="0"/>
          <w:numId w:val="8"/>
        </w:numPr>
        <w:spacing w:after="240" w:line="240" w:lineRule="auto"/>
        <w:ind w:left="567" w:hanging="567"/>
        <w:rPr>
          <w:rFonts w:eastAsia="Times New Roman" w:cs="Times New Roman"/>
          <w:szCs w:val="20"/>
          <w:lang w:val="en-GB" w:eastAsia="en-GB"/>
        </w:rPr>
      </w:pPr>
      <w:r>
        <w:t xml:space="preserve">The Government Response to the </w:t>
      </w:r>
      <w:r w:rsidR="00101F12">
        <w:t xml:space="preserve">Select </w:t>
      </w:r>
      <w:r>
        <w:t xml:space="preserve">Committee’s Report was presented to the House on 21 March 2017. </w:t>
      </w:r>
      <w:r w:rsidR="001B2480">
        <w:t xml:space="preserve"> </w:t>
      </w:r>
      <w:r>
        <w:t xml:space="preserve">That Response acknowledged the overall intent of the </w:t>
      </w:r>
      <w:r w:rsidR="00101F12">
        <w:t xml:space="preserve">Select </w:t>
      </w:r>
      <w:r>
        <w:t xml:space="preserve">Committee’s recommendations, and the case made by the </w:t>
      </w:r>
      <w:r w:rsidR="00101F12">
        <w:t xml:space="preserve">Select </w:t>
      </w:r>
      <w:r>
        <w:t xml:space="preserve">Committee for some form of increased regulation of social workers and noted that further policy work was </w:t>
      </w:r>
      <w:r w:rsidRPr="00A25228">
        <w:t>required.</w:t>
      </w:r>
      <w:r w:rsidRPr="00A25228">
        <w:rPr>
          <w:rFonts w:eastAsia="Times New Roman" w:cs="Times New Roman"/>
          <w:szCs w:val="20"/>
          <w:lang w:val="en-GB" w:eastAsia="en-GB"/>
        </w:rPr>
        <w:t xml:space="preserve"> </w:t>
      </w:r>
    </w:p>
    <w:p w:rsidR="00361702" w:rsidRPr="00A25228" w:rsidRDefault="00361702" w:rsidP="00177E1D">
      <w:pPr>
        <w:numPr>
          <w:ilvl w:val="0"/>
          <w:numId w:val="8"/>
        </w:numPr>
        <w:spacing w:after="240" w:line="240" w:lineRule="auto"/>
        <w:ind w:left="567" w:hanging="567"/>
        <w:rPr>
          <w:rFonts w:eastAsia="Times New Roman" w:cs="Times New Roman"/>
          <w:szCs w:val="20"/>
          <w:lang w:val="en-GB" w:eastAsia="en-GB"/>
        </w:rPr>
      </w:pPr>
      <w:r w:rsidRPr="00A25228">
        <w:rPr>
          <w:rFonts w:eastAsia="Times New Roman" w:cs="Times New Roman"/>
          <w:szCs w:val="20"/>
          <w:lang w:val="en-GB" w:eastAsia="en-GB"/>
        </w:rPr>
        <w:t>To effectively deliver the in</w:t>
      </w:r>
      <w:r w:rsidR="00A914A1">
        <w:rPr>
          <w:rFonts w:eastAsia="Times New Roman" w:cs="Times New Roman"/>
          <w:szCs w:val="20"/>
          <w:lang w:val="en-GB" w:eastAsia="en-GB"/>
        </w:rPr>
        <w:t>ter</w:t>
      </w:r>
      <w:r w:rsidRPr="00A25228">
        <w:rPr>
          <w:rFonts w:eastAsia="Times New Roman" w:cs="Times New Roman"/>
          <w:szCs w:val="20"/>
          <w:lang w:val="en-GB" w:eastAsia="en-GB"/>
        </w:rPr>
        <w:t xml:space="preserve">ventions that form part of the Government’s social </w:t>
      </w:r>
      <w:r w:rsidR="00A25228" w:rsidRPr="00A25228">
        <w:rPr>
          <w:rFonts w:eastAsia="Times New Roman" w:cs="Times New Roman"/>
          <w:szCs w:val="20"/>
          <w:lang w:val="en-GB" w:eastAsia="en-GB"/>
        </w:rPr>
        <w:t>investment approach, a competent</w:t>
      </w:r>
      <w:r w:rsidRPr="00A25228">
        <w:rPr>
          <w:rFonts w:eastAsia="Times New Roman" w:cs="Times New Roman"/>
          <w:szCs w:val="20"/>
          <w:lang w:val="en-GB" w:eastAsia="en-GB"/>
        </w:rPr>
        <w:t xml:space="preserve"> and skilled social work workforce is essential.</w:t>
      </w:r>
      <w:r w:rsidR="001B2480">
        <w:rPr>
          <w:rFonts w:eastAsia="Times New Roman" w:cs="Times New Roman"/>
          <w:szCs w:val="20"/>
          <w:lang w:val="en-GB" w:eastAsia="en-GB"/>
        </w:rPr>
        <w:t xml:space="preserve"> </w:t>
      </w:r>
      <w:r w:rsidRPr="00A25228">
        <w:rPr>
          <w:rFonts w:eastAsia="Times New Roman" w:cs="Times New Roman"/>
          <w:szCs w:val="20"/>
          <w:lang w:val="en-GB" w:eastAsia="en-GB"/>
        </w:rPr>
        <w:t xml:space="preserve"> </w:t>
      </w:r>
      <w:r w:rsidR="00A25228" w:rsidRPr="00A25228">
        <w:rPr>
          <w:rFonts w:eastAsia="Times New Roman" w:cs="Times New Roman"/>
          <w:szCs w:val="20"/>
          <w:lang w:val="en-GB" w:eastAsia="en-GB"/>
        </w:rPr>
        <w:t>Legislative reform is required</w:t>
      </w:r>
      <w:r w:rsidRPr="00A25228">
        <w:rPr>
          <w:rFonts w:eastAsia="Times New Roman" w:cs="Times New Roman"/>
          <w:szCs w:val="20"/>
          <w:lang w:val="en-GB" w:eastAsia="en-GB"/>
        </w:rPr>
        <w:t xml:space="preserve"> to </w:t>
      </w:r>
      <w:r w:rsidR="00A25228" w:rsidRPr="00A25228">
        <w:rPr>
          <w:rFonts w:eastAsia="Times New Roman" w:cs="Times New Roman"/>
          <w:szCs w:val="20"/>
          <w:lang w:val="en-GB" w:eastAsia="en-GB"/>
        </w:rPr>
        <w:t xml:space="preserve">increase and </w:t>
      </w:r>
      <w:r w:rsidRPr="00A25228">
        <w:rPr>
          <w:rFonts w:eastAsia="Times New Roman" w:cs="Times New Roman"/>
          <w:szCs w:val="20"/>
          <w:lang w:val="en-GB" w:eastAsia="en-GB"/>
        </w:rPr>
        <w:t>cement the professionalism of the social work workforce.</w:t>
      </w:r>
    </w:p>
    <w:p w:rsidR="00435B67" w:rsidRPr="00435B67" w:rsidRDefault="00C05771" w:rsidP="00177E1D">
      <w:pPr>
        <w:numPr>
          <w:ilvl w:val="0"/>
          <w:numId w:val="8"/>
        </w:numPr>
        <w:spacing w:after="240" w:line="240" w:lineRule="auto"/>
        <w:ind w:left="567" w:hanging="567"/>
        <w:rPr>
          <w:rFonts w:eastAsia="Times New Roman" w:cs="Times New Roman"/>
          <w:szCs w:val="20"/>
          <w:lang w:val="en-GB" w:eastAsia="en-GB"/>
        </w:rPr>
      </w:pPr>
      <w:r w:rsidRPr="00CF603E">
        <w:rPr>
          <w:rFonts w:eastAsia="Times New Roman" w:cs="Times New Roman"/>
          <w:szCs w:val="20"/>
          <w:lang w:val="en-GB" w:eastAsia="en-GB"/>
        </w:rPr>
        <w:t>Based</w:t>
      </w:r>
      <w:r w:rsidR="001B72D0" w:rsidRPr="00CF603E">
        <w:rPr>
          <w:rFonts w:eastAsia="Times New Roman" w:cs="Times New Roman"/>
          <w:szCs w:val="20"/>
          <w:lang w:val="en-GB" w:eastAsia="en-GB"/>
        </w:rPr>
        <w:t xml:space="preserve"> on the Government Response</w:t>
      </w:r>
      <w:r w:rsidR="00B902D9" w:rsidRPr="00CF603E">
        <w:rPr>
          <w:rFonts w:eastAsia="Times New Roman" w:cs="Times New Roman"/>
          <w:szCs w:val="20"/>
          <w:lang w:val="en-GB" w:eastAsia="en-GB"/>
        </w:rPr>
        <w:t xml:space="preserve"> to the Select Committee Inquiry</w:t>
      </w:r>
      <w:r w:rsidRPr="00CF603E">
        <w:rPr>
          <w:rFonts w:eastAsia="Times New Roman" w:cs="Times New Roman"/>
          <w:szCs w:val="20"/>
          <w:lang w:val="en-GB" w:eastAsia="en-GB"/>
        </w:rPr>
        <w:t>, the reform pr</w:t>
      </w:r>
      <w:r w:rsidR="004C3D24">
        <w:rPr>
          <w:rFonts w:eastAsia="Times New Roman" w:cs="Times New Roman"/>
          <w:szCs w:val="20"/>
          <w:lang w:val="en-GB" w:eastAsia="en-GB"/>
        </w:rPr>
        <w:t xml:space="preserve">oposals considered in this </w:t>
      </w:r>
      <w:r w:rsidR="00D97D37">
        <w:rPr>
          <w:rFonts w:eastAsia="Times New Roman" w:cs="Times New Roman"/>
          <w:szCs w:val="20"/>
          <w:lang w:val="en-GB" w:eastAsia="en-GB"/>
        </w:rPr>
        <w:t>RIS</w:t>
      </w:r>
      <w:r w:rsidRPr="00CF603E">
        <w:rPr>
          <w:rFonts w:eastAsia="Times New Roman" w:cs="Times New Roman"/>
          <w:szCs w:val="20"/>
          <w:lang w:val="en-GB" w:eastAsia="en-GB"/>
        </w:rPr>
        <w:t xml:space="preserve"> address</w:t>
      </w:r>
      <w:r w:rsidRPr="00CF603E">
        <w:rPr>
          <w:rFonts w:eastAsia="Times New Roman"/>
          <w:szCs w:val="20"/>
          <w:lang w:eastAsia="en-GB"/>
        </w:rPr>
        <w:t xml:space="preserve"> the</w:t>
      </w:r>
      <w:r w:rsidR="00435B67">
        <w:rPr>
          <w:rFonts w:eastAsia="Times New Roman"/>
          <w:szCs w:val="20"/>
          <w:lang w:eastAsia="en-GB"/>
        </w:rPr>
        <w:t xml:space="preserve"> following aspects of what is needed to increase the professionalism of the social work workforce:</w:t>
      </w:r>
    </w:p>
    <w:p w:rsidR="000B6B6F" w:rsidRPr="000B6B6F" w:rsidRDefault="00781C75" w:rsidP="005B5FC6">
      <w:pPr>
        <w:numPr>
          <w:ilvl w:val="1"/>
          <w:numId w:val="15"/>
        </w:numPr>
        <w:tabs>
          <w:tab w:val="num" w:pos="351"/>
          <w:tab w:val="num" w:pos="1418"/>
        </w:tabs>
        <w:spacing w:after="240" w:line="240" w:lineRule="auto"/>
        <w:ind w:left="1276" w:hanging="567"/>
        <w:rPr>
          <w:rFonts w:eastAsia="Times New Roman" w:cs="Times New Roman"/>
          <w:szCs w:val="20"/>
          <w:lang w:val="en-GB" w:eastAsia="en-GB"/>
        </w:rPr>
      </w:pPr>
      <w:r>
        <w:rPr>
          <w:rFonts w:eastAsia="Times New Roman"/>
          <w:szCs w:val="20"/>
          <w:lang w:val="en-GB" w:eastAsia="ja-JP"/>
        </w:rPr>
        <w:t xml:space="preserve">Part One: </w:t>
      </w:r>
      <w:r w:rsidR="000B6B6F">
        <w:rPr>
          <w:rFonts w:eastAsia="Times New Roman"/>
          <w:szCs w:val="20"/>
          <w:lang w:val="en-GB" w:eastAsia="ja-JP"/>
        </w:rPr>
        <w:t>t</w:t>
      </w:r>
      <w:r w:rsidR="0039662A" w:rsidRPr="000B6B6F">
        <w:rPr>
          <w:rFonts w:eastAsia="Times New Roman"/>
          <w:szCs w:val="20"/>
          <w:lang w:val="en-GB" w:eastAsia="ja-JP"/>
        </w:rPr>
        <w:t>he</w:t>
      </w:r>
      <w:r w:rsidR="0039662A">
        <w:rPr>
          <w:rFonts w:eastAsia="Times New Roman"/>
          <w:szCs w:val="20"/>
          <w:lang w:eastAsia="en-GB"/>
        </w:rPr>
        <w:t xml:space="preserve"> regulat</w:t>
      </w:r>
      <w:r w:rsidR="000B6B6F">
        <w:rPr>
          <w:rFonts w:eastAsia="Times New Roman"/>
          <w:szCs w:val="20"/>
          <w:lang w:eastAsia="en-GB"/>
        </w:rPr>
        <w:t>ory (registration) system for social w</w:t>
      </w:r>
      <w:r w:rsidR="00574B12">
        <w:rPr>
          <w:rFonts w:eastAsia="Times New Roman"/>
          <w:szCs w:val="20"/>
          <w:lang w:eastAsia="en-GB"/>
        </w:rPr>
        <w:t>orkers and social work students</w:t>
      </w:r>
    </w:p>
    <w:p w:rsidR="000B6B6F" w:rsidRPr="00574B12" w:rsidRDefault="005E4FFF" w:rsidP="005B5FC6">
      <w:pPr>
        <w:numPr>
          <w:ilvl w:val="1"/>
          <w:numId w:val="15"/>
        </w:numPr>
        <w:tabs>
          <w:tab w:val="num" w:pos="351"/>
          <w:tab w:val="num" w:pos="1418"/>
        </w:tabs>
        <w:spacing w:after="240" w:line="240" w:lineRule="auto"/>
        <w:ind w:left="1276" w:hanging="567"/>
        <w:rPr>
          <w:rFonts w:eastAsia="Times New Roman" w:cs="Times New Roman"/>
          <w:szCs w:val="20"/>
          <w:lang w:val="en-GB" w:eastAsia="en-GB"/>
        </w:rPr>
      </w:pPr>
      <w:r w:rsidRPr="00574B12">
        <w:rPr>
          <w:rFonts w:eastAsia="Times New Roman" w:cs="Times New Roman"/>
          <w:szCs w:val="20"/>
          <w:lang w:val="en-GB" w:eastAsia="en-GB"/>
        </w:rPr>
        <w:t>Part T</w:t>
      </w:r>
      <w:r w:rsidR="00781C75" w:rsidRPr="00574B12">
        <w:rPr>
          <w:rFonts w:eastAsia="Times New Roman" w:cs="Times New Roman"/>
          <w:szCs w:val="20"/>
          <w:lang w:val="en-GB" w:eastAsia="en-GB"/>
        </w:rPr>
        <w:t>wo</w:t>
      </w:r>
      <w:r w:rsidRPr="00574B12">
        <w:rPr>
          <w:rFonts w:eastAsia="Times New Roman" w:cs="Times New Roman"/>
          <w:szCs w:val="20"/>
          <w:lang w:val="en-GB" w:eastAsia="en-GB"/>
        </w:rPr>
        <w:t xml:space="preserve">: </w:t>
      </w:r>
      <w:r w:rsidR="00574B12">
        <w:rPr>
          <w:rFonts w:eastAsia="Times New Roman" w:cs="Times New Roman"/>
          <w:szCs w:val="20"/>
          <w:lang w:val="en-GB" w:eastAsia="en-GB"/>
        </w:rPr>
        <w:t xml:space="preserve">other amendments to </w:t>
      </w:r>
      <w:r w:rsidR="00CC7880">
        <w:rPr>
          <w:rFonts w:eastAsia="Times New Roman" w:cs="Times New Roman"/>
          <w:szCs w:val="20"/>
          <w:lang w:val="en-GB" w:eastAsia="en-GB"/>
        </w:rPr>
        <w:t>the SWR Act</w:t>
      </w:r>
      <w:r w:rsidR="00574B12">
        <w:rPr>
          <w:rFonts w:eastAsia="Times New Roman" w:cs="Times New Roman"/>
          <w:szCs w:val="20"/>
          <w:lang w:val="en-GB" w:eastAsia="en-GB"/>
        </w:rPr>
        <w:t xml:space="preserve"> to improve its effectiveness and reduce compliance </w:t>
      </w:r>
      <w:r w:rsidR="00574B12" w:rsidRPr="00AD1C1A">
        <w:rPr>
          <w:rFonts w:eastAsia="Times New Roman" w:cs="Times New Roman"/>
          <w:szCs w:val="20"/>
          <w:lang w:val="en-GB" w:eastAsia="en-GB"/>
        </w:rPr>
        <w:t xml:space="preserve">costs, </w:t>
      </w:r>
      <w:r w:rsidR="00574B12" w:rsidRPr="00AD1C1A">
        <w:rPr>
          <w:rFonts w:eastAsia="Times New Roman"/>
          <w:szCs w:val="20"/>
          <w:lang w:eastAsia="en-GB"/>
        </w:rPr>
        <w:t>including the pathways to registration and the checks and balances on the Board needed in association with a particular registration system</w:t>
      </w:r>
      <w:r w:rsidR="00AD1C1A">
        <w:rPr>
          <w:rFonts w:eastAsia="Times New Roman"/>
          <w:szCs w:val="20"/>
          <w:lang w:eastAsia="en-GB"/>
        </w:rPr>
        <w:t>, including</w:t>
      </w:r>
      <w:r w:rsidR="00574B12" w:rsidRPr="00AD1C1A">
        <w:rPr>
          <w:rFonts w:eastAsia="Times New Roman" w:cs="Times New Roman"/>
          <w:szCs w:val="20"/>
          <w:lang w:val="en-GB" w:eastAsia="en-GB"/>
        </w:rPr>
        <w:t xml:space="preserve"> </w:t>
      </w:r>
      <w:r w:rsidR="000032C2" w:rsidRPr="00AD1C1A">
        <w:rPr>
          <w:rFonts w:eastAsia="Times New Roman" w:cs="Times New Roman"/>
          <w:szCs w:val="20"/>
          <w:lang w:val="en-GB" w:eastAsia="en-GB"/>
        </w:rPr>
        <w:t xml:space="preserve">assessment of </w:t>
      </w:r>
      <w:r w:rsidR="00932DC5" w:rsidRPr="00AD1C1A">
        <w:rPr>
          <w:rFonts w:eastAsia="Times New Roman" w:cs="Times New Roman"/>
          <w:szCs w:val="20"/>
          <w:lang w:val="en-GB" w:eastAsia="en-GB"/>
        </w:rPr>
        <w:t xml:space="preserve">the </w:t>
      </w:r>
      <w:r w:rsidR="000B6B6F" w:rsidRPr="00AD1C1A">
        <w:rPr>
          <w:rFonts w:eastAsia="Times New Roman" w:cs="Times New Roman"/>
          <w:szCs w:val="20"/>
          <w:lang w:val="en-GB" w:eastAsia="en-GB"/>
        </w:rPr>
        <w:t>competence</w:t>
      </w:r>
      <w:r w:rsidR="00932DC5" w:rsidRPr="00AD1C1A">
        <w:rPr>
          <w:rFonts w:eastAsia="Times New Roman" w:cs="Times New Roman"/>
          <w:szCs w:val="20"/>
          <w:lang w:val="en-GB" w:eastAsia="en-GB"/>
        </w:rPr>
        <w:t xml:space="preserve"> of social workers</w:t>
      </w:r>
      <w:r w:rsidR="00574B12" w:rsidRPr="00AD1C1A">
        <w:rPr>
          <w:rFonts w:eastAsia="Times New Roman" w:cs="Times New Roman"/>
          <w:szCs w:val="20"/>
          <w:lang w:val="en-GB" w:eastAsia="en-GB"/>
        </w:rPr>
        <w:t xml:space="preserve">; </w:t>
      </w:r>
      <w:r w:rsidR="000B6B6F" w:rsidRPr="00AD1C1A">
        <w:rPr>
          <w:rFonts w:eastAsia="Times New Roman" w:cs="Times New Roman"/>
          <w:szCs w:val="20"/>
          <w:lang w:val="en-GB" w:eastAsia="en-GB"/>
        </w:rPr>
        <w:t>fitness to practice</w:t>
      </w:r>
      <w:r w:rsidR="00932DC5" w:rsidRPr="00AD1C1A">
        <w:rPr>
          <w:rFonts w:eastAsia="Times New Roman" w:cs="Times New Roman"/>
          <w:szCs w:val="20"/>
          <w:lang w:val="en-GB" w:eastAsia="en-GB"/>
        </w:rPr>
        <w:t xml:space="preserve"> social work</w:t>
      </w:r>
      <w:r w:rsidR="00574B12" w:rsidRPr="00574B12">
        <w:rPr>
          <w:rFonts w:eastAsia="Times New Roman" w:cs="Times New Roman"/>
          <w:szCs w:val="20"/>
          <w:lang w:val="en-GB" w:eastAsia="en-GB"/>
        </w:rPr>
        <w:t xml:space="preserve">; </w:t>
      </w:r>
      <w:r w:rsidR="000B6B6F" w:rsidRPr="00574B12">
        <w:rPr>
          <w:rFonts w:eastAsia="Times New Roman" w:cs="Times New Roman"/>
          <w:szCs w:val="20"/>
          <w:lang w:val="en-GB" w:eastAsia="en-GB"/>
        </w:rPr>
        <w:t>complaints and disciplinary processes</w:t>
      </w:r>
      <w:r w:rsidR="00932DC5" w:rsidRPr="00574B12">
        <w:rPr>
          <w:rFonts w:eastAsia="Times New Roman" w:cs="Times New Roman"/>
          <w:szCs w:val="20"/>
          <w:lang w:val="en-GB" w:eastAsia="en-GB"/>
        </w:rPr>
        <w:t xml:space="preserve"> for social workers.</w:t>
      </w:r>
    </w:p>
    <w:p w:rsidR="005E562D" w:rsidRDefault="005E562D">
      <w:pPr>
        <w:spacing w:after="0" w:line="240" w:lineRule="auto"/>
        <w:rPr>
          <w:rFonts w:eastAsia="Times New Roman" w:cs="Times New Roman"/>
          <w:szCs w:val="20"/>
          <w:lang w:val="en-GB" w:eastAsia="en-GB"/>
        </w:rPr>
      </w:pPr>
      <w:r>
        <w:rPr>
          <w:rFonts w:eastAsia="Times New Roman" w:cs="Times New Roman"/>
          <w:szCs w:val="20"/>
          <w:lang w:val="en-GB" w:eastAsia="en-GB"/>
        </w:rPr>
        <w:br w:type="page"/>
      </w:r>
    </w:p>
    <w:p w:rsidR="00C05771" w:rsidRPr="00C05771" w:rsidRDefault="00C05771" w:rsidP="00177E1D">
      <w:pPr>
        <w:numPr>
          <w:ilvl w:val="0"/>
          <w:numId w:val="8"/>
        </w:numPr>
        <w:spacing w:after="240" w:line="240" w:lineRule="auto"/>
        <w:ind w:left="567" w:hanging="567"/>
        <w:rPr>
          <w:rFonts w:eastAsia="Times New Roman"/>
          <w:szCs w:val="20"/>
          <w:lang w:val="en-GB" w:eastAsia="en-GB"/>
        </w:rPr>
      </w:pPr>
      <w:r w:rsidRPr="00C05771">
        <w:rPr>
          <w:rFonts w:eastAsia="Times New Roman" w:cs="Times New Roman"/>
          <w:szCs w:val="20"/>
          <w:lang w:val="en-GB" w:eastAsia="en-GB"/>
        </w:rPr>
        <w:lastRenderedPageBreak/>
        <w:t xml:space="preserve">It is considered that the </w:t>
      </w:r>
      <w:r w:rsidR="00AD1C1A">
        <w:rPr>
          <w:rFonts w:eastAsia="Times New Roman" w:cs="Times New Roman"/>
          <w:szCs w:val="20"/>
          <w:lang w:val="en-GB" w:eastAsia="en-GB"/>
        </w:rPr>
        <w:t xml:space="preserve">recommended </w:t>
      </w:r>
      <w:r w:rsidRPr="00C05771">
        <w:rPr>
          <w:rFonts w:eastAsia="Times New Roman" w:cs="Times New Roman"/>
          <w:szCs w:val="20"/>
          <w:lang w:val="en-GB" w:eastAsia="en-GB"/>
        </w:rPr>
        <w:t>proposals will provide a strong a</w:t>
      </w:r>
      <w:r w:rsidR="00932DC5">
        <w:rPr>
          <w:rFonts w:eastAsia="Times New Roman" w:cs="Times New Roman"/>
          <w:szCs w:val="20"/>
          <w:lang w:val="en-GB" w:eastAsia="en-GB"/>
        </w:rPr>
        <w:t xml:space="preserve">nd enduring framework for the social </w:t>
      </w:r>
      <w:r w:rsidR="00932DC5" w:rsidRPr="00A25228">
        <w:rPr>
          <w:rFonts w:eastAsia="Times New Roman" w:cs="Times New Roman"/>
          <w:szCs w:val="20"/>
          <w:lang w:val="en-GB" w:eastAsia="en-GB"/>
        </w:rPr>
        <w:t>work profession that</w:t>
      </w:r>
      <w:r w:rsidR="00932DC5">
        <w:rPr>
          <w:rFonts w:eastAsia="Times New Roman" w:cs="Times New Roman"/>
          <w:szCs w:val="20"/>
          <w:lang w:val="en-GB" w:eastAsia="en-GB"/>
        </w:rPr>
        <w:t xml:space="preserve"> will increase public safety by:</w:t>
      </w:r>
    </w:p>
    <w:p w:rsidR="00C05771" w:rsidRPr="00AD1C1A" w:rsidRDefault="00574B12" w:rsidP="005B5FC6">
      <w:pPr>
        <w:numPr>
          <w:ilvl w:val="1"/>
          <w:numId w:val="15"/>
        </w:numPr>
        <w:tabs>
          <w:tab w:val="num" w:pos="351"/>
          <w:tab w:val="num" w:pos="1418"/>
        </w:tabs>
        <w:spacing w:after="240" w:line="240" w:lineRule="auto"/>
        <w:ind w:left="1276" w:hanging="567"/>
        <w:rPr>
          <w:rFonts w:eastAsia="Times New Roman"/>
          <w:szCs w:val="20"/>
          <w:lang w:val="en-GB" w:eastAsia="ja-JP"/>
        </w:rPr>
      </w:pPr>
      <w:r w:rsidRPr="00AD1C1A">
        <w:rPr>
          <w:rFonts w:eastAsia="Times New Roman"/>
          <w:szCs w:val="20"/>
          <w:lang w:val="en-GB" w:eastAsia="ja-JP"/>
        </w:rPr>
        <w:t>extending the coverage of the existing regulatory regime to cover all</w:t>
      </w:r>
      <w:r w:rsidR="00A513F9" w:rsidRPr="00AD1C1A">
        <w:rPr>
          <w:rFonts w:eastAsia="Times New Roman"/>
          <w:szCs w:val="20"/>
          <w:lang w:val="en-GB" w:eastAsia="ja-JP"/>
        </w:rPr>
        <w:t xml:space="preserve"> social work</w:t>
      </w:r>
      <w:r w:rsidRPr="00AD1C1A">
        <w:rPr>
          <w:rFonts w:eastAsia="Times New Roman"/>
          <w:szCs w:val="20"/>
          <w:lang w:val="en-GB" w:eastAsia="ja-JP"/>
        </w:rPr>
        <w:t>ers</w:t>
      </w:r>
    </w:p>
    <w:p w:rsidR="00C05771" w:rsidRPr="00AD1C1A" w:rsidRDefault="00AD1C1A" w:rsidP="005B5FC6">
      <w:pPr>
        <w:numPr>
          <w:ilvl w:val="1"/>
          <w:numId w:val="15"/>
        </w:numPr>
        <w:tabs>
          <w:tab w:val="num" w:pos="351"/>
          <w:tab w:val="num" w:pos="1418"/>
        </w:tabs>
        <w:spacing w:after="240" w:line="240" w:lineRule="auto"/>
        <w:ind w:left="1276" w:hanging="567"/>
        <w:rPr>
          <w:rFonts w:eastAsia="Times New Roman"/>
          <w:szCs w:val="20"/>
          <w:lang w:val="en-GB" w:eastAsia="ja-JP"/>
        </w:rPr>
      </w:pPr>
      <w:r>
        <w:rPr>
          <w:rFonts w:eastAsia="Times New Roman"/>
          <w:szCs w:val="20"/>
          <w:lang w:val="en-GB" w:eastAsia="ja-JP"/>
        </w:rPr>
        <w:t xml:space="preserve">improving the functioning of </w:t>
      </w:r>
      <w:r w:rsidR="00CC7880">
        <w:rPr>
          <w:rFonts w:eastAsia="Times New Roman"/>
          <w:szCs w:val="20"/>
          <w:lang w:val="en-GB" w:eastAsia="ja-JP"/>
        </w:rPr>
        <w:t>the SWR Act</w:t>
      </w:r>
      <w:r>
        <w:rPr>
          <w:rFonts w:eastAsia="Times New Roman"/>
          <w:szCs w:val="20"/>
          <w:lang w:val="en-GB" w:eastAsia="ja-JP"/>
        </w:rPr>
        <w:t>, and</w:t>
      </w:r>
    </w:p>
    <w:p w:rsidR="00C05771" w:rsidRPr="00AD1C1A" w:rsidRDefault="00AD1C1A" w:rsidP="005B5FC6">
      <w:pPr>
        <w:numPr>
          <w:ilvl w:val="1"/>
          <w:numId w:val="15"/>
        </w:numPr>
        <w:tabs>
          <w:tab w:val="num" w:pos="351"/>
          <w:tab w:val="num" w:pos="1418"/>
        </w:tabs>
        <w:spacing w:after="240" w:line="240" w:lineRule="auto"/>
        <w:ind w:left="1276" w:hanging="567"/>
        <w:rPr>
          <w:rFonts w:eastAsia="Times New Roman"/>
          <w:szCs w:val="20"/>
          <w:lang w:val="en-GB" w:eastAsia="ja-JP"/>
        </w:rPr>
      </w:pPr>
      <w:proofErr w:type="gramStart"/>
      <w:r>
        <w:rPr>
          <w:rFonts w:eastAsia="Times New Roman"/>
          <w:szCs w:val="20"/>
          <w:lang w:val="en-GB" w:eastAsia="ja-JP"/>
        </w:rPr>
        <w:t>supporting</w:t>
      </w:r>
      <w:proofErr w:type="gramEnd"/>
      <w:r>
        <w:rPr>
          <w:rFonts w:eastAsia="Times New Roman"/>
          <w:szCs w:val="20"/>
          <w:lang w:val="en-GB" w:eastAsia="ja-JP"/>
        </w:rPr>
        <w:t xml:space="preserve"> wider moves towards improving th</w:t>
      </w:r>
      <w:r w:rsidR="00E1019B">
        <w:rPr>
          <w:rFonts w:eastAsia="Times New Roman"/>
          <w:szCs w:val="20"/>
          <w:lang w:val="en-GB" w:eastAsia="ja-JP"/>
        </w:rPr>
        <w:t>e</w:t>
      </w:r>
      <w:r>
        <w:rPr>
          <w:rFonts w:eastAsia="Times New Roman"/>
          <w:szCs w:val="20"/>
          <w:lang w:val="en-GB" w:eastAsia="ja-JP"/>
        </w:rPr>
        <w:t xml:space="preserve"> professionalism and quality of social work services in New Zealand</w:t>
      </w:r>
      <w:r w:rsidR="00932DC5" w:rsidRPr="00AD1C1A">
        <w:rPr>
          <w:rFonts w:eastAsia="Times New Roman"/>
          <w:szCs w:val="20"/>
          <w:lang w:val="en-GB" w:eastAsia="ja-JP"/>
        </w:rPr>
        <w:t>.</w:t>
      </w:r>
    </w:p>
    <w:p w:rsidR="003D1DF6" w:rsidRDefault="003D1DF6" w:rsidP="00EC5708">
      <w:pPr>
        <w:spacing w:after="0" w:line="240" w:lineRule="auto"/>
        <w:rPr>
          <w:rFonts w:eastAsia="Times New Roman" w:cs="Times New Roman"/>
          <w:color w:val="335087"/>
          <w:spacing w:val="20"/>
          <w:w w:val="90"/>
          <w:sz w:val="28"/>
          <w:szCs w:val="28"/>
          <w:lang w:val="en-GB" w:eastAsia="en-GB"/>
        </w:rPr>
      </w:pPr>
    </w:p>
    <w:p w:rsidR="00F4679C" w:rsidRPr="00553816" w:rsidRDefault="00F4679C" w:rsidP="00EC5708">
      <w:pPr>
        <w:spacing w:after="0" w:line="240" w:lineRule="auto"/>
        <w:rPr>
          <w:rFonts w:eastAsia="Times New Roman" w:cs="Times New Roman"/>
          <w:b/>
          <w:color w:val="1F497D" w:themeColor="text2"/>
          <w:sz w:val="28"/>
          <w:szCs w:val="28"/>
          <w:lang w:val="en-GB" w:eastAsia="en-GB"/>
        </w:rPr>
      </w:pPr>
      <w:r w:rsidRPr="00553816">
        <w:rPr>
          <w:rFonts w:eastAsia="Times New Roman" w:cs="Times New Roman"/>
          <w:b/>
          <w:color w:val="1F497D" w:themeColor="text2"/>
          <w:sz w:val="28"/>
          <w:szCs w:val="28"/>
          <w:lang w:val="en-GB" w:eastAsia="en-GB"/>
        </w:rPr>
        <w:t xml:space="preserve">Status quo and problem definition </w:t>
      </w:r>
    </w:p>
    <w:p w:rsidR="00F4679C" w:rsidRPr="0060403D" w:rsidRDefault="00F4679C" w:rsidP="00177E1D">
      <w:pPr>
        <w:spacing w:after="240" w:line="240" w:lineRule="auto"/>
        <w:rPr>
          <w:rFonts w:cstheme="minorHAnsi"/>
          <w:b/>
          <w:spacing w:val="20"/>
          <w:w w:val="90"/>
          <w:szCs w:val="20"/>
        </w:rPr>
      </w:pPr>
      <w:r>
        <w:rPr>
          <w:rFonts w:cstheme="minorHAnsi"/>
          <w:b/>
          <w:spacing w:val="20"/>
          <w:w w:val="90"/>
          <w:szCs w:val="20"/>
        </w:rPr>
        <w:t>Social Work in New Zealand</w:t>
      </w:r>
    </w:p>
    <w:p w:rsidR="00E67471" w:rsidRDefault="00E67471" w:rsidP="00177E1D">
      <w:pPr>
        <w:numPr>
          <w:ilvl w:val="0"/>
          <w:numId w:val="8"/>
        </w:numPr>
        <w:spacing w:after="240" w:line="240" w:lineRule="auto"/>
        <w:ind w:left="567" w:hanging="567"/>
      </w:pPr>
      <w:r>
        <w:t xml:space="preserve">Social work is a profession that provides support and services to individuals and families who </w:t>
      </w:r>
      <w:r w:rsidR="00866FAE">
        <w:t xml:space="preserve">are </w:t>
      </w:r>
      <w:r>
        <w:t xml:space="preserve">vulnerable for a number of reasons.  </w:t>
      </w:r>
      <w:r w:rsidRPr="00C6087F">
        <w:t xml:space="preserve">Social </w:t>
      </w:r>
      <w:r w:rsidR="00866FAE">
        <w:t>w</w:t>
      </w:r>
      <w:r w:rsidRPr="00C6087F">
        <w:t>orkers routinely work with individuals at risk including women and children escaping family violence, victims of sexual assault, people suffering mental illness</w:t>
      </w:r>
      <w:r w:rsidR="0029459F">
        <w:t xml:space="preserve"> or addictions</w:t>
      </w:r>
      <w:r w:rsidRPr="00C6087F">
        <w:t>, and people with severe disabilities.</w:t>
      </w:r>
      <w:r w:rsidR="00BA55D7" w:rsidRPr="00BA55D7">
        <w:t xml:space="preserve"> </w:t>
      </w:r>
      <w:r w:rsidR="0029459F">
        <w:t xml:space="preserve"> </w:t>
      </w:r>
      <w:r w:rsidR="00BA55D7">
        <w:t xml:space="preserve">They increasingly deal with children and adults who are highly vulnerable, who present with very complex issues, and may be living in dangerous situations.  </w:t>
      </w:r>
    </w:p>
    <w:p w:rsidR="00F4679C" w:rsidRDefault="00E67471" w:rsidP="00177E1D">
      <w:pPr>
        <w:numPr>
          <w:ilvl w:val="0"/>
          <w:numId w:val="8"/>
        </w:numPr>
        <w:spacing w:after="240" w:line="240" w:lineRule="auto"/>
        <w:ind w:left="567" w:hanging="567"/>
      </w:pPr>
      <w:r>
        <w:t>Social workers deliver interventions that impact on all aspects of a client’s life including their physical, psychological, social and economic wellbeing.</w:t>
      </w:r>
      <w:r w:rsidR="0029459F">
        <w:t xml:space="preserve"> </w:t>
      </w:r>
      <w:r>
        <w:t xml:space="preserve"> In many cases, social workers are trusted with sensitive personal information about their clients, and commonly provide services to clients in their homes without another person present. </w:t>
      </w:r>
      <w:r w:rsidR="0029459F">
        <w:t xml:space="preserve"> </w:t>
      </w:r>
      <w:r w:rsidR="00F4679C">
        <w:t xml:space="preserve">Social workers in New Zealand are on the frontline across the child protection, health, education, and justice sectors and work with a wide range of vulnerable children and adults. </w:t>
      </w:r>
      <w:r w:rsidR="001B2480">
        <w:t xml:space="preserve"> </w:t>
      </w:r>
    </w:p>
    <w:p w:rsidR="00F4679C" w:rsidRPr="00836475" w:rsidRDefault="00D55378" w:rsidP="00177E1D">
      <w:pPr>
        <w:numPr>
          <w:ilvl w:val="0"/>
          <w:numId w:val="8"/>
        </w:numPr>
        <w:spacing w:after="240" w:line="240" w:lineRule="auto"/>
        <w:ind w:left="567" w:hanging="567"/>
      </w:pPr>
      <w:r>
        <w:rPr>
          <w:szCs w:val="20"/>
        </w:rPr>
        <w:t>The</w:t>
      </w:r>
      <w:r w:rsidR="00C96773">
        <w:rPr>
          <w:szCs w:val="20"/>
        </w:rPr>
        <w:t>re is a small but significant risk of</w:t>
      </w:r>
      <w:r>
        <w:rPr>
          <w:szCs w:val="20"/>
        </w:rPr>
        <w:t xml:space="preserve"> serious harm to clients</w:t>
      </w:r>
      <w:r w:rsidR="0029459F">
        <w:rPr>
          <w:szCs w:val="20"/>
        </w:rPr>
        <w:t xml:space="preserve"> from incompetent social work</w:t>
      </w:r>
      <w:r>
        <w:rPr>
          <w:szCs w:val="20"/>
        </w:rPr>
        <w:t xml:space="preserve"> </w:t>
      </w:r>
      <w:r w:rsidR="00C96773">
        <w:rPr>
          <w:szCs w:val="20"/>
        </w:rPr>
        <w:t xml:space="preserve">because of </w:t>
      </w:r>
      <w:r>
        <w:rPr>
          <w:szCs w:val="20"/>
        </w:rPr>
        <w:t xml:space="preserve">the nature and circumstances of the client group and the range of interventions delivered by social workers. </w:t>
      </w:r>
      <w:r w:rsidR="00F4679C">
        <w:t xml:space="preserve"> </w:t>
      </w:r>
      <w:r w:rsidR="00C96773">
        <w:t>I</w:t>
      </w:r>
      <w:r w:rsidR="0029459F">
        <w:t xml:space="preserve">ncompetent practice </w:t>
      </w:r>
      <w:r w:rsidR="00C96773">
        <w:t>can</w:t>
      </w:r>
      <w:r w:rsidR="0029459F">
        <w:t xml:space="preserve"> cause </w:t>
      </w:r>
      <w:r w:rsidR="00C96773">
        <w:t xml:space="preserve">immediate </w:t>
      </w:r>
      <w:r w:rsidR="0029459F">
        <w:t xml:space="preserve">harm </w:t>
      </w:r>
      <w:r w:rsidR="00C96773">
        <w:t xml:space="preserve">and </w:t>
      </w:r>
      <w:r w:rsidR="0029459F">
        <w:t xml:space="preserve">the impact may also be long lasting.  </w:t>
      </w:r>
      <w:r>
        <w:rPr>
          <w:szCs w:val="20"/>
        </w:rPr>
        <w:t xml:space="preserve">That is why </w:t>
      </w:r>
      <w:r w:rsidR="00F4679C">
        <w:t>skilled</w:t>
      </w:r>
      <w:r>
        <w:t>,</w:t>
      </w:r>
      <w:r w:rsidR="00F4679C">
        <w:t xml:space="preserve"> well trained professionals </w:t>
      </w:r>
      <w:r w:rsidR="007D11A3">
        <w:t>are required.</w:t>
      </w:r>
      <w:r w:rsidR="00F4679C">
        <w:t xml:space="preserve"> </w:t>
      </w:r>
      <w:r w:rsidR="001B2480">
        <w:t xml:space="preserve"> </w:t>
      </w:r>
      <w:r>
        <w:t xml:space="preserve">A </w:t>
      </w:r>
      <w:r>
        <w:rPr>
          <w:szCs w:val="20"/>
        </w:rPr>
        <w:t>social worker who does not recognise the limits of their expertise can place an individual and community at risk</w:t>
      </w:r>
      <w:r w:rsidR="0029459F">
        <w:rPr>
          <w:szCs w:val="20"/>
        </w:rPr>
        <w:t xml:space="preserve"> </w:t>
      </w:r>
      <w:r w:rsidR="00C96773">
        <w:rPr>
          <w:szCs w:val="20"/>
        </w:rPr>
        <w:t xml:space="preserve">if, </w:t>
      </w:r>
      <w:r w:rsidR="0029459F">
        <w:rPr>
          <w:szCs w:val="20"/>
        </w:rPr>
        <w:t xml:space="preserve">for </w:t>
      </w:r>
      <w:r>
        <w:rPr>
          <w:szCs w:val="20"/>
        </w:rPr>
        <w:t xml:space="preserve">example, </w:t>
      </w:r>
      <w:r w:rsidR="0029459F">
        <w:rPr>
          <w:szCs w:val="20"/>
        </w:rPr>
        <w:t>a client</w:t>
      </w:r>
      <w:r>
        <w:rPr>
          <w:szCs w:val="20"/>
        </w:rPr>
        <w:t xml:space="preserve"> is </w:t>
      </w:r>
      <w:r w:rsidR="0029459F">
        <w:rPr>
          <w:szCs w:val="20"/>
        </w:rPr>
        <w:t>at risk of</w:t>
      </w:r>
      <w:r>
        <w:rPr>
          <w:szCs w:val="20"/>
        </w:rPr>
        <w:t xml:space="preserve"> harm</w:t>
      </w:r>
      <w:r w:rsidR="0029459F">
        <w:rPr>
          <w:szCs w:val="20"/>
        </w:rPr>
        <w:t>ing</w:t>
      </w:r>
      <w:r>
        <w:rPr>
          <w:szCs w:val="20"/>
        </w:rPr>
        <w:t xml:space="preserve"> themselves or others. </w:t>
      </w:r>
      <w:r w:rsidR="0029459F">
        <w:rPr>
          <w:szCs w:val="20"/>
        </w:rPr>
        <w:t xml:space="preserve"> </w:t>
      </w:r>
      <w:r w:rsidR="00F4679C">
        <w:t xml:space="preserve">Even in less extreme situations, preventable harm can arise when individuals or families are not given the expert help that they need </w:t>
      </w:r>
      <w:r w:rsidR="00F4679C" w:rsidRPr="00836475">
        <w:t>and go on to develop more serious problems.</w:t>
      </w:r>
    </w:p>
    <w:p w:rsidR="00F4679C" w:rsidRDefault="00F4679C" w:rsidP="00177E1D">
      <w:pPr>
        <w:numPr>
          <w:ilvl w:val="0"/>
          <w:numId w:val="8"/>
        </w:numPr>
        <w:spacing w:after="240" w:line="240" w:lineRule="auto"/>
        <w:ind w:left="567" w:hanging="567"/>
      </w:pPr>
      <w:r w:rsidRPr="00836475">
        <w:t>The Government has adopted a social investment approach to ensure interventions and services are effective and targeted to</w:t>
      </w:r>
      <w:r w:rsidR="004A5EF7">
        <w:t xml:space="preserve"> the</w:t>
      </w:r>
      <w:r w:rsidRPr="00836475">
        <w:t xml:space="preserve"> right place. </w:t>
      </w:r>
      <w:r w:rsidR="001B2480">
        <w:t xml:space="preserve"> </w:t>
      </w:r>
      <w:r w:rsidRPr="00836475">
        <w:t>This focus requires a highly professional and capable workforce to undertake assessments,</w:t>
      </w:r>
      <w:r>
        <w:t xml:space="preserve"> to provide therapeutic interventions</w:t>
      </w:r>
      <w:r w:rsidRPr="00836475">
        <w:t xml:space="preserve">, and to provide referrals to other services. </w:t>
      </w:r>
    </w:p>
    <w:p w:rsidR="00F4679C" w:rsidRPr="00836475" w:rsidRDefault="00F4679C" w:rsidP="00177E1D">
      <w:pPr>
        <w:numPr>
          <w:ilvl w:val="0"/>
          <w:numId w:val="8"/>
        </w:numPr>
        <w:spacing w:after="240" w:line="240" w:lineRule="auto"/>
        <w:ind w:left="567" w:hanging="567"/>
      </w:pPr>
      <w:r w:rsidRPr="00836475">
        <w:t xml:space="preserve">Social workers (employed directly by government agencies or by </w:t>
      </w:r>
      <w:r w:rsidR="001913C7">
        <w:t xml:space="preserve">NGOs </w:t>
      </w:r>
      <w:r w:rsidRPr="00836475">
        <w:t xml:space="preserve">on government contracts) are frequently the brokers of services for individuals, families and communities with high levels of needs, and </w:t>
      </w:r>
      <w:r w:rsidR="00866FAE">
        <w:t xml:space="preserve">are </w:t>
      </w:r>
      <w:r w:rsidRPr="00836475">
        <w:t xml:space="preserve">uniquely placed to make a significant difference for their clients’ long term outcomes. </w:t>
      </w:r>
      <w:r w:rsidR="001B2480">
        <w:t xml:space="preserve"> </w:t>
      </w:r>
      <w:r w:rsidRPr="00836475">
        <w:t xml:space="preserve">A high quality social work workforce is a vital component in achieving the Government’s goals in the social sector, particularly for vulnerable children, and in the health sector. </w:t>
      </w:r>
    </w:p>
    <w:p w:rsidR="00C05771" w:rsidRDefault="00932DC5" w:rsidP="00177E1D">
      <w:pPr>
        <w:spacing w:before="240"/>
        <w:outlineLvl w:val="3"/>
        <w:rPr>
          <w:rFonts w:cstheme="minorHAnsi"/>
          <w:b/>
          <w:spacing w:val="20"/>
          <w:w w:val="90"/>
          <w:szCs w:val="20"/>
        </w:rPr>
      </w:pPr>
      <w:r>
        <w:rPr>
          <w:rFonts w:cstheme="minorHAnsi"/>
          <w:b/>
          <w:spacing w:val="20"/>
          <w:w w:val="90"/>
          <w:szCs w:val="20"/>
        </w:rPr>
        <w:t>Overview of current regulatory regime for social workers</w:t>
      </w:r>
    </w:p>
    <w:p w:rsidR="00932DC5" w:rsidRPr="00932DC5" w:rsidRDefault="00932DC5" w:rsidP="00177E1D">
      <w:pPr>
        <w:numPr>
          <w:ilvl w:val="0"/>
          <w:numId w:val="8"/>
        </w:numPr>
        <w:spacing w:after="240" w:line="240" w:lineRule="auto"/>
        <w:ind w:left="567" w:hanging="567"/>
        <w:rPr>
          <w:rFonts w:eastAsia="Times New Roman" w:cs="Times New Roman"/>
          <w:szCs w:val="20"/>
          <w:lang w:val="en-GB" w:eastAsia="en-GB"/>
        </w:rPr>
      </w:pPr>
      <w:r w:rsidRPr="00932DC5">
        <w:rPr>
          <w:rFonts w:eastAsia="Times New Roman" w:cs="Times New Roman"/>
          <w:szCs w:val="20"/>
          <w:lang w:val="en-GB" w:eastAsia="en-GB"/>
        </w:rPr>
        <w:t xml:space="preserve">Social workers currently work under a voluntary registration system that </w:t>
      </w:r>
      <w:r>
        <w:rPr>
          <w:rFonts w:eastAsia="Times New Roman" w:cs="Times New Roman"/>
          <w:szCs w:val="20"/>
          <w:lang w:val="en-GB" w:eastAsia="en-GB"/>
        </w:rPr>
        <w:t xml:space="preserve">was introduced in 2003 by the SWR Act. </w:t>
      </w:r>
      <w:r w:rsidR="005C2FCE">
        <w:rPr>
          <w:rFonts w:eastAsia="Times New Roman" w:cs="Times New Roman"/>
          <w:szCs w:val="20"/>
          <w:lang w:val="en-GB" w:eastAsia="en-GB"/>
        </w:rPr>
        <w:t xml:space="preserve"> </w:t>
      </w:r>
      <w:r w:rsidR="00DF4203">
        <w:rPr>
          <w:rFonts w:eastAsia="Times New Roman" w:cs="Times New Roman"/>
          <w:szCs w:val="20"/>
          <w:lang w:val="en-GB" w:eastAsia="en-GB"/>
        </w:rPr>
        <w:t>The system protects the title “</w:t>
      </w:r>
      <w:r>
        <w:rPr>
          <w:rFonts w:eastAsia="Times New Roman" w:cs="Times New Roman"/>
          <w:szCs w:val="20"/>
          <w:lang w:val="en-GB" w:eastAsia="en-GB"/>
        </w:rPr>
        <w:t>registered social worker</w:t>
      </w:r>
      <w:r w:rsidR="00DF4203">
        <w:rPr>
          <w:rFonts w:eastAsia="Times New Roman" w:cs="Times New Roman"/>
          <w:szCs w:val="20"/>
          <w:lang w:val="en-GB" w:eastAsia="en-GB"/>
        </w:rPr>
        <w:t>”</w:t>
      </w:r>
      <w:r w:rsidR="004F498D">
        <w:rPr>
          <w:rFonts w:eastAsia="Times New Roman" w:cs="Times New Roman"/>
          <w:szCs w:val="20"/>
          <w:lang w:val="en-GB" w:eastAsia="en-GB"/>
        </w:rPr>
        <w:t xml:space="preserve"> by making it an offence for people to hold themselves out as a registered </w:t>
      </w:r>
      <w:r w:rsidR="004F498D">
        <w:rPr>
          <w:rFonts w:eastAsia="Times New Roman" w:cs="Times New Roman"/>
          <w:szCs w:val="20"/>
          <w:lang w:val="en-GB" w:eastAsia="en-GB"/>
        </w:rPr>
        <w:lastRenderedPageBreak/>
        <w:t>social worker when they are not</w:t>
      </w:r>
      <w:r w:rsidR="004F498D">
        <w:rPr>
          <w:rStyle w:val="FootnoteReference"/>
          <w:rFonts w:eastAsia="Times New Roman" w:cs="Times New Roman"/>
          <w:szCs w:val="20"/>
          <w:lang w:val="en-GB" w:eastAsia="en-GB"/>
        </w:rPr>
        <w:footnoteReference w:id="1"/>
      </w:r>
      <w:r>
        <w:rPr>
          <w:rFonts w:eastAsia="Times New Roman" w:cs="Times New Roman"/>
          <w:szCs w:val="20"/>
          <w:lang w:val="en-GB" w:eastAsia="en-GB"/>
        </w:rPr>
        <w:t xml:space="preserve">. </w:t>
      </w:r>
      <w:r w:rsidR="005C2FCE">
        <w:rPr>
          <w:rFonts w:eastAsia="Times New Roman" w:cs="Times New Roman"/>
          <w:szCs w:val="20"/>
          <w:lang w:val="en-GB" w:eastAsia="en-GB"/>
        </w:rPr>
        <w:t xml:space="preserve"> </w:t>
      </w:r>
      <w:r>
        <w:rPr>
          <w:rFonts w:eastAsia="Times New Roman" w:cs="Times New Roman"/>
          <w:szCs w:val="20"/>
          <w:lang w:val="en-GB" w:eastAsia="en-GB"/>
        </w:rPr>
        <w:t xml:space="preserve">Individual social workers can choose whether or not to become registered. If they </w:t>
      </w:r>
      <w:r w:rsidR="00D55378">
        <w:rPr>
          <w:rFonts w:eastAsia="Times New Roman" w:cs="Times New Roman"/>
          <w:szCs w:val="20"/>
          <w:lang w:val="en-GB" w:eastAsia="en-GB"/>
        </w:rPr>
        <w:t>are not</w:t>
      </w:r>
      <w:r>
        <w:rPr>
          <w:rFonts w:eastAsia="Times New Roman" w:cs="Times New Roman"/>
          <w:szCs w:val="20"/>
          <w:lang w:val="en-GB" w:eastAsia="en-GB"/>
        </w:rPr>
        <w:t xml:space="preserve"> registered, they can use the title </w:t>
      </w:r>
      <w:r w:rsidR="00DF4203">
        <w:rPr>
          <w:rFonts w:eastAsia="Times New Roman" w:cs="Times New Roman"/>
          <w:szCs w:val="20"/>
          <w:lang w:val="en-GB" w:eastAsia="en-GB"/>
        </w:rPr>
        <w:t>“</w:t>
      </w:r>
      <w:r>
        <w:rPr>
          <w:rFonts w:eastAsia="Times New Roman" w:cs="Times New Roman"/>
          <w:szCs w:val="20"/>
          <w:lang w:val="en-GB" w:eastAsia="en-GB"/>
        </w:rPr>
        <w:t>social worker</w:t>
      </w:r>
      <w:r w:rsidR="00DF4203">
        <w:rPr>
          <w:rFonts w:eastAsia="Times New Roman" w:cs="Times New Roman"/>
          <w:szCs w:val="20"/>
          <w:lang w:val="en-GB" w:eastAsia="en-GB"/>
        </w:rPr>
        <w:t>”</w:t>
      </w:r>
      <w:r>
        <w:rPr>
          <w:rFonts w:eastAsia="Times New Roman" w:cs="Times New Roman"/>
          <w:szCs w:val="20"/>
          <w:lang w:val="en-GB" w:eastAsia="en-GB"/>
        </w:rPr>
        <w:t xml:space="preserve">, but not </w:t>
      </w:r>
      <w:r w:rsidR="00DF4203">
        <w:rPr>
          <w:rFonts w:eastAsia="Times New Roman" w:cs="Times New Roman"/>
          <w:szCs w:val="20"/>
          <w:lang w:val="en-GB" w:eastAsia="en-GB"/>
        </w:rPr>
        <w:t>“</w:t>
      </w:r>
      <w:r>
        <w:rPr>
          <w:rFonts w:eastAsia="Times New Roman" w:cs="Times New Roman"/>
          <w:szCs w:val="20"/>
          <w:lang w:val="en-GB" w:eastAsia="en-GB"/>
        </w:rPr>
        <w:t>registered social worker</w:t>
      </w:r>
      <w:r w:rsidR="00DF4203">
        <w:rPr>
          <w:rFonts w:eastAsia="Times New Roman" w:cs="Times New Roman"/>
          <w:szCs w:val="20"/>
          <w:lang w:val="en-GB" w:eastAsia="en-GB"/>
        </w:rPr>
        <w:t>”</w:t>
      </w:r>
      <w:r>
        <w:rPr>
          <w:rFonts w:eastAsia="Times New Roman" w:cs="Times New Roman"/>
          <w:szCs w:val="20"/>
          <w:lang w:val="en-GB" w:eastAsia="en-GB"/>
        </w:rPr>
        <w:t xml:space="preserve">. </w:t>
      </w:r>
    </w:p>
    <w:p w:rsidR="004F498D" w:rsidRDefault="004F498D"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Registration </w:t>
      </w:r>
      <w:r w:rsidR="00265D5C">
        <w:rPr>
          <w:rFonts w:eastAsia="Times New Roman" w:cs="Times New Roman"/>
          <w:szCs w:val="20"/>
          <w:lang w:val="en-GB" w:eastAsia="en-GB"/>
        </w:rPr>
        <w:t>is the</w:t>
      </w:r>
      <w:r>
        <w:rPr>
          <w:rFonts w:eastAsia="Times New Roman" w:cs="Times New Roman"/>
          <w:szCs w:val="20"/>
          <w:lang w:val="en-GB" w:eastAsia="en-GB"/>
        </w:rPr>
        <w:t xml:space="preserve"> process by which a social worker is assessed and determined as qualified, competent, experience</w:t>
      </w:r>
      <w:r w:rsidR="00A25228">
        <w:rPr>
          <w:rFonts w:eastAsia="Times New Roman" w:cs="Times New Roman"/>
          <w:szCs w:val="20"/>
          <w:lang w:val="en-GB" w:eastAsia="en-GB"/>
        </w:rPr>
        <w:t>d,</w:t>
      </w:r>
      <w:r>
        <w:rPr>
          <w:rFonts w:eastAsia="Times New Roman" w:cs="Times New Roman"/>
          <w:szCs w:val="20"/>
          <w:lang w:val="en-GB" w:eastAsia="en-GB"/>
        </w:rPr>
        <w:t xml:space="preserve"> and a fit and proper person to practise social work. </w:t>
      </w:r>
      <w:r w:rsidR="005C2FCE">
        <w:rPr>
          <w:rFonts w:eastAsia="Times New Roman" w:cs="Times New Roman"/>
          <w:szCs w:val="20"/>
          <w:lang w:val="en-GB" w:eastAsia="en-GB"/>
        </w:rPr>
        <w:t xml:space="preserve"> </w:t>
      </w:r>
      <w:r>
        <w:rPr>
          <w:rFonts w:eastAsia="Times New Roman" w:cs="Times New Roman"/>
          <w:szCs w:val="20"/>
          <w:lang w:val="en-GB" w:eastAsia="en-GB"/>
        </w:rPr>
        <w:t>Established by the SWR Act</w:t>
      </w:r>
      <w:r w:rsidR="00AF6AB4">
        <w:rPr>
          <w:rStyle w:val="FootnoteReference"/>
          <w:rFonts w:eastAsia="Times New Roman" w:cs="Times New Roman"/>
          <w:szCs w:val="20"/>
          <w:lang w:val="en-GB" w:eastAsia="en-GB"/>
        </w:rPr>
        <w:footnoteReference w:id="2"/>
      </w:r>
      <w:r>
        <w:rPr>
          <w:rFonts w:eastAsia="Times New Roman" w:cs="Times New Roman"/>
          <w:szCs w:val="20"/>
          <w:lang w:val="en-GB" w:eastAsia="en-GB"/>
        </w:rPr>
        <w:t>, the Social Workers Registration Board (the Board) oversees the registration process.</w:t>
      </w:r>
      <w:r w:rsidR="005C2FCE">
        <w:rPr>
          <w:rFonts w:eastAsia="Times New Roman" w:cs="Times New Roman"/>
          <w:szCs w:val="20"/>
          <w:lang w:val="en-GB" w:eastAsia="en-GB"/>
        </w:rPr>
        <w:t xml:space="preserve"> </w:t>
      </w:r>
      <w:r w:rsidR="008114C5">
        <w:rPr>
          <w:rFonts w:eastAsia="Times New Roman" w:cs="Times New Roman"/>
          <w:szCs w:val="20"/>
          <w:lang w:val="en-GB" w:eastAsia="en-GB"/>
        </w:rPr>
        <w:t xml:space="preserve"> Once registered, registered social workers are subject</w:t>
      </w:r>
      <w:r w:rsidR="00D55378">
        <w:rPr>
          <w:rFonts w:eastAsia="Times New Roman" w:cs="Times New Roman"/>
          <w:szCs w:val="20"/>
          <w:lang w:val="en-GB" w:eastAsia="en-GB"/>
        </w:rPr>
        <w:t xml:space="preserve"> a review process to renew their annual practising certificate and, if there are concerns about their competency,</w:t>
      </w:r>
      <w:r w:rsidR="007D11A3">
        <w:rPr>
          <w:rFonts w:eastAsia="Times New Roman" w:cs="Times New Roman"/>
          <w:szCs w:val="20"/>
          <w:lang w:val="en-GB" w:eastAsia="en-GB"/>
        </w:rPr>
        <w:t xml:space="preserve"> are subject to </w:t>
      </w:r>
      <w:r w:rsidR="00A25228">
        <w:rPr>
          <w:rFonts w:eastAsia="Times New Roman" w:cs="Times New Roman"/>
          <w:szCs w:val="20"/>
          <w:lang w:val="en-GB" w:eastAsia="en-GB"/>
        </w:rPr>
        <w:t>complaints and disciplinary processes.</w:t>
      </w:r>
    </w:p>
    <w:p w:rsidR="00A30CAF" w:rsidRDefault="004F498D" w:rsidP="00177E1D">
      <w:pPr>
        <w:numPr>
          <w:ilvl w:val="0"/>
          <w:numId w:val="8"/>
        </w:numPr>
        <w:spacing w:after="240" w:line="240" w:lineRule="auto"/>
        <w:ind w:left="567" w:hanging="567"/>
      </w:pPr>
      <w:r>
        <w:rPr>
          <w:rFonts w:eastAsia="Times New Roman" w:cs="Times New Roman"/>
          <w:szCs w:val="20"/>
          <w:lang w:val="en-GB" w:eastAsia="en-GB"/>
        </w:rPr>
        <w:t>The Board is a Crown entity with a responsible Minister (the Minister for Social Development) and a monitoring department (the Ministry of Social Development</w:t>
      </w:r>
      <w:r w:rsidR="00AF6AB4">
        <w:rPr>
          <w:rFonts w:eastAsia="Times New Roman" w:cs="Times New Roman"/>
          <w:szCs w:val="20"/>
          <w:lang w:val="en-GB" w:eastAsia="en-GB"/>
        </w:rPr>
        <w:t>)</w:t>
      </w:r>
      <w:r>
        <w:rPr>
          <w:rFonts w:eastAsia="Times New Roman" w:cs="Times New Roman"/>
          <w:szCs w:val="20"/>
          <w:lang w:val="en-GB" w:eastAsia="en-GB"/>
        </w:rPr>
        <w:t>.</w:t>
      </w:r>
      <w:r w:rsidRPr="004F498D">
        <w:t xml:space="preserve"> </w:t>
      </w:r>
      <w:r w:rsidR="00CB2909">
        <w:t xml:space="preserve"> </w:t>
      </w:r>
      <w:r w:rsidR="002A1508">
        <w:t>The Ministry of</w:t>
      </w:r>
      <w:r w:rsidR="00D97D37">
        <w:t xml:space="preserve"> Social</w:t>
      </w:r>
      <w:r w:rsidR="002A1508">
        <w:t xml:space="preserve"> Development’s (MSD) </w:t>
      </w:r>
      <w:r>
        <w:t>role includes assisting the responsible Minister, administering appropriations and legislation as required, and assisting with planning, monitoring and reporting organisational performance.</w:t>
      </w:r>
      <w:r w:rsidR="00AF6AB4">
        <w:t xml:space="preserve"> </w:t>
      </w:r>
    </w:p>
    <w:p w:rsidR="001105B7" w:rsidRDefault="00A30CAF" w:rsidP="00177E1D">
      <w:pPr>
        <w:numPr>
          <w:ilvl w:val="0"/>
          <w:numId w:val="8"/>
        </w:numPr>
        <w:spacing w:after="240" w:line="240" w:lineRule="auto"/>
        <w:ind w:left="567" w:hanging="567"/>
      </w:pPr>
      <w:r>
        <w:t>The Board comprises 10 members (six registered social workers and four other people)</w:t>
      </w:r>
      <w:r>
        <w:rPr>
          <w:rStyle w:val="FootnoteReference"/>
        </w:rPr>
        <w:footnoteReference w:id="3"/>
      </w:r>
      <w:proofErr w:type="gramStart"/>
      <w:r>
        <w:t>,</w:t>
      </w:r>
      <w:proofErr w:type="gramEnd"/>
      <w:r>
        <w:t xml:space="preserve"> members are appointed by the Minister for Social Development</w:t>
      </w:r>
      <w:r w:rsidR="00D97D37">
        <w:t xml:space="preserve"> (the Minister)</w:t>
      </w:r>
      <w:r>
        <w:t xml:space="preserve"> after consultation with organisations and individuals that, in the Minister’s opinion, represent various sectors of the social work profession.</w:t>
      </w:r>
      <w:r>
        <w:rPr>
          <w:rStyle w:val="FootnoteReference"/>
        </w:rPr>
        <w:footnoteReference w:id="4"/>
      </w:r>
    </w:p>
    <w:p w:rsidR="001105B7" w:rsidRDefault="001105B7" w:rsidP="00177E1D">
      <w:pPr>
        <w:numPr>
          <w:ilvl w:val="0"/>
          <w:numId w:val="8"/>
        </w:numPr>
        <w:spacing w:after="240" w:line="240" w:lineRule="auto"/>
        <w:ind w:left="567" w:hanging="567"/>
      </w:pPr>
      <w:r>
        <w:t>In addition to overseeing the registration process, authorising the registration of social workers and maintaining the Social Workers register, other functions of the Board</w:t>
      </w:r>
      <w:r>
        <w:rPr>
          <w:rStyle w:val="FootnoteReference"/>
        </w:rPr>
        <w:footnoteReference w:id="5"/>
      </w:r>
      <w:r>
        <w:t xml:space="preserve"> include</w:t>
      </w:r>
      <w:r w:rsidR="003700B0">
        <w:t xml:space="preserve"> to:</w:t>
      </w:r>
    </w:p>
    <w:p w:rsidR="003700B0" w:rsidRDefault="001105B7" w:rsidP="005B5FC6">
      <w:pPr>
        <w:numPr>
          <w:ilvl w:val="0"/>
          <w:numId w:val="16"/>
        </w:numPr>
        <w:spacing w:line="240" w:lineRule="auto"/>
        <w:ind w:left="924" w:hanging="357"/>
      </w:pPr>
      <w:r>
        <w:t>r</w:t>
      </w:r>
      <w:r w:rsidR="003700B0">
        <w:t>eview</w:t>
      </w:r>
      <w:r>
        <w:t xml:space="preserve"> the competence of social workers</w:t>
      </w:r>
    </w:p>
    <w:p w:rsidR="004F498D" w:rsidRDefault="003700B0" w:rsidP="005B5FC6">
      <w:pPr>
        <w:numPr>
          <w:ilvl w:val="0"/>
          <w:numId w:val="16"/>
        </w:numPr>
        <w:spacing w:line="240" w:lineRule="auto"/>
        <w:ind w:left="924" w:hanging="357"/>
      </w:pPr>
      <w:r>
        <w:t>establish and maintain a code of conduct for social workers</w:t>
      </w:r>
    </w:p>
    <w:p w:rsidR="003700B0" w:rsidRDefault="003700B0" w:rsidP="005B5FC6">
      <w:pPr>
        <w:numPr>
          <w:ilvl w:val="0"/>
          <w:numId w:val="16"/>
        </w:numPr>
        <w:spacing w:line="240" w:lineRule="auto"/>
        <w:ind w:left="924" w:hanging="357"/>
      </w:pPr>
      <w:r>
        <w:t>promote and set standards for social work education and training in New Zealand</w:t>
      </w:r>
    </w:p>
    <w:p w:rsidR="003700B0" w:rsidRDefault="003700B0" w:rsidP="005B5FC6">
      <w:pPr>
        <w:numPr>
          <w:ilvl w:val="0"/>
          <w:numId w:val="16"/>
        </w:numPr>
        <w:spacing w:line="240" w:lineRule="auto"/>
        <w:ind w:left="924" w:hanging="357"/>
      </w:pPr>
      <w:r>
        <w:t xml:space="preserve">promote the benefits of registration </w:t>
      </w:r>
    </w:p>
    <w:p w:rsidR="003700B0" w:rsidRDefault="003700B0" w:rsidP="005B5FC6">
      <w:pPr>
        <w:numPr>
          <w:ilvl w:val="0"/>
          <w:numId w:val="16"/>
        </w:numPr>
        <w:spacing w:line="240" w:lineRule="auto"/>
        <w:ind w:left="924" w:hanging="357"/>
      </w:pPr>
      <w:r>
        <w:t>promote and encourage high standards of practice and professional conduct among registered social workers and the employers of social workers</w:t>
      </w:r>
    </w:p>
    <w:p w:rsidR="00EC79D0" w:rsidRDefault="00EC79D0" w:rsidP="005B5FC6">
      <w:pPr>
        <w:numPr>
          <w:ilvl w:val="0"/>
          <w:numId w:val="16"/>
        </w:numPr>
        <w:spacing w:line="240" w:lineRule="auto"/>
        <w:ind w:left="924" w:hanging="357"/>
      </w:pPr>
      <w:r>
        <w:t xml:space="preserve">issue </w:t>
      </w:r>
      <w:r w:rsidR="00D55378">
        <w:t>A</w:t>
      </w:r>
      <w:r>
        <w:t xml:space="preserve">nnual </w:t>
      </w:r>
      <w:r w:rsidR="00D55378">
        <w:t>P</w:t>
      </w:r>
      <w:r>
        <w:t xml:space="preserve">ractising </w:t>
      </w:r>
      <w:r w:rsidR="00D55378">
        <w:t>C</w:t>
      </w:r>
      <w:r>
        <w:t>ertificates</w:t>
      </w:r>
    </w:p>
    <w:p w:rsidR="003700B0" w:rsidRDefault="003700B0" w:rsidP="005B5FC6">
      <w:pPr>
        <w:numPr>
          <w:ilvl w:val="0"/>
          <w:numId w:val="16"/>
        </w:numPr>
        <w:spacing w:line="240" w:lineRule="auto"/>
        <w:ind w:left="924" w:hanging="357"/>
      </w:pPr>
      <w:proofErr w:type="gramStart"/>
      <w:r>
        <w:t>advise</w:t>
      </w:r>
      <w:proofErr w:type="gramEnd"/>
      <w:r>
        <w:t>, and make recommendations to, the Minister regarding the regulation of social work.</w:t>
      </w:r>
    </w:p>
    <w:p w:rsidR="00F4679C" w:rsidRPr="002A5D5B" w:rsidRDefault="00AF6AB4" w:rsidP="00177E1D">
      <w:pPr>
        <w:numPr>
          <w:ilvl w:val="0"/>
          <w:numId w:val="8"/>
        </w:numPr>
        <w:spacing w:before="240" w:after="240" w:line="240" w:lineRule="auto"/>
        <w:ind w:left="567" w:hanging="567"/>
      </w:pPr>
      <w:r>
        <w:rPr>
          <w:rFonts w:eastAsia="Times New Roman" w:cs="Times New Roman"/>
          <w:szCs w:val="20"/>
          <w:lang w:val="en-GB" w:eastAsia="en-GB"/>
        </w:rPr>
        <w:t>The</w:t>
      </w:r>
      <w:r w:rsidR="003700B0">
        <w:rPr>
          <w:rFonts w:eastAsia="Times New Roman" w:cs="Times New Roman"/>
          <w:szCs w:val="20"/>
          <w:lang w:val="en-GB" w:eastAsia="en-GB"/>
        </w:rPr>
        <w:t xml:space="preserve"> </w:t>
      </w:r>
      <w:r>
        <w:rPr>
          <w:rFonts w:eastAsia="Times New Roman" w:cs="Times New Roman"/>
          <w:szCs w:val="20"/>
          <w:lang w:val="en-GB" w:eastAsia="en-GB"/>
        </w:rPr>
        <w:t xml:space="preserve">SWR Act also establishes </w:t>
      </w:r>
      <w:r w:rsidR="00A30CAF">
        <w:rPr>
          <w:rFonts w:eastAsia="Times New Roman" w:cs="Times New Roman"/>
          <w:szCs w:val="20"/>
          <w:lang w:val="en-GB" w:eastAsia="en-GB"/>
        </w:rPr>
        <w:t xml:space="preserve">the Social Workers Complaints and Disciplinary </w:t>
      </w:r>
      <w:r w:rsidR="002F638D">
        <w:rPr>
          <w:rFonts w:eastAsia="Times New Roman" w:cs="Times New Roman"/>
          <w:szCs w:val="20"/>
          <w:lang w:val="en-GB" w:eastAsia="en-GB"/>
        </w:rPr>
        <w:t xml:space="preserve">Tribunal (the </w:t>
      </w:r>
      <w:r w:rsidR="00A30CAF">
        <w:rPr>
          <w:rFonts w:eastAsia="Times New Roman" w:cs="Times New Roman"/>
          <w:szCs w:val="20"/>
          <w:lang w:val="en-GB" w:eastAsia="en-GB"/>
        </w:rPr>
        <w:t>Tribunal</w:t>
      </w:r>
      <w:r w:rsidR="002F638D">
        <w:rPr>
          <w:rFonts w:eastAsia="Times New Roman" w:cs="Times New Roman"/>
          <w:szCs w:val="20"/>
          <w:lang w:val="en-GB" w:eastAsia="en-GB"/>
        </w:rPr>
        <w:t>)</w:t>
      </w:r>
      <w:r w:rsidR="00A30CAF">
        <w:rPr>
          <w:rStyle w:val="FootnoteReference"/>
          <w:rFonts w:eastAsia="Times New Roman" w:cs="Times New Roman"/>
          <w:szCs w:val="20"/>
          <w:lang w:val="en-GB" w:eastAsia="en-GB"/>
        </w:rPr>
        <w:footnoteReference w:id="6"/>
      </w:r>
      <w:r w:rsidR="00C92F88">
        <w:rPr>
          <w:rFonts w:eastAsia="Times New Roman" w:cs="Times New Roman"/>
          <w:szCs w:val="20"/>
          <w:lang w:val="en-GB" w:eastAsia="en-GB"/>
        </w:rPr>
        <w:t>, some</w:t>
      </w:r>
      <w:r w:rsidR="00A30CAF">
        <w:rPr>
          <w:rFonts w:eastAsia="Times New Roman" w:cs="Times New Roman"/>
          <w:szCs w:val="20"/>
          <w:lang w:val="en-GB" w:eastAsia="en-GB"/>
        </w:rPr>
        <w:t xml:space="preserve"> members of which are appointed by the Board</w:t>
      </w:r>
      <w:r w:rsidR="00C92F88">
        <w:rPr>
          <w:rFonts w:eastAsia="Times New Roman" w:cs="Times New Roman"/>
          <w:szCs w:val="20"/>
          <w:lang w:val="en-GB" w:eastAsia="en-GB"/>
        </w:rPr>
        <w:t>. T</w:t>
      </w:r>
      <w:r w:rsidR="00A30CAF">
        <w:rPr>
          <w:rFonts w:eastAsia="Times New Roman" w:cs="Times New Roman"/>
          <w:szCs w:val="20"/>
          <w:lang w:val="en-GB" w:eastAsia="en-GB"/>
        </w:rPr>
        <w:t>he Minister</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is </w:t>
      </w:r>
      <w:r w:rsidR="00A83878">
        <w:rPr>
          <w:rFonts w:eastAsia="Times New Roman" w:cs="Times New Roman"/>
          <w:szCs w:val="20"/>
          <w:lang w:val="en-GB" w:eastAsia="en-GB"/>
        </w:rPr>
        <w:t xml:space="preserve">also </w:t>
      </w:r>
      <w:r w:rsidR="00C92F88">
        <w:rPr>
          <w:rFonts w:eastAsia="Times New Roman" w:cs="Times New Roman"/>
          <w:szCs w:val="20"/>
          <w:lang w:val="en-GB" w:eastAsia="en-GB"/>
        </w:rPr>
        <w:t>required to appoint at least one member</w:t>
      </w:r>
      <w:r w:rsidR="00A30CAF">
        <w:rPr>
          <w:rStyle w:val="FootnoteReference"/>
          <w:rFonts w:eastAsia="Times New Roman" w:cs="Times New Roman"/>
          <w:szCs w:val="20"/>
          <w:lang w:val="en-GB" w:eastAsia="en-GB"/>
        </w:rPr>
        <w:footnoteReference w:id="7"/>
      </w:r>
      <w:r w:rsidR="00A30CAF">
        <w:rPr>
          <w:rFonts w:eastAsia="Times New Roman" w:cs="Times New Roman"/>
          <w:szCs w:val="20"/>
          <w:lang w:val="en-GB" w:eastAsia="en-GB"/>
        </w:rPr>
        <w:t xml:space="preserve">. </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The Tribunal administers the complaints process </w:t>
      </w:r>
      <w:r w:rsidR="00A25228">
        <w:rPr>
          <w:rFonts w:eastAsia="Times New Roman" w:cs="Times New Roman"/>
          <w:szCs w:val="20"/>
          <w:lang w:val="en-GB" w:eastAsia="en-GB"/>
        </w:rPr>
        <w:t xml:space="preserve">and also </w:t>
      </w:r>
      <w:r w:rsidR="00C92F88">
        <w:rPr>
          <w:rFonts w:eastAsia="Times New Roman" w:cs="Times New Roman"/>
          <w:szCs w:val="20"/>
          <w:lang w:val="en-GB" w:eastAsia="en-GB"/>
        </w:rPr>
        <w:t>exercises the disciplinary powers over registered social workers.</w:t>
      </w:r>
      <w:r w:rsidR="00CB2909">
        <w:rPr>
          <w:rFonts w:eastAsia="Times New Roman" w:cs="Times New Roman"/>
          <w:szCs w:val="20"/>
          <w:lang w:val="en-GB" w:eastAsia="en-GB"/>
        </w:rPr>
        <w:t xml:space="preserve"> </w:t>
      </w:r>
      <w:r w:rsidR="00C92F88">
        <w:rPr>
          <w:rFonts w:eastAsia="Times New Roman" w:cs="Times New Roman"/>
          <w:szCs w:val="20"/>
          <w:lang w:val="en-GB" w:eastAsia="en-GB"/>
        </w:rPr>
        <w:t xml:space="preserve"> As part of the complaints process, the chair of the Tribunal </w:t>
      </w:r>
      <w:r w:rsidR="00A83878">
        <w:rPr>
          <w:rFonts w:eastAsia="Times New Roman" w:cs="Times New Roman"/>
          <w:szCs w:val="20"/>
          <w:lang w:val="en-GB" w:eastAsia="en-GB"/>
        </w:rPr>
        <w:t xml:space="preserve">(in </w:t>
      </w:r>
      <w:r w:rsidR="00A83878">
        <w:rPr>
          <w:rFonts w:eastAsia="Times New Roman" w:cs="Times New Roman"/>
          <w:szCs w:val="20"/>
          <w:lang w:val="en-GB" w:eastAsia="en-GB"/>
        </w:rPr>
        <w:lastRenderedPageBreak/>
        <w:t xml:space="preserve">consultation with some members of the Board) </w:t>
      </w:r>
      <w:r w:rsidR="009A77E0">
        <w:rPr>
          <w:rFonts w:eastAsia="Times New Roman" w:cs="Times New Roman"/>
          <w:szCs w:val="20"/>
          <w:lang w:val="en-GB" w:eastAsia="en-GB"/>
        </w:rPr>
        <w:t xml:space="preserve">may appoint a </w:t>
      </w:r>
      <w:r w:rsidR="00D9009E">
        <w:rPr>
          <w:rFonts w:eastAsia="Times New Roman" w:cs="Times New Roman"/>
          <w:szCs w:val="20"/>
          <w:lang w:val="en-GB" w:eastAsia="en-GB"/>
        </w:rPr>
        <w:t>c</w:t>
      </w:r>
      <w:r w:rsidR="009A77E0">
        <w:rPr>
          <w:rFonts w:eastAsia="Times New Roman" w:cs="Times New Roman"/>
          <w:szCs w:val="20"/>
          <w:lang w:val="en-GB" w:eastAsia="en-GB"/>
        </w:rPr>
        <w:t xml:space="preserve">omplaints </w:t>
      </w:r>
      <w:r w:rsidR="00D9009E">
        <w:rPr>
          <w:rFonts w:eastAsia="Times New Roman" w:cs="Times New Roman"/>
          <w:szCs w:val="20"/>
          <w:lang w:val="en-GB" w:eastAsia="en-GB"/>
        </w:rPr>
        <w:t>a</w:t>
      </w:r>
      <w:r w:rsidR="009A77E0">
        <w:rPr>
          <w:rFonts w:eastAsia="Times New Roman" w:cs="Times New Roman"/>
          <w:szCs w:val="20"/>
          <w:lang w:val="en-GB" w:eastAsia="en-GB"/>
        </w:rPr>
        <w:t xml:space="preserve">ssessment </w:t>
      </w:r>
      <w:r w:rsidR="00D9009E">
        <w:rPr>
          <w:rFonts w:eastAsia="Times New Roman" w:cs="Times New Roman"/>
          <w:szCs w:val="20"/>
          <w:lang w:val="en-GB" w:eastAsia="en-GB"/>
        </w:rPr>
        <w:t>c</w:t>
      </w:r>
      <w:r w:rsidR="00C92F88">
        <w:rPr>
          <w:rFonts w:eastAsia="Times New Roman" w:cs="Times New Roman"/>
          <w:szCs w:val="20"/>
          <w:lang w:val="en-GB" w:eastAsia="en-GB"/>
        </w:rPr>
        <w:t>ommittee to consider cases</w:t>
      </w:r>
      <w:r w:rsidR="00A83878">
        <w:rPr>
          <w:rStyle w:val="FootnoteReference"/>
          <w:rFonts w:eastAsia="Times New Roman" w:cs="Times New Roman"/>
          <w:szCs w:val="20"/>
          <w:lang w:val="en-GB" w:eastAsia="en-GB"/>
        </w:rPr>
        <w:footnoteReference w:id="8"/>
      </w:r>
      <w:r w:rsidR="00C92F88">
        <w:rPr>
          <w:rFonts w:eastAsia="Times New Roman" w:cs="Times New Roman"/>
          <w:szCs w:val="20"/>
          <w:lang w:val="en-GB" w:eastAsia="en-GB"/>
        </w:rPr>
        <w:t>.</w:t>
      </w:r>
      <w:r w:rsidR="00F4679C" w:rsidRPr="00F4679C">
        <w:rPr>
          <w:rFonts w:eastAsia="Times New Roman"/>
          <w:szCs w:val="20"/>
          <w:lang w:val="en-GB" w:eastAsia="en-GB"/>
        </w:rPr>
        <w:t xml:space="preserve"> </w:t>
      </w:r>
    </w:p>
    <w:p w:rsidR="00A244D4" w:rsidRDefault="00280E2B" w:rsidP="00177E1D">
      <w:pPr>
        <w:spacing w:before="240"/>
        <w:outlineLvl w:val="3"/>
        <w:rPr>
          <w:rFonts w:cstheme="minorHAnsi"/>
          <w:b/>
          <w:spacing w:val="20"/>
          <w:w w:val="90"/>
          <w:szCs w:val="20"/>
        </w:rPr>
      </w:pPr>
      <w:r w:rsidRPr="00177E1D">
        <w:rPr>
          <w:rFonts w:cstheme="minorHAnsi"/>
          <w:b/>
          <w:spacing w:val="20"/>
          <w:w w:val="90"/>
          <w:szCs w:val="20"/>
        </w:rPr>
        <w:t>Social workers in New Zealand</w:t>
      </w:r>
    </w:p>
    <w:p w:rsidR="001131B4" w:rsidRPr="001131B4" w:rsidRDefault="001131B4" w:rsidP="005B5FC6">
      <w:pPr>
        <w:numPr>
          <w:ilvl w:val="0"/>
          <w:numId w:val="25"/>
        </w:numPr>
        <w:spacing w:after="240" w:line="240" w:lineRule="auto"/>
        <w:ind w:left="567" w:hanging="567"/>
        <w:rPr>
          <w:rFonts w:eastAsia="Times New Roman" w:cs="Times New Roman"/>
          <w:szCs w:val="20"/>
          <w:lang w:val="en-GB" w:eastAsia="en-GB"/>
        </w:rPr>
      </w:pPr>
      <w:r w:rsidRPr="002F201B">
        <w:rPr>
          <w:rFonts w:eastAsia="Times New Roman"/>
          <w:szCs w:val="20"/>
          <w:lang w:val="en-GB" w:eastAsia="en-GB"/>
        </w:rPr>
        <w:t>Based on Census data, the Board estimates a workforce of around 8,000 who should be registered, meaning that approximately 2,000 people who are not currently registered are working in social work roles.</w:t>
      </w:r>
      <w:r w:rsidRPr="00937D41">
        <w:rPr>
          <w:rStyle w:val="FootnoteReference"/>
        </w:rPr>
        <w:footnoteReference w:id="9"/>
      </w:r>
    </w:p>
    <w:p w:rsidR="001131B4" w:rsidRPr="001131B4" w:rsidRDefault="001131B4"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szCs w:val="20"/>
          <w:lang w:val="en-GB" w:eastAsia="en-GB"/>
        </w:rPr>
        <w:t>The Select Committee</w:t>
      </w:r>
      <w:r w:rsidRPr="002F201B">
        <w:rPr>
          <w:rFonts w:eastAsia="Times New Roman"/>
          <w:szCs w:val="20"/>
          <w:lang w:val="en-GB" w:eastAsia="en-GB"/>
        </w:rPr>
        <w:t xml:space="preserve"> note</w:t>
      </w:r>
      <w:r>
        <w:rPr>
          <w:rFonts w:eastAsia="Times New Roman"/>
          <w:szCs w:val="20"/>
          <w:lang w:val="en-GB" w:eastAsia="en-GB"/>
        </w:rPr>
        <w:t>d</w:t>
      </w:r>
      <w:r w:rsidRPr="002F201B">
        <w:rPr>
          <w:rFonts w:eastAsia="Times New Roman"/>
          <w:szCs w:val="20"/>
          <w:lang w:val="en-GB" w:eastAsia="en-GB"/>
        </w:rPr>
        <w:t xml:space="preserve"> that the 2013 Census showed 6,128 people who identified themselves as social workers, but that around 18,000 people identified with a wider definition that covered occupations such as community, family support, and youth workers, and health promotion and disabilities services officers.  It is possible that some of these people may be undertaking social work tasks or ha</w:t>
      </w:r>
      <w:r>
        <w:rPr>
          <w:rFonts w:eastAsia="Times New Roman"/>
          <w:szCs w:val="20"/>
          <w:lang w:val="en-GB" w:eastAsia="en-GB"/>
        </w:rPr>
        <w:t xml:space="preserve">ve social work qualifications.  </w:t>
      </w:r>
    </w:p>
    <w:p w:rsidR="001131B4" w:rsidRPr="00177E1D" w:rsidRDefault="001131B4" w:rsidP="005B5FC6">
      <w:pPr>
        <w:numPr>
          <w:ilvl w:val="0"/>
          <w:numId w:val="25"/>
        </w:numPr>
        <w:spacing w:after="240" w:line="240" w:lineRule="auto"/>
        <w:ind w:left="567" w:hanging="567"/>
        <w:rPr>
          <w:rFonts w:eastAsia="Times New Roman" w:cs="Times New Roman"/>
          <w:szCs w:val="20"/>
          <w:lang w:val="en-GB" w:eastAsia="en-GB"/>
        </w:rPr>
      </w:pPr>
      <w:r w:rsidRPr="00177E1D">
        <w:rPr>
          <w:rFonts w:eastAsia="Times New Roman"/>
          <w:szCs w:val="20"/>
          <w:lang w:val="en-GB" w:eastAsia="en-GB"/>
        </w:rPr>
        <w:t>This means they have not been certified as having the requisite social work qualifications, and are not subject to on-going professional development</w:t>
      </w:r>
      <w:r>
        <w:rPr>
          <w:rFonts w:eastAsia="Times New Roman"/>
          <w:szCs w:val="20"/>
          <w:lang w:val="en-GB" w:eastAsia="en-GB"/>
        </w:rPr>
        <w:t>, supervision</w:t>
      </w:r>
      <w:r w:rsidRPr="00177E1D">
        <w:rPr>
          <w:rFonts w:eastAsia="Times New Roman"/>
          <w:szCs w:val="20"/>
          <w:lang w:val="en-GB" w:eastAsia="en-GB"/>
        </w:rPr>
        <w:t xml:space="preserve"> and disciplinary </w:t>
      </w:r>
      <w:r>
        <w:rPr>
          <w:rFonts w:eastAsia="Times New Roman"/>
          <w:szCs w:val="20"/>
          <w:lang w:val="en-GB" w:eastAsia="en-GB"/>
        </w:rPr>
        <w:t>processes</w:t>
      </w:r>
      <w:r w:rsidRPr="00177E1D">
        <w:rPr>
          <w:rFonts w:eastAsia="Times New Roman"/>
          <w:szCs w:val="20"/>
          <w:lang w:val="en-GB" w:eastAsia="en-GB"/>
        </w:rPr>
        <w:t xml:space="preserve">.  </w:t>
      </w:r>
      <w:r>
        <w:rPr>
          <w:rFonts w:eastAsia="Times New Roman"/>
          <w:szCs w:val="20"/>
          <w:lang w:val="en-GB" w:eastAsia="en-GB"/>
        </w:rPr>
        <w:t>Many</w:t>
      </w:r>
      <w:r w:rsidRPr="00177E1D">
        <w:rPr>
          <w:rFonts w:eastAsia="Times New Roman"/>
          <w:szCs w:val="20"/>
          <w:lang w:val="en-GB" w:eastAsia="en-GB"/>
        </w:rPr>
        <w:t xml:space="preserve"> of these people are likely to be appropriately qualified but choosing not to register for various reasons</w:t>
      </w:r>
      <w:r w:rsidRPr="00177E1D">
        <w:rPr>
          <w:rFonts w:ascii="Arial" w:hAnsi="Arial"/>
          <w:sz w:val="23"/>
          <w:szCs w:val="23"/>
        </w:rPr>
        <w:t xml:space="preserve">. </w:t>
      </w:r>
    </w:p>
    <w:p w:rsidR="00CA7299" w:rsidRPr="00177E1D" w:rsidRDefault="00CA7299" w:rsidP="00CA7299">
      <w:pPr>
        <w:spacing w:after="240" w:line="240" w:lineRule="auto"/>
      </w:pPr>
      <w:r w:rsidRPr="00177E1D">
        <w:rPr>
          <w:b/>
        </w:rPr>
        <w:t xml:space="preserve">Registered Social Workers by Employer to 31 </w:t>
      </w:r>
      <w:r>
        <w:rPr>
          <w:b/>
        </w:rPr>
        <w:t>March 2017</w:t>
      </w:r>
      <w:r w:rsidRPr="00177E1D">
        <w:rPr>
          <w:rStyle w:val="FootnoteReference"/>
        </w:rPr>
        <w:footnoteReference w:id="10"/>
      </w:r>
      <w:r>
        <w:rPr>
          <w:b/>
        </w:rPr>
        <w:t xml:space="preserve"> </w:t>
      </w:r>
    </w:p>
    <w:p w:rsidR="00CA7299" w:rsidRPr="00177E1D" w:rsidRDefault="00CA7299" w:rsidP="00CA7299">
      <w:pPr>
        <w:spacing w:after="240" w:line="240" w:lineRule="auto"/>
      </w:pPr>
      <w:r>
        <w:rPr>
          <w:noProof/>
          <w:lang w:eastAsia="en-NZ"/>
        </w:rPr>
        <w:drawing>
          <wp:inline distT="0" distB="0" distL="0" distR="0" wp14:anchorId="6249D458" wp14:editId="45642AA8">
            <wp:extent cx="5659395" cy="3978876"/>
            <wp:effectExtent l="0" t="0" r="1778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E562D" w:rsidRDefault="00CA7299" w:rsidP="00CA7299">
      <w:pPr>
        <w:spacing w:after="240" w:line="240" w:lineRule="auto"/>
        <w:ind w:left="567"/>
        <w:rPr>
          <w:sz w:val="16"/>
          <w:szCs w:val="16"/>
        </w:rPr>
      </w:pPr>
      <w:r>
        <w:rPr>
          <w:b/>
          <w:sz w:val="16"/>
          <w:szCs w:val="16"/>
        </w:rPr>
        <w:t>*</w:t>
      </w:r>
      <w:r w:rsidRPr="00177E1D">
        <w:rPr>
          <w:b/>
          <w:sz w:val="16"/>
          <w:szCs w:val="16"/>
        </w:rPr>
        <w:t>Other GOVT</w:t>
      </w:r>
      <w:r w:rsidRPr="00177E1D">
        <w:rPr>
          <w:sz w:val="16"/>
          <w:szCs w:val="16"/>
        </w:rPr>
        <w:t xml:space="preserve"> includes </w:t>
      </w:r>
      <w:r>
        <w:rPr>
          <w:sz w:val="16"/>
          <w:szCs w:val="16"/>
        </w:rPr>
        <w:t xml:space="preserve">various agencies such as </w:t>
      </w:r>
      <w:r w:rsidRPr="00177E1D">
        <w:rPr>
          <w:sz w:val="16"/>
          <w:szCs w:val="16"/>
        </w:rPr>
        <w:t xml:space="preserve">ACC, Department of Corrections, Ministry of </w:t>
      </w:r>
      <w:r>
        <w:rPr>
          <w:sz w:val="16"/>
          <w:szCs w:val="16"/>
        </w:rPr>
        <w:t>Social</w:t>
      </w:r>
      <w:r w:rsidRPr="00177E1D">
        <w:rPr>
          <w:sz w:val="16"/>
          <w:szCs w:val="16"/>
        </w:rPr>
        <w:t xml:space="preserve"> Development, New Zealand Police,</w:t>
      </w:r>
      <w:r>
        <w:rPr>
          <w:sz w:val="16"/>
          <w:szCs w:val="16"/>
        </w:rPr>
        <w:t xml:space="preserve"> and local government.</w:t>
      </w:r>
    </w:p>
    <w:p w:rsidR="00CA7299" w:rsidRPr="00A03A21" w:rsidRDefault="00CA7299" w:rsidP="005B5FC6">
      <w:pPr>
        <w:numPr>
          <w:ilvl w:val="0"/>
          <w:numId w:val="25"/>
        </w:numPr>
        <w:spacing w:after="240" w:line="240" w:lineRule="auto"/>
        <w:ind w:left="567" w:hanging="567"/>
      </w:pPr>
      <w:r w:rsidRPr="00177E1D">
        <w:rPr>
          <w:rFonts w:eastAsia="Times New Roman"/>
          <w:szCs w:val="20"/>
          <w:lang w:val="en-GB" w:eastAsia="en-GB"/>
        </w:rPr>
        <w:lastRenderedPageBreak/>
        <w:t xml:space="preserve">The number of registered social workers now stands at just </w:t>
      </w:r>
      <w:r>
        <w:rPr>
          <w:rFonts w:eastAsia="Times New Roman"/>
          <w:szCs w:val="20"/>
          <w:lang w:val="en-GB" w:eastAsia="en-GB"/>
        </w:rPr>
        <w:t>under</w:t>
      </w:r>
      <w:r w:rsidRPr="00177E1D">
        <w:rPr>
          <w:rFonts w:eastAsia="Times New Roman"/>
          <w:szCs w:val="20"/>
          <w:lang w:val="en-GB" w:eastAsia="en-GB"/>
        </w:rPr>
        <w:t xml:space="preserve"> 6,</w:t>
      </w:r>
      <w:r>
        <w:rPr>
          <w:rFonts w:eastAsia="Times New Roman"/>
          <w:szCs w:val="20"/>
          <w:lang w:val="en-GB" w:eastAsia="en-GB"/>
        </w:rPr>
        <w:t>3</w:t>
      </w:r>
      <w:r w:rsidRPr="00177E1D">
        <w:rPr>
          <w:rFonts w:eastAsia="Times New Roman"/>
          <w:szCs w:val="20"/>
          <w:lang w:val="en-GB" w:eastAsia="en-GB"/>
        </w:rPr>
        <w:t xml:space="preserve">00.  </w:t>
      </w:r>
      <w:r>
        <w:rPr>
          <w:rFonts w:eastAsia="Times New Roman"/>
          <w:szCs w:val="20"/>
          <w:lang w:val="en-GB" w:eastAsia="en-GB"/>
        </w:rPr>
        <w:t xml:space="preserve">The </w:t>
      </w:r>
      <w:r w:rsidRPr="007A6992">
        <w:rPr>
          <w:rFonts w:eastAsia="Times New Roman"/>
          <w:szCs w:val="20"/>
          <w:lang w:val="en-GB" w:eastAsia="en-GB"/>
        </w:rPr>
        <w:t xml:space="preserve">Ministry for Vulnerable Children, </w:t>
      </w:r>
      <w:proofErr w:type="spellStart"/>
      <w:r w:rsidRPr="007A6992">
        <w:rPr>
          <w:rFonts w:eastAsia="Times New Roman"/>
          <w:szCs w:val="20"/>
          <w:lang w:val="en-GB" w:eastAsia="en-GB"/>
        </w:rPr>
        <w:t>Oranga</w:t>
      </w:r>
      <w:proofErr w:type="spellEnd"/>
      <w:r w:rsidRPr="007A6992">
        <w:rPr>
          <w:rFonts w:eastAsia="Times New Roman"/>
          <w:szCs w:val="20"/>
          <w:lang w:val="en-GB" w:eastAsia="en-GB"/>
        </w:rPr>
        <w:t xml:space="preserve"> </w:t>
      </w:r>
      <w:proofErr w:type="spellStart"/>
      <w:r w:rsidRPr="007A6992">
        <w:rPr>
          <w:rFonts w:eastAsia="Times New Roman"/>
          <w:szCs w:val="20"/>
          <w:lang w:val="en-GB" w:eastAsia="en-GB"/>
        </w:rPr>
        <w:t>Tamariki</w:t>
      </w:r>
      <w:proofErr w:type="spellEnd"/>
      <w:r w:rsidRPr="007A6992">
        <w:rPr>
          <w:rFonts w:eastAsia="Times New Roman"/>
          <w:szCs w:val="20"/>
          <w:lang w:val="en-GB" w:eastAsia="en-GB"/>
        </w:rPr>
        <w:t xml:space="preserve"> </w:t>
      </w:r>
      <w:r>
        <w:rPr>
          <w:rFonts w:eastAsia="Times New Roman"/>
          <w:szCs w:val="20"/>
          <w:lang w:val="en-GB" w:eastAsia="en-GB"/>
        </w:rPr>
        <w:t xml:space="preserve">(MVCOT) and </w:t>
      </w:r>
      <w:r w:rsidRPr="00177E1D">
        <w:rPr>
          <w:rFonts w:eastAsia="Times New Roman"/>
          <w:szCs w:val="20"/>
          <w:lang w:val="en-GB" w:eastAsia="en-GB"/>
        </w:rPr>
        <w:t>the District Health Boards</w:t>
      </w:r>
      <w:r w:rsidR="003B0745">
        <w:rPr>
          <w:rFonts w:eastAsia="Times New Roman"/>
          <w:szCs w:val="20"/>
          <w:lang w:val="en-GB" w:eastAsia="en-GB"/>
        </w:rPr>
        <w:t xml:space="preserve"> (DHBs)</w:t>
      </w:r>
      <w:r w:rsidRPr="00177E1D">
        <w:rPr>
          <w:rFonts w:eastAsia="Times New Roman"/>
          <w:szCs w:val="20"/>
          <w:lang w:val="en-GB" w:eastAsia="en-GB"/>
        </w:rPr>
        <w:t xml:space="preserve"> </w:t>
      </w:r>
      <w:r>
        <w:rPr>
          <w:rFonts w:eastAsia="Times New Roman"/>
          <w:szCs w:val="20"/>
          <w:lang w:val="en-GB" w:eastAsia="en-GB"/>
        </w:rPr>
        <w:t>are</w:t>
      </w:r>
      <w:r w:rsidRPr="00177E1D">
        <w:rPr>
          <w:rFonts w:eastAsia="Times New Roman"/>
          <w:szCs w:val="20"/>
          <w:lang w:val="en-GB" w:eastAsia="en-GB"/>
        </w:rPr>
        <w:t xml:space="preserve"> the </w:t>
      </w:r>
      <w:r>
        <w:rPr>
          <w:rFonts w:eastAsia="Times New Roman"/>
          <w:szCs w:val="20"/>
          <w:lang w:val="en-GB" w:eastAsia="en-GB"/>
        </w:rPr>
        <w:t xml:space="preserve">two </w:t>
      </w:r>
      <w:r w:rsidRPr="00177E1D">
        <w:rPr>
          <w:rFonts w:eastAsia="Times New Roman"/>
          <w:szCs w:val="20"/>
          <w:lang w:val="en-GB" w:eastAsia="en-GB"/>
        </w:rPr>
        <w:t xml:space="preserve">largest </w:t>
      </w:r>
      <w:r>
        <w:rPr>
          <w:rFonts w:eastAsia="Times New Roman"/>
          <w:szCs w:val="20"/>
          <w:lang w:val="en-GB" w:eastAsia="en-GB"/>
        </w:rPr>
        <w:t xml:space="preserve">government </w:t>
      </w:r>
      <w:r w:rsidRPr="00177E1D">
        <w:rPr>
          <w:rFonts w:eastAsia="Times New Roman"/>
          <w:szCs w:val="20"/>
          <w:lang w:val="en-GB" w:eastAsia="en-GB"/>
        </w:rPr>
        <w:t>employer</w:t>
      </w:r>
      <w:r>
        <w:rPr>
          <w:rFonts w:eastAsia="Times New Roman"/>
          <w:szCs w:val="20"/>
          <w:lang w:val="en-GB" w:eastAsia="en-GB"/>
        </w:rPr>
        <w:t xml:space="preserve"> groups</w:t>
      </w:r>
      <w:r w:rsidRPr="00177E1D">
        <w:rPr>
          <w:rFonts w:eastAsia="Times New Roman"/>
          <w:szCs w:val="20"/>
          <w:lang w:val="en-GB" w:eastAsia="en-GB"/>
        </w:rPr>
        <w:t xml:space="preserve">, </w:t>
      </w:r>
      <w:r>
        <w:rPr>
          <w:rFonts w:eastAsia="Times New Roman"/>
          <w:szCs w:val="20"/>
          <w:lang w:val="en-GB" w:eastAsia="en-GB"/>
        </w:rPr>
        <w:t xml:space="preserve">each employing 23% of registered social workers.  The highest </w:t>
      </w:r>
      <w:proofErr w:type="gramStart"/>
      <w:r>
        <w:rPr>
          <w:rFonts w:eastAsia="Times New Roman"/>
          <w:szCs w:val="20"/>
          <w:lang w:val="en-GB" w:eastAsia="en-GB"/>
        </w:rPr>
        <w:t>proportion (30%) of social workers are</w:t>
      </w:r>
      <w:proofErr w:type="gramEnd"/>
      <w:r w:rsidRPr="00177E1D">
        <w:rPr>
          <w:rFonts w:eastAsia="Times New Roman"/>
          <w:szCs w:val="20"/>
          <w:lang w:val="en-GB" w:eastAsia="en-GB"/>
        </w:rPr>
        <w:t xml:space="preserve"> employed by NGOs, but m</w:t>
      </w:r>
      <w:r>
        <w:rPr>
          <w:rFonts w:eastAsia="Times New Roman"/>
          <w:szCs w:val="20"/>
          <w:lang w:val="en-GB" w:eastAsia="en-GB"/>
        </w:rPr>
        <w:t>ost</w:t>
      </w:r>
      <w:r w:rsidRPr="00177E1D">
        <w:rPr>
          <w:rFonts w:eastAsia="Times New Roman"/>
          <w:szCs w:val="20"/>
          <w:lang w:val="en-GB" w:eastAsia="en-GB"/>
        </w:rPr>
        <w:t xml:space="preserve"> of these </w:t>
      </w:r>
      <w:r w:rsidR="009A1C49">
        <w:rPr>
          <w:rFonts w:eastAsia="Times New Roman"/>
          <w:szCs w:val="20"/>
          <w:lang w:val="en-GB" w:eastAsia="en-GB"/>
        </w:rPr>
        <w:t>are</w:t>
      </w:r>
      <w:r w:rsidRPr="00177E1D">
        <w:rPr>
          <w:rFonts w:eastAsia="Times New Roman"/>
          <w:szCs w:val="20"/>
          <w:lang w:val="en-GB" w:eastAsia="en-GB"/>
        </w:rPr>
        <w:t xml:space="preserve"> employed to provide social work services under government contracts, primarily from </w:t>
      </w:r>
      <w:r w:rsidR="003B0745">
        <w:rPr>
          <w:rFonts w:eastAsia="Times New Roman"/>
          <w:szCs w:val="20"/>
          <w:lang w:val="en-GB" w:eastAsia="en-GB"/>
        </w:rPr>
        <w:t xml:space="preserve">MVCOT, </w:t>
      </w:r>
      <w:r w:rsidRPr="00177E1D">
        <w:rPr>
          <w:rFonts w:eastAsia="Times New Roman"/>
          <w:szCs w:val="20"/>
          <w:lang w:val="en-GB" w:eastAsia="en-GB"/>
        </w:rPr>
        <w:t>MSD</w:t>
      </w:r>
      <w:r w:rsidR="003B0745">
        <w:rPr>
          <w:rFonts w:eastAsia="Times New Roman"/>
          <w:szCs w:val="20"/>
          <w:lang w:val="en-GB" w:eastAsia="en-GB"/>
        </w:rPr>
        <w:t xml:space="preserve"> </w:t>
      </w:r>
      <w:r w:rsidR="003B0745" w:rsidRPr="009A1C49">
        <w:rPr>
          <w:rFonts w:eastAsia="Times New Roman"/>
          <w:szCs w:val="20"/>
          <w:lang w:val="en-GB" w:eastAsia="en-GB"/>
        </w:rPr>
        <w:t>and DHBs</w:t>
      </w:r>
      <w:r>
        <w:rPr>
          <w:rFonts w:eastAsia="Times New Roman"/>
          <w:szCs w:val="20"/>
          <w:lang w:val="en-GB" w:eastAsia="en-GB"/>
        </w:rPr>
        <w:t>.</w:t>
      </w:r>
    </w:p>
    <w:p w:rsidR="00CA7299" w:rsidRPr="00244C2E" w:rsidRDefault="00CA7299" w:rsidP="005B5FC6">
      <w:pPr>
        <w:numPr>
          <w:ilvl w:val="0"/>
          <w:numId w:val="25"/>
        </w:numPr>
        <w:spacing w:after="240" w:line="240" w:lineRule="auto"/>
        <w:ind w:left="567" w:hanging="567"/>
      </w:pPr>
      <w:r w:rsidRPr="00244C2E">
        <w:rPr>
          <w:rFonts w:eastAsia="Times New Roman"/>
          <w:szCs w:val="20"/>
          <w:lang w:val="en-GB" w:eastAsia="en-GB"/>
        </w:rPr>
        <w:t>Government agencies report that 95% of their directly employed social workers are registered.  Government agencies have existing employment practices in place that ensure new social work employees will be registered, or are able to become registered within a reasonable period.  In addition, many government contracts with NGOs for social work services specify that the social workers employed should be registered, or are “</w:t>
      </w:r>
      <w:proofErr w:type="spellStart"/>
      <w:r w:rsidR="005E562D">
        <w:rPr>
          <w:rFonts w:eastAsia="Times New Roman"/>
          <w:szCs w:val="20"/>
          <w:lang w:val="en-GB" w:eastAsia="en-GB"/>
        </w:rPr>
        <w:t>registrable</w:t>
      </w:r>
      <w:proofErr w:type="spellEnd"/>
      <w:r w:rsidRPr="00244C2E">
        <w:rPr>
          <w:rFonts w:eastAsia="Times New Roman"/>
          <w:szCs w:val="20"/>
          <w:lang w:val="en-GB" w:eastAsia="en-GB"/>
        </w:rPr>
        <w:t>”, meaning that they sufficiently qualified and experienced to enable them to be registered.</w:t>
      </w:r>
    </w:p>
    <w:p w:rsidR="00CA7299" w:rsidRPr="0070056F" w:rsidRDefault="00CA7299" w:rsidP="005B5FC6">
      <w:pPr>
        <w:numPr>
          <w:ilvl w:val="0"/>
          <w:numId w:val="25"/>
        </w:numPr>
        <w:spacing w:after="240" w:line="240" w:lineRule="auto"/>
        <w:ind w:left="567" w:hanging="567"/>
      </w:pPr>
      <w:r>
        <w:rPr>
          <w:rFonts w:eastAsia="Times New Roman"/>
          <w:szCs w:val="20"/>
          <w:lang w:val="en-GB" w:eastAsia="en-GB"/>
        </w:rPr>
        <w:t>It is the “</w:t>
      </w:r>
      <w:proofErr w:type="spellStart"/>
      <w:r w:rsidR="005E562D">
        <w:rPr>
          <w:rFonts w:eastAsia="Times New Roman"/>
          <w:szCs w:val="20"/>
          <w:lang w:val="en-GB" w:eastAsia="en-GB"/>
        </w:rPr>
        <w:t>registrable</w:t>
      </w:r>
      <w:proofErr w:type="spellEnd"/>
      <w:r>
        <w:rPr>
          <w:rFonts w:eastAsia="Times New Roman"/>
          <w:szCs w:val="20"/>
          <w:lang w:val="en-GB" w:eastAsia="en-GB"/>
        </w:rPr>
        <w:t xml:space="preserve">” aspect that gives rise to the ambiguity that allows unregistered social workers to currently operate.  </w:t>
      </w:r>
      <w:r w:rsidR="0032380E">
        <w:rPr>
          <w:rFonts w:eastAsia="Times New Roman"/>
          <w:szCs w:val="20"/>
          <w:lang w:val="en-GB" w:eastAsia="en-GB"/>
        </w:rPr>
        <w:t>After investigating</w:t>
      </w:r>
      <w:r>
        <w:rPr>
          <w:rFonts w:eastAsia="Times New Roman"/>
          <w:szCs w:val="20"/>
          <w:lang w:val="en-GB" w:eastAsia="en-GB"/>
        </w:rPr>
        <w:t xml:space="preserve"> contracts that </w:t>
      </w:r>
      <w:r w:rsidR="0032380E">
        <w:rPr>
          <w:rFonts w:eastAsia="Times New Roman"/>
          <w:szCs w:val="20"/>
          <w:lang w:val="en-GB" w:eastAsia="en-GB"/>
        </w:rPr>
        <w:t>allow</w:t>
      </w:r>
      <w:r>
        <w:rPr>
          <w:rFonts w:eastAsia="Times New Roman"/>
          <w:szCs w:val="20"/>
          <w:lang w:val="en-GB" w:eastAsia="en-GB"/>
        </w:rPr>
        <w:t xml:space="preserve"> </w:t>
      </w:r>
      <w:r w:rsidR="0032380E">
        <w:rPr>
          <w:rFonts w:eastAsia="Times New Roman"/>
          <w:szCs w:val="20"/>
          <w:lang w:val="en-GB" w:eastAsia="en-GB"/>
        </w:rPr>
        <w:t xml:space="preserve">for </w:t>
      </w:r>
      <w:r>
        <w:rPr>
          <w:rFonts w:eastAsia="Times New Roman"/>
          <w:szCs w:val="20"/>
          <w:lang w:val="en-GB" w:eastAsia="en-GB"/>
        </w:rPr>
        <w:t>“</w:t>
      </w:r>
      <w:proofErr w:type="spellStart"/>
      <w:r w:rsidR="005E562D">
        <w:rPr>
          <w:rFonts w:eastAsia="Times New Roman"/>
          <w:szCs w:val="20"/>
          <w:lang w:val="en-GB" w:eastAsia="en-GB"/>
        </w:rPr>
        <w:t>registrable</w:t>
      </w:r>
      <w:proofErr w:type="spellEnd"/>
      <w:r>
        <w:rPr>
          <w:rFonts w:eastAsia="Times New Roman"/>
          <w:szCs w:val="20"/>
          <w:lang w:val="en-GB" w:eastAsia="en-GB"/>
        </w:rPr>
        <w:t xml:space="preserve">” </w:t>
      </w:r>
      <w:r w:rsidR="0032380E">
        <w:rPr>
          <w:rFonts w:eastAsia="Times New Roman"/>
          <w:szCs w:val="20"/>
          <w:lang w:val="en-GB" w:eastAsia="en-GB"/>
        </w:rPr>
        <w:t>as well as registered social workers</w:t>
      </w:r>
      <w:r>
        <w:rPr>
          <w:rFonts w:eastAsia="Times New Roman"/>
          <w:szCs w:val="20"/>
          <w:lang w:val="en-GB" w:eastAsia="en-GB"/>
        </w:rPr>
        <w:t xml:space="preserve">, </w:t>
      </w:r>
      <w:r w:rsidR="0032380E">
        <w:rPr>
          <w:rFonts w:eastAsia="Times New Roman"/>
          <w:szCs w:val="20"/>
          <w:lang w:val="en-GB" w:eastAsia="en-GB"/>
        </w:rPr>
        <w:t>we</w:t>
      </w:r>
      <w:r>
        <w:rPr>
          <w:rFonts w:eastAsia="Times New Roman"/>
          <w:szCs w:val="20"/>
          <w:lang w:val="en-GB" w:eastAsia="en-GB"/>
        </w:rPr>
        <w:t xml:space="preserve"> estimate that only 70% of NGO employed social workers are registered.  This shows that government agencies have capacity to further encourage the registration of social workers in NGOs by being more explicit in their contracting, requiring </w:t>
      </w:r>
      <w:r w:rsidR="0032380E">
        <w:rPr>
          <w:rFonts w:eastAsia="Times New Roman"/>
          <w:szCs w:val="20"/>
          <w:lang w:val="en-GB" w:eastAsia="en-GB"/>
        </w:rPr>
        <w:t xml:space="preserve">that </w:t>
      </w:r>
      <w:r>
        <w:rPr>
          <w:rFonts w:eastAsia="Times New Roman"/>
          <w:szCs w:val="20"/>
          <w:lang w:val="en-GB" w:eastAsia="en-GB"/>
        </w:rPr>
        <w:t xml:space="preserve">all social workers providing services are appropriately qualified and registered. </w:t>
      </w:r>
    </w:p>
    <w:p w:rsidR="00CA7299" w:rsidRPr="004664AE" w:rsidRDefault="00CA7299" w:rsidP="005B5FC6">
      <w:pPr>
        <w:numPr>
          <w:ilvl w:val="0"/>
          <w:numId w:val="25"/>
        </w:numPr>
        <w:spacing w:after="240" w:line="240" w:lineRule="auto"/>
        <w:ind w:left="567" w:hanging="567"/>
      </w:pPr>
      <w:r>
        <w:rPr>
          <w:rFonts w:eastAsia="Times New Roman"/>
          <w:szCs w:val="20"/>
          <w:lang w:val="en-GB" w:eastAsia="en-GB"/>
        </w:rPr>
        <w:t xml:space="preserve">This 70% estimate was based on </w:t>
      </w:r>
      <w:r w:rsidRPr="00D1058A">
        <w:rPr>
          <w:rFonts w:eastAsia="Times New Roman"/>
          <w:szCs w:val="20"/>
          <w:lang w:val="en-GB" w:eastAsia="en-GB"/>
        </w:rPr>
        <w:t>information sourced f</w:t>
      </w:r>
      <w:r>
        <w:rPr>
          <w:rFonts w:eastAsia="Times New Roman"/>
          <w:szCs w:val="20"/>
          <w:lang w:val="en-GB" w:eastAsia="en-GB"/>
        </w:rPr>
        <w:t>rom various government agencies</w:t>
      </w:r>
      <w:r w:rsidRPr="00D1058A">
        <w:rPr>
          <w:rFonts w:eastAsia="Times New Roman"/>
          <w:szCs w:val="20"/>
          <w:lang w:val="en-GB" w:eastAsia="en-GB"/>
        </w:rPr>
        <w:t xml:space="preserve"> </w:t>
      </w:r>
      <w:r>
        <w:rPr>
          <w:rFonts w:eastAsia="Times New Roman"/>
          <w:szCs w:val="20"/>
          <w:lang w:val="en-GB" w:eastAsia="en-GB"/>
        </w:rPr>
        <w:t xml:space="preserve">showing that of the 500 NGOs known to be employing registered social workers, </w:t>
      </w:r>
      <w:r w:rsidRPr="00D1058A">
        <w:rPr>
          <w:rFonts w:eastAsia="Times New Roman"/>
          <w:szCs w:val="20"/>
          <w:lang w:val="en-GB" w:eastAsia="en-GB"/>
        </w:rPr>
        <w:t>the 13 largest NGO employers have over 700 registe</w:t>
      </w:r>
      <w:r>
        <w:rPr>
          <w:rFonts w:eastAsia="Times New Roman"/>
          <w:szCs w:val="20"/>
          <w:lang w:val="en-GB" w:eastAsia="en-GB"/>
        </w:rPr>
        <w:t>red social workers between them (over a third of all the NGO employed registered social workers)</w:t>
      </w:r>
      <w:r w:rsidR="0032380E">
        <w:rPr>
          <w:rFonts w:eastAsia="Times New Roman"/>
          <w:szCs w:val="20"/>
          <w:lang w:val="en-GB" w:eastAsia="en-GB"/>
        </w:rPr>
        <w:t>.  Th</w:t>
      </w:r>
      <w:r w:rsidRPr="00D1058A">
        <w:rPr>
          <w:rFonts w:eastAsia="Times New Roman"/>
          <w:szCs w:val="20"/>
          <w:lang w:val="en-GB" w:eastAsia="en-GB"/>
        </w:rPr>
        <w:t xml:space="preserve">ese same organisations have almost 310 unregistered social workers, </w:t>
      </w:r>
      <w:r>
        <w:rPr>
          <w:rFonts w:eastAsia="Times New Roman"/>
          <w:szCs w:val="20"/>
          <w:lang w:val="en-GB" w:eastAsia="en-GB"/>
        </w:rPr>
        <w:t>which equates</w:t>
      </w:r>
      <w:r w:rsidR="00C04C50">
        <w:rPr>
          <w:rFonts w:eastAsia="Times New Roman"/>
          <w:szCs w:val="20"/>
          <w:lang w:val="en-GB" w:eastAsia="en-GB"/>
        </w:rPr>
        <w:t xml:space="preserve"> to 30</w:t>
      </w:r>
      <w:r w:rsidRPr="00D1058A">
        <w:rPr>
          <w:rFonts w:eastAsia="Times New Roman"/>
          <w:szCs w:val="20"/>
          <w:lang w:val="en-GB" w:eastAsia="en-GB"/>
        </w:rPr>
        <w:t>% of their social work staff</w:t>
      </w:r>
      <w:r>
        <w:rPr>
          <w:rFonts w:eastAsia="Times New Roman"/>
          <w:szCs w:val="20"/>
          <w:lang w:val="en-GB" w:eastAsia="en-GB"/>
        </w:rPr>
        <w:t xml:space="preserve"> being unregistered</w:t>
      </w:r>
      <w:r w:rsidRPr="00D1058A">
        <w:rPr>
          <w:rFonts w:eastAsia="Times New Roman"/>
          <w:szCs w:val="20"/>
          <w:lang w:val="en-GB" w:eastAsia="en-GB"/>
        </w:rPr>
        <w:t xml:space="preserve">.  </w:t>
      </w:r>
    </w:p>
    <w:p w:rsidR="00CA7299" w:rsidRDefault="00CA7299" w:rsidP="005B5FC6">
      <w:pPr>
        <w:numPr>
          <w:ilvl w:val="0"/>
          <w:numId w:val="25"/>
        </w:numPr>
        <w:spacing w:after="240" w:line="240" w:lineRule="auto"/>
        <w:ind w:left="567" w:hanging="567"/>
      </w:pPr>
      <w:r>
        <w:rPr>
          <w:rFonts w:eastAsia="Times New Roman"/>
          <w:szCs w:val="20"/>
          <w:lang w:val="en-GB" w:eastAsia="en-GB"/>
        </w:rPr>
        <w:t>Information from smaller NGOs shows even higher levels of unregistered social workers</w:t>
      </w:r>
      <w:r w:rsidR="0032380E">
        <w:rPr>
          <w:rFonts w:eastAsia="Times New Roman"/>
          <w:szCs w:val="20"/>
          <w:lang w:val="en-GB" w:eastAsia="en-GB"/>
        </w:rPr>
        <w:t>, including more</w:t>
      </w:r>
      <w:r w:rsidR="0032380E" w:rsidRPr="0032380E">
        <w:rPr>
          <w:rFonts w:eastAsia="Times New Roman"/>
          <w:szCs w:val="20"/>
          <w:lang w:val="en-GB" w:eastAsia="en-GB"/>
        </w:rPr>
        <w:t xml:space="preserve"> </w:t>
      </w:r>
      <w:r w:rsidR="0032380E" w:rsidRPr="00293B0B">
        <w:rPr>
          <w:rFonts w:eastAsia="Times New Roman"/>
          <w:szCs w:val="20"/>
          <w:lang w:val="en-GB" w:eastAsia="en-GB"/>
        </w:rPr>
        <w:t>without a formal or recognised social work qualification.</w:t>
      </w:r>
      <w:r w:rsidR="0032380E">
        <w:rPr>
          <w:rFonts w:eastAsia="Times New Roman"/>
          <w:szCs w:val="20"/>
          <w:lang w:val="en-GB" w:eastAsia="en-GB"/>
        </w:rPr>
        <w:t xml:space="preserve"> </w:t>
      </w:r>
      <w:r>
        <w:rPr>
          <w:rFonts w:eastAsia="Times New Roman"/>
          <w:szCs w:val="20"/>
          <w:lang w:val="en-GB" w:eastAsia="en-GB"/>
        </w:rPr>
        <w:t xml:space="preserve"> There are 485 NGOs known to employ around 900 registered social wo</w:t>
      </w:r>
      <w:r w:rsidR="0032380E">
        <w:rPr>
          <w:rFonts w:eastAsia="Times New Roman"/>
          <w:szCs w:val="20"/>
          <w:lang w:val="en-GB" w:eastAsia="en-GB"/>
        </w:rPr>
        <w:t>rkers, most of which only have one or two</w:t>
      </w:r>
      <w:r>
        <w:rPr>
          <w:rFonts w:eastAsia="Times New Roman"/>
          <w:szCs w:val="20"/>
          <w:lang w:val="en-GB" w:eastAsia="en-GB"/>
        </w:rPr>
        <w:t xml:space="preserve"> registered social workers on staff.</w:t>
      </w:r>
      <w:r w:rsidR="0032380E">
        <w:rPr>
          <w:rFonts w:eastAsia="Times New Roman"/>
          <w:szCs w:val="20"/>
          <w:lang w:val="en-GB" w:eastAsia="en-GB"/>
        </w:rPr>
        <w:t xml:space="preserve">  For some of these NGOs, that one</w:t>
      </w:r>
      <w:r>
        <w:rPr>
          <w:rFonts w:eastAsia="Times New Roman"/>
          <w:szCs w:val="20"/>
          <w:lang w:val="en-GB" w:eastAsia="en-GB"/>
        </w:rPr>
        <w:t xml:space="preserve"> registered socia</w:t>
      </w:r>
      <w:r w:rsidR="0032380E">
        <w:rPr>
          <w:rFonts w:eastAsia="Times New Roman"/>
          <w:szCs w:val="20"/>
          <w:lang w:val="en-GB" w:eastAsia="en-GB"/>
        </w:rPr>
        <w:t>l worker is overseeing between two and five</w:t>
      </w:r>
      <w:r>
        <w:rPr>
          <w:rFonts w:eastAsia="Times New Roman"/>
          <w:szCs w:val="20"/>
          <w:lang w:val="en-GB" w:eastAsia="en-GB"/>
        </w:rPr>
        <w:t xml:space="preserve"> unregistered staff providing social worker services, and some of those are also unqualified in social work. </w:t>
      </w:r>
      <w:r w:rsidR="0032380E">
        <w:rPr>
          <w:rFonts w:eastAsia="Times New Roman"/>
          <w:szCs w:val="20"/>
          <w:lang w:val="en-GB" w:eastAsia="en-GB"/>
        </w:rPr>
        <w:t xml:space="preserve"> </w:t>
      </w:r>
      <w:r>
        <w:rPr>
          <w:rFonts w:eastAsia="Times New Roman"/>
          <w:szCs w:val="20"/>
          <w:lang w:val="en-GB" w:eastAsia="en-GB"/>
        </w:rPr>
        <w:t xml:space="preserve">Although anecdotal, this </w:t>
      </w:r>
      <w:r w:rsidR="0032380E">
        <w:rPr>
          <w:rFonts w:eastAsia="Times New Roman"/>
          <w:szCs w:val="20"/>
          <w:lang w:val="en-GB" w:eastAsia="en-GB"/>
        </w:rPr>
        <w:t>suggests</w:t>
      </w:r>
      <w:r>
        <w:rPr>
          <w:rFonts w:eastAsia="Times New Roman"/>
          <w:szCs w:val="20"/>
          <w:lang w:val="en-GB" w:eastAsia="en-GB"/>
        </w:rPr>
        <w:t xml:space="preserve"> some NGOs </w:t>
      </w:r>
      <w:r w:rsidR="0032380E">
        <w:rPr>
          <w:rFonts w:eastAsia="Times New Roman"/>
          <w:szCs w:val="20"/>
          <w:lang w:val="en-GB" w:eastAsia="en-GB"/>
        </w:rPr>
        <w:t xml:space="preserve">have </w:t>
      </w:r>
      <w:r>
        <w:rPr>
          <w:rFonts w:eastAsia="Times New Roman"/>
          <w:szCs w:val="20"/>
          <w:lang w:val="en-GB" w:eastAsia="en-GB"/>
        </w:rPr>
        <w:t>more than 50% of their social work staff being unregistered.</w:t>
      </w:r>
    </w:p>
    <w:p w:rsidR="001131B4" w:rsidRPr="001131B4" w:rsidRDefault="001131B4" w:rsidP="005B5FC6">
      <w:pPr>
        <w:numPr>
          <w:ilvl w:val="0"/>
          <w:numId w:val="25"/>
        </w:numPr>
        <w:spacing w:after="240" w:line="240" w:lineRule="auto"/>
        <w:ind w:left="567" w:hanging="567"/>
      </w:pPr>
      <w:r w:rsidRPr="00177E1D">
        <w:rPr>
          <w:rFonts w:eastAsia="Times New Roman"/>
          <w:szCs w:val="20"/>
          <w:lang w:val="en-GB" w:eastAsia="en-GB"/>
        </w:rPr>
        <w:t>On the basis of estimates</w:t>
      </w:r>
      <w:r>
        <w:rPr>
          <w:rFonts w:eastAsia="Times New Roman"/>
          <w:szCs w:val="20"/>
          <w:lang w:val="en-GB" w:eastAsia="en-GB"/>
        </w:rPr>
        <w:t xml:space="preserve"> derived from available information (provided by the Board, </w:t>
      </w:r>
      <w:proofErr w:type="spellStart"/>
      <w:r w:rsidR="00D97D37" w:rsidRPr="00177E1D">
        <w:t>Aotearoa</w:t>
      </w:r>
      <w:proofErr w:type="spellEnd"/>
      <w:r w:rsidR="00D97D37" w:rsidRPr="00177E1D">
        <w:t xml:space="preserve"> New Zealand Association of Social Workers (ANZASW)</w:t>
      </w:r>
      <w:r>
        <w:rPr>
          <w:rFonts w:eastAsia="Times New Roman"/>
          <w:szCs w:val="20"/>
          <w:lang w:val="en-GB" w:eastAsia="en-GB"/>
        </w:rPr>
        <w:t>, government agencies and some NGOs)</w:t>
      </w:r>
      <w:r w:rsidRPr="00177E1D">
        <w:rPr>
          <w:rFonts w:eastAsia="Times New Roman"/>
          <w:szCs w:val="20"/>
          <w:lang w:val="en-GB" w:eastAsia="en-GB"/>
        </w:rPr>
        <w:t xml:space="preserve">, officials consider that there are approximately 2,000 people likely to be operating as social workers who are not currently registered.  </w:t>
      </w:r>
    </w:p>
    <w:p w:rsidR="00CA7299" w:rsidRPr="00293B0B" w:rsidRDefault="00413DE7" w:rsidP="005B5FC6">
      <w:pPr>
        <w:numPr>
          <w:ilvl w:val="0"/>
          <w:numId w:val="25"/>
        </w:numPr>
        <w:spacing w:after="240" w:line="240" w:lineRule="auto"/>
        <w:ind w:left="567" w:hanging="567"/>
      </w:pPr>
      <w:r>
        <w:rPr>
          <w:rFonts w:eastAsia="Times New Roman"/>
          <w:szCs w:val="20"/>
          <w:lang w:val="en-GB" w:eastAsia="en-GB"/>
        </w:rPr>
        <w:t>Information from t</w:t>
      </w:r>
      <w:r w:rsidR="00CA7299" w:rsidRPr="00177E1D">
        <w:t xml:space="preserve">he </w:t>
      </w:r>
      <w:r w:rsidR="00D97D37">
        <w:rPr>
          <w:rFonts w:eastAsia="Times New Roman"/>
          <w:szCs w:val="20"/>
          <w:lang w:val="en-GB" w:eastAsia="en-GB"/>
        </w:rPr>
        <w:t>ANZASW</w:t>
      </w:r>
      <w:r w:rsidR="00D97D37" w:rsidRPr="00177E1D" w:rsidDel="00D97D37">
        <w:t xml:space="preserve"> </w:t>
      </w:r>
      <w:r w:rsidR="00CA7299">
        <w:t xml:space="preserve">advises as at 31 March 2017 that </w:t>
      </w:r>
      <w:r w:rsidR="00CA7299" w:rsidRPr="00177E1D">
        <w:t>of</w:t>
      </w:r>
      <w:r w:rsidR="00CA7299">
        <w:t xml:space="preserve"> the 24</w:t>
      </w:r>
      <w:r w:rsidR="00CA7299" w:rsidRPr="00177E1D">
        <w:t xml:space="preserve">% </w:t>
      </w:r>
      <w:r w:rsidR="00CA7299">
        <w:t xml:space="preserve">of </w:t>
      </w:r>
      <w:r w:rsidR="00CA7299" w:rsidRPr="00177E1D">
        <w:t xml:space="preserve">their members </w:t>
      </w:r>
      <w:r w:rsidR="00CA7299">
        <w:t>not registered with the Board:</w:t>
      </w:r>
    </w:p>
    <w:p w:rsidR="00CA7299" w:rsidRPr="00B21BCC" w:rsidRDefault="00CA7299" w:rsidP="005B5FC6">
      <w:pPr>
        <w:numPr>
          <w:ilvl w:val="0"/>
          <w:numId w:val="27"/>
        </w:numPr>
        <w:spacing w:after="240" w:line="240" w:lineRule="auto"/>
        <w:ind w:left="1134" w:hanging="425"/>
        <w:rPr>
          <w:rFonts w:eastAsia="Times New Roman"/>
          <w:szCs w:val="20"/>
          <w:lang w:val="en-GB" w:eastAsia="en-GB"/>
        </w:rPr>
      </w:pPr>
      <w:r>
        <w:t>59%</w:t>
      </w:r>
      <w:r w:rsidRPr="00177E1D">
        <w:t xml:space="preserve"> have </w:t>
      </w:r>
      <w:r w:rsidR="0094357E">
        <w:t>appropriate</w:t>
      </w:r>
      <w:r w:rsidR="00610BF3">
        <w:t xml:space="preserve"> </w:t>
      </w:r>
      <w:r w:rsidRPr="00177E1D">
        <w:t xml:space="preserve">qualifications to be registered </w:t>
      </w:r>
      <w:r>
        <w:t>but are not</w:t>
      </w:r>
      <w:r w:rsidRPr="00177E1D">
        <w:rPr>
          <w:rStyle w:val="FootnoteReference"/>
        </w:rPr>
        <w:footnoteReference w:id="11"/>
      </w:r>
      <w:r w:rsidRPr="00177E1D">
        <w:rPr>
          <w:rStyle w:val="FootnoteReference"/>
        </w:rPr>
        <w:t xml:space="preserve"> </w:t>
      </w:r>
      <w:r w:rsidRPr="00177E1D">
        <w:rPr>
          <w:rFonts w:ascii="Arial" w:hAnsi="Arial"/>
          <w:sz w:val="23"/>
          <w:szCs w:val="23"/>
        </w:rPr>
        <w:t xml:space="preserve"> </w:t>
      </w:r>
    </w:p>
    <w:p w:rsidR="00CA7299" w:rsidRDefault="00CA7299" w:rsidP="005B5FC6">
      <w:pPr>
        <w:numPr>
          <w:ilvl w:val="0"/>
          <w:numId w:val="27"/>
        </w:numPr>
        <w:spacing w:after="240" w:line="240" w:lineRule="auto"/>
        <w:ind w:left="1134" w:hanging="425"/>
        <w:rPr>
          <w:rFonts w:eastAsia="Times New Roman"/>
          <w:szCs w:val="20"/>
          <w:lang w:val="en-GB" w:eastAsia="en-GB"/>
        </w:rPr>
      </w:pPr>
      <w:r>
        <w:t xml:space="preserve">16% have no qualification, but are </w:t>
      </w:r>
      <w:r w:rsidRPr="00413DE7">
        <w:rPr>
          <w:u w:val="single"/>
        </w:rPr>
        <w:t>likely</w:t>
      </w:r>
      <w:r>
        <w:t xml:space="preserve"> to have sufficient experience</w:t>
      </w:r>
      <w:r w:rsidRPr="00177E1D">
        <w:t xml:space="preserve"> </w:t>
      </w:r>
      <w:r>
        <w:t xml:space="preserve">to qualify for registration </w:t>
      </w:r>
      <w:r w:rsidRPr="00177E1D">
        <w:t>via the section 13 route</w:t>
      </w:r>
      <w:r w:rsidRPr="00177E1D">
        <w:rPr>
          <w:rStyle w:val="FootnoteReference"/>
          <w:rFonts w:eastAsia="Times New Roman"/>
          <w:szCs w:val="20"/>
          <w:lang w:val="en-GB" w:eastAsia="en-GB"/>
        </w:rPr>
        <w:footnoteReference w:id="12"/>
      </w:r>
    </w:p>
    <w:p w:rsidR="00CA7299" w:rsidRPr="00293B0B" w:rsidRDefault="00CA7299" w:rsidP="005B5FC6">
      <w:pPr>
        <w:numPr>
          <w:ilvl w:val="0"/>
          <w:numId w:val="27"/>
        </w:numPr>
        <w:spacing w:after="240" w:line="240" w:lineRule="auto"/>
        <w:ind w:left="1134" w:hanging="425"/>
        <w:rPr>
          <w:rFonts w:eastAsia="Times New Roman"/>
          <w:szCs w:val="20"/>
          <w:lang w:val="en-GB" w:eastAsia="en-GB"/>
        </w:rPr>
      </w:pPr>
      <w:r>
        <w:rPr>
          <w:rFonts w:eastAsia="Times New Roman"/>
          <w:szCs w:val="20"/>
          <w:lang w:val="en-GB" w:eastAsia="en-GB"/>
        </w:rPr>
        <w:lastRenderedPageBreak/>
        <w:t xml:space="preserve">6% have no qualification, and are </w:t>
      </w:r>
      <w:r w:rsidRPr="00413DE7">
        <w:rPr>
          <w:rFonts w:eastAsia="Times New Roman"/>
          <w:szCs w:val="20"/>
          <w:u w:val="single"/>
          <w:lang w:val="en-GB" w:eastAsia="en-GB"/>
        </w:rPr>
        <w:t>unlikely</w:t>
      </w:r>
      <w:r>
        <w:rPr>
          <w:rFonts w:eastAsia="Times New Roman"/>
          <w:szCs w:val="20"/>
          <w:lang w:val="en-GB" w:eastAsia="en-GB"/>
        </w:rPr>
        <w:t xml:space="preserve"> to have sufficient experience to qualify for registration via the section 13 route</w:t>
      </w:r>
    </w:p>
    <w:p w:rsidR="001131B4" w:rsidRPr="001131B4" w:rsidRDefault="00CA7299" w:rsidP="005B5FC6">
      <w:pPr>
        <w:numPr>
          <w:ilvl w:val="1"/>
          <w:numId w:val="27"/>
        </w:numPr>
        <w:spacing w:after="240" w:line="240" w:lineRule="auto"/>
        <w:ind w:left="1134" w:hanging="425"/>
        <w:rPr>
          <w:rFonts w:eastAsia="Times New Roman"/>
          <w:szCs w:val="20"/>
          <w:lang w:val="en-GB" w:eastAsia="en-GB"/>
        </w:rPr>
      </w:pPr>
      <w:r>
        <w:t xml:space="preserve">19% </w:t>
      </w:r>
      <w:r w:rsidR="00413DE7">
        <w:t xml:space="preserve">about whom </w:t>
      </w:r>
      <w:r>
        <w:t xml:space="preserve">it is unknown </w:t>
      </w:r>
      <w:r w:rsidR="00413DE7">
        <w:t>whether</w:t>
      </w:r>
      <w:r>
        <w:t xml:space="preserve"> they </w:t>
      </w:r>
      <w:r w:rsidRPr="00177E1D">
        <w:t xml:space="preserve">have the necessary qualifications </w:t>
      </w:r>
      <w:r>
        <w:t xml:space="preserve">or experience </w:t>
      </w:r>
      <w:r w:rsidRPr="00177E1D">
        <w:t xml:space="preserve">for registration.  </w:t>
      </w:r>
    </w:p>
    <w:p w:rsidR="00CA7299" w:rsidRPr="00177E1D" w:rsidRDefault="00413DE7" w:rsidP="005B5FC6">
      <w:pPr>
        <w:numPr>
          <w:ilvl w:val="0"/>
          <w:numId w:val="25"/>
        </w:numPr>
        <w:spacing w:after="240" w:line="240" w:lineRule="auto"/>
        <w:ind w:left="567" w:hanging="567"/>
        <w:rPr>
          <w:rFonts w:eastAsia="Times New Roman"/>
          <w:szCs w:val="20"/>
          <w:lang w:val="en-GB" w:eastAsia="en-GB"/>
        </w:rPr>
      </w:pPr>
      <w:r>
        <w:rPr>
          <w:rFonts w:eastAsia="Times New Roman"/>
          <w:szCs w:val="20"/>
          <w:lang w:val="en-GB" w:eastAsia="en-GB"/>
        </w:rPr>
        <w:t>Assuming the</w:t>
      </w:r>
      <w:r w:rsidR="00CA7299" w:rsidRPr="00177E1D">
        <w:rPr>
          <w:rFonts w:eastAsia="Times New Roman"/>
          <w:szCs w:val="20"/>
          <w:lang w:val="en-GB" w:eastAsia="en-GB"/>
        </w:rPr>
        <w:t xml:space="preserve"> ANZASW </w:t>
      </w:r>
      <w:r w:rsidR="00CA7299">
        <w:rPr>
          <w:rFonts w:eastAsia="Times New Roman"/>
          <w:szCs w:val="20"/>
          <w:lang w:val="en-GB" w:eastAsia="en-GB"/>
        </w:rPr>
        <w:t>proportions</w:t>
      </w:r>
      <w:r>
        <w:rPr>
          <w:rFonts w:eastAsia="Times New Roman"/>
          <w:szCs w:val="20"/>
          <w:lang w:val="en-GB" w:eastAsia="en-GB"/>
        </w:rPr>
        <w:t xml:space="preserve"> are indicative of the total population of practising social workers</w:t>
      </w:r>
      <w:r w:rsidR="00CA7299" w:rsidRPr="00177E1D">
        <w:rPr>
          <w:rFonts w:eastAsia="Times New Roman"/>
          <w:szCs w:val="20"/>
          <w:lang w:val="en-GB" w:eastAsia="en-GB"/>
        </w:rPr>
        <w:t xml:space="preserve">, </w:t>
      </w:r>
      <w:r w:rsidR="00CA7299">
        <w:rPr>
          <w:rFonts w:eastAsia="Times New Roman"/>
          <w:szCs w:val="20"/>
          <w:lang w:val="en-GB" w:eastAsia="en-GB"/>
        </w:rPr>
        <w:t xml:space="preserve">the estimated </w:t>
      </w:r>
      <w:r w:rsidR="00CA7299" w:rsidRPr="00177E1D">
        <w:rPr>
          <w:rFonts w:eastAsia="Times New Roman"/>
          <w:szCs w:val="20"/>
          <w:lang w:val="en-GB" w:eastAsia="en-GB"/>
        </w:rPr>
        <w:t xml:space="preserve">2,000 unregistered </w:t>
      </w:r>
      <w:r w:rsidR="00CA7299">
        <w:rPr>
          <w:rFonts w:eastAsia="Times New Roman"/>
          <w:szCs w:val="20"/>
          <w:lang w:val="en-GB" w:eastAsia="en-GB"/>
        </w:rPr>
        <w:t xml:space="preserve">social worker population </w:t>
      </w:r>
      <w:r w:rsidR="00CA7299" w:rsidRPr="00177E1D">
        <w:rPr>
          <w:rFonts w:eastAsia="Times New Roman"/>
          <w:szCs w:val="20"/>
          <w:lang w:val="en-GB" w:eastAsia="en-GB"/>
        </w:rPr>
        <w:t xml:space="preserve">would </w:t>
      </w:r>
      <w:r w:rsidR="00CA7299">
        <w:rPr>
          <w:rFonts w:eastAsia="Times New Roman"/>
          <w:szCs w:val="20"/>
          <w:lang w:val="en-GB" w:eastAsia="en-GB"/>
        </w:rPr>
        <w:t>consist of</w:t>
      </w:r>
      <w:r w:rsidR="00CA7299" w:rsidRPr="00177E1D">
        <w:rPr>
          <w:rFonts w:eastAsia="Times New Roman"/>
          <w:szCs w:val="20"/>
          <w:lang w:val="en-GB" w:eastAsia="en-GB"/>
        </w:rPr>
        <w:t>:</w:t>
      </w:r>
    </w:p>
    <w:p w:rsidR="00CA7299" w:rsidRPr="00B21BCC" w:rsidRDefault="00CA7299" w:rsidP="005B5FC6">
      <w:pPr>
        <w:numPr>
          <w:ilvl w:val="0"/>
          <w:numId w:val="27"/>
        </w:numPr>
        <w:spacing w:after="240" w:line="240" w:lineRule="auto"/>
        <w:ind w:left="1134" w:hanging="425"/>
        <w:rPr>
          <w:rFonts w:eastAsia="Times New Roman"/>
          <w:szCs w:val="20"/>
          <w:lang w:val="en-GB" w:eastAsia="en-GB"/>
        </w:rPr>
      </w:pPr>
      <w:r>
        <w:t>1176 (59%)</w:t>
      </w:r>
      <w:r w:rsidRPr="00177E1D">
        <w:t xml:space="preserve"> </w:t>
      </w:r>
      <w:r w:rsidR="00413DE7">
        <w:t>with</w:t>
      </w:r>
      <w:r>
        <w:t xml:space="preserve"> </w:t>
      </w:r>
      <w:r w:rsidR="00610BF3">
        <w:t xml:space="preserve">tertiary </w:t>
      </w:r>
      <w:r w:rsidRPr="00177E1D">
        <w:t xml:space="preserve">qualifications </w:t>
      </w:r>
      <w:r w:rsidR="00610BF3">
        <w:t xml:space="preserve">likely to be able to </w:t>
      </w:r>
      <w:r w:rsidRPr="00177E1D">
        <w:t>be registered</w:t>
      </w:r>
      <w:r w:rsidR="00610BF3">
        <w:t xml:space="preserve"> – unfortunately because of lack of detail from the census data we cannot be sure how many have social work qualifications</w:t>
      </w:r>
      <w:r w:rsidRPr="00177E1D">
        <w:t xml:space="preserve"> </w:t>
      </w:r>
    </w:p>
    <w:p w:rsidR="00CA7299" w:rsidRDefault="00CA7299" w:rsidP="005B5FC6">
      <w:pPr>
        <w:numPr>
          <w:ilvl w:val="0"/>
          <w:numId w:val="27"/>
        </w:numPr>
        <w:spacing w:after="240" w:line="240" w:lineRule="auto"/>
        <w:ind w:left="1134" w:hanging="425"/>
        <w:rPr>
          <w:rFonts w:eastAsia="Times New Roman"/>
          <w:szCs w:val="20"/>
          <w:lang w:val="en-GB" w:eastAsia="en-GB"/>
        </w:rPr>
      </w:pPr>
      <w:r>
        <w:t xml:space="preserve">329 (16%) may have no qualification, but </w:t>
      </w:r>
      <w:r w:rsidRPr="00413DE7">
        <w:rPr>
          <w:u w:val="single"/>
        </w:rPr>
        <w:t>likely</w:t>
      </w:r>
      <w:r>
        <w:t xml:space="preserve"> to have sufficient experience</w:t>
      </w:r>
      <w:r w:rsidRPr="00177E1D">
        <w:t xml:space="preserve"> </w:t>
      </w:r>
      <w:r>
        <w:t xml:space="preserve">to qualify for registration </w:t>
      </w:r>
      <w:r w:rsidRPr="00177E1D">
        <w:t>via the section 13 route</w:t>
      </w:r>
    </w:p>
    <w:p w:rsidR="00CA7299" w:rsidRPr="00293B0B" w:rsidRDefault="00CA7299" w:rsidP="005B5FC6">
      <w:pPr>
        <w:numPr>
          <w:ilvl w:val="0"/>
          <w:numId w:val="27"/>
        </w:numPr>
        <w:spacing w:after="240" w:line="240" w:lineRule="auto"/>
        <w:ind w:left="1134" w:hanging="425"/>
        <w:rPr>
          <w:rFonts w:eastAsia="Times New Roman"/>
          <w:szCs w:val="20"/>
          <w:lang w:val="en-GB" w:eastAsia="en-GB"/>
        </w:rPr>
      </w:pPr>
      <w:r>
        <w:rPr>
          <w:rFonts w:eastAsia="Times New Roman"/>
          <w:szCs w:val="20"/>
          <w:lang w:val="en-GB" w:eastAsia="en-GB"/>
        </w:rPr>
        <w:t xml:space="preserve">118 (6%) may have no qualification, and </w:t>
      </w:r>
      <w:r w:rsidRPr="00413DE7">
        <w:rPr>
          <w:rFonts w:eastAsia="Times New Roman"/>
          <w:szCs w:val="20"/>
          <w:u w:val="single"/>
          <w:lang w:val="en-GB" w:eastAsia="en-GB"/>
        </w:rPr>
        <w:t>unlikely</w:t>
      </w:r>
      <w:r>
        <w:rPr>
          <w:rFonts w:eastAsia="Times New Roman"/>
          <w:szCs w:val="20"/>
          <w:lang w:val="en-GB" w:eastAsia="en-GB"/>
        </w:rPr>
        <w:t xml:space="preserve"> to have sufficient experience to qualify for registration via the section 13 route</w:t>
      </w:r>
    </w:p>
    <w:p w:rsidR="00CA7299" w:rsidRPr="004E71FD" w:rsidRDefault="00CA7299" w:rsidP="005B5FC6">
      <w:pPr>
        <w:numPr>
          <w:ilvl w:val="1"/>
          <w:numId w:val="27"/>
        </w:numPr>
        <w:spacing w:after="240" w:line="240" w:lineRule="auto"/>
        <w:ind w:left="1134" w:hanging="425"/>
        <w:rPr>
          <w:rFonts w:eastAsia="Times New Roman"/>
          <w:szCs w:val="20"/>
          <w:lang w:val="en-GB" w:eastAsia="en-GB"/>
        </w:rPr>
      </w:pPr>
      <w:r>
        <w:t xml:space="preserve">376 (19%) </w:t>
      </w:r>
      <w:r w:rsidR="00413DE7">
        <w:t>about whom it is unknown whether</w:t>
      </w:r>
      <w:r>
        <w:t xml:space="preserve"> they </w:t>
      </w:r>
      <w:r w:rsidRPr="00177E1D">
        <w:t xml:space="preserve">have the necessary qualifications </w:t>
      </w:r>
      <w:r>
        <w:t xml:space="preserve">or experience </w:t>
      </w:r>
      <w:r w:rsidRPr="00177E1D">
        <w:t xml:space="preserve">for registration.  </w:t>
      </w:r>
    </w:p>
    <w:p w:rsidR="00C05771" w:rsidRPr="00177E1D" w:rsidRDefault="006206BC" w:rsidP="00177E1D">
      <w:pPr>
        <w:spacing w:after="240" w:line="240" w:lineRule="auto"/>
        <w:rPr>
          <w:rFonts w:cstheme="minorHAnsi"/>
          <w:b/>
          <w:spacing w:val="20"/>
          <w:w w:val="90"/>
          <w:szCs w:val="20"/>
        </w:rPr>
      </w:pPr>
      <w:r w:rsidRPr="00177E1D">
        <w:rPr>
          <w:rFonts w:cstheme="minorHAnsi"/>
          <w:b/>
          <w:spacing w:val="20"/>
          <w:w w:val="90"/>
          <w:szCs w:val="20"/>
        </w:rPr>
        <w:t>Select Committee Inquiry</w:t>
      </w:r>
    </w:p>
    <w:p w:rsidR="00F4679C" w:rsidRPr="00177E1D" w:rsidRDefault="00F4679C"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The Board is required to review the operation of the SWR Act, and its own operations, at least every five years</w:t>
      </w:r>
      <w:r w:rsidRPr="00177E1D">
        <w:rPr>
          <w:rStyle w:val="FootnoteReference"/>
          <w:rFonts w:eastAsia="Times New Roman" w:cs="Times New Roman"/>
          <w:szCs w:val="20"/>
          <w:lang w:val="en-GB" w:eastAsia="en-GB"/>
        </w:rPr>
        <w:footnoteReference w:id="13"/>
      </w:r>
      <w:r w:rsidRPr="00177E1D">
        <w:rPr>
          <w:rFonts w:eastAsia="Times New Roman" w:cs="Times New Roman"/>
          <w:szCs w:val="20"/>
          <w:lang w:val="en-GB" w:eastAsia="en-GB"/>
        </w:rPr>
        <w:t xml:space="preserve">. As part of this review process, the Board must consider whether </w:t>
      </w:r>
      <w:r w:rsidR="00CC7880">
        <w:rPr>
          <w:rFonts w:eastAsia="Times New Roman" w:cs="Times New Roman"/>
          <w:szCs w:val="20"/>
          <w:lang w:val="en-GB" w:eastAsia="en-GB"/>
        </w:rPr>
        <w:t>the SWR Act</w:t>
      </w:r>
      <w:r w:rsidRPr="00177E1D">
        <w:rPr>
          <w:rFonts w:eastAsia="Times New Roman" w:cs="Times New Roman"/>
          <w:szCs w:val="20"/>
          <w:lang w:val="en-GB" w:eastAsia="en-GB"/>
        </w:rPr>
        <w:t xml:space="preserve">, and the system of voluntary registration it provides for, </w:t>
      </w:r>
      <w:proofErr w:type="gramStart"/>
      <w:r w:rsidRPr="00177E1D">
        <w:rPr>
          <w:rFonts w:eastAsia="Times New Roman" w:cs="Times New Roman"/>
          <w:szCs w:val="20"/>
          <w:lang w:val="en-GB" w:eastAsia="en-GB"/>
        </w:rPr>
        <w:t>are</w:t>
      </w:r>
      <w:proofErr w:type="gramEnd"/>
      <w:r w:rsidRPr="00177E1D">
        <w:rPr>
          <w:rFonts w:eastAsia="Times New Roman" w:cs="Times New Roman"/>
          <w:szCs w:val="20"/>
          <w:lang w:val="en-GB" w:eastAsia="en-GB"/>
        </w:rPr>
        <w:t xml:space="preserve"> achieving the purposes of protecting public safety and enhancing the professionalism of social workers.</w:t>
      </w:r>
      <w:r w:rsidR="00280E2B"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 The last review was completed in 2015. </w:t>
      </w:r>
      <w:r w:rsidR="00280E2B"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This review (as did the 2012 review) concluded that it </w:t>
      </w:r>
      <w:r w:rsidR="00280E2B" w:rsidRPr="00177E1D">
        <w:rPr>
          <w:rFonts w:eastAsia="Times New Roman" w:cs="Times New Roman"/>
          <w:szCs w:val="20"/>
          <w:lang w:val="en-GB" w:eastAsia="en-GB"/>
        </w:rPr>
        <w:t>was</w:t>
      </w:r>
      <w:r w:rsidRPr="00177E1D">
        <w:rPr>
          <w:rFonts w:eastAsia="Times New Roman" w:cs="Times New Roman"/>
          <w:szCs w:val="20"/>
          <w:lang w:val="en-GB" w:eastAsia="en-GB"/>
        </w:rPr>
        <w:t xml:space="preserve"> time to move to a mandatory system of social work registration to ensure that the public is protected from those individuals who are not competent, qualified, and experienced social workers.</w:t>
      </w:r>
    </w:p>
    <w:p w:rsidR="006206BC" w:rsidRPr="00177E1D" w:rsidRDefault="006206BC"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In 2016 the Minister</w:t>
      </w:r>
      <w:r w:rsidR="00D97D37">
        <w:rPr>
          <w:rFonts w:eastAsia="Times New Roman" w:cs="Times New Roman"/>
          <w:szCs w:val="20"/>
          <w:lang w:val="en-GB" w:eastAsia="en-GB"/>
        </w:rPr>
        <w:t xml:space="preserve"> </w:t>
      </w:r>
      <w:r w:rsidR="00280E2B" w:rsidRPr="00177E1D">
        <w:rPr>
          <w:rFonts w:eastAsia="Times New Roman" w:cs="Times New Roman"/>
          <w:szCs w:val="20"/>
          <w:lang w:val="en-GB" w:eastAsia="en-GB"/>
        </w:rPr>
        <w:t>asked</w:t>
      </w:r>
      <w:r w:rsidRPr="00177E1D">
        <w:rPr>
          <w:rFonts w:eastAsia="Times New Roman" w:cs="Times New Roman"/>
          <w:szCs w:val="20"/>
          <w:lang w:val="en-GB" w:eastAsia="en-GB"/>
        </w:rPr>
        <w:t xml:space="preserve"> the </w:t>
      </w:r>
      <w:r w:rsidR="00D97D37">
        <w:rPr>
          <w:rFonts w:eastAsia="Times New Roman" w:cs="Times New Roman"/>
          <w:szCs w:val="20"/>
          <w:lang w:val="en-GB" w:eastAsia="en-GB"/>
        </w:rPr>
        <w:t>Select</w:t>
      </w:r>
      <w:r w:rsidRPr="00177E1D">
        <w:rPr>
          <w:rFonts w:eastAsia="Times New Roman" w:cs="Times New Roman"/>
          <w:szCs w:val="20"/>
          <w:lang w:val="en-GB" w:eastAsia="en-GB"/>
        </w:rPr>
        <w:t xml:space="preserve"> Committee </w:t>
      </w:r>
      <w:r w:rsidR="00280E2B" w:rsidRPr="00177E1D">
        <w:rPr>
          <w:rFonts w:eastAsia="Times New Roman" w:cs="Times New Roman"/>
          <w:szCs w:val="20"/>
          <w:lang w:val="en-GB" w:eastAsia="en-GB"/>
        </w:rPr>
        <w:t xml:space="preserve">to </w:t>
      </w:r>
      <w:r w:rsidRPr="00177E1D">
        <w:rPr>
          <w:rFonts w:eastAsia="Times New Roman" w:cs="Times New Roman"/>
          <w:szCs w:val="20"/>
          <w:lang w:val="en-GB" w:eastAsia="en-GB"/>
        </w:rPr>
        <w:t>undert</w:t>
      </w:r>
      <w:r w:rsidR="00280E2B" w:rsidRPr="00177E1D">
        <w:rPr>
          <w:rFonts w:eastAsia="Times New Roman" w:cs="Times New Roman"/>
          <w:szCs w:val="20"/>
          <w:lang w:val="en-GB" w:eastAsia="en-GB"/>
        </w:rPr>
        <w:t>ake</w:t>
      </w:r>
      <w:r w:rsidRPr="00177E1D">
        <w:rPr>
          <w:rFonts w:eastAsia="Times New Roman" w:cs="Times New Roman"/>
          <w:szCs w:val="20"/>
          <w:lang w:val="en-GB" w:eastAsia="en-GB"/>
        </w:rPr>
        <w:t xml:space="preserve"> an inquiry into </w:t>
      </w:r>
      <w:r w:rsidR="00280E2B" w:rsidRPr="00177E1D">
        <w:rPr>
          <w:rFonts w:eastAsia="Times New Roman" w:cs="Times New Roman"/>
          <w:szCs w:val="20"/>
          <w:lang w:val="en-GB" w:eastAsia="en-GB"/>
        </w:rPr>
        <w:t xml:space="preserve">the issues that had been raised by the </w:t>
      </w:r>
      <w:r w:rsidR="002628DD" w:rsidRPr="00177E1D">
        <w:rPr>
          <w:rFonts w:eastAsia="Times New Roman" w:cs="Times New Roman"/>
          <w:szCs w:val="20"/>
          <w:lang w:val="en-GB" w:eastAsia="en-GB"/>
        </w:rPr>
        <w:t xml:space="preserve">Board. </w:t>
      </w:r>
      <w:r w:rsidR="00280E2B" w:rsidRPr="00177E1D">
        <w:t xml:space="preserve"> The Board served as advisors to the </w:t>
      </w:r>
      <w:r w:rsidR="00101F12">
        <w:t xml:space="preserve">Select </w:t>
      </w:r>
      <w:r w:rsidR="00280E2B" w:rsidRPr="00177E1D">
        <w:t>Committee.</w:t>
      </w:r>
      <w:r w:rsidR="003E4391">
        <w:t xml:space="preserve">  </w:t>
      </w:r>
    </w:p>
    <w:p w:rsidR="00CF603E" w:rsidRPr="00177E1D" w:rsidRDefault="00CF603E" w:rsidP="00177E1D">
      <w:pPr>
        <w:numPr>
          <w:ilvl w:val="0"/>
          <w:numId w:val="8"/>
        </w:numPr>
        <w:spacing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The </w:t>
      </w:r>
      <w:r w:rsidR="00101F12">
        <w:rPr>
          <w:rFonts w:eastAsia="Times New Roman" w:cs="Times New Roman"/>
          <w:szCs w:val="20"/>
          <w:lang w:val="en-GB" w:eastAsia="en-GB"/>
        </w:rPr>
        <w:t xml:space="preserve">Select </w:t>
      </w:r>
      <w:r w:rsidRPr="00177E1D">
        <w:rPr>
          <w:rFonts w:eastAsia="Times New Roman" w:cs="Times New Roman"/>
          <w:szCs w:val="20"/>
          <w:lang w:val="en-GB" w:eastAsia="en-GB"/>
        </w:rPr>
        <w:t xml:space="preserve">Committee </w:t>
      </w:r>
      <w:r w:rsidR="00351786" w:rsidRPr="00177E1D">
        <w:rPr>
          <w:rFonts w:eastAsia="Times New Roman" w:cs="Times New Roman"/>
          <w:szCs w:val="20"/>
          <w:lang w:val="en-GB" w:eastAsia="en-GB"/>
        </w:rPr>
        <w:t>released its Report on 2 December 2016</w:t>
      </w:r>
      <w:r w:rsidR="00754124" w:rsidRPr="00177E1D">
        <w:rPr>
          <w:rFonts w:eastAsia="Times New Roman" w:cs="Times New Roman"/>
          <w:szCs w:val="20"/>
          <w:lang w:val="en-GB" w:eastAsia="en-GB"/>
        </w:rPr>
        <w:t xml:space="preserve"> </w:t>
      </w:r>
      <w:r w:rsidRPr="00177E1D">
        <w:rPr>
          <w:rFonts w:eastAsia="Times New Roman" w:cs="Times New Roman"/>
          <w:szCs w:val="20"/>
          <w:lang w:val="en-GB" w:eastAsia="en-GB"/>
        </w:rPr>
        <w:t>conclud</w:t>
      </w:r>
      <w:r w:rsidR="00C04C50">
        <w:rPr>
          <w:rFonts w:eastAsia="Times New Roman" w:cs="Times New Roman"/>
          <w:szCs w:val="20"/>
          <w:lang w:val="en-GB" w:eastAsia="en-GB"/>
        </w:rPr>
        <w:t>ing</w:t>
      </w:r>
      <w:r w:rsidRPr="00177E1D">
        <w:rPr>
          <w:rFonts w:eastAsia="Times New Roman" w:cs="Times New Roman"/>
          <w:szCs w:val="20"/>
          <w:lang w:val="en-GB" w:eastAsia="en-GB"/>
        </w:rPr>
        <w:t xml:space="preserve"> that legislative reform is needed to: strengthen the regulatory framework for the sector, to increase the professionalism and competence of social workers, and provide greater protection for the public. </w:t>
      </w:r>
      <w:r w:rsidR="00351786"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Overall, the </w:t>
      </w:r>
      <w:r w:rsidR="00101F12">
        <w:rPr>
          <w:rFonts w:eastAsia="Times New Roman" w:cs="Times New Roman"/>
          <w:szCs w:val="20"/>
          <w:lang w:val="en-GB" w:eastAsia="en-GB"/>
        </w:rPr>
        <w:t xml:space="preserve">Select </w:t>
      </w:r>
      <w:r w:rsidRPr="00177E1D">
        <w:rPr>
          <w:rFonts w:eastAsia="Times New Roman" w:cs="Times New Roman"/>
          <w:szCs w:val="20"/>
          <w:lang w:val="en-GB" w:eastAsia="en-GB"/>
        </w:rPr>
        <w:t>Committee found that:</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registration should be mandatory for social workers and social work students</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the present requirement for a competence assessment in addition to a qualification, repeated every five years, should be removed</w:t>
      </w:r>
    </w:p>
    <w:p w:rsidR="00CF603E" w:rsidRPr="00177E1D" w:rsidRDefault="00CF603E" w:rsidP="005B5FC6">
      <w:pPr>
        <w:numPr>
          <w:ilvl w:val="0"/>
          <w:numId w:val="16"/>
        </w:numPr>
        <w:spacing w:after="240" w:line="240" w:lineRule="auto"/>
        <w:rPr>
          <w:rFonts w:eastAsia="Times New Roman" w:cs="Times New Roman"/>
          <w:szCs w:val="20"/>
          <w:lang w:val="en-GB" w:eastAsia="en-GB"/>
        </w:rPr>
      </w:pPr>
      <w:r w:rsidRPr="00177E1D">
        <w:rPr>
          <w:rFonts w:eastAsia="Times New Roman" w:cs="Times New Roman"/>
          <w:szCs w:val="20"/>
          <w:lang w:val="en-GB" w:eastAsia="en-GB"/>
        </w:rPr>
        <w:t>social workers with a recognised New Zealand qualification should be presumed to be competent, but the Board may still require assessments as needed</w:t>
      </w:r>
    </w:p>
    <w:p w:rsidR="00CF603E" w:rsidRPr="00CF603E" w:rsidRDefault="00CF603E" w:rsidP="005B5FC6">
      <w:pPr>
        <w:numPr>
          <w:ilvl w:val="0"/>
          <w:numId w:val="16"/>
        </w:numPr>
        <w:spacing w:after="240" w:line="240" w:lineRule="auto"/>
        <w:rPr>
          <w:rFonts w:eastAsia="Times New Roman" w:cs="Times New Roman"/>
          <w:szCs w:val="20"/>
          <w:lang w:val="en-GB" w:eastAsia="en-GB"/>
        </w:rPr>
      </w:pPr>
      <w:r w:rsidRPr="00CF603E">
        <w:rPr>
          <w:rFonts w:eastAsia="Times New Roman" w:cs="Times New Roman"/>
          <w:szCs w:val="20"/>
          <w:lang w:val="en-GB" w:eastAsia="en-GB"/>
        </w:rPr>
        <w:t>strengthening of vetting, on-going fitness to practice, and complaints and disciplinary processes</w:t>
      </w:r>
    </w:p>
    <w:p w:rsidR="00CF603E" w:rsidRPr="00CF603E" w:rsidRDefault="00CF603E" w:rsidP="005B5FC6">
      <w:pPr>
        <w:numPr>
          <w:ilvl w:val="0"/>
          <w:numId w:val="16"/>
        </w:numPr>
        <w:spacing w:after="240" w:line="240" w:lineRule="auto"/>
        <w:rPr>
          <w:rFonts w:eastAsia="Times New Roman" w:cs="Times New Roman"/>
          <w:szCs w:val="20"/>
          <w:lang w:val="en-GB" w:eastAsia="en-GB"/>
        </w:rPr>
      </w:pPr>
      <w:r w:rsidRPr="00CF603E">
        <w:rPr>
          <w:rFonts w:eastAsia="Times New Roman" w:cs="Times New Roman"/>
          <w:szCs w:val="20"/>
          <w:lang w:val="en-GB" w:eastAsia="en-GB"/>
        </w:rPr>
        <w:lastRenderedPageBreak/>
        <w:t>social work registration on the basis of practice experience should be phased out</w:t>
      </w:r>
    </w:p>
    <w:p w:rsidR="006206BC" w:rsidRDefault="006206BC"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Cabinet approved the Government Response to the </w:t>
      </w:r>
      <w:r w:rsidR="00101F12">
        <w:rPr>
          <w:rFonts w:eastAsia="Times New Roman" w:cs="Times New Roman"/>
          <w:szCs w:val="20"/>
          <w:lang w:val="en-GB" w:eastAsia="en-GB"/>
        </w:rPr>
        <w:t xml:space="preserve">Select </w:t>
      </w:r>
      <w:r>
        <w:rPr>
          <w:rFonts w:eastAsia="Times New Roman" w:cs="Times New Roman"/>
          <w:szCs w:val="20"/>
          <w:lang w:val="en-GB" w:eastAsia="en-GB"/>
        </w:rPr>
        <w:t>Committee’s Report on 13 March 2017 (CAB-17-MIN-0090) and t</w:t>
      </w:r>
      <w:r w:rsidR="00CF603E" w:rsidRPr="00CF603E">
        <w:rPr>
          <w:rFonts w:eastAsia="Times New Roman" w:cs="Times New Roman"/>
          <w:szCs w:val="20"/>
          <w:lang w:val="en-GB" w:eastAsia="en-GB"/>
        </w:rPr>
        <w:t>he Government Res</w:t>
      </w:r>
      <w:r>
        <w:rPr>
          <w:rFonts w:eastAsia="Times New Roman" w:cs="Times New Roman"/>
          <w:szCs w:val="20"/>
          <w:lang w:val="en-GB" w:eastAsia="en-GB"/>
        </w:rPr>
        <w:t xml:space="preserve">ponse </w:t>
      </w:r>
      <w:r w:rsidR="00CF603E" w:rsidRPr="00CF603E">
        <w:rPr>
          <w:rFonts w:eastAsia="Times New Roman" w:cs="Times New Roman"/>
          <w:szCs w:val="20"/>
          <w:lang w:val="en-GB" w:eastAsia="en-GB"/>
        </w:rPr>
        <w:t xml:space="preserve">was presented to the House on 21 March 2017. </w:t>
      </w:r>
      <w:r w:rsidR="00DD2AA0">
        <w:rPr>
          <w:rFonts w:eastAsia="Times New Roman" w:cs="Times New Roman"/>
          <w:szCs w:val="20"/>
          <w:lang w:val="en-GB" w:eastAsia="en-GB"/>
        </w:rPr>
        <w:t xml:space="preserve"> </w:t>
      </w:r>
      <w:r w:rsidR="00CF603E" w:rsidRPr="00CF603E">
        <w:rPr>
          <w:rFonts w:eastAsia="Times New Roman" w:cs="Times New Roman"/>
          <w:szCs w:val="20"/>
          <w:lang w:val="en-GB" w:eastAsia="en-GB"/>
        </w:rPr>
        <w:t xml:space="preserve">That Response acknowledged the overall intent of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 xml:space="preserve">Committee’s recommendations, and the case made by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 xml:space="preserve">Committee for some form of increased regulation of social workers. It also noted that the Government would carry out further work to identify possible policy and legislative changes that could best give effect to the intent of the </w:t>
      </w:r>
      <w:r w:rsidR="00101F12">
        <w:rPr>
          <w:rFonts w:eastAsia="Times New Roman" w:cs="Times New Roman"/>
          <w:szCs w:val="20"/>
          <w:lang w:val="en-GB" w:eastAsia="en-GB"/>
        </w:rPr>
        <w:t xml:space="preserve">Select </w:t>
      </w:r>
      <w:r w:rsidR="00CF603E" w:rsidRPr="00CF603E">
        <w:rPr>
          <w:rFonts w:eastAsia="Times New Roman" w:cs="Times New Roman"/>
          <w:szCs w:val="20"/>
          <w:lang w:val="en-GB" w:eastAsia="en-GB"/>
        </w:rPr>
        <w:t>Committee’s recommendations to increase the professionalism of the social work workforce.</w:t>
      </w:r>
      <w:r>
        <w:rPr>
          <w:rFonts w:eastAsia="Times New Roman" w:cs="Times New Roman"/>
          <w:szCs w:val="20"/>
          <w:lang w:val="en-GB" w:eastAsia="en-GB"/>
        </w:rPr>
        <w:t xml:space="preserve"> </w:t>
      </w:r>
    </w:p>
    <w:p w:rsidR="00CF603E" w:rsidRPr="00CF603E" w:rsidRDefault="006206BC"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When approving the Government Response</w:t>
      </w:r>
      <w:r w:rsidR="0063682F">
        <w:rPr>
          <w:rFonts w:eastAsia="Times New Roman" w:cs="Times New Roman"/>
          <w:szCs w:val="20"/>
          <w:lang w:val="en-GB" w:eastAsia="en-GB"/>
        </w:rPr>
        <w:t>,</w:t>
      </w:r>
      <w:r>
        <w:rPr>
          <w:rFonts w:eastAsia="Times New Roman" w:cs="Times New Roman"/>
          <w:szCs w:val="20"/>
          <w:lang w:val="en-GB" w:eastAsia="en-GB"/>
        </w:rPr>
        <w:t xml:space="preserve"> Cabinet agreed to further work to identify the best options to increase the professionalism of the social work workforce; and invited the Minister to report back to </w:t>
      </w:r>
      <w:r w:rsidR="00D97D37">
        <w:rPr>
          <w:rFonts w:eastAsia="Times New Roman" w:cs="Times New Roman"/>
          <w:szCs w:val="20"/>
          <w:lang w:val="en-GB" w:eastAsia="en-GB"/>
        </w:rPr>
        <w:t>SOC</w:t>
      </w:r>
      <w:r>
        <w:rPr>
          <w:rFonts w:eastAsia="Times New Roman" w:cs="Times New Roman"/>
          <w:szCs w:val="20"/>
          <w:lang w:val="en-GB" w:eastAsia="en-GB"/>
        </w:rPr>
        <w:t xml:space="preserve"> by 3 May 2017 with reform proposals (including any legislative proposals) (CAB-17-MIN-0090).</w:t>
      </w:r>
    </w:p>
    <w:p w:rsidR="00DD2AA0" w:rsidRDefault="00DD2AA0" w:rsidP="00177E1D">
      <w:pPr>
        <w:spacing w:after="240" w:line="240" w:lineRule="auto"/>
        <w:rPr>
          <w:rFonts w:cstheme="minorHAnsi"/>
          <w:b/>
          <w:spacing w:val="20"/>
          <w:w w:val="90"/>
          <w:szCs w:val="20"/>
        </w:rPr>
      </w:pPr>
      <w:r w:rsidRPr="002A5D5B">
        <w:rPr>
          <w:rFonts w:cstheme="minorHAnsi"/>
          <w:b/>
          <w:spacing w:val="20"/>
          <w:w w:val="90"/>
          <w:szCs w:val="20"/>
        </w:rPr>
        <w:t>Problem definition and proposed response</w:t>
      </w:r>
    </w:p>
    <w:p w:rsidR="00DB29FD" w:rsidRDefault="00DB29FD" w:rsidP="00177E1D">
      <w:pPr>
        <w:numPr>
          <w:ilvl w:val="0"/>
          <w:numId w:val="8"/>
        </w:numPr>
        <w:spacing w:after="240" w:line="240" w:lineRule="auto"/>
        <w:ind w:left="567" w:hanging="567"/>
        <w:rPr>
          <w:rFonts w:eastAsia="Times New Roman"/>
          <w:szCs w:val="20"/>
          <w:lang w:val="en-GB" w:eastAsia="en-GB"/>
        </w:rPr>
      </w:pPr>
      <w:r w:rsidRPr="00CD2F3E">
        <w:rPr>
          <w:rFonts w:eastAsia="Times New Roman"/>
          <w:szCs w:val="20"/>
          <w:lang w:val="en-GB" w:eastAsia="en-GB"/>
        </w:rPr>
        <w:t xml:space="preserve">Simply stated, the immediate problem is that </w:t>
      </w:r>
      <w:r w:rsidR="00421BD3" w:rsidRPr="00CD2F3E">
        <w:rPr>
          <w:rFonts w:eastAsia="Times New Roman"/>
          <w:szCs w:val="20"/>
          <w:lang w:val="en-GB" w:eastAsia="en-GB"/>
        </w:rPr>
        <w:t xml:space="preserve">approximately </w:t>
      </w:r>
      <w:r w:rsidR="00754124" w:rsidRPr="00CD2F3E">
        <w:rPr>
          <w:rFonts w:eastAsia="Times New Roman"/>
          <w:szCs w:val="20"/>
          <w:lang w:val="en-GB" w:eastAsia="en-GB"/>
        </w:rPr>
        <w:t xml:space="preserve">two </w:t>
      </w:r>
      <w:r w:rsidRPr="00CD2F3E">
        <w:rPr>
          <w:rFonts w:eastAsia="Times New Roman"/>
          <w:szCs w:val="20"/>
          <w:lang w:val="en-GB" w:eastAsia="en-GB"/>
        </w:rPr>
        <w:t>thousand non-registered social workers (estimated as around a quarter of the whole profession)</w:t>
      </w:r>
      <w:r>
        <w:rPr>
          <w:rFonts w:eastAsia="Times New Roman"/>
          <w:szCs w:val="20"/>
          <w:lang w:val="en-GB" w:eastAsia="en-GB"/>
        </w:rPr>
        <w:t xml:space="preserve"> </w:t>
      </w:r>
      <w:r w:rsidRPr="002A5D5B">
        <w:rPr>
          <w:rFonts w:eastAsia="Times New Roman"/>
          <w:szCs w:val="20"/>
          <w:lang w:val="en-GB" w:eastAsia="en-GB"/>
        </w:rPr>
        <w:t xml:space="preserve">practise outside the regulatory regime designed to protect </w:t>
      </w:r>
      <w:r>
        <w:rPr>
          <w:rFonts w:eastAsia="Times New Roman"/>
          <w:szCs w:val="20"/>
          <w:lang w:val="en-GB" w:eastAsia="en-GB"/>
        </w:rPr>
        <w:t xml:space="preserve">clients and </w:t>
      </w:r>
      <w:r w:rsidRPr="002A5D5B">
        <w:rPr>
          <w:rFonts w:eastAsia="Times New Roman"/>
          <w:szCs w:val="20"/>
          <w:lang w:val="en-GB" w:eastAsia="en-GB"/>
        </w:rPr>
        <w:t>the public</w:t>
      </w:r>
      <w:r w:rsidR="00DE76C2">
        <w:rPr>
          <w:rFonts w:eastAsia="Times New Roman"/>
          <w:szCs w:val="20"/>
          <w:lang w:val="en-GB" w:eastAsia="en-GB"/>
        </w:rPr>
        <w:t>,</w:t>
      </w:r>
      <w:r w:rsidRPr="002A5D5B">
        <w:rPr>
          <w:rFonts w:eastAsia="Times New Roman"/>
          <w:szCs w:val="20"/>
          <w:lang w:val="en-GB" w:eastAsia="en-GB"/>
        </w:rPr>
        <w:t xml:space="preserve"> and ensure competent</w:t>
      </w:r>
      <w:r w:rsidR="008321B5">
        <w:rPr>
          <w:rFonts w:eastAsia="Times New Roman"/>
          <w:szCs w:val="20"/>
          <w:lang w:val="en-GB" w:eastAsia="en-GB"/>
        </w:rPr>
        <w:t xml:space="preserve">, </w:t>
      </w:r>
      <w:r w:rsidRPr="002A5D5B">
        <w:rPr>
          <w:rFonts w:eastAsia="Times New Roman"/>
          <w:szCs w:val="20"/>
          <w:lang w:val="en-GB" w:eastAsia="en-GB"/>
        </w:rPr>
        <w:t>effective</w:t>
      </w:r>
      <w:r w:rsidR="008321B5">
        <w:rPr>
          <w:rFonts w:eastAsia="Times New Roman"/>
          <w:szCs w:val="20"/>
          <w:lang w:val="en-GB" w:eastAsia="en-GB"/>
        </w:rPr>
        <w:t xml:space="preserve"> and accountable</w:t>
      </w:r>
      <w:r w:rsidRPr="002A5D5B">
        <w:rPr>
          <w:rFonts w:eastAsia="Times New Roman"/>
          <w:szCs w:val="20"/>
          <w:lang w:val="en-GB" w:eastAsia="en-GB"/>
        </w:rPr>
        <w:t xml:space="preserve"> social work services.</w:t>
      </w:r>
      <w:r>
        <w:rPr>
          <w:rFonts w:eastAsia="Times New Roman"/>
          <w:szCs w:val="20"/>
          <w:lang w:val="en-GB" w:eastAsia="en-GB"/>
        </w:rPr>
        <w:t xml:space="preserve">  </w:t>
      </w:r>
      <w:r w:rsidR="005C2FCE">
        <w:rPr>
          <w:rFonts w:eastAsia="Times New Roman"/>
          <w:szCs w:val="20"/>
          <w:lang w:val="en-GB" w:eastAsia="en-GB"/>
        </w:rPr>
        <w:t>This means</w:t>
      </w:r>
      <w:r>
        <w:rPr>
          <w:rFonts w:eastAsia="Times New Roman"/>
          <w:szCs w:val="20"/>
          <w:lang w:val="en-GB" w:eastAsia="en-GB"/>
        </w:rPr>
        <w:t xml:space="preserve"> that the quality of social work services in New Zealand is </w:t>
      </w:r>
      <w:r w:rsidR="00DE76C2">
        <w:rPr>
          <w:rFonts w:eastAsia="Times New Roman"/>
          <w:szCs w:val="20"/>
          <w:lang w:val="en-GB" w:eastAsia="en-GB"/>
        </w:rPr>
        <w:t>not</w:t>
      </w:r>
      <w:r>
        <w:rPr>
          <w:rFonts w:eastAsia="Times New Roman"/>
          <w:szCs w:val="20"/>
          <w:lang w:val="en-GB" w:eastAsia="en-GB"/>
        </w:rPr>
        <w:t xml:space="preserve"> as good as it should be, and that the regulatory regime</w:t>
      </w:r>
      <w:r w:rsidR="00643129">
        <w:rPr>
          <w:rFonts w:eastAsia="Times New Roman"/>
          <w:szCs w:val="20"/>
          <w:lang w:val="en-GB" w:eastAsia="en-GB"/>
        </w:rPr>
        <w:t xml:space="preserve"> is not as effective as it could be in </w:t>
      </w:r>
      <w:r w:rsidR="00DE76C2">
        <w:rPr>
          <w:rFonts w:eastAsia="Times New Roman"/>
          <w:szCs w:val="20"/>
          <w:lang w:val="en-GB" w:eastAsia="en-GB"/>
        </w:rPr>
        <w:t>ensuring</w:t>
      </w:r>
      <w:r w:rsidR="00643129">
        <w:rPr>
          <w:rFonts w:eastAsia="Times New Roman"/>
          <w:szCs w:val="20"/>
          <w:lang w:val="en-GB" w:eastAsia="en-GB"/>
        </w:rPr>
        <w:t xml:space="preserve"> quality and addressing risks and failures.</w:t>
      </w:r>
      <w:r w:rsidR="008321B5">
        <w:rPr>
          <w:rFonts w:eastAsia="Times New Roman"/>
          <w:szCs w:val="20"/>
          <w:lang w:val="en-GB" w:eastAsia="en-GB"/>
        </w:rPr>
        <w:t xml:space="preserve">  </w:t>
      </w:r>
    </w:p>
    <w:p w:rsidR="009D740D" w:rsidRDefault="00124118" w:rsidP="00177E1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T</w:t>
      </w:r>
      <w:r w:rsidR="009D740D">
        <w:rPr>
          <w:rFonts w:eastAsia="Times New Roman"/>
          <w:szCs w:val="20"/>
          <w:lang w:val="en-GB" w:eastAsia="en-GB"/>
        </w:rPr>
        <w:t>he type</w:t>
      </w:r>
      <w:r>
        <w:rPr>
          <w:rFonts w:eastAsia="Times New Roman"/>
          <w:szCs w:val="20"/>
          <w:lang w:val="en-GB" w:eastAsia="en-GB"/>
        </w:rPr>
        <w:t>s</w:t>
      </w:r>
      <w:r w:rsidR="009D740D">
        <w:rPr>
          <w:rFonts w:eastAsia="Times New Roman"/>
          <w:szCs w:val="20"/>
          <w:lang w:val="en-GB" w:eastAsia="en-GB"/>
        </w:rPr>
        <w:t xml:space="preserve"> of harm that </w:t>
      </w:r>
      <w:r>
        <w:rPr>
          <w:rFonts w:eastAsia="Times New Roman"/>
          <w:szCs w:val="20"/>
          <w:lang w:val="en-GB" w:eastAsia="en-GB"/>
        </w:rPr>
        <w:t xml:space="preserve">can </w:t>
      </w:r>
      <w:r w:rsidR="009D740D">
        <w:rPr>
          <w:rFonts w:eastAsia="Times New Roman"/>
          <w:szCs w:val="20"/>
          <w:lang w:val="en-GB" w:eastAsia="en-GB"/>
        </w:rPr>
        <w:t>be caused by social workers fall into the following categories:</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cr</w:t>
      </w:r>
      <w:r w:rsidR="008E696A" w:rsidRPr="003C5A7E">
        <w:rPr>
          <w:rFonts w:eastAsia="Times New Roman" w:cs="Times New Roman"/>
          <w:szCs w:val="20"/>
          <w:lang w:val="en-GB" w:eastAsia="en-GB"/>
        </w:rPr>
        <w:t>iminal</w:t>
      </w:r>
      <w:r w:rsidR="008E696A" w:rsidRPr="00791494">
        <w:rPr>
          <w:rFonts w:eastAsia="Times New Roman" w:cs="Times New Roman"/>
          <w:szCs w:val="20"/>
          <w:lang w:val="en-GB" w:eastAsia="en-GB"/>
        </w:rPr>
        <w:t xml:space="preserve"> (</w:t>
      </w:r>
      <w:r w:rsidR="008E696A">
        <w:rPr>
          <w:rFonts w:eastAsia="Times New Roman" w:cs="Times New Roman"/>
          <w:szCs w:val="20"/>
          <w:lang w:val="en-GB" w:eastAsia="en-GB"/>
        </w:rPr>
        <w:t>dishonesty,</w:t>
      </w:r>
      <w:r w:rsidR="008E696A" w:rsidRPr="00791494">
        <w:rPr>
          <w:rFonts w:eastAsia="Times New Roman" w:cs="Times New Roman"/>
          <w:szCs w:val="20"/>
          <w:lang w:val="en-GB" w:eastAsia="en-GB"/>
        </w:rPr>
        <w:t xml:space="preserve"> theft, </w:t>
      </w:r>
      <w:r w:rsidR="008E696A">
        <w:rPr>
          <w:rFonts w:eastAsia="Times New Roman" w:cs="Times New Roman"/>
          <w:szCs w:val="20"/>
          <w:lang w:val="en-GB" w:eastAsia="en-GB"/>
        </w:rPr>
        <w:t xml:space="preserve">violence, sexual </w:t>
      </w:r>
      <w:r w:rsidR="008E696A" w:rsidRPr="00791494">
        <w:rPr>
          <w:rFonts w:eastAsia="Times New Roman" w:cs="Times New Roman"/>
          <w:szCs w:val="20"/>
          <w:lang w:val="en-GB" w:eastAsia="en-GB"/>
        </w:rPr>
        <w:t>assault)</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a</w:t>
      </w:r>
      <w:r w:rsidR="008E696A" w:rsidRPr="003C5A7E">
        <w:rPr>
          <w:rFonts w:eastAsia="Times New Roman" w:cs="Times New Roman"/>
          <w:szCs w:val="20"/>
          <w:lang w:val="en-GB" w:eastAsia="en-GB"/>
        </w:rPr>
        <w:t xml:space="preserve">busive </w:t>
      </w:r>
      <w:r w:rsidR="008E696A">
        <w:rPr>
          <w:rFonts w:eastAsia="Times New Roman" w:cs="Times New Roman"/>
          <w:szCs w:val="20"/>
          <w:lang w:val="en-GB" w:eastAsia="en-GB"/>
        </w:rPr>
        <w:t>(abuse of trust or power</w:t>
      </w:r>
      <w:r w:rsidR="008E696A" w:rsidRPr="00791494">
        <w:rPr>
          <w:rFonts w:eastAsia="Times New Roman" w:cs="Times New Roman"/>
          <w:szCs w:val="20"/>
          <w:lang w:val="en-GB" w:eastAsia="en-GB"/>
        </w:rPr>
        <w:t>)</w:t>
      </w:r>
    </w:p>
    <w:p w:rsidR="008E696A" w:rsidRPr="003C5A7E"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i</w:t>
      </w:r>
      <w:r w:rsidR="008E696A" w:rsidRPr="003C5A7E">
        <w:rPr>
          <w:rFonts w:eastAsia="Times New Roman" w:cs="Times New Roman"/>
          <w:szCs w:val="20"/>
          <w:lang w:val="en-GB" w:eastAsia="en-GB"/>
        </w:rPr>
        <w:t>nappropriate in nature (including relationship boundary violations)</w:t>
      </w:r>
    </w:p>
    <w:p w:rsidR="005E562D" w:rsidRDefault="00C04C50" w:rsidP="005B5FC6">
      <w:pPr>
        <w:numPr>
          <w:ilvl w:val="1"/>
          <w:numId w:val="17"/>
        </w:numPr>
        <w:spacing w:before="120" w:line="240" w:lineRule="auto"/>
        <w:ind w:left="1134" w:hanging="425"/>
        <w:rPr>
          <w:rFonts w:eastAsia="Times New Roman" w:cs="Times New Roman"/>
          <w:szCs w:val="20"/>
          <w:lang w:val="en-GB" w:eastAsia="en-GB"/>
        </w:rPr>
      </w:pPr>
      <w:proofErr w:type="gramStart"/>
      <w:r>
        <w:rPr>
          <w:rFonts w:eastAsia="Times New Roman" w:cs="Times New Roman"/>
          <w:szCs w:val="20"/>
          <w:lang w:val="en-GB" w:eastAsia="en-GB"/>
        </w:rPr>
        <w:t>p</w:t>
      </w:r>
      <w:r w:rsidR="008E696A" w:rsidRPr="003C5A7E">
        <w:rPr>
          <w:rFonts w:eastAsia="Times New Roman" w:cs="Times New Roman"/>
          <w:szCs w:val="20"/>
          <w:lang w:val="en-GB" w:eastAsia="en-GB"/>
        </w:rPr>
        <w:t>oor</w:t>
      </w:r>
      <w:proofErr w:type="gramEnd"/>
      <w:r w:rsidR="008E696A" w:rsidRPr="003C5A7E">
        <w:rPr>
          <w:rFonts w:eastAsia="Times New Roman" w:cs="Times New Roman"/>
          <w:szCs w:val="20"/>
          <w:lang w:val="en-GB" w:eastAsia="en-GB"/>
        </w:rPr>
        <w:t xml:space="preserve"> professional judgement or poor practice (including failure to properly investigate reports of risk to vulnerable people, </w:t>
      </w:r>
      <w:r w:rsidR="008E696A">
        <w:rPr>
          <w:rFonts w:eastAsia="Times New Roman" w:cs="Times New Roman"/>
          <w:szCs w:val="20"/>
          <w:lang w:val="en-GB" w:eastAsia="en-GB"/>
        </w:rPr>
        <w:t xml:space="preserve">inadequate or incorrect assessments, </w:t>
      </w:r>
      <w:r w:rsidR="008E696A" w:rsidRPr="003C5A7E">
        <w:rPr>
          <w:rFonts w:eastAsia="Times New Roman" w:cs="Times New Roman"/>
          <w:szCs w:val="20"/>
          <w:lang w:val="en-GB" w:eastAsia="en-GB"/>
        </w:rPr>
        <w:t>and breaches of confidentiality)</w:t>
      </w:r>
      <w:r w:rsidR="00652262">
        <w:rPr>
          <w:rFonts w:eastAsia="Times New Roman" w:cs="Times New Roman"/>
          <w:szCs w:val="20"/>
          <w:lang w:val="en-GB" w:eastAsia="en-GB"/>
        </w:rPr>
        <w:t>.</w:t>
      </w:r>
      <w:r w:rsidR="008E696A">
        <w:rPr>
          <w:rStyle w:val="FootnoteReference"/>
          <w:rFonts w:eastAsia="Times New Roman" w:cs="Times New Roman"/>
          <w:szCs w:val="20"/>
          <w:lang w:val="en-GB" w:eastAsia="en-GB"/>
        </w:rPr>
        <w:footnoteReference w:id="14"/>
      </w:r>
    </w:p>
    <w:p w:rsidR="009D740D" w:rsidRDefault="009D740D" w:rsidP="00177E1D">
      <w:pPr>
        <w:numPr>
          <w:ilvl w:val="0"/>
          <w:numId w:val="8"/>
        </w:numPr>
        <w:spacing w:after="240" w:line="240" w:lineRule="auto"/>
        <w:ind w:left="567" w:hanging="567"/>
        <w:rPr>
          <w:rFonts w:eastAsia="Times New Roman"/>
          <w:szCs w:val="20"/>
          <w:lang w:val="en-GB" w:eastAsia="en-GB"/>
        </w:rPr>
      </w:pPr>
      <w:r w:rsidRPr="00C6087F">
        <w:rPr>
          <w:rFonts w:eastAsia="Times New Roman"/>
          <w:szCs w:val="20"/>
          <w:lang w:val="en-GB" w:eastAsia="en-GB"/>
        </w:rPr>
        <w:t>Risks to the publi</w:t>
      </w:r>
      <w:r>
        <w:rPr>
          <w:rFonts w:eastAsia="Times New Roman"/>
          <w:szCs w:val="20"/>
          <w:lang w:val="en-GB" w:eastAsia="en-GB"/>
        </w:rPr>
        <w:t>c may also be exacerbated when s</w:t>
      </w:r>
      <w:r w:rsidRPr="00C6087F">
        <w:rPr>
          <w:rFonts w:eastAsia="Times New Roman"/>
          <w:szCs w:val="20"/>
          <w:lang w:val="en-GB" w:eastAsia="en-GB"/>
        </w:rPr>
        <w:t xml:space="preserve">ocial </w:t>
      </w:r>
      <w:r>
        <w:rPr>
          <w:rFonts w:eastAsia="Times New Roman"/>
          <w:szCs w:val="20"/>
          <w:lang w:val="en-GB" w:eastAsia="en-GB"/>
        </w:rPr>
        <w:t>w</w:t>
      </w:r>
      <w:r w:rsidRPr="00C6087F">
        <w:rPr>
          <w:rFonts w:eastAsia="Times New Roman"/>
          <w:szCs w:val="20"/>
          <w:lang w:val="en-GB" w:eastAsia="en-GB"/>
        </w:rPr>
        <w:t xml:space="preserve">orkers: </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are unqualified or incompetent</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have a physical or mental health condition which affects their ability to practice</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r w:rsidRPr="00B27068">
        <w:rPr>
          <w:rFonts w:eastAsia="Times New Roman" w:cs="Times New Roman"/>
          <w:szCs w:val="20"/>
          <w:lang w:val="en-GB" w:eastAsia="en-GB"/>
        </w:rPr>
        <w:t xml:space="preserve">have a criminal history, falsified identity or false qualification </w:t>
      </w:r>
    </w:p>
    <w:p w:rsidR="009D740D" w:rsidRPr="00B27068" w:rsidRDefault="009D740D" w:rsidP="005B5FC6">
      <w:pPr>
        <w:numPr>
          <w:ilvl w:val="1"/>
          <w:numId w:val="17"/>
        </w:numPr>
        <w:spacing w:before="120" w:line="240" w:lineRule="auto"/>
        <w:ind w:left="1134" w:hanging="425"/>
        <w:rPr>
          <w:rFonts w:eastAsia="Times New Roman" w:cs="Times New Roman"/>
          <w:szCs w:val="20"/>
          <w:lang w:val="en-GB" w:eastAsia="en-GB"/>
        </w:rPr>
      </w:pPr>
      <w:proofErr w:type="gramStart"/>
      <w:r w:rsidRPr="00B27068">
        <w:rPr>
          <w:rFonts w:eastAsia="Times New Roman" w:cs="Times New Roman"/>
          <w:szCs w:val="20"/>
          <w:lang w:val="en-GB" w:eastAsia="en-GB"/>
        </w:rPr>
        <w:t>place</w:t>
      </w:r>
      <w:proofErr w:type="gramEnd"/>
      <w:r w:rsidRPr="00B27068">
        <w:rPr>
          <w:rFonts w:eastAsia="Times New Roman" w:cs="Times New Roman"/>
          <w:szCs w:val="20"/>
          <w:lang w:val="en-GB" w:eastAsia="en-GB"/>
        </w:rPr>
        <w:t xml:space="preserve"> their own interests above those of their clients.</w:t>
      </w:r>
    </w:p>
    <w:p w:rsidR="00DA7B66" w:rsidRDefault="009D1EAF" w:rsidP="00F0036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 xml:space="preserve">While there is information about </w:t>
      </w:r>
      <w:r w:rsidR="00C04C50">
        <w:rPr>
          <w:rFonts w:eastAsia="Times New Roman"/>
          <w:szCs w:val="20"/>
          <w:lang w:val="en-GB" w:eastAsia="en-GB"/>
        </w:rPr>
        <w:t xml:space="preserve">the </w:t>
      </w:r>
      <w:r>
        <w:rPr>
          <w:rFonts w:eastAsia="Times New Roman"/>
          <w:szCs w:val="20"/>
          <w:lang w:val="en-GB" w:eastAsia="en-GB"/>
        </w:rPr>
        <w:t>nature of complaints raised about registered social workers available from the Board’s records, there is a lack of centralised information available about complaints raised about non-registered social workers, and any resultant disciplinary or employment outcomes</w:t>
      </w:r>
      <w:r w:rsidR="007907B1">
        <w:rPr>
          <w:rFonts w:eastAsia="Times New Roman"/>
          <w:szCs w:val="20"/>
          <w:lang w:val="en-GB" w:eastAsia="en-GB"/>
        </w:rPr>
        <w:t xml:space="preserve">.  </w:t>
      </w:r>
      <w:r w:rsidR="00DA7B66" w:rsidRPr="00CB2909">
        <w:rPr>
          <w:rFonts w:eastAsia="Times New Roman"/>
          <w:szCs w:val="20"/>
          <w:lang w:val="en-GB" w:eastAsia="en-GB"/>
        </w:rPr>
        <w:t xml:space="preserve">There are a number of examples where the actions of social workers have been investigated and found to </w:t>
      </w:r>
      <w:r w:rsidR="00C849D4">
        <w:rPr>
          <w:rFonts w:eastAsia="Times New Roman"/>
          <w:szCs w:val="20"/>
          <w:lang w:val="en-GB" w:eastAsia="en-GB"/>
        </w:rPr>
        <w:t xml:space="preserve">have </w:t>
      </w:r>
      <w:r w:rsidR="00DA7B66" w:rsidRPr="00CB2909">
        <w:rPr>
          <w:rFonts w:eastAsia="Times New Roman"/>
          <w:szCs w:val="20"/>
          <w:lang w:val="en-GB" w:eastAsia="en-GB"/>
        </w:rPr>
        <w:t>cause</w:t>
      </w:r>
      <w:r w:rsidR="00C849D4">
        <w:rPr>
          <w:rFonts w:eastAsia="Times New Roman"/>
          <w:szCs w:val="20"/>
          <w:lang w:val="en-GB" w:eastAsia="en-GB"/>
        </w:rPr>
        <w:t>d</w:t>
      </w:r>
      <w:r w:rsidR="00DA7B66" w:rsidRPr="00CB2909">
        <w:rPr>
          <w:rFonts w:eastAsia="Times New Roman"/>
          <w:szCs w:val="20"/>
          <w:lang w:val="en-GB" w:eastAsia="en-GB"/>
        </w:rPr>
        <w:t xml:space="preserve"> harm to clients. </w:t>
      </w:r>
      <w:r w:rsidR="00DA7B66">
        <w:rPr>
          <w:rFonts w:eastAsia="Times New Roman"/>
          <w:szCs w:val="20"/>
          <w:lang w:val="en-GB" w:eastAsia="en-GB"/>
        </w:rPr>
        <w:t xml:space="preserve"> </w:t>
      </w:r>
      <w:r w:rsidR="00DA7B66" w:rsidRPr="00F0036D">
        <w:rPr>
          <w:rFonts w:eastAsia="Times New Roman"/>
          <w:szCs w:val="20"/>
          <w:lang w:val="en-GB" w:eastAsia="en-GB"/>
        </w:rPr>
        <w:t>Examples include</w:t>
      </w:r>
      <w:r w:rsidR="00DA7B66">
        <w:rPr>
          <w:rFonts w:eastAsia="Times New Roman"/>
          <w:szCs w:val="20"/>
          <w:lang w:val="en-GB" w:eastAsia="en-GB"/>
        </w:rPr>
        <w:t>:</w:t>
      </w:r>
    </w:p>
    <w:p w:rsidR="00DA7B66" w:rsidRDefault="00C04C50"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lastRenderedPageBreak/>
        <w:t>i</w:t>
      </w:r>
      <w:r w:rsidR="00DA7B66">
        <w:rPr>
          <w:rFonts w:eastAsia="Times New Roman" w:cs="Times New Roman"/>
          <w:szCs w:val="20"/>
          <w:lang w:val="en-GB" w:eastAsia="en-GB"/>
        </w:rPr>
        <w:t>nadequate assessments and poor judgement leading to</w:t>
      </w:r>
      <w:r w:rsidR="00DA7B66" w:rsidRPr="00CB2909">
        <w:rPr>
          <w:rFonts w:eastAsia="Times New Roman" w:cs="Times New Roman"/>
          <w:szCs w:val="20"/>
          <w:lang w:val="en-GB" w:eastAsia="en-GB"/>
        </w:rPr>
        <w:t xml:space="preserve"> </w:t>
      </w:r>
      <w:r w:rsidR="00DA7B66" w:rsidRPr="00F0036D">
        <w:rPr>
          <w:rFonts w:eastAsia="Times New Roman" w:cs="Times New Roman"/>
          <w:szCs w:val="20"/>
          <w:lang w:val="en-GB" w:eastAsia="en-GB"/>
        </w:rPr>
        <w:t xml:space="preserve">physical or emotional harm </w:t>
      </w:r>
      <w:r w:rsidR="00DA7B66">
        <w:rPr>
          <w:rFonts w:eastAsia="Times New Roman" w:cs="Times New Roman"/>
          <w:szCs w:val="20"/>
          <w:lang w:val="en-GB" w:eastAsia="en-GB"/>
        </w:rPr>
        <w:t>– leaving children in dangerous living situations</w:t>
      </w:r>
      <w:r w:rsidR="00C849D4">
        <w:rPr>
          <w:rFonts w:eastAsia="Times New Roman" w:cs="Times New Roman"/>
          <w:szCs w:val="20"/>
          <w:lang w:val="en-GB" w:eastAsia="en-GB"/>
        </w:rPr>
        <w:t>, or</w:t>
      </w:r>
      <w:r w:rsidR="00DA7B66">
        <w:rPr>
          <w:rFonts w:eastAsia="Times New Roman" w:cs="Times New Roman"/>
          <w:szCs w:val="20"/>
          <w:lang w:val="en-GB" w:eastAsia="en-GB"/>
        </w:rPr>
        <w:t xml:space="preserve"> not detecting risks of self-harm or suicide</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r w:rsidRPr="00F0036D">
        <w:rPr>
          <w:rFonts w:eastAsia="Times New Roman" w:cs="Times New Roman"/>
          <w:szCs w:val="20"/>
          <w:lang w:val="en-GB" w:eastAsia="en-GB"/>
        </w:rPr>
        <w:t>forming</w:t>
      </w:r>
      <w:r w:rsidRPr="00CB2909">
        <w:rPr>
          <w:rFonts w:eastAsia="Times New Roman" w:cs="Times New Roman"/>
          <w:szCs w:val="20"/>
          <w:lang w:val="en-GB" w:eastAsia="en-GB"/>
        </w:rPr>
        <w:t xml:space="preserve"> inappropriate relationships</w:t>
      </w:r>
      <w:r>
        <w:rPr>
          <w:rFonts w:eastAsia="Times New Roman" w:cs="Times New Roman"/>
          <w:szCs w:val="20"/>
          <w:lang w:val="en-GB" w:eastAsia="en-GB"/>
        </w:rPr>
        <w:t xml:space="preserve"> with clients</w:t>
      </w:r>
      <w:r w:rsidRPr="00CB2909">
        <w:rPr>
          <w:rFonts w:eastAsia="Times New Roman" w:cs="Times New Roman"/>
          <w:szCs w:val="20"/>
          <w:lang w:val="en-GB" w:eastAsia="en-GB"/>
        </w:rPr>
        <w:t xml:space="preserve"> </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r w:rsidRPr="00CB2909">
        <w:rPr>
          <w:rFonts w:eastAsia="Times New Roman" w:cs="Times New Roman"/>
          <w:szCs w:val="20"/>
          <w:lang w:val="en-GB" w:eastAsia="en-GB"/>
        </w:rPr>
        <w:t>financial harm from either dishonesty or taking advantage of a vulnerable client</w:t>
      </w:r>
    </w:p>
    <w:p w:rsidR="00DA7B66" w:rsidRDefault="00DA7B66" w:rsidP="005B5FC6">
      <w:pPr>
        <w:numPr>
          <w:ilvl w:val="1"/>
          <w:numId w:val="17"/>
        </w:numPr>
        <w:spacing w:before="120" w:line="240" w:lineRule="auto"/>
        <w:ind w:left="1134" w:hanging="425"/>
        <w:rPr>
          <w:rFonts w:eastAsia="Times New Roman" w:cs="Times New Roman"/>
          <w:szCs w:val="20"/>
          <w:lang w:val="en-GB" w:eastAsia="en-GB"/>
        </w:rPr>
      </w:pPr>
      <w:proofErr w:type="gramStart"/>
      <w:r w:rsidRPr="00CB2909">
        <w:rPr>
          <w:rFonts w:eastAsia="Times New Roman" w:cs="Times New Roman"/>
          <w:szCs w:val="20"/>
          <w:lang w:val="en-GB" w:eastAsia="en-GB"/>
        </w:rPr>
        <w:t>failure</w:t>
      </w:r>
      <w:proofErr w:type="gramEnd"/>
      <w:r w:rsidRPr="00CB2909">
        <w:rPr>
          <w:rFonts w:eastAsia="Times New Roman" w:cs="Times New Roman"/>
          <w:szCs w:val="20"/>
          <w:lang w:val="en-GB" w:eastAsia="en-GB"/>
        </w:rPr>
        <w:t xml:space="preserve"> to liaise with client’s family members and </w:t>
      </w:r>
      <w:r w:rsidR="00C849D4">
        <w:rPr>
          <w:rFonts w:eastAsia="Times New Roman" w:cs="Times New Roman"/>
          <w:szCs w:val="20"/>
          <w:lang w:val="en-GB" w:eastAsia="en-GB"/>
        </w:rPr>
        <w:t xml:space="preserve">collaborate with other case workers leading to a </w:t>
      </w:r>
      <w:r w:rsidR="00665116">
        <w:rPr>
          <w:rFonts w:eastAsia="Times New Roman" w:cs="Times New Roman"/>
          <w:szCs w:val="20"/>
          <w:lang w:val="en-GB" w:eastAsia="en-GB"/>
        </w:rPr>
        <w:t xml:space="preserve">serious </w:t>
      </w:r>
      <w:r w:rsidR="00C849D4">
        <w:rPr>
          <w:rFonts w:eastAsia="Times New Roman" w:cs="Times New Roman"/>
          <w:szCs w:val="20"/>
          <w:lang w:val="en-GB" w:eastAsia="en-GB"/>
        </w:rPr>
        <w:t>lack of proper care.</w:t>
      </w:r>
      <w:r w:rsidRPr="00CB2909">
        <w:rPr>
          <w:rFonts w:eastAsia="Times New Roman" w:cs="Times New Roman"/>
          <w:szCs w:val="20"/>
          <w:lang w:val="en-GB" w:eastAsia="en-GB"/>
        </w:rPr>
        <w:t xml:space="preserve"> </w:t>
      </w:r>
    </w:p>
    <w:p w:rsidR="009D1EAF" w:rsidRPr="00F0036D" w:rsidRDefault="00DA7B66" w:rsidP="00F0036D">
      <w:pPr>
        <w:numPr>
          <w:ilvl w:val="0"/>
          <w:numId w:val="8"/>
        </w:numPr>
        <w:spacing w:after="240" w:line="240" w:lineRule="auto"/>
        <w:ind w:left="567" w:hanging="567"/>
        <w:rPr>
          <w:rFonts w:eastAsia="Times New Roman"/>
          <w:szCs w:val="20"/>
          <w:lang w:val="en-GB" w:eastAsia="en-GB"/>
        </w:rPr>
      </w:pPr>
      <w:r w:rsidRPr="00CB2909">
        <w:rPr>
          <w:rFonts w:eastAsia="Times New Roman"/>
          <w:szCs w:val="20"/>
          <w:lang w:val="en-GB" w:eastAsia="en-GB"/>
        </w:rPr>
        <w:t>The findings of these cases routinely outline the lack of adequate training, poor decision making, or failure to follow established protocols – and essentially amount to the social worker failing to adequately or appropriately discharge their duties towards, or on behalf of the client.</w:t>
      </w:r>
      <w:r w:rsidR="00C849D4">
        <w:rPr>
          <w:rFonts w:eastAsia="Times New Roman"/>
          <w:szCs w:val="20"/>
          <w:lang w:val="en-GB" w:eastAsia="en-GB"/>
        </w:rPr>
        <w:t xml:space="preserve">  Registration cannot guarantee to prevent such failures but it will reduce the likelihood by </w:t>
      </w:r>
      <w:r w:rsidR="00665116">
        <w:rPr>
          <w:rFonts w:eastAsia="Times New Roman"/>
          <w:szCs w:val="20"/>
          <w:lang w:val="en-GB" w:eastAsia="en-GB"/>
        </w:rPr>
        <w:t>requiring</w:t>
      </w:r>
      <w:r w:rsidR="00C849D4">
        <w:rPr>
          <w:rFonts w:eastAsia="Times New Roman"/>
          <w:szCs w:val="20"/>
          <w:lang w:val="en-GB" w:eastAsia="en-GB"/>
        </w:rPr>
        <w:t xml:space="preserve"> proper qualifications and on-going training, and providing a mechanism whereby individuals whose practise is inadequate can be called to account, hopefully before irreversible harm has occurred. </w:t>
      </w:r>
    </w:p>
    <w:p w:rsidR="009D1EAF" w:rsidRDefault="00421BD3" w:rsidP="00421BD3">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 xml:space="preserve">Under the current voluntary regime, non-registered social workers are practising in an environment where serious misconduct and incompetence cannot be adequately addressed, and those social workers who cause serious harm can potentially continue to practice without appropriate penalty or sanction. </w:t>
      </w:r>
      <w:r w:rsidR="00124118">
        <w:rPr>
          <w:rFonts w:eastAsia="Times New Roman"/>
          <w:szCs w:val="20"/>
          <w:lang w:val="en-GB" w:eastAsia="en-GB"/>
        </w:rPr>
        <w:t xml:space="preserve"> </w:t>
      </w:r>
      <w:r w:rsidR="009D1EAF">
        <w:rPr>
          <w:rFonts w:eastAsia="Times New Roman"/>
          <w:szCs w:val="20"/>
          <w:lang w:val="en-GB" w:eastAsia="en-GB"/>
        </w:rPr>
        <w:t>The full disciplinary power of deregistration is ineffective in a voluntary system as those who have had their registration cancelled because of professional misconduct can still practise social work.  Unregistered social worker</w:t>
      </w:r>
      <w:r w:rsidR="007907B1">
        <w:rPr>
          <w:rFonts w:eastAsia="Times New Roman"/>
          <w:szCs w:val="20"/>
          <w:lang w:val="en-GB" w:eastAsia="en-GB"/>
        </w:rPr>
        <w:t>s</w:t>
      </w:r>
      <w:r w:rsidR="009D1EAF">
        <w:rPr>
          <w:rFonts w:eastAsia="Times New Roman"/>
          <w:szCs w:val="20"/>
          <w:lang w:val="en-GB" w:eastAsia="en-GB"/>
        </w:rPr>
        <w:t xml:space="preserve"> with serious complaints lodged against them can continue to practice if they change employment and do not disclose that complaints have been raised.</w:t>
      </w:r>
    </w:p>
    <w:p w:rsidR="00421BD3" w:rsidRDefault="00665116" w:rsidP="00421BD3">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Outside of the registration system, t</w:t>
      </w:r>
      <w:r w:rsidR="00421BD3">
        <w:rPr>
          <w:rFonts w:eastAsia="Times New Roman"/>
          <w:szCs w:val="20"/>
          <w:lang w:val="en-GB" w:eastAsia="en-GB"/>
        </w:rPr>
        <w:t xml:space="preserve">he responsibility </w:t>
      </w:r>
      <w:r w:rsidR="00E60D69">
        <w:rPr>
          <w:rFonts w:eastAsia="Times New Roman"/>
          <w:szCs w:val="20"/>
          <w:lang w:val="en-GB" w:eastAsia="en-GB"/>
        </w:rPr>
        <w:t xml:space="preserve">for </w:t>
      </w:r>
      <w:r w:rsidR="009D1EAF">
        <w:rPr>
          <w:rFonts w:eastAsia="Times New Roman"/>
          <w:szCs w:val="20"/>
          <w:lang w:val="en-GB" w:eastAsia="en-GB"/>
        </w:rPr>
        <w:t xml:space="preserve">detecting harmful practise or addressing misconduct </w:t>
      </w:r>
      <w:r w:rsidR="00421BD3">
        <w:rPr>
          <w:rFonts w:eastAsia="Times New Roman"/>
          <w:szCs w:val="20"/>
          <w:lang w:val="en-GB" w:eastAsia="en-GB"/>
        </w:rPr>
        <w:t>falls to the employer</w:t>
      </w:r>
      <w:r w:rsidR="007907B1">
        <w:rPr>
          <w:rFonts w:eastAsia="Times New Roman"/>
          <w:szCs w:val="20"/>
          <w:lang w:val="en-GB" w:eastAsia="en-GB"/>
        </w:rPr>
        <w:t xml:space="preserve">.  In particular, smaller NGOs would benefit from an external mechanism.  </w:t>
      </w:r>
      <w:r w:rsidR="00421BD3">
        <w:rPr>
          <w:rFonts w:eastAsia="Times New Roman"/>
          <w:szCs w:val="20"/>
          <w:lang w:val="en-GB" w:eastAsia="en-GB"/>
        </w:rPr>
        <w:t xml:space="preserve">Requiring all social workers to be registered provides a mechanism for </w:t>
      </w:r>
      <w:r w:rsidR="00CB2909">
        <w:rPr>
          <w:rFonts w:eastAsia="Times New Roman"/>
          <w:szCs w:val="20"/>
          <w:lang w:val="en-GB" w:eastAsia="en-GB"/>
        </w:rPr>
        <w:t>any</w:t>
      </w:r>
      <w:r w:rsidR="007907B1">
        <w:rPr>
          <w:rFonts w:eastAsia="Times New Roman"/>
          <w:szCs w:val="20"/>
          <w:lang w:val="en-GB" w:eastAsia="en-GB"/>
        </w:rPr>
        <w:t xml:space="preserve"> </w:t>
      </w:r>
      <w:r w:rsidR="00421BD3">
        <w:rPr>
          <w:rFonts w:eastAsia="Times New Roman"/>
          <w:szCs w:val="20"/>
          <w:lang w:val="en-GB" w:eastAsia="en-GB"/>
        </w:rPr>
        <w:t>employer to check the status of any potential new employee</w:t>
      </w:r>
      <w:r w:rsidR="00E60D69">
        <w:rPr>
          <w:rFonts w:eastAsia="Times New Roman"/>
          <w:szCs w:val="20"/>
          <w:lang w:val="en-GB" w:eastAsia="en-GB"/>
        </w:rPr>
        <w:t xml:space="preserve"> and to address serious misconduct</w:t>
      </w:r>
      <w:r w:rsidR="00124118">
        <w:rPr>
          <w:rFonts w:eastAsia="Times New Roman"/>
          <w:szCs w:val="20"/>
          <w:lang w:val="en-GB" w:eastAsia="en-GB"/>
        </w:rPr>
        <w:t>, as well as supporting continuing professional development</w:t>
      </w:r>
      <w:r w:rsidR="00421BD3">
        <w:rPr>
          <w:rFonts w:eastAsia="Times New Roman"/>
          <w:szCs w:val="20"/>
          <w:lang w:val="en-GB" w:eastAsia="en-GB"/>
        </w:rPr>
        <w:t>.</w:t>
      </w:r>
      <w:r w:rsidR="00E60D69">
        <w:rPr>
          <w:rFonts w:eastAsia="Times New Roman"/>
          <w:szCs w:val="20"/>
          <w:lang w:val="en-GB" w:eastAsia="en-GB"/>
        </w:rPr>
        <w:t xml:space="preserve"> </w:t>
      </w:r>
      <w:r w:rsidR="00124118">
        <w:rPr>
          <w:rFonts w:eastAsia="Times New Roman"/>
          <w:szCs w:val="20"/>
          <w:lang w:val="en-GB" w:eastAsia="en-GB"/>
        </w:rPr>
        <w:t xml:space="preserve"> </w:t>
      </w:r>
    </w:p>
    <w:p w:rsidR="00F156F1" w:rsidRPr="005F195E" w:rsidRDefault="00F156F1" w:rsidP="00177E1D">
      <w:pPr>
        <w:numPr>
          <w:ilvl w:val="0"/>
          <w:numId w:val="8"/>
        </w:numPr>
        <w:spacing w:after="240" w:line="240" w:lineRule="auto"/>
        <w:ind w:left="567" w:hanging="567"/>
        <w:rPr>
          <w:rFonts w:eastAsia="Times New Roman"/>
          <w:szCs w:val="20"/>
          <w:lang w:val="en-GB" w:eastAsia="en-GB"/>
        </w:rPr>
      </w:pPr>
      <w:r>
        <w:rPr>
          <w:rFonts w:eastAsia="Times New Roman"/>
          <w:szCs w:val="20"/>
          <w:lang w:val="en-GB" w:eastAsia="en-GB"/>
        </w:rPr>
        <w:t>L</w:t>
      </w:r>
      <w:r w:rsidR="000D016C" w:rsidRPr="00C05771">
        <w:rPr>
          <w:rFonts w:eastAsia="Times New Roman"/>
          <w:szCs w:val="20"/>
          <w:lang w:val="en-GB" w:eastAsia="en-GB"/>
        </w:rPr>
        <w:t>egislative reform offers an opport</w:t>
      </w:r>
      <w:r w:rsidR="000D016C">
        <w:rPr>
          <w:rFonts w:eastAsia="Times New Roman"/>
          <w:szCs w:val="20"/>
          <w:lang w:val="en-GB" w:eastAsia="en-GB"/>
        </w:rPr>
        <w:t>unity to clearly articulate the</w:t>
      </w:r>
      <w:r w:rsidR="000D016C" w:rsidRPr="00C05771">
        <w:rPr>
          <w:rFonts w:eastAsia="Times New Roman"/>
          <w:szCs w:val="20"/>
          <w:lang w:val="en-GB" w:eastAsia="en-GB"/>
        </w:rPr>
        <w:t xml:space="preserve"> change </w:t>
      </w:r>
      <w:r w:rsidR="000D016C">
        <w:rPr>
          <w:rFonts w:eastAsia="Times New Roman"/>
          <w:szCs w:val="20"/>
          <w:lang w:val="en-GB" w:eastAsia="en-GB"/>
        </w:rPr>
        <w:t xml:space="preserve">needed to </w:t>
      </w:r>
      <w:r w:rsidR="003A44AE">
        <w:rPr>
          <w:rFonts w:eastAsia="Times New Roman"/>
          <w:szCs w:val="20"/>
          <w:lang w:val="en-GB" w:eastAsia="en-GB"/>
        </w:rPr>
        <w:t xml:space="preserve">increase the professionalism of the workforce and </w:t>
      </w:r>
      <w:r w:rsidR="000D016C">
        <w:rPr>
          <w:rFonts w:eastAsia="Times New Roman"/>
          <w:szCs w:val="20"/>
          <w:lang w:val="en-GB" w:eastAsia="en-GB"/>
        </w:rPr>
        <w:t>ensure an appropriate level of competence, and protect</w:t>
      </w:r>
      <w:r w:rsidR="00643129">
        <w:rPr>
          <w:rFonts w:eastAsia="Times New Roman"/>
          <w:szCs w:val="20"/>
          <w:lang w:val="en-GB" w:eastAsia="en-GB"/>
        </w:rPr>
        <w:t>ions for</w:t>
      </w:r>
      <w:r w:rsidR="000D016C">
        <w:rPr>
          <w:rFonts w:eastAsia="Times New Roman"/>
          <w:szCs w:val="20"/>
          <w:lang w:val="en-GB" w:eastAsia="en-GB"/>
        </w:rPr>
        <w:t xml:space="preserve"> vulnerable clients from inappropriate and potentially harmful social work practice.</w:t>
      </w:r>
      <w:r w:rsidR="00457DBB">
        <w:rPr>
          <w:rFonts w:eastAsia="Times New Roman"/>
          <w:szCs w:val="20"/>
          <w:lang w:val="en-GB" w:eastAsia="en-GB"/>
        </w:rPr>
        <w:t xml:space="preserve"> </w:t>
      </w:r>
      <w:r w:rsidR="001049B5">
        <w:rPr>
          <w:rFonts w:eastAsia="Times New Roman"/>
          <w:szCs w:val="20"/>
          <w:lang w:val="en-GB" w:eastAsia="en-GB"/>
        </w:rPr>
        <w:t xml:space="preserve"> </w:t>
      </w:r>
      <w:r w:rsidR="00457DBB">
        <w:rPr>
          <w:rFonts w:eastAsia="Times New Roman"/>
          <w:szCs w:val="20"/>
          <w:lang w:val="en-GB" w:eastAsia="en-GB"/>
        </w:rPr>
        <w:t>The effectiveness of Board processes and powers over registered social workers is</w:t>
      </w:r>
      <w:r w:rsidR="00421BD3">
        <w:rPr>
          <w:rFonts w:eastAsia="Times New Roman"/>
          <w:szCs w:val="20"/>
          <w:lang w:val="en-GB" w:eastAsia="en-GB"/>
        </w:rPr>
        <w:t xml:space="preserve"> also</w:t>
      </w:r>
      <w:r w:rsidR="00457DBB">
        <w:rPr>
          <w:rFonts w:eastAsia="Times New Roman"/>
          <w:szCs w:val="20"/>
          <w:lang w:val="en-GB" w:eastAsia="en-GB"/>
        </w:rPr>
        <w:t xml:space="preserve"> undermined by </w:t>
      </w:r>
      <w:r w:rsidR="00643129">
        <w:rPr>
          <w:rFonts w:eastAsia="Times New Roman"/>
          <w:szCs w:val="20"/>
          <w:lang w:val="en-GB" w:eastAsia="en-GB"/>
        </w:rPr>
        <w:t>the current</w:t>
      </w:r>
      <w:r w:rsidR="00457DBB">
        <w:rPr>
          <w:rFonts w:eastAsia="Times New Roman"/>
          <w:szCs w:val="20"/>
          <w:lang w:val="en-GB" w:eastAsia="en-GB"/>
        </w:rPr>
        <w:t xml:space="preserve"> voluntary system</w:t>
      </w:r>
      <w:r w:rsidR="00643129">
        <w:rPr>
          <w:rFonts w:eastAsia="Times New Roman"/>
          <w:szCs w:val="20"/>
          <w:lang w:val="en-GB" w:eastAsia="en-GB"/>
        </w:rPr>
        <w:t xml:space="preserve">, </w:t>
      </w:r>
      <w:r w:rsidR="00DE76C2">
        <w:rPr>
          <w:rFonts w:eastAsia="Times New Roman"/>
          <w:szCs w:val="20"/>
          <w:lang w:val="en-GB" w:eastAsia="en-GB"/>
        </w:rPr>
        <w:t>and therefore a move to a mandatory regime is recommended.  T</w:t>
      </w:r>
      <w:r w:rsidR="00643129">
        <w:rPr>
          <w:rFonts w:eastAsia="Times New Roman"/>
          <w:szCs w:val="20"/>
          <w:lang w:val="en-GB" w:eastAsia="en-GB"/>
        </w:rPr>
        <w:t>here are also a number of ways in which the current legislation could be reformed to improve its efficiency and effectiveness</w:t>
      </w:r>
      <w:r w:rsidR="00457DBB">
        <w:rPr>
          <w:rFonts w:eastAsia="Times New Roman"/>
          <w:szCs w:val="20"/>
          <w:lang w:val="en-GB" w:eastAsia="en-GB"/>
        </w:rPr>
        <w:t>.</w:t>
      </w:r>
    </w:p>
    <w:p w:rsidR="00481F3D" w:rsidRPr="00976D81" w:rsidRDefault="00481F3D" w:rsidP="00177E1D">
      <w:pPr>
        <w:numPr>
          <w:ilvl w:val="0"/>
          <w:numId w:val="8"/>
        </w:numPr>
        <w:spacing w:after="240" w:line="240" w:lineRule="auto"/>
        <w:ind w:left="567" w:hanging="567"/>
        <w:rPr>
          <w:rFonts w:eastAsia="Times New Roman"/>
          <w:kern w:val="28"/>
          <w:szCs w:val="20"/>
          <w:lang w:val="en-US"/>
        </w:rPr>
      </w:pPr>
      <w:r w:rsidRPr="00976D81">
        <w:rPr>
          <w:rFonts w:eastAsia="Times New Roman" w:cs="Times New Roman"/>
          <w:szCs w:val="20"/>
          <w:lang w:val="en-GB" w:eastAsia="en-GB"/>
        </w:rPr>
        <w:t xml:space="preserve">Regulatory and non-regulatory options have been considered to address the problem.  </w:t>
      </w:r>
      <w:r w:rsidRPr="00976D81">
        <w:rPr>
          <w:rFonts w:eastAsia="Times New Roman"/>
          <w:color w:val="000000"/>
          <w:kern w:val="22"/>
          <w:szCs w:val="20"/>
          <w:lang w:eastAsia="en-NZ"/>
        </w:rPr>
        <w:t>There are many</w:t>
      </w:r>
      <w:r w:rsidRPr="00976D81">
        <w:rPr>
          <w:rFonts w:eastAsia="Times New Roman" w:cs="Times New Roman"/>
          <w:szCs w:val="20"/>
          <w:lang w:val="en-GB" w:eastAsia="en-GB"/>
        </w:rPr>
        <w:t xml:space="preserve"> non-regulatory initiatives underway to address the fundamental need for an improvement in the quality of social work</w:t>
      </w:r>
      <w:r w:rsidR="009C6D2E">
        <w:rPr>
          <w:rFonts w:eastAsia="Times New Roman" w:cs="Times New Roman"/>
          <w:szCs w:val="20"/>
          <w:lang w:val="en-GB" w:eastAsia="en-GB"/>
        </w:rPr>
        <w:t xml:space="preserve"> but have not taken us far enough.</w:t>
      </w:r>
      <w:r w:rsidRPr="00976D81">
        <w:rPr>
          <w:rFonts w:eastAsia="Times New Roman"/>
          <w:kern w:val="28"/>
          <w:szCs w:val="20"/>
          <w:lang w:val="en-US"/>
        </w:rPr>
        <w:t xml:space="preserve"> </w:t>
      </w:r>
      <w:r w:rsidR="00124118">
        <w:rPr>
          <w:rFonts w:eastAsia="Times New Roman"/>
          <w:kern w:val="28"/>
          <w:szCs w:val="20"/>
          <w:lang w:val="en-US"/>
        </w:rPr>
        <w:t xml:space="preserve"> </w:t>
      </w:r>
      <w:r w:rsidRPr="00976D81">
        <w:rPr>
          <w:rFonts w:eastAsia="Times New Roman"/>
          <w:kern w:val="28"/>
          <w:szCs w:val="20"/>
          <w:lang w:val="en-US"/>
        </w:rPr>
        <w:t xml:space="preserve">A more effective regulatory regime will complement and strengthen other initiatives such as the new operating model to improve outcomes for vulnerable children and young people being led by the </w:t>
      </w:r>
      <w:r w:rsidR="001913C7" w:rsidRPr="007A6992">
        <w:rPr>
          <w:rFonts w:eastAsia="Times New Roman"/>
          <w:szCs w:val="20"/>
          <w:lang w:val="en-GB" w:eastAsia="en-GB"/>
        </w:rPr>
        <w:t>Ministry for Vulne</w:t>
      </w:r>
      <w:r w:rsidR="001913C7">
        <w:rPr>
          <w:rFonts w:eastAsia="Times New Roman"/>
          <w:szCs w:val="20"/>
          <w:lang w:val="en-GB" w:eastAsia="en-GB"/>
        </w:rPr>
        <w:t xml:space="preserve">rable Children, </w:t>
      </w:r>
      <w:proofErr w:type="spellStart"/>
      <w:r w:rsidR="001913C7">
        <w:rPr>
          <w:rFonts w:eastAsia="Times New Roman"/>
          <w:szCs w:val="20"/>
          <w:lang w:val="en-GB" w:eastAsia="en-GB"/>
        </w:rPr>
        <w:t>Oranga</w:t>
      </w:r>
      <w:proofErr w:type="spellEnd"/>
      <w:r w:rsidR="001913C7">
        <w:rPr>
          <w:rFonts w:eastAsia="Times New Roman"/>
          <w:szCs w:val="20"/>
          <w:lang w:val="en-GB" w:eastAsia="en-GB"/>
        </w:rPr>
        <w:t xml:space="preserve"> </w:t>
      </w:r>
      <w:proofErr w:type="spellStart"/>
      <w:r w:rsidR="001913C7">
        <w:rPr>
          <w:rFonts w:eastAsia="Times New Roman"/>
          <w:szCs w:val="20"/>
          <w:lang w:val="en-GB" w:eastAsia="en-GB"/>
        </w:rPr>
        <w:t>Tamariki</w:t>
      </w:r>
      <w:proofErr w:type="spellEnd"/>
      <w:r w:rsidR="00100192">
        <w:rPr>
          <w:rFonts w:eastAsia="Times New Roman"/>
          <w:kern w:val="28"/>
          <w:szCs w:val="20"/>
          <w:lang w:val="en-US"/>
        </w:rPr>
        <w:t>.</w:t>
      </w:r>
    </w:p>
    <w:p w:rsidR="003E4391" w:rsidRDefault="003E4391">
      <w:pPr>
        <w:spacing w:after="0" w:line="240" w:lineRule="auto"/>
        <w:rPr>
          <w:rFonts w:eastAsia="Times New Roman" w:cs="Times New Roman"/>
          <w:szCs w:val="20"/>
          <w:lang w:val="en-GB" w:eastAsia="en-GB"/>
        </w:rPr>
      </w:pPr>
      <w:r>
        <w:rPr>
          <w:rFonts w:eastAsia="Times New Roman" w:cs="Times New Roman"/>
          <w:szCs w:val="20"/>
          <w:lang w:val="en-GB" w:eastAsia="en-GB"/>
        </w:rPr>
        <w:br w:type="page"/>
      </w:r>
    </w:p>
    <w:p w:rsidR="000D016C" w:rsidRPr="00435B67" w:rsidRDefault="000D016C"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lastRenderedPageBreak/>
        <w:t>T</w:t>
      </w:r>
      <w:r w:rsidRPr="00CF603E">
        <w:rPr>
          <w:rFonts w:eastAsia="Times New Roman" w:cs="Times New Roman"/>
          <w:szCs w:val="20"/>
          <w:lang w:val="en-GB" w:eastAsia="en-GB"/>
        </w:rPr>
        <w:t>he reform pr</w:t>
      </w:r>
      <w:r>
        <w:rPr>
          <w:rFonts w:eastAsia="Times New Roman" w:cs="Times New Roman"/>
          <w:szCs w:val="20"/>
          <w:lang w:val="en-GB" w:eastAsia="en-GB"/>
        </w:rPr>
        <w:t xml:space="preserve">oposals considered in </w:t>
      </w:r>
      <w:r w:rsidR="00937D41">
        <w:rPr>
          <w:rFonts w:eastAsia="Times New Roman" w:cs="Times New Roman"/>
          <w:szCs w:val="20"/>
          <w:lang w:val="en-GB" w:eastAsia="en-GB"/>
        </w:rPr>
        <w:t>this RIS</w:t>
      </w:r>
      <w:r w:rsidRPr="00CF603E">
        <w:rPr>
          <w:rFonts w:eastAsia="Times New Roman" w:cs="Times New Roman"/>
          <w:szCs w:val="20"/>
          <w:lang w:val="en-GB" w:eastAsia="en-GB"/>
        </w:rPr>
        <w:t xml:space="preserve"> address</w:t>
      </w:r>
      <w:r w:rsidR="003A44AE">
        <w:rPr>
          <w:rFonts w:eastAsia="Times New Roman"/>
          <w:szCs w:val="20"/>
          <w:lang w:eastAsia="en-GB"/>
        </w:rPr>
        <w:t xml:space="preserve"> various </w:t>
      </w:r>
      <w:r>
        <w:rPr>
          <w:rFonts w:eastAsia="Times New Roman"/>
          <w:szCs w:val="20"/>
          <w:lang w:eastAsia="en-GB"/>
        </w:rPr>
        <w:t>aspects of what is needed to increase the professionali</w:t>
      </w:r>
      <w:r w:rsidR="003A44AE">
        <w:rPr>
          <w:rFonts w:eastAsia="Times New Roman"/>
          <w:szCs w:val="20"/>
          <w:lang w:eastAsia="en-GB"/>
        </w:rPr>
        <w:t xml:space="preserve">sm of the social work workforce. </w:t>
      </w:r>
      <w:r w:rsidR="00643129">
        <w:rPr>
          <w:rFonts w:eastAsia="Times New Roman"/>
          <w:szCs w:val="20"/>
          <w:lang w:eastAsia="en-GB"/>
        </w:rPr>
        <w:t xml:space="preserve"> </w:t>
      </w:r>
      <w:r w:rsidR="00481F3D">
        <w:rPr>
          <w:rFonts w:eastAsia="Times New Roman"/>
          <w:szCs w:val="20"/>
          <w:lang w:eastAsia="en-GB"/>
        </w:rPr>
        <w:t xml:space="preserve">Detailed analysis of the possible options and </w:t>
      </w:r>
      <w:r w:rsidR="003A44AE">
        <w:rPr>
          <w:rFonts w:eastAsia="Times New Roman"/>
          <w:szCs w:val="20"/>
          <w:lang w:eastAsia="en-GB"/>
        </w:rPr>
        <w:t>propos</w:t>
      </w:r>
      <w:r w:rsidR="00481F3D">
        <w:rPr>
          <w:rFonts w:eastAsia="Times New Roman"/>
          <w:szCs w:val="20"/>
          <w:lang w:eastAsia="en-GB"/>
        </w:rPr>
        <w:t>ed changes</w:t>
      </w:r>
      <w:r w:rsidR="003A44AE">
        <w:rPr>
          <w:rFonts w:eastAsia="Times New Roman"/>
          <w:szCs w:val="20"/>
          <w:lang w:eastAsia="en-GB"/>
        </w:rPr>
        <w:t xml:space="preserve"> have been grouped together under the following headings:</w:t>
      </w:r>
    </w:p>
    <w:p w:rsidR="00C05771"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Part One: </w:t>
      </w:r>
      <w:r w:rsidR="006378E8">
        <w:rPr>
          <w:rFonts w:eastAsia="Times New Roman" w:cs="Times New Roman"/>
          <w:szCs w:val="20"/>
          <w:lang w:val="en-GB" w:eastAsia="en-GB"/>
        </w:rPr>
        <w:t>registration of social workers</w:t>
      </w:r>
    </w:p>
    <w:p w:rsidR="00652262"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Part Two: </w:t>
      </w:r>
      <w:r w:rsidR="003E4391">
        <w:rPr>
          <w:rFonts w:eastAsia="Times New Roman" w:cs="Times New Roman"/>
          <w:szCs w:val="20"/>
          <w:lang w:val="en-GB" w:eastAsia="en-GB"/>
        </w:rPr>
        <w:t>a</w:t>
      </w:r>
      <w:r w:rsidRPr="00652262">
        <w:rPr>
          <w:rFonts w:eastAsia="Times New Roman" w:cs="Times New Roman"/>
          <w:szCs w:val="20"/>
          <w:lang w:val="en-GB" w:eastAsia="en-GB"/>
        </w:rPr>
        <w:t xml:space="preserve">mendments to the </w:t>
      </w:r>
      <w:r w:rsidR="00D97D37">
        <w:rPr>
          <w:rFonts w:eastAsia="Times New Roman" w:cs="Times New Roman"/>
          <w:szCs w:val="20"/>
          <w:lang w:val="en-GB" w:eastAsia="en-GB"/>
        </w:rPr>
        <w:t>SWR</w:t>
      </w:r>
      <w:r w:rsidRPr="00652262">
        <w:rPr>
          <w:rFonts w:eastAsia="Times New Roman" w:cs="Times New Roman"/>
          <w:szCs w:val="20"/>
          <w:lang w:val="en-GB" w:eastAsia="en-GB"/>
        </w:rPr>
        <w:t xml:space="preserve"> Act to increase transparency and professionalism</w:t>
      </w:r>
      <w:r w:rsidR="003E4391">
        <w:rPr>
          <w:rFonts w:eastAsia="Times New Roman" w:cs="Times New Roman"/>
          <w:szCs w:val="20"/>
          <w:lang w:val="en-GB" w:eastAsia="en-GB"/>
        </w:rPr>
        <w:t>:</w:t>
      </w:r>
    </w:p>
    <w:p w:rsidR="006378E8" w:rsidRPr="00C05771" w:rsidRDefault="006378E8"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checks and balances</w:t>
      </w:r>
      <w:r w:rsidR="001049B5">
        <w:rPr>
          <w:rFonts w:eastAsia="Times New Roman" w:cs="Times New Roman"/>
          <w:szCs w:val="20"/>
          <w:lang w:val="en-GB" w:eastAsia="en-GB"/>
        </w:rPr>
        <w:t xml:space="preserve"> </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experienced based</w:t>
      </w:r>
      <w:r w:rsidR="006378E8">
        <w:rPr>
          <w:rFonts w:eastAsia="Times New Roman" w:cs="Times New Roman"/>
          <w:szCs w:val="20"/>
          <w:lang w:val="en-GB" w:eastAsia="en-GB"/>
        </w:rPr>
        <w:t xml:space="preserve"> pathway to registration</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 xml:space="preserve">ensuring </w:t>
      </w:r>
      <w:r w:rsidR="006378E8">
        <w:rPr>
          <w:rFonts w:eastAsia="Times New Roman" w:cs="Times New Roman"/>
          <w:szCs w:val="20"/>
          <w:lang w:val="en-GB" w:eastAsia="en-GB"/>
        </w:rPr>
        <w:t>competence</w:t>
      </w:r>
    </w:p>
    <w:p w:rsidR="006378E8" w:rsidRDefault="001D221F" w:rsidP="005B5FC6">
      <w:pPr>
        <w:numPr>
          <w:ilvl w:val="2"/>
          <w:numId w:val="29"/>
        </w:numPr>
        <w:spacing w:before="120" w:line="240" w:lineRule="auto"/>
        <w:rPr>
          <w:rFonts w:eastAsia="Times New Roman" w:cs="Times New Roman"/>
          <w:szCs w:val="20"/>
          <w:lang w:val="en-GB" w:eastAsia="en-GB"/>
        </w:rPr>
      </w:pPr>
      <w:r>
        <w:rPr>
          <w:rFonts w:eastAsia="Times New Roman" w:cs="Times New Roman"/>
          <w:szCs w:val="20"/>
          <w:lang w:val="en-GB" w:eastAsia="en-GB"/>
        </w:rPr>
        <w:t xml:space="preserve">ensuring </w:t>
      </w:r>
      <w:r w:rsidR="006378E8">
        <w:rPr>
          <w:rFonts w:eastAsia="Times New Roman" w:cs="Times New Roman"/>
          <w:szCs w:val="20"/>
          <w:lang w:val="en-GB" w:eastAsia="en-GB"/>
        </w:rPr>
        <w:t>fitness to practice</w:t>
      </w:r>
    </w:p>
    <w:p w:rsidR="006378E8" w:rsidRDefault="006378E8" w:rsidP="005B5FC6">
      <w:pPr>
        <w:numPr>
          <w:ilvl w:val="2"/>
          <w:numId w:val="29"/>
        </w:numPr>
        <w:spacing w:before="120" w:line="240" w:lineRule="auto"/>
        <w:rPr>
          <w:rFonts w:eastAsia="Times New Roman" w:cs="Times New Roman"/>
          <w:szCs w:val="20"/>
          <w:lang w:val="en-GB" w:eastAsia="en-GB"/>
        </w:rPr>
      </w:pPr>
      <w:proofErr w:type="gramStart"/>
      <w:r>
        <w:rPr>
          <w:rFonts w:eastAsia="Times New Roman" w:cs="Times New Roman"/>
          <w:szCs w:val="20"/>
          <w:lang w:val="en-GB" w:eastAsia="en-GB"/>
        </w:rPr>
        <w:t>complaints</w:t>
      </w:r>
      <w:proofErr w:type="gramEnd"/>
      <w:r>
        <w:rPr>
          <w:rFonts w:eastAsia="Times New Roman" w:cs="Times New Roman"/>
          <w:szCs w:val="20"/>
          <w:lang w:val="en-GB" w:eastAsia="en-GB"/>
        </w:rPr>
        <w:t xml:space="preserve"> and disciplinary processes</w:t>
      </w:r>
      <w:r w:rsidR="001D221F">
        <w:rPr>
          <w:rFonts w:eastAsia="Times New Roman" w:cs="Times New Roman"/>
          <w:szCs w:val="20"/>
          <w:lang w:val="en-GB" w:eastAsia="en-GB"/>
        </w:rPr>
        <w:t>.</w:t>
      </w:r>
    </w:p>
    <w:p w:rsidR="002C312C" w:rsidRPr="002A5D5B" w:rsidRDefault="00CA4875" w:rsidP="00177E1D">
      <w:pPr>
        <w:numPr>
          <w:ilvl w:val="0"/>
          <w:numId w:val="8"/>
        </w:numPr>
        <w:spacing w:before="240" w:line="240" w:lineRule="auto"/>
        <w:ind w:left="567" w:hanging="567"/>
        <w:rPr>
          <w:rFonts w:eastAsia="Times New Roman" w:cs="Times New Roman"/>
          <w:szCs w:val="20"/>
          <w:lang w:val="en-GB" w:eastAsia="en-GB"/>
        </w:rPr>
      </w:pPr>
      <w:r>
        <w:rPr>
          <w:rFonts w:eastAsia="Times New Roman" w:cs="Times New Roman"/>
          <w:szCs w:val="20"/>
          <w:lang w:val="en-GB" w:eastAsia="en-GB"/>
        </w:rPr>
        <w:t>With respect to the vehicle for legislative change, t</w:t>
      </w:r>
      <w:r w:rsidR="002C312C" w:rsidRPr="002A5D5B">
        <w:rPr>
          <w:rFonts w:eastAsia="Times New Roman" w:cs="Times New Roman"/>
          <w:szCs w:val="20"/>
          <w:lang w:val="en-GB" w:eastAsia="en-GB"/>
        </w:rPr>
        <w:t xml:space="preserve">he </w:t>
      </w:r>
      <w:r w:rsidR="00101F12">
        <w:rPr>
          <w:rFonts w:eastAsia="Times New Roman" w:cs="Times New Roman"/>
          <w:szCs w:val="20"/>
          <w:lang w:val="en-GB" w:eastAsia="en-GB"/>
        </w:rPr>
        <w:t xml:space="preserve">Select </w:t>
      </w:r>
      <w:r w:rsidR="002C312C" w:rsidRPr="002A5D5B">
        <w:rPr>
          <w:rFonts w:eastAsia="Times New Roman" w:cs="Times New Roman"/>
          <w:szCs w:val="20"/>
          <w:lang w:val="en-GB" w:eastAsia="en-GB"/>
        </w:rPr>
        <w:t>Committee noted the following options for achieving its recommendations:</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amending the SWR Act</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repealing and replacing the SWR Act</w:t>
      </w:r>
    </w:p>
    <w:p w:rsidR="002C312C" w:rsidRPr="002A5D5B" w:rsidRDefault="002C312C" w:rsidP="005B5FC6">
      <w:pPr>
        <w:numPr>
          <w:ilvl w:val="1"/>
          <w:numId w:val="17"/>
        </w:numPr>
        <w:spacing w:before="12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 xml:space="preserve">repealing the SWR Act and incorporating social work into the Health Practitioners Competence Assurance Act </w:t>
      </w:r>
      <w:r w:rsidR="002F638D">
        <w:rPr>
          <w:rFonts w:eastAsia="Times New Roman" w:cs="Times New Roman"/>
          <w:szCs w:val="20"/>
          <w:lang w:val="en-GB" w:eastAsia="en-GB"/>
        </w:rPr>
        <w:t xml:space="preserve">2003 </w:t>
      </w:r>
      <w:r w:rsidRPr="002A5D5B">
        <w:rPr>
          <w:rFonts w:eastAsia="Times New Roman" w:cs="Times New Roman"/>
          <w:szCs w:val="20"/>
          <w:lang w:val="en-GB" w:eastAsia="en-GB"/>
        </w:rPr>
        <w:t>(HPCA Act)</w:t>
      </w:r>
    </w:p>
    <w:p w:rsidR="002C312C" w:rsidRPr="00B27068" w:rsidRDefault="002C312C" w:rsidP="005B5FC6">
      <w:pPr>
        <w:numPr>
          <w:ilvl w:val="1"/>
          <w:numId w:val="17"/>
        </w:numPr>
        <w:spacing w:before="120" w:line="240" w:lineRule="auto"/>
        <w:ind w:left="1134" w:hanging="425"/>
        <w:rPr>
          <w:rFonts w:eastAsia="Times New Roman" w:cs="Times New Roman"/>
          <w:szCs w:val="20"/>
          <w:lang w:val="en-GB" w:eastAsia="en-GB"/>
        </w:rPr>
      </w:pPr>
      <w:proofErr w:type="gramStart"/>
      <w:r w:rsidRPr="002A5D5B">
        <w:rPr>
          <w:rFonts w:eastAsia="Times New Roman" w:cs="Times New Roman"/>
          <w:szCs w:val="20"/>
          <w:lang w:val="en-GB" w:eastAsia="en-GB"/>
        </w:rPr>
        <w:t>amending</w:t>
      </w:r>
      <w:proofErr w:type="gramEnd"/>
      <w:r w:rsidRPr="002A5D5B">
        <w:rPr>
          <w:rFonts w:eastAsia="Times New Roman" w:cs="Times New Roman"/>
          <w:szCs w:val="20"/>
          <w:lang w:val="en-GB" w:eastAsia="en-GB"/>
        </w:rPr>
        <w:t xml:space="preserve"> the SWR Act and incorporating social work partially into the HPCA Act.</w:t>
      </w:r>
    </w:p>
    <w:p w:rsidR="00612A00" w:rsidRDefault="002C312C" w:rsidP="00177E1D">
      <w:pPr>
        <w:numPr>
          <w:ilvl w:val="0"/>
          <w:numId w:val="8"/>
        </w:numPr>
        <w:spacing w:before="240" w:line="240" w:lineRule="auto"/>
        <w:ind w:left="567" w:hanging="567"/>
        <w:rPr>
          <w:rFonts w:eastAsia="Times New Roman" w:cs="Times New Roman"/>
          <w:szCs w:val="20"/>
          <w:lang w:val="en-GB" w:eastAsia="en-GB"/>
        </w:rPr>
      </w:pPr>
      <w:r w:rsidRPr="002A5D5B">
        <w:rPr>
          <w:rFonts w:eastAsia="Times New Roman" w:cs="Times New Roman"/>
          <w:szCs w:val="20"/>
          <w:lang w:val="en-GB" w:eastAsia="en-GB"/>
        </w:rPr>
        <w:t xml:space="preserve">MSD has considered the best means of implementing the legislative reform proposals in this RIS. </w:t>
      </w:r>
      <w:r w:rsidR="00481F3D" w:rsidRPr="002A5D5B">
        <w:rPr>
          <w:rFonts w:eastAsia="Times New Roman" w:cs="Times New Roman"/>
          <w:szCs w:val="20"/>
          <w:lang w:val="en-GB" w:eastAsia="en-GB"/>
        </w:rPr>
        <w:t xml:space="preserve"> On the basis of the scale and scope of the recommended legislative changes, MSD recommends</w:t>
      </w:r>
      <w:r w:rsidRPr="002A5D5B">
        <w:rPr>
          <w:rFonts w:eastAsia="Times New Roman" w:cs="Times New Roman"/>
          <w:szCs w:val="20"/>
          <w:lang w:val="en-GB" w:eastAsia="en-GB"/>
        </w:rPr>
        <w:t xml:space="preserve"> a Bill amending the SWR Act </w:t>
      </w:r>
      <w:r w:rsidR="00481F3D" w:rsidRPr="002A5D5B">
        <w:rPr>
          <w:rFonts w:eastAsia="Times New Roman" w:cs="Times New Roman"/>
          <w:szCs w:val="20"/>
          <w:lang w:val="en-GB" w:eastAsia="en-GB"/>
        </w:rPr>
        <w:t xml:space="preserve">as </w:t>
      </w:r>
      <w:r w:rsidRPr="002A5D5B">
        <w:rPr>
          <w:rFonts w:eastAsia="Times New Roman" w:cs="Times New Roman"/>
          <w:szCs w:val="20"/>
          <w:lang w:val="en-GB" w:eastAsia="en-GB"/>
        </w:rPr>
        <w:t xml:space="preserve">the most appropriate vehicle for legislative reform.  </w:t>
      </w:r>
    </w:p>
    <w:p w:rsidR="00E60D69" w:rsidRPr="000473EF" w:rsidRDefault="00E60D69" w:rsidP="00E60D69">
      <w:pPr>
        <w:numPr>
          <w:ilvl w:val="0"/>
          <w:numId w:val="8"/>
        </w:numPr>
        <w:spacing w:before="240" w:line="240" w:lineRule="auto"/>
        <w:ind w:left="567" w:hanging="567"/>
        <w:rPr>
          <w:rFonts w:eastAsia="Times New Roman" w:cs="Times New Roman"/>
          <w:szCs w:val="20"/>
          <w:lang w:val="en-GB" w:eastAsia="en-GB"/>
        </w:rPr>
      </w:pPr>
      <w:r w:rsidRPr="000473EF">
        <w:rPr>
          <w:rFonts w:eastAsia="Times New Roman" w:cs="Times New Roman"/>
          <w:szCs w:val="20"/>
          <w:lang w:val="en-GB" w:eastAsia="en-GB"/>
        </w:rPr>
        <w:t>Officials and the Board</w:t>
      </w:r>
      <w:r w:rsidR="007231FB" w:rsidRPr="000473EF">
        <w:rPr>
          <w:rFonts w:eastAsia="Times New Roman" w:cs="Times New Roman"/>
          <w:szCs w:val="20"/>
          <w:lang w:val="en-GB" w:eastAsia="en-GB"/>
        </w:rPr>
        <w:t xml:space="preserve"> consider that</w:t>
      </w:r>
      <w:r w:rsidR="00CB2909" w:rsidRPr="000473EF">
        <w:rPr>
          <w:rFonts w:eastAsia="Times New Roman" w:cs="Times New Roman"/>
          <w:szCs w:val="20"/>
          <w:lang w:val="en-GB" w:eastAsia="en-GB"/>
        </w:rPr>
        <w:t>, as suggested by the Select Committee</w:t>
      </w:r>
      <w:r w:rsidR="00CB2909">
        <w:rPr>
          <w:rFonts w:eastAsia="Times New Roman" w:cs="Times New Roman"/>
          <w:szCs w:val="20"/>
          <w:lang w:val="en-GB" w:eastAsia="en-GB"/>
        </w:rPr>
        <w:t>,</w:t>
      </w:r>
      <w:r w:rsidR="00CB2909" w:rsidRPr="000473EF">
        <w:rPr>
          <w:rFonts w:eastAsia="Times New Roman" w:cs="Times New Roman"/>
          <w:szCs w:val="20"/>
          <w:lang w:val="en-GB" w:eastAsia="en-GB"/>
        </w:rPr>
        <w:t xml:space="preserve"> </w:t>
      </w:r>
      <w:r w:rsidRPr="000473EF">
        <w:rPr>
          <w:rFonts w:eastAsia="Times New Roman" w:cs="Times New Roman"/>
          <w:szCs w:val="20"/>
          <w:lang w:val="en-GB" w:eastAsia="en-GB"/>
        </w:rPr>
        <w:t>the H</w:t>
      </w:r>
      <w:r w:rsidR="007231FB" w:rsidRPr="000473EF">
        <w:rPr>
          <w:rFonts w:eastAsia="Times New Roman" w:cs="Times New Roman"/>
          <w:szCs w:val="20"/>
          <w:lang w:val="en-GB" w:eastAsia="en-GB"/>
        </w:rPr>
        <w:t>P</w:t>
      </w:r>
      <w:r w:rsidRPr="000473EF">
        <w:rPr>
          <w:rFonts w:eastAsia="Times New Roman" w:cs="Times New Roman"/>
          <w:szCs w:val="20"/>
          <w:lang w:val="en-GB" w:eastAsia="en-GB"/>
        </w:rPr>
        <w:t>C</w:t>
      </w:r>
      <w:r w:rsidR="007231FB" w:rsidRPr="000473EF">
        <w:rPr>
          <w:rFonts w:eastAsia="Times New Roman" w:cs="Times New Roman"/>
          <w:szCs w:val="20"/>
          <w:lang w:val="en-GB" w:eastAsia="en-GB"/>
        </w:rPr>
        <w:t xml:space="preserve">A Act </w:t>
      </w:r>
      <w:r w:rsidRPr="000473EF">
        <w:rPr>
          <w:rFonts w:eastAsia="Times New Roman" w:cs="Times New Roman"/>
          <w:szCs w:val="20"/>
          <w:lang w:val="en-GB" w:eastAsia="en-GB"/>
        </w:rPr>
        <w:t>is</w:t>
      </w:r>
      <w:r w:rsidR="007231FB" w:rsidRPr="000473EF">
        <w:rPr>
          <w:rFonts w:eastAsia="Times New Roman" w:cs="Times New Roman"/>
          <w:szCs w:val="20"/>
          <w:lang w:val="en-GB" w:eastAsia="en-GB"/>
        </w:rPr>
        <w:t xml:space="preserve"> </w:t>
      </w:r>
      <w:r w:rsidR="003E4391">
        <w:rPr>
          <w:rFonts w:eastAsia="Times New Roman" w:cs="Times New Roman"/>
          <w:szCs w:val="20"/>
          <w:lang w:val="en-GB" w:eastAsia="en-GB"/>
        </w:rPr>
        <w:t xml:space="preserve">a </w:t>
      </w:r>
      <w:r w:rsidRPr="000473EF">
        <w:rPr>
          <w:rFonts w:eastAsia="Times New Roman" w:cs="Times New Roman"/>
          <w:szCs w:val="20"/>
          <w:lang w:val="en-GB" w:eastAsia="en-GB"/>
        </w:rPr>
        <w:t>good</w:t>
      </w:r>
      <w:r w:rsidR="007231FB" w:rsidRPr="000473EF">
        <w:rPr>
          <w:rFonts w:eastAsia="Times New Roman" w:cs="Times New Roman"/>
          <w:szCs w:val="20"/>
          <w:lang w:val="en-GB" w:eastAsia="en-GB"/>
        </w:rPr>
        <w:t xml:space="preserve"> model </w:t>
      </w:r>
      <w:r w:rsidR="00421BD3" w:rsidRPr="000473EF">
        <w:rPr>
          <w:rFonts w:eastAsia="Times New Roman" w:cs="Times New Roman"/>
          <w:szCs w:val="20"/>
          <w:lang w:val="en-GB" w:eastAsia="en-GB"/>
        </w:rPr>
        <w:t xml:space="preserve">for </w:t>
      </w:r>
      <w:r w:rsidR="009476DF" w:rsidRPr="000473EF">
        <w:rPr>
          <w:rFonts w:eastAsia="Times New Roman" w:cs="Times New Roman"/>
          <w:szCs w:val="20"/>
          <w:lang w:val="en-GB" w:eastAsia="en-GB"/>
        </w:rPr>
        <w:t xml:space="preserve">the recommended </w:t>
      </w:r>
      <w:r w:rsidR="00421BD3" w:rsidRPr="000473EF">
        <w:rPr>
          <w:rFonts w:eastAsia="Times New Roman" w:cs="Times New Roman"/>
          <w:szCs w:val="20"/>
          <w:lang w:val="en-GB" w:eastAsia="en-GB"/>
        </w:rPr>
        <w:t>amend</w:t>
      </w:r>
      <w:r w:rsidR="009476DF" w:rsidRPr="000473EF">
        <w:rPr>
          <w:rFonts w:eastAsia="Times New Roman" w:cs="Times New Roman"/>
          <w:szCs w:val="20"/>
          <w:lang w:val="en-GB" w:eastAsia="en-GB"/>
        </w:rPr>
        <w:t>ments to</w:t>
      </w:r>
      <w:r w:rsidR="008C03E6"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the SWR Act. </w:t>
      </w:r>
      <w:r w:rsidR="009476DF" w:rsidRPr="000473EF">
        <w:rPr>
          <w:rFonts w:eastAsia="Times New Roman" w:cs="Times New Roman"/>
          <w:szCs w:val="20"/>
          <w:lang w:val="en-GB" w:eastAsia="en-GB"/>
        </w:rPr>
        <w:t xml:space="preserve"> </w:t>
      </w:r>
      <w:r w:rsidRPr="000473EF">
        <w:rPr>
          <w:rFonts w:eastAsia="Times New Roman" w:cs="Times New Roman"/>
          <w:szCs w:val="20"/>
          <w:lang w:val="en-GB" w:eastAsia="en-GB"/>
        </w:rPr>
        <w:t xml:space="preserve">The nature of social work better aligns with the </w:t>
      </w:r>
      <w:r w:rsidR="009476DF" w:rsidRPr="000473EF">
        <w:rPr>
          <w:rFonts w:eastAsia="Times New Roman" w:cs="Times New Roman"/>
          <w:szCs w:val="20"/>
          <w:lang w:val="en-GB" w:eastAsia="en-GB"/>
        </w:rPr>
        <w:t xml:space="preserve">range of </w:t>
      </w:r>
      <w:r w:rsidRPr="000473EF">
        <w:rPr>
          <w:rFonts w:eastAsia="Times New Roman" w:cs="Times New Roman"/>
          <w:szCs w:val="20"/>
          <w:lang w:val="en-GB" w:eastAsia="en-GB"/>
        </w:rPr>
        <w:t>professions included in the HPCA Act than other regulated professions in New Zealand.</w:t>
      </w:r>
      <w:r w:rsidR="009476DF" w:rsidRPr="000473EF">
        <w:rPr>
          <w:rFonts w:eastAsia="Times New Roman" w:cs="Times New Roman"/>
          <w:szCs w:val="20"/>
          <w:lang w:val="en-GB" w:eastAsia="en-GB"/>
        </w:rPr>
        <w:t xml:space="preserve"> </w:t>
      </w:r>
      <w:r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Overseas jurisdictions, including Ireland and Australia, </w:t>
      </w:r>
      <w:r w:rsidR="008C03E6" w:rsidRPr="000473EF">
        <w:rPr>
          <w:rFonts w:eastAsia="Times New Roman" w:cs="Times New Roman"/>
          <w:szCs w:val="20"/>
          <w:lang w:val="en-GB" w:eastAsia="en-GB"/>
        </w:rPr>
        <w:t>include</w:t>
      </w:r>
      <w:r w:rsidR="00421BD3" w:rsidRPr="000473EF">
        <w:rPr>
          <w:rFonts w:eastAsia="Times New Roman" w:cs="Times New Roman"/>
          <w:szCs w:val="20"/>
          <w:lang w:val="en-GB" w:eastAsia="en-GB"/>
        </w:rPr>
        <w:t xml:space="preserve"> social work in their health regulatory regimes.</w:t>
      </w:r>
      <w:r w:rsidR="009476DF" w:rsidRPr="000473EF">
        <w:rPr>
          <w:rFonts w:eastAsia="Times New Roman" w:cs="Times New Roman"/>
          <w:szCs w:val="20"/>
          <w:lang w:val="en-GB" w:eastAsia="en-GB"/>
        </w:rPr>
        <w:t xml:space="preserve"> </w:t>
      </w:r>
      <w:r w:rsidR="00421BD3" w:rsidRPr="000473EF">
        <w:rPr>
          <w:rFonts w:eastAsia="Times New Roman" w:cs="Times New Roman"/>
          <w:szCs w:val="20"/>
          <w:lang w:val="en-GB" w:eastAsia="en-GB"/>
        </w:rPr>
        <w:t xml:space="preserve"> </w:t>
      </w:r>
    </w:p>
    <w:p w:rsidR="00792F57" w:rsidRPr="00E60D69" w:rsidRDefault="002C312C" w:rsidP="00E60D69">
      <w:pPr>
        <w:numPr>
          <w:ilvl w:val="0"/>
          <w:numId w:val="8"/>
        </w:numPr>
        <w:spacing w:before="240" w:line="240" w:lineRule="auto"/>
        <w:ind w:left="567" w:hanging="567"/>
        <w:rPr>
          <w:rFonts w:eastAsia="Times New Roman" w:cs="Times New Roman"/>
          <w:szCs w:val="20"/>
          <w:lang w:val="en-GB" w:eastAsia="en-GB"/>
        </w:rPr>
      </w:pPr>
      <w:r w:rsidRPr="00E60D69">
        <w:rPr>
          <w:rFonts w:eastAsia="Times New Roman" w:cs="Times New Roman"/>
          <w:szCs w:val="20"/>
          <w:lang w:val="en-GB" w:eastAsia="en-GB"/>
        </w:rPr>
        <w:t xml:space="preserve">The Ministry of Health supports </w:t>
      </w:r>
      <w:r w:rsidR="008321B5" w:rsidRPr="00E60D69">
        <w:rPr>
          <w:rFonts w:eastAsia="Times New Roman" w:cs="Times New Roman"/>
          <w:szCs w:val="20"/>
          <w:lang w:val="en-GB" w:eastAsia="en-GB"/>
        </w:rPr>
        <w:t>the approach of amending the SWR Act, using the HPCA Act</w:t>
      </w:r>
      <w:r w:rsidRPr="00E60D69">
        <w:rPr>
          <w:rFonts w:eastAsia="Times New Roman" w:cs="Times New Roman"/>
          <w:szCs w:val="20"/>
          <w:lang w:val="en-GB" w:eastAsia="en-GB"/>
        </w:rPr>
        <w:t xml:space="preserve"> </w:t>
      </w:r>
      <w:r w:rsidR="008321B5" w:rsidRPr="00E60D69">
        <w:rPr>
          <w:rFonts w:eastAsia="Times New Roman" w:cs="Times New Roman"/>
          <w:szCs w:val="20"/>
          <w:lang w:val="en-GB" w:eastAsia="en-GB"/>
        </w:rPr>
        <w:t>as a model</w:t>
      </w:r>
      <w:r w:rsidRPr="00E60D69">
        <w:rPr>
          <w:rFonts w:eastAsia="Times New Roman" w:cs="Times New Roman"/>
          <w:szCs w:val="20"/>
          <w:lang w:val="en-GB" w:eastAsia="en-GB"/>
        </w:rPr>
        <w:t>.</w:t>
      </w:r>
    </w:p>
    <w:p w:rsidR="00612A00" w:rsidRPr="002A5D5B" w:rsidRDefault="00612A00" w:rsidP="006F072A">
      <w:pPr>
        <w:spacing w:before="240" w:line="240" w:lineRule="auto"/>
        <w:ind w:left="567"/>
        <w:rPr>
          <w:rFonts w:eastAsia="Times New Roman" w:cs="Times New Roman"/>
          <w:szCs w:val="20"/>
          <w:lang w:val="en-GB" w:eastAsia="en-GB"/>
        </w:rPr>
      </w:pPr>
    </w:p>
    <w:p w:rsidR="00E03811" w:rsidRPr="00F87BA3" w:rsidRDefault="00E03811" w:rsidP="00177E1D">
      <w:pPr>
        <w:spacing w:after="240" w:line="240" w:lineRule="auto"/>
        <w:outlineLvl w:val="1"/>
        <w:rPr>
          <w:rFonts w:eastAsia="Times New Roman" w:cs="Times New Roman"/>
          <w:b/>
          <w:color w:val="1F497D" w:themeColor="text2"/>
          <w:sz w:val="28"/>
          <w:szCs w:val="28"/>
          <w:lang w:val="en-GB" w:eastAsia="en-GB"/>
        </w:rPr>
      </w:pPr>
      <w:bookmarkStart w:id="40" w:name="_Toc481662080"/>
      <w:r w:rsidRPr="00F87BA3">
        <w:rPr>
          <w:rFonts w:eastAsia="Times New Roman" w:cs="Times New Roman"/>
          <w:b/>
          <w:color w:val="1F497D" w:themeColor="text2"/>
          <w:sz w:val="28"/>
          <w:szCs w:val="28"/>
          <w:lang w:val="en-GB" w:eastAsia="en-GB"/>
        </w:rPr>
        <w:t>Objectives and Criteria</w:t>
      </w:r>
      <w:bookmarkEnd w:id="40"/>
    </w:p>
    <w:p w:rsidR="00A250D5" w:rsidRPr="002A5D5B" w:rsidRDefault="00E03811" w:rsidP="00177E1D">
      <w:pPr>
        <w:numPr>
          <w:ilvl w:val="0"/>
          <w:numId w:val="8"/>
        </w:numPr>
        <w:spacing w:after="240" w:line="240" w:lineRule="auto"/>
        <w:ind w:left="567" w:hanging="567"/>
        <w:rPr>
          <w:rFonts w:eastAsia="Times New Roman"/>
          <w:kern w:val="28"/>
          <w:szCs w:val="20"/>
          <w:lang w:val="en-US"/>
        </w:rPr>
      </w:pPr>
      <w:r w:rsidRPr="002A5D5B">
        <w:rPr>
          <w:rFonts w:eastAsia="Times New Roman"/>
          <w:kern w:val="28"/>
          <w:szCs w:val="20"/>
          <w:lang w:val="en-US"/>
        </w:rPr>
        <w:t>The</w:t>
      </w:r>
      <w:r w:rsidR="00A250D5" w:rsidRPr="002A5D5B">
        <w:rPr>
          <w:rFonts w:eastAsia="Times New Roman"/>
          <w:kern w:val="28"/>
          <w:szCs w:val="20"/>
          <w:lang w:val="en-US"/>
        </w:rPr>
        <w:t xml:space="preserve"> </w:t>
      </w:r>
      <w:r w:rsidR="007F6B8B">
        <w:rPr>
          <w:rFonts w:eastAsia="Times New Roman"/>
          <w:kern w:val="28"/>
          <w:szCs w:val="20"/>
          <w:lang w:val="en-US"/>
        </w:rPr>
        <w:t>immediate</w:t>
      </w:r>
      <w:r w:rsidR="00A250D5">
        <w:rPr>
          <w:rFonts w:eastAsia="Times New Roman"/>
          <w:kern w:val="28"/>
          <w:szCs w:val="20"/>
          <w:lang w:val="en-US"/>
        </w:rPr>
        <w:t xml:space="preserve"> objective of these proposals is</w:t>
      </w:r>
      <w:r w:rsidR="00A250D5" w:rsidRPr="002A5D5B">
        <w:rPr>
          <w:rFonts w:eastAsia="Times New Roman"/>
          <w:kern w:val="28"/>
          <w:szCs w:val="20"/>
          <w:lang w:val="en-US"/>
        </w:rPr>
        <w:t xml:space="preserve"> to increase the coverage of the regulatory regime </w:t>
      </w:r>
      <w:r w:rsidR="008E6A4B" w:rsidRPr="002A5D5B">
        <w:rPr>
          <w:rFonts w:eastAsia="Times New Roman"/>
          <w:kern w:val="28"/>
          <w:szCs w:val="20"/>
          <w:lang w:val="en-US"/>
        </w:rPr>
        <w:t>so that it will cover</w:t>
      </w:r>
      <w:r w:rsidR="00A250D5" w:rsidRPr="002A5D5B">
        <w:rPr>
          <w:rFonts w:eastAsia="Times New Roman"/>
          <w:kern w:val="28"/>
          <w:szCs w:val="20"/>
          <w:lang w:val="en-US"/>
        </w:rPr>
        <w:t xml:space="preserve"> all social workers.  This</w:t>
      </w:r>
      <w:r w:rsidR="007F6B8B" w:rsidRPr="002A5D5B">
        <w:rPr>
          <w:rFonts w:eastAsia="Times New Roman"/>
          <w:kern w:val="28"/>
          <w:szCs w:val="20"/>
          <w:lang w:val="en-US"/>
        </w:rPr>
        <w:t xml:space="preserve"> objective</w:t>
      </w:r>
      <w:r w:rsidR="008E6A4B" w:rsidRPr="002A5D5B">
        <w:rPr>
          <w:rFonts w:eastAsia="Times New Roman"/>
          <w:kern w:val="28"/>
          <w:szCs w:val="20"/>
          <w:lang w:val="en-US"/>
        </w:rPr>
        <w:t xml:space="preserve"> </w:t>
      </w:r>
      <w:r w:rsidR="007F6B8B" w:rsidRPr="002A5D5B">
        <w:rPr>
          <w:rFonts w:eastAsia="Times New Roman"/>
          <w:kern w:val="28"/>
          <w:szCs w:val="20"/>
          <w:lang w:val="en-US"/>
        </w:rPr>
        <w:t xml:space="preserve">is </w:t>
      </w:r>
      <w:r w:rsidR="008E6A4B" w:rsidRPr="002A5D5B">
        <w:rPr>
          <w:rFonts w:eastAsia="Times New Roman"/>
          <w:kern w:val="28"/>
          <w:szCs w:val="20"/>
          <w:lang w:val="en-US"/>
        </w:rPr>
        <w:t>recommended on the basis that:</w:t>
      </w:r>
    </w:p>
    <w:p w:rsidR="008E6A4B" w:rsidRPr="002A5D5B" w:rsidRDefault="00C53110" w:rsidP="005B5FC6">
      <w:pPr>
        <w:numPr>
          <w:ilvl w:val="1"/>
          <w:numId w:val="17"/>
        </w:numPr>
        <w:spacing w:after="24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T</w:t>
      </w:r>
      <w:r w:rsidR="008E6A4B" w:rsidRPr="002A5D5B">
        <w:rPr>
          <w:rFonts w:eastAsia="Times New Roman" w:cs="Times New Roman"/>
          <w:szCs w:val="20"/>
          <w:lang w:val="en-GB" w:eastAsia="en-GB"/>
        </w:rPr>
        <w:t>he</w:t>
      </w:r>
      <w:r w:rsidRPr="002A5D5B">
        <w:rPr>
          <w:rFonts w:eastAsia="Times New Roman" w:cs="Times New Roman"/>
          <w:szCs w:val="20"/>
          <w:lang w:val="en-GB" w:eastAsia="en-GB"/>
        </w:rPr>
        <w:t>re is a</w:t>
      </w:r>
      <w:r w:rsidR="008E6A4B" w:rsidRPr="002A5D5B">
        <w:rPr>
          <w:rFonts w:eastAsia="Times New Roman" w:cs="Times New Roman"/>
          <w:szCs w:val="20"/>
          <w:lang w:val="en-GB" w:eastAsia="en-GB"/>
        </w:rPr>
        <w:t xml:space="preserve"> </w:t>
      </w:r>
      <w:r w:rsidR="00CE1DAF">
        <w:rPr>
          <w:rFonts w:eastAsia="Times New Roman" w:cs="Times New Roman"/>
          <w:szCs w:val="20"/>
          <w:lang w:val="en-GB" w:eastAsia="en-GB"/>
        </w:rPr>
        <w:t xml:space="preserve">small but significant </w:t>
      </w:r>
      <w:r w:rsidRPr="002A5D5B">
        <w:rPr>
          <w:rFonts w:eastAsia="Times New Roman" w:cs="Times New Roman"/>
          <w:szCs w:val="20"/>
          <w:lang w:val="en-GB" w:eastAsia="en-GB"/>
        </w:rPr>
        <w:t>risk to the public of</w:t>
      </w:r>
      <w:r w:rsidR="008E6A4B" w:rsidRPr="002A5D5B">
        <w:rPr>
          <w:rFonts w:eastAsia="Times New Roman" w:cs="Times New Roman"/>
          <w:szCs w:val="20"/>
          <w:lang w:val="en-GB" w:eastAsia="en-GB"/>
        </w:rPr>
        <w:t xml:space="preserve"> harm </w:t>
      </w:r>
      <w:r w:rsidRPr="002A5D5B">
        <w:rPr>
          <w:rFonts w:eastAsia="Times New Roman" w:cs="Times New Roman"/>
          <w:szCs w:val="20"/>
          <w:lang w:val="en-GB" w:eastAsia="en-GB"/>
        </w:rPr>
        <w:t>from</w:t>
      </w:r>
      <w:r w:rsidR="008E6A4B" w:rsidRPr="002A5D5B">
        <w:rPr>
          <w:rFonts w:eastAsia="Times New Roman" w:cs="Times New Roman"/>
          <w:szCs w:val="20"/>
          <w:lang w:val="en-GB" w:eastAsia="en-GB"/>
        </w:rPr>
        <w:t xml:space="preserve"> incompetent, reckless or dishonest practice of </w:t>
      </w:r>
      <w:r w:rsidRPr="002A5D5B">
        <w:rPr>
          <w:rFonts w:eastAsia="Times New Roman" w:cs="Times New Roman"/>
          <w:szCs w:val="20"/>
          <w:lang w:val="en-GB" w:eastAsia="en-GB"/>
        </w:rPr>
        <w:t xml:space="preserve">social workers, which could result in </w:t>
      </w:r>
      <w:r w:rsidR="008E6A4B" w:rsidRPr="002A5D5B">
        <w:rPr>
          <w:rFonts w:eastAsia="Times New Roman" w:cs="Times New Roman"/>
          <w:szCs w:val="20"/>
          <w:lang w:val="en-GB" w:eastAsia="en-GB"/>
        </w:rPr>
        <w:t xml:space="preserve">significant harm to one person or moderate harm to a larger number. </w:t>
      </w:r>
      <w:r w:rsidRPr="002A5D5B">
        <w:rPr>
          <w:rFonts w:eastAsia="Times New Roman" w:cs="Times New Roman"/>
          <w:szCs w:val="20"/>
          <w:lang w:val="en-GB" w:eastAsia="en-GB"/>
        </w:rPr>
        <w:t xml:space="preserve"> This </w:t>
      </w:r>
      <w:r w:rsidR="008E6A4B" w:rsidRPr="002A5D5B">
        <w:rPr>
          <w:rFonts w:eastAsia="Times New Roman" w:cs="Times New Roman"/>
          <w:szCs w:val="20"/>
          <w:lang w:val="en-GB" w:eastAsia="en-GB"/>
        </w:rPr>
        <w:t xml:space="preserve">harm </w:t>
      </w:r>
      <w:r w:rsidRPr="002A5D5B">
        <w:rPr>
          <w:rFonts w:eastAsia="Times New Roman" w:cs="Times New Roman"/>
          <w:szCs w:val="20"/>
          <w:lang w:val="en-GB" w:eastAsia="en-GB"/>
        </w:rPr>
        <w:t xml:space="preserve">could be irreversible, </w:t>
      </w:r>
      <w:r w:rsidR="008E6A4B" w:rsidRPr="002A5D5B">
        <w:rPr>
          <w:rFonts w:eastAsia="Times New Roman" w:cs="Times New Roman"/>
          <w:szCs w:val="20"/>
          <w:lang w:val="en-GB" w:eastAsia="en-GB"/>
        </w:rPr>
        <w:t xml:space="preserve">such </w:t>
      </w:r>
      <w:r w:rsidR="00D55378">
        <w:rPr>
          <w:rFonts w:eastAsia="Times New Roman" w:cs="Times New Roman"/>
          <w:szCs w:val="20"/>
          <w:lang w:val="en-GB" w:eastAsia="en-GB"/>
        </w:rPr>
        <w:t xml:space="preserve">as </w:t>
      </w:r>
      <w:r w:rsidRPr="002A5D5B">
        <w:rPr>
          <w:rFonts w:eastAsia="Times New Roman" w:cs="Times New Roman"/>
          <w:szCs w:val="20"/>
          <w:lang w:val="en-GB" w:eastAsia="en-GB"/>
        </w:rPr>
        <w:t xml:space="preserve">death in the case of vulnerable children, or permanent </w:t>
      </w:r>
      <w:r w:rsidR="007F6B8B" w:rsidRPr="002A5D5B">
        <w:rPr>
          <w:rFonts w:eastAsia="Times New Roman" w:cs="Times New Roman"/>
          <w:szCs w:val="20"/>
          <w:lang w:val="en-GB" w:eastAsia="en-GB"/>
        </w:rPr>
        <w:t xml:space="preserve">physical or psychological </w:t>
      </w:r>
      <w:r w:rsidRPr="002A5D5B">
        <w:rPr>
          <w:rFonts w:eastAsia="Times New Roman" w:cs="Times New Roman"/>
          <w:szCs w:val="20"/>
          <w:lang w:val="en-GB" w:eastAsia="en-GB"/>
        </w:rPr>
        <w:t>disability.</w:t>
      </w:r>
    </w:p>
    <w:p w:rsidR="007F6B8B" w:rsidRDefault="007F6B8B" w:rsidP="005B5FC6">
      <w:pPr>
        <w:numPr>
          <w:ilvl w:val="1"/>
          <w:numId w:val="17"/>
        </w:numPr>
        <w:spacing w:after="240" w:line="240" w:lineRule="auto"/>
        <w:ind w:left="1134" w:hanging="425"/>
        <w:rPr>
          <w:rFonts w:eastAsia="Times New Roman" w:cs="Times New Roman"/>
          <w:szCs w:val="20"/>
          <w:lang w:val="en-GB" w:eastAsia="en-GB"/>
        </w:rPr>
      </w:pPr>
      <w:r w:rsidRPr="002A5D5B">
        <w:rPr>
          <w:rFonts w:eastAsia="Times New Roman" w:cs="Times New Roman"/>
          <w:szCs w:val="20"/>
          <w:lang w:val="en-GB" w:eastAsia="en-GB"/>
        </w:rPr>
        <w:t>These risks can be addressed by</w:t>
      </w:r>
      <w:r w:rsidR="008E6A4B" w:rsidRPr="002A5D5B">
        <w:rPr>
          <w:rFonts w:eastAsia="Times New Roman" w:cs="Times New Roman"/>
          <w:szCs w:val="20"/>
          <w:lang w:val="en-GB" w:eastAsia="en-GB"/>
        </w:rPr>
        <w:t xml:space="preserve"> </w:t>
      </w:r>
      <w:r w:rsidR="00E03811" w:rsidRPr="002A5D5B">
        <w:rPr>
          <w:rFonts w:eastAsia="Times New Roman" w:cs="Times New Roman"/>
          <w:szCs w:val="20"/>
          <w:lang w:val="en-GB" w:eastAsia="en-GB"/>
        </w:rPr>
        <w:t>increas</w:t>
      </w:r>
      <w:r w:rsidRPr="002A5D5B">
        <w:rPr>
          <w:rFonts w:eastAsia="Times New Roman" w:cs="Times New Roman"/>
          <w:szCs w:val="20"/>
          <w:lang w:val="en-GB" w:eastAsia="en-GB"/>
        </w:rPr>
        <w:t>ing</w:t>
      </w:r>
      <w:r w:rsidR="00E03811" w:rsidRPr="002A5D5B">
        <w:rPr>
          <w:rFonts w:eastAsia="Times New Roman" w:cs="Times New Roman"/>
          <w:szCs w:val="20"/>
          <w:lang w:val="en-GB" w:eastAsia="en-GB"/>
        </w:rPr>
        <w:t xml:space="preserve"> the professionalism of the social work workforce</w:t>
      </w:r>
      <w:r w:rsidR="00A250D5" w:rsidRPr="002A5D5B">
        <w:rPr>
          <w:rFonts w:eastAsia="Times New Roman" w:cs="Times New Roman"/>
          <w:szCs w:val="20"/>
          <w:lang w:val="en-GB" w:eastAsia="en-GB"/>
        </w:rPr>
        <w:t xml:space="preserve"> </w:t>
      </w:r>
      <w:r w:rsidR="009C6D2E">
        <w:rPr>
          <w:rFonts w:eastAsia="Times New Roman" w:cs="Times New Roman"/>
          <w:szCs w:val="20"/>
          <w:lang w:val="en-GB" w:eastAsia="en-GB"/>
        </w:rPr>
        <w:t>so</w:t>
      </w:r>
      <w:r w:rsidR="00A250D5" w:rsidRPr="002A5D5B">
        <w:rPr>
          <w:rFonts w:eastAsia="Times New Roman" w:cs="Times New Roman"/>
          <w:szCs w:val="20"/>
          <w:lang w:val="en-GB" w:eastAsia="en-GB"/>
        </w:rPr>
        <w:t xml:space="preserve"> that employers, clients, and the public can be confident </w:t>
      </w:r>
      <w:r w:rsidR="00A250D5" w:rsidRPr="002A5D5B">
        <w:rPr>
          <w:rFonts w:eastAsia="Times New Roman" w:cs="Times New Roman"/>
          <w:szCs w:val="20"/>
          <w:lang w:val="en-GB" w:eastAsia="en-GB"/>
        </w:rPr>
        <w:lastRenderedPageBreak/>
        <w:t xml:space="preserve">that a social worker has certain standards of qualifications, skills, knowledge and experience, and is subject to professional </w:t>
      </w:r>
      <w:r w:rsidR="009C6D2E" w:rsidRPr="002A5D5B">
        <w:rPr>
          <w:rFonts w:eastAsia="Times New Roman" w:cs="Times New Roman"/>
          <w:szCs w:val="20"/>
          <w:lang w:val="en-GB" w:eastAsia="en-GB"/>
        </w:rPr>
        <w:t>discipl</w:t>
      </w:r>
      <w:r w:rsidR="009C6D2E">
        <w:rPr>
          <w:rFonts w:eastAsia="Times New Roman" w:cs="Times New Roman"/>
          <w:szCs w:val="20"/>
          <w:lang w:val="en-GB" w:eastAsia="en-GB"/>
        </w:rPr>
        <w:t>ines</w:t>
      </w:r>
      <w:r w:rsidR="00A250D5" w:rsidRPr="002A5D5B">
        <w:rPr>
          <w:rFonts w:eastAsia="Times New Roman" w:cs="Times New Roman"/>
          <w:szCs w:val="20"/>
          <w:lang w:val="en-GB" w:eastAsia="en-GB"/>
        </w:rPr>
        <w:t xml:space="preserve"> including supervision, continuing professional development and </w:t>
      </w:r>
      <w:r w:rsidR="009C6D2E">
        <w:rPr>
          <w:rFonts w:eastAsia="Times New Roman" w:cs="Times New Roman"/>
          <w:szCs w:val="20"/>
          <w:lang w:val="en-GB" w:eastAsia="en-GB"/>
        </w:rPr>
        <w:t xml:space="preserve">that there is </w:t>
      </w:r>
      <w:r w:rsidR="00A250D5" w:rsidRPr="002A5D5B">
        <w:rPr>
          <w:rFonts w:eastAsia="Times New Roman" w:cs="Times New Roman"/>
          <w:szCs w:val="20"/>
          <w:lang w:val="en-GB" w:eastAsia="en-GB"/>
        </w:rPr>
        <w:t>an accessible and effective complaints and disciplin</w:t>
      </w:r>
      <w:r w:rsidR="00D55378">
        <w:rPr>
          <w:rFonts w:eastAsia="Times New Roman" w:cs="Times New Roman"/>
          <w:szCs w:val="20"/>
          <w:lang w:val="en-GB" w:eastAsia="en-GB"/>
        </w:rPr>
        <w:t>ary</w:t>
      </w:r>
      <w:r w:rsidR="00A250D5" w:rsidRPr="002A5D5B">
        <w:rPr>
          <w:rFonts w:eastAsia="Times New Roman" w:cs="Times New Roman"/>
          <w:szCs w:val="20"/>
          <w:lang w:val="en-GB" w:eastAsia="en-GB"/>
        </w:rPr>
        <w:t xml:space="preserve"> process</w:t>
      </w:r>
      <w:r w:rsidR="009C6D2E">
        <w:rPr>
          <w:rFonts w:eastAsia="Times New Roman" w:cs="Times New Roman"/>
          <w:szCs w:val="20"/>
          <w:lang w:val="en-GB" w:eastAsia="en-GB"/>
        </w:rPr>
        <w:t xml:space="preserve"> for clients </w:t>
      </w:r>
      <w:r w:rsidR="00100192">
        <w:rPr>
          <w:rFonts w:eastAsia="Times New Roman" w:cs="Times New Roman"/>
          <w:szCs w:val="20"/>
          <w:lang w:val="en-GB" w:eastAsia="en-GB"/>
        </w:rPr>
        <w:t>independent</w:t>
      </w:r>
      <w:r w:rsidR="009C6D2E">
        <w:rPr>
          <w:rFonts w:eastAsia="Times New Roman" w:cs="Times New Roman"/>
          <w:szCs w:val="20"/>
          <w:lang w:val="en-GB" w:eastAsia="en-GB"/>
        </w:rPr>
        <w:t xml:space="preserve"> of </w:t>
      </w:r>
      <w:r w:rsidR="00652262">
        <w:rPr>
          <w:rFonts w:eastAsia="Times New Roman" w:cs="Times New Roman"/>
          <w:szCs w:val="20"/>
          <w:lang w:val="en-GB" w:eastAsia="en-GB"/>
        </w:rPr>
        <w:t xml:space="preserve">employer </w:t>
      </w:r>
      <w:r w:rsidR="009C6D2E">
        <w:rPr>
          <w:rFonts w:eastAsia="Times New Roman" w:cs="Times New Roman"/>
          <w:szCs w:val="20"/>
          <w:lang w:val="en-GB" w:eastAsia="en-GB"/>
        </w:rPr>
        <w:t>systems</w:t>
      </w:r>
      <w:r w:rsidR="00A250D5" w:rsidRPr="002A5D5B">
        <w:rPr>
          <w:rFonts w:eastAsia="Times New Roman" w:cs="Times New Roman"/>
          <w:szCs w:val="20"/>
          <w:lang w:val="en-GB" w:eastAsia="en-GB"/>
        </w:rPr>
        <w:t xml:space="preserve">. </w:t>
      </w:r>
    </w:p>
    <w:p w:rsidR="00E03811" w:rsidRPr="002A5D5B" w:rsidRDefault="003F70A0" w:rsidP="005B5FC6">
      <w:pPr>
        <w:numPr>
          <w:ilvl w:val="1"/>
          <w:numId w:val="17"/>
        </w:numPr>
        <w:spacing w:after="240" w:line="240" w:lineRule="auto"/>
        <w:ind w:left="1134" w:hanging="425"/>
        <w:rPr>
          <w:rFonts w:eastAsia="Times New Roman" w:cs="Times New Roman"/>
          <w:szCs w:val="20"/>
          <w:lang w:val="en-GB" w:eastAsia="en-GB"/>
        </w:rPr>
      </w:pPr>
      <w:r>
        <w:rPr>
          <w:rFonts w:eastAsia="Times New Roman" w:cs="Times New Roman"/>
          <w:szCs w:val="20"/>
          <w:lang w:val="en-GB" w:eastAsia="en-GB"/>
        </w:rPr>
        <w:t>Increasing the</w:t>
      </w:r>
      <w:r w:rsidR="007F6B8B">
        <w:rPr>
          <w:rFonts w:eastAsia="Times New Roman" w:cs="Times New Roman"/>
          <w:szCs w:val="20"/>
          <w:lang w:val="en-GB" w:eastAsia="en-GB"/>
        </w:rPr>
        <w:t xml:space="preserve"> professionalism of the social work workforce will also contribute to the Government’s goals for </w:t>
      </w:r>
      <w:r w:rsidR="00011393">
        <w:rPr>
          <w:rFonts w:eastAsia="Times New Roman" w:cs="Times New Roman"/>
          <w:szCs w:val="20"/>
          <w:lang w:val="en-GB" w:eastAsia="en-GB"/>
        </w:rPr>
        <w:t>s</w:t>
      </w:r>
      <w:r w:rsidR="007F6B8B">
        <w:rPr>
          <w:rFonts w:eastAsia="Times New Roman" w:cs="Times New Roman"/>
          <w:szCs w:val="20"/>
          <w:lang w:val="en-GB" w:eastAsia="en-GB"/>
        </w:rPr>
        <w:t xml:space="preserve">ocial </w:t>
      </w:r>
      <w:r w:rsidR="00011393">
        <w:rPr>
          <w:rFonts w:eastAsia="Times New Roman" w:cs="Times New Roman"/>
          <w:szCs w:val="20"/>
          <w:lang w:val="en-GB" w:eastAsia="en-GB"/>
        </w:rPr>
        <w:t>i</w:t>
      </w:r>
      <w:r w:rsidR="007F6B8B">
        <w:rPr>
          <w:rFonts w:eastAsia="Times New Roman" w:cs="Times New Roman"/>
          <w:szCs w:val="20"/>
          <w:lang w:val="en-GB" w:eastAsia="en-GB"/>
        </w:rPr>
        <w:t>nvestment</w:t>
      </w:r>
      <w:r w:rsidR="009C6D2E">
        <w:rPr>
          <w:rFonts w:eastAsia="Times New Roman" w:cs="Times New Roman"/>
          <w:szCs w:val="20"/>
          <w:lang w:val="en-GB" w:eastAsia="en-GB"/>
        </w:rPr>
        <w:t>, which relies on</w:t>
      </w:r>
      <w:r w:rsidR="007F6B8B">
        <w:rPr>
          <w:rFonts w:eastAsia="Times New Roman" w:cs="Times New Roman"/>
          <w:szCs w:val="20"/>
          <w:lang w:val="en-GB" w:eastAsia="en-GB"/>
        </w:rPr>
        <w:t xml:space="preserve"> </w:t>
      </w:r>
      <w:r>
        <w:rPr>
          <w:rFonts w:eastAsia="Times New Roman" w:cs="Times New Roman"/>
          <w:szCs w:val="20"/>
          <w:lang w:val="en-GB" w:eastAsia="en-GB"/>
        </w:rPr>
        <w:t>improving the quality of social work services in undertaking casework and making assessments and referrals for vulnerable children, young people and adults who are at risk of serious long-term difficulties requiring on-going government support unless they receive appropriate help and preventative services.</w:t>
      </w:r>
    </w:p>
    <w:p w:rsidR="00791494" w:rsidRDefault="007F6B8B"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These assumptions are supported in more detail below.  </w:t>
      </w:r>
      <w:r w:rsidRPr="002A5D5B">
        <w:rPr>
          <w:rFonts w:eastAsia="Times New Roman" w:cs="Times New Roman"/>
          <w:szCs w:val="20"/>
          <w:lang w:val="en-GB" w:eastAsia="en-GB"/>
        </w:rPr>
        <w:t>Analysis</w:t>
      </w:r>
      <w:r w:rsidR="00E03811" w:rsidRPr="001049B5">
        <w:rPr>
          <w:rFonts w:eastAsia="Times New Roman" w:cs="Times New Roman"/>
          <w:szCs w:val="20"/>
          <w:lang w:val="en-GB" w:eastAsia="en-GB"/>
        </w:rPr>
        <w:t xml:space="preserve"> has </w:t>
      </w:r>
      <w:r>
        <w:rPr>
          <w:rFonts w:eastAsia="Times New Roman" w:cs="Times New Roman"/>
          <w:szCs w:val="20"/>
          <w:lang w:val="en-GB" w:eastAsia="en-GB"/>
        </w:rPr>
        <w:t>included</w:t>
      </w:r>
      <w:r w:rsidR="00E03811" w:rsidRPr="001049B5">
        <w:rPr>
          <w:rFonts w:eastAsia="Times New Roman" w:cs="Times New Roman"/>
          <w:szCs w:val="20"/>
          <w:lang w:val="en-GB" w:eastAsia="en-GB"/>
        </w:rPr>
        <w:t xml:space="preserve"> the criteria specified in the Policy Framework for Occupational Regulation</w:t>
      </w:r>
      <w:r w:rsidR="00EE01F1">
        <w:rPr>
          <w:rFonts w:eastAsia="Times New Roman" w:cs="Times New Roman"/>
          <w:szCs w:val="20"/>
          <w:lang w:val="en-GB" w:eastAsia="en-GB"/>
        </w:rPr>
        <w:t>.</w:t>
      </w:r>
      <w:r w:rsidR="00EE01F1">
        <w:rPr>
          <w:rStyle w:val="FootnoteReference"/>
          <w:rFonts w:eastAsia="Times New Roman" w:cs="Times New Roman"/>
          <w:szCs w:val="20"/>
          <w:lang w:val="en-GB" w:eastAsia="en-GB"/>
        </w:rPr>
        <w:footnoteReference w:id="15"/>
      </w:r>
      <w:r w:rsidR="003E4391">
        <w:rPr>
          <w:rFonts w:eastAsia="Times New Roman" w:cs="Times New Roman"/>
          <w:szCs w:val="20"/>
          <w:lang w:val="en-GB" w:eastAsia="en-GB"/>
        </w:rPr>
        <w:t xml:space="preserve"> </w:t>
      </w:r>
    </w:p>
    <w:p w:rsidR="00E03811" w:rsidRPr="001049B5" w:rsidRDefault="00E03811" w:rsidP="00177E1D">
      <w:pPr>
        <w:numPr>
          <w:ilvl w:val="0"/>
          <w:numId w:val="8"/>
        </w:numPr>
        <w:spacing w:after="240" w:line="240" w:lineRule="auto"/>
        <w:ind w:left="567" w:hanging="567"/>
        <w:rPr>
          <w:rFonts w:eastAsia="Times New Roman" w:cs="Times New Roman"/>
          <w:szCs w:val="20"/>
          <w:lang w:val="en-GB" w:eastAsia="en-GB"/>
        </w:rPr>
      </w:pPr>
      <w:r w:rsidRPr="001049B5">
        <w:rPr>
          <w:rFonts w:eastAsia="Times New Roman" w:cs="Times New Roman"/>
          <w:szCs w:val="20"/>
          <w:lang w:val="en-GB" w:eastAsia="en-GB"/>
        </w:rPr>
        <w:t xml:space="preserve">The following table provides a more detailed breakdown of how proposals will be assessed against the objectives and additional criteria. </w:t>
      </w:r>
    </w:p>
    <w:tbl>
      <w:tblPr>
        <w:tblStyle w:val="LightList-Accent5"/>
        <w:tblW w:w="5000" w:type="pct"/>
        <w:tblLook w:val="04A0" w:firstRow="1" w:lastRow="0" w:firstColumn="1" w:lastColumn="0" w:noHBand="0" w:noVBand="1"/>
      </w:tblPr>
      <w:tblGrid>
        <w:gridCol w:w="3100"/>
        <w:gridCol w:w="6187"/>
      </w:tblGrid>
      <w:tr w:rsidR="00E03811" w:rsidRPr="00881D62" w:rsidTr="00155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Borders>
              <w:top w:val="single" w:sz="8" w:space="0" w:color="4BACC6" w:themeColor="accent5"/>
              <w:bottom w:val="single" w:sz="8" w:space="0" w:color="4BACC6" w:themeColor="accent5"/>
            </w:tcBorders>
            <w:shd w:val="clear" w:color="auto" w:fill="31849B" w:themeFill="accent5" w:themeFillShade="BF"/>
          </w:tcPr>
          <w:p w:rsidR="00E03811" w:rsidRPr="00881D62" w:rsidRDefault="00E03811" w:rsidP="00177E1D">
            <w:pPr>
              <w:spacing w:after="240" w:line="240" w:lineRule="auto"/>
              <w:rPr>
                <w:rFonts w:eastAsia="Times New Roman"/>
                <w:szCs w:val="18"/>
                <w:lang w:val="en-GB" w:eastAsia="en-GB"/>
              </w:rPr>
            </w:pPr>
            <w:r w:rsidRPr="00881D62">
              <w:rPr>
                <w:rFonts w:eastAsia="Times New Roman"/>
                <w:szCs w:val="18"/>
                <w:lang w:val="en-GB" w:eastAsia="en-GB"/>
              </w:rPr>
              <w:t>Objective</w:t>
            </w:r>
          </w:p>
        </w:tc>
        <w:tc>
          <w:tcPr>
            <w:tcW w:w="3331" w:type="pct"/>
            <w:shd w:val="clear" w:color="auto" w:fill="31849B" w:themeFill="accent5" w:themeFillShade="BF"/>
          </w:tcPr>
          <w:p w:rsidR="00E03811" w:rsidRPr="00881D62" w:rsidRDefault="00E03811" w:rsidP="00177E1D">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How proposals will be assessed against the objectives</w:t>
            </w:r>
          </w:p>
        </w:tc>
      </w:tr>
      <w:tr w:rsidR="00E03811" w:rsidRPr="00881D62" w:rsidTr="002A5D5B">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0" w:type="auto"/>
          </w:tcPr>
          <w:p w:rsidR="00E03811" w:rsidRPr="00881D62" w:rsidRDefault="007F6B8B" w:rsidP="00CF2F69">
            <w:pPr>
              <w:spacing w:after="0" w:line="240" w:lineRule="auto"/>
              <w:rPr>
                <w:rFonts w:eastAsia="Times New Roman" w:cs="Times New Roman"/>
                <w:szCs w:val="18"/>
                <w:lang w:val="en-GB" w:eastAsia="en-GB"/>
              </w:rPr>
            </w:pPr>
            <w:r>
              <w:rPr>
                <w:rFonts w:eastAsia="Times New Roman"/>
                <w:kern w:val="28"/>
                <w:szCs w:val="20"/>
                <w:lang w:val="en-US"/>
              </w:rPr>
              <w:t>I</w:t>
            </w:r>
            <w:r w:rsidR="007B3B5D">
              <w:rPr>
                <w:rFonts w:eastAsia="Times New Roman"/>
                <w:kern w:val="28"/>
                <w:szCs w:val="20"/>
                <w:lang w:val="en-US"/>
              </w:rPr>
              <w:t>mmediate objective: i</w:t>
            </w:r>
            <w:r w:rsidRPr="00205031">
              <w:rPr>
                <w:rFonts w:eastAsia="Times New Roman"/>
                <w:kern w:val="28"/>
                <w:szCs w:val="20"/>
                <w:lang w:val="en-US"/>
              </w:rPr>
              <w:t>ncreas</w:t>
            </w:r>
            <w:r>
              <w:rPr>
                <w:rFonts w:eastAsia="Times New Roman"/>
                <w:kern w:val="28"/>
                <w:szCs w:val="20"/>
                <w:lang w:val="en-US"/>
              </w:rPr>
              <w:t>ing</w:t>
            </w:r>
            <w:r w:rsidRPr="00205031">
              <w:rPr>
                <w:rFonts w:eastAsia="Times New Roman"/>
                <w:kern w:val="28"/>
                <w:szCs w:val="20"/>
                <w:lang w:val="en-US"/>
              </w:rPr>
              <w:t xml:space="preserve"> the coverage of the regulatory regime so that it will cover all social workers</w:t>
            </w:r>
          </w:p>
        </w:tc>
        <w:tc>
          <w:tcPr>
            <w:tcW w:w="3331" w:type="pct"/>
          </w:tcPr>
          <w:p w:rsidR="00E03811" w:rsidRPr="00881D62" w:rsidRDefault="00835488" w:rsidP="00177E1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 xml:space="preserve">The extent to which proposals </w:t>
            </w:r>
            <w:r w:rsidR="007B3B5D">
              <w:rPr>
                <w:rFonts w:eastAsia="Times New Roman"/>
                <w:szCs w:val="18"/>
                <w:lang w:val="en-GB" w:eastAsia="en-GB"/>
              </w:rPr>
              <w:t>ensure that all practising social workers</w:t>
            </w:r>
            <w:r w:rsidR="007B3B5D" w:rsidDel="007B3B5D">
              <w:rPr>
                <w:rFonts w:eastAsia="Times New Roman"/>
                <w:szCs w:val="18"/>
                <w:lang w:val="en-GB" w:eastAsia="en-GB"/>
              </w:rPr>
              <w:t xml:space="preserve"> </w:t>
            </w:r>
            <w:r w:rsidR="007B3B5D">
              <w:rPr>
                <w:rFonts w:eastAsia="Times New Roman"/>
                <w:szCs w:val="18"/>
                <w:lang w:val="en-GB" w:eastAsia="en-GB"/>
              </w:rPr>
              <w:t>are registered</w:t>
            </w:r>
            <w:r>
              <w:rPr>
                <w:rFonts w:eastAsia="Times New Roman"/>
                <w:szCs w:val="18"/>
                <w:lang w:val="en-GB" w:eastAsia="en-GB"/>
              </w:rPr>
              <w:t>.</w:t>
            </w:r>
          </w:p>
        </w:tc>
      </w:tr>
      <w:tr w:rsidR="007F6B8B" w:rsidRPr="00881D62" w:rsidTr="002A5D5B">
        <w:trPr>
          <w:trHeight w:val="1130"/>
        </w:trPr>
        <w:tc>
          <w:tcPr>
            <w:cnfStyle w:val="001000000000" w:firstRow="0" w:lastRow="0" w:firstColumn="1" w:lastColumn="0" w:oddVBand="0" w:evenVBand="0" w:oddHBand="0" w:evenHBand="0" w:firstRowFirstColumn="0" w:firstRowLastColumn="0" w:lastRowFirstColumn="0" w:lastRowLastColumn="0"/>
            <w:tcW w:w="0" w:type="auto"/>
          </w:tcPr>
          <w:p w:rsidR="007F6B8B" w:rsidRPr="00881D62" w:rsidRDefault="007B3B5D" w:rsidP="00CF2F69">
            <w:pPr>
              <w:spacing w:after="0" w:line="240" w:lineRule="auto"/>
              <w:rPr>
                <w:rFonts w:eastAsia="Times New Roman" w:cs="Times New Roman"/>
                <w:szCs w:val="18"/>
                <w:lang w:val="en-GB" w:eastAsia="en-GB"/>
              </w:rPr>
            </w:pPr>
            <w:r>
              <w:rPr>
                <w:rFonts w:eastAsia="Times New Roman" w:cs="Times New Roman"/>
                <w:szCs w:val="18"/>
                <w:lang w:val="en-GB" w:eastAsia="en-GB"/>
              </w:rPr>
              <w:t>Underlying objective: p</w:t>
            </w:r>
            <w:r w:rsidR="007F6B8B" w:rsidRPr="00881D62">
              <w:rPr>
                <w:rFonts w:eastAsia="Times New Roman" w:cs="Times New Roman"/>
                <w:szCs w:val="18"/>
                <w:lang w:val="en-GB" w:eastAsia="en-GB"/>
              </w:rPr>
              <w:t>rotect</w:t>
            </w:r>
            <w:r w:rsidR="007F6B8B">
              <w:rPr>
                <w:rFonts w:eastAsia="Times New Roman" w:cs="Times New Roman"/>
                <w:szCs w:val="18"/>
                <w:lang w:val="en-GB" w:eastAsia="en-GB"/>
              </w:rPr>
              <w:t>ing</w:t>
            </w:r>
            <w:r w:rsidR="007F6B8B" w:rsidRPr="00881D62">
              <w:rPr>
                <w:rFonts w:eastAsia="Times New Roman" w:cs="Times New Roman"/>
                <w:szCs w:val="18"/>
                <w:lang w:val="en-GB" w:eastAsia="en-GB"/>
              </w:rPr>
              <w:t xml:space="preserve"> the public from harm</w:t>
            </w:r>
            <w:r w:rsidR="007F6B8B">
              <w:rPr>
                <w:rFonts w:eastAsia="Times New Roman" w:cs="Times New Roman"/>
                <w:szCs w:val="18"/>
                <w:lang w:val="en-GB" w:eastAsia="en-GB"/>
              </w:rPr>
              <w:t xml:space="preserve"> by increasing</w:t>
            </w:r>
            <w:r w:rsidR="007F6B8B" w:rsidRPr="00881D62">
              <w:rPr>
                <w:rFonts w:eastAsia="Times New Roman" w:cs="Times New Roman"/>
                <w:szCs w:val="18"/>
                <w:lang w:val="en-GB" w:eastAsia="en-GB"/>
              </w:rPr>
              <w:t xml:space="preserve"> the professionalism of the social worker workforce</w:t>
            </w:r>
          </w:p>
        </w:tc>
        <w:tc>
          <w:tcPr>
            <w:tcW w:w="3331" w:type="pct"/>
          </w:tcPr>
          <w:p w:rsidR="007F6B8B" w:rsidRPr="00881D62" w:rsidRDefault="007B3B5D" w:rsidP="00177E1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szCs w:val="18"/>
                <w:lang w:val="en-GB" w:eastAsia="en-GB"/>
              </w:rPr>
            </w:pPr>
            <w:r w:rsidRPr="007B3B5D">
              <w:rPr>
                <w:rFonts w:eastAsia="Times New Roman"/>
                <w:szCs w:val="18"/>
                <w:lang w:val="en-GB" w:eastAsia="en-GB"/>
              </w:rPr>
              <w:t>The extent to which proposals</w:t>
            </w:r>
            <w:r>
              <w:rPr>
                <w:rFonts w:eastAsia="Times New Roman"/>
                <w:szCs w:val="18"/>
                <w:lang w:val="en-GB" w:eastAsia="en-GB"/>
              </w:rPr>
              <w:t xml:space="preserve"> </w:t>
            </w:r>
            <w:r w:rsidRPr="00881D62">
              <w:rPr>
                <w:rFonts w:eastAsia="Times New Roman"/>
                <w:szCs w:val="18"/>
                <w:lang w:val="en-GB" w:eastAsia="en-GB"/>
              </w:rPr>
              <w:t>increase</w:t>
            </w:r>
            <w:r>
              <w:rPr>
                <w:rFonts w:eastAsia="Times New Roman"/>
                <w:szCs w:val="18"/>
                <w:lang w:val="en-GB" w:eastAsia="en-GB"/>
              </w:rPr>
              <w:t xml:space="preserve"> </w:t>
            </w:r>
            <w:r w:rsidR="00260EE2">
              <w:rPr>
                <w:rFonts w:eastAsia="Times New Roman"/>
                <w:szCs w:val="18"/>
                <w:lang w:val="en-GB" w:eastAsia="en-GB"/>
              </w:rPr>
              <w:t xml:space="preserve">the </w:t>
            </w:r>
            <w:r>
              <w:rPr>
                <w:rFonts w:eastAsia="Times New Roman"/>
                <w:szCs w:val="18"/>
                <w:lang w:val="en-GB" w:eastAsia="en-GB"/>
              </w:rPr>
              <w:t>protection to the public</w:t>
            </w:r>
            <w:r w:rsidRPr="007B3B5D">
              <w:rPr>
                <w:rFonts w:eastAsia="Times New Roman"/>
                <w:szCs w:val="18"/>
                <w:lang w:val="en-GB" w:eastAsia="en-GB"/>
              </w:rPr>
              <w:t xml:space="preserve"> </w:t>
            </w:r>
            <w:r>
              <w:rPr>
                <w:rFonts w:eastAsia="Times New Roman"/>
                <w:szCs w:val="18"/>
                <w:lang w:val="en-GB" w:eastAsia="en-GB"/>
              </w:rPr>
              <w:t>from the risk of harm from</w:t>
            </w:r>
            <w:r w:rsidRPr="007B3B5D">
              <w:rPr>
                <w:rFonts w:eastAsia="Times New Roman"/>
                <w:szCs w:val="18"/>
                <w:lang w:val="en-GB" w:eastAsia="en-GB"/>
              </w:rPr>
              <w:t xml:space="preserve"> social work</w:t>
            </w:r>
            <w:r>
              <w:rPr>
                <w:rFonts w:eastAsia="Times New Roman"/>
                <w:szCs w:val="18"/>
                <w:lang w:val="en-GB" w:eastAsia="en-GB"/>
              </w:rPr>
              <w:t xml:space="preserve"> practice</w:t>
            </w:r>
            <w:r w:rsidRPr="007B3B5D">
              <w:rPr>
                <w:rFonts w:eastAsia="Times New Roman"/>
                <w:szCs w:val="18"/>
                <w:lang w:val="en-GB" w:eastAsia="en-GB"/>
              </w:rPr>
              <w:t xml:space="preserve"> in the government and NGO sectors</w:t>
            </w:r>
            <w:r w:rsidR="00260EE2">
              <w:rPr>
                <w:rFonts w:eastAsia="Times New Roman"/>
                <w:szCs w:val="18"/>
                <w:lang w:val="en-GB" w:eastAsia="en-GB"/>
              </w:rPr>
              <w:t>, and the confidence that employers and the public have in the profession.</w:t>
            </w:r>
          </w:p>
        </w:tc>
      </w:tr>
      <w:tr w:rsidR="007F6B8B" w:rsidRPr="00881D62" w:rsidTr="001555D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669" w:type="pct"/>
          </w:tcPr>
          <w:p w:rsidR="007F6B8B" w:rsidRPr="00881D62" w:rsidRDefault="007B3B5D" w:rsidP="00CF2F69">
            <w:pPr>
              <w:spacing w:after="0" w:line="240" w:lineRule="auto"/>
              <w:rPr>
                <w:rFonts w:eastAsia="Times New Roman" w:cs="Times New Roman"/>
                <w:szCs w:val="18"/>
                <w:lang w:val="en-GB" w:eastAsia="en-GB"/>
              </w:rPr>
            </w:pPr>
            <w:r>
              <w:rPr>
                <w:rFonts w:eastAsia="Times New Roman" w:cs="Times New Roman"/>
                <w:szCs w:val="18"/>
                <w:lang w:val="en-GB" w:eastAsia="en-GB"/>
              </w:rPr>
              <w:t>Underlying objective: i</w:t>
            </w:r>
            <w:r w:rsidR="00CD6F15">
              <w:rPr>
                <w:rFonts w:eastAsia="Times New Roman" w:cs="Times New Roman"/>
                <w:szCs w:val="18"/>
                <w:lang w:val="en-GB" w:eastAsia="en-GB"/>
              </w:rPr>
              <w:t>mproving the contribution of social workers to the Social Investment approach by increasing</w:t>
            </w:r>
            <w:r w:rsidR="00CD6F15" w:rsidRPr="00881D62">
              <w:rPr>
                <w:rFonts w:eastAsia="Times New Roman" w:cs="Times New Roman"/>
                <w:szCs w:val="18"/>
                <w:lang w:val="en-GB" w:eastAsia="en-GB"/>
              </w:rPr>
              <w:t xml:space="preserve"> the professionalism of the social worker workforce</w:t>
            </w:r>
          </w:p>
        </w:tc>
        <w:tc>
          <w:tcPr>
            <w:tcW w:w="3331" w:type="pct"/>
          </w:tcPr>
          <w:p w:rsidR="007F6B8B" w:rsidRPr="00881D62" w:rsidRDefault="007F6B8B" w:rsidP="00177E1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szCs w:val="18"/>
                <w:lang w:val="en-GB" w:eastAsia="en-GB"/>
              </w:rPr>
            </w:pPr>
            <w:r w:rsidRPr="00881D62">
              <w:rPr>
                <w:rFonts w:eastAsia="Times New Roman"/>
                <w:szCs w:val="18"/>
                <w:lang w:val="en-GB" w:eastAsia="en-GB"/>
              </w:rPr>
              <w:t xml:space="preserve">The extent to which proposals </w:t>
            </w:r>
            <w:r w:rsidR="00CD6F15">
              <w:rPr>
                <w:rFonts w:eastAsia="Times New Roman"/>
                <w:szCs w:val="18"/>
                <w:lang w:val="en-GB" w:eastAsia="en-GB"/>
              </w:rPr>
              <w:t xml:space="preserve">improve the quality and effectiveness of social workers </w:t>
            </w:r>
            <w:r w:rsidR="00963630">
              <w:rPr>
                <w:rFonts w:eastAsia="Times New Roman"/>
                <w:szCs w:val="18"/>
                <w:lang w:val="en-GB" w:eastAsia="en-GB"/>
              </w:rPr>
              <w:t>in the government and NGO sectors.</w:t>
            </w:r>
          </w:p>
        </w:tc>
      </w:tr>
    </w:tbl>
    <w:p w:rsidR="00FE7BB6" w:rsidRDefault="00FE7BB6" w:rsidP="00CF2F69">
      <w:pPr>
        <w:spacing w:after="0" w:line="240" w:lineRule="auto"/>
        <w:rPr>
          <w:rFonts w:eastAsia="Times New Roman" w:cs="Times New Roman"/>
          <w:b/>
          <w:color w:val="1F497D" w:themeColor="text2"/>
          <w:sz w:val="28"/>
          <w:szCs w:val="28"/>
          <w:lang w:val="en-GB" w:eastAsia="en-GB"/>
        </w:rPr>
      </w:pPr>
    </w:p>
    <w:tbl>
      <w:tblPr>
        <w:tblStyle w:val="LightList-Accent5"/>
        <w:tblW w:w="5000" w:type="pct"/>
        <w:tblLook w:val="04A0" w:firstRow="1" w:lastRow="0" w:firstColumn="1" w:lastColumn="0" w:noHBand="0" w:noVBand="1"/>
      </w:tblPr>
      <w:tblGrid>
        <w:gridCol w:w="3100"/>
        <w:gridCol w:w="6187"/>
      </w:tblGrid>
      <w:tr w:rsidR="00FE7BB6" w:rsidRPr="00881D62" w:rsidTr="00163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shd w:val="clear" w:color="auto" w:fill="31849B" w:themeFill="accent5" w:themeFillShade="BF"/>
          </w:tcPr>
          <w:p w:rsidR="00FE7BB6" w:rsidRPr="00881D62" w:rsidRDefault="00FE7BB6" w:rsidP="00177E1D">
            <w:pPr>
              <w:spacing w:after="0" w:line="240" w:lineRule="auto"/>
              <w:rPr>
                <w:rFonts w:eastAsia="Times New Roman"/>
                <w:szCs w:val="18"/>
                <w:lang w:val="en-GB" w:eastAsia="en-GB"/>
              </w:rPr>
            </w:pPr>
            <w:r w:rsidRPr="00881D62">
              <w:rPr>
                <w:rFonts w:eastAsia="Times New Roman"/>
                <w:szCs w:val="18"/>
                <w:lang w:val="en-GB" w:eastAsia="en-GB"/>
              </w:rPr>
              <w:t>Additional criteria</w:t>
            </w:r>
          </w:p>
        </w:tc>
        <w:tc>
          <w:tcPr>
            <w:tcW w:w="3331" w:type="pct"/>
            <w:shd w:val="clear" w:color="auto" w:fill="31849B" w:themeFill="accent5" w:themeFillShade="BF"/>
          </w:tcPr>
          <w:p w:rsidR="00FE7BB6" w:rsidRPr="00881D62" w:rsidRDefault="00FE7BB6" w:rsidP="00177E1D">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szCs w:val="18"/>
                <w:lang w:val="en-GB" w:eastAsia="en-GB"/>
              </w:rPr>
            </w:pPr>
            <w:r w:rsidRPr="00881D62">
              <w:rPr>
                <w:rFonts w:eastAsia="Times New Roman"/>
                <w:b w:val="0"/>
                <w:szCs w:val="18"/>
                <w:lang w:val="en-GB" w:eastAsia="en-GB"/>
              </w:rPr>
              <w:t>How these additional criteria will be assessed</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EE01F1" w:rsidP="00CF2F69">
            <w:pPr>
              <w:spacing w:after="240" w:line="240" w:lineRule="auto"/>
              <w:rPr>
                <w:rFonts w:eastAsia="Times New Roman" w:cs="Times New Roman"/>
                <w:szCs w:val="18"/>
                <w:lang w:val="en-GB" w:eastAsia="en-GB"/>
              </w:rPr>
            </w:pPr>
            <w:r>
              <w:rPr>
                <w:rFonts w:eastAsia="Times New Roman" w:cs="Times New Roman"/>
                <w:szCs w:val="18"/>
                <w:lang w:val="en-GB" w:eastAsia="en-GB"/>
              </w:rPr>
              <w:t>Effectiveness</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The analysis will consider the extent to which proposals </w:t>
            </w:r>
            <w:r w:rsidRPr="00881D62">
              <w:rPr>
                <w:rFonts w:eastAsia="Times New Roman" w:cs="Times New Roman"/>
                <w:szCs w:val="18"/>
                <w:lang w:val="en-GB" w:eastAsia="en-GB"/>
              </w:rPr>
              <w:t>minimise an identified risk of significant harm to the clients of social workers</w:t>
            </w:r>
            <w:r>
              <w:rPr>
                <w:rFonts w:eastAsia="Times New Roman" w:cs="Times New Roman"/>
                <w:szCs w:val="18"/>
                <w:lang w:val="en-GB" w:eastAsia="en-GB"/>
              </w:rPr>
              <w:t xml:space="preserve"> or the public.</w:t>
            </w:r>
          </w:p>
        </w:tc>
      </w:tr>
      <w:tr w:rsidR="00FE7BB6" w:rsidRPr="00881D62" w:rsidTr="00163A28">
        <w:trPr>
          <w:cantSplit/>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Efficiency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The analysis will consider the extent to which the benefits of the proposals exceed the costs of regulation. In particular, the analysis will consider the following impacts, and will </w:t>
            </w:r>
            <w:proofErr w:type="spellStart"/>
            <w:r w:rsidRPr="00881D62">
              <w:rPr>
                <w:rFonts w:eastAsia="Times New Roman" w:cs="Times New Roman"/>
                <w:kern w:val="28"/>
                <w:szCs w:val="18"/>
                <w:lang w:val="en-US" w:eastAsia="en-GB"/>
              </w:rPr>
              <w:t>favour</w:t>
            </w:r>
            <w:proofErr w:type="spellEnd"/>
            <w:r w:rsidRPr="00881D62">
              <w:rPr>
                <w:rFonts w:eastAsia="Times New Roman" w:cs="Times New Roman"/>
                <w:kern w:val="28"/>
                <w:szCs w:val="18"/>
                <w:lang w:val="en-US" w:eastAsia="en-GB"/>
              </w:rPr>
              <w:t xml:space="preserve"> proposals that achieve the objectives above while </w:t>
            </w:r>
            <w:proofErr w:type="spellStart"/>
            <w:r w:rsidRPr="00881D62">
              <w:rPr>
                <w:rFonts w:eastAsia="Times New Roman" w:cs="Times New Roman"/>
                <w:kern w:val="28"/>
                <w:szCs w:val="18"/>
                <w:lang w:val="en-US" w:eastAsia="en-GB"/>
              </w:rPr>
              <w:t>minimising</w:t>
            </w:r>
            <w:proofErr w:type="spellEnd"/>
            <w:r w:rsidRPr="00881D62">
              <w:rPr>
                <w:rFonts w:eastAsia="Times New Roman" w:cs="Times New Roman"/>
                <w:kern w:val="28"/>
                <w:szCs w:val="18"/>
                <w:lang w:val="en-US" w:eastAsia="en-GB"/>
              </w:rPr>
              <w:t xml:space="preserve"> the fiscal and operational impact</w:t>
            </w:r>
            <w:r w:rsidR="00340B40">
              <w:rPr>
                <w:rFonts w:eastAsia="Times New Roman" w:cs="Times New Roman"/>
                <w:kern w:val="28"/>
                <w:szCs w:val="18"/>
                <w:lang w:val="en-US" w:eastAsia="en-GB"/>
              </w:rPr>
              <w:t xml:space="preserve"> of</w:t>
            </w:r>
            <w:r w:rsidRPr="00881D62">
              <w:rPr>
                <w:rFonts w:eastAsia="Times New Roman" w:cs="Times New Roman"/>
                <w:kern w:val="28"/>
                <w:szCs w:val="18"/>
                <w:lang w:val="en-US" w:eastAsia="en-GB"/>
              </w:rPr>
              <w:t xml:space="preserve">: </w:t>
            </w:r>
          </w:p>
          <w:p w:rsidR="00FE7BB6" w:rsidRPr="00881D62" w:rsidRDefault="00FE7BB6" w:rsidP="00177E1D">
            <w:pPr>
              <w:numPr>
                <w:ilvl w:val="0"/>
                <w:numId w:val="2"/>
              </w:numPr>
              <w:tabs>
                <w:tab w:val="left" w:pos="454"/>
              </w:tabs>
              <w:suppressAutoHyphens/>
              <w:autoSpaceDE w:val="0"/>
              <w:autoSpaceDN w:val="0"/>
              <w:adjustRightInd w:val="0"/>
              <w:spacing w:line="240" w:lineRule="auto"/>
              <w:ind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compliance costs of implementing the proposal across government agencies, and for other </w:t>
            </w:r>
            <w:proofErr w:type="spellStart"/>
            <w:r w:rsidRPr="00881D62">
              <w:rPr>
                <w:rFonts w:eastAsia="Times New Roman" w:cs="Times New Roman"/>
                <w:kern w:val="28"/>
                <w:szCs w:val="18"/>
                <w:lang w:val="en-US" w:eastAsia="en-GB"/>
              </w:rPr>
              <w:t>organisations</w:t>
            </w:r>
            <w:proofErr w:type="spellEnd"/>
          </w:p>
          <w:p w:rsidR="00FE7BB6" w:rsidRPr="00881D62" w:rsidRDefault="00FE7BB6" w:rsidP="00177E1D">
            <w:pPr>
              <w:numPr>
                <w:ilvl w:val="0"/>
                <w:numId w:val="2"/>
              </w:numPr>
              <w:tabs>
                <w:tab w:val="left" w:pos="454"/>
              </w:tabs>
              <w:suppressAutoHyphens/>
              <w:autoSpaceDE w:val="0"/>
              <w:autoSpaceDN w:val="0"/>
              <w:adjustRightInd w:val="0"/>
              <w:spacing w:line="240" w:lineRule="auto"/>
              <w:ind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proofErr w:type="gramStart"/>
            <w:r w:rsidRPr="00881D62">
              <w:rPr>
                <w:rFonts w:eastAsia="Times New Roman" w:cs="Times New Roman"/>
                <w:kern w:val="28"/>
                <w:szCs w:val="18"/>
                <w:lang w:val="en-US" w:eastAsia="en-GB"/>
              </w:rPr>
              <w:t>operational</w:t>
            </w:r>
            <w:proofErr w:type="gramEnd"/>
            <w:r w:rsidRPr="00881D62">
              <w:rPr>
                <w:rFonts w:eastAsia="Times New Roman" w:cs="Times New Roman"/>
                <w:kern w:val="28"/>
                <w:szCs w:val="18"/>
                <w:lang w:val="en-US" w:eastAsia="en-GB"/>
              </w:rPr>
              <w:t xml:space="preserve"> implications of implementing the proposals for government agencies, and any other affected </w:t>
            </w:r>
            <w:proofErr w:type="spellStart"/>
            <w:r w:rsidRPr="00881D62">
              <w:rPr>
                <w:rFonts w:eastAsia="Times New Roman" w:cs="Times New Roman"/>
                <w:kern w:val="28"/>
                <w:szCs w:val="18"/>
                <w:lang w:val="en-US" w:eastAsia="en-GB"/>
              </w:rPr>
              <w:t>organisations</w:t>
            </w:r>
            <w:proofErr w:type="spellEnd"/>
            <w:r w:rsidRPr="00881D62">
              <w:rPr>
                <w:rFonts w:eastAsia="Times New Roman" w:cs="Times New Roman"/>
                <w:kern w:val="28"/>
                <w:szCs w:val="18"/>
                <w:lang w:val="en-US" w:eastAsia="en-GB"/>
              </w:rPr>
              <w:t xml:space="preserve">, including the scope and magnitude of </w:t>
            </w:r>
            <w:proofErr w:type="spellStart"/>
            <w:r w:rsidRPr="00881D62">
              <w:rPr>
                <w:rFonts w:eastAsia="Times New Roman" w:cs="Times New Roman"/>
                <w:kern w:val="28"/>
                <w:szCs w:val="18"/>
                <w:lang w:val="en-US" w:eastAsia="en-GB"/>
              </w:rPr>
              <w:t>organisational</w:t>
            </w:r>
            <w:proofErr w:type="spellEnd"/>
            <w:r w:rsidRPr="00881D62">
              <w:rPr>
                <w:rFonts w:eastAsia="Times New Roman" w:cs="Times New Roman"/>
                <w:kern w:val="28"/>
                <w:szCs w:val="18"/>
                <w:lang w:val="en-US" w:eastAsia="en-GB"/>
              </w:rPr>
              <w:t xml:space="preserve"> change required to implement proposals.</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lastRenderedPageBreak/>
              <w:t>Equity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The analysis will consider the extent to which proposals are fair (</w:t>
            </w:r>
            <w:proofErr w:type="spellStart"/>
            <w:r w:rsidRPr="00881D62">
              <w:rPr>
                <w:rFonts w:eastAsia="Times New Roman" w:cs="Times New Roman"/>
                <w:kern w:val="28"/>
                <w:szCs w:val="18"/>
                <w:lang w:val="en-US" w:eastAsia="en-GB"/>
              </w:rPr>
              <w:t>ie</w:t>
            </w:r>
            <w:proofErr w:type="spellEnd"/>
            <w:r w:rsidRPr="00881D62">
              <w:rPr>
                <w:rFonts w:eastAsia="Times New Roman" w:cs="Times New Roman"/>
                <w:kern w:val="28"/>
                <w:szCs w:val="18"/>
                <w:lang w:val="en-US" w:eastAsia="en-GB"/>
              </w:rPr>
              <w:t xml:space="preserve"> treat individuals in similar situations similarly and individuals in different situations differently)</w:t>
            </w:r>
            <w:r w:rsidR="00340B40">
              <w:rPr>
                <w:rFonts w:eastAsia="Times New Roman" w:cs="Times New Roman"/>
                <w:kern w:val="28"/>
                <w:szCs w:val="18"/>
                <w:lang w:val="en-US" w:eastAsia="en-GB"/>
              </w:rPr>
              <w:t>.</w:t>
            </w:r>
          </w:p>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Pr>
                <w:rFonts w:eastAsia="Times New Roman" w:cs="Times New Roman"/>
                <w:szCs w:val="20"/>
                <w:lang w:val="en-GB" w:eastAsia="en-GB"/>
              </w:rPr>
              <w:t xml:space="preserve">In the case of those </w:t>
            </w:r>
            <w:r w:rsidRPr="001015BB">
              <w:rPr>
                <w:rFonts w:eastAsia="Times New Roman" w:cs="Times New Roman"/>
                <w:szCs w:val="20"/>
                <w:lang w:val="en-GB" w:eastAsia="en-GB"/>
              </w:rPr>
              <w:t xml:space="preserve">options relating complaints and disciplinary processes consideration has also been given to </w:t>
            </w:r>
            <w:r>
              <w:rPr>
                <w:rFonts w:eastAsia="Times New Roman" w:cs="Times New Roman"/>
                <w:szCs w:val="20"/>
                <w:lang w:val="en-GB" w:eastAsia="en-GB"/>
              </w:rPr>
              <w:t xml:space="preserve">the objectives of </w:t>
            </w:r>
            <w:r w:rsidRPr="00BF4A39">
              <w:rPr>
                <w:rFonts w:eastAsia="Times New Roman" w:cs="Times New Roman"/>
                <w:szCs w:val="20"/>
                <w:lang w:val="en-GB" w:eastAsia="en-GB"/>
              </w:rPr>
              <w:t>natural justice and due process</w:t>
            </w:r>
            <w:r>
              <w:rPr>
                <w:rFonts w:eastAsia="Times New Roman" w:cs="Times New Roman"/>
                <w:szCs w:val="20"/>
                <w:lang w:val="en-GB" w:eastAsia="en-GB"/>
              </w:rPr>
              <w:t>.</w:t>
            </w:r>
          </w:p>
        </w:tc>
      </w:tr>
      <w:tr w:rsidR="00FE7BB6" w:rsidRPr="00881D62" w:rsidTr="00163A28">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Transparency</w:t>
            </w: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18"/>
                <w:lang w:val="en-GB" w:eastAsia="en-GB"/>
              </w:rPr>
            </w:pPr>
            <w:r w:rsidRPr="00881D62">
              <w:rPr>
                <w:rFonts w:eastAsia="Times New Roman" w:cs="Times New Roman"/>
                <w:szCs w:val="18"/>
                <w:lang w:val="en-GB" w:eastAsia="en-GB"/>
              </w:rPr>
              <w:t>The analysis will consider the extent to which</w:t>
            </w:r>
            <w:r>
              <w:rPr>
                <w:rFonts w:eastAsia="Times New Roman" w:cs="Times New Roman"/>
                <w:szCs w:val="18"/>
                <w:lang w:val="en-GB" w:eastAsia="en-GB"/>
              </w:rPr>
              <w:t xml:space="preserve"> the proposals support regulatory processes and requirements that are transparent to both the decision-makers and those affected by the decisions.</w:t>
            </w:r>
          </w:p>
        </w:tc>
      </w:tr>
      <w:tr w:rsidR="00FE7BB6" w:rsidRPr="00881D62" w:rsidTr="00163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Clarity</w:t>
            </w:r>
          </w:p>
          <w:p w:rsidR="00FE7BB6" w:rsidRPr="00881D62" w:rsidRDefault="00FE7BB6" w:rsidP="00177E1D">
            <w:pPr>
              <w:spacing w:after="240" w:line="240" w:lineRule="auto"/>
              <w:rPr>
                <w:rFonts w:eastAsia="Times New Roman" w:cs="Times New Roman"/>
                <w:szCs w:val="18"/>
                <w:lang w:val="en-GB" w:eastAsia="en-GB"/>
              </w:rPr>
            </w:pPr>
          </w:p>
        </w:tc>
        <w:tc>
          <w:tcPr>
            <w:tcW w:w="3331" w:type="pct"/>
          </w:tcPr>
          <w:p w:rsidR="00FE7BB6" w:rsidRPr="00881D62" w:rsidRDefault="00FE7BB6" w:rsidP="00177E1D">
            <w:pPr>
              <w:tabs>
                <w:tab w:val="left" w:pos="454"/>
              </w:tabs>
              <w:suppressAutoHyphens/>
              <w:autoSpaceDE w:val="0"/>
              <w:autoSpaceDN w:val="0"/>
              <w:adjustRightInd w:val="0"/>
              <w:spacing w:line="240" w:lineRule="auto"/>
              <w:ind w:left="34" w:right="170"/>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szCs w:val="18"/>
                <w:lang w:val="en-GB" w:eastAsia="en-GB"/>
              </w:rPr>
              <w:t>The analysis will consider the extent to which the proposals support regulatory processes and requirements that are understandable and accessible as practicable</w:t>
            </w:r>
            <w:r>
              <w:rPr>
                <w:rFonts w:eastAsia="Times New Roman" w:cs="Times New Roman"/>
                <w:szCs w:val="18"/>
                <w:lang w:val="en-GB" w:eastAsia="en-GB"/>
              </w:rPr>
              <w:t>.</w:t>
            </w:r>
          </w:p>
        </w:tc>
      </w:tr>
      <w:tr w:rsidR="00FE7BB6" w:rsidRPr="00881D62" w:rsidTr="00163A28">
        <w:tc>
          <w:tcPr>
            <w:cnfStyle w:val="001000000000" w:firstRow="0" w:lastRow="0" w:firstColumn="1" w:lastColumn="0" w:oddVBand="0" w:evenVBand="0" w:oddHBand="0" w:evenHBand="0" w:firstRowFirstColumn="0" w:firstRowLastColumn="0" w:lastRowFirstColumn="0" w:lastRowLastColumn="0"/>
            <w:tcW w:w="1669" w:type="pct"/>
          </w:tcPr>
          <w:p w:rsidR="00FE7BB6" w:rsidRPr="00881D62" w:rsidRDefault="00FE7BB6" w:rsidP="00CF2F69">
            <w:pPr>
              <w:spacing w:after="240" w:line="240" w:lineRule="auto"/>
              <w:rPr>
                <w:rFonts w:eastAsia="Times New Roman" w:cs="Times New Roman"/>
                <w:szCs w:val="18"/>
                <w:lang w:val="en-GB" w:eastAsia="en-GB"/>
              </w:rPr>
            </w:pPr>
            <w:r w:rsidRPr="00881D62">
              <w:rPr>
                <w:rFonts w:eastAsia="Times New Roman" w:cs="Times New Roman"/>
                <w:szCs w:val="18"/>
                <w:lang w:val="en-GB" w:eastAsia="en-GB"/>
              </w:rPr>
              <w:t>Institutional</w:t>
            </w:r>
          </w:p>
        </w:tc>
        <w:tc>
          <w:tcPr>
            <w:tcW w:w="3331" w:type="pct"/>
          </w:tcPr>
          <w:p w:rsidR="00FE7BB6" w:rsidRPr="00881D62" w:rsidRDefault="00FE7BB6" w:rsidP="00CB2909">
            <w:pPr>
              <w:tabs>
                <w:tab w:val="left" w:pos="454"/>
              </w:tabs>
              <w:suppressAutoHyphens/>
              <w:autoSpaceDE w:val="0"/>
              <w:autoSpaceDN w:val="0"/>
              <w:adjustRightInd w:val="0"/>
              <w:spacing w:line="240" w:lineRule="auto"/>
              <w:ind w:left="34" w:right="170"/>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kern w:val="28"/>
                <w:szCs w:val="18"/>
                <w:lang w:val="en-US" w:eastAsia="en-GB"/>
              </w:rPr>
            </w:pPr>
            <w:r w:rsidRPr="00881D62">
              <w:rPr>
                <w:rFonts w:eastAsia="Times New Roman" w:cs="Times New Roman"/>
                <w:kern w:val="28"/>
                <w:szCs w:val="18"/>
                <w:lang w:val="en-US" w:eastAsia="en-GB"/>
              </w:rPr>
              <w:t xml:space="preserve">The analysis will consider the extent to which the proposals </w:t>
            </w:r>
            <w:r w:rsidR="00CB2909">
              <w:rPr>
                <w:rFonts w:eastAsia="Times New Roman" w:cs="Times New Roman"/>
                <w:kern w:val="28"/>
                <w:szCs w:val="18"/>
                <w:lang w:val="en-US" w:eastAsia="en-GB"/>
              </w:rPr>
              <w:t xml:space="preserve">raise a </w:t>
            </w:r>
            <w:r w:rsidR="005B46F7">
              <w:rPr>
                <w:rFonts w:eastAsia="Times New Roman" w:cs="Times New Roman"/>
                <w:kern w:val="28"/>
                <w:szCs w:val="18"/>
                <w:lang w:val="en-US" w:eastAsia="en-GB"/>
              </w:rPr>
              <w:t xml:space="preserve">risk </w:t>
            </w:r>
            <w:r w:rsidR="00CB2909">
              <w:rPr>
                <w:rFonts w:eastAsia="Times New Roman" w:cs="Times New Roman"/>
                <w:kern w:val="28"/>
                <w:szCs w:val="18"/>
                <w:lang w:val="en-US" w:eastAsia="en-GB"/>
              </w:rPr>
              <w:t xml:space="preserve">that </w:t>
            </w:r>
            <w:r w:rsidR="005B46F7">
              <w:rPr>
                <w:rFonts w:eastAsia="Times New Roman" w:cs="Times New Roman"/>
                <w:kern w:val="28"/>
                <w:szCs w:val="18"/>
                <w:lang w:val="en-US" w:eastAsia="en-GB"/>
              </w:rPr>
              <w:t>the regime</w:t>
            </w:r>
            <w:r w:rsidRPr="00881D62">
              <w:rPr>
                <w:rFonts w:eastAsia="Times New Roman" w:cs="Times New Roman"/>
                <w:kern w:val="28"/>
                <w:szCs w:val="18"/>
                <w:lang w:val="en-US" w:eastAsia="en-GB"/>
              </w:rPr>
              <w:t xml:space="preserve"> </w:t>
            </w:r>
            <w:r w:rsidR="00CB2909">
              <w:rPr>
                <w:rFonts w:eastAsia="Times New Roman" w:cs="Times New Roman"/>
                <w:kern w:val="28"/>
                <w:szCs w:val="18"/>
                <w:lang w:val="en-US" w:eastAsia="en-GB"/>
              </w:rPr>
              <w:t>might function</w:t>
            </w:r>
            <w:r w:rsidR="005B46F7">
              <w:rPr>
                <w:rFonts w:eastAsia="Times New Roman" w:cs="Times New Roman"/>
                <w:kern w:val="28"/>
                <w:szCs w:val="18"/>
                <w:lang w:val="en-US" w:eastAsia="en-GB"/>
              </w:rPr>
              <w:t xml:space="preserve"> to</w:t>
            </w:r>
            <w:r w:rsidR="005B46F7" w:rsidRPr="00881D62">
              <w:rPr>
                <w:rFonts w:eastAsia="Times New Roman" w:cs="Times New Roman"/>
                <w:kern w:val="28"/>
                <w:szCs w:val="18"/>
                <w:lang w:val="en-US" w:eastAsia="en-GB"/>
              </w:rPr>
              <w:t xml:space="preserve"> </w:t>
            </w:r>
            <w:r w:rsidRPr="00881D62">
              <w:rPr>
                <w:rFonts w:eastAsia="Times New Roman" w:cs="Times New Roman"/>
                <w:kern w:val="28"/>
                <w:szCs w:val="18"/>
                <w:lang w:val="en-US" w:eastAsia="en-GB"/>
              </w:rPr>
              <w:t>protect</w:t>
            </w:r>
            <w:r w:rsidR="005B46F7">
              <w:rPr>
                <w:rFonts w:eastAsia="Times New Roman" w:cs="Times New Roman"/>
                <w:kern w:val="28"/>
                <w:szCs w:val="18"/>
                <w:lang w:val="en-US" w:eastAsia="en-GB"/>
              </w:rPr>
              <w:t xml:space="preserve"> the</w:t>
            </w:r>
            <w:r w:rsidRPr="00881D62">
              <w:rPr>
                <w:rFonts w:eastAsia="Times New Roman" w:cs="Times New Roman"/>
                <w:kern w:val="28"/>
                <w:szCs w:val="18"/>
                <w:lang w:val="en-US" w:eastAsia="en-GB"/>
              </w:rPr>
              <w:t xml:space="preserve"> </w:t>
            </w:r>
            <w:r w:rsidR="005B46F7">
              <w:rPr>
                <w:rFonts w:eastAsia="Times New Roman" w:cs="Times New Roman"/>
                <w:kern w:val="28"/>
                <w:szCs w:val="18"/>
                <w:lang w:val="en-US" w:eastAsia="en-GB"/>
              </w:rPr>
              <w:t>profession</w:t>
            </w:r>
            <w:r w:rsidR="005B46F7" w:rsidRPr="00881D62">
              <w:rPr>
                <w:rFonts w:eastAsia="Times New Roman" w:cs="Times New Roman"/>
                <w:kern w:val="28"/>
                <w:szCs w:val="18"/>
                <w:lang w:val="en-US" w:eastAsia="en-GB"/>
              </w:rPr>
              <w:t xml:space="preserve"> </w:t>
            </w:r>
            <w:r w:rsidRPr="00881D62">
              <w:rPr>
                <w:rFonts w:eastAsia="Times New Roman" w:cs="Times New Roman"/>
                <w:kern w:val="28"/>
                <w:szCs w:val="18"/>
                <w:lang w:val="en-US" w:eastAsia="en-GB"/>
              </w:rPr>
              <w:t xml:space="preserve">rather than </w:t>
            </w:r>
            <w:r w:rsidR="005B46F7">
              <w:rPr>
                <w:rFonts w:eastAsia="Times New Roman" w:cs="Times New Roman"/>
                <w:kern w:val="28"/>
                <w:szCs w:val="18"/>
                <w:lang w:val="en-US" w:eastAsia="en-GB"/>
              </w:rPr>
              <w:t xml:space="preserve">the </w:t>
            </w:r>
            <w:r w:rsidRPr="00881D62">
              <w:rPr>
                <w:rFonts w:eastAsia="Times New Roman" w:cs="Times New Roman"/>
                <w:kern w:val="28"/>
                <w:szCs w:val="18"/>
                <w:lang w:val="en-US" w:eastAsia="en-GB"/>
              </w:rPr>
              <w:t>public</w:t>
            </w:r>
            <w:r>
              <w:rPr>
                <w:rFonts w:eastAsia="Times New Roman" w:cs="Times New Roman"/>
                <w:kern w:val="28"/>
                <w:szCs w:val="18"/>
                <w:lang w:val="en-US" w:eastAsia="en-GB"/>
              </w:rPr>
              <w:t>.</w:t>
            </w:r>
          </w:p>
        </w:tc>
      </w:tr>
    </w:tbl>
    <w:p w:rsidR="00FE7BB6" w:rsidRPr="00FE7BB6" w:rsidRDefault="00FE7BB6" w:rsidP="00CF2F69">
      <w:pPr>
        <w:spacing w:after="240" w:line="240" w:lineRule="auto"/>
        <w:rPr>
          <w:rFonts w:eastAsia="Times New Roman" w:cs="Times New Roman"/>
          <w:szCs w:val="20"/>
          <w:lang w:eastAsia="en-GB"/>
        </w:rPr>
      </w:pPr>
    </w:p>
    <w:p w:rsidR="006638A8" w:rsidRDefault="006638A8" w:rsidP="00177E1D">
      <w:pPr>
        <w:spacing w:after="240" w:line="240" w:lineRule="auto"/>
        <w:outlineLvl w:val="1"/>
        <w:rPr>
          <w:rFonts w:eastAsia="Times New Roman" w:cs="Times New Roman"/>
          <w:b/>
          <w:color w:val="1F497D" w:themeColor="text2"/>
          <w:sz w:val="28"/>
          <w:szCs w:val="28"/>
          <w:lang w:val="en-GB" w:eastAsia="en-GB"/>
        </w:rPr>
      </w:pPr>
      <w:bookmarkStart w:id="41" w:name="_Toc481662081"/>
      <w:r>
        <w:rPr>
          <w:rFonts w:eastAsia="Times New Roman" w:cs="Times New Roman"/>
          <w:b/>
          <w:color w:val="1F497D" w:themeColor="text2"/>
          <w:sz w:val="28"/>
          <w:szCs w:val="28"/>
          <w:lang w:val="en-GB" w:eastAsia="en-GB"/>
        </w:rPr>
        <w:t>Specific proposals and options</w:t>
      </w:r>
      <w:bookmarkEnd w:id="41"/>
      <w:r w:rsidRPr="002A5D5B">
        <w:rPr>
          <w:rFonts w:eastAsia="Times New Roman" w:cs="Times New Roman"/>
          <w:b/>
          <w:color w:val="1F497D" w:themeColor="text2"/>
          <w:sz w:val="28"/>
          <w:szCs w:val="28"/>
          <w:lang w:val="en-GB" w:eastAsia="en-GB"/>
        </w:rPr>
        <w:t xml:space="preserve"> </w:t>
      </w:r>
    </w:p>
    <w:p w:rsidR="006638A8" w:rsidRPr="002A5D5B" w:rsidRDefault="00112962" w:rsidP="00177E1D">
      <w:pPr>
        <w:spacing w:after="240"/>
        <w:outlineLvl w:val="2"/>
        <w:rPr>
          <w:rFonts w:eastAsia="Times New Roman" w:cs="Times New Roman"/>
          <w:b/>
          <w:sz w:val="24"/>
          <w:szCs w:val="24"/>
          <w:lang w:val="en-GB" w:eastAsia="en-GB"/>
        </w:rPr>
      </w:pPr>
      <w:bookmarkStart w:id="42" w:name="_Toc481662082"/>
      <w:r>
        <w:rPr>
          <w:rFonts w:eastAsia="Times New Roman" w:cs="Times New Roman"/>
          <w:b/>
          <w:sz w:val="24"/>
          <w:szCs w:val="24"/>
          <w:lang w:val="en-GB" w:eastAsia="en-GB"/>
        </w:rPr>
        <w:t xml:space="preserve">Part One: </w:t>
      </w:r>
      <w:r w:rsidR="006638A8" w:rsidRPr="002A5D5B">
        <w:rPr>
          <w:rFonts w:eastAsia="Times New Roman" w:cs="Times New Roman"/>
          <w:b/>
          <w:sz w:val="24"/>
          <w:szCs w:val="24"/>
          <w:lang w:val="en-GB" w:eastAsia="en-GB"/>
        </w:rPr>
        <w:t>Registration of social workers</w:t>
      </w:r>
      <w:bookmarkEnd w:id="42"/>
      <w:r w:rsidR="006638A8" w:rsidRPr="002A5D5B">
        <w:rPr>
          <w:rFonts w:eastAsia="Times New Roman" w:cs="Times New Roman"/>
          <w:b/>
          <w:sz w:val="24"/>
          <w:szCs w:val="24"/>
          <w:lang w:val="en-GB" w:eastAsia="en-GB"/>
        </w:rPr>
        <w:t xml:space="preserve"> </w:t>
      </w:r>
    </w:p>
    <w:p w:rsidR="006638A8" w:rsidRPr="00AF2E9F" w:rsidRDefault="006638A8" w:rsidP="00177E1D">
      <w:pPr>
        <w:spacing w:after="240" w:line="240" w:lineRule="auto"/>
        <w:rPr>
          <w:rFonts w:eastAsia="Times New Roman" w:cs="Times New Roman"/>
          <w:i/>
          <w:szCs w:val="20"/>
          <w:lang w:val="en-GB" w:eastAsia="en-GB"/>
        </w:rPr>
      </w:pPr>
      <w:r w:rsidRPr="00AF2E9F">
        <w:rPr>
          <w:rFonts w:eastAsia="Times New Roman" w:cs="Times New Roman"/>
          <w:i/>
          <w:szCs w:val="20"/>
          <w:lang w:val="en-GB" w:eastAsia="en-GB"/>
        </w:rPr>
        <w:t xml:space="preserve">What is the argument for the regulation of social work?  </w:t>
      </w:r>
    </w:p>
    <w:p w:rsidR="006638A8" w:rsidRPr="00AF2E9F" w:rsidRDefault="006638A8" w:rsidP="005B5FC6">
      <w:pPr>
        <w:numPr>
          <w:ilvl w:val="0"/>
          <w:numId w:val="23"/>
        </w:numPr>
        <w:spacing w:after="240" w:line="240" w:lineRule="auto"/>
        <w:ind w:left="567" w:hanging="567"/>
        <w:rPr>
          <w:rFonts w:eastAsia="Times New Roman" w:cs="Times New Roman"/>
          <w:szCs w:val="20"/>
          <w:lang w:eastAsia="en-GB"/>
        </w:rPr>
      </w:pPr>
      <w:r w:rsidRPr="00AF2E9F">
        <w:rPr>
          <w:rFonts w:eastAsia="Times New Roman" w:cs="Times New Roman"/>
          <w:szCs w:val="20"/>
          <w:lang w:eastAsia="en-GB"/>
        </w:rPr>
        <w:t xml:space="preserve">Government is investing in a systematic approach to lifting the quality and effectiveness of social services.  Social investment is about improving the lives of New Zealanders by applying rigorous and evidence-based investment practice to social services.  It recognises that vulnerable New Zealanders have complex needs that span multiple agencies and require collaboration to address the underlying drivers of dysfunction rather than just responding to symptoms.  Critical to the success of this initiative is having a highly skilled </w:t>
      </w:r>
      <w:r>
        <w:rPr>
          <w:rFonts w:eastAsia="Times New Roman" w:cs="Times New Roman"/>
          <w:szCs w:val="20"/>
          <w:lang w:eastAsia="en-GB"/>
        </w:rPr>
        <w:t xml:space="preserve">social work </w:t>
      </w:r>
      <w:r w:rsidRPr="00AF2E9F">
        <w:rPr>
          <w:rFonts w:eastAsia="Times New Roman" w:cs="Times New Roman"/>
          <w:szCs w:val="20"/>
          <w:lang w:eastAsia="en-GB"/>
        </w:rPr>
        <w:t>workforce to deliver interventions and services to a consistent and competent level</w:t>
      </w:r>
      <w:r>
        <w:rPr>
          <w:rFonts w:eastAsia="Times New Roman" w:cs="Times New Roman"/>
          <w:szCs w:val="20"/>
          <w:lang w:eastAsia="en-GB"/>
        </w:rPr>
        <w:t>, because social workers frequently provide the frontline social service interventions - assessments, casework and referrals.</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 xml:space="preserve">Good quality social work </w:t>
      </w:r>
      <w:r>
        <w:rPr>
          <w:rFonts w:eastAsia="Times New Roman" w:cs="Times New Roman"/>
          <w:szCs w:val="20"/>
          <w:lang w:eastAsia="en-GB"/>
        </w:rPr>
        <w:t>also matters to the individual</w:t>
      </w:r>
      <w:r w:rsidRPr="00E765E1">
        <w:rPr>
          <w:rFonts w:eastAsia="Times New Roman" w:cs="Times New Roman"/>
          <w:szCs w:val="20"/>
          <w:lang w:eastAsia="en-GB"/>
        </w:rPr>
        <w:t xml:space="preserve">.  Its immediate value is in addressing serious problems faced by individuals and communities, and protecting the vulnerable.  Social workers have a critical role in </w:t>
      </w:r>
      <w:r>
        <w:rPr>
          <w:rFonts w:eastAsia="Times New Roman" w:cs="Times New Roman"/>
          <w:szCs w:val="20"/>
          <w:lang w:eastAsia="en-GB"/>
        </w:rPr>
        <w:t xml:space="preserve">the delivery of </w:t>
      </w:r>
      <w:r w:rsidRPr="00E765E1">
        <w:rPr>
          <w:rFonts w:eastAsia="Times New Roman" w:cs="Times New Roman"/>
          <w:szCs w:val="20"/>
          <w:lang w:eastAsia="en-GB"/>
        </w:rPr>
        <w:t xml:space="preserve">effective social </w:t>
      </w:r>
      <w:r>
        <w:rPr>
          <w:rFonts w:eastAsia="Times New Roman" w:cs="Times New Roman"/>
          <w:szCs w:val="20"/>
          <w:lang w:eastAsia="en-GB"/>
        </w:rPr>
        <w:t>services</w:t>
      </w:r>
      <w:r w:rsidRPr="00E765E1">
        <w:rPr>
          <w:rFonts w:eastAsia="Times New Roman" w:cs="Times New Roman"/>
          <w:szCs w:val="20"/>
          <w:lang w:eastAsia="en-GB"/>
        </w:rPr>
        <w:t xml:space="preserve"> – interventions that mitigate and prevent harm that could otherwise have long term adverse consequences for individuals and society.  Most social work is government funded, either directly through government agencies, or via contracts with NGOs.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 xml:space="preserve">Social work is a complex set of tasks and approaches, involving relationships and professional judgements, informed by a body of knowledge and experience.  There are a range of recognised methodologies and tools which social workers use, and various specialist areas of practice.  It is frequently practiced in a collaborative way, in a multidisciplinary context.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Social work has the potential to be a moderate to high risk occupation in terms of causing harm.  Harm can be physical, emotional, psychological, material, financial or social.  Harm from social work can arise via misconduct (improper behaviour and breach of professional standards</w:t>
      </w:r>
      <w:r w:rsidR="00340B40">
        <w:rPr>
          <w:rFonts w:eastAsia="Times New Roman" w:cs="Times New Roman"/>
          <w:szCs w:val="20"/>
          <w:lang w:eastAsia="en-GB"/>
        </w:rPr>
        <w:t>,</w:t>
      </w:r>
      <w:r w:rsidRPr="00E765E1">
        <w:rPr>
          <w:rFonts w:eastAsia="Times New Roman" w:cs="Times New Roman"/>
          <w:szCs w:val="20"/>
          <w:lang w:eastAsia="en-GB"/>
        </w:rPr>
        <w:t xml:space="preserve"> improper relationships,) or incompetence (failure to act, wrong assessments, </w:t>
      </w:r>
      <w:proofErr w:type="gramStart"/>
      <w:r w:rsidRPr="00E765E1">
        <w:rPr>
          <w:rFonts w:eastAsia="Times New Roman" w:cs="Times New Roman"/>
          <w:szCs w:val="20"/>
          <w:lang w:eastAsia="en-GB"/>
        </w:rPr>
        <w:t>wrong</w:t>
      </w:r>
      <w:proofErr w:type="gramEnd"/>
      <w:r w:rsidRPr="00E765E1">
        <w:rPr>
          <w:rFonts w:eastAsia="Times New Roman" w:cs="Times New Roman"/>
          <w:szCs w:val="20"/>
          <w:lang w:eastAsia="en-GB"/>
        </w:rPr>
        <w:t xml:space="preserve"> judgements).  </w:t>
      </w:r>
    </w:p>
    <w:p w:rsidR="006638A8" w:rsidRPr="00E765E1"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lastRenderedPageBreak/>
        <w:t xml:space="preserve">There can also be a risk of harm to others (including the wider public) in some extreme situations, for example poor social work practice might lead to a client harming to others which could have been prevented. </w:t>
      </w:r>
    </w:p>
    <w:p w:rsidR="006638A8" w:rsidRPr="00E765E1" w:rsidRDefault="00340B40" w:rsidP="005B5FC6">
      <w:pPr>
        <w:numPr>
          <w:ilvl w:val="0"/>
          <w:numId w:val="23"/>
        </w:numPr>
        <w:spacing w:after="240" w:line="240" w:lineRule="auto"/>
        <w:ind w:left="567" w:hanging="567"/>
        <w:rPr>
          <w:rFonts w:eastAsia="Times New Roman" w:cs="Times New Roman"/>
          <w:szCs w:val="20"/>
          <w:lang w:eastAsia="en-GB"/>
        </w:rPr>
      </w:pPr>
      <w:r>
        <w:rPr>
          <w:rFonts w:eastAsia="Times New Roman" w:cs="Times New Roman"/>
          <w:szCs w:val="20"/>
          <w:lang w:eastAsia="en-GB"/>
        </w:rPr>
        <w:t>Harm</w:t>
      </w:r>
      <w:r w:rsidR="006638A8" w:rsidRPr="00E765E1">
        <w:rPr>
          <w:rFonts w:eastAsia="Times New Roman" w:cs="Times New Roman"/>
          <w:szCs w:val="20"/>
          <w:lang w:eastAsia="en-GB"/>
        </w:rPr>
        <w:t xml:space="preserve"> may consist of clients not having received the help or protection they needed and which it could have been expected that </w:t>
      </w:r>
      <w:r>
        <w:rPr>
          <w:rFonts w:eastAsia="Times New Roman" w:cs="Times New Roman"/>
          <w:szCs w:val="20"/>
          <w:lang w:eastAsia="en-GB"/>
        </w:rPr>
        <w:t xml:space="preserve">a </w:t>
      </w:r>
      <w:r w:rsidR="006638A8" w:rsidRPr="00E765E1">
        <w:rPr>
          <w:rFonts w:eastAsia="Times New Roman" w:cs="Times New Roman"/>
          <w:szCs w:val="20"/>
          <w:lang w:eastAsia="en-GB"/>
        </w:rPr>
        <w:t>social</w:t>
      </w:r>
      <w:r>
        <w:rPr>
          <w:rFonts w:eastAsia="Times New Roman" w:cs="Times New Roman"/>
          <w:szCs w:val="20"/>
          <w:lang w:eastAsia="en-GB"/>
        </w:rPr>
        <w:t xml:space="preserve"> worker should have provided.  In such cases t</w:t>
      </w:r>
      <w:r w:rsidR="006638A8" w:rsidRPr="00E765E1">
        <w:rPr>
          <w:rFonts w:eastAsia="Times New Roman" w:cs="Times New Roman"/>
          <w:szCs w:val="20"/>
          <w:lang w:eastAsia="en-GB"/>
        </w:rPr>
        <w:t>he service provided has not achieved what it should have, or has not been cost effective.  This is an opportunity cost to society in the case of government funded services.</w:t>
      </w:r>
    </w:p>
    <w:p w:rsidR="006638A8"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eastAsia="en-GB"/>
        </w:rPr>
        <w:t>Clients are frequently highly vulnerable and often powerless to complain – they generally have little or no choice about who is providing the service, or whether they want to receive the service at all – possibly even being under legal compulsion to accept the service.</w:t>
      </w:r>
    </w:p>
    <w:p w:rsidR="006638A8" w:rsidRPr="0010226B" w:rsidRDefault="006638A8" w:rsidP="005B5FC6">
      <w:pPr>
        <w:numPr>
          <w:ilvl w:val="0"/>
          <w:numId w:val="23"/>
        </w:numPr>
        <w:spacing w:after="240" w:line="240" w:lineRule="auto"/>
        <w:ind w:left="567" w:hanging="567"/>
        <w:rPr>
          <w:rFonts w:eastAsia="Times New Roman" w:cs="Times New Roman"/>
          <w:szCs w:val="20"/>
          <w:lang w:eastAsia="en-GB"/>
        </w:rPr>
      </w:pPr>
      <w:r w:rsidRPr="0010226B">
        <w:rPr>
          <w:rFonts w:eastAsia="Times New Roman" w:cs="Times New Roman"/>
          <w:szCs w:val="20"/>
          <w:lang w:eastAsia="en-GB"/>
        </w:rPr>
        <w:t>Many other jurisdictions including the United Kingdom, Canada, many European countries as well as countries throughout Africa, the Middle East and Asia have chosen to implement some form of social worker registratio</w:t>
      </w:r>
      <w:r w:rsidR="00340B40">
        <w:rPr>
          <w:rFonts w:eastAsia="Times New Roman" w:cs="Times New Roman"/>
          <w:szCs w:val="20"/>
          <w:lang w:eastAsia="en-GB"/>
        </w:rPr>
        <w:t>n</w:t>
      </w:r>
      <w:r w:rsidRPr="0010226B">
        <w:rPr>
          <w:rFonts w:eastAsia="Times New Roman" w:cs="Times New Roman"/>
          <w:szCs w:val="20"/>
          <w:lang w:eastAsia="en-GB"/>
        </w:rPr>
        <w:t xml:space="preserve"> </w:t>
      </w:r>
      <w:r w:rsidRPr="0010226B">
        <w:rPr>
          <w:rFonts w:eastAsia="Times New Roman" w:cs="Times New Roman"/>
          <w:szCs w:val="20"/>
          <w:lang w:eastAsia="en-GB"/>
        </w:rPr>
        <w:fldChar w:fldCharType="begin" w:fldLock="1"/>
      </w:r>
      <w:r w:rsidRPr="0010226B">
        <w:rPr>
          <w:rFonts w:eastAsia="Times New Roman" w:cs="Times New Roman"/>
          <w:szCs w:val="20"/>
          <w:lang w:eastAsia="en-GB"/>
        </w:rPr>
        <w:instrText>ADDIN CSL_CITATION { "citationItems" : [ { "id" : "ITEM-1", "itemData" : { "abstract" : "The Australian Association of Social Workers (AASW) is the professional representative body for Social Workers and the social work profession in Australia, with approximately 8,000 voluntary members nation-wide. The AASW promotes the social work profession, sets the professional standards and regulates the professional conduct of social workers who choose to be members. The National Registration and Accreditation Scheme for health professions has been crucial in enhancing public safety for many vulnerable Australians receiving some health services, and enhancing the professional standards of the practitioners delivering these services. However, it has not succeeded in protecting the hundreds of thousands of vulnerable Australians who access social work services every year. Social Workers are one of the largest allied health professions in Australia, yet the people who use our services are afforded no protections under the National Scheme.", "author" : [ { "dropping-particle" : "", "family" : "Australian Association of Social Workers", "given" : "", "non-dropping-particle" : "", "parse-names" : false, "suffix" : "" } ], "id" : "ITEM-1", "issue" : "October", "issued" : { "date-parts" : [ [ "2014" ] ] }, "note" : "Arguments for professional registration", "number-of-pages" : "1-14", "title" : "AASW Submission to the Review of the National Registration and Accreditation Scheme for health professions", "type" : "report" }, "uris" : [ "http://www.mendeley.com/documents/?uuid=14e77926-4e7c-4063-a5af-cedb0c2f8d04" ] } ], "mendeley" : { "formattedCitation" : "(Australian Association of Social Workers, 2014)", "plainTextFormattedCitation" : "(Australian Association of Social Workers, 2014)" }, "properties" : { "noteIndex" : 0 }, "schema" : "https://github.com/citation-style-language/schema/raw/master/csl-citation.json" }</w:instrText>
      </w:r>
      <w:r w:rsidRPr="0010226B">
        <w:rPr>
          <w:rFonts w:eastAsia="Times New Roman" w:cs="Times New Roman"/>
          <w:szCs w:val="20"/>
          <w:lang w:eastAsia="en-GB"/>
        </w:rPr>
        <w:fldChar w:fldCharType="separate"/>
      </w:r>
      <w:r w:rsidRPr="0010226B">
        <w:rPr>
          <w:rFonts w:eastAsia="Times New Roman" w:cs="Times New Roman"/>
          <w:szCs w:val="20"/>
          <w:lang w:eastAsia="en-GB"/>
        </w:rPr>
        <w:t>(Australian Association of Social Workers, 2014)</w:t>
      </w:r>
      <w:r w:rsidRPr="0010226B">
        <w:rPr>
          <w:rFonts w:eastAsia="Times New Roman" w:cs="Times New Roman"/>
          <w:szCs w:val="20"/>
          <w:lang w:eastAsia="en-GB"/>
        </w:rPr>
        <w:fldChar w:fldCharType="end"/>
      </w:r>
      <w:r w:rsidR="00340B40">
        <w:rPr>
          <w:rFonts w:eastAsia="Times New Roman" w:cs="Times New Roman"/>
          <w:szCs w:val="20"/>
          <w:lang w:eastAsia="en-GB"/>
        </w:rPr>
        <w:t>.</w:t>
      </w:r>
      <w:r w:rsidRPr="0010226B">
        <w:rPr>
          <w:rFonts w:eastAsia="Times New Roman" w:cs="Times New Roman"/>
          <w:szCs w:val="20"/>
          <w:lang w:eastAsia="en-GB"/>
        </w:rPr>
        <w:t xml:space="preserve">  </w:t>
      </w:r>
      <w:r w:rsidRPr="00FC32D3">
        <w:rPr>
          <w:rFonts w:eastAsia="Times New Roman" w:cs="Times New Roman"/>
          <w:szCs w:val="20"/>
          <w:lang w:eastAsia="en-GB"/>
        </w:rPr>
        <w:t>Can</w:t>
      </w:r>
      <w:r w:rsidR="00FC32D3" w:rsidRPr="00FC32D3">
        <w:rPr>
          <w:rFonts w:eastAsia="Times New Roman" w:cs="Times New Roman"/>
          <w:szCs w:val="20"/>
          <w:lang w:eastAsia="en-GB"/>
        </w:rPr>
        <w:t xml:space="preserve">ada, England, Scotland, Iceland, Wales, Northern Ireland, the Republic of Ireland </w:t>
      </w:r>
      <w:r w:rsidRPr="00FC32D3">
        <w:rPr>
          <w:rFonts w:eastAsia="Times New Roman" w:cs="Times New Roman"/>
          <w:szCs w:val="20"/>
          <w:lang w:eastAsia="en-GB"/>
        </w:rPr>
        <w:t>and the majority of states in the United States of America have introduced mandatory social worker registration.</w:t>
      </w:r>
      <w:r w:rsidRPr="0010226B">
        <w:rPr>
          <w:rFonts w:eastAsia="Times New Roman" w:cs="Times New Roman"/>
          <w:szCs w:val="20"/>
          <w:lang w:eastAsia="en-GB"/>
        </w:rPr>
        <w:t xml:space="preserve">  Compulsory registration for people wishing to practise as social workers in England began in April 2003 and made </w:t>
      </w:r>
      <w:r w:rsidR="00DF4203">
        <w:rPr>
          <w:rFonts w:eastAsia="Times New Roman" w:cs="Times New Roman"/>
          <w:szCs w:val="20"/>
          <w:lang w:eastAsia="en-GB"/>
        </w:rPr>
        <w:t>“</w:t>
      </w:r>
      <w:r w:rsidRPr="0010226B">
        <w:rPr>
          <w:rFonts w:eastAsia="Times New Roman" w:cs="Times New Roman"/>
          <w:szCs w:val="20"/>
          <w:lang w:eastAsia="en-GB"/>
        </w:rPr>
        <w:t>social worker</w:t>
      </w:r>
      <w:r w:rsidR="00DF4203">
        <w:rPr>
          <w:rFonts w:eastAsia="Times New Roman" w:cs="Times New Roman"/>
          <w:szCs w:val="20"/>
          <w:lang w:eastAsia="en-GB"/>
        </w:rPr>
        <w:t>”</w:t>
      </w:r>
      <w:r w:rsidRPr="0010226B">
        <w:rPr>
          <w:rFonts w:eastAsia="Times New Roman" w:cs="Times New Roman"/>
          <w:szCs w:val="20"/>
          <w:lang w:eastAsia="en-GB"/>
        </w:rPr>
        <w:t xml:space="preserve"> a protected title.</w:t>
      </w:r>
      <w:r w:rsidR="00CB2AAB">
        <w:rPr>
          <w:rFonts w:eastAsia="Times New Roman" w:cs="Times New Roman"/>
          <w:szCs w:val="20"/>
          <w:lang w:eastAsia="en-GB"/>
        </w:rPr>
        <w:t xml:space="preserve">  </w:t>
      </w:r>
    </w:p>
    <w:p w:rsidR="006638A8" w:rsidRDefault="006638A8" w:rsidP="005B5FC6">
      <w:pPr>
        <w:numPr>
          <w:ilvl w:val="0"/>
          <w:numId w:val="23"/>
        </w:numPr>
        <w:spacing w:after="240" w:line="240" w:lineRule="auto"/>
        <w:ind w:left="567" w:hanging="567"/>
        <w:rPr>
          <w:rFonts w:eastAsia="Times New Roman" w:cs="Times New Roman"/>
          <w:szCs w:val="20"/>
          <w:lang w:eastAsia="en-GB"/>
        </w:rPr>
      </w:pPr>
      <w:r w:rsidRPr="00E765E1">
        <w:rPr>
          <w:rFonts w:eastAsia="Times New Roman" w:cs="Times New Roman"/>
          <w:szCs w:val="20"/>
          <w:lang w:val="en-GB" w:eastAsia="en-GB"/>
        </w:rPr>
        <w:t>In countries where social work is registered, unethical and unsafe social workers can be brought to account and prevented from continuing to practice</w:t>
      </w:r>
      <w:r>
        <w:rPr>
          <w:rFonts w:eastAsia="Times New Roman" w:cs="Times New Roman"/>
          <w:szCs w:val="20"/>
          <w:lang w:val="en-GB" w:eastAsia="en-GB"/>
        </w:rPr>
        <w:t xml:space="preserve">.  Currently, under the voluntary regime, the </w:t>
      </w:r>
      <w:r w:rsidRPr="00E765E1">
        <w:rPr>
          <w:rFonts w:eastAsia="Times New Roman" w:cs="Times New Roman"/>
          <w:szCs w:val="20"/>
          <w:lang w:val="en-GB" w:eastAsia="en-GB"/>
        </w:rPr>
        <w:t>New Zealand public is not offered the same level of protection as social work service users in other countries, or the same level of statutory protection provided by the regulatory</w:t>
      </w:r>
      <w:r>
        <w:rPr>
          <w:rFonts w:eastAsia="Times New Roman" w:cs="Times New Roman"/>
          <w:szCs w:val="20"/>
          <w:lang w:eastAsia="en-GB"/>
        </w:rPr>
        <w:t xml:space="preserve"> regimes applying to similar professions such as nursing or teaching</w:t>
      </w:r>
      <w:r w:rsidRPr="0010226B">
        <w:rPr>
          <w:rFonts w:eastAsia="Times New Roman" w:cs="Times New Roman"/>
          <w:szCs w:val="20"/>
          <w:lang w:eastAsia="en-GB"/>
        </w:rPr>
        <w:t xml:space="preserve">. </w:t>
      </w:r>
      <w:r>
        <w:rPr>
          <w:rFonts w:eastAsia="Times New Roman" w:cs="Times New Roman"/>
          <w:szCs w:val="20"/>
          <w:lang w:eastAsia="en-GB"/>
        </w:rPr>
        <w:t xml:space="preserve"> </w:t>
      </w:r>
    </w:p>
    <w:p w:rsidR="006638A8" w:rsidRPr="00667992" w:rsidRDefault="006638A8" w:rsidP="005B5FC6">
      <w:pPr>
        <w:numPr>
          <w:ilvl w:val="0"/>
          <w:numId w:val="23"/>
        </w:numPr>
        <w:spacing w:after="240" w:line="240" w:lineRule="auto"/>
        <w:ind w:left="567" w:hanging="567"/>
        <w:rPr>
          <w:rFonts w:eastAsia="Times New Roman" w:cs="Times New Roman"/>
          <w:szCs w:val="20"/>
          <w:lang w:eastAsia="en-GB"/>
        </w:rPr>
      </w:pPr>
      <w:r w:rsidRPr="00667992">
        <w:rPr>
          <w:rFonts w:eastAsia="Times New Roman" w:cs="Times New Roman"/>
          <w:szCs w:val="20"/>
          <w:lang w:val="en-GB" w:eastAsia="en-GB"/>
        </w:rPr>
        <w:t xml:space="preserve">A comprehensive system of statutory regulation for all social workers is now needed to ensure consistency of practice and rapid and effective resolution of complaints and disciplinary issues.  This was </w:t>
      </w:r>
      <w:r w:rsidR="00340B40">
        <w:rPr>
          <w:rFonts w:eastAsia="Times New Roman" w:cs="Times New Roman"/>
          <w:szCs w:val="20"/>
          <w:lang w:val="en-GB" w:eastAsia="en-GB"/>
        </w:rPr>
        <w:t xml:space="preserve">the </w:t>
      </w:r>
      <w:r w:rsidRPr="00667992">
        <w:rPr>
          <w:rFonts w:eastAsia="Times New Roman" w:cs="Times New Roman"/>
          <w:szCs w:val="20"/>
          <w:lang w:val="en-GB" w:eastAsia="en-GB"/>
        </w:rPr>
        <w:t xml:space="preserve">conclusion reached by the Select Committee Inquiry, supported by all the major submissions including those of the </w:t>
      </w:r>
      <w:proofErr w:type="spellStart"/>
      <w:r w:rsidR="001913C7" w:rsidRPr="00177E1D">
        <w:t>Aotearoa</w:t>
      </w:r>
      <w:proofErr w:type="spellEnd"/>
      <w:r w:rsidR="001913C7" w:rsidRPr="00177E1D">
        <w:t xml:space="preserve"> New Zealan</w:t>
      </w:r>
      <w:r w:rsidR="001913C7">
        <w:t>d Association of Social Workers,</w:t>
      </w:r>
      <w:r w:rsidRPr="00667992">
        <w:rPr>
          <w:rFonts w:eastAsia="Times New Roman" w:cs="Times New Roman"/>
          <w:szCs w:val="20"/>
          <w:lang w:val="en-GB" w:eastAsia="en-GB"/>
        </w:rPr>
        <w:t xml:space="preserve"> and the Board.  The major government agencies </w:t>
      </w:r>
      <w:r w:rsidR="00CB2909" w:rsidRPr="00667992">
        <w:rPr>
          <w:rFonts w:eastAsia="Times New Roman" w:cs="Times New Roman"/>
          <w:szCs w:val="20"/>
          <w:lang w:val="en-GB" w:eastAsia="en-GB"/>
        </w:rPr>
        <w:t>that</w:t>
      </w:r>
      <w:r w:rsidRPr="00667992">
        <w:rPr>
          <w:rFonts w:eastAsia="Times New Roman" w:cs="Times New Roman"/>
          <w:szCs w:val="20"/>
          <w:lang w:val="en-GB" w:eastAsia="en-GB"/>
        </w:rPr>
        <w:t xml:space="preserve"> employ social workers, either directly or via contracts with </w:t>
      </w:r>
      <w:proofErr w:type="gramStart"/>
      <w:r w:rsidRPr="00667992">
        <w:rPr>
          <w:rFonts w:eastAsia="Times New Roman" w:cs="Times New Roman"/>
          <w:szCs w:val="20"/>
          <w:lang w:val="en-GB" w:eastAsia="en-GB"/>
        </w:rPr>
        <w:t>NGOs,</w:t>
      </w:r>
      <w:proofErr w:type="gramEnd"/>
      <w:r w:rsidRPr="00667992">
        <w:rPr>
          <w:rFonts w:eastAsia="Times New Roman" w:cs="Times New Roman"/>
          <w:szCs w:val="20"/>
          <w:lang w:val="en-GB" w:eastAsia="en-GB"/>
        </w:rPr>
        <w:t xml:space="preserve"> also support this view.</w:t>
      </w:r>
    </w:p>
    <w:p w:rsidR="006638A8" w:rsidRPr="00DF46A9" w:rsidRDefault="006638A8" w:rsidP="00177E1D">
      <w:pPr>
        <w:spacing w:after="240" w:line="240" w:lineRule="auto"/>
        <w:rPr>
          <w:rFonts w:eastAsia="Times New Roman" w:cs="Times New Roman"/>
          <w:i/>
          <w:szCs w:val="20"/>
          <w:lang w:val="en-GB" w:eastAsia="en-GB"/>
        </w:rPr>
      </w:pPr>
      <w:r w:rsidRPr="00DF46A9">
        <w:rPr>
          <w:rFonts w:eastAsia="Times New Roman" w:cs="Times New Roman"/>
          <w:i/>
          <w:szCs w:val="20"/>
          <w:lang w:val="en-GB" w:eastAsia="en-GB"/>
        </w:rPr>
        <w:t xml:space="preserve">What </w:t>
      </w:r>
      <w:r>
        <w:rPr>
          <w:rFonts w:eastAsia="Times New Roman" w:cs="Times New Roman"/>
          <w:i/>
          <w:szCs w:val="20"/>
          <w:lang w:val="en-GB" w:eastAsia="en-GB"/>
        </w:rPr>
        <w:t>i</w:t>
      </w:r>
      <w:r w:rsidRPr="00DF46A9">
        <w:rPr>
          <w:rFonts w:eastAsia="Times New Roman" w:cs="Times New Roman"/>
          <w:i/>
          <w:szCs w:val="20"/>
          <w:lang w:val="en-GB" w:eastAsia="en-GB"/>
        </w:rPr>
        <w:t>s the nature of the current system in New Zealand?</w:t>
      </w:r>
    </w:p>
    <w:p w:rsidR="006638A8" w:rsidRPr="00E765E1" w:rsidRDefault="006638A8" w:rsidP="005B5FC6">
      <w:pPr>
        <w:numPr>
          <w:ilvl w:val="0"/>
          <w:numId w:val="23"/>
        </w:numPr>
        <w:spacing w:after="240" w:line="240" w:lineRule="auto"/>
        <w:ind w:left="567" w:hanging="567"/>
        <w:rPr>
          <w:rFonts w:eastAsia="Times New Roman" w:cs="Times New Roman"/>
          <w:szCs w:val="20"/>
          <w:lang w:val="en-GB" w:eastAsia="en-GB"/>
        </w:rPr>
      </w:pPr>
      <w:r w:rsidRPr="00E765E1">
        <w:rPr>
          <w:rFonts w:eastAsia="Times New Roman" w:cs="Times New Roman"/>
          <w:szCs w:val="20"/>
          <w:lang w:val="en-GB" w:eastAsia="en-GB"/>
        </w:rPr>
        <w:t xml:space="preserve">The SWR Act establishes a system of voluntary </w:t>
      </w:r>
      <w:r w:rsidR="00DF4203">
        <w:rPr>
          <w:rFonts w:eastAsia="Times New Roman" w:cs="Times New Roman"/>
          <w:szCs w:val="20"/>
          <w:lang w:val="en-GB" w:eastAsia="en-GB"/>
        </w:rPr>
        <w:t>“</w:t>
      </w:r>
      <w:r w:rsidRPr="00E765E1">
        <w:rPr>
          <w:rFonts w:eastAsia="Times New Roman" w:cs="Times New Roman"/>
          <w:szCs w:val="20"/>
          <w:lang w:val="en-GB" w:eastAsia="en-GB"/>
        </w:rPr>
        <w:t>certification</w:t>
      </w:r>
      <w:r w:rsidR="00DF4203">
        <w:rPr>
          <w:rFonts w:eastAsia="Times New Roman" w:cs="Times New Roman"/>
          <w:szCs w:val="20"/>
          <w:lang w:val="en-GB" w:eastAsia="en-GB"/>
        </w:rPr>
        <w:t>”</w:t>
      </w:r>
      <w:r w:rsidRPr="00E765E1">
        <w:rPr>
          <w:rFonts w:eastAsia="Times New Roman" w:cs="Times New Roman"/>
          <w:szCs w:val="20"/>
          <w:lang w:val="en-GB" w:eastAsia="en-GB"/>
        </w:rPr>
        <w:t xml:space="preserve">.  Under this system, individuals can choose to apply to the Board to be registered as social workers.  Only those that successfully meet the statutory criteria (which cover qualifications, assessment of competence, fitness to practice and practical experience) are entitled to be registered and use the title </w:t>
      </w:r>
      <w:r w:rsidR="00DF4203">
        <w:rPr>
          <w:rFonts w:eastAsia="Times New Roman" w:cs="Times New Roman"/>
          <w:szCs w:val="20"/>
          <w:lang w:val="en-GB" w:eastAsia="en-GB"/>
        </w:rPr>
        <w:t>“</w:t>
      </w:r>
      <w:r w:rsidRPr="00E765E1">
        <w:rPr>
          <w:rFonts w:eastAsia="Times New Roman" w:cs="Times New Roman"/>
          <w:szCs w:val="20"/>
          <w:lang w:val="en-GB" w:eastAsia="en-GB"/>
        </w:rPr>
        <w:t>Registered Social Worker</w:t>
      </w:r>
      <w:r w:rsidR="00DF4203">
        <w:rPr>
          <w:rFonts w:eastAsia="Times New Roman" w:cs="Times New Roman"/>
          <w:szCs w:val="20"/>
          <w:lang w:val="en-GB" w:eastAsia="en-GB"/>
        </w:rPr>
        <w:t>”</w:t>
      </w:r>
      <w:r w:rsidRPr="00E765E1">
        <w:rPr>
          <w:rFonts w:eastAsia="Times New Roman" w:cs="Times New Roman"/>
          <w:szCs w:val="20"/>
          <w:lang w:val="en-GB" w:eastAsia="en-GB"/>
        </w:rPr>
        <w:t xml:space="preserve">. </w:t>
      </w:r>
    </w:p>
    <w:p w:rsidR="006638A8" w:rsidRPr="009A1C49" w:rsidRDefault="006638A8"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current </w:t>
      </w:r>
      <w:r w:rsidR="00CE1DAF">
        <w:rPr>
          <w:rFonts w:eastAsia="Times New Roman" w:cs="Times New Roman"/>
          <w:szCs w:val="20"/>
          <w:lang w:val="en-GB" w:eastAsia="en-GB"/>
        </w:rPr>
        <w:t xml:space="preserve">voluntary </w:t>
      </w:r>
      <w:r>
        <w:rPr>
          <w:rFonts w:eastAsia="Times New Roman" w:cs="Times New Roman"/>
          <w:szCs w:val="20"/>
          <w:lang w:val="en-GB" w:eastAsia="en-GB"/>
        </w:rPr>
        <w:t xml:space="preserve">certification regime offers a number </w:t>
      </w:r>
      <w:r w:rsidRPr="009A1C49">
        <w:rPr>
          <w:rFonts w:eastAsia="Times New Roman" w:cs="Times New Roman"/>
          <w:szCs w:val="20"/>
          <w:lang w:val="en-GB" w:eastAsia="en-GB"/>
        </w:rPr>
        <w:t xml:space="preserve">of </w:t>
      </w:r>
      <w:r w:rsidR="006E489F" w:rsidRPr="009A1C49">
        <w:rPr>
          <w:rFonts w:eastAsia="Times New Roman" w:cs="Times New Roman"/>
          <w:szCs w:val="20"/>
          <w:lang w:val="en-GB" w:eastAsia="en-GB"/>
        </w:rPr>
        <w:t>features:</w:t>
      </w:r>
      <w:r w:rsidRPr="009A1C49">
        <w:rPr>
          <w:rFonts w:eastAsia="Times New Roman" w:cs="Times New Roman"/>
          <w:szCs w:val="20"/>
          <w:lang w:val="en-GB" w:eastAsia="en-GB"/>
        </w:rPr>
        <w:t xml:space="preserve"> </w:t>
      </w:r>
    </w:p>
    <w:p w:rsidR="006638A8" w:rsidRPr="00E765E1" w:rsidRDefault="00652262" w:rsidP="005B5FC6">
      <w:pPr>
        <w:numPr>
          <w:ilvl w:val="1"/>
          <w:numId w:val="17"/>
        </w:numPr>
        <w:spacing w:before="120" w:line="240" w:lineRule="auto"/>
        <w:ind w:left="1134" w:hanging="425"/>
        <w:rPr>
          <w:rFonts w:eastAsia="Times New Roman" w:cs="Times New Roman"/>
          <w:szCs w:val="20"/>
          <w:lang w:val="en-GB" w:eastAsia="en-GB"/>
        </w:rPr>
      </w:pPr>
      <w:r w:rsidRPr="009A1C49">
        <w:rPr>
          <w:rFonts w:eastAsia="Times New Roman" w:cs="Times New Roman"/>
          <w:szCs w:val="20"/>
          <w:lang w:val="en-GB" w:eastAsia="en-GB"/>
        </w:rPr>
        <w:t>Voluntary c</w:t>
      </w:r>
      <w:r w:rsidR="006638A8" w:rsidRPr="009A1C49">
        <w:rPr>
          <w:rFonts w:eastAsia="Times New Roman" w:cs="Times New Roman"/>
          <w:szCs w:val="20"/>
          <w:lang w:val="en-GB" w:eastAsia="en-GB"/>
        </w:rPr>
        <w:t xml:space="preserve">ertification and title protection provides assurance to the public and </w:t>
      </w:r>
      <w:proofErr w:type="gramStart"/>
      <w:r w:rsidR="006638A8" w:rsidRPr="009A1C49">
        <w:rPr>
          <w:rFonts w:eastAsia="Times New Roman" w:cs="Times New Roman"/>
          <w:szCs w:val="20"/>
          <w:lang w:val="en-GB" w:eastAsia="en-GB"/>
        </w:rPr>
        <w:t>prospective employers that someone who call</w:t>
      </w:r>
      <w:r w:rsidR="00CE1DAF" w:rsidRPr="009A1C49">
        <w:rPr>
          <w:rFonts w:eastAsia="Times New Roman" w:cs="Times New Roman"/>
          <w:szCs w:val="20"/>
          <w:lang w:val="en-GB" w:eastAsia="en-GB"/>
        </w:rPr>
        <w:t>s</w:t>
      </w:r>
      <w:r w:rsidR="006638A8" w:rsidRPr="009A1C49">
        <w:rPr>
          <w:rFonts w:eastAsia="Times New Roman" w:cs="Times New Roman"/>
          <w:szCs w:val="20"/>
          <w:lang w:val="en-GB" w:eastAsia="en-GB"/>
        </w:rPr>
        <w:t xml:space="preserve"> themselves a </w:t>
      </w:r>
      <w:r w:rsidR="00DF4203">
        <w:rPr>
          <w:rFonts w:eastAsia="Times New Roman" w:cs="Times New Roman"/>
          <w:szCs w:val="20"/>
          <w:lang w:val="en-GB" w:eastAsia="en-GB"/>
        </w:rPr>
        <w:t>“</w:t>
      </w:r>
      <w:r w:rsidR="006638A8" w:rsidRPr="009A1C49">
        <w:rPr>
          <w:rFonts w:eastAsia="Times New Roman" w:cs="Times New Roman"/>
          <w:szCs w:val="20"/>
          <w:lang w:val="en-GB" w:eastAsia="en-GB"/>
        </w:rPr>
        <w:t>registered</w:t>
      </w:r>
      <w:r w:rsidR="00DF4203">
        <w:rPr>
          <w:rFonts w:eastAsia="Times New Roman" w:cs="Times New Roman"/>
          <w:szCs w:val="20"/>
          <w:lang w:val="en-GB" w:eastAsia="en-GB"/>
        </w:rPr>
        <w:t>”</w:t>
      </w:r>
      <w:r w:rsidR="006638A8" w:rsidRPr="009A1C49">
        <w:rPr>
          <w:rFonts w:eastAsia="Times New Roman" w:cs="Times New Roman"/>
          <w:szCs w:val="20"/>
          <w:lang w:val="en-GB" w:eastAsia="en-GB"/>
        </w:rPr>
        <w:t xml:space="preserve"> social worker has meet certain standards of skills, knowledge and experience</w:t>
      </w:r>
      <w:r w:rsidR="006638A8" w:rsidRPr="00E765E1">
        <w:rPr>
          <w:rFonts w:eastAsia="Times New Roman" w:cs="Times New Roman"/>
          <w:szCs w:val="20"/>
          <w:lang w:val="en-GB" w:eastAsia="en-GB"/>
        </w:rPr>
        <w:t xml:space="preserve"> and </w:t>
      </w:r>
      <w:r w:rsidR="006638A8">
        <w:rPr>
          <w:rFonts w:eastAsia="Times New Roman" w:cs="Times New Roman"/>
          <w:szCs w:val="20"/>
          <w:lang w:val="en-GB" w:eastAsia="en-GB"/>
        </w:rPr>
        <w:t>is</w:t>
      </w:r>
      <w:proofErr w:type="gramEnd"/>
      <w:r w:rsidR="006638A8" w:rsidRPr="00E765E1">
        <w:rPr>
          <w:rFonts w:eastAsia="Times New Roman" w:cs="Times New Roman"/>
          <w:szCs w:val="20"/>
          <w:lang w:val="en-GB" w:eastAsia="en-GB"/>
        </w:rPr>
        <w:t xml:space="preserve"> subject to on-going professional disciplines (</w:t>
      </w:r>
      <w:r w:rsidR="00340B40">
        <w:rPr>
          <w:rFonts w:eastAsia="Times New Roman" w:cs="Times New Roman"/>
          <w:szCs w:val="20"/>
          <w:lang w:val="en-GB" w:eastAsia="en-GB"/>
        </w:rPr>
        <w:t>a</w:t>
      </w:r>
      <w:r w:rsidR="006638A8">
        <w:rPr>
          <w:rFonts w:eastAsia="Times New Roman" w:cs="Times New Roman"/>
          <w:szCs w:val="20"/>
          <w:lang w:val="en-GB" w:eastAsia="en-GB"/>
        </w:rPr>
        <w:t xml:space="preserve">nnual </w:t>
      </w:r>
      <w:r w:rsidR="00340B40">
        <w:rPr>
          <w:rFonts w:eastAsia="Times New Roman" w:cs="Times New Roman"/>
          <w:szCs w:val="20"/>
          <w:lang w:val="en-GB" w:eastAsia="en-GB"/>
        </w:rPr>
        <w:t>p</w:t>
      </w:r>
      <w:r w:rsidR="006638A8">
        <w:rPr>
          <w:rFonts w:eastAsia="Times New Roman" w:cs="Times New Roman"/>
          <w:szCs w:val="20"/>
          <w:lang w:val="en-GB" w:eastAsia="en-GB"/>
        </w:rPr>
        <w:t xml:space="preserve">racticing </w:t>
      </w:r>
      <w:r w:rsidR="00340B40">
        <w:rPr>
          <w:rFonts w:eastAsia="Times New Roman" w:cs="Times New Roman"/>
          <w:szCs w:val="20"/>
          <w:lang w:val="en-GB" w:eastAsia="en-GB"/>
        </w:rPr>
        <w:t>c</w:t>
      </w:r>
      <w:r w:rsidR="006638A8">
        <w:rPr>
          <w:rFonts w:eastAsia="Times New Roman" w:cs="Times New Roman"/>
          <w:szCs w:val="20"/>
          <w:lang w:val="en-GB" w:eastAsia="en-GB"/>
        </w:rPr>
        <w:t>ertification</w:t>
      </w:r>
      <w:r w:rsidR="006638A8" w:rsidRPr="00E765E1">
        <w:rPr>
          <w:rFonts w:eastAsia="Times New Roman" w:cs="Times New Roman"/>
          <w:szCs w:val="20"/>
          <w:lang w:val="en-GB" w:eastAsia="en-GB"/>
        </w:rPr>
        <w:t xml:space="preserve"> and complaints processes). </w:t>
      </w:r>
    </w:p>
    <w:p w:rsidR="006638A8" w:rsidRPr="00E765E1" w:rsidRDefault="00652262"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Voluntary c</w:t>
      </w:r>
      <w:r w:rsidR="00CB2AAB">
        <w:rPr>
          <w:rFonts w:eastAsia="Times New Roman" w:cs="Times New Roman"/>
          <w:szCs w:val="20"/>
          <w:lang w:val="en-GB" w:eastAsia="en-GB"/>
        </w:rPr>
        <w:t>ertification</w:t>
      </w:r>
      <w:r w:rsidR="006638A8" w:rsidRPr="00E765E1">
        <w:rPr>
          <w:rFonts w:eastAsia="Times New Roman" w:cs="Times New Roman"/>
          <w:szCs w:val="20"/>
          <w:lang w:val="en-GB" w:eastAsia="en-GB"/>
        </w:rPr>
        <w:t xml:space="preserve"> provide</w:t>
      </w:r>
      <w:r w:rsidR="006638A8">
        <w:rPr>
          <w:rFonts w:eastAsia="Times New Roman" w:cs="Times New Roman"/>
          <w:szCs w:val="20"/>
          <w:lang w:val="en-GB" w:eastAsia="en-GB"/>
        </w:rPr>
        <w:t>s</w:t>
      </w:r>
      <w:r w:rsidR="006638A8" w:rsidRPr="00E765E1">
        <w:rPr>
          <w:rFonts w:eastAsia="Times New Roman" w:cs="Times New Roman"/>
          <w:szCs w:val="20"/>
          <w:lang w:val="en-GB" w:eastAsia="en-GB"/>
        </w:rPr>
        <w:t xml:space="preserve"> smaller employers (NGOs) quality assurance of skills that are otherwise hard to assess, including on-going quality assurance </w:t>
      </w:r>
      <w:r w:rsidR="006638A8">
        <w:rPr>
          <w:rFonts w:eastAsia="Times New Roman" w:cs="Times New Roman"/>
          <w:szCs w:val="20"/>
          <w:lang w:val="en-GB" w:eastAsia="en-GB"/>
        </w:rPr>
        <w:t xml:space="preserve">from the annual practicing certificate process, and </w:t>
      </w:r>
      <w:r w:rsidR="006638A8" w:rsidRPr="00E765E1">
        <w:rPr>
          <w:rFonts w:eastAsia="Times New Roman" w:cs="Times New Roman"/>
          <w:szCs w:val="20"/>
          <w:lang w:val="en-GB" w:eastAsia="en-GB"/>
        </w:rPr>
        <w:t xml:space="preserve">complaints </w:t>
      </w:r>
      <w:r w:rsidR="006638A8">
        <w:rPr>
          <w:rFonts w:eastAsia="Times New Roman" w:cs="Times New Roman"/>
          <w:szCs w:val="20"/>
          <w:lang w:val="en-GB" w:eastAsia="en-GB"/>
        </w:rPr>
        <w:t xml:space="preserve">and disciplinary </w:t>
      </w:r>
      <w:r w:rsidR="006638A8" w:rsidRPr="00E765E1">
        <w:rPr>
          <w:rFonts w:eastAsia="Times New Roman" w:cs="Times New Roman"/>
          <w:szCs w:val="20"/>
          <w:lang w:val="en-GB" w:eastAsia="en-GB"/>
        </w:rPr>
        <w:t>process</w:t>
      </w:r>
      <w:r w:rsidR="006638A8">
        <w:rPr>
          <w:rFonts w:eastAsia="Times New Roman" w:cs="Times New Roman"/>
          <w:szCs w:val="20"/>
          <w:lang w:val="en-GB" w:eastAsia="en-GB"/>
        </w:rPr>
        <w:t>es</w:t>
      </w:r>
      <w:r w:rsidR="006638A8" w:rsidRPr="00E765E1">
        <w:rPr>
          <w:rFonts w:eastAsia="Times New Roman" w:cs="Times New Roman"/>
          <w:szCs w:val="20"/>
          <w:lang w:val="en-GB" w:eastAsia="en-GB"/>
        </w:rPr>
        <w:t>.</w:t>
      </w:r>
    </w:p>
    <w:p w:rsidR="006638A8" w:rsidRPr="00E765E1"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lastRenderedPageBreak/>
        <w:t>Government is the predominant employer and funder of social work services and can therefore influence quality and safety issues directly.  However Government agencies as employers have to manage scar</w:t>
      </w:r>
      <w:r w:rsidR="00CB2AAB">
        <w:rPr>
          <w:rFonts w:eastAsia="Times New Roman" w:cs="Times New Roman"/>
          <w:szCs w:val="20"/>
          <w:lang w:val="en-GB" w:eastAsia="en-GB"/>
        </w:rPr>
        <w:t>c</w:t>
      </w:r>
      <w:r w:rsidRPr="00E765E1">
        <w:rPr>
          <w:rFonts w:eastAsia="Times New Roman" w:cs="Times New Roman"/>
          <w:szCs w:val="20"/>
          <w:lang w:val="en-GB" w:eastAsia="en-GB"/>
        </w:rPr>
        <w:t xml:space="preserve">e resources, so having a </w:t>
      </w:r>
      <w:r w:rsidR="00CB2AAB">
        <w:rPr>
          <w:rFonts w:eastAsia="Times New Roman" w:cs="Times New Roman"/>
          <w:szCs w:val="20"/>
          <w:lang w:val="en-GB" w:eastAsia="en-GB"/>
        </w:rPr>
        <w:t>regulatory authority</w:t>
      </w:r>
      <w:r w:rsidRPr="00E765E1">
        <w:rPr>
          <w:rFonts w:eastAsia="Times New Roman" w:cs="Times New Roman"/>
          <w:szCs w:val="20"/>
          <w:lang w:val="en-GB" w:eastAsia="en-GB"/>
        </w:rPr>
        <w:t xml:space="preserve"> as an independent accountability mechanism helps ensure that the right trade-offs are being made.</w:t>
      </w:r>
    </w:p>
    <w:p w:rsidR="006638A8" w:rsidRPr="00E765E1"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t xml:space="preserve">Further, a distinct </w:t>
      </w:r>
      <w:r w:rsidR="00CB2AAB">
        <w:rPr>
          <w:rFonts w:eastAsia="Times New Roman" w:cs="Times New Roman"/>
          <w:szCs w:val="20"/>
          <w:lang w:val="en-GB" w:eastAsia="en-GB"/>
        </w:rPr>
        <w:t>regulatory authority</w:t>
      </w:r>
      <w:r w:rsidR="00CB2AAB" w:rsidRPr="00E765E1">
        <w:rPr>
          <w:rFonts w:eastAsia="Times New Roman" w:cs="Times New Roman"/>
          <w:szCs w:val="20"/>
          <w:lang w:val="en-GB" w:eastAsia="en-GB"/>
        </w:rPr>
        <w:t xml:space="preserve"> </w:t>
      </w:r>
      <w:r w:rsidRPr="00E765E1">
        <w:rPr>
          <w:rFonts w:eastAsia="Times New Roman" w:cs="Times New Roman"/>
          <w:szCs w:val="20"/>
          <w:lang w:val="en-GB" w:eastAsia="en-GB"/>
        </w:rPr>
        <w:t xml:space="preserve">can provide a complaints process independent of the employer, who may have a conflict of interest in assessing complaints about its staff.  </w:t>
      </w:r>
      <w:r>
        <w:rPr>
          <w:rFonts w:eastAsia="Times New Roman" w:cs="Times New Roman"/>
          <w:szCs w:val="20"/>
          <w:lang w:val="en-GB" w:eastAsia="en-GB"/>
        </w:rPr>
        <w:t xml:space="preserve">This is a useful safeguard for the public in a situation where </w:t>
      </w:r>
      <w:r w:rsidR="00CB2AAB">
        <w:rPr>
          <w:rFonts w:eastAsia="Times New Roman" w:cs="Times New Roman"/>
          <w:szCs w:val="20"/>
          <w:lang w:val="en-GB" w:eastAsia="en-GB"/>
        </w:rPr>
        <w:t>government is the</w:t>
      </w:r>
      <w:r>
        <w:rPr>
          <w:rFonts w:eastAsia="Times New Roman" w:cs="Times New Roman"/>
          <w:szCs w:val="20"/>
          <w:lang w:val="en-GB" w:eastAsia="en-GB"/>
        </w:rPr>
        <w:t xml:space="preserve"> dominant employer.</w:t>
      </w:r>
    </w:p>
    <w:p w:rsidR="006638A8" w:rsidRDefault="006638A8" w:rsidP="005B5FC6">
      <w:pPr>
        <w:numPr>
          <w:ilvl w:val="1"/>
          <w:numId w:val="17"/>
        </w:numPr>
        <w:spacing w:before="120" w:line="240" w:lineRule="auto"/>
        <w:ind w:left="1134" w:hanging="425"/>
        <w:rPr>
          <w:rFonts w:eastAsia="Times New Roman" w:cs="Times New Roman"/>
          <w:szCs w:val="20"/>
          <w:lang w:val="en-GB" w:eastAsia="en-GB"/>
        </w:rPr>
      </w:pPr>
      <w:r w:rsidRPr="00E765E1">
        <w:rPr>
          <w:rFonts w:eastAsia="Times New Roman" w:cs="Times New Roman"/>
          <w:szCs w:val="20"/>
          <w:lang w:val="en-GB" w:eastAsia="en-GB"/>
        </w:rPr>
        <w:t xml:space="preserve">Registration supports practitioners who must exercise professional autonomy and judgement in their work.  The ready uptake of registration amongst social workers in the New Zealand health sector, where professional registration for occupations are widely required and valued, illustrates this. </w:t>
      </w:r>
    </w:p>
    <w:p w:rsidR="006638A8" w:rsidRPr="00853809" w:rsidRDefault="006638A8" w:rsidP="005B5FC6">
      <w:pPr>
        <w:numPr>
          <w:ilvl w:val="0"/>
          <w:numId w:val="23"/>
        </w:numPr>
        <w:spacing w:after="240" w:line="240" w:lineRule="auto"/>
        <w:ind w:left="567" w:hanging="567"/>
        <w:rPr>
          <w:rFonts w:eastAsia="Times New Roman" w:cs="Times New Roman"/>
          <w:szCs w:val="20"/>
          <w:lang w:val="en-GB" w:eastAsia="en-GB"/>
        </w:rPr>
      </w:pPr>
      <w:r w:rsidRPr="00853809">
        <w:rPr>
          <w:rFonts w:eastAsia="Times New Roman" w:cs="Times New Roman"/>
          <w:szCs w:val="20"/>
          <w:lang w:val="en-GB" w:eastAsia="en-GB"/>
        </w:rPr>
        <w:t xml:space="preserve">Making this system mandatory was considered when the SWR Act was being developed in 2003 but, given the proportion of practicing social workers at that time who would not have met the requirements, a system of voluntary registration was instituted.  This </w:t>
      </w:r>
      <w:r>
        <w:rPr>
          <w:rFonts w:eastAsia="Times New Roman" w:cs="Times New Roman"/>
          <w:szCs w:val="20"/>
          <w:lang w:val="en-GB" w:eastAsia="en-GB"/>
        </w:rPr>
        <w:t xml:space="preserve">voluntary </w:t>
      </w:r>
      <w:r w:rsidRPr="00853809">
        <w:rPr>
          <w:rFonts w:eastAsia="Times New Roman" w:cs="Times New Roman"/>
          <w:szCs w:val="20"/>
          <w:lang w:val="en-GB" w:eastAsia="en-GB"/>
        </w:rPr>
        <w:t xml:space="preserve">approach allowed for the social work sector to adapt gradually to increased standards over time.  The number of training places increased, and agencies supported their existing staff to gain qualifications.  </w:t>
      </w:r>
      <w:r>
        <w:rPr>
          <w:rFonts w:eastAsia="Times New Roman" w:cs="Times New Roman"/>
          <w:szCs w:val="20"/>
          <w:lang w:val="en-GB" w:eastAsia="en-GB"/>
        </w:rPr>
        <w:t>R</w:t>
      </w:r>
      <w:r w:rsidRPr="00853809">
        <w:rPr>
          <w:rFonts w:eastAsia="Times New Roman" w:cs="Times New Roman"/>
          <w:szCs w:val="20"/>
          <w:lang w:val="en-GB" w:eastAsia="en-GB"/>
        </w:rPr>
        <w:t>egistration is substantially encouraged by employment requirements, especially in the government sector</w:t>
      </w:r>
      <w:r w:rsidR="00CB2AAB">
        <w:rPr>
          <w:rFonts w:eastAsia="Times New Roman" w:cs="Times New Roman"/>
          <w:szCs w:val="20"/>
          <w:lang w:val="en-GB" w:eastAsia="en-GB"/>
        </w:rPr>
        <w:t xml:space="preserve"> and by major NGO employers</w:t>
      </w:r>
      <w:r w:rsidRPr="00853809">
        <w:rPr>
          <w:rFonts w:eastAsia="Times New Roman" w:cs="Times New Roman"/>
          <w:szCs w:val="20"/>
          <w:lang w:val="en-GB" w:eastAsia="en-GB"/>
        </w:rPr>
        <w:t xml:space="preserve">. </w:t>
      </w:r>
    </w:p>
    <w:p w:rsidR="006638A8" w:rsidRPr="002A5D5B" w:rsidRDefault="006638A8" w:rsidP="00177E1D">
      <w:pPr>
        <w:spacing w:after="240" w:line="240" w:lineRule="auto"/>
        <w:rPr>
          <w:rFonts w:eastAsia="Times New Roman" w:cs="Times New Roman"/>
          <w:i/>
          <w:szCs w:val="20"/>
          <w:lang w:val="en-GB" w:eastAsia="en-GB"/>
        </w:rPr>
      </w:pPr>
      <w:r w:rsidRPr="002A5D5B">
        <w:rPr>
          <w:rFonts w:eastAsia="Times New Roman" w:cs="Times New Roman"/>
          <w:i/>
          <w:szCs w:val="20"/>
          <w:lang w:val="en-GB" w:eastAsia="en-GB"/>
        </w:rPr>
        <w:t>What effect has the current system of voluntary registration had</w:t>
      </w:r>
      <w:r>
        <w:rPr>
          <w:rFonts w:eastAsia="Times New Roman" w:cs="Times New Roman"/>
          <w:i/>
          <w:szCs w:val="20"/>
          <w:lang w:val="en-GB" w:eastAsia="en-GB"/>
        </w:rPr>
        <w:t xml:space="preserve"> in New Zealand</w:t>
      </w:r>
      <w:r w:rsidRPr="002A5D5B">
        <w:rPr>
          <w:rFonts w:eastAsia="Times New Roman" w:cs="Times New Roman"/>
          <w:i/>
          <w:szCs w:val="20"/>
          <w:lang w:val="en-GB" w:eastAsia="en-GB"/>
        </w:rPr>
        <w:t>?</w:t>
      </w:r>
    </w:p>
    <w:p w:rsidR="00617D20" w:rsidRDefault="006638A8" w:rsidP="005B5FC6">
      <w:pPr>
        <w:numPr>
          <w:ilvl w:val="0"/>
          <w:numId w:val="23"/>
        </w:numPr>
        <w:spacing w:after="240" w:line="240" w:lineRule="auto"/>
        <w:ind w:left="567" w:hanging="567"/>
        <w:rPr>
          <w:rFonts w:eastAsia="Times New Roman" w:cs="Times New Roman"/>
          <w:szCs w:val="20"/>
          <w:lang w:val="en-GB" w:eastAsia="en-GB"/>
        </w:rPr>
      </w:pPr>
      <w:r w:rsidRPr="00E765E1">
        <w:rPr>
          <w:rFonts w:eastAsia="Times New Roman" w:cs="Times New Roman"/>
          <w:szCs w:val="20"/>
          <w:lang w:val="en-GB" w:eastAsia="en-GB"/>
        </w:rPr>
        <w:t xml:space="preserve">In 2000, it was estimated approximately 80% of social workers would not be </w:t>
      </w:r>
      <w:proofErr w:type="spellStart"/>
      <w:r w:rsidR="005E562D">
        <w:rPr>
          <w:rFonts w:eastAsia="Times New Roman" w:cs="Times New Roman"/>
          <w:szCs w:val="20"/>
          <w:lang w:val="en-GB" w:eastAsia="en-GB"/>
        </w:rPr>
        <w:t>registrable</w:t>
      </w:r>
      <w:proofErr w:type="spellEnd"/>
      <w:r w:rsidRPr="00E765E1">
        <w:rPr>
          <w:rFonts w:eastAsia="Times New Roman" w:cs="Times New Roman"/>
          <w:szCs w:val="20"/>
          <w:lang w:val="en-GB" w:eastAsia="en-GB"/>
        </w:rPr>
        <w:t xml:space="preserve"> (</w:t>
      </w:r>
      <w:proofErr w:type="spellStart"/>
      <w:r w:rsidR="00340B40">
        <w:rPr>
          <w:rFonts w:eastAsia="Times New Roman" w:cs="Times New Roman"/>
          <w:szCs w:val="20"/>
          <w:lang w:val="en-GB" w:eastAsia="en-GB"/>
        </w:rPr>
        <w:t>ie</w:t>
      </w:r>
      <w:proofErr w:type="spellEnd"/>
      <w:r w:rsidRPr="00E765E1">
        <w:rPr>
          <w:rFonts w:eastAsia="Times New Roman" w:cs="Times New Roman"/>
          <w:szCs w:val="20"/>
          <w:lang w:val="en-GB" w:eastAsia="en-GB"/>
        </w:rPr>
        <w:t xml:space="preserve"> hold social work qualifications or have otherwise been formally assessed as competent).</w:t>
      </w:r>
      <w:r>
        <w:rPr>
          <w:rStyle w:val="FootnoteReference"/>
          <w:rFonts w:eastAsia="Times New Roman" w:cs="Times New Roman"/>
          <w:szCs w:val="20"/>
          <w:lang w:val="en-GB" w:eastAsia="en-GB"/>
        </w:rPr>
        <w:footnoteReference w:id="16"/>
      </w:r>
      <w:r w:rsidRPr="00E765E1">
        <w:rPr>
          <w:rFonts w:eastAsia="Times New Roman" w:cs="Times New Roman"/>
          <w:szCs w:val="20"/>
          <w:lang w:val="en-GB" w:eastAsia="en-GB"/>
        </w:rPr>
        <w:t xml:space="preserve">  </w:t>
      </w:r>
      <w:r w:rsidR="00340B40">
        <w:rPr>
          <w:rFonts w:eastAsia="Times New Roman" w:cs="Times New Roman"/>
          <w:szCs w:val="20"/>
          <w:lang w:val="en-GB" w:eastAsia="en-GB"/>
        </w:rPr>
        <w:t>Sixteen</w:t>
      </w:r>
      <w:r w:rsidRPr="00E765E1">
        <w:rPr>
          <w:rFonts w:eastAsia="Times New Roman" w:cs="Times New Roman"/>
          <w:szCs w:val="20"/>
          <w:lang w:val="en-GB" w:eastAsia="en-GB"/>
        </w:rPr>
        <w:t xml:space="preserve"> years later, an estimat</w:t>
      </w:r>
      <w:r w:rsidR="00340B40">
        <w:rPr>
          <w:rFonts w:eastAsia="Times New Roman" w:cs="Times New Roman"/>
          <w:szCs w:val="20"/>
          <w:lang w:val="en-GB" w:eastAsia="en-GB"/>
        </w:rPr>
        <w:t>ed 75% of the profession have m</w:t>
      </w:r>
      <w:r w:rsidRPr="00E765E1">
        <w:rPr>
          <w:rFonts w:eastAsia="Times New Roman" w:cs="Times New Roman"/>
          <w:szCs w:val="20"/>
          <w:lang w:val="en-GB" w:eastAsia="en-GB"/>
        </w:rPr>
        <w:t xml:space="preserve">et that standard and are now registered.  Estimates are that 2,000 social workers remain outside the system, but a majority of them are thought to be able to be </w:t>
      </w:r>
      <w:r w:rsidR="005E562D">
        <w:rPr>
          <w:rFonts w:eastAsia="Times New Roman" w:cs="Times New Roman"/>
          <w:szCs w:val="20"/>
          <w:lang w:val="en-GB" w:eastAsia="en-GB"/>
        </w:rPr>
        <w:t>regist</w:t>
      </w:r>
      <w:r w:rsidR="00340B40">
        <w:rPr>
          <w:rFonts w:eastAsia="Times New Roman" w:cs="Times New Roman"/>
          <w:szCs w:val="20"/>
          <w:lang w:val="en-GB" w:eastAsia="en-GB"/>
        </w:rPr>
        <w:t>ered</w:t>
      </w:r>
      <w:r w:rsidRPr="00E765E1">
        <w:rPr>
          <w:rFonts w:eastAsia="Times New Roman" w:cs="Times New Roman"/>
          <w:szCs w:val="20"/>
          <w:lang w:val="en-GB" w:eastAsia="en-GB"/>
        </w:rPr>
        <w:t xml:space="preserve">.  So a number of initiatives, including the significant efforts of the Board, have brought about a dramatic increase in the proportion of social workers who have formal qualifications, and can be expected to have a better base of social work skills and knowledge. </w:t>
      </w:r>
    </w:p>
    <w:p w:rsidR="006638A8" w:rsidRDefault="00617D20"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Ascer</w:t>
      </w:r>
      <w:r w:rsidR="00340B40">
        <w:rPr>
          <w:rFonts w:eastAsia="Times New Roman" w:cs="Times New Roman"/>
          <w:szCs w:val="20"/>
          <w:lang w:val="en-GB" w:eastAsia="en-GB"/>
        </w:rPr>
        <w:t>taining what benefits have arisen</w:t>
      </w:r>
      <w:r>
        <w:rPr>
          <w:rFonts w:eastAsia="Times New Roman" w:cs="Times New Roman"/>
          <w:szCs w:val="20"/>
          <w:lang w:val="en-GB" w:eastAsia="en-GB"/>
        </w:rPr>
        <w:t xml:space="preserve"> from the increasing proportion of registered social workers is challenging as many social workers continue to practice outside of the system and we have limited knowledge of what they are doing.  It is therefore not possible to properly compare registered versus unregistered social workers (see also the discussion of complaints below).  </w:t>
      </w:r>
    </w:p>
    <w:p w:rsidR="00617D20" w:rsidRDefault="00617D20"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 further difficulty in assessing the impact of the voluntary regime arises from</w:t>
      </w:r>
      <w:r w:rsidRPr="00E765E1">
        <w:rPr>
          <w:rFonts w:eastAsia="Times New Roman" w:cs="Times New Roman"/>
          <w:szCs w:val="20"/>
          <w:lang w:val="en-GB" w:eastAsia="en-GB"/>
        </w:rPr>
        <w:t xml:space="preserve"> </w:t>
      </w:r>
      <w:r>
        <w:rPr>
          <w:rFonts w:eastAsia="Times New Roman" w:cs="Times New Roman"/>
          <w:szCs w:val="20"/>
          <w:lang w:val="en-GB" w:eastAsia="en-GB"/>
        </w:rPr>
        <w:t>the many</w:t>
      </w:r>
      <w:r w:rsidRPr="00E765E1">
        <w:rPr>
          <w:rFonts w:eastAsia="Times New Roman" w:cs="Times New Roman"/>
          <w:szCs w:val="20"/>
          <w:lang w:val="en-GB" w:eastAsia="en-GB"/>
        </w:rPr>
        <w:t xml:space="preserve"> policy and resourcing changes in the sectors in which social workers operate</w:t>
      </w:r>
      <w:r w:rsidRPr="00162AF3">
        <w:rPr>
          <w:rFonts w:eastAsia="Times New Roman" w:cs="Times New Roman"/>
          <w:szCs w:val="20"/>
          <w:lang w:val="en-GB" w:eastAsia="en-GB"/>
        </w:rPr>
        <w:t xml:space="preserve"> </w:t>
      </w:r>
      <w:r>
        <w:rPr>
          <w:rFonts w:eastAsia="Times New Roman" w:cs="Times New Roman"/>
          <w:szCs w:val="20"/>
          <w:lang w:val="en-GB" w:eastAsia="en-GB"/>
        </w:rPr>
        <w:t xml:space="preserve">since 2003. </w:t>
      </w:r>
      <w:r w:rsidRPr="00E765E1">
        <w:rPr>
          <w:rFonts w:eastAsia="Times New Roman" w:cs="Times New Roman"/>
          <w:szCs w:val="20"/>
          <w:lang w:val="en-GB" w:eastAsia="en-GB"/>
        </w:rPr>
        <w:t xml:space="preserve"> </w:t>
      </w:r>
      <w:r>
        <w:rPr>
          <w:rFonts w:eastAsia="Times New Roman" w:cs="Times New Roman"/>
          <w:szCs w:val="20"/>
          <w:lang w:val="en-GB" w:eastAsia="en-GB"/>
        </w:rPr>
        <w:t>F</w:t>
      </w:r>
      <w:r w:rsidRPr="00E765E1">
        <w:rPr>
          <w:rFonts w:eastAsia="Times New Roman" w:cs="Times New Roman"/>
          <w:szCs w:val="20"/>
          <w:lang w:val="en-GB" w:eastAsia="en-GB"/>
        </w:rPr>
        <w:t>or example, justice sector responses to family violence and community based approaches to mental health needs.  And beyond this, changes in the social and economic environment</w:t>
      </w:r>
      <w:r>
        <w:rPr>
          <w:rFonts w:eastAsia="Times New Roman" w:cs="Times New Roman"/>
          <w:szCs w:val="20"/>
          <w:lang w:val="en-GB" w:eastAsia="en-GB"/>
        </w:rPr>
        <w:t>,</w:t>
      </w:r>
      <w:r w:rsidRPr="00E765E1">
        <w:rPr>
          <w:rFonts w:eastAsia="Times New Roman" w:cs="Times New Roman"/>
          <w:szCs w:val="20"/>
          <w:lang w:val="en-GB" w:eastAsia="en-GB"/>
        </w:rPr>
        <w:t xml:space="preserve"> such as housing need and availability of employment</w:t>
      </w:r>
      <w:r>
        <w:rPr>
          <w:rFonts w:eastAsia="Times New Roman" w:cs="Times New Roman"/>
          <w:szCs w:val="20"/>
          <w:lang w:val="en-GB" w:eastAsia="en-GB"/>
        </w:rPr>
        <w:t>,</w:t>
      </w:r>
      <w:r w:rsidRPr="00E765E1">
        <w:rPr>
          <w:rFonts w:eastAsia="Times New Roman" w:cs="Times New Roman"/>
          <w:szCs w:val="20"/>
          <w:lang w:val="en-GB" w:eastAsia="en-GB"/>
        </w:rPr>
        <w:t xml:space="preserve"> affect families and communities and, in turn, what is demanded and what can be expected from social workers. </w:t>
      </w:r>
    </w:p>
    <w:p w:rsidR="006E489F" w:rsidRPr="009A1C49" w:rsidRDefault="006E489F" w:rsidP="005B5FC6">
      <w:pPr>
        <w:numPr>
          <w:ilvl w:val="0"/>
          <w:numId w:val="23"/>
        </w:numPr>
        <w:spacing w:after="240" w:line="240" w:lineRule="auto"/>
        <w:ind w:left="567" w:hanging="567"/>
        <w:rPr>
          <w:rFonts w:eastAsia="Times New Roman" w:cs="Times New Roman"/>
          <w:szCs w:val="20"/>
          <w:lang w:val="en-GB" w:eastAsia="en-GB"/>
        </w:rPr>
      </w:pPr>
      <w:r w:rsidRPr="009A1C49">
        <w:rPr>
          <w:rFonts w:eastAsia="Times New Roman" w:cs="Times New Roman"/>
          <w:szCs w:val="20"/>
          <w:lang w:val="en-GB" w:eastAsia="en-GB"/>
        </w:rPr>
        <w:t>Expected benefits include:</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a clear</w:t>
      </w:r>
      <w:r w:rsidR="009A1C49">
        <w:rPr>
          <w:rFonts w:eastAsia="Times New Roman" w:cs="Times New Roman"/>
          <w:szCs w:val="20"/>
          <w:lang w:val="en-GB" w:eastAsia="en-GB"/>
        </w:rPr>
        <w:t>,</w:t>
      </w:r>
      <w:r w:rsidRPr="009A1C49">
        <w:rPr>
          <w:rFonts w:eastAsia="Times New Roman" w:cs="Times New Roman"/>
          <w:szCs w:val="20"/>
          <w:lang w:val="en-GB" w:eastAsia="en-GB"/>
        </w:rPr>
        <w:t xml:space="preserve"> transparent and consistent complaints and disciplinary process for clients</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lastRenderedPageBreak/>
        <w:t>those working with vulnerable people are suitabl</w:t>
      </w:r>
      <w:r w:rsidR="00340B40">
        <w:rPr>
          <w:rFonts w:eastAsia="Times New Roman" w:cs="Times New Roman"/>
          <w:szCs w:val="20"/>
          <w:lang w:val="en-GB" w:eastAsia="en-GB"/>
        </w:rPr>
        <w:t>y</w:t>
      </w:r>
      <w:r w:rsidRPr="009A1C49">
        <w:rPr>
          <w:rFonts w:eastAsia="Times New Roman" w:cs="Times New Roman"/>
          <w:szCs w:val="20"/>
          <w:lang w:val="en-GB" w:eastAsia="en-GB"/>
        </w:rPr>
        <w:t xml:space="preserve"> qualified and trained</w:t>
      </w:r>
      <w:r w:rsidR="007162B1" w:rsidRPr="009A1C49">
        <w:rPr>
          <w:rFonts w:eastAsia="Times New Roman" w:cs="Times New Roman"/>
          <w:szCs w:val="20"/>
          <w:lang w:val="en-GB" w:eastAsia="en-GB"/>
        </w:rPr>
        <w:t>, providing a consistency of practice</w:t>
      </w:r>
    </w:p>
    <w:p w:rsidR="006E489F" w:rsidRPr="009A1C49" w:rsidRDefault="006E489F"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r w:rsidRPr="009A1C49">
        <w:rPr>
          <w:rFonts w:eastAsia="Times New Roman" w:cs="Times New Roman"/>
          <w:szCs w:val="20"/>
          <w:lang w:val="en-GB" w:eastAsia="en-GB"/>
        </w:rPr>
        <w:t>a mandatory regulation system shifts the burden from the NGO sector to individually assess and maintain profession</w:t>
      </w:r>
      <w:r w:rsidR="009A1C49">
        <w:rPr>
          <w:rFonts w:eastAsia="Times New Roman" w:cs="Times New Roman"/>
          <w:szCs w:val="20"/>
          <w:lang w:val="en-GB" w:eastAsia="en-GB"/>
        </w:rPr>
        <w:t>al</w:t>
      </w:r>
      <w:r w:rsidRPr="009A1C49">
        <w:rPr>
          <w:rFonts w:eastAsia="Times New Roman" w:cs="Times New Roman"/>
          <w:szCs w:val="20"/>
          <w:lang w:val="en-GB" w:eastAsia="en-GB"/>
        </w:rPr>
        <w:t xml:space="preserve"> competency of staff and manage complaints</w:t>
      </w:r>
    </w:p>
    <w:p w:rsidR="007162B1" w:rsidRPr="009A1C49" w:rsidRDefault="007162B1" w:rsidP="005B5FC6">
      <w:pPr>
        <w:pStyle w:val="ListParagraph"/>
        <w:numPr>
          <w:ilvl w:val="0"/>
          <w:numId w:val="28"/>
        </w:numPr>
        <w:spacing w:before="120" w:line="240" w:lineRule="auto"/>
        <w:ind w:left="1134" w:hanging="425"/>
        <w:contextualSpacing w:val="0"/>
        <w:rPr>
          <w:rFonts w:eastAsia="Times New Roman" w:cs="Times New Roman"/>
          <w:szCs w:val="20"/>
          <w:lang w:val="en-GB" w:eastAsia="en-GB"/>
        </w:rPr>
      </w:pPr>
      <w:proofErr w:type="gramStart"/>
      <w:r w:rsidRPr="009A1C49">
        <w:rPr>
          <w:rFonts w:eastAsia="Times New Roman" w:cs="Times New Roman"/>
          <w:szCs w:val="20"/>
          <w:lang w:val="en-GB" w:eastAsia="en-GB"/>
        </w:rPr>
        <w:t>a</w:t>
      </w:r>
      <w:proofErr w:type="gramEnd"/>
      <w:r w:rsidRPr="009A1C49">
        <w:rPr>
          <w:rFonts w:eastAsia="Times New Roman" w:cs="Times New Roman"/>
          <w:szCs w:val="20"/>
          <w:lang w:val="en-GB" w:eastAsia="en-GB"/>
        </w:rPr>
        <w:t xml:space="preserve"> coherent framework for the social work profession that lifts its status </w:t>
      </w:r>
      <w:r w:rsidR="009A1C49">
        <w:rPr>
          <w:rFonts w:eastAsia="Times New Roman" w:cs="Times New Roman"/>
          <w:szCs w:val="20"/>
          <w:lang w:val="en-GB" w:eastAsia="en-GB"/>
        </w:rPr>
        <w:t xml:space="preserve">to a level </w:t>
      </w:r>
      <w:r w:rsidRPr="009A1C49">
        <w:rPr>
          <w:rFonts w:eastAsia="Times New Roman" w:cs="Times New Roman"/>
          <w:szCs w:val="20"/>
          <w:lang w:val="en-GB" w:eastAsia="en-GB"/>
        </w:rPr>
        <w:t>with comparable professions, supporting the shift to multidisciplinary working.</w:t>
      </w:r>
    </w:p>
    <w:p w:rsidR="006638A8" w:rsidRPr="002A5D5B" w:rsidRDefault="006638A8" w:rsidP="00177E1D">
      <w:pPr>
        <w:spacing w:after="240" w:line="240" w:lineRule="auto"/>
        <w:rPr>
          <w:rFonts w:eastAsia="Times New Roman" w:cs="Times New Roman"/>
          <w:i/>
          <w:szCs w:val="20"/>
          <w:lang w:val="en-GB" w:eastAsia="en-GB"/>
        </w:rPr>
      </w:pPr>
      <w:r w:rsidRPr="002A5D5B">
        <w:rPr>
          <w:rFonts w:eastAsia="Times New Roman" w:cs="Times New Roman"/>
          <w:i/>
          <w:szCs w:val="20"/>
          <w:lang w:val="en-GB" w:eastAsia="en-GB"/>
        </w:rPr>
        <w:t>Why is current system of voluntary registration insufficient?</w:t>
      </w:r>
    </w:p>
    <w:p w:rsidR="006638A8" w:rsidRPr="00E12AD0" w:rsidRDefault="006638A8" w:rsidP="005B5FC6">
      <w:pPr>
        <w:numPr>
          <w:ilvl w:val="0"/>
          <w:numId w:val="23"/>
        </w:numPr>
        <w:spacing w:after="240" w:line="240" w:lineRule="auto"/>
        <w:ind w:left="567" w:hanging="567"/>
        <w:rPr>
          <w:rFonts w:eastAsia="Times New Roman"/>
          <w:szCs w:val="20"/>
          <w:lang w:val="en-GB" w:eastAsia="en-GB"/>
        </w:rPr>
      </w:pPr>
      <w:r w:rsidRPr="002B6D20">
        <w:rPr>
          <w:rFonts w:eastAsia="Times New Roman"/>
          <w:szCs w:val="20"/>
          <w:lang w:val="en-GB" w:eastAsia="en-GB"/>
        </w:rPr>
        <w:t xml:space="preserve">Under the current voluntary regime, </w:t>
      </w:r>
      <w:r>
        <w:rPr>
          <w:rFonts w:eastAsia="Times New Roman"/>
          <w:szCs w:val="20"/>
          <w:lang w:val="en-GB" w:eastAsia="en-GB"/>
        </w:rPr>
        <w:t>i</w:t>
      </w:r>
      <w:r w:rsidRPr="002B6D20">
        <w:rPr>
          <w:rFonts w:eastAsia="Times New Roman"/>
          <w:szCs w:val="20"/>
          <w:lang w:val="en-GB" w:eastAsia="en-GB"/>
        </w:rPr>
        <w:t xml:space="preserve">t is possible to practice using the title </w:t>
      </w:r>
      <w:r w:rsidR="00DF4203">
        <w:rPr>
          <w:rFonts w:eastAsia="Times New Roman"/>
          <w:szCs w:val="20"/>
          <w:lang w:val="en-GB" w:eastAsia="en-GB"/>
        </w:rPr>
        <w:t>“</w:t>
      </w:r>
      <w:r w:rsidRPr="002B6D20">
        <w:rPr>
          <w:rFonts w:eastAsia="Times New Roman"/>
          <w:szCs w:val="20"/>
          <w:lang w:val="en-GB" w:eastAsia="en-GB"/>
        </w:rPr>
        <w:t>social worker</w:t>
      </w:r>
      <w:r w:rsidR="00DF4203">
        <w:rPr>
          <w:rFonts w:eastAsia="Times New Roman"/>
          <w:szCs w:val="20"/>
          <w:lang w:val="en-GB" w:eastAsia="en-GB"/>
        </w:rPr>
        <w:t>”</w:t>
      </w:r>
      <w:r w:rsidRPr="002B6D20">
        <w:rPr>
          <w:rFonts w:eastAsia="Times New Roman"/>
          <w:szCs w:val="20"/>
          <w:lang w:val="en-GB" w:eastAsia="en-GB"/>
        </w:rPr>
        <w:t xml:space="preserve"> without being registered.  The SWR Act’s competence and fitness requirements and the complaints and disciplinary processes do not apply to social workers who are not registered.  The Board and</w:t>
      </w:r>
      <w:r w:rsidR="00D9009E">
        <w:rPr>
          <w:rFonts w:eastAsia="Times New Roman"/>
          <w:szCs w:val="20"/>
          <w:lang w:val="en-GB" w:eastAsia="en-GB"/>
        </w:rPr>
        <w:t xml:space="preserve"> the </w:t>
      </w:r>
      <w:r w:rsidR="00D9009E">
        <w:rPr>
          <w:rFonts w:eastAsia="Times New Roman" w:cs="Times New Roman"/>
          <w:szCs w:val="20"/>
          <w:lang w:val="en-GB" w:eastAsia="en-GB"/>
        </w:rPr>
        <w:t xml:space="preserve">Social Workers Complaints and Disciplinary Tribunal </w:t>
      </w:r>
      <w:r w:rsidRPr="002B6D20">
        <w:rPr>
          <w:rFonts w:eastAsia="Times New Roman"/>
          <w:szCs w:val="20"/>
          <w:lang w:val="en-GB" w:eastAsia="en-GB"/>
        </w:rPr>
        <w:t>have no jurisdiction over un-registered social workers.  The</w:t>
      </w:r>
      <w:r w:rsidR="00404CC4">
        <w:rPr>
          <w:rFonts w:eastAsia="Times New Roman"/>
          <w:szCs w:val="20"/>
          <w:lang w:val="en-GB" w:eastAsia="en-GB"/>
        </w:rPr>
        <w:t xml:space="preserve"> Board’s 2015 Review of </w:t>
      </w:r>
      <w:r w:rsidR="00CC7880">
        <w:rPr>
          <w:rFonts w:eastAsia="Times New Roman"/>
          <w:szCs w:val="20"/>
          <w:lang w:val="en-GB" w:eastAsia="en-GB"/>
        </w:rPr>
        <w:t>the SWR Act</w:t>
      </w:r>
      <w:r w:rsidR="00404CC4">
        <w:rPr>
          <w:rFonts w:eastAsia="Times New Roman"/>
          <w:szCs w:val="20"/>
          <w:lang w:val="en-GB" w:eastAsia="en-GB"/>
        </w:rPr>
        <w:t xml:space="preserve"> concluded “… the</w:t>
      </w:r>
      <w:r w:rsidRPr="002B6D20">
        <w:rPr>
          <w:rFonts w:eastAsia="Times New Roman"/>
          <w:szCs w:val="20"/>
          <w:lang w:val="en-GB" w:eastAsia="en-GB"/>
        </w:rPr>
        <w:t xml:space="preserve">re are many substantiated examples of unregistered social workers, or alternatively, individuals using the title </w:t>
      </w:r>
      <w:r w:rsidR="00DF4203">
        <w:rPr>
          <w:rFonts w:eastAsia="Times New Roman"/>
          <w:szCs w:val="20"/>
          <w:lang w:val="en-GB" w:eastAsia="en-GB"/>
        </w:rPr>
        <w:t>“</w:t>
      </w:r>
      <w:r w:rsidRPr="002B6D20">
        <w:rPr>
          <w:rFonts w:eastAsia="Times New Roman"/>
          <w:szCs w:val="20"/>
          <w:lang w:val="en-GB" w:eastAsia="en-GB"/>
        </w:rPr>
        <w:t>social worker</w:t>
      </w:r>
      <w:r w:rsidR="00DF4203">
        <w:rPr>
          <w:rFonts w:eastAsia="Times New Roman"/>
          <w:szCs w:val="20"/>
          <w:lang w:val="en-GB" w:eastAsia="en-GB"/>
        </w:rPr>
        <w:t>”</w:t>
      </w:r>
      <w:r w:rsidRPr="002B6D20">
        <w:rPr>
          <w:rFonts w:eastAsia="Times New Roman"/>
          <w:szCs w:val="20"/>
          <w:lang w:val="en-GB" w:eastAsia="en-GB"/>
        </w:rPr>
        <w:t xml:space="preserve"> without qualifications or competence, who have been convicted of serious </w:t>
      </w:r>
      <w:r w:rsidR="005E562D">
        <w:rPr>
          <w:rFonts w:eastAsia="Times New Roman"/>
          <w:szCs w:val="20"/>
          <w:lang w:val="en-GB" w:eastAsia="en-GB"/>
        </w:rPr>
        <w:t xml:space="preserve">offences </w:t>
      </w:r>
      <w:r w:rsidRPr="002B6D20">
        <w:rPr>
          <w:rFonts w:eastAsia="Times New Roman"/>
          <w:szCs w:val="20"/>
          <w:lang w:val="en-GB" w:eastAsia="en-GB"/>
        </w:rPr>
        <w:t>or found responsible for the delivery of unethical, incompetent and often dangerous social work services.</w:t>
      </w:r>
      <w:r w:rsidR="00404CC4">
        <w:rPr>
          <w:rFonts w:eastAsia="Times New Roman"/>
          <w:szCs w:val="20"/>
          <w:lang w:val="en-GB" w:eastAsia="en-GB"/>
        </w:rPr>
        <w:t>”</w:t>
      </w:r>
      <w:r w:rsidR="00404CC4">
        <w:rPr>
          <w:rStyle w:val="FootnoteReference"/>
          <w:rFonts w:eastAsia="Times New Roman"/>
          <w:szCs w:val="20"/>
          <w:lang w:val="en-GB" w:eastAsia="en-GB"/>
        </w:rPr>
        <w:footnoteReference w:id="17"/>
      </w:r>
      <w:r w:rsidRPr="002B6D20">
        <w:rPr>
          <w:rFonts w:eastAsia="Times New Roman"/>
          <w:szCs w:val="20"/>
          <w:lang w:val="en-GB" w:eastAsia="en-GB"/>
        </w:rPr>
        <w:t xml:space="preserve"> </w:t>
      </w:r>
    </w:p>
    <w:p w:rsidR="006638A8" w:rsidRPr="007921C8" w:rsidRDefault="00CB2AAB"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Complaints may raise concerns about social workers conduct, competence or fitness to practice.  </w:t>
      </w:r>
      <w:r w:rsidR="006638A8">
        <w:rPr>
          <w:rFonts w:eastAsia="Times New Roman" w:cs="Times New Roman"/>
          <w:szCs w:val="20"/>
          <w:lang w:val="en-GB" w:eastAsia="en-GB"/>
        </w:rPr>
        <w:t>T</w:t>
      </w:r>
      <w:r w:rsidR="006638A8" w:rsidRPr="00CD205C">
        <w:rPr>
          <w:rFonts w:eastAsia="Times New Roman" w:cs="Times New Roman"/>
          <w:szCs w:val="20"/>
          <w:lang w:val="en-GB" w:eastAsia="en-GB"/>
        </w:rPr>
        <w:t xml:space="preserve">here is a lack of centralised information available about complaints raised about non-registered social workers, and any resultant disciplinary or employment outcomes.  The Board can only consider matters that fall within its statutory jurisdiction </w:t>
      </w:r>
      <w:r w:rsidR="006638A8">
        <w:rPr>
          <w:rFonts w:eastAsia="Times New Roman" w:cs="Times New Roman"/>
          <w:szCs w:val="20"/>
          <w:lang w:val="en-GB" w:eastAsia="en-GB"/>
        </w:rPr>
        <w:t xml:space="preserve">concerning registered social workers, </w:t>
      </w:r>
      <w:r w:rsidR="006638A8" w:rsidRPr="00CD205C">
        <w:rPr>
          <w:rFonts w:eastAsia="Times New Roman" w:cs="Times New Roman"/>
          <w:szCs w:val="20"/>
          <w:lang w:val="en-GB" w:eastAsia="en-GB"/>
        </w:rPr>
        <w:t xml:space="preserve">and does not have any power to award compensation.  </w:t>
      </w:r>
      <w:r>
        <w:rPr>
          <w:rFonts w:eastAsia="Times New Roman" w:cs="Times New Roman"/>
          <w:szCs w:val="20"/>
          <w:lang w:val="en-GB" w:eastAsia="en-GB"/>
        </w:rPr>
        <w:t xml:space="preserve">This means that unregistered social workers with criminal convections may go undetected. </w:t>
      </w:r>
    </w:p>
    <w:p w:rsidR="005970B3" w:rsidRPr="005970B3" w:rsidRDefault="006638A8" w:rsidP="005B5FC6">
      <w:pPr>
        <w:numPr>
          <w:ilvl w:val="0"/>
          <w:numId w:val="23"/>
        </w:numPr>
        <w:spacing w:after="240" w:line="240" w:lineRule="auto"/>
        <w:ind w:left="567" w:hanging="567"/>
        <w:rPr>
          <w:rFonts w:eastAsia="Times New Roman" w:cs="Times New Roman"/>
          <w:szCs w:val="20"/>
          <w:lang w:val="en-GB" w:eastAsia="en-GB"/>
        </w:rPr>
      </w:pPr>
      <w:r w:rsidRPr="007921C8">
        <w:rPr>
          <w:rFonts w:eastAsia="Times New Roman" w:cs="Times New Roman"/>
          <w:szCs w:val="20"/>
          <w:lang w:val="en-GB" w:eastAsia="en-GB"/>
        </w:rPr>
        <w:t xml:space="preserve">The Board receives a number of complaints about social workers who are not registered but is unable to act on the complaint. </w:t>
      </w:r>
      <w:r>
        <w:rPr>
          <w:rFonts w:eastAsia="Times New Roman" w:cs="Times New Roman"/>
          <w:szCs w:val="20"/>
          <w:lang w:val="en-GB" w:eastAsia="en-GB"/>
        </w:rPr>
        <w:t xml:space="preserve"> </w:t>
      </w:r>
      <w:r w:rsidRPr="007921C8">
        <w:rPr>
          <w:rFonts w:eastAsia="Times New Roman" w:cs="Times New Roman"/>
          <w:szCs w:val="20"/>
          <w:lang w:val="en-GB" w:eastAsia="en-GB"/>
        </w:rPr>
        <w:t>Identifying the number of these complaints is difficult as often complainants will call to ask if a particular social worker is registered and when told they are not, do not continue with the discussion or else they find out the social worker is not registered as they do not appear on the public register.</w:t>
      </w:r>
    </w:p>
    <w:tbl>
      <w:tblPr>
        <w:tblStyle w:val="TableGrid"/>
        <w:tblW w:w="0" w:type="auto"/>
        <w:jc w:val="center"/>
        <w:tblLook w:val="04A0" w:firstRow="1" w:lastRow="0" w:firstColumn="1" w:lastColumn="0" w:noHBand="0" w:noVBand="1"/>
      </w:tblPr>
      <w:tblGrid>
        <w:gridCol w:w="1843"/>
        <w:gridCol w:w="1134"/>
        <w:gridCol w:w="1134"/>
        <w:gridCol w:w="1134"/>
        <w:gridCol w:w="1134"/>
        <w:gridCol w:w="1134"/>
        <w:gridCol w:w="1054"/>
      </w:tblGrid>
      <w:tr w:rsidR="006638A8" w:rsidRPr="00A97C6A" w:rsidTr="00A97C6A">
        <w:trPr>
          <w:trHeight w:val="464"/>
          <w:jc w:val="center"/>
        </w:trPr>
        <w:tc>
          <w:tcPr>
            <w:tcW w:w="8567" w:type="dxa"/>
            <w:gridSpan w:val="7"/>
            <w:vAlign w:val="center"/>
          </w:tcPr>
          <w:p w:rsidR="006638A8" w:rsidRPr="00A97C6A" w:rsidRDefault="006638A8" w:rsidP="00177E1D">
            <w:pPr>
              <w:rPr>
                <w:szCs w:val="18"/>
              </w:rPr>
            </w:pPr>
            <w:r w:rsidRPr="00A97C6A">
              <w:rPr>
                <w:szCs w:val="18"/>
              </w:rPr>
              <w:t xml:space="preserve">Complaints received by the </w:t>
            </w:r>
            <w:r w:rsidR="00DC2521" w:rsidRPr="00A97C6A">
              <w:rPr>
                <w:szCs w:val="18"/>
              </w:rPr>
              <w:t>Board</w:t>
            </w:r>
            <w:r w:rsidRPr="00A97C6A">
              <w:rPr>
                <w:rStyle w:val="FootnoteReference"/>
                <w:sz w:val="18"/>
                <w:szCs w:val="18"/>
              </w:rPr>
              <w:footnoteReference w:id="18"/>
            </w:r>
          </w:p>
        </w:tc>
      </w:tr>
      <w:tr w:rsidR="006638A8" w:rsidRPr="00A97C6A" w:rsidTr="00A97C6A">
        <w:trPr>
          <w:trHeight w:val="841"/>
          <w:jc w:val="center"/>
        </w:trPr>
        <w:tc>
          <w:tcPr>
            <w:tcW w:w="1843" w:type="dxa"/>
            <w:vAlign w:val="center"/>
          </w:tcPr>
          <w:p w:rsidR="006638A8" w:rsidRPr="00A97C6A" w:rsidRDefault="006638A8" w:rsidP="00177E1D">
            <w:pPr>
              <w:rPr>
                <w:szCs w:val="18"/>
              </w:rPr>
            </w:pPr>
          </w:p>
        </w:tc>
        <w:tc>
          <w:tcPr>
            <w:tcW w:w="1134" w:type="dxa"/>
            <w:vAlign w:val="center"/>
          </w:tcPr>
          <w:p w:rsidR="006638A8" w:rsidRPr="00A97C6A" w:rsidRDefault="006638A8" w:rsidP="00177E1D">
            <w:pPr>
              <w:rPr>
                <w:szCs w:val="18"/>
              </w:rPr>
            </w:pPr>
            <w:r w:rsidRPr="00A97C6A">
              <w:rPr>
                <w:szCs w:val="18"/>
              </w:rPr>
              <w:t>2011</w:t>
            </w:r>
          </w:p>
        </w:tc>
        <w:tc>
          <w:tcPr>
            <w:tcW w:w="1134" w:type="dxa"/>
            <w:vAlign w:val="center"/>
          </w:tcPr>
          <w:p w:rsidR="006638A8" w:rsidRPr="00A97C6A" w:rsidRDefault="006638A8" w:rsidP="00177E1D">
            <w:pPr>
              <w:rPr>
                <w:szCs w:val="18"/>
              </w:rPr>
            </w:pPr>
            <w:r w:rsidRPr="00A97C6A">
              <w:rPr>
                <w:szCs w:val="18"/>
              </w:rPr>
              <w:t>2012</w:t>
            </w:r>
          </w:p>
        </w:tc>
        <w:tc>
          <w:tcPr>
            <w:tcW w:w="1134" w:type="dxa"/>
            <w:vAlign w:val="center"/>
          </w:tcPr>
          <w:p w:rsidR="006638A8" w:rsidRPr="00A97C6A" w:rsidRDefault="006638A8" w:rsidP="00177E1D">
            <w:pPr>
              <w:rPr>
                <w:szCs w:val="18"/>
              </w:rPr>
            </w:pPr>
            <w:r w:rsidRPr="00A97C6A">
              <w:rPr>
                <w:szCs w:val="18"/>
              </w:rPr>
              <w:t>2013</w:t>
            </w:r>
          </w:p>
        </w:tc>
        <w:tc>
          <w:tcPr>
            <w:tcW w:w="1134" w:type="dxa"/>
            <w:vAlign w:val="center"/>
          </w:tcPr>
          <w:p w:rsidR="006638A8" w:rsidRPr="00A97C6A" w:rsidRDefault="006638A8" w:rsidP="00177E1D">
            <w:pPr>
              <w:rPr>
                <w:szCs w:val="18"/>
              </w:rPr>
            </w:pPr>
            <w:r w:rsidRPr="00A97C6A">
              <w:rPr>
                <w:szCs w:val="18"/>
              </w:rPr>
              <w:t>2014</w:t>
            </w:r>
          </w:p>
        </w:tc>
        <w:tc>
          <w:tcPr>
            <w:tcW w:w="1134" w:type="dxa"/>
            <w:vAlign w:val="center"/>
          </w:tcPr>
          <w:p w:rsidR="006638A8" w:rsidRPr="00A97C6A" w:rsidRDefault="006638A8" w:rsidP="00177E1D">
            <w:pPr>
              <w:rPr>
                <w:szCs w:val="18"/>
              </w:rPr>
            </w:pPr>
            <w:r w:rsidRPr="00A97C6A">
              <w:rPr>
                <w:szCs w:val="18"/>
              </w:rPr>
              <w:t>2015</w:t>
            </w:r>
          </w:p>
        </w:tc>
        <w:tc>
          <w:tcPr>
            <w:tcW w:w="1054" w:type="dxa"/>
            <w:vAlign w:val="center"/>
          </w:tcPr>
          <w:p w:rsidR="006638A8" w:rsidRPr="00A97C6A" w:rsidRDefault="006638A8" w:rsidP="00177E1D">
            <w:pPr>
              <w:rPr>
                <w:szCs w:val="18"/>
              </w:rPr>
            </w:pPr>
            <w:r w:rsidRPr="00A97C6A">
              <w:rPr>
                <w:szCs w:val="18"/>
              </w:rPr>
              <w:t>2016</w:t>
            </w:r>
          </w:p>
        </w:tc>
      </w:tr>
      <w:tr w:rsidR="006638A8" w:rsidRPr="00A97C6A" w:rsidTr="00A97C6A">
        <w:trPr>
          <w:trHeight w:val="693"/>
          <w:jc w:val="center"/>
        </w:trPr>
        <w:tc>
          <w:tcPr>
            <w:tcW w:w="1843" w:type="dxa"/>
            <w:vAlign w:val="center"/>
          </w:tcPr>
          <w:p w:rsidR="006638A8" w:rsidRPr="00A97C6A" w:rsidRDefault="006638A8" w:rsidP="00177E1D">
            <w:pPr>
              <w:rPr>
                <w:szCs w:val="18"/>
              </w:rPr>
            </w:pPr>
            <w:r w:rsidRPr="00A97C6A">
              <w:rPr>
                <w:szCs w:val="18"/>
              </w:rPr>
              <w:t>Complaints about registered SW</w:t>
            </w:r>
          </w:p>
        </w:tc>
        <w:tc>
          <w:tcPr>
            <w:tcW w:w="1134" w:type="dxa"/>
            <w:vAlign w:val="center"/>
          </w:tcPr>
          <w:p w:rsidR="006638A8" w:rsidRPr="00A97C6A" w:rsidRDefault="006638A8" w:rsidP="00177E1D">
            <w:pPr>
              <w:rPr>
                <w:szCs w:val="18"/>
              </w:rPr>
            </w:pPr>
            <w:r w:rsidRPr="00A97C6A">
              <w:rPr>
                <w:szCs w:val="18"/>
              </w:rPr>
              <w:t>12</w:t>
            </w:r>
          </w:p>
        </w:tc>
        <w:tc>
          <w:tcPr>
            <w:tcW w:w="1134" w:type="dxa"/>
            <w:vAlign w:val="center"/>
          </w:tcPr>
          <w:p w:rsidR="006638A8" w:rsidRPr="00A97C6A" w:rsidRDefault="006638A8" w:rsidP="00177E1D">
            <w:pPr>
              <w:rPr>
                <w:szCs w:val="18"/>
              </w:rPr>
            </w:pPr>
            <w:r w:rsidRPr="00A97C6A">
              <w:rPr>
                <w:szCs w:val="18"/>
              </w:rPr>
              <w:t>29</w:t>
            </w:r>
          </w:p>
        </w:tc>
        <w:tc>
          <w:tcPr>
            <w:tcW w:w="1134" w:type="dxa"/>
            <w:vAlign w:val="center"/>
          </w:tcPr>
          <w:p w:rsidR="006638A8" w:rsidRPr="00A97C6A" w:rsidRDefault="006638A8" w:rsidP="00177E1D">
            <w:pPr>
              <w:rPr>
                <w:szCs w:val="18"/>
              </w:rPr>
            </w:pPr>
            <w:r w:rsidRPr="00A97C6A">
              <w:rPr>
                <w:szCs w:val="18"/>
              </w:rPr>
              <w:t>33</w:t>
            </w:r>
          </w:p>
        </w:tc>
        <w:tc>
          <w:tcPr>
            <w:tcW w:w="1134" w:type="dxa"/>
            <w:vAlign w:val="center"/>
          </w:tcPr>
          <w:p w:rsidR="006638A8" w:rsidRPr="00A97C6A" w:rsidRDefault="006638A8" w:rsidP="00177E1D">
            <w:pPr>
              <w:rPr>
                <w:szCs w:val="18"/>
              </w:rPr>
            </w:pPr>
            <w:r w:rsidRPr="00A97C6A">
              <w:rPr>
                <w:szCs w:val="18"/>
              </w:rPr>
              <w:t>36</w:t>
            </w:r>
          </w:p>
        </w:tc>
        <w:tc>
          <w:tcPr>
            <w:tcW w:w="1134" w:type="dxa"/>
            <w:vAlign w:val="center"/>
          </w:tcPr>
          <w:p w:rsidR="006638A8" w:rsidRPr="00A97C6A" w:rsidRDefault="006638A8" w:rsidP="00177E1D">
            <w:pPr>
              <w:rPr>
                <w:szCs w:val="18"/>
              </w:rPr>
            </w:pPr>
            <w:r w:rsidRPr="00A97C6A">
              <w:rPr>
                <w:szCs w:val="18"/>
              </w:rPr>
              <w:t>24</w:t>
            </w:r>
          </w:p>
        </w:tc>
        <w:tc>
          <w:tcPr>
            <w:tcW w:w="1054" w:type="dxa"/>
            <w:vAlign w:val="center"/>
          </w:tcPr>
          <w:p w:rsidR="006638A8" w:rsidRPr="00A97C6A" w:rsidRDefault="006638A8" w:rsidP="00177E1D">
            <w:pPr>
              <w:rPr>
                <w:szCs w:val="18"/>
              </w:rPr>
            </w:pPr>
            <w:r w:rsidRPr="00A97C6A">
              <w:rPr>
                <w:szCs w:val="18"/>
              </w:rPr>
              <w:t>58</w:t>
            </w:r>
          </w:p>
        </w:tc>
      </w:tr>
      <w:tr w:rsidR="006638A8" w:rsidRPr="00A97C6A" w:rsidTr="00A97C6A">
        <w:trPr>
          <w:trHeight w:val="407"/>
          <w:jc w:val="center"/>
        </w:trPr>
        <w:tc>
          <w:tcPr>
            <w:tcW w:w="1843" w:type="dxa"/>
            <w:vAlign w:val="center"/>
          </w:tcPr>
          <w:p w:rsidR="006638A8" w:rsidRPr="00A97C6A" w:rsidRDefault="006638A8" w:rsidP="00177E1D">
            <w:pPr>
              <w:rPr>
                <w:szCs w:val="18"/>
              </w:rPr>
            </w:pPr>
            <w:r w:rsidRPr="00A97C6A">
              <w:rPr>
                <w:szCs w:val="18"/>
              </w:rPr>
              <w:t>Complaints about unregistered SW</w:t>
            </w:r>
          </w:p>
        </w:tc>
        <w:tc>
          <w:tcPr>
            <w:tcW w:w="1134" w:type="dxa"/>
            <w:vAlign w:val="center"/>
          </w:tcPr>
          <w:p w:rsidR="006638A8" w:rsidRPr="00A97C6A" w:rsidRDefault="006638A8" w:rsidP="00177E1D">
            <w:pPr>
              <w:rPr>
                <w:szCs w:val="18"/>
              </w:rPr>
            </w:pPr>
            <w:r w:rsidRPr="00A97C6A">
              <w:rPr>
                <w:szCs w:val="18"/>
              </w:rPr>
              <w:t>5</w:t>
            </w:r>
          </w:p>
        </w:tc>
        <w:tc>
          <w:tcPr>
            <w:tcW w:w="1134" w:type="dxa"/>
            <w:vAlign w:val="center"/>
          </w:tcPr>
          <w:p w:rsidR="006638A8" w:rsidRPr="00A97C6A" w:rsidRDefault="006638A8" w:rsidP="00177E1D">
            <w:pPr>
              <w:rPr>
                <w:szCs w:val="18"/>
              </w:rPr>
            </w:pPr>
            <w:r w:rsidRPr="00A97C6A">
              <w:rPr>
                <w:szCs w:val="18"/>
              </w:rPr>
              <w:t>5</w:t>
            </w:r>
          </w:p>
        </w:tc>
        <w:tc>
          <w:tcPr>
            <w:tcW w:w="1134" w:type="dxa"/>
            <w:vAlign w:val="center"/>
          </w:tcPr>
          <w:p w:rsidR="006638A8" w:rsidRPr="00A97C6A" w:rsidRDefault="006638A8" w:rsidP="00177E1D">
            <w:pPr>
              <w:rPr>
                <w:szCs w:val="18"/>
              </w:rPr>
            </w:pPr>
            <w:r w:rsidRPr="00A97C6A">
              <w:rPr>
                <w:szCs w:val="18"/>
              </w:rPr>
              <w:t>23</w:t>
            </w:r>
          </w:p>
        </w:tc>
        <w:tc>
          <w:tcPr>
            <w:tcW w:w="1134" w:type="dxa"/>
            <w:vAlign w:val="center"/>
          </w:tcPr>
          <w:p w:rsidR="006638A8" w:rsidRPr="00A97C6A" w:rsidRDefault="006638A8" w:rsidP="00177E1D">
            <w:pPr>
              <w:rPr>
                <w:szCs w:val="18"/>
              </w:rPr>
            </w:pPr>
            <w:r w:rsidRPr="00A97C6A">
              <w:rPr>
                <w:szCs w:val="18"/>
              </w:rPr>
              <w:t>17</w:t>
            </w:r>
          </w:p>
        </w:tc>
        <w:tc>
          <w:tcPr>
            <w:tcW w:w="1134" w:type="dxa"/>
            <w:vAlign w:val="center"/>
          </w:tcPr>
          <w:p w:rsidR="006638A8" w:rsidRPr="00A97C6A" w:rsidRDefault="006638A8" w:rsidP="00177E1D">
            <w:pPr>
              <w:rPr>
                <w:szCs w:val="18"/>
              </w:rPr>
            </w:pPr>
            <w:r w:rsidRPr="00A97C6A">
              <w:rPr>
                <w:szCs w:val="18"/>
              </w:rPr>
              <w:t>4</w:t>
            </w:r>
          </w:p>
        </w:tc>
        <w:tc>
          <w:tcPr>
            <w:tcW w:w="1054" w:type="dxa"/>
            <w:vAlign w:val="center"/>
          </w:tcPr>
          <w:p w:rsidR="006638A8" w:rsidRPr="00A97C6A" w:rsidRDefault="006638A8" w:rsidP="00177E1D">
            <w:pPr>
              <w:rPr>
                <w:szCs w:val="18"/>
              </w:rPr>
            </w:pPr>
            <w:r w:rsidRPr="00A97C6A">
              <w:rPr>
                <w:szCs w:val="18"/>
              </w:rPr>
              <w:t>16</w:t>
            </w:r>
          </w:p>
        </w:tc>
      </w:tr>
    </w:tbl>
    <w:p w:rsidR="006638A8" w:rsidRPr="007921C8" w:rsidRDefault="006638A8" w:rsidP="00177E1D">
      <w:pPr>
        <w:spacing w:after="240" w:line="240" w:lineRule="auto"/>
        <w:rPr>
          <w:rFonts w:eastAsia="Times New Roman" w:cs="Times New Roman"/>
          <w:szCs w:val="20"/>
          <w:lang w:val="en-GB" w:eastAsia="en-GB"/>
        </w:rPr>
      </w:pPr>
    </w:p>
    <w:p w:rsidR="006638A8" w:rsidRDefault="006638A8"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There are a range of o</w:t>
      </w:r>
      <w:r w:rsidRPr="00CD205C">
        <w:rPr>
          <w:rFonts w:eastAsia="Times New Roman" w:cs="Times New Roman"/>
          <w:szCs w:val="20"/>
          <w:lang w:val="en-GB" w:eastAsia="en-GB"/>
        </w:rPr>
        <w:t xml:space="preserve">ther bodies which </w:t>
      </w:r>
      <w:r>
        <w:rPr>
          <w:rFonts w:eastAsia="Times New Roman" w:cs="Times New Roman"/>
          <w:szCs w:val="20"/>
          <w:lang w:val="en-GB" w:eastAsia="en-GB"/>
        </w:rPr>
        <w:t>receive c</w:t>
      </w:r>
      <w:r w:rsidRPr="00CD205C">
        <w:rPr>
          <w:rFonts w:eastAsia="Times New Roman" w:cs="Times New Roman"/>
          <w:szCs w:val="20"/>
          <w:lang w:val="en-GB" w:eastAsia="en-GB"/>
        </w:rPr>
        <w:t>omplaints about</w:t>
      </w:r>
      <w:r>
        <w:rPr>
          <w:rFonts w:eastAsia="Times New Roman" w:cs="Times New Roman"/>
          <w:szCs w:val="20"/>
          <w:lang w:val="en-GB" w:eastAsia="en-GB"/>
        </w:rPr>
        <w:t xml:space="preserve"> social workers: </w:t>
      </w:r>
      <w:proofErr w:type="spellStart"/>
      <w:r w:rsidR="001913C7" w:rsidRPr="00177E1D">
        <w:t>Aotearoa</w:t>
      </w:r>
      <w:proofErr w:type="spellEnd"/>
      <w:r w:rsidR="001913C7" w:rsidRPr="00177E1D">
        <w:t xml:space="preserve"> New Zealand Association of Social Workers (ANZASW)</w:t>
      </w:r>
      <w:r w:rsidR="001913C7">
        <w:rPr>
          <w:rFonts w:eastAsia="Times New Roman"/>
          <w:szCs w:val="20"/>
          <w:lang w:val="en-GB" w:eastAsia="en-GB"/>
        </w:rPr>
        <w:t>,</w:t>
      </w:r>
      <w:r>
        <w:rPr>
          <w:rFonts w:eastAsia="Times New Roman" w:cs="Times New Roman"/>
          <w:szCs w:val="20"/>
          <w:lang w:val="en-GB" w:eastAsia="en-GB"/>
        </w:rPr>
        <w:t xml:space="preserve"> </w:t>
      </w:r>
      <w:r w:rsidRPr="00CD205C">
        <w:rPr>
          <w:rFonts w:eastAsia="Times New Roman" w:cs="Times New Roman"/>
          <w:szCs w:val="20"/>
          <w:lang w:val="en-GB" w:eastAsia="en-GB"/>
        </w:rPr>
        <w:t xml:space="preserve">the </w:t>
      </w:r>
      <w:r w:rsidR="00D97D37">
        <w:rPr>
          <w:rFonts w:eastAsia="Times New Roman" w:cs="Times New Roman"/>
          <w:szCs w:val="20"/>
          <w:lang w:val="en-GB" w:eastAsia="en-GB"/>
        </w:rPr>
        <w:t>Health and Disability Commission</w:t>
      </w:r>
      <w:r w:rsidR="002F638D">
        <w:rPr>
          <w:rFonts w:eastAsia="Times New Roman" w:cs="Times New Roman"/>
          <w:szCs w:val="20"/>
          <w:lang w:val="en-GB" w:eastAsia="en-GB"/>
        </w:rPr>
        <w:t>er</w:t>
      </w:r>
      <w:r w:rsidR="00D97D37">
        <w:rPr>
          <w:rFonts w:eastAsia="Times New Roman" w:cs="Times New Roman"/>
          <w:szCs w:val="20"/>
          <w:lang w:val="en-GB" w:eastAsia="en-GB"/>
        </w:rPr>
        <w:t xml:space="preserve"> (</w:t>
      </w:r>
      <w:r>
        <w:rPr>
          <w:rFonts w:eastAsia="Times New Roman" w:cs="Times New Roman"/>
          <w:szCs w:val="20"/>
          <w:lang w:val="en-GB" w:eastAsia="en-GB"/>
        </w:rPr>
        <w:t>HDC</w:t>
      </w:r>
      <w:r w:rsidR="00D97D37">
        <w:rPr>
          <w:rFonts w:eastAsia="Times New Roman" w:cs="Times New Roman"/>
          <w:szCs w:val="20"/>
          <w:lang w:val="en-GB" w:eastAsia="en-GB"/>
        </w:rPr>
        <w:t>)</w:t>
      </w:r>
      <w:r w:rsidRPr="00CD205C">
        <w:rPr>
          <w:rFonts w:eastAsia="Times New Roman" w:cs="Times New Roman"/>
          <w:szCs w:val="20"/>
          <w:lang w:val="en-GB" w:eastAsia="en-GB"/>
        </w:rPr>
        <w:t xml:space="preserve">, the Children's Commissioner, </w:t>
      </w:r>
      <w:r>
        <w:rPr>
          <w:rFonts w:eastAsia="Times New Roman" w:cs="Times New Roman"/>
          <w:szCs w:val="20"/>
          <w:lang w:val="en-GB" w:eastAsia="en-GB"/>
        </w:rPr>
        <w:t xml:space="preserve">and </w:t>
      </w:r>
      <w:r w:rsidRPr="00CD205C">
        <w:rPr>
          <w:rFonts w:eastAsia="Times New Roman" w:cs="Times New Roman"/>
          <w:szCs w:val="20"/>
          <w:lang w:val="en-GB" w:eastAsia="en-GB"/>
        </w:rPr>
        <w:t>social workers</w:t>
      </w:r>
      <w:r>
        <w:rPr>
          <w:rFonts w:eastAsia="Times New Roman" w:cs="Times New Roman"/>
          <w:szCs w:val="20"/>
          <w:lang w:val="en-GB" w:eastAsia="en-GB"/>
        </w:rPr>
        <w:t>’</w:t>
      </w:r>
      <w:r w:rsidRPr="00CD205C">
        <w:rPr>
          <w:rFonts w:eastAsia="Times New Roman" w:cs="Times New Roman"/>
          <w:szCs w:val="20"/>
          <w:lang w:val="en-GB" w:eastAsia="en-GB"/>
        </w:rPr>
        <w:t xml:space="preserve"> </w:t>
      </w:r>
      <w:r w:rsidRPr="00CD205C">
        <w:rPr>
          <w:rFonts w:eastAsia="Times New Roman" w:cs="Times New Roman"/>
          <w:szCs w:val="20"/>
          <w:lang w:val="en-GB" w:eastAsia="en-GB"/>
        </w:rPr>
        <w:lastRenderedPageBreak/>
        <w:t>employer</w:t>
      </w:r>
      <w:r>
        <w:rPr>
          <w:rFonts w:eastAsia="Times New Roman" w:cs="Times New Roman"/>
          <w:szCs w:val="20"/>
          <w:lang w:val="en-GB" w:eastAsia="en-GB"/>
        </w:rPr>
        <w:t>s</w:t>
      </w:r>
      <w:r w:rsidRPr="00CD205C">
        <w:rPr>
          <w:rFonts w:eastAsia="Times New Roman" w:cs="Times New Roman"/>
          <w:szCs w:val="20"/>
          <w:lang w:val="en-GB" w:eastAsia="en-GB"/>
        </w:rPr>
        <w:t xml:space="preserve"> </w:t>
      </w:r>
      <w:r>
        <w:rPr>
          <w:rFonts w:eastAsia="Times New Roman" w:cs="Times New Roman"/>
          <w:szCs w:val="20"/>
          <w:lang w:val="en-GB" w:eastAsia="en-GB"/>
        </w:rPr>
        <w:t>including</w:t>
      </w:r>
      <w:r w:rsidRPr="00CD205C">
        <w:rPr>
          <w:rFonts w:eastAsia="Times New Roman" w:cs="Times New Roman"/>
          <w:szCs w:val="20"/>
          <w:lang w:val="en-GB" w:eastAsia="en-GB"/>
        </w:rPr>
        <w:t xml:space="preserve"> Child, Youth and Family</w:t>
      </w:r>
      <w:r w:rsidR="00516758">
        <w:rPr>
          <w:rFonts w:eastAsia="Times New Roman" w:cs="Times New Roman"/>
          <w:szCs w:val="20"/>
          <w:lang w:val="en-GB" w:eastAsia="en-GB"/>
        </w:rPr>
        <w:t xml:space="preserve"> (</w:t>
      </w:r>
      <w:r w:rsidR="00C03D83">
        <w:rPr>
          <w:rFonts w:eastAsia="Times New Roman" w:cs="Times New Roman"/>
          <w:szCs w:val="20"/>
          <w:lang w:val="en-GB" w:eastAsia="en-GB"/>
        </w:rPr>
        <w:t>now MVCOT</w:t>
      </w:r>
      <w:r w:rsidR="00516758">
        <w:rPr>
          <w:rFonts w:eastAsia="Times New Roman" w:cs="Times New Roman"/>
          <w:szCs w:val="20"/>
          <w:lang w:val="en-GB" w:eastAsia="en-GB"/>
        </w:rPr>
        <w:t>)</w:t>
      </w:r>
      <w:r w:rsidRPr="00CD205C">
        <w:rPr>
          <w:rFonts w:eastAsia="Times New Roman" w:cs="Times New Roman"/>
          <w:szCs w:val="20"/>
          <w:lang w:val="en-GB" w:eastAsia="en-GB"/>
        </w:rPr>
        <w:t>, District Health Board</w:t>
      </w:r>
      <w:r>
        <w:rPr>
          <w:rFonts w:eastAsia="Times New Roman" w:cs="Times New Roman"/>
          <w:szCs w:val="20"/>
          <w:lang w:val="en-GB" w:eastAsia="en-GB"/>
        </w:rPr>
        <w:t>s, and a significant number of NGOs.</w:t>
      </w:r>
    </w:p>
    <w:p w:rsidR="006638A8" w:rsidRPr="00533196" w:rsidRDefault="000473EF"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The </w:t>
      </w:r>
      <w:r w:rsidR="006638A8" w:rsidRPr="00533196">
        <w:rPr>
          <w:rFonts w:eastAsia="Times New Roman" w:cs="Times New Roman"/>
          <w:szCs w:val="20"/>
          <w:lang w:val="en-GB" w:eastAsia="en-GB"/>
        </w:rPr>
        <w:t xml:space="preserve">HDC (which has jurisdiction where the complainant is receiving a health </w:t>
      </w:r>
      <w:r w:rsidR="00CB2AAB">
        <w:rPr>
          <w:rFonts w:eastAsia="Times New Roman" w:cs="Times New Roman"/>
          <w:szCs w:val="20"/>
          <w:lang w:val="en-GB" w:eastAsia="en-GB"/>
        </w:rPr>
        <w:t>or disability</w:t>
      </w:r>
      <w:r w:rsidR="006638A8" w:rsidRPr="00533196">
        <w:rPr>
          <w:rFonts w:eastAsia="Times New Roman" w:cs="Times New Roman"/>
          <w:szCs w:val="20"/>
          <w:lang w:val="en-GB" w:eastAsia="en-GB"/>
        </w:rPr>
        <w:t xml:space="preserve"> service) has dealt with complaints about 35 different social workers between 2012 and 2016.  The ANZASW investigates formal complaints about </w:t>
      </w:r>
      <w:r>
        <w:rPr>
          <w:rFonts w:eastAsia="Times New Roman" w:cs="Times New Roman"/>
          <w:szCs w:val="20"/>
          <w:lang w:val="en-GB" w:eastAsia="en-GB"/>
        </w:rPr>
        <w:t xml:space="preserve">its members </w:t>
      </w:r>
      <w:r w:rsidR="006638A8" w:rsidRPr="00533196">
        <w:rPr>
          <w:rFonts w:eastAsia="Times New Roman" w:cs="Times New Roman"/>
          <w:szCs w:val="20"/>
          <w:lang w:val="en-GB" w:eastAsia="en-GB"/>
        </w:rPr>
        <w:t>who</w:t>
      </w:r>
      <w:r w:rsidR="00CB2909">
        <w:rPr>
          <w:rFonts w:eastAsia="Times New Roman" w:cs="Times New Roman"/>
          <w:szCs w:val="20"/>
          <w:lang w:val="en-GB" w:eastAsia="en-GB"/>
        </w:rPr>
        <w:t xml:space="preserve"> are not registered (they refer</w:t>
      </w:r>
      <w:r w:rsidR="006638A8" w:rsidRPr="00533196">
        <w:rPr>
          <w:rFonts w:eastAsia="Times New Roman" w:cs="Times New Roman"/>
          <w:szCs w:val="20"/>
          <w:lang w:val="en-GB" w:eastAsia="en-GB"/>
        </w:rPr>
        <w:t xml:space="preserve"> complaints about registered social workers to the Board). </w:t>
      </w:r>
      <w:r w:rsidR="006638A8">
        <w:rPr>
          <w:rFonts w:eastAsia="Times New Roman" w:cs="Times New Roman"/>
          <w:szCs w:val="20"/>
          <w:lang w:val="en-GB" w:eastAsia="en-GB"/>
        </w:rPr>
        <w:t xml:space="preserve"> </w:t>
      </w:r>
      <w:r w:rsidR="006638A8" w:rsidRPr="00533196">
        <w:rPr>
          <w:rFonts w:eastAsia="Times New Roman" w:cs="Times New Roman"/>
          <w:szCs w:val="20"/>
          <w:lang w:val="en-GB" w:eastAsia="en-GB"/>
        </w:rPr>
        <w:t xml:space="preserve">Since 2009 there have been 12 such complaints that have been upheld. </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2B6D20">
        <w:rPr>
          <w:rFonts w:eastAsia="Times New Roman"/>
          <w:szCs w:val="20"/>
          <w:lang w:val="en-GB" w:eastAsia="en-GB"/>
        </w:rPr>
        <w:t>Unregistered social workers who are not subject to the HDC may only be disciplined via employment law, which is a crude instrument for these purposes and may not stop them working elsewhere</w:t>
      </w:r>
      <w:r>
        <w:rPr>
          <w:rFonts w:eastAsia="Times New Roman"/>
          <w:szCs w:val="20"/>
          <w:lang w:val="en-GB" w:eastAsia="en-GB"/>
        </w:rPr>
        <w:t>.  Small employers especially may not be in a position to adequately discipline staff.  W</w:t>
      </w:r>
      <w:r w:rsidRPr="002B6D20">
        <w:rPr>
          <w:rFonts w:eastAsia="Times New Roman"/>
          <w:szCs w:val="20"/>
          <w:lang w:val="en-GB" w:eastAsia="en-GB"/>
        </w:rPr>
        <w:t xml:space="preserve">hile </w:t>
      </w:r>
      <w:r w:rsidR="000B5EC5">
        <w:rPr>
          <w:rFonts w:eastAsia="Times New Roman"/>
          <w:szCs w:val="20"/>
          <w:lang w:val="en-GB" w:eastAsia="en-GB"/>
        </w:rPr>
        <w:t>misconduct</w:t>
      </w:r>
      <w:r w:rsidRPr="002B6D20">
        <w:rPr>
          <w:rFonts w:eastAsia="Times New Roman"/>
          <w:szCs w:val="20"/>
          <w:lang w:val="en-GB" w:eastAsia="en-GB"/>
        </w:rPr>
        <w:t xml:space="preserve"> or poor performance of a social worker may be dealt with by their employer, some of these situations may be so serious that there is a wider public interest in the person not being allowed to practice elsewhere, and this is not able to be reliably enforced under a voluntary registration system.</w:t>
      </w:r>
    </w:p>
    <w:p w:rsidR="006638A8" w:rsidRPr="002B6D20"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Police can bring criminal charges</w:t>
      </w:r>
      <w:r w:rsidRPr="002B6D20">
        <w:rPr>
          <w:rFonts w:eastAsia="Times New Roman"/>
          <w:szCs w:val="20"/>
          <w:lang w:val="en-GB" w:eastAsia="en-GB"/>
        </w:rPr>
        <w:t xml:space="preserve"> if the nature of the misconduct is a criminal offence.  However even a criminal conviction may not prevent someone recommencing social work practice if their new employer does not undertake police checks or decides to disregard the offence.</w:t>
      </w:r>
    </w:p>
    <w:p w:rsidR="006638A8"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In practice, it is possible for a non-registered social worker with serious complaints lodged against them to continue to practice if they change employment and do not disclose that complaints have been raised.  </w:t>
      </w:r>
      <w:r w:rsidRPr="002B6D20">
        <w:rPr>
          <w:rFonts w:eastAsia="Times New Roman"/>
          <w:szCs w:val="20"/>
          <w:lang w:val="en-GB" w:eastAsia="en-GB"/>
        </w:rPr>
        <w:t xml:space="preserve">Significant concerns continue as to the safety of clients from inadequate or dangerous social work practice, and the voluntary regime can do little address this.  Requiring all social workers to be registered </w:t>
      </w:r>
      <w:r>
        <w:rPr>
          <w:rFonts w:eastAsia="Times New Roman"/>
          <w:szCs w:val="20"/>
          <w:lang w:val="en-GB" w:eastAsia="en-GB"/>
        </w:rPr>
        <w:t xml:space="preserve">would </w:t>
      </w:r>
      <w:r w:rsidRPr="002B6D20">
        <w:rPr>
          <w:rFonts w:eastAsia="Times New Roman"/>
          <w:szCs w:val="20"/>
          <w:lang w:val="en-GB" w:eastAsia="en-GB"/>
        </w:rPr>
        <w:t xml:space="preserve">provide a </w:t>
      </w:r>
      <w:r>
        <w:rPr>
          <w:rFonts w:eastAsia="Times New Roman"/>
          <w:szCs w:val="20"/>
          <w:lang w:val="en-GB" w:eastAsia="en-GB"/>
        </w:rPr>
        <w:t xml:space="preserve">comprehensive </w:t>
      </w:r>
      <w:r w:rsidRPr="002B6D20">
        <w:rPr>
          <w:rFonts w:eastAsia="Times New Roman"/>
          <w:szCs w:val="20"/>
          <w:lang w:val="en-GB" w:eastAsia="en-GB"/>
        </w:rPr>
        <w:t xml:space="preserve">mechanism for employers to check the </w:t>
      </w:r>
      <w:r w:rsidR="00CB2AAB">
        <w:rPr>
          <w:rFonts w:eastAsia="Times New Roman"/>
          <w:szCs w:val="20"/>
          <w:lang w:val="en-GB" w:eastAsia="en-GB"/>
        </w:rPr>
        <w:t xml:space="preserve">registration </w:t>
      </w:r>
      <w:r w:rsidRPr="002B6D20">
        <w:rPr>
          <w:rFonts w:eastAsia="Times New Roman"/>
          <w:szCs w:val="20"/>
          <w:lang w:val="en-GB" w:eastAsia="en-GB"/>
        </w:rPr>
        <w:t>status of any potential new employee.</w:t>
      </w:r>
    </w:p>
    <w:p w:rsidR="006638A8" w:rsidRPr="004C30BB"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Even sanction</w:t>
      </w:r>
      <w:r w:rsidR="00652262">
        <w:rPr>
          <w:rFonts w:eastAsia="Times New Roman"/>
          <w:szCs w:val="20"/>
          <w:lang w:val="en-GB" w:eastAsia="en-GB"/>
        </w:rPr>
        <w:t>s</w:t>
      </w:r>
      <w:r>
        <w:rPr>
          <w:rFonts w:eastAsia="Times New Roman"/>
          <w:szCs w:val="20"/>
          <w:lang w:val="en-GB" w:eastAsia="en-GB"/>
        </w:rPr>
        <w:t xml:space="preserve"> against registered social workers </w:t>
      </w:r>
      <w:r w:rsidRPr="002B6D20">
        <w:rPr>
          <w:rFonts w:eastAsia="Times New Roman"/>
          <w:szCs w:val="20"/>
          <w:lang w:val="en-GB" w:eastAsia="en-GB"/>
        </w:rPr>
        <w:t xml:space="preserve">do not </w:t>
      </w:r>
      <w:r>
        <w:rPr>
          <w:rFonts w:eastAsia="Times New Roman"/>
          <w:szCs w:val="20"/>
          <w:lang w:val="en-GB" w:eastAsia="en-GB"/>
        </w:rPr>
        <w:t xml:space="preserve">necessarily </w:t>
      </w:r>
      <w:r w:rsidRPr="002B6D20">
        <w:rPr>
          <w:rFonts w:eastAsia="Times New Roman"/>
          <w:szCs w:val="20"/>
          <w:lang w:val="en-GB" w:eastAsia="en-GB"/>
        </w:rPr>
        <w:t xml:space="preserve">have the impact they should because they cannot be reliably enforced, since deregistration may have little impact on someone’s career under the voluntary system.  </w:t>
      </w:r>
      <w:r w:rsidR="00652262">
        <w:rPr>
          <w:rFonts w:eastAsia="Times New Roman"/>
          <w:szCs w:val="20"/>
          <w:lang w:val="en-GB" w:eastAsia="en-GB"/>
        </w:rPr>
        <w:t>T</w:t>
      </w:r>
      <w:r>
        <w:rPr>
          <w:rFonts w:eastAsia="Times New Roman"/>
          <w:szCs w:val="20"/>
          <w:lang w:val="en-GB" w:eastAsia="en-GB"/>
        </w:rPr>
        <w:t xml:space="preserve">he possibility of facing disciplinary or </w:t>
      </w:r>
      <w:r w:rsidRPr="002B6D20">
        <w:rPr>
          <w:rFonts w:eastAsia="Times New Roman"/>
          <w:szCs w:val="20"/>
          <w:lang w:val="en-GB" w:eastAsia="en-GB"/>
        </w:rPr>
        <w:t>accountability systems</w:t>
      </w:r>
      <w:r w:rsidR="00652262">
        <w:rPr>
          <w:rFonts w:eastAsia="Times New Roman"/>
          <w:szCs w:val="20"/>
          <w:lang w:val="en-GB" w:eastAsia="en-GB"/>
        </w:rPr>
        <w:t xml:space="preserve"> currently</w:t>
      </w:r>
      <w:r w:rsidRPr="002B6D20">
        <w:rPr>
          <w:rFonts w:eastAsia="Times New Roman"/>
          <w:szCs w:val="20"/>
          <w:lang w:val="en-GB" w:eastAsia="en-GB"/>
        </w:rPr>
        <w:t xml:space="preserve"> provide</w:t>
      </w:r>
      <w:r>
        <w:rPr>
          <w:rFonts w:eastAsia="Times New Roman"/>
          <w:szCs w:val="20"/>
          <w:lang w:val="en-GB" w:eastAsia="en-GB"/>
        </w:rPr>
        <w:t>s</w:t>
      </w:r>
      <w:r w:rsidRPr="002B6D20">
        <w:rPr>
          <w:rFonts w:eastAsia="Times New Roman"/>
          <w:szCs w:val="20"/>
          <w:lang w:val="en-GB" w:eastAsia="en-GB"/>
        </w:rPr>
        <w:t xml:space="preserve"> an incentive not to register in the first place.</w:t>
      </w:r>
    </w:p>
    <w:p w:rsidR="006638A8" w:rsidRDefault="006638A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Two other concerns arise from the current system:</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proofErr w:type="gramStart"/>
      <w:r w:rsidRPr="00791494">
        <w:rPr>
          <w:rFonts w:eastAsia="Times New Roman" w:cs="Times New Roman"/>
          <w:szCs w:val="20"/>
          <w:lang w:val="en-GB" w:eastAsia="en-GB"/>
        </w:rPr>
        <w:t>an</w:t>
      </w:r>
      <w:proofErr w:type="gramEnd"/>
      <w:r w:rsidRPr="00791494">
        <w:rPr>
          <w:rFonts w:eastAsia="Times New Roman" w:cs="Times New Roman"/>
          <w:szCs w:val="20"/>
          <w:lang w:val="en-GB" w:eastAsia="en-GB"/>
        </w:rPr>
        <w:t xml:space="preserve"> equity and efficiency concern in that the cost of registration is higher than it should be because </w:t>
      </w:r>
      <w:r w:rsidRPr="004B74CF">
        <w:rPr>
          <w:rFonts w:eastAsia="Times New Roman" w:cs="Times New Roman"/>
          <w:szCs w:val="20"/>
          <w:lang w:val="en-GB" w:eastAsia="en-GB"/>
        </w:rPr>
        <w:t>up to 2</w:t>
      </w:r>
      <w:r w:rsidR="004B74CF" w:rsidRPr="004B74CF">
        <w:rPr>
          <w:rFonts w:eastAsia="Times New Roman" w:cs="Times New Roman"/>
          <w:szCs w:val="20"/>
          <w:lang w:val="en-GB" w:eastAsia="en-GB"/>
        </w:rPr>
        <w:t>5</w:t>
      </w:r>
      <w:r w:rsidRPr="004B74CF">
        <w:rPr>
          <w:rFonts w:eastAsia="Times New Roman" w:cs="Times New Roman"/>
          <w:szCs w:val="20"/>
          <w:lang w:val="en-GB" w:eastAsia="en-GB"/>
        </w:rPr>
        <w:t>% of the workforce are not registered.  This</w:t>
      </w:r>
      <w:r w:rsidRPr="00791494">
        <w:rPr>
          <w:rFonts w:eastAsia="Times New Roman" w:cs="Times New Roman"/>
          <w:szCs w:val="20"/>
          <w:lang w:val="en-GB" w:eastAsia="en-GB"/>
        </w:rPr>
        <w:t xml:space="preserve"> allows “free riding” by employers and social workers who take advantage of the Board’s work by using the concept of “</w:t>
      </w:r>
      <w:proofErr w:type="spellStart"/>
      <w:r w:rsidR="005E562D">
        <w:rPr>
          <w:rFonts w:eastAsia="Times New Roman" w:cs="Times New Roman"/>
          <w:szCs w:val="20"/>
          <w:lang w:val="en-GB" w:eastAsia="en-GB"/>
        </w:rPr>
        <w:t>registrable</w:t>
      </w:r>
      <w:proofErr w:type="spellEnd"/>
      <w:r w:rsidRPr="00791494">
        <w:rPr>
          <w:rFonts w:eastAsia="Times New Roman" w:cs="Times New Roman"/>
          <w:szCs w:val="20"/>
          <w:lang w:val="en-GB" w:eastAsia="en-GB"/>
        </w:rPr>
        <w:t>”</w:t>
      </w:r>
      <w:r w:rsidR="00652262">
        <w:rPr>
          <w:rFonts w:eastAsia="Times New Roman" w:cs="Times New Roman"/>
          <w:szCs w:val="20"/>
          <w:lang w:val="en-GB" w:eastAsia="en-GB"/>
        </w:rPr>
        <w:t xml:space="preserve"> (</w:t>
      </w:r>
      <w:proofErr w:type="spellStart"/>
      <w:r w:rsidR="00340B40">
        <w:rPr>
          <w:rFonts w:eastAsia="Times New Roman" w:cs="Times New Roman"/>
          <w:szCs w:val="20"/>
          <w:lang w:val="en-GB" w:eastAsia="en-GB"/>
        </w:rPr>
        <w:t>ie</w:t>
      </w:r>
      <w:proofErr w:type="spellEnd"/>
      <w:r w:rsidR="00652262">
        <w:rPr>
          <w:rFonts w:eastAsia="Times New Roman" w:cs="Times New Roman"/>
          <w:szCs w:val="20"/>
          <w:lang w:val="en-GB" w:eastAsia="en-GB"/>
        </w:rPr>
        <w:t xml:space="preserve"> could register but choose not to)</w:t>
      </w:r>
      <w:r w:rsidRPr="00791494">
        <w:rPr>
          <w:rFonts w:eastAsia="Times New Roman" w:cs="Times New Roman"/>
          <w:szCs w:val="20"/>
          <w:lang w:val="en-GB" w:eastAsia="en-GB"/>
        </w:rPr>
        <w:t xml:space="preserve"> to provide assurance of a certain level of quality practice, but do not </w:t>
      </w:r>
      <w:r w:rsidR="00C03D83">
        <w:rPr>
          <w:rFonts w:eastAsia="Times New Roman" w:cs="Times New Roman"/>
          <w:szCs w:val="20"/>
          <w:lang w:val="en-GB" w:eastAsia="en-GB"/>
        </w:rPr>
        <w:t xml:space="preserve">contribute to the cost.  </w:t>
      </w:r>
      <w:r w:rsidR="003E3527" w:rsidRPr="00791494">
        <w:rPr>
          <w:rFonts w:eastAsia="Times New Roman" w:cs="Times New Roman"/>
          <w:szCs w:val="20"/>
          <w:lang w:val="en-GB" w:eastAsia="en-GB"/>
        </w:rPr>
        <w:t xml:space="preserve">The Board is self-funding, and receives no </w:t>
      </w:r>
      <w:r w:rsidR="00C03D83">
        <w:rPr>
          <w:rFonts w:eastAsia="Times New Roman" w:cs="Times New Roman"/>
          <w:szCs w:val="20"/>
          <w:lang w:val="en-GB" w:eastAsia="en-GB"/>
        </w:rPr>
        <w:t>direct support from government.</w:t>
      </w:r>
      <w:r w:rsidRPr="00791494">
        <w:rPr>
          <w:rFonts w:eastAsia="Times New Roman" w:cs="Times New Roman"/>
          <w:szCs w:val="20"/>
          <w:lang w:val="en-GB" w:eastAsia="en-GB"/>
        </w:rPr>
        <w:t xml:space="preserve">  </w:t>
      </w:r>
    </w:p>
    <w:p w:rsidR="006638A8" w:rsidRPr="00791494" w:rsidRDefault="00C03D83" w:rsidP="005B5FC6">
      <w:pPr>
        <w:numPr>
          <w:ilvl w:val="1"/>
          <w:numId w:val="17"/>
        </w:numPr>
        <w:spacing w:before="120" w:line="240" w:lineRule="auto"/>
        <w:ind w:left="1134" w:hanging="425"/>
        <w:rPr>
          <w:rFonts w:eastAsia="Times New Roman" w:cs="Times New Roman"/>
          <w:szCs w:val="20"/>
          <w:lang w:val="en-GB" w:eastAsia="en-GB"/>
        </w:rPr>
      </w:pPr>
      <w:proofErr w:type="gramStart"/>
      <w:r>
        <w:rPr>
          <w:rFonts w:eastAsia="Times New Roman" w:cs="Times New Roman"/>
          <w:szCs w:val="20"/>
          <w:lang w:val="en-GB" w:eastAsia="en-GB"/>
        </w:rPr>
        <w:t>g</w:t>
      </w:r>
      <w:r w:rsidR="006638A8" w:rsidRPr="00791494">
        <w:rPr>
          <w:rFonts w:eastAsia="Times New Roman" w:cs="Times New Roman"/>
          <w:szCs w:val="20"/>
          <w:lang w:val="en-GB" w:eastAsia="en-GB"/>
        </w:rPr>
        <w:t>iven</w:t>
      </w:r>
      <w:proofErr w:type="gramEnd"/>
      <w:r w:rsidR="006638A8" w:rsidRPr="00791494">
        <w:rPr>
          <w:rFonts w:eastAsia="Times New Roman" w:cs="Times New Roman"/>
          <w:szCs w:val="20"/>
          <w:lang w:val="en-GB" w:eastAsia="en-GB"/>
        </w:rPr>
        <w:t xml:space="preserve"> the high proportion of social workers who are registered, clients and the public may wrongly assume that all social workers are</w:t>
      </w:r>
      <w:r w:rsidR="00A5636E">
        <w:rPr>
          <w:rFonts w:eastAsia="Times New Roman" w:cs="Times New Roman"/>
          <w:szCs w:val="20"/>
          <w:lang w:val="en-GB" w:eastAsia="en-GB"/>
        </w:rPr>
        <w:t xml:space="preserve"> and</w:t>
      </w:r>
      <w:r w:rsidR="00A5636E" w:rsidRPr="00A5636E">
        <w:rPr>
          <w:rFonts w:eastAsia="Times New Roman" w:cs="Times New Roman"/>
          <w:szCs w:val="20"/>
          <w:lang w:val="en-GB" w:eastAsia="en-GB"/>
        </w:rPr>
        <w:t xml:space="preserve"> </w:t>
      </w:r>
      <w:r w:rsidR="00A5636E">
        <w:rPr>
          <w:rFonts w:eastAsia="Times New Roman" w:cs="Times New Roman"/>
          <w:szCs w:val="20"/>
          <w:lang w:val="en-GB" w:eastAsia="en-GB"/>
        </w:rPr>
        <w:t>unfairly discredit</w:t>
      </w:r>
      <w:r w:rsidR="000B1E7C" w:rsidRPr="00791494">
        <w:rPr>
          <w:rFonts w:eastAsia="Times New Roman" w:cs="Times New Roman"/>
          <w:szCs w:val="20"/>
          <w:lang w:val="en-GB" w:eastAsia="en-GB"/>
        </w:rPr>
        <w:t xml:space="preserve"> the </w:t>
      </w:r>
      <w:r w:rsidR="00A5636E">
        <w:rPr>
          <w:rFonts w:eastAsia="Times New Roman" w:cs="Times New Roman"/>
          <w:szCs w:val="20"/>
          <w:lang w:val="en-GB" w:eastAsia="en-GB"/>
        </w:rPr>
        <w:t>value</w:t>
      </w:r>
      <w:r w:rsidR="00650DE0" w:rsidRPr="00791494">
        <w:rPr>
          <w:rFonts w:eastAsia="Times New Roman" w:cs="Times New Roman"/>
          <w:szCs w:val="20"/>
          <w:lang w:val="en-GB" w:eastAsia="en-GB"/>
        </w:rPr>
        <w:t xml:space="preserve"> </w:t>
      </w:r>
      <w:r w:rsidR="000B1E7C" w:rsidRPr="00791494">
        <w:rPr>
          <w:rFonts w:eastAsia="Times New Roman" w:cs="Times New Roman"/>
          <w:szCs w:val="20"/>
          <w:lang w:val="en-GB" w:eastAsia="en-GB"/>
        </w:rPr>
        <w:t>of the</w:t>
      </w:r>
      <w:r w:rsidR="00650DE0">
        <w:rPr>
          <w:rFonts w:eastAsia="Times New Roman" w:cs="Times New Roman"/>
          <w:szCs w:val="20"/>
          <w:lang w:val="en-GB" w:eastAsia="en-GB"/>
        </w:rPr>
        <w:t xml:space="preserve"> </w:t>
      </w:r>
      <w:r w:rsidR="000B1E7C" w:rsidRPr="00791494">
        <w:rPr>
          <w:rFonts w:eastAsia="Times New Roman" w:cs="Times New Roman"/>
          <w:szCs w:val="20"/>
          <w:lang w:val="en-GB" w:eastAsia="en-GB"/>
        </w:rPr>
        <w:t>registration system</w:t>
      </w:r>
      <w:r w:rsidR="00A5636E">
        <w:rPr>
          <w:rFonts w:eastAsia="Times New Roman" w:cs="Times New Roman"/>
          <w:szCs w:val="20"/>
          <w:lang w:val="en-GB" w:eastAsia="en-GB"/>
        </w:rPr>
        <w:t xml:space="preserve"> on the basis of the behaviour of unregistered social workers</w:t>
      </w:r>
      <w:r w:rsidR="006638A8" w:rsidRPr="00791494">
        <w:rPr>
          <w:rFonts w:eastAsia="Times New Roman" w:cs="Times New Roman"/>
          <w:szCs w:val="20"/>
          <w:lang w:val="en-GB" w:eastAsia="en-GB"/>
        </w:rPr>
        <w:t>.</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715C5E">
        <w:rPr>
          <w:rFonts w:eastAsia="Times New Roman"/>
          <w:szCs w:val="20"/>
          <w:lang w:val="en-GB" w:eastAsia="en-GB"/>
        </w:rPr>
        <w:t xml:space="preserve">The voluntary approach began the transition to a more professional workforce but nearly 14 years later it is time to move to a stronger footing.  A voluntary system is no longer adequate to ensure the level of professionalism now needed in the social work sector.  </w:t>
      </w:r>
      <w:r w:rsidRPr="002B6D20">
        <w:rPr>
          <w:rFonts w:eastAsia="Times New Roman"/>
          <w:szCs w:val="20"/>
          <w:lang w:val="en-GB" w:eastAsia="en-GB"/>
        </w:rPr>
        <w:t xml:space="preserve">Bringing the remaining practicing social workers into the regime, along with all new entrants, will ensure that the regime is better able to provide assurance to employers and clients, as well as promoting a positive professional </w:t>
      </w:r>
      <w:r w:rsidRPr="002B6D20">
        <w:rPr>
          <w:rFonts w:eastAsia="Times New Roman"/>
          <w:szCs w:val="20"/>
          <w:lang w:val="en-GB" w:eastAsia="en-GB"/>
        </w:rPr>
        <w:lastRenderedPageBreak/>
        <w:t xml:space="preserve">identity to support high quality social work practice.  </w:t>
      </w:r>
      <w:r w:rsidRPr="00715C5E">
        <w:rPr>
          <w:rFonts w:eastAsia="Times New Roman"/>
          <w:szCs w:val="20"/>
          <w:lang w:val="en-GB" w:eastAsia="en-GB"/>
        </w:rPr>
        <w:t>As noted previously, having a competent, effective social work workforce is also a core component of the Government’s social investment approach.</w:t>
      </w:r>
    </w:p>
    <w:p w:rsidR="00D76064" w:rsidRPr="00CF1C3E" w:rsidRDefault="00D76064" w:rsidP="00D76064">
      <w:pPr>
        <w:spacing w:after="240" w:line="240" w:lineRule="auto"/>
        <w:rPr>
          <w:rFonts w:eastAsia="Times New Roman" w:cs="Times New Roman"/>
          <w:i/>
          <w:szCs w:val="20"/>
          <w:lang w:val="en-GB" w:eastAsia="en-GB"/>
        </w:rPr>
      </w:pPr>
      <w:r w:rsidRPr="00CF1C3E">
        <w:rPr>
          <w:rFonts w:eastAsia="Times New Roman" w:cs="Times New Roman"/>
          <w:i/>
          <w:szCs w:val="20"/>
          <w:lang w:val="en-GB" w:eastAsia="en-GB"/>
        </w:rPr>
        <w:t>Why do social workers choose not to register?</w:t>
      </w:r>
    </w:p>
    <w:p w:rsidR="00D76064" w:rsidRPr="00FD00D1" w:rsidRDefault="00D76064" w:rsidP="005B5FC6">
      <w:pPr>
        <w:numPr>
          <w:ilvl w:val="0"/>
          <w:numId w:val="23"/>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We have identified a range </w:t>
      </w:r>
      <w:r w:rsidR="00C03D83">
        <w:rPr>
          <w:rFonts w:eastAsia="Times New Roman" w:cs="Times New Roman"/>
          <w:szCs w:val="20"/>
          <w:lang w:val="en-GB" w:eastAsia="en-GB"/>
        </w:rPr>
        <w:t xml:space="preserve">of </w:t>
      </w:r>
      <w:r>
        <w:rPr>
          <w:rFonts w:eastAsia="Times New Roman" w:cs="Times New Roman"/>
          <w:szCs w:val="20"/>
          <w:lang w:val="en-GB" w:eastAsia="en-GB"/>
        </w:rPr>
        <w:t>reasons w</w:t>
      </w:r>
      <w:r w:rsidR="00C03D83">
        <w:rPr>
          <w:rFonts w:eastAsia="Times New Roman" w:cs="Times New Roman"/>
          <w:szCs w:val="20"/>
          <w:lang w:val="en-GB" w:eastAsia="en-GB"/>
        </w:rPr>
        <w:t>hy social workers do no</w:t>
      </w:r>
      <w:r w:rsidRPr="00FD00D1">
        <w:rPr>
          <w:rFonts w:eastAsia="Times New Roman" w:cs="Times New Roman"/>
          <w:szCs w:val="20"/>
          <w:lang w:val="en-GB" w:eastAsia="en-GB"/>
        </w:rPr>
        <w:t>t register</w:t>
      </w:r>
      <w:r>
        <w:rPr>
          <w:rFonts w:eastAsia="Times New Roman" w:cs="Times New Roman"/>
          <w:szCs w:val="20"/>
          <w:lang w:val="en-GB" w:eastAsia="en-GB"/>
        </w:rPr>
        <w:t>, based on an analysis of possible disincentives as well as information from various observers.  Some of these reasons may be a cause for concern about the practise of unregistered social workers, while others reflect on the system as it is operating currently.</w:t>
      </w:r>
    </w:p>
    <w:p w:rsidR="00D76064"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 xml:space="preserve">Avoiding accountability: Some individuals prefer not to be accountable if they can avoid it.  </w:t>
      </w:r>
      <w:r w:rsidRPr="00DC37B7">
        <w:rPr>
          <w:rFonts w:eastAsia="Times New Roman" w:cs="Times New Roman"/>
          <w:szCs w:val="20"/>
          <w:lang w:val="en-GB" w:eastAsia="en-GB"/>
        </w:rPr>
        <w:t xml:space="preserve">The system can be seen as complex and punitive, and </w:t>
      </w:r>
      <w:r>
        <w:rPr>
          <w:rFonts w:eastAsia="Times New Roman" w:cs="Times New Roman"/>
          <w:szCs w:val="20"/>
          <w:lang w:val="en-GB" w:eastAsia="en-GB"/>
        </w:rPr>
        <w:t>not</w:t>
      </w:r>
      <w:r w:rsidRPr="00DC37B7">
        <w:rPr>
          <w:rFonts w:eastAsia="Times New Roman" w:cs="Times New Roman"/>
          <w:szCs w:val="20"/>
          <w:lang w:val="en-GB" w:eastAsia="en-GB"/>
        </w:rPr>
        <w:t xml:space="preserve"> support</w:t>
      </w:r>
      <w:r>
        <w:rPr>
          <w:rFonts w:eastAsia="Times New Roman" w:cs="Times New Roman"/>
          <w:szCs w:val="20"/>
          <w:lang w:val="en-GB" w:eastAsia="en-GB"/>
        </w:rPr>
        <w:t>ive of</w:t>
      </w:r>
      <w:r w:rsidRPr="00DC37B7">
        <w:rPr>
          <w:rFonts w:eastAsia="Times New Roman" w:cs="Times New Roman"/>
          <w:szCs w:val="20"/>
          <w:lang w:val="en-GB" w:eastAsia="en-GB"/>
        </w:rPr>
        <w:t xml:space="preserve"> individuals or their employers.</w:t>
      </w:r>
    </w:p>
    <w:p w:rsidR="00D76064" w:rsidRPr="00FD00D1"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Inability or unwillingness to undertake training: This may be because of a lack of academic ability; the cost of training (direct cost and loss of income); a lack of interest or the nearness of retirement.</w:t>
      </w:r>
    </w:p>
    <w:p w:rsidR="00D76064" w:rsidRPr="00193FB8"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Lack of b</w:t>
      </w:r>
      <w:r w:rsidRPr="00924FB1">
        <w:rPr>
          <w:rFonts w:eastAsia="Times New Roman" w:cs="Times New Roman"/>
          <w:szCs w:val="20"/>
          <w:lang w:val="en-GB" w:eastAsia="en-GB"/>
        </w:rPr>
        <w:t>enefit</w:t>
      </w:r>
      <w:r>
        <w:rPr>
          <w:rFonts w:eastAsia="Times New Roman" w:cs="Times New Roman"/>
          <w:szCs w:val="20"/>
          <w:lang w:val="en-GB" w:eastAsia="en-GB"/>
        </w:rPr>
        <w:t xml:space="preserve"> from registration</w:t>
      </w:r>
      <w:r w:rsidRPr="00924FB1">
        <w:rPr>
          <w:rFonts w:eastAsia="Times New Roman" w:cs="Times New Roman"/>
          <w:szCs w:val="20"/>
          <w:lang w:val="en-GB" w:eastAsia="en-GB"/>
        </w:rPr>
        <w:t xml:space="preserve">: </w:t>
      </w:r>
      <w:r>
        <w:rPr>
          <w:rFonts w:eastAsia="Times New Roman" w:cs="Times New Roman"/>
          <w:szCs w:val="20"/>
          <w:lang w:val="en-GB" w:eastAsia="en-GB"/>
        </w:rPr>
        <w:t xml:space="preserve">Social workers are able to be employed without being registered, and </w:t>
      </w:r>
      <w:r w:rsidRPr="00193FB8">
        <w:rPr>
          <w:rFonts w:eastAsia="Times New Roman" w:cs="Times New Roman"/>
          <w:szCs w:val="20"/>
          <w:lang w:val="en-GB" w:eastAsia="en-GB"/>
        </w:rPr>
        <w:t>the salary premium for registration is modest and not paid by all employers.</w:t>
      </w:r>
    </w:p>
    <w:p w:rsidR="00D76064" w:rsidRPr="00FD00D1" w:rsidRDefault="00D76064" w:rsidP="005B5FC6">
      <w:pPr>
        <w:numPr>
          <w:ilvl w:val="0"/>
          <w:numId w:val="26"/>
        </w:numPr>
        <w:spacing w:after="240" w:line="240" w:lineRule="auto"/>
        <w:rPr>
          <w:rFonts w:eastAsia="Times New Roman" w:cs="Times New Roman"/>
          <w:szCs w:val="20"/>
          <w:lang w:val="en-GB" w:eastAsia="en-GB"/>
        </w:rPr>
      </w:pPr>
      <w:r>
        <w:rPr>
          <w:rFonts w:eastAsia="Times New Roman" w:cs="Times New Roman"/>
          <w:szCs w:val="20"/>
          <w:lang w:val="en-GB" w:eastAsia="en-GB"/>
        </w:rPr>
        <w:t>C</w:t>
      </w:r>
      <w:r w:rsidRPr="00FD00D1">
        <w:rPr>
          <w:rFonts w:eastAsia="Times New Roman" w:cs="Times New Roman"/>
          <w:szCs w:val="20"/>
          <w:lang w:val="en-GB" w:eastAsia="en-GB"/>
        </w:rPr>
        <w:t xml:space="preserve">ost: </w:t>
      </w:r>
      <w:r>
        <w:rPr>
          <w:rFonts w:eastAsia="Times New Roman" w:cs="Times New Roman"/>
          <w:szCs w:val="20"/>
          <w:lang w:val="en-GB" w:eastAsia="en-GB"/>
        </w:rPr>
        <w:t xml:space="preserve">Although the Board have succeeded in reducing fees, </w:t>
      </w:r>
      <w:r w:rsidR="006371A0">
        <w:rPr>
          <w:rFonts w:eastAsia="Times New Roman" w:cs="Times New Roman"/>
          <w:szCs w:val="20"/>
          <w:lang w:val="en-GB" w:eastAsia="en-GB"/>
        </w:rPr>
        <w:t>the</w:t>
      </w:r>
      <w:r w:rsidR="006371A0" w:rsidRPr="00FD00D1">
        <w:rPr>
          <w:rFonts w:eastAsia="Times New Roman" w:cs="Times New Roman"/>
          <w:szCs w:val="20"/>
          <w:lang w:val="en-GB" w:eastAsia="en-GB"/>
        </w:rPr>
        <w:t xml:space="preserve"> current cost of applying for </w:t>
      </w:r>
      <w:r w:rsidR="006371A0" w:rsidRPr="006371A0">
        <w:rPr>
          <w:rFonts w:eastAsia="Times New Roman" w:cs="Times New Roman"/>
          <w:szCs w:val="20"/>
          <w:lang w:val="en-GB" w:eastAsia="en-GB"/>
        </w:rPr>
        <w:t xml:space="preserve">registration </w:t>
      </w:r>
      <w:r w:rsidR="006371A0" w:rsidRPr="009873C6">
        <w:rPr>
          <w:lang w:val="en-GB" w:eastAsia="en-GB"/>
        </w:rPr>
        <w:t xml:space="preserve">($345) as well as on-going fees ($368 for the annual practising certificate and $255 </w:t>
      </w:r>
      <w:r w:rsidR="009873C6">
        <w:rPr>
          <w:lang w:val="en-GB" w:eastAsia="en-GB"/>
        </w:rPr>
        <w:t xml:space="preserve">for the </w:t>
      </w:r>
      <w:r w:rsidR="006371A0" w:rsidRPr="009873C6">
        <w:rPr>
          <w:lang w:val="en-GB" w:eastAsia="en-GB"/>
        </w:rPr>
        <w:t xml:space="preserve">five </w:t>
      </w:r>
      <w:r w:rsidR="009873C6">
        <w:rPr>
          <w:lang w:val="en-GB" w:eastAsia="en-GB"/>
        </w:rPr>
        <w:t>yearly competence assessment</w:t>
      </w:r>
      <w:r w:rsidR="006371A0" w:rsidRPr="006371A0">
        <w:rPr>
          <w:lang w:val="en-GB" w:eastAsia="en-GB"/>
        </w:rPr>
        <w:t xml:space="preserve">) </w:t>
      </w:r>
      <w:r w:rsidRPr="006371A0">
        <w:rPr>
          <w:rFonts w:eastAsia="Times New Roman" w:cs="Times New Roman"/>
          <w:szCs w:val="20"/>
          <w:lang w:val="en-GB" w:eastAsia="en-GB"/>
        </w:rPr>
        <w:t>can be unaffordable, particularly for NGOs</w:t>
      </w:r>
      <w:r w:rsidRPr="00FD00D1">
        <w:rPr>
          <w:rFonts w:eastAsia="Times New Roman" w:cs="Times New Roman"/>
          <w:szCs w:val="20"/>
          <w:lang w:val="en-GB" w:eastAsia="en-GB"/>
        </w:rPr>
        <w:t xml:space="preserve"> and individuals</w:t>
      </w:r>
      <w:r>
        <w:rPr>
          <w:rFonts w:eastAsia="Times New Roman" w:cs="Times New Roman"/>
          <w:szCs w:val="20"/>
          <w:lang w:val="en-GB" w:eastAsia="en-GB"/>
        </w:rPr>
        <w:t>.</w:t>
      </w:r>
    </w:p>
    <w:p w:rsidR="00D76064" w:rsidRPr="004A75EE" w:rsidRDefault="00D76064" w:rsidP="005B5FC6">
      <w:pPr>
        <w:numPr>
          <w:ilvl w:val="0"/>
          <w:numId w:val="26"/>
        </w:numPr>
        <w:spacing w:after="240" w:line="240" w:lineRule="auto"/>
        <w:rPr>
          <w:rFonts w:eastAsia="Times New Roman" w:cs="Times New Roman"/>
          <w:szCs w:val="20"/>
          <w:lang w:val="en-GB" w:eastAsia="en-GB"/>
        </w:rPr>
      </w:pPr>
      <w:r w:rsidRPr="004A75EE">
        <w:rPr>
          <w:rFonts w:eastAsia="Times New Roman" w:cs="Times New Roman"/>
          <w:szCs w:val="20"/>
          <w:lang w:val="en-GB" w:eastAsia="en-GB"/>
        </w:rPr>
        <w:t xml:space="preserve">Length of process: Competency must be assessed </w:t>
      </w:r>
      <w:r>
        <w:rPr>
          <w:rFonts w:eastAsia="Times New Roman" w:cs="Times New Roman"/>
          <w:szCs w:val="20"/>
          <w:lang w:val="en-GB" w:eastAsia="en-GB"/>
        </w:rPr>
        <w:t>within two years of</w:t>
      </w:r>
      <w:r w:rsidRPr="004A75EE">
        <w:rPr>
          <w:rFonts w:eastAsia="Times New Roman" w:cs="Times New Roman"/>
          <w:szCs w:val="20"/>
          <w:lang w:val="en-GB" w:eastAsia="en-GB"/>
        </w:rPr>
        <w:t xml:space="preserve"> registration and then at five-yearly intervals in order to retain a practising certificate. </w:t>
      </w:r>
      <w:r>
        <w:rPr>
          <w:rFonts w:eastAsia="Times New Roman" w:cs="Times New Roman"/>
          <w:szCs w:val="20"/>
          <w:lang w:val="en-GB" w:eastAsia="en-GB"/>
        </w:rPr>
        <w:t xml:space="preserve"> </w:t>
      </w:r>
      <w:r w:rsidRPr="004A75EE">
        <w:rPr>
          <w:rFonts w:eastAsia="Times New Roman" w:cs="Times New Roman"/>
          <w:szCs w:val="20"/>
          <w:lang w:val="en-GB" w:eastAsia="en-GB"/>
        </w:rPr>
        <w:t xml:space="preserve">This </w:t>
      </w:r>
      <w:r>
        <w:rPr>
          <w:rFonts w:eastAsia="Times New Roman" w:cs="Times New Roman"/>
          <w:szCs w:val="20"/>
          <w:lang w:val="en-GB" w:eastAsia="en-GB"/>
        </w:rPr>
        <w:t>is perceived by some as</w:t>
      </w:r>
      <w:r w:rsidRPr="004A75EE">
        <w:rPr>
          <w:rFonts w:eastAsia="Times New Roman" w:cs="Times New Roman"/>
          <w:szCs w:val="20"/>
          <w:lang w:val="en-GB" w:eastAsia="en-GB"/>
        </w:rPr>
        <w:t xml:space="preserve"> a lengthy and burdensome process.</w:t>
      </w:r>
    </w:p>
    <w:p w:rsidR="00F51DD6" w:rsidRDefault="002E4C8F" w:rsidP="005B5FC6">
      <w:pPr>
        <w:numPr>
          <w:ilvl w:val="0"/>
          <w:numId w:val="26"/>
        </w:numPr>
        <w:spacing w:after="240" w:line="240" w:lineRule="auto"/>
        <w:rPr>
          <w:rFonts w:eastAsia="Times New Roman" w:cs="Times New Roman"/>
          <w:szCs w:val="20"/>
          <w:lang w:val="en-GB" w:eastAsia="en-GB"/>
        </w:rPr>
      </w:pPr>
      <w:r w:rsidRPr="002E4C8F">
        <w:rPr>
          <w:rFonts w:eastAsia="Times New Roman" w:cs="Times New Roman"/>
          <w:szCs w:val="20"/>
          <w:lang w:val="en-GB" w:eastAsia="en-GB"/>
        </w:rPr>
        <w:t>Difficulty in “opting out”: Once registered, individuals are required to maintain a current practicing certificate if they are “employed or engaged as a social worker”.</w:t>
      </w:r>
      <w:r>
        <w:rPr>
          <w:rFonts w:eastAsia="Times New Roman" w:cs="Times New Roman"/>
          <w:szCs w:val="20"/>
          <w:lang w:val="en-GB" w:eastAsia="en-GB"/>
        </w:rPr>
        <w:t xml:space="preserve"> </w:t>
      </w:r>
      <w:r w:rsidRPr="002E4C8F">
        <w:rPr>
          <w:rFonts w:eastAsia="Times New Roman" w:cs="Times New Roman"/>
          <w:szCs w:val="20"/>
          <w:lang w:val="en-GB" w:eastAsia="en-GB"/>
        </w:rPr>
        <w:t xml:space="preserve"> Disputes have arisen between the Board and individuals, and the Board and employers as to whether a registered social worker who has changed roles should be maintainin</w:t>
      </w:r>
      <w:r>
        <w:rPr>
          <w:rFonts w:eastAsia="Times New Roman" w:cs="Times New Roman"/>
          <w:szCs w:val="20"/>
          <w:lang w:val="en-GB" w:eastAsia="en-GB"/>
        </w:rPr>
        <w:t xml:space="preserve">g their practicing certificate. </w:t>
      </w:r>
      <w:r w:rsidRPr="002E4C8F">
        <w:rPr>
          <w:rFonts w:eastAsia="Times New Roman" w:cs="Times New Roman"/>
          <w:szCs w:val="20"/>
          <w:lang w:val="en-GB" w:eastAsia="en-GB"/>
        </w:rPr>
        <w:t xml:space="preserve"> These include situations where registered social workers have moved into management or supervisory roles, or moved </w:t>
      </w:r>
      <w:r>
        <w:rPr>
          <w:rFonts w:eastAsia="Times New Roman" w:cs="Times New Roman"/>
          <w:szCs w:val="20"/>
          <w:lang w:val="en-GB" w:eastAsia="en-GB"/>
        </w:rPr>
        <w:t xml:space="preserve">to </w:t>
      </w:r>
      <w:r w:rsidRPr="002E4C8F">
        <w:rPr>
          <w:rFonts w:eastAsia="Times New Roman" w:cs="Times New Roman"/>
          <w:szCs w:val="20"/>
          <w:lang w:val="en-GB" w:eastAsia="en-GB"/>
        </w:rPr>
        <w:t>other roles such as probation officer, youth worker, or a social work education role.</w:t>
      </w:r>
      <w:r w:rsidR="00CA7299">
        <w:rPr>
          <w:rFonts w:eastAsia="Times New Roman" w:cs="Times New Roman"/>
          <w:szCs w:val="20"/>
          <w:lang w:val="en-GB" w:eastAsia="en-GB"/>
        </w:rPr>
        <w:t xml:space="preserve"> </w:t>
      </w:r>
      <w:r w:rsidRPr="002E4C8F">
        <w:rPr>
          <w:rFonts w:eastAsia="Times New Roman" w:cs="Times New Roman"/>
          <w:szCs w:val="20"/>
          <w:lang w:val="en-GB" w:eastAsia="en-GB"/>
        </w:rPr>
        <w:t xml:space="preserve"> A Crown Law opinion in 2013 provided guidance to the Board and the </w:t>
      </w:r>
      <w:r w:rsidR="00D9009E">
        <w:rPr>
          <w:rFonts w:eastAsia="Times New Roman" w:cs="Times New Roman"/>
          <w:szCs w:val="20"/>
          <w:lang w:val="en-GB" w:eastAsia="en-GB"/>
        </w:rPr>
        <w:t>Social Workers Complaints and Disciplinary Tribunal</w:t>
      </w:r>
      <w:r w:rsidRPr="002E4C8F">
        <w:rPr>
          <w:rFonts w:eastAsia="Times New Roman" w:cs="Times New Roman"/>
          <w:szCs w:val="20"/>
          <w:lang w:val="en-GB" w:eastAsia="en-GB"/>
        </w:rPr>
        <w:t xml:space="preserve"> relating to managers and supervisors of social workers, but noted “the section is somewhat opaque and it is not possible to state with any certainty the approach that a court </w:t>
      </w:r>
      <w:r w:rsidR="00CA7299">
        <w:rPr>
          <w:rFonts w:eastAsia="Times New Roman" w:cs="Times New Roman"/>
          <w:szCs w:val="20"/>
          <w:lang w:val="en-GB" w:eastAsia="en-GB"/>
        </w:rPr>
        <w:t xml:space="preserve">would take in interpreting it.” </w:t>
      </w:r>
      <w:r w:rsidRPr="002E4C8F">
        <w:rPr>
          <w:rFonts w:eastAsia="Times New Roman" w:cs="Times New Roman"/>
          <w:szCs w:val="20"/>
          <w:lang w:val="en-GB" w:eastAsia="en-GB"/>
        </w:rPr>
        <w:t xml:space="preserve"> There is concern from some individuals and employers that registered social workers face difficulties “opting out” after making career changes to roles that are not social work roles but may include tasks and skills common to social work.</w:t>
      </w:r>
    </w:p>
    <w:p w:rsidR="00F51DD6" w:rsidRPr="00F51DD6" w:rsidRDefault="00D76064" w:rsidP="005B5FC6">
      <w:pPr>
        <w:numPr>
          <w:ilvl w:val="0"/>
          <w:numId w:val="26"/>
        </w:numPr>
        <w:spacing w:after="240" w:line="240" w:lineRule="auto"/>
        <w:rPr>
          <w:rFonts w:eastAsia="Times New Roman" w:cs="Times New Roman"/>
          <w:szCs w:val="20"/>
          <w:lang w:val="en-GB" w:eastAsia="en-GB"/>
        </w:rPr>
      </w:pPr>
      <w:r w:rsidRPr="00F51DD6">
        <w:rPr>
          <w:rFonts w:eastAsia="Times New Roman" w:cs="Times New Roman"/>
          <w:szCs w:val="20"/>
          <w:lang w:val="en-GB" w:eastAsia="en-GB"/>
        </w:rPr>
        <w:t xml:space="preserve">Ideological objections: </w:t>
      </w:r>
      <w:r w:rsidR="000B5EC5">
        <w:rPr>
          <w:rFonts w:eastAsia="Times New Roman" w:cs="Times New Roman"/>
          <w:szCs w:val="20"/>
          <w:lang w:val="en-GB" w:eastAsia="en-GB"/>
        </w:rPr>
        <w:t>s</w:t>
      </w:r>
      <w:r w:rsidR="00F51DD6" w:rsidRPr="00F51DD6">
        <w:rPr>
          <w:rFonts w:eastAsia="Times New Roman" w:cs="Times New Roman"/>
          <w:szCs w:val="20"/>
          <w:lang w:val="en-GB" w:eastAsia="en-GB"/>
        </w:rPr>
        <w:t xml:space="preserve">ome social workers refuse to register as a matter of personal and political principle. </w:t>
      </w:r>
      <w:r w:rsidR="000B5EC5">
        <w:rPr>
          <w:rFonts w:eastAsia="Times New Roman" w:cs="Times New Roman"/>
          <w:szCs w:val="20"/>
          <w:lang w:val="en-GB" w:eastAsia="en-GB"/>
        </w:rPr>
        <w:t xml:space="preserve"> </w:t>
      </w:r>
      <w:r w:rsidRPr="00F51DD6">
        <w:rPr>
          <w:rFonts w:eastAsia="Times New Roman" w:cs="Times New Roman"/>
          <w:szCs w:val="20"/>
          <w:lang w:val="en-GB" w:eastAsia="en-GB"/>
        </w:rPr>
        <w:t>There are also reports of individuals who are clear they will not register until they have to.</w:t>
      </w:r>
    </w:p>
    <w:p w:rsidR="009873C6" w:rsidRDefault="009873C6">
      <w:pPr>
        <w:spacing w:after="0" w:line="240" w:lineRule="auto"/>
        <w:rPr>
          <w:rFonts w:eastAsia="Times New Roman" w:cs="Times New Roman"/>
          <w:b/>
          <w:sz w:val="24"/>
          <w:szCs w:val="24"/>
          <w:lang w:val="en-GB" w:eastAsia="en-GB"/>
        </w:rPr>
      </w:pPr>
      <w:r>
        <w:rPr>
          <w:rFonts w:eastAsia="Times New Roman" w:cs="Times New Roman"/>
          <w:b/>
          <w:sz w:val="24"/>
          <w:szCs w:val="24"/>
          <w:lang w:val="en-GB" w:eastAsia="en-GB"/>
        </w:rPr>
        <w:br w:type="page"/>
      </w:r>
    </w:p>
    <w:p w:rsidR="006638A8" w:rsidRPr="00562D43" w:rsidRDefault="006638A8" w:rsidP="00177E1D">
      <w:pPr>
        <w:spacing w:after="240"/>
        <w:outlineLvl w:val="2"/>
        <w:rPr>
          <w:rFonts w:eastAsia="Times New Roman" w:cs="Times New Roman"/>
          <w:b/>
          <w:sz w:val="24"/>
          <w:szCs w:val="24"/>
          <w:lang w:val="en-GB" w:eastAsia="en-GB"/>
        </w:rPr>
      </w:pPr>
      <w:bookmarkStart w:id="43" w:name="_Toc481662083"/>
      <w:r>
        <w:rPr>
          <w:rFonts w:eastAsia="Times New Roman" w:cs="Times New Roman"/>
          <w:b/>
          <w:sz w:val="24"/>
          <w:szCs w:val="24"/>
          <w:lang w:val="en-GB" w:eastAsia="en-GB"/>
        </w:rPr>
        <w:lastRenderedPageBreak/>
        <w:t>O</w:t>
      </w:r>
      <w:r w:rsidRPr="00562D43">
        <w:rPr>
          <w:rFonts w:eastAsia="Times New Roman" w:cs="Times New Roman"/>
          <w:b/>
          <w:sz w:val="24"/>
          <w:szCs w:val="24"/>
          <w:lang w:val="en-GB" w:eastAsia="en-GB"/>
        </w:rPr>
        <w:t>ptions</w:t>
      </w:r>
      <w:r>
        <w:rPr>
          <w:rFonts w:eastAsia="Times New Roman" w:cs="Times New Roman"/>
          <w:b/>
          <w:sz w:val="24"/>
          <w:szCs w:val="24"/>
          <w:lang w:val="en-GB" w:eastAsia="en-GB"/>
        </w:rPr>
        <w:t xml:space="preserve"> for the registration system</w:t>
      </w:r>
      <w:bookmarkEnd w:id="43"/>
    </w:p>
    <w:p w:rsidR="006638A8" w:rsidRPr="002C76E5" w:rsidRDefault="006638A8" w:rsidP="005B5FC6">
      <w:pPr>
        <w:numPr>
          <w:ilvl w:val="0"/>
          <w:numId w:val="23"/>
        </w:numPr>
        <w:spacing w:after="240" w:line="240" w:lineRule="auto"/>
        <w:ind w:left="567" w:hanging="567"/>
        <w:rPr>
          <w:rFonts w:eastAsia="Times New Roman"/>
          <w:color w:val="000000"/>
          <w:kern w:val="22"/>
          <w:szCs w:val="20"/>
          <w:lang w:eastAsia="en-NZ"/>
        </w:rPr>
      </w:pPr>
      <w:r w:rsidRPr="002C76E5">
        <w:rPr>
          <w:rFonts w:eastAsia="Times New Roman"/>
          <w:color w:val="000000"/>
          <w:kern w:val="22"/>
          <w:szCs w:val="20"/>
          <w:lang w:eastAsia="en-NZ"/>
        </w:rPr>
        <w:t>We have identified and investigated four options:</w:t>
      </w:r>
    </w:p>
    <w:p w:rsidR="006638A8" w:rsidRPr="002C76E5" w:rsidRDefault="006638A8" w:rsidP="005B5FC6">
      <w:pPr>
        <w:numPr>
          <w:ilvl w:val="0"/>
          <w:numId w:val="24"/>
        </w:numPr>
        <w:spacing w:after="240" w:line="240" w:lineRule="auto"/>
        <w:ind w:left="1134" w:hanging="567"/>
        <w:contextualSpacing/>
      </w:pPr>
      <w:r w:rsidRPr="002C76E5">
        <w:t xml:space="preserve">No change to the Status Quo </w:t>
      </w:r>
    </w:p>
    <w:p w:rsidR="006638A8" w:rsidRPr="002C76E5" w:rsidRDefault="006638A8" w:rsidP="005B5FC6">
      <w:pPr>
        <w:numPr>
          <w:ilvl w:val="0"/>
          <w:numId w:val="24"/>
        </w:numPr>
        <w:spacing w:after="240" w:line="240" w:lineRule="auto"/>
        <w:ind w:left="1134" w:hanging="567"/>
        <w:contextualSpacing/>
      </w:pPr>
      <w:r w:rsidRPr="002C76E5">
        <w:t>Non regulatory change</w:t>
      </w:r>
    </w:p>
    <w:p w:rsidR="006638A8" w:rsidRPr="002C76E5" w:rsidRDefault="006638A8" w:rsidP="005B5FC6">
      <w:pPr>
        <w:numPr>
          <w:ilvl w:val="0"/>
          <w:numId w:val="24"/>
        </w:numPr>
        <w:spacing w:after="240" w:line="240" w:lineRule="auto"/>
        <w:ind w:left="1134" w:hanging="567"/>
        <w:contextualSpacing/>
      </w:pPr>
      <w:r>
        <w:t>L</w:t>
      </w:r>
      <w:r w:rsidRPr="002C76E5">
        <w:t>egislative “tidy up” but no change to the coverage of the regulatory regime</w:t>
      </w:r>
    </w:p>
    <w:p w:rsidR="006638A8" w:rsidRPr="002C76E5" w:rsidRDefault="006638A8" w:rsidP="005B5FC6">
      <w:pPr>
        <w:numPr>
          <w:ilvl w:val="0"/>
          <w:numId w:val="24"/>
        </w:numPr>
        <w:spacing w:after="240" w:line="240" w:lineRule="auto"/>
        <w:ind w:left="1134" w:hanging="567"/>
        <w:contextualSpacing/>
      </w:pPr>
      <w:r w:rsidRPr="002C76E5">
        <w:t>Extension of the coverage of the regulatory regime.</w:t>
      </w:r>
    </w:p>
    <w:p w:rsidR="006638A8" w:rsidRPr="00AE21CC" w:rsidRDefault="006638A8" w:rsidP="00177E1D">
      <w:pPr>
        <w:spacing w:line="280" w:lineRule="atLeast"/>
        <w:rPr>
          <w:rFonts w:ascii="Arial" w:eastAsia="Times New Roman" w:hAnsi="Arial"/>
          <w:b/>
          <w:bCs/>
          <w:sz w:val="18"/>
          <w:szCs w:val="18"/>
          <w:lang w:val="en-GB" w:eastAsia="en-GB"/>
        </w:rPr>
      </w:pP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Option 1: </w:t>
      </w:r>
      <w:r w:rsidRPr="002C76E5">
        <w:rPr>
          <w:rFonts w:eastAsia="Times New Roman" w:cs="Times New Roman"/>
          <w:i/>
          <w:szCs w:val="20"/>
          <w:lang w:val="en-GB" w:eastAsia="en-GB"/>
        </w:rPr>
        <w:t xml:space="preserve">No change to the Status Quo </w:t>
      </w:r>
    </w:p>
    <w:p w:rsidR="006638A8" w:rsidRPr="002C76E5" w:rsidRDefault="006638A8" w:rsidP="005B5FC6">
      <w:pPr>
        <w:numPr>
          <w:ilvl w:val="0"/>
          <w:numId w:val="23"/>
        </w:numPr>
        <w:spacing w:after="240" w:line="240" w:lineRule="auto"/>
        <w:ind w:left="567" w:hanging="567"/>
        <w:rPr>
          <w:rFonts w:eastAsia="Times New Roman"/>
          <w:color w:val="000000"/>
          <w:kern w:val="22"/>
          <w:szCs w:val="20"/>
          <w:lang w:eastAsia="en-NZ"/>
        </w:rPr>
      </w:pPr>
      <w:r w:rsidRPr="002C76E5">
        <w:rPr>
          <w:rFonts w:eastAsia="Times New Roman"/>
          <w:color w:val="000000"/>
          <w:kern w:val="22"/>
          <w:szCs w:val="20"/>
          <w:lang w:eastAsia="en-NZ"/>
        </w:rPr>
        <w:t xml:space="preserve">As detailed above, the Status Quo is not meeting the </w:t>
      </w:r>
      <w:r w:rsidR="00436602">
        <w:rPr>
          <w:rFonts w:eastAsia="Times New Roman"/>
          <w:color w:val="000000"/>
          <w:kern w:val="22"/>
          <w:szCs w:val="20"/>
          <w:lang w:eastAsia="en-NZ"/>
        </w:rPr>
        <w:t xml:space="preserve">immediate objective of registering all practising social workers.  Nor is it meeting the underlying </w:t>
      </w:r>
      <w:r w:rsidRPr="002C76E5">
        <w:rPr>
          <w:rFonts w:eastAsia="Times New Roman"/>
          <w:color w:val="000000"/>
          <w:kern w:val="22"/>
          <w:szCs w:val="20"/>
          <w:lang w:eastAsia="en-NZ"/>
        </w:rPr>
        <w:t>objective</w:t>
      </w:r>
      <w:r w:rsidR="00436602">
        <w:rPr>
          <w:rFonts w:eastAsia="Times New Roman"/>
          <w:color w:val="000000"/>
          <w:kern w:val="22"/>
          <w:szCs w:val="20"/>
          <w:lang w:eastAsia="en-NZ"/>
        </w:rPr>
        <w:t>s of</w:t>
      </w:r>
      <w:r w:rsidRPr="002C76E5">
        <w:rPr>
          <w:rFonts w:eastAsia="Times New Roman"/>
          <w:color w:val="000000"/>
          <w:kern w:val="22"/>
          <w:szCs w:val="20"/>
          <w:lang w:eastAsia="en-NZ"/>
        </w:rPr>
        <w:t xml:space="preserve"> increasing the professionalism of the social work workforce in order to </w:t>
      </w:r>
      <w:r w:rsidR="00436602">
        <w:rPr>
          <w:rFonts w:eastAsia="Times New Roman"/>
          <w:color w:val="000000"/>
          <w:kern w:val="22"/>
          <w:szCs w:val="20"/>
          <w:lang w:eastAsia="en-NZ"/>
        </w:rPr>
        <w:t xml:space="preserve">increase public confidence in the profession and </w:t>
      </w:r>
      <w:r w:rsidRPr="002C76E5">
        <w:rPr>
          <w:rFonts w:eastAsia="Times New Roman"/>
          <w:color w:val="000000"/>
          <w:kern w:val="22"/>
          <w:szCs w:val="20"/>
          <w:lang w:eastAsia="en-NZ"/>
        </w:rPr>
        <w:t>protect the public from harm</w:t>
      </w:r>
      <w:r w:rsidR="00436602">
        <w:rPr>
          <w:rFonts w:eastAsia="Times New Roman"/>
          <w:color w:val="000000"/>
          <w:kern w:val="22"/>
          <w:szCs w:val="20"/>
          <w:lang w:eastAsia="en-NZ"/>
        </w:rPr>
        <w:t>, or</w:t>
      </w:r>
      <w:r w:rsidRPr="002C76E5">
        <w:rPr>
          <w:rFonts w:eastAsia="Times New Roman"/>
          <w:color w:val="000000"/>
          <w:kern w:val="22"/>
          <w:szCs w:val="20"/>
          <w:lang w:eastAsia="en-NZ"/>
        </w:rPr>
        <w:t xml:space="preserve"> contribute to the Government’s goals for </w:t>
      </w:r>
      <w:r>
        <w:rPr>
          <w:rFonts w:eastAsia="Times New Roman"/>
          <w:color w:val="000000"/>
          <w:kern w:val="22"/>
          <w:szCs w:val="20"/>
          <w:lang w:eastAsia="en-NZ"/>
        </w:rPr>
        <w:t>the social investment approach.</w:t>
      </w: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Option 2: </w:t>
      </w:r>
      <w:r w:rsidRPr="002C76E5">
        <w:rPr>
          <w:rFonts w:eastAsia="Times New Roman" w:cs="Times New Roman"/>
          <w:i/>
          <w:szCs w:val="20"/>
          <w:lang w:val="en-GB" w:eastAsia="en-GB"/>
        </w:rPr>
        <w:t>Non regulatory change</w:t>
      </w:r>
    </w:p>
    <w:p w:rsidR="006638A8" w:rsidRPr="006F47A3" w:rsidRDefault="006638A8" w:rsidP="005B5FC6">
      <w:pPr>
        <w:numPr>
          <w:ilvl w:val="0"/>
          <w:numId w:val="23"/>
        </w:numPr>
        <w:spacing w:after="240" w:line="240" w:lineRule="auto"/>
        <w:ind w:left="567" w:hanging="567"/>
        <w:rPr>
          <w:rFonts w:eastAsia="Times New Roman"/>
          <w:szCs w:val="20"/>
          <w:lang w:val="en-GB" w:eastAsia="en-GB"/>
        </w:rPr>
      </w:pPr>
      <w:r w:rsidRPr="00646B3E">
        <w:rPr>
          <w:rFonts w:eastAsia="Times New Roman"/>
          <w:szCs w:val="20"/>
          <w:lang w:val="en-GB" w:eastAsia="en-GB"/>
        </w:rPr>
        <w:t>There are various non-regulatory initiatives that meet the immediate objective of bringing more social workers under the registration regime, and address the underlying concerns of improving the quality of social work in New Zealand.</w:t>
      </w:r>
      <w:r w:rsidRPr="006F47A3">
        <w:rPr>
          <w:rFonts w:eastAsia="Times New Roman"/>
          <w:szCs w:val="20"/>
          <w:lang w:val="en-GB" w:eastAsia="en-GB"/>
        </w:rPr>
        <w:t xml:space="preserve"> </w:t>
      </w:r>
      <w:r>
        <w:rPr>
          <w:rFonts w:eastAsia="Times New Roman"/>
          <w:szCs w:val="20"/>
          <w:lang w:val="en-GB" w:eastAsia="en-GB"/>
        </w:rPr>
        <w:t xml:space="preserve"> The following are grouped into initiatives that are within the mandate of the Board, and things that can be done b</w:t>
      </w:r>
      <w:r w:rsidR="00EF3C04">
        <w:rPr>
          <w:rFonts w:eastAsia="Times New Roman"/>
          <w:szCs w:val="20"/>
          <w:lang w:val="en-GB" w:eastAsia="en-GB"/>
        </w:rPr>
        <w:t>y</w:t>
      </w:r>
      <w:r>
        <w:rPr>
          <w:rFonts w:eastAsia="Times New Roman"/>
          <w:szCs w:val="20"/>
          <w:lang w:val="en-GB" w:eastAsia="en-GB"/>
        </w:rPr>
        <w:t xml:space="preserve"> government, as a major employer and funder of social work services.</w:t>
      </w:r>
      <w:r w:rsidRPr="002B141A">
        <w:rPr>
          <w:rFonts w:eastAsia="Times New Roman"/>
          <w:szCs w:val="20"/>
          <w:lang w:val="en-GB" w:eastAsia="en-GB"/>
        </w:rPr>
        <w:t xml:space="preserve"> </w:t>
      </w:r>
      <w:r>
        <w:rPr>
          <w:rFonts w:eastAsia="Times New Roman"/>
          <w:szCs w:val="20"/>
          <w:lang w:val="en-GB" w:eastAsia="en-GB"/>
        </w:rPr>
        <w:t xml:space="preserve"> </w:t>
      </w:r>
      <w:r w:rsidRPr="00646B3E">
        <w:rPr>
          <w:rFonts w:eastAsia="Times New Roman"/>
          <w:szCs w:val="20"/>
          <w:lang w:val="en-GB" w:eastAsia="en-GB"/>
        </w:rPr>
        <w:t>All of these approaches are underway</w:t>
      </w:r>
      <w:r>
        <w:rPr>
          <w:rFonts w:eastAsia="Times New Roman"/>
          <w:szCs w:val="20"/>
          <w:lang w:val="en-GB" w:eastAsia="en-GB"/>
        </w:rPr>
        <w:t xml:space="preserve"> to varying extent</w:t>
      </w:r>
      <w:r w:rsidR="000B5EC5">
        <w:rPr>
          <w:rFonts w:eastAsia="Times New Roman"/>
          <w:szCs w:val="20"/>
          <w:lang w:val="en-GB" w:eastAsia="en-GB"/>
        </w:rPr>
        <w:t>s</w:t>
      </w:r>
      <w:r w:rsidRPr="00646B3E">
        <w:rPr>
          <w:rFonts w:eastAsia="Times New Roman"/>
          <w:szCs w:val="20"/>
          <w:lang w:val="en-GB" w:eastAsia="en-GB"/>
        </w:rPr>
        <w:t xml:space="preserve">, either as part of normal business-as–usual by the </w:t>
      </w:r>
      <w:r w:rsidR="00DC2521">
        <w:rPr>
          <w:rFonts w:eastAsia="Times New Roman"/>
          <w:szCs w:val="20"/>
          <w:lang w:val="en-GB" w:eastAsia="en-GB"/>
        </w:rPr>
        <w:t>Board</w:t>
      </w:r>
      <w:r w:rsidRPr="00646B3E">
        <w:rPr>
          <w:rFonts w:eastAsia="Times New Roman"/>
          <w:szCs w:val="20"/>
          <w:lang w:val="en-GB" w:eastAsia="en-GB"/>
        </w:rPr>
        <w:t xml:space="preserve"> and various government agencies, or are being substantially </w:t>
      </w:r>
      <w:r>
        <w:rPr>
          <w:rFonts w:eastAsia="Times New Roman"/>
          <w:szCs w:val="20"/>
          <w:lang w:val="en-GB" w:eastAsia="en-GB"/>
        </w:rPr>
        <w:t>reformed</w:t>
      </w:r>
      <w:r w:rsidR="00DC2521">
        <w:rPr>
          <w:rFonts w:eastAsia="Times New Roman"/>
          <w:szCs w:val="20"/>
          <w:lang w:val="en-GB" w:eastAsia="en-GB"/>
        </w:rPr>
        <w:t xml:space="preserve"> in the case of </w:t>
      </w:r>
      <w:r w:rsidR="00D17A08">
        <w:rPr>
          <w:rFonts w:eastAsia="Times New Roman"/>
          <w:szCs w:val="20"/>
          <w:lang w:val="en-GB" w:eastAsia="en-GB"/>
        </w:rPr>
        <w:t>CYF</w:t>
      </w:r>
      <w:r w:rsidRPr="00646B3E">
        <w:rPr>
          <w:rFonts w:eastAsia="Times New Roman"/>
          <w:szCs w:val="20"/>
          <w:lang w:val="en-GB" w:eastAsia="en-GB"/>
        </w:rPr>
        <w:t xml:space="preserve"> moving to </w:t>
      </w:r>
      <w:r w:rsidR="001913C7">
        <w:rPr>
          <w:rFonts w:eastAsia="Times New Roman"/>
          <w:szCs w:val="20"/>
          <w:lang w:val="en-GB" w:eastAsia="en-GB"/>
        </w:rPr>
        <w:t xml:space="preserve">become the </w:t>
      </w:r>
      <w:r w:rsidR="001913C7" w:rsidRPr="007A6992">
        <w:rPr>
          <w:rFonts w:eastAsia="Times New Roman"/>
          <w:szCs w:val="20"/>
          <w:lang w:val="en-GB" w:eastAsia="en-GB"/>
        </w:rPr>
        <w:t>Ministry for Vulne</w:t>
      </w:r>
      <w:r w:rsidR="001913C7">
        <w:rPr>
          <w:rFonts w:eastAsia="Times New Roman"/>
          <w:szCs w:val="20"/>
          <w:lang w:val="en-GB" w:eastAsia="en-GB"/>
        </w:rPr>
        <w:t xml:space="preserve">rable Children, </w:t>
      </w:r>
      <w:proofErr w:type="spellStart"/>
      <w:r w:rsidR="001913C7">
        <w:rPr>
          <w:rFonts w:eastAsia="Times New Roman"/>
          <w:szCs w:val="20"/>
          <w:lang w:val="en-GB" w:eastAsia="en-GB"/>
        </w:rPr>
        <w:t>Oranga</w:t>
      </w:r>
      <w:proofErr w:type="spellEnd"/>
      <w:r w:rsidR="001913C7">
        <w:rPr>
          <w:rFonts w:eastAsia="Times New Roman"/>
          <w:szCs w:val="20"/>
          <w:lang w:val="en-GB" w:eastAsia="en-GB"/>
        </w:rPr>
        <w:t xml:space="preserve"> </w:t>
      </w:r>
      <w:proofErr w:type="spellStart"/>
      <w:r w:rsidR="001913C7">
        <w:rPr>
          <w:rFonts w:eastAsia="Times New Roman"/>
          <w:szCs w:val="20"/>
          <w:lang w:val="en-GB" w:eastAsia="en-GB"/>
        </w:rPr>
        <w:t>Tamariki</w:t>
      </w:r>
      <w:proofErr w:type="spellEnd"/>
      <w:r w:rsidR="003560CF">
        <w:rPr>
          <w:rFonts w:eastAsia="Times New Roman"/>
          <w:szCs w:val="20"/>
          <w:lang w:val="en-GB" w:eastAsia="en-GB"/>
        </w:rPr>
        <w:t>.</w:t>
      </w:r>
    </w:p>
    <w:p w:rsidR="006638A8" w:rsidRPr="00CB438D" w:rsidRDefault="00DC2521" w:rsidP="00177E1D">
      <w:pPr>
        <w:spacing w:after="240"/>
        <w:contextualSpacing/>
        <w:rPr>
          <w:i/>
        </w:rPr>
      </w:pPr>
      <w:r>
        <w:rPr>
          <w:i/>
        </w:rPr>
        <w:t>Actions by the Board</w:t>
      </w:r>
    </w:p>
    <w:p w:rsidR="006638A8" w:rsidRPr="00791494" w:rsidRDefault="00DC2521"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Active marketing by the Board</w:t>
      </w:r>
      <w:r w:rsidR="006638A8" w:rsidRPr="00791494">
        <w:rPr>
          <w:rFonts w:eastAsia="Times New Roman" w:cs="Times New Roman"/>
          <w:szCs w:val="20"/>
          <w:lang w:val="en-GB" w:eastAsia="en-GB"/>
        </w:rPr>
        <w:t xml:space="preserve"> to promote themselves to non-registered social workers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Increased information and promotion to the public and clients about standards to be expected and ways to complain</w:t>
      </w:r>
      <w:r w:rsidR="009873C6">
        <w:rPr>
          <w:rFonts w:eastAsia="Times New Roman" w:cs="Times New Roman"/>
          <w:szCs w:val="20"/>
          <w:lang w:val="en-GB" w:eastAsia="en-GB"/>
        </w:rPr>
        <w:t>.</w:t>
      </w:r>
      <w:r w:rsidRPr="00791494">
        <w:rPr>
          <w:rFonts w:eastAsia="Times New Roman" w:cs="Times New Roman"/>
          <w:szCs w:val="20"/>
          <w:lang w:val="en-GB" w:eastAsia="en-GB"/>
        </w:rPr>
        <w:t xml:space="preserve">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 xml:space="preserve">Investigating and promoting the quality of training to improve the skills and knowledge social workers gain from their initial qualifications and from on-going </w:t>
      </w:r>
      <w:r w:rsidR="00D13570">
        <w:rPr>
          <w:rFonts w:eastAsia="Times New Roman" w:cs="Times New Roman"/>
          <w:szCs w:val="20"/>
          <w:lang w:val="en-GB" w:eastAsia="en-GB"/>
        </w:rPr>
        <w:t xml:space="preserve">continuing professional development </w:t>
      </w:r>
      <w:r w:rsidRPr="00791494">
        <w:rPr>
          <w:rFonts w:eastAsia="Times New Roman" w:cs="Times New Roman"/>
          <w:szCs w:val="20"/>
          <w:lang w:val="en-GB" w:eastAsia="en-GB"/>
        </w:rPr>
        <w:t>(government also has a role here via the Tertiary Education Commission and the Ministry of Education who fund and monitor tertiary training</w:t>
      </w:r>
      <w:r w:rsidR="00D13570">
        <w:rPr>
          <w:rFonts w:eastAsia="Times New Roman" w:cs="Times New Roman"/>
          <w:szCs w:val="20"/>
          <w:lang w:val="en-GB" w:eastAsia="en-GB"/>
        </w:rPr>
        <w:t>)</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Investigating and p</w:t>
      </w:r>
      <w:r w:rsidR="009873C6">
        <w:rPr>
          <w:rFonts w:eastAsia="Times New Roman" w:cs="Times New Roman"/>
          <w:szCs w:val="20"/>
          <w:lang w:val="en-GB" w:eastAsia="en-GB"/>
        </w:rPr>
        <w:t>romoting training pathways for social w</w:t>
      </w:r>
      <w:r w:rsidRPr="00791494">
        <w:rPr>
          <w:rFonts w:eastAsia="Times New Roman" w:cs="Times New Roman"/>
          <w:szCs w:val="20"/>
          <w:lang w:val="en-GB" w:eastAsia="en-GB"/>
        </w:rPr>
        <w:t xml:space="preserve">orkers with </w:t>
      </w:r>
      <w:r w:rsidR="006B345A" w:rsidRPr="00791494">
        <w:rPr>
          <w:rFonts w:eastAsia="Times New Roman" w:cs="Times New Roman"/>
          <w:szCs w:val="20"/>
          <w:lang w:val="en-GB" w:eastAsia="en-GB"/>
        </w:rPr>
        <w:t>fewer qualifications</w:t>
      </w:r>
      <w:r w:rsidRPr="00791494">
        <w:rPr>
          <w:rFonts w:eastAsia="Times New Roman" w:cs="Times New Roman"/>
          <w:szCs w:val="20"/>
          <w:lang w:val="en-GB" w:eastAsia="en-GB"/>
        </w:rPr>
        <w:t>.</w:t>
      </w:r>
    </w:p>
    <w:p w:rsidR="006638A8" w:rsidRDefault="006638A8" w:rsidP="00177E1D">
      <w:pPr>
        <w:spacing w:after="240" w:line="240" w:lineRule="auto"/>
        <w:ind w:left="360"/>
        <w:contextualSpacing/>
      </w:pPr>
    </w:p>
    <w:p w:rsidR="006638A8" w:rsidRPr="00CB438D" w:rsidRDefault="006638A8" w:rsidP="00177E1D">
      <w:pPr>
        <w:spacing w:after="240"/>
        <w:contextualSpacing/>
        <w:rPr>
          <w:i/>
        </w:rPr>
      </w:pPr>
      <w:r w:rsidRPr="00CB438D">
        <w:rPr>
          <w:i/>
        </w:rPr>
        <w:t xml:space="preserve">Actions by the </w:t>
      </w:r>
      <w:r>
        <w:rPr>
          <w:i/>
        </w:rPr>
        <w:t>Government as employer and funder of social services</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Increased information and promotion to the public and clients about standards to be expected and ways to complain</w:t>
      </w:r>
      <w:r w:rsidR="009873C6">
        <w:rPr>
          <w:rFonts w:eastAsia="Times New Roman" w:cs="Times New Roman"/>
          <w:szCs w:val="20"/>
          <w:lang w:val="en-GB" w:eastAsia="en-GB"/>
        </w:rPr>
        <w:t>.</w:t>
      </w:r>
      <w:r w:rsidRPr="00791494">
        <w:rPr>
          <w:rFonts w:eastAsia="Times New Roman" w:cs="Times New Roman"/>
          <w:szCs w:val="20"/>
          <w:lang w:val="en-GB" w:eastAsia="en-GB"/>
        </w:rPr>
        <w:t xml:space="preserve">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Additional specification by Government about the standards it requires of social workers working in Government agencies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Ensuring the requirements in Government contracts for registered social workers</w:t>
      </w:r>
      <w:r w:rsidR="009873C6">
        <w:rPr>
          <w:rFonts w:eastAsia="Times New Roman" w:cs="Times New Roman"/>
          <w:szCs w:val="20"/>
          <w:lang w:val="en-GB" w:eastAsia="en-GB"/>
        </w:rPr>
        <w:t>.</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t xml:space="preserve">Reviewing the working conditions for social workers, </w:t>
      </w:r>
      <w:proofErr w:type="spellStart"/>
      <w:r w:rsidR="00340B40">
        <w:rPr>
          <w:rFonts w:eastAsia="Times New Roman" w:cs="Times New Roman"/>
          <w:szCs w:val="20"/>
          <w:lang w:val="en-GB" w:eastAsia="en-GB"/>
        </w:rPr>
        <w:t>eg</w:t>
      </w:r>
      <w:proofErr w:type="spellEnd"/>
      <w:r w:rsidRPr="00791494">
        <w:rPr>
          <w:rFonts w:eastAsia="Times New Roman" w:cs="Times New Roman"/>
          <w:szCs w:val="20"/>
          <w:lang w:val="en-GB" w:eastAsia="en-GB"/>
        </w:rPr>
        <w:t xml:space="preserve"> raising salary levels for better qualified and registered </w:t>
      </w:r>
      <w:r w:rsidR="00650DE0">
        <w:rPr>
          <w:rFonts w:eastAsia="Times New Roman" w:cs="Times New Roman"/>
          <w:szCs w:val="20"/>
          <w:lang w:val="en-GB" w:eastAsia="en-GB"/>
        </w:rPr>
        <w:t>social workers</w:t>
      </w:r>
      <w:r w:rsidRPr="00791494">
        <w:rPr>
          <w:rFonts w:eastAsia="Times New Roman" w:cs="Times New Roman"/>
          <w:szCs w:val="20"/>
          <w:lang w:val="en-GB" w:eastAsia="en-GB"/>
        </w:rPr>
        <w:t xml:space="preserve">, and ensuring appropriate supervision and caseloads.  </w:t>
      </w:r>
    </w:p>
    <w:p w:rsidR="006638A8" w:rsidRPr="00791494" w:rsidRDefault="006638A8" w:rsidP="005B5FC6">
      <w:pPr>
        <w:numPr>
          <w:ilvl w:val="1"/>
          <w:numId w:val="17"/>
        </w:numPr>
        <w:spacing w:before="120" w:line="240" w:lineRule="auto"/>
        <w:ind w:left="1134" w:hanging="425"/>
        <w:rPr>
          <w:rFonts w:eastAsia="Times New Roman" w:cs="Times New Roman"/>
          <w:szCs w:val="20"/>
          <w:lang w:val="en-GB" w:eastAsia="en-GB"/>
        </w:rPr>
      </w:pPr>
      <w:r w:rsidRPr="00791494">
        <w:rPr>
          <w:rFonts w:eastAsia="Times New Roman" w:cs="Times New Roman"/>
          <w:szCs w:val="20"/>
          <w:lang w:val="en-GB" w:eastAsia="en-GB"/>
        </w:rPr>
        <w:lastRenderedPageBreak/>
        <w:t>Several other initiatives are also addressing workforce capability</w:t>
      </w:r>
      <w:r w:rsidR="000B5EC5">
        <w:rPr>
          <w:rFonts w:eastAsia="Times New Roman" w:cs="Times New Roman"/>
          <w:szCs w:val="20"/>
          <w:lang w:val="en-GB" w:eastAsia="en-GB"/>
        </w:rPr>
        <w:t>, for example</w:t>
      </w:r>
      <w:r w:rsidRPr="00791494">
        <w:rPr>
          <w:rFonts w:eastAsia="Times New Roman" w:cs="Times New Roman"/>
          <w:szCs w:val="20"/>
          <w:lang w:val="en-GB" w:eastAsia="en-GB"/>
        </w:rPr>
        <w:t xml:space="preserve"> Family Violence </w:t>
      </w:r>
      <w:r w:rsidR="000B5EC5">
        <w:rPr>
          <w:rFonts w:eastAsia="Times New Roman" w:cs="Times New Roman"/>
          <w:szCs w:val="20"/>
          <w:lang w:val="en-GB" w:eastAsia="en-GB"/>
        </w:rPr>
        <w:t xml:space="preserve">initiatives </w:t>
      </w:r>
      <w:r w:rsidRPr="00791494">
        <w:rPr>
          <w:rFonts w:eastAsia="Times New Roman" w:cs="Times New Roman"/>
          <w:szCs w:val="20"/>
          <w:lang w:val="en-GB" w:eastAsia="en-GB"/>
        </w:rPr>
        <w:t xml:space="preserve">and Children’s Action Plans.  </w:t>
      </w:r>
    </w:p>
    <w:p w:rsidR="006638A8" w:rsidRDefault="006638A8" w:rsidP="00177E1D">
      <w:pPr>
        <w:spacing w:after="240" w:line="240" w:lineRule="auto"/>
        <w:contextualSpacing/>
      </w:pPr>
    </w:p>
    <w:p w:rsidR="006638A8" w:rsidRPr="00646B3E" w:rsidRDefault="006638A8" w:rsidP="005B5FC6">
      <w:pPr>
        <w:numPr>
          <w:ilvl w:val="0"/>
          <w:numId w:val="23"/>
        </w:numPr>
        <w:spacing w:after="240" w:line="240" w:lineRule="auto"/>
        <w:ind w:left="567" w:hanging="567"/>
        <w:rPr>
          <w:rFonts w:eastAsia="Times New Roman"/>
          <w:szCs w:val="20"/>
          <w:lang w:val="en-GB" w:eastAsia="en-GB"/>
        </w:rPr>
      </w:pPr>
      <w:r w:rsidRPr="00646B3E">
        <w:rPr>
          <w:rFonts w:eastAsia="Times New Roman"/>
          <w:szCs w:val="20"/>
          <w:lang w:val="en-GB" w:eastAsia="en-GB"/>
        </w:rPr>
        <w:t xml:space="preserve">All of these </w:t>
      </w:r>
      <w:r>
        <w:rPr>
          <w:rFonts w:eastAsia="Times New Roman"/>
          <w:szCs w:val="20"/>
          <w:lang w:val="en-GB" w:eastAsia="en-GB"/>
        </w:rPr>
        <w:t>initiatives</w:t>
      </w:r>
      <w:r w:rsidRPr="00646B3E">
        <w:rPr>
          <w:rFonts w:eastAsia="Times New Roman"/>
          <w:szCs w:val="20"/>
          <w:lang w:val="en-GB" w:eastAsia="en-GB"/>
        </w:rPr>
        <w:t xml:space="preserve"> will be positive steps in meeting the primary objective of improving the skill and quality of the profession, to varying degrees, but they would be complementary to a mandatory regime rather than alternatives.  Some of these options would be easier to implement or enforce under a mandatory regime.</w:t>
      </w:r>
    </w:p>
    <w:p w:rsidR="006638A8" w:rsidRPr="000A1682" w:rsidRDefault="006638A8" w:rsidP="005B5FC6">
      <w:pPr>
        <w:numPr>
          <w:ilvl w:val="0"/>
          <w:numId w:val="23"/>
        </w:numPr>
        <w:spacing w:after="240" w:line="240" w:lineRule="auto"/>
        <w:ind w:left="567" w:hanging="567"/>
        <w:rPr>
          <w:rFonts w:eastAsia="Times New Roman"/>
          <w:szCs w:val="20"/>
          <w:lang w:val="en-GB" w:eastAsia="en-GB"/>
        </w:rPr>
      </w:pPr>
      <w:r w:rsidRPr="000A1682">
        <w:rPr>
          <w:rFonts w:eastAsia="Times New Roman"/>
          <w:szCs w:val="20"/>
          <w:lang w:val="en-GB" w:eastAsia="en-GB"/>
        </w:rPr>
        <w:t>None of these options would improv</w:t>
      </w:r>
      <w:r w:rsidR="00650DE0">
        <w:rPr>
          <w:rFonts w:eastAsia="Times New Roman"/>
          <w:szCs w:val="20"/>
          <w:lang w:val="en-GB" w:eastAsia="en-GB"/>
        </w:rPr>
        <w:t>e</w:t>
      </w:r>
      <w:r w:rsidRPr="000A1682">
        <w:rPr>
          <w:rFonts w:eastAsia="Times New Roman"/>
          <w:szCs w:val="20"/>
          <w:lang w:val="en-GB" w:eastAsia="en-GB"/>
        </w:rPr>
        <w:t xml:space="preserve"> the functioning of the </w:t>
      </w:r>
      <w:r w:rsidR="00650DE0">
        <w:rPr>
          <w:rFonts w:eastAsia="Times New Roman"/>
          <w:szCs w:val="20"/>
          <w:lang w:val="en-GB" w:eastAsia="en-GB"/>
        </w:rPr>
        <w:t xml:space="preserve">SWR </w:t>
      </w:r>
      <w:r w:rsidRPr="000A1682">
        <w:rPr>
          <w:rFonts w:eastAsia="Times New Roman"/>
          <w:szCs w:val="20"/>
          <w:lang w:val="en-GB" w:eastAsia="en-GB"/>
        </w:rPr>
        <w:t xml:space="preserve">Act.  Trying to manage and improve the quality of social workers operating outside the registration regime would continue to be more difficult than under a mandatory regime.  This is particularly the case for small NGOs for whom the registration system fulfils the roles of certification and </w:t>
      </w:r>
      <w:proofErr w:type="spellStart"/>
      <w:r w:rsidRPr="000A1682">
        <w:rPr>
          <w:rFonts w:eastAsia="Times New Roman"/>
          <w:szCs w:val="20"/>
          <w:lang w:val="en-GB" w:eastAsia="en-GB"/>
        </w:rPr>
        <w:t>ongoing</w:t>
      </w:r>
      <w:proofErr w:type="spellEnd"/>
      <w:r w:rsidRPr="000A1682">
        <w:rPr>
          <w:rFonts w:eastAsia="Times New Roman"/>
          <w:szCs w:val="20"/>
          <w:lang w:val="en-GB" w:eastAsia="en-GB"/>
        </w:rPr>
        <w:t xml:space="preserve"> assurance that larger employers could potentially undertake for </w:t>
      </w:r>
      <w:proofErr w:type="gramStart"/>
      <w:r w:rsidRPr="000A1682">
        <w:rPr>
          <w:rFonts w:eastAsia="Times New Roman"/>
          <w:szCs w:val="20"/>
          <w:lang w:val="en-GB" w:eastAsia="en-GB"/>
        </w:rPr>
        <w:t>themselves</w:t>
      </w:r>
      <w:proofErr w:type="gramEnd"/>
      <w:r w:rsidRPr="000A1682">
        <w:rPr>
          <w:rFonts w:eastAsia="Times New Roman"/>
          <w:szCs w:val="20"/>
          <w:lang w:val="en-GB" w:eastAsia="en-GB"/>
        </w:rPr>
        <w:t xml:space="preserve">.  The fact that all government agencies, and the largest NGOs, have policies that support or require </w:t>
      </w:r>
      <w:r>
        <w:rPr>
          <w:rFonts w:eastAsia="Times New Roman"/>
          <w:szCs w:val="20"/>
          <w:lang w:val="en-GB" w:eastAsia="en-GB"/>
        </w:rPr>
        <w:t>social workers to be registered</w:t>
      </w:r>
      <w:r w:rsidRPr="000A1682">
        <w:rPr>
          <w:rFonts w:eastAsia="Times New Roman"/>
          <w:szCs w:val="20"/>
          <w:lang w:val="en-GB" w:eastAsia="en-GB"/>
        </w:rPr>
        <w:t xml:space="preserve"> – and all have a majority of their social workers registered - shows that the sector/industry accepts registration as being of value.</w:t>
      </w:r>
    </w:p>
    <w:p w:rsidR="006638A8" w:rsidRPr="002C76E5" w:rsidRDefault="006638A8"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t>Option 3: L</w:t>
      </w:r>
      <w:r w:rsidRPr="002C76E5">
        <w:rPr>
          <w:rFonts w:eastAsia="Times New Roman" w:cs="Times New Roman"/>
          <w:i/>
          <w:szCs w:val="20"/>
          <w:lang w:val="en-GB" w:eastAsia="en-GB"/>
        </w:rPr>
        <w:t>egislative “tidy up” but no change to the coverage of the regulatory regime</w:t>
      </w:r>
    </w:p>
    <w:p w:rsidR="006638A8" w:rsidRPr="0069299A" w:rsidRDefault="006638A8" w:rsidP="005B5FC6">
      <w:pPr>
        <w:numPr>
          <w:ilvl w:val="0"/>
          <w:numId w:val="23"/>
        </w:numPr>
        <w:spacing w:after="240" w:line="240" w:lineRule="auto"/>
        <w:ind w:left="567" w:hanging="567"/>
        <w:rPr>
          <w:rFonts w:eastAsia="Times New Roman"/>
          <w:szCs w:val="20"/>
          <w:lang w:val="en-GB" w:eastAsia="en-GB"/>
        </w:rPr>
      </w:pPr>
      <w:r w:rsidRPr="0069299A">
        <w:rPr>
          <w:rFonts w:eastAsia="Times New Roman"/>
          <w:szCs w:val="20"/>
          <w:lang w:val="en-GB" w:eastAsia="en-GB"/>
        </w:rPr>
        <w:t xml:space="preserve">This </w:t>
      </w:r>
      <w:r>
        <w:rPr>
          <w:rFonts w:eastAsia="Times New Roman"/>
          <w:szCs w:val="20"/>
          <w:lang w:val="en-GB" w:eastAsia="en-GB"/>
        </w:rPr>
        <w:t xml:space="preserve">option </w:t>
      </w:r>
      <w:r w:rsidRPr="0069299A">
        <w:rPr>
          <w:rFonts w:eastAsia="Times New Roman"/>
          <w:szCs w:val="20"/>
          <w:lang w:val="en-GB" w:eastAsia="en-GB"/>
        </w:rPr>
        <w:t xml:space="preserve">would entail implementing the </w:t>
      </w:r>
      <w:r w:rsidR="00101F12">
        <w:rPr>
          <w:rFonts w:eastAsia="Times New Roman"/>
          <w:szCs w:val="20"/>
          <w:lang w:val="en-GB" w:eastAsia="en-GB"/>
        </w:rPr>
        <w:t xml:space="preserve">Select </w:t>
      </w:r>
      <w:r w:rsidRPr="0069299A">
        <w:rPr>
          <w:rFonts w:eastAsia="Times New Roman"/>
          <w:szCs w:val="20"/>
          <w:lang w:val="en-GB" w:eastAsia="en-GB"/>
        </w:rPr>
        <w:t xml:space="preserve">Committee’s recommendations, except for the shift from voluntary system to a mandatory regime </w:t>
      </w:r>
      <w:r>
        <w:rPr>
          <w:rFonts w:eastAsia="Times New Roman"/>
          <w:szCs w:val="20"/>
          <w:lang w:val="en-GB" w:eastAsia="en-GB"/>
        </w:rPr>
        <w:t>(t</w:t>
      </w:r>
      <w:r w:rsidRPr="0069299A">
        <w:rPr>
          <w:rFonts w:eastAsia="Times New Roman"/>
          <w:szCs w:val="20"/>
          <w:lang w:val="en-GB" w:eastAsia="en-GB"/>
        </w:rPr>
        <w:t>hese recommendations are described in detail below</w:t>
      </w:r>
      <w:r>
        <w:rPr>
          <w:rFonts w:eastAsia="Times New Roman"/>
          <w:szCs w:val="20"/>
          <w:lang w:val="en-GB" w:eastAsia="en-GB"/>
        </w:rPr>
        <w:t>)</w:t>
      </w:r>
      <w:r w:rsidRPr="0069299A">
        <w:rPr>
          <w:rFonts w:eastAsia="Times New Roman"/>
          <w:szCs w:val="20"/>
          <w:lang w:val="en-GB" w:eastAsia="en-GB"/>
        </w:rPr>
        <w:t xml:space="preserve">.  It would entail minor legislative change, and is expected to improve the cost-effectiveness of the functioning of </w:t>
      </w:r>
      <w:r w:rsidR="00CC7880">
        <w:rPr>
          <w:rFonts w:eastAsia="Times New Roman"/>
          <w:szCs w:val="20"/>
          <w:lang w:val="en-GB" w:eastAsia="en-GB"/>
        </w:rPr>
        <w:t>the SWR Act</w:t>
      </w:r>
      <w:r>
        <w:rPr>
          <w:rFonts w:eastAsia="Times New Roman"/>
          <w:szCs w:val="20"/>
          <w:lang w:val="en-GB" w:eastAsia="en-GB"/>
        </w:rPr>
        <w:t xml:space="preserve"> which </w:t>
      </w:r>
      <w:r w:rsidRPr="0069299A">
        <w:rPr>
          <w:rFonts w:eastAsia="Times New Roman"/>
          <w:szCs w:val="20"/>
          <w:lang w:val="en-GB" w:eastAsia="en-GB"/>
        </w:rPr>
        <w:t xml:space="preserve">could be expected to reduce the costs of registration.  </w:t>
      </w:r>
      <w:r>
        <w:rPr>
          <w:rFonts w:eastAsia="Times New Roman"/>
          <w:szCs w:val="20"/>
          <w:lang w:val="en-GB" w:eastAsia="en-GB"/>
        </w:rPr>
        <w:t xml:space="preserve">It might also provide a boost to the voluntary uptake of registration, given reduced costs and a less cumbersome system of competency assessment. </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69299A">
        <w:rPr>
          <w:rFonts w:eastAsia="Times New Roman"/>
          <w:szCs w:val="20"/>
          <w:lang w:val="en-GB" w:eastAsia="en-GB"/>
        </w:rPr>
        <w:t xml:space="preserve">This option would </w:t>
      </w:r>
      <w:r>
        <w:rPr>
          <w:rFonts w:eastAsia="Times New Roman"/>
          <w:szCs w:val="20"/>
          <w:lang w:val="en-GB" w:eastAsia="en-GB"/>
        </w:rPr>
        <w:t xml:space="preserve">also </w:t>
      </w:r>
      <w:r w:rsidRPr="0069299A">
        <w:rPr>
          <w:rFonts w:eastAsia="Times New Roman"/>
          <w:szCs w:val="20"/>
          <w:lang w:val="en-GB" w:eastAsia="en-GB"/>
        </w:rPr>
        <w:t xml:space="preserve">go some way to achieving the </w:t>
      </w:r>
      <w:r>
        <w:rPr>
          <w:rFonts w:eastAsia="Times New Roman"/>
          <w:szCs w:val="20"/>
          <w:lang w:val="en-GB" w:eastAsia="en-GB"/>
        </w:rPr>
        <w:t>subsidiary</w:t>
      </w:r>
      <w:r w:rsidRPr="000A1682">
        <w:rPr>
          <w:rFonts w:eastAsia="Times New Roman"/>
          <w:szCs w:val="20"/>
          <w:lang w:val="en-GB" w:eastAsia="en-GB"/>
        </w:rPr>
        <w:t xml:space="preserve"> </w:t>
      </w:r>
      <w:r w:rsidRPr="0069299A">
        <w:rPr>
          <w:rFonts w:eastAsia="Times New Roman"/>
          <w:szCs w:val="20"/>
          <w:lang w:val="en-GB" w:eastAsia="en-GB"/>
        </w:rPr>
        <w:t xml:space="preserve">objective of improving the functioning of </w:t>
      </w:r>
      <w:r w:rsidR="00CC7880">
        <w:rPr>
          <w:rFonts w:eastAsia="Times New Roman"/>
          <w:szCs w:val="20"/>
          <w:lang w:val="en-GB" w:eastAsia="en-GB"/>
        </w:rPr>
        <w:t>the SWR Act</w:t>
      </w:r>
      <w:r w:rsidRPr="0069299A">
        <w:rPr>
          <w:rFonts w:eastAsia="Times New Roman"/>
          <w:szCs w:val="20"/>
          <w:lang w:val="en-GB" w:eastAsia="en-GB"/>
        </w:rPr>
        <w:t xml:space="preserve">, but </w:t>
      </w:r>
      <w:r>
        <w:rPr>
          <w:rFonts w:eastAsia="Times New Roman"/>
          <w:szCs w:val="20"/>
          <w:lang w:val="en-GB" w:eastAsia="en-GB"/>
        </w:rPr>
        <w:t>does not address the undermining of</w:t>
      </w:r>
      <w:r w:rsidRPr="0069299A">
        <w:rPr>
          <w:rFonts w:eastAsia="Times New Roman"/>
          <w:szCs w:val="20"/>
          <w:lang w:val="en-GB" w:eastAsia="en-GB"/>
        </w:rPr>
        <w:t xml:space="preserve"> its effectiveness </w:t>
      </w:r>
      <w:r>
        <w:rPr>
          <w:rFonts w:eastAsia="Times New Roman"/>
          <w:szCs w:val="20"/>
          <w:lang w:val="en-GB" w:eastAsia="en-GB"/>
        </w:rPr>
        <w:t>because</w:t>
      </w:r>
      <w:r w:rsidRPr="0069299A">
        <w:rPr>
          <w:rFonts w:eastAsia="Times New Roman"/>
          <w:szCs w:val="20"/>
          <w:lang w:val="en-GB" w:eastAsia="en-GB"/>
        </w:rPr>
        <w:t xml:space="preserve"> social workers </w:t>
      </w:r>
      <w:r>
        <w:rPr>
          <w:rFonts w:eastAsia="Times New Roman"/>
          <w:szCs w:val="20"/>
          <w:lang w:val="en-GB" w:eastAsia="en-GB"/>
        </w:rPr>
        <w:t xml:space="preserve">could still continue </w:t>
      </w:r>
      <w:r w:rsidRPr="0069299A">
        <w:rPr>
          <w:rFonts w:eastAsia="Times New Roman"/>
          <w:szCs w:val="20"/>
          <w:lang w:val="en-GB" w:eastAsia="en-GB"/>
        </w:rPr>
        <w:t>to practice outside the regime.</w:t>
      </w:r>
      <w:r>
        <w:rPr>
          <w:rFonts w:eastAsia="Times New Roman"/>
          <w:szCs w:val="20"/>
          <w:lang w:val="en-GB" w:eastAsia="en-GB"/>
        </w:rPr>
        <w:t xml:space="preserve">  It is possible that the improvement gains may not be worth the cost of legislative change.  It would certainly be regarded as a missed opportunity by the </w:t>
      </w:r>
      <w:r w:rsidRPr="00C66A09">
        <w:rPr>
          <w:rFonts w:eastAsia="Times New Roman"/>
          <w:szCs w:val="20"/>
          <w:lang w:val="en-GB" w:eastAsia="en-GB"/>
        </w:rPr>
        <w:t>sector.</w:t>
      </w:r>
      <w:r w:rsidR="009D4A62">
        <w:rPr>
          <w:rFonts w:eastAsia="Times New Roman"/>
          <w:szCs w:val="20"/>
          <w:lang w:val="en-GB" w:eastAsia="en-GB"/>
        </w:rPr>
        <w:t xml:space="preserve"> It also does not resolve the disconnect between the public perception of all persons claiming to be social workers as certified professionals and the reality, that any person can practice as a “social worker” at present.</w:t>
      </w:r>
    </w:p>
    <w:p w:rsidR="006638A8" w:rsidRPr="00C66A09" w:rsidRDefault="006638A8" w:rsidP="00177E1D">
      <w:pPr>
        <w:spacing w:after="240" w:line="240" w:lineRule="auto"/>
        <w:rPr>
          <w:rFonts w:eastAsia="Times New Roman" w:cs="Times New Roman"/>
          <w:i/>
          <w:szCs w:val="20"/>
          <w:lang w:val="en-GB" w:eastAsia="en-GB"/>
        </w:rPr>
      </w:pPr>
      <w:r w:rsidRPr="00C66A09">
        <w:rPr>
          <w:rFonts w:eastAsia="Times New Roman" w:cs="Times New Roman"/>
          <w:i/>
          <w:szCs w:val="20"/>
          <w:lang w:val="en-GB" w:eastAsia="en-GB"/>
        </w:rPr>
        <w:t>Option 4: Extension of the coverage of the regulatory regime</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C66A09">
        <w:rPr>
          <w:rFonts w:eastAsia="Times New Roman"/>
          <w:szCs w:val="20"/>
          <w:lang w:val="en-GB" w:eastAsia="en-GB"/>
        </w:rPr>
        <w:t xml:space="preserve">Under Option 4 we have considered three levels of regulation which would progressively extend the current regime.  These are linked to levels </w:t>
      </w:r>
      <w:r w:rsidR="005517FA">
        <w:rPr>
          <w:rFonts w:eastAsia="Times New Roman"/>
          <w:szCs w:val="20"/>
          <w:lang w:val="en-GB" w:eastAsia="en-GB"/>
        </w:rPr>
        <w:t>three</w:t>
      </w:r>
      <w:r w:rsidRPr="00C66A09">
        <w:rPr>
          <w:rFonts w:eastAsia="Times New Roman"/>
          <w:szCs w:val="20"/>
          <w:lang w:val="en-GB" w:eastAsia="en-GB"/>
        </w:rPr>
        <w:t xml:space="preserve"> to </w:t>
      </w:r>
      <w:r w:rsidR="005517FA">
        <w:rPr>
          <w:rFonts w:eastAsia="Times New Roman"/>
          <w:szCs w:val="20"/>
          <w:lang w:val="en-GB" w:eastAsia="en-GB"/>
        </w:rPr>
        <w:t>five</w:t>
      </w:r>
      <w:r w:rsidRPr="00C66A09">
        <w:rPr>
          <w:rFonts w:eastAsia="Times New Roman"/>
          <w:szCs w:val="20"/>
          <w:lang w:val="en-GB" w:eastAsia="en-GB"/>
        </w:rPr>
        <w:t xml:space="preserve"> of the Policy Framework for Occupational Regulation (the Policy Framework) [Cabinet Office Circular (99) 6 refers] which sets the following five levels of statutory occupational regulation:</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Disclosure:</w:t>
      </w:r>
      <w:r w:rsidRPr="00C66A09">
        <w:rPr>
          <w:rFonts w:eastAsia="Times New Roman" w:cs="Times New Roman"/>
          <w:szCs w:val="20"/>
          <w:lang w:val="en-GB" w:eastAsia="en-GB"/>
        </w:rPr>
        <w:t xml:space="preserve"> Providers of a service are required to disclose specified information to prospective users of the service</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Registration:</w:t>
      </w:r>
      <w:r w:rsidRPr="00C66A09">
        <w:rPr>
          <w:rFonts w:eastAsia="Times New Roman" w:cs="Times New Roman"/>
          <w:szCs w:val="20"/>
          <w:lang w:val="en-GB" w:eastAsia="en-GB"/>
        </w:rPr>
        <w:t xml:space="preserve"> There are no restrictions to entry to the occupation apart from the requirement to be on the register if a person wishes to enter, or continue to practise, a particular occupation</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Certification</w:t>
      </w:r>
      <w:r w:rsidRPr="00C66A09">
        <w:rPr>
          <w:rFonts w:eastAsia="Times New Roman" w:cs="Times New Roman"/>
          <w:szCs w:val="20"/>
          <w:lang w:val="en-GB" w:eastAsia="en-GB"/>
        </w:rPr>
        <w:t xml:space="preserve">: an agency is given the power to legally certify that certain people are competent and professional practitioners of a given profession, having satisfied particular requirements that indicate their competence in a particular field.  Certified practitioners have an exclusive right to use a protected title – non-certified people can still practice in the field but may not call themselves by that title </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lastRenderedPageBreak/>
        <w:t>Licensing tasks:</w:t>
      </w:r>
      <w:r w:rsidRPr="00C66A09">
        <w:rPr>
          <w:rFonts w:eastAsia="Times New Roman" w:cs="Times New Roman"/>
          <w:szCs w:val="20"/>
          <w:lang w:val="en-GB" w:eastAsia="en-GB"/>
        </w:rPr>
        <w:t xml:space="preserve"> This involves enacting legislation to grant an exclusive right to perform certain tasks to defined groups of people, such as statutory social work tasks</w:t>
      </w:r>
    </w:p>
    <w:p w:rsidR="006638A8" w:rsidRPr="00C66A09" w:rsidRDefault="006638A8" w:rsidP="005B5FC6">
      <w:pPr>
        <w:pStyle w:val="ListParagraph"/>
        <w:numPr>
          <w:ilvl w:val="0"/>
          <w:numId w:val="19"/>
        </w:numPr>
        <w:spacing w:after="240" w:line="240" w:lineRule="auto"/>
        <w:ind w:left="1134" w:hanging="567"/>
        <w:rPr>
          <w:rFonts w:eastAsia="Times New Roman" w:cs="Times New Roman"/>
          <w:szCs w:val="20"/>
          <w:lang w:val="en-GB" w:eastAsia="en-GB"/>
        </w:rPr>
      </w:pPr>
      <w:r w:rsidRPr="00C66A09">
        <w:rPr>
          <w:rFonts w:eastAsia="Times New Roman" w:cs="Times New Roman"/>
          <w:i/>
          <w:szCs w:val="20"/>
          <w:lang w:val="en-GB" w:eastAsia="en-GB"/>
        </w:rPr>
        <w:t>Licensing workers in an occupation:</w:t>
      </w:r>
      <w:r w:rsidRPr="00C66A09">
        <w:rPr>
          <w:rFonts w:eastAsia="Times New Roman" w:cs="Times New Roman"/>
          <w:szCs w:val="20"/>
          <w:lang w:val="en-GB" w:eastAsia="en-GB"/>
        </w:rPr>
        <w:t xml:space="preserve"> This regime explicitly prohibits all but licensed persons from offering certain services, and practicing in the specified field.</w:t>
      </w:r>
    </w:p>
    <w:p w:rsidR="006638A8" w:rsidRPr="00C66A09" w:rsidRDefault="006638A8" w:rsidP="00177E1D">
      <w:pPr>
        <w:spacing w:after="240" w:line="240" w:lineRule="auto"/>
        <w:rPr>
          <w:rFonts w:eastAsia="Times New Roman" w:cs="Times New Roman"/>
          <w:i/>
          <w:szCs w:val="20"/>
          <w:u w:val="single"/>
          <w:lang w:val="en-GB" w:eastAsia="en-GB"/>
        </w:rPr>
      </w:pPr>
      <w:r w:rsidRPr="00C66A09">
        <w:rPr>
          <w:rFonts w:eastAsia="Times New Roman" w:cs="Times New Roman"/>
          <w:i/>
          <w:szCs w:val="20"/>
          <w:u w:val="single"/>
          <w:lang w:val="en-GB" w:eastAsia="en-GB"/>
        </w:rPr>
        <w:t xml:space="preserve">Extension to Level </w:t>
      </w:r>
      <w:r w:rsidR="005517FA">
        <w:rPr>
          <w:rFonts w:eastAsia="Times New Roman" w:cs="Times New Roman"/>
          <w:i/>
          <w:szCs w:val="20"/>
          <w:u w:val="single"/>
          <w:lang w:val="en-GB" w:eastAsia="en-GB"/>
        </w:rPr>
        <w:t>Three</w:t>
      </w:r>
      <w:r w:rsidRPr="00C66A09">
        <w:rPr>
          <w:rFonts w:eastAsia="Times New Roman" w:cs="Times New Roman"/>
          <w:i/>
          <w:szCs w:val="20"/>
          <w:u w:val="single"/>
          <w:lang w:val="en-GB" w:eastAsia="en-GB"/>
        </w:rPr>
        <w:t>: Certification and title protection</w:t>
      </w:r>
    </w:p>
    <w:p w:rsidR="00865323" w:rsidRDefault="006638A8" w:rsidP="005B5FC6">
      <w:pPr>
        <w:pStyle w:val="ListParagraph"/>
        <w:numPr>
          <w:ilvl w:val="0"/>
          <w:numId w:val="23"/>
        </w:numPr>
        <w:spacing w:after="240" w:line="240" w:lineRule="auto"/>
        <w:ind w:left="567" w:hanging="567"/>
        <w:contextualSpacing w:val="0"/>
        <w:rPr>
          <w:rFonts w:eastAsia="Times New Roman"/>
          <w:szCs w:val="20"/>
          <w:lang w:val="en-GB" w:eastAsia="en-GB"/>
        </w:rPr>
      </w:pPr>
      <w:r w:rsidRPr="00177E1D">
        <w:rPr>
          <w:rFonts w:eastAsia="Times New Roman"/>
          <w:szCs w:val="20"/>
          <w:lang w:val="en-GB" w:eastAsia="en-GB"/>
        </w:rPr>
        <w:t xml:space="preserve">This </w:t>
      </w:r>
      <w:r w:rsidR="00C66A09" w:rsidRPr="00177E1D">
        <w:rPr>
          <w:rFonts w:eastAsia="Times New Roman"/>
          <w:szCs w:val="20"/>
          <w:lang w:val="en-GB" w:eastAsia="en-GB"/>
        </w:rPr>
        <w:t xml:space="preserve">change </w:t>
      </w:r>
      <w:r w:rsidRPr="00177E1D">
        <w:rPr>
          <w:rFonts w:eastAsia="Times New Roman"/>
          <w:szCs w:val="20"/>
          <w:lang w:val="en-GB" w:eastAsia="en-GB"/>
        </w:rPr>
        <w:t xml:space="preserve">would </w:t>
      </w:r>
      <w:r w:rsidR="00C66A09" w:rsidRPr="00177E1D">
        <w:rPr>
          <w:rFonts w:eastAsia="Times New Roman"/>
          <w:szCs w:val="20"/>
          <w:lang w:val="en-GB" w:eastAsia="en-GB"/>
        </w:rPr>
        <w:t>move to title protection of the</w:t>
      </w:r>
      <w:r w:rsidRPr="00177E1D">
        <w:rPr>
          <w:rFonts w:eastAsia="Times New Roman"/>
          <w:szCs w:val="20"/>
          <w:lang w:val="en-GB" w:eastAsia="en-GB"/>
        </w:rPr>
        <w:t xml:space="preserve"> wider </w:t>
      </w:r>
      <w:r w:rsidR="00C66A09" w:rsidRPr="00177E1D">
        <w:rPr>
          <w:rFonts w:eastAsia="Times New Roman"/>
          <w:szCs w:val="20"/>
          <w:lang w:val="en-GB" w:eastAsia="en-GB"/>
        </w:rPr>
        <w:t>title “social w</w:t>
      </w:r>
      <w:r w:rsidRPr="00177E1D">
        <w:rPr>
          <w:rFonts w:eastAsia="Times New Roman"/>
          <w:szCs w:val="20"/>
          <w:lang w:val="en-GB" w:eastAsia="en-GB"/>
        </w:rPr>
        <w:t>orker</w:t>
      </w:r>
      <w:r w:rsidR="00C66A09" w:rsidRPr="00177E1D">
        <w:rPr>
          <w:rFonts w:eastAsia="Times New Roman"/>
          <w:szCs w:val="20"/>
          <w:lang w:val="en-GB" w:eastAsia="en-GB"/>
        </w:rPr>
        <w:t>”</w:t>
      </w:r>
      <w:r w:rsidR="00AC1FE2" w:rsidRPr="00177E1D">
        <w:rPr>
          <w:rFonts w:eastAsia="Times New Roman"/>
          <w:szCs w:val="20"/>
          <w:lang w:val="en-GB" w:eastAsia="en-GB"/>
        </w:rPr>
        <w:t>, rather than the present protection of “registered social worker”</w:t>
      </w:r>
      <w:r w:rsidRPr="00177E1D">
        <w:rPr>
          <w:rFonts w:eastAsia="Times New Roman"/>
          <w:szCs w:val="20"/>
          <w:lang w:val="en-GB" w:eastAsia="en-GB"/>
        </w:rPr>
        <w:t xml:space="preserve">.  This is </w:t>
      </w:r>
      <w:r w:rsidR="00650DE0">
        <w:rPr>
          <w:rFonts w:eastAsia="Times New Roman"/>
          <w:szCs w:val="20"/>
          <w:lang w:val="en-GB" w:eastAsia="en-GB"/>
        </w:rPr>
        <w:t xml:space="preserve">primarily </w:t>
      </w:r>
      <w:r w:rsidRPr="00310CD2">
        <w:rPr>
          <w:rFonts w:eastAsia="Times New Roman"/>
          <w:szCs w:val="20"/>
          <w:lang w:val="en-GB" w:eastAsia="en-GB"/>
        </w:rPr>
        <w:t xml:space="preserve">the same level of regulation </w:t>
      </w:r>
      <w:r w:rsidR="00AC1FE2" w:rsidRPr="00310CD2">
        <w:rPr>
          <w:rFonts w:eastAsia="Times New Roman"/>
          <w:szCs w:val="20"/>
          <w:lang w:val="en-GB" w:eastAsia="en-GB"/>
        </w:rPr>
        <w:t>that applies</w:t>
      </w:r>
      <w:r w:rsidRPr="00310CD2">
        <w:rPr>
          <w:rFonts w:eastAsia="Times New Roman"/>
          <w:szCs w:val="20"/>
          <w:lang w:val="en-GB" w:eastAsia="en-GB"/>
        </w:rPr>
        <w:t xml:space="preserve"> to </w:t>
      </w:r>
      <w:r w:rsidR="005F11AA" w:rsidRPr="00310CD2">
        <w:rPr>
          <w:rFonts w:eastAsia="Times New Roman"/>
          <w:szCs w:val="20"/>
          <w:lang w:val="en-GB" w:eastAsia="en-GB"/>
        </w:rPr>
        <w:t xml:space="preserve">health practitioners who are registered under the </w:t>
      </w:r>
      <w:r w:rsidR="001913C7" w:rsidRPr="002A5D5B">
        <w:rPr>
          <w:rFonts w:eastAsia="Times New Roman" w:cs="Times New Roman"/>
          <w:szCs w:val="20"/>
          <w:lang w:val="en-GB" w:eastAsia="en-GB"/>
        </w:rPr>
        <w:t xml:space="preserve">Health Practitioners Competence Assurance Act </w:t>
      </w:r>
      <w:r w:rsidR="001913C7">
        <w:rPr>
          <w:rFonts w:eastAsia="Times New Roman" w:cs="Times New Roman"/>
          <w:szCs w:val="20"/>
          <w:lang w:val="en-GB" w:eastAsia="en-GB"/>
        </w:rPr>
        <w:t>2003 (</w:t>
      </w:r>
      <w:r w:rsidR="001913C7">
        <w:rPr>
          <w:rFonts w:eastAsia="Times New Roman"/>
          <w:szCs w:val="20"/>
          <w:lang w:val="en-GB" w:eastAsia="en-GB"/>
        </w:rPr>
        <w:t>HPCA Act)</w:t>
      </w:r>
      <w:r w:rsidR="005F11AA" w:rsidRPr="00310CD2">
        <w:rPr>
          <w:rFonts w:eastAsia="Times New Roman"/>
          <w:szCs w:val="20"/>
          <w:lang w:val="en-GB" w:eastAsia="en-GB"/>
        </w:rPr>
        <w:t>.  Only</w:t>
      </w:r>
      <w:r w:rsidR="005F11AA">
        <w:rPr>
          <w:rFonts w:eastAsia="Times New Roman"/>
          <w:szCs w:val="20"/>
          <w:lang w:val="en-GB" w:eastAsia="en-GB"/>
        </w:rPr>
        <w:t xml:space="preserve"> they</w:t>
      </w:r>
      <w:r w:rsidR="005F11AA" w:rsidRPr="00177E1D">
        <w:rPr>
          <w:rFonts w:eastAsia="Times New Roman"/>
          <w:szCs w:val="20"/>
          <w:lang w:val="en-GB" w:eastAsia="en-GB"/>
        </w:rPr>
        <w:t xml:space="preserve"> are able to use the titles protected by the </w:t>
      </w:r>
      <w:r w:rsidR="00CC7880">
        <w:rPr>
          <w:rFonts w:eastAsia="Times New Roman"/>
          <w:szCs w:val="20"/>
          <w:lang w:val="en-GB" w:eastAsia="en-GB"/>
        </w:rPr>
        <w:t xml:space="preserve">HPCA </w:t>
      </w:r>
      <w:r w:rsidR="005F11AA" w:rsidRPr="00177E1D">
        <w:rPr>
          <w:rFonts w:eastAsia="Times New Roman"/>
          <w:szCs w:val="20"/>
          <w:lang w:val="en-GB" w:eastAsia="en-GB"/>
        </w:rPr>
        <w:t xml:space="preserve">Act </w:t>
      </w:r>
      <w:proofErr w:type="spellStart"/>
      <w:r w:rsidR="00340B40">
        <w:rPr>
          <w:rFonts w:eastAsia="Times New Roman"/>
          <w:szCs w:val="20"/>
          <w:lang w:val="en-GB" w:eastAsia="en-GB"/>
        </w:rPr>
        <w:t>eg</w:t>
      </w:r>
      <w:proofErr w:type="spellEnd"/>
      <w:r w:rsidR="00865323">
        <w:rPr>
          <w:rFonts w:eastAsia="Times New Roman"/>
          <w:szCs w:val="20"/>
          <w:lang w:val="en-GB" w:eastAsia="en-GB"/>
        </w:rPr>
        <w:t xml:space="preserve"> “Nurse” </w:t>
      </w:r>
      <w:r w:rsidR="005F11AA" w:rsidRPr="00177E1D">
        <w:rPr>
          <w:rFonts w:eastAsia="Times New Roman"/>
          <w:szCs w:val="20"/>
          <w:lang w:val="en-GB" w:eastAsia="en-GB"/>
        </w:rPr>
        <w:t xml:space="preserve">or claim to be practising a profession that is regulated by the </w:t>
      </w:r>
      <w:r w:rsidR="00D13570">
        <w:rPr>
          <w:rFonts w:eastAsia="Times New Roman"/>
          <w:szCs w:val="20"/>
          <w:lang w:val="en-GB" w:eastAsia="en-GB"/>
        </w:rPr>
        <w:t xml:space="preserve">HPCA </w:t>
      </w:r>
      <w:r w:rsidR="005F11AA" w:rsidRPr="00177E1D">
        <w:rPr>
          <w:rFonts w:eastAsia="Times New Roman"/>
          <w:szCs w:val="20"/>
          <w:lang w:val="en-GB" w:eastAsia="en-GB"/>
        </w:rPr>
        <w:t>Act</w:t>
      </w:r>
      <w:r w:rsidRPr="00177E1D">
        <w:rPr>
          <w:rFonts w:eastAsia="Times New Roman"/>
          <w:szCs w:val="20"/>
          <w:lang w:val="en-GB" w:eastAsia="en-GB"/>
        </w:rPr>
        <w:t xml:space="preserve">.  </w:t>
      </w:r>
      <w:r w:rsidR="00EF1FBA" w:rsidRPr="00EB09AA">
        <w:rPr>
          <w:rFonts w:eastAsia="Times New Roman"/>
          <w:szCs w:val="20"/>
          <w:lang w:val="en-GB" w:eastAsia="en-GB"/>
        </w:rPr>
        <w:t>However, any non-registered person may carry out those activities as long as they do not use the protected titles.</w:t>
      </w:r>
      <w:r w:rsidR="00EF1FBA">
        <w:rPr>
          <w:rFonts w:eastAsia="Times New Roman"/>
          <w:szCs w:val="20"/>
          <w:lang w:val="en-GB" w:eastAsia="en-GB"/>
        </w:rPr>
        <w:t xml:space="preserve">  </w:t>
      </w:r>
      <w:r w:rsidR="005F11AA">
        <w:rPr>
          <w:rFonts w:eastAsia="Times New Roman"/>
          <w:szCs w:val="20"/>
          <w:lang w:val="en-GB" w:eastAsia="en-GB"/>
        </w:rPr>
        <w:t>O</w:t>
      </w:r>
      <w:r w:rsidR="005F11AA" w:rsidRPr="00177E1D">
        <w:rPr>
          <w:rFonts w:eastAsia="Times New Roman"/>
          <w:szCs w:val="20"/>
          <w:lang w:val="en-GB" w:eastAsia="en-GB"/>
        </w:rPr>
        <w:t>nce registered, a registered health practitioner must operate within an approved scope of practice.</w:t>
      </w:r>
      <w:r w:rsidR="005F11AA">
        <w:rPr>
          <w:rFonts w:eastAsia="Times New Roman"/>
          <w:szCs w:val="20"/>
          <w:lang w:val="en-GB" w:eastAsia="en-GB"/>
        </w:rPr>
        <w:t xml:space="preserve"> </w:t>
      </w:r>
      <w:r w:rsidR="005F11AA" w:rsidRPr="00177E1D">
        <w:rPr>
          <w:rFonts w:eastAsia="Times New Roman"/>
          <w:szCs w:val="20"/>
          <w:lang w:val="en-GB" w:eastAsia="en-GB"/>
        </w:rPr>
        <w:t xml:space="preserve"> </w:t>
      </w:r>
      <w:r w:rsidR="003560CF">
        <w:rPr>
          <w:rFonts w:eastAsia="Times New Roman"/>
          <w:szCs w:val="20"/>
          <w:lang w:val="en-GB" w:eastAsia="en-GB"/>
        </w:rPr>
        <w:t xml:space="preserve">Scopes of practice are </w:t>
      </w:r>
      <w:r w:rsidR="005F11AA">
        <w:rPr>
          <w:rFonts w:eastAsia="Times New Roman"/>
          <w:szCs w:val="20"/>
          <w:lang w:val="en-GB" w:eastAsia="en-GB"/>
        </w:rPr>
        <w:t xml:space="preserve">not </w:t>
      </w:r>
      <w:r w:rsidR="005F11AA" w:rsidRPr="00177E1D">
        <w:rPr>
          <w:rFonts w:eastAsia="Times New Roman"/>
          <w:szCs w:val="20"/>
          <w:lang w:val="en-GB" w:eastAsia="en-GB"/>
        </w:rPr>
        <w:t>specifically outlined in the Cabinet framework</w:t>
      </w:r>
      <w:r w:rsidR="005F11AA">
        <w:rPr>
          <w:rFonts w:eastAsia="Times New Roman"/>
          <w:szCs w:val="20"/>
          <w:lang w:val="en-GB" w:eastAsia="en-GB"/>
        </w:rPr>
        <w:t xml:space="preserve">, but </w:t>
      </w:r>
      <w:r w:rsidR="00865323">
        <w:rPr>
          <w:rFonts w:eastAsia="Times New Roman"/>
          <w:szCs w:val="20"/>
          <w:lang w:val="en-GB" w:eastAsia="en-GB"/>
        </w:rPr>
        <w:t xml:space="preserve">developing </w:t>
      </w:r>
      <w:r w:rsidR="003560CF">
        <w:rPr>
          <w:rFonts w:eastAsia="Times New Roman"/>
          <w:szCs w:val="20"/>
          <w:lang w:val="en-GB" w:eastAsia="en-GB"/>
        </w:rPr>
        <w:t xml:space="preserve">them </w:t>
      </w:r>
      <w:r w:rsidR="00865323">
        <w:rPr>
          <w:rFonts w:eastAsia="Times New Roman"/>
          <w:szCs w:val="20"/>
          <w:lang w:val="en-GB" w:eastAsia="en-GB"/>
        </w:rPr>
        <w:t xml:space="preserve">allows the regulating authority to develop more detailed requirements for specialist practitioners, and to stop practitioners working in a field they are not qualified in </w:t>
      </w:r>
      <w:proofErr w:type="spellStart"/>
      <w:r w:rsidR="00340B40">
        <w:rPr>
          <w:rFonts w:eastAsia="Times New Roman"/>
          <w:szCs w:val="20"/>
          <w:lang w:val="en-GB" w:eastAsia="en-GB"/>
        </w:rPr>
        <w:t>eg</w:t>
      </w:r>
      <w:proofErr w:type="spellEnd"/>
      <w:r w:rsidR="00865323">
        <w:rPr>
          <w:rFonts w:eastAsia="Times New Roman"/>
          <w:szCs w:val="20"/>
          <w:lang w:val="en-GB" w:eastAsia="en-GB"/>
        </w:rPr>
        <w:t xml:space="preserve"> a </w:t>
      </w:r>
      <w:r w:rsidR="006D44F9">
        <w:rPr>
          <w:rFonts w:eastAsia="Times New Roman"/>
          <w:szCs w:val="20"/>
          <w:lang w:val="en-GB" w:eastAsia="en-GB"/>
        </w:rPr>
        <w:t>neuro</w:t>
      </w:r>
      <w:r w:rsidR="00865323">
        <w:rPr>
          <w:rFonts w:eastAsia="Times New Roman"/>
          <w:szCs w:val="20"/>
          <w:lang w:val="en-GB" w:eastAsia="en-GB"/>
        </w:rPr>
        <w:t xml:space="preserve">surgeon practicing </w:t>
      </w:r>
      <w:r w:rsidR="006D44F9">
        <w:rPr>
          <w:rFonts w:eastAsia="Times New Roman"/>
          <w:szCs w:val="20"/>
          <w:lang w:val="en-GB" w:eastAsia="en-GB"/>
        </w:rPr>
        <w:t>cardiothoracic surgery</w:t>
      </w:r>
      <w:r w:rsidR="00865323">
        <w:rPr>
          <w:rFonts w:eastAsia="Times New Roman"/>
          <w:szCs w:val="20"/>
          <w:lang w:val="en-GB" w:eastAsia="en-GB"/>
        </w:rPr>
        <w:t>.</w:t>
      </w:r>
    </w:p>
    <w:p w:rsidR="00EF1FBA" w:rsidRPr="00C66A09" w:rsidRDefault="003560CF"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Making s</w:t>
      </w:r>
      <w:r w:rsidR="00EF1FBA">
        <w:rPr>
          <w:rFonts w:eastAsia="Times New Roman"/>
          <w:szCs w:val="20"/>
          <w:lang w:val="en-GB" w:eastAsia="en-GB"/>
        </w:rPr>
        <w:t>uch a</w:t>
      </w:r>
      <w:r w:rsidR="00EF1FBA" w:rsidRPr="00C66A09">
        <w:rPr>
          <w:rFonts w:eastAsia="Times New Roman"/>
          <w:szCs w:val="20"/>
          <w:lang w:val="en-GB" w:eastAsia="en-GB"/>
        </w:rPr>
        <w:t xml:space="preserve"> change </w:t>
      </w:r>
      <w:r w:rsidR="00EF1FBA">
        <w:rPr>
          <w:rFonts w:eastAsia="Times New Roman"/>
          <w:szCs w:val="20"/>
          <w:lang w:val="en-GB" w:eastAsia="en-GB"/>
        </w:rPr>
        <w:t xml:space="preserve">to the SWR Act </w:t>
      </w:r>
      <w:r w:rsidR="00EF1FBA" w:rsidRPr="00C66A09">
        <w:rPr>
          <w:rFonts w:eastAsia="Times New Roman"/>
          <w:szCs w:val="20"/>
          <w:lang w:val="en-GB" w:eastAsia="en-GB"/>
        </w:rPr>
        <w:t>would be expected to bring in most</w:t>
      </w:r>
      <w:r w:rsidR="00C82B1A">
        <w:rPr>
          <w:rFonts w:eastAsia="Times New Roman"/>
          <w:szCs w:val="20"/>
          <w:lang w:val="en-GB" w:eastAsia="en-GB"/>
        </w:rPr>
        <w:t xml:space="preserve"> </w:t>
      </w:r>
      <w:r w:rsidR="00EF1FBA" w:rsidRPr="00C66A09">
        <w:rPr>
          <w:rFonts w:eastAsia="Times New Roman"/>
          <w:szCs w:val="20"/>
          <w:lang w:val="en-GB" w:eastAsia="en-GB"/>
        </w:rPr>
        <w:t xml:space="preserve">of the estimated 2,000 currently practicing social workers who are choosing not to </w:t>
      </w:r>
      <w:r w:rsidR="00EF1FBA">
        <w:rPr>
          <w:rFonts w:eastAsia="Times New Roman"/>
          <w:szCs w:val="20"/>
          <w:lang w:val="en-GB" w:eastAsia="en-GB"/>
        </w:rPr>
        <w:t xml:space="preserve">register.  </w:t>
      </w:r>
      <w:r w:rsidR="00C82B1A">
        <w:rPr>
          <w:rFonts w:eastAsia="Times New Roman"/>
          <w:szCs w:val="20"/>
          <w:lang w:val="en-GB" w:eastAsia="en-GB"/>
        </w:rPr>
        <w:t>(</w:t>
      </w:r>
      <w:r w:rsidR="00C82B1A">
        <w:t xml:space="preserve">At least 1,200 are thought to be immediately able to meet current registration requirements, and there are ways forward for most others.) </w:t>
      </w:r>
      <w:r w:rsidR="00C82B1A">
        <w:rPr>
          <w:rFonts w:eastAsia="Times New Roman"/>
          <w:szCs w:val="20"/>
          <w:lang w:val="en-GB" w:eastAsia="en-GB"/>
        </w:rPr>
        <w:t xml:space="preserve"> </w:t>
      </w:r>
      <w:r w:rsidR="00AD30A2">
        <w:rPr>
          <w:rFonts w:eastAsia="Times New Roman"/>
          <w:szCs w:val="20"/>
          <w:lang w:val="en-GB" w:eastAsia="en-GB"/>
        </w:rPr>
        <w:t xml:space="preserve">The primary mechanism </w:t>
      </w:r>
      <w:r w:rsidR="00D255A3">
        <w:rPr>
          <w:rFonts w:eastAsia="Times New Roman"/>
          <w:szCs w:val="20"/>
          <w:lang w:val="en-GB" w:eastAsia="en-GB"/>
        </w:rPr>
        <w:t xml:space="preserve">would </w:t>
      </w:r>
      <w:r w:rsidR="00AD30A2">
        <w:rPr>
          <w:rFonts w:eastAsia="Times New Roman"/>
          <w:szCs w:val="20"/>
          <w:lang w:val="en-GB" w:eastAsia="en-GB"/>
        </w:rPr>
        <w:t>be the requirement arising from</w:t>
      </w:r>
      <w:r w:rsidR="00D13570">
        <w:rPr>
          <w:rFonts w:eastAsia="Times New Roman"/>
          <w:szCs w:val="20"/>
          <w:lang w:val="en-GB" w:eastAsia="en-GB"/>
        </w:rPr>
        <w:t xml:space="preserve"> </w:t>
      </w:r>
      <w:r w:rsidR="00EF1FBA">
        <w:rPr>
          <w:rFonts w:eastAsia="Times New Roman"/>
          <w:szCs w:val="20"/>
          <w:lang w:val="en-GB" w:eastAsia="en-GB"/>
        </w:rPr>
        <w:t>current</w:t>
      </w:r>
      <w:r w:rsidR="00EF1FBA" w:rsidRPr="00C66A09">
        <w:rPr>
          <w:rFonts w:eastAsia="Times New Roman"/>
          <w:szCs w:val="20"/>
          <w:lang w:val="en-GB" w:eastAsia="en-GB"/>
        </w:rPr>
        <w:t xml:space="preserve"> job titles and </w:t>
      </w:r>
      <w:r w:rsidR="00D255A3">
        <w:rPr>
          <w:rFonts w:eastAsia="Times New Roman"/>
          <w:szCs w:val="20"/>
          <w:lang w:val="en-GB" w:eastAsia="en-GB"/>
        </w:rPr>
        <w:t>contracts</w:t>
      </w:r>
      <w:r w:rsidR="00AD30A2">
        <w:rPr>
          <w:rFonts w:eastAsia="Times New Roman"/>
          <w:szCs w:val="20"/>
          <w:lang w:val="en-GB" w:eastAsia="en-GB"/>
        </w:rPr>
        <w:t>, as well as</w:t>
      </w:r>
      <w:r w:rsidR="00D255A3">
        <w:rPr>
          <w:rFonts w:eastAsia="Times New Roman"/>
          <w:szCs w:val="20"/>
          <w:lang w:val="en-GB" w:eastAsia="en-GB"/>
        </w:rPr>
        <w:t xml:space="preserve"> </w:t>
      </w:r>
      <w:r w:rsidR="00EF1FBA">
        <w:rPr>
          <w:rFonts w:eastAsia="Times New Roman"/>
          <w:szCs w:val="20"/>
          <w:lang w:val="en-GB" w:eastAsia="en-GB"/>
        </w:rPr>
        <w:t xml:space="preserve">any </w:t>
      </w:r>
      <w:r w:rsidR="00EF1FBA" w:rsidRPr="00C66A09">
        <w:rPr>
          <w:rFonts w:eastAsia="Times New Roman"/>
          <w:szCs w:val="20"/>
          <w:lang w:val="en-GB" w:eastAsia="en-GB"/>
        </w:rPr>
        <w:t>statutory references</w:t>
      </w:r>
      <w:r w:rsidR="00AD30A2">
        <w:rPr>
          <w:rFonts w:eastAsia="Times New Roman"/>
          <w:szCs w:val="20"/>
          <w:lang w:val="en-GB" w:eastAsia="en-GB"/>
        </w:rPr>
        <w:t xml:space="preserve"> to “social workers”</w:t>
      </w:r>
      <w:r w:rsidR="00EF1FBA" w:rsidRPr="00C66A09">
        <w:rPr>
          <w:rFonts w:eastAsia="Times New Roman"/>
          <w:szCs w:val="20"/>
          <w:lang w:val="en-GB" w:eastAsia="en-GB"/>
        </w:rPr>
        <w:t>.</w:t>
      </w:r>
      <w:r w:rsidR="00EF1FBA">
        <w:rPr>
          <w:rFonts w:eastAsia="Times New Roman"/>
          <w:szCs w:val="20"/>
          <w:lang w:val="en-GB" w:eastAsia="en-GB"/>
        </w:rPr>
        <w:t xml:space="preserve"> </w:t>
      </w:r>
      <w:r w:rsidR="00EF1FBA" w:rsidRPr="00AC1FE2">
        <w:rPr>
          <w:rFonts w:eastAsia="Times New Roman"/>
          <w:szCs w:val="20"/>
          <w:lang w:val="en-GB" w:eastAsia="en-GB"/>
        </w:rPr>
        <w:t xml:space="preserve"> </w:t>
      </w:r>
      <w:r w:rsidR="00EF1FBA">
        <w:rPr>
          <w:rFonts w:eastAsia="Times New Roman"/>
          <w:szCs w:val="20"/>
          <w:lang w:val="en-GB" w:eastAsia="en-GB"/>
        </w:rPr>
        <w:t xml:space="preserve">The only people who could call themselves social workers, or undertake a role with the job title “social worker”, would be people who were registered with the Board.  </w:t>
      </w:r>
      <w:r w:rsidR="00C703A4" w:rsidRPr="004F4A36">
        <w:rPr>
          <w:rFonts w:eastAsia="Times New Roman"/>
          <w:szCs w:val="20"/>
          <w:lang w:val="en-GB" w:eastAsia="en-GB"/>
        </w:rPr>
        <w:t>It would be an offence to represent oneself as a social worker unless registered with the Board.</w:t>
      </w:r>
      <w:r w:rsidR="00C703A4">
        <w:rPr>
          <w:rFonts w:eastAsia="Times New Roman"/>
          <w:szCs w:val="20"/>
          <w:lang w:val="en-GB" w:eastAsia="en-GB"/>
        </w:rPr>
        <w:t xml:space="preserve">  </w:t>
      </w:r>
      <w:r w:rsidR="00EF1FBA">
        <w:rPr>
          <w:rFonts w:eastAsia="Times New Roman"/>
          <w:szCs w:val="20"/>
          <w:lang w:val="en-GB" w:eastAsia="en-GB"/>
        </w:rPr>
        <w:t>No l</w:t>
      </w:r>
      <w:r w:rsidR="00EF1FBA" w:rsidRPr="00C66A09">
        <w:rPr>
          <w:rFonts w:eastAsia="Times New Roman"/>
          <w:szCs w:val="20"/>
          <w:lang w:val="en-GB" w:eastAsia="en-GB"/>
        </w:rPr>
        <w:t>egislative definition of the term “social work”</w:t>
      </w:r>
      <w:r w:rsidR="00EF1FBA">
        <w:rPr>
          <w:rFonts w:eastAsia="Times New Roman"/>
          <w:szCs w:val="20"/>
          <w:lang w:val="en-GB" w:eastAsia="en-GB"/>
        </w:rPr>
        <w:t xml:space="preserve"> would be required</w:t>
      </w:r>
      <w:r w:rsidR="00E64BBC">
        <w:rPr>
          <w:rFonts w:eastAsia="Times New Roman"/>
          <w:szCs w:val="20"/>
          <w:lang w:val="en-GB" w:eastAsia="en-GB"/>
        </w:rPr>
        <w:t xml:space="preserve">, but the Board could establish scopes of practice which allow for specialised social work roles with different training requirements </w:t>
      </w:r>
      <w:proofErr w:type="spellStart"/>
      <w:r w:rsidR="00340B40">
        <w:rPr>
          <w:rFonts w:eastAsia="Times New Roman"/>
          <w:szCs w:val="20"/>
          <w:lang w:val="en-GB" w:eastAsia="en-GB"/>
        </w:rPr>
        <w:t>eg</w:t>
      </w:r>
      <w:proofErr w:type="spellEnd"/>
      <w:r w:rsidR="00E64BBC">
        <w:rPr>
          <w:rFonts w:eastAsia="Times New Roman"/>
          <w:szCs w:val="20"/>
          <w:lang w:val="en-GB" w:eastAsia="en-GB"/>
        </w:rPr>
        <w:t xml:space="preserve"> </w:t>
      </w:r>
      <w:r w:rsidR="00AD30A2">
        <w:rPr>
          <w:rFonts w:eastAsia="Times New Roman"/>
          <w:szCs w:val="20"/>
          <w:lang w:val="en-GB" w:eastAsia="en-GB"/>
        </w:rPr>
        <w:t xml:space="preserve">for </w:t>
      </w:r>
      <w:r w:rsidR="00E64BBC">
        <w:rPr>
          <w:rFonts w:eastAsia="Times New Roman"/>
          <w:szCs w:val="20"/>
          <w:lang w:val="en-GB" w:eastAsia="en-GB"/>
        </w:rPr>
        <w:t xml:space="preserve">child and </w:t>
      </w:r>
      <w:r w:rsidR="00E64BBC" w:rsidRPr="004B74CF">
        <w:rPr>
          <w:rFonts w:eastAsia="Times New Roman"/>
          <w:szCs w:val="20"/>
          <w:lang w:val="en-GB" w:eastAsia="en-GB"/>
        </w:rPr>
        <w:t xml:space="preserve">family </w:t>
      </w:r>
      <w:r w:rsidR="00650DE0" w:rsidRPr="004B74CF">
        <w:rPr>
          <w:rFonts w:eastAsia="Times New Roman"/>
          <w:szCs w:val="20"/>
          <w:lang w:val="en-GB" w:eastAsia="en-GB"/>
        </w:rPr>
        <w:t xml:space="preserve">social </w:t>
      </w:r>
      <w:r w:rsidR="00E64BBC" w:rsidRPr="004B74CF">
        <w:rPr>
          <w:rFonts w:eastAsia="Times New Roman"/>
          <w:szCs w:val="20"/>
          <w:lang w:val="en-GB" w:eastAsia="en-GB"/>
        </w:rPr>
        <w:t>workers</w:t>
      </w:r>
      <w:r w:rsidR="004B74CF" w:rsidRPr="004B74CF">
        <w:rPr>
          <w:rFonts w:eastAsia="Times New Roman"/>
          <w:szCs w:val="20"/>
          <w:lang w:val="en-GB" w:eastAsia="en-GB"/>
        </w:rPr>
        <w:t>.</w:t>
      </w:r>
    </w:p>
    <w:p w:rsidR="006638A8" w:rsidRPr="00C66A09" w:rsidRDefault="006638A8" w:rsidP="005B5FC6">
      <w:pPr>
        <w:numPr>
          <w:ilvl w:val="0"/>
          <w:numId w:val="23"/>
        </w:numPr>
        <w:spacing w:after="240" w:line="240" w:lineRule="auto"/>
        <w:ind w:left="567" w:hanging="567"/>
        <w:rPr>
          <w:rFonts w:eastAsia="Times New Roman"/>
          <w:szCs w:val="20"/>
          <w:lang w:val="en-GB" w:eastAsia="en-GB"/>
        </w:rPr>
      </w:pPr>
      <w:r w:rsidRPr="00C66A09">
        <w:rPr>
          <w:rFonts w:eastAsia="Times New Roman"/>
          <w:szCs w:val="20"/>
          <w:lang w:val="en-GB" w:eastAsia="en-GB"/>
        </w:rPr>
        <w:t>An immediate efficiency gain would occur for the Board in terms of economies of scale, allowing for lower costs for currently registered individual social workers or their employers where they cover employees professional fees.  This would be an equity improvement in that the costs of administering the regime would be shared across all social workers, with no more free-riding by social workers or their employers using the term “</w:t>
      </w:r>
      <w:proofErr w:type="spellStart"/>
      <w:r w:rsidR="005E562D">
        <w:rPr>
          <w:rFonts w:eastAsia="Times New Roman"/>
          <w:szCs w:val="20"/>
          <w:lang w:val="en-GB" w:eastAsia="en-GB"/>
        </w:rPr>
        <w:t>registrable</w:t>
      </w:r>
      <w:proofErr w:type="spellEnd"/>
      <w:r w:rsidRPr="00C66A09">
        <w:rPr>
          <w:rFonts w:eastAsia="Times New Roman"/>
          <w:szCs w:val="20"/>
          <w:lang w:val="en-GB" w:eastAsia="en-GB"/>
        </w:rPr>
        <w:t>” as a proxy, without actually being registered.</w:t>
      </w:r>
    </w:p>
    <w:p w:rsidR="006638A8" w:rsidRPr="00AC1FE2"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This change would lead </w:t>
      </w:r>
      <w:r w:rsidRPr="00D65D14">
        <w:rPr>
          <w:rFonts w:eastAsia="Times New Roman"/>
          <w:szCs w:val="20"/>
          <w:lang w:val="en-GB" w:eastAsia="en-GB"/>
        </w:rPr>
        <w:t xml:space="preserve">to </w:t>
      </w:r>
      <w:r w:rsidR="007162B1" w:rsidRPr="00D65D14">
        <w:rPr>
          <w:rFonts w:eastAsia="Times New Roman"/>
          <w:szCs w:val="20"/>
          <w:lang w:val="en-GB" w:eastAsia="en-GB"/>
        </w:rPr>
        <w:t>an</w:t>
      </w:r>
      <w:r w:rsidRPr="00D65D14">
        <w:rPr>
          <w:rFonts w:eastAsia="Times New Roman"/>
          <w:szCs w:val="20"/>
          <w:lang w:val="en-GB" w:eastAsia="en-GB"/>
        </w:rPr>
        <w:t xml:space="preserve"> increase</w:t>
      </w:r>
      <w:r w:rsidRPr="00AC1FE2">
        <w:rPr>
          <w:rFonts w:eastAsia="Times New Roman"/>
          <w:szCs w:val="20"/>
          <w:lang w:val="en-GB" w:eastAsia="en-GB"/>
        </w:rPr>
        <w:t xml:space="preserve"> in the standing of the profession, and an improvement in transparency, given it would be clear that anyone calling themselves a social worker had actually met certain standards and was subject to professional disciplines.  This would accord with public understanding – currently members of the public are unlikely to realise the distinction between a social worker, and a registered social worker, and may well assume that </w:t>
      </w:r>
      <w:proofErr w:type="gramStart"/>
      <w:r w:rsidRPr="00AC1FE2">
        <w:rPr>
          <w:rFonts w:eastAsia="Times New Roman"/>
          <w:szCs w:val="20"/>
          <w:lang w:val="en-GB" w:eastAsia="en-GB"/>
        </w:rPr>
        <w:t>any ”</w:t>
      </w:r>
      <w:proofErr w:type="gramEnd"/>
      <w:r w:rsidRPr="00AC1FE2">
        <w:rPr>
          <w:rFonts w:eastAsia="Times New Roman"/>
          <w:szCs w:val="20"/>
          <w:lang w:val="en-GB" w:eastAsia="en-GB"/>
        </w:rPr>
        <w:t xml:space="preserve">social worker” is a properly qualified professional. </w:t>
      </w:r>
    </w:p>
    <w:p w:rsidR="004B74CF" w:rsidRDefault="006638A8" w:rsidP="005B5FC6">
      <w:pPr>
        <w:numPr>
          <w:ilvl w:val="0"/>
          <w:numId w:val="23"/>
        </w:numPr>
        <w:spacing w:after="240" w:line="240" w:lineRule="auto"/>
        <w:ind w:left="567" w:hanging="567"/>
        <w:rPr>
          <w:rFonts w:eastAsia="Times New Roman"/>
          <w:szCs w:val="20"/>
          <w:lang w:val="en-GB" w:eastAsia="en-GB"/>
        </w:rPr>
      </w:pPr>
      <w:r w:rsidRPr="004B74CF">
        <w:rPr>
          <w:rFonts w:eastAsia="Times New Roman"/>
          <w:szCs w:val="20"/>
          <w:lang w:val="en-GB" w:eastAsia="en-GB"/>
        </w:rPr>
        <w:t xml:space="preserve">Current social workers who were still unwilling to register could lose their livelihoods.  They may </w:t>
      </w:r>
      <w:r w:rsidR="00AC1FE2" w:rsidRPr="004B74CF">
        <w:rPr>
          <w:rFonts w:eastAsia="Times New Roman"/>
          <w:szCs w:val="20"/>
          <w:lang w:val="en-GB" w:eastAsia="en-GB"/>
        </w:rPr>
        <w:t xml:space="preserve">choose to </w:t>
      </w:r>
      <w:r w:rsidRPr="004B74CF">
        <w:rPr>
          <w:rFonts w:eastAsia="Times New Roman"/>
          <w:szCs w:val="20"/>
          <w:lang w:val="en-GB" w:eastAsia="en-GB"/>
        </w:rPr>
        <w:t xml:space="preserve">respond by changing their title </w:t>
      </w:r>
      <w:proofErr w:type="spellStart"/>
      <w:r w:rsidR="00340B40">
        <w:rPr>
          <w:rFonts w:eastAsia="Times New Roman"/>
          <w:szCs w:val="20"/>
          <w:lang w:val="en-GB" w:eastAsia="en-GB"/>
        </w:rPr>
        <w:t>eg</w:t>
      </w:r>
      <w:proofErr w:type="spellEnd"/>
      <w:r w:rsidRPr="004B74CF">
        <w:rPr>
          <w:rFonts w:eastAsia="Times New Roman"/>
          <w:szCs w:val="20"/>
          <w:lang w:val="en-GB" w:eastAsia="en-GB"/>
        </w:rPr>
        <w:t xml:space="preserve"> to community worker, and likewise employers may choose to change job titles to retain non-registered staff.  Some social workers and employers might also do this in order to avoid the costs of registration, but indications from the sector (based on submissions made to the Select Committee) are that employers and social workers </w:t>
      </w:r>
      <w:r w:rsidRPr="004B74CF">
        <w:rPr>
          <w:rFonts w:eastAsia="Times New Roman"/>
          <w:szCs w:val="20"/>
          <w:lang w:val="en-GB" w:eastAsia="en-GB"/>
        </w:rPr>
        <w:lastRenderedPageBreak/>
        <w:t xml:space="preserve">want to become part of the proposed regime but would need financial support from government to do that.  In the case of the many NGOs with government contracts they </w:t>
      </w:r>
      <w:r w:rsidR="00BC0491" w:rsidRPr="004B74CF">
        <w:rPr>
          <w:rFonts w:eastAsia="Times New Roman"/>
          <w:szCs w:val="20"/>
          <w:lang w:val="en-GB" w:eastAsia="en-GB"/>
        </w:rPr>
        <w:t>are likely to</w:t>
      </w:r>
      <w:r w:rsidRPr="004B74CF">
        <w:rPr>
          <w:rFonts w:eastAsia="Times New Roman"/>
          <w:szCs w:val="20"/>
          <w:lang w:val="en-GB" w:eastAsia="en-GB"/>
        </w:rPr>
        <w:t xml:space="preserve"> seek to add the extra cost to their existing contracts</w:t>
      </w:r>
    </w:p>
    <w:p w:rsidR="006638A8" w:rsidRPr="004B74CF" w:rsidRDefault="006638A8" w:rsidP="005B5FC6">
      <w:pPr>
        <w:numPr>
          <w:ilvl w:val="0"/>
          <w:numId w:val="23"/>
        </w:numPr>
        <w:spacing w:after="240" w:line="240" w:lineRule="auto"/>
        <w:ind w:left="567" w:hanging="567"/>
        <w:rPr>
          <w:rFonts w:eastAsia="Times New Roman"/>
          <w:szCs w:val="20"/>
          <w:lang w:val="en-GB" w:eastAsia="en-GB"/>
        </w:rPr>
      </w:pPr>
      <w:r w:rsidRPr="004B74CF">
        <w:rPr>
          <w:rFonts w:eastAsia="Times New Roman"/>
          <w:szCs w:val="20"/>
          <w:lang w:val="en-GB" w:eastAsia="en-GB"/>
        </w:rPr>
        <w:t xml:space="preserve">There is a possible risk of unfair loss of livelihood for currently competent but unqualified social workers – this possibility can be covered by appropriate transitional provisions discussed below under the heading of </w:t>
      </w:r>
      <w:r w:rsidR="00AC1FE2" w:rsidRPr="004B74CF">
        <w:rPr>
          <w:rFonts w:eastAsia="Times New Roman"/>
          <w:szCs w:val="20"/>
          <w:lang w:val="en-GB" w:eastAsia="en-GB"/>
        </w:rPr>
        <w:t>“</w:t>
      </w:r>
      <w:r w:rsidRPr="004B74CF">
        <w:rPr>
          <w:rFonts w:eastAsia="Times New Roman"/>
          <w:szCs w:val="20"/>
          <w:lang w:val="en-GB" w:eastAsia="en-GB"/>
        </w:rPr>
        <w:t>Experience based pathways to Registration</w:t>
      </w:r>
      <w:r w:rsidR="00AC1FE2" w:rsidRPr="004B74CF">
        <w:rPr>
          <w:rFonts w:eastAsia="Times New Roman"/>
          <w:szCs w:val="20"/>
          <w:lang w:val="en-GB" w:eastAsia="en-GB"/>
        </w:rPr>
        <w:t>”</w:t>
      </w:r>
      <w:r w:rsidRPr="004B74CF">
        <w:rPr>
          <w:rFonts w:eastAsia="Times New Roman"/>
          <w:szCs w:val="20"/>
          <w:lang w:val="en-GB" w:eastAsia="en-GB"/>
        </w:rPr>
        <w:t>.  Under such a regime it is also important to ensure that entry to th</w:t>
      </w:r>
      <w:r w:rsidR="00AC1FE2" w:rsidRPr="004B74CF">
        <w:rPr>
          <w:rFonts w:eastAsia="Times New Roman"/>
          <w:szCs w:val="20"/>
          <w:lang w:val="en-GB" w:eastAsia="en-GB"/>
        </w:rPr>
        <w:t>e profession is not unreasonably</w:t>
      </w:r>
      <w:r w:rsidRPr="004B74CF">
        <w:rPr>
          <w:rFonts w:eastAsia="Times New Roman"/>
          <w:szCs w:val="20"/>
          <w:lang w:val="en-GB" w:eastAsia="en-GB"/>
        </w:rPr>
        <w:t xml:space="preserve"> restricted: strategies to address this possibility are </w:t>
      </w:r>
      <w:r w:rsidR="00AC1FE2" w:rsidRPr="004B74CF">
        <w:rPr>
          <w:rFonts w:eastAsia="Times New Roman"/>
          <w:szCs w:val="20"/>
          <w:lang w:val="en-GB" w:eastAsia="en-GB"/>
        </w:rPr>
        <w:t>also discussed</w:t>
      </w:r>
      <w:r w:rsidRPr="004B74CF">
        <w:rPr>
          <w:rFonts w:eastAsia="Times New Roman"/>
          <w:szCs w:val="20"/>
          <w:lang w:val="en-GB" w:eastAsia="en-GB"/>
        </w:rPr>
        <w:t xml:space="preserve"> below.</w:t>
      </w:r>
    </w:p>
    <w:p w:rsidR="006638A8"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The effect</w:t>
      </w:r>
      <w:r w:rsidR="00516758">
        <w:rPr>
          <w:rFonts w:eastAsia="Times New Roman"/>
          <w:szCs w:val="20"/>
          <w:lang w:val="en-GB" w:eastAsia="en-GB"/>
        </w:rPr>
        <w:t>iveness</w:t>
      </w:r>
      <w:r w:rsidRPr="00AC1FE2">
        <w:rPr>
          <w:rFonts w:eastAsia="Times New Roman"/>
          <w:szCs w:val="20"/>
          <w:lang w:val="en-GB" w:eastAsia="en-GB"/>
        </w:rPr>
        <w:t xml:space="preserve"> of this regime would depend on the specification of a requirement for a “social worker” in job titles, contracts or in tasks specified in legislation or regulations.  It is on this basis that we expect that this option would achieve the immediate objective of ensuring </w:t>
      </w:r>
      <w:r w:rsidR="00BC0491">
        <w:rPr>
          <w:rFonts w:eastAsia="Times New Roman"/>
          <w:szCs w:val="20"/>
          <w:lang w:val="en-GB" w:eastAsia="en-GB"/>
        </w:rPr>
        <w:t xml:space="preserve">that </w:t>
      </w:r>
      <w:r w:rsidRPr="00AC1FE2">
        <w:rPr>
          <w:rFonts w:eastAsia="Times New Roman"/>
          <w:szCs w:val="20"/>
          <w:lang w:val="en-GB" w:eastAsia="en-GB"/>
        </w:rPr>
        <w:t>all current practicing social workers would have to become registered.</w:t>
      </w:r>
      <w:r w:rsidR="00516758">
        <w:rPr>
          <w:rFonts w:eastAsia="Times New Roman"/>
          <w:szCs w:val="20"/>
          <w:lang w:val="en-GB" w:eastAsia="en-GB"/>
        </w:rPr>
        <w:t xml:space="preserve"> </w:t>
      </w:r>
    </w:p>
    <w:p w:rsidR="00516758" w:rsidRDefault="00516758"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This is our preferred option for regulatory reform. </w:t>
      </w:r>
    </w:p>
    <w:p w:rsidR="006638A8" w:rsidRPr="00AC1FE2" w:rsidRDefault="006638A8" w:rsidP="00177E1D">
      <w:pPr>
        <w:spacing w:after="240" w:line="240" w:lineRule="auto"/>
        <w:rPr>
          <w:rFonts w:eastAsia="Times New Roman" w:cs="Times New Roman"/>
          <w:i/>
          <w:szCs w:val="20"/>
          <w:lang w:val="en-GB" w:eastAsia="en-GB"/>
        </w:rPr>
      </w:pPr>
      <w:r w:rsidRPr="00AC1FE2">
        <w:rPr>
          <w:rFonts w:eastAsia="Times New Roman" w:cs="Times New Roman"/>
          <w:i/>
          <w:szCs w:val="20"/>
          <w:u w:val="single"/>
          <w:lang w:val="en-GB" w:eastAsia="en-GB"/>
        </w:rPr>
        <w:t xml:space="preserve">Extension to Level </w:t>
      </w:r>
      <w:r w:rsidR="005517FA">
        <w:rPr>
          <w:rFonts w:eastAsia="Times New Roman" w:cs="Times New Roman"/>
          <w:i/>
          <w:szCs w:val="20"/>
          <w:u w:val="single"/>
          <w:lang w:val="en-GB" w:eastAsia="en-GB"/>
        </w:rPr>
        <w:t>Four</w:t>
      </w:r>
      <w:r w:rsidRPr="00AC1FE2">
        <w:rPr>
          <w:rFonts w:eastAsia="Times New Roman" w:cs="Times New Roman"/>
          <w:i/>
          <w:szCs w:val="20"/>
          <w:u w:val="single"/>
          <w:lang w:val="en-GB" w:eastAsia="en-GB"/>
        </w:rPr>
        <w:t>: Task Licencing</w:t>
      </w:r>
    </w:p>
    <w:p w:rsidR="00BC0491" w:rsidRPr="00AC1FE2" w:rsidRDefault="00BC0491"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The major concern with </w:t>
      </w:r>
      <w:r>
        <w:rPr>
          <w:rFonts w:eastAsia="Times New Roman"/>
          <w:szCs w:val="20"/>
          <w:lang w:val="en-GB" w:eastAsia="en-GB"/>
        </w:rPr>
        <w:t>simply extending title protection to “social worker”</w:t>
      </w:r>
      <w:r w:rsidRPr="00AC1FE2">
        <w:rPr>
          <w:rFonts w:eastAsia="Times New Roman"/>
          <w:szCs w:val="20"/>
          <w:lang w:val="en-GB" w:eastAsia="en-GB"/>
        </w:rPr>
        <w:t xml:space="preserve"> is whether it goes far enough.  While it offers a substantial improvement in clarity on the question of who is a social worker, it </w:t>
      </w:r>
      <w:r>
        <w:rPr>
          <w:rFonts w:eastAsia="Times New Roman"/>
          <w:szCs w:val="20"/>
          <w:lang w:val="en-GB" w:eastAsia="en-GB"/>
        </w:rPr>
        <w:t>does not specify</w:t>
      </w:r>
      <w:r w:rsidRPr="00AC1FE2">
        <w:rPr>
          <w:rFonts w:eastAsia="Times New Roman"/>
          <w:szCs w:val="20"/>
          <w:lang w:val="en-GB" w:eastAsia="en-GB"/>
        </w:rPr>
        <w:t xml:space="preserve"> what particular tasks should be undertaken by a social worker</w:t>
      </w:r>
      <w:r>
        <w:rPr>
          <w:rFonts w:eastAsia="Times New Roman"/>
          <w:szCs w:val="20"/>
          <w:lang w:val="en-GB" w:eastAsia="en-GB"/>
        </w:rPr>
        <w:t xml:space="preserve"> (outside of specific provisions in other </w:t>
      </w:r>
      <w:r w:rsidR="002B178F">
        <w:rPr>
          <w:rFonts w:eastAsia="Times New Roman"/>
          <w:szCs w:val="20"/>
          <w:lang w:val="en-GB" w:eastAsia="en-GB"/>
        </w:rPr>
        <w:t>statutes</w:t>
      </w:r>
      <w:r>
        <w:rPr>
          <w:rFonts w:eastAsia="Times New Roman"/>
          <w:szCs w:val="20"/>
          <w:lang w:val="en-GB" w:eastAsia="en-GB"/>
        </w:rPr>
        <w:t>), which was something the Select Committee supported</w:t>
      </w:r>
      <w:r w:rsidRPr="00AC1FE2">
        <w:rPr>
          <w:rFonts w:eastAsia="Times New Roman"/>
          <w:szCs w:val="20"/>
          <w:lang w:val="en-GB" w:eastAsia="en-GB"/>
        </w:rPr>
        <w:t xml:space="preserve">.  </w:t>
      </w:r>
    </w:p>
    <w:p w:rsidR="006638A8" w:rsidRPr="00AC1FE2" w:rsidRDefault="006638A8" w:rsidP="005B5FC6">
      <w:pPr>
        <w:numPr>
          <w:ilvl w:val="0"/>
          <w:numId w:val="23"/>
        </w:numPr>
        <w:spacing w:after="240" w:line="240" w:lineRule="auto"/>
        <w:ind w:left="567" w:hanging="567"/>
        <w:rPr>
          <w:rFonts w:eastAsia="Times New Roman"/>
          <w:szCs w:val="20"/>
          <w:lang w:val="en-GB" w:eastAsia="en-GB"/>
        </w:rPr>
      </w:pPr>
      <w:r w:rsidRPr="00AC1FE2">
        <w:rPr>
          <w:rFonts w:eastAsia="Times New Roman"/>
          <w:szCs w:val="20"/>
          <w:lang w:val="en-GB" w:eastAsia="en-GB"/>
        </w:rPr>
        <w:t xml:space="preserve">A move to the level of Task Licencing </w:t>
      </w:r>
      <w:r w:rsidR="00AC1FE2">
        <w:rPr>
          <w:rFonts w:eastAsia="Times New Roman"/>
          <w:szCs w:val="20"/>
          <w:lang w:val="en-GB" w:eastAsia="en-GB"/>
        </w:rPr>
        <w:t>requires</w:t>
      </w:r>
      <w:r w:rsidRPr="00AC1FE2">
        <w:rPr>
          <w:rFonts w:eastAsia="Times New Roman"/>
          <w:szCs w:val="20"/>
          <w:lang w:val="en-GB" w:eastAsia="en-GB"/>
        </w:rPr>
        <w:t xml:space="preserve"> specification of what constitutes social work tasks, </w:t>
      </w:r>
      <w:r w:rsidR="002B178F">
        <w:rPr>
          <w:rFonts w:eastAsia="Times New Roman"/>
          <w:szCs w:val="20"/>
          <w:lang w:val="en-GB" w:eastAsia="en-GB"/>
        </w:rPr>
        <w:t>and excludes anyone other than Social W</w:t>
      </w:r>
      <w:r w:rsidRPr="00AC1FE2">
        <w:rPr>
          <w:rFonts w:eastAsia="Times New Roman"/>
          <w:szCs w:val="20"/>
          <w:lang w:val="en-GB" w:eastAsia="en-GB"/>
        </w:rPr>
        <w:t xml:space="preserve">orkers being allowed to undertake those tasks.  </w:t>
      </w:r>
      <w:r w:rsidR="00CA6DA7">
        <w:rPr>
          <w:rFonts w:eastAsia="Times New Roman"/>
          <w:szCs w:val="20"/>
          <w:lang w:val="en-GB" w:eastAsia="en-GB"/>
        </w:rPr>
        <w:t>P</w:t>
      </w:r>
      <w:r w:rsidRPr="00310CD2">
        <w:rPr>
          <w:rFonts w:eastAsia="Times New Roman"/>
          <w:szCs w:val="20"/>
          <w:lang w:val="en-GB" w:eastAsia="en-GB"/>
        </w:rPr>
        <w:t xml:space="preserve">rofessions </w:t>
      </w:r>
      <w:r w:rsidR="00CA6DA7">
        <w:rPr>
          <w:rFonts w:eastAsia="Times New Roman"/>
          <w:szCs w:val="20"/>
          <w:lang w:val="en-GB" w:eastAsia="en-GB"/>
        </w:rPr>
        <w:t>which use this approach by means of specified tasks</w:t>
      </w:r>
      <w:r w:rsidR="00CA6DA7" w:rsidRPr="00310CD2">
        <w:rPr>
          <w:rFonts w:eastAsia="Times New Roman"/>
          <w:szCs w:val="20"/>
          <w:lang w:val="en-GB" w:eastAsia="en-GB"/>
        </w:rPr>
        <w:t xml:space="preserve"> </w:t>
      </w:r>
      <w:r w:rsidR="00CA6DA7">
        <w:rPr>
          <w:rFonts w:eastAsia="Times New Roman"/>
          <w:szCs w:val="20"/>
          <w:lang w:val="en-GB" w:eastAsia="en-GB"/>
        </w:rPr>
        <w:t>include</w:t>
      </w:r>
      <w:r w:rsidRPr="00310CD2">
        <w:rPr>
          <w:rFonts w:eastAsia="Times New Roman"/>
          <w:szCs w:val="20"/>
          <w:lang w:val="en-GB" w:eastAsia="en-GB"/>
        </w:rPr>
        <w:t xml:space="preserve"> </w:t>
      </w:r>
      <w:r w:rsidRPr="00AC1FE2">
        <w:rPr>
          <w:rFonts w:eastAsia="Times New Roman"/>
          <w:szCs w:val="20"/>
          <w:lang w:val="en-GB" w:eastAsia="en-GB"/>
        </w:rPr>
        <w:t xml:space="preserve">Electricians, and Plumbers. </w:t>
      </w:r>
      <w:r w:rsidR="00734ED0">
        <w:rPr>
          <w:rFonts w:eastAsia="Times New Roman"/>
          <w:szCs w:val="20"/>
          <w:lang w:val="en-GB" w:eastAsia="en-GB"/>
        </w:rPr>
        <w:t xml:space="preserve"> </w:t>
      </w:r>
    </w:p>
    <w:p w:rsidR="00650DE0" w:rsidRPr="00AD30A2" w:rsidRDefault="00650DE0" w:rsidP="005B5FC6">
      <w:pPr>
        <w:numPr>
          <w:ilvl w:val="0"/>
          <w:numId w:val="23"/>
        </w:numPr>
        <w:spacing w:after="240" w:line="240" w:lineRule="auto"/>
        <w:ind w:left="567" w:hanging="567"/>
        <w:rPr>
          <w:rFonts w:eastAsia="Times New Roman"/>
          <w:szCs w:val="20"/>
          <w:lang w:val="en-GB" w:eastAsia="en-GB"/>
        </w:rPr>
      </w:pPr>
      <w:r w:rsidRPr="00AD30A2">
        <w:rPr>
          <w:rFonts w:eastAsia="Times New Roman"/>
          <w:szCs w:val="20"/>
          <w:lang w:val="en-GB" w:eastAsia="en-GB"/>
        </w:rPr>
        <w:t xml:space="preserve">Public protection for any particularly high risk activity can be addressed under such a regime, by having certain tasks deemed as </w:t>
      </w:r>
      <w:r w:rsidR="0050024D" w:rsidRPr="00AD30A2">
        <w:rPr>
          <w:rFonts w:eastAsia="Times New Roman"/>
          <w:szCs w:val="20"/>
          <w:lang w:val="en-GB" w:eastAsia="en-GB"/>
        </w:rPr>
        <w:t>“</w:t>
      </w:r>
      <w:hyperlink r:id="rId10" w:history="1">
        <w:r w:rsidRPr="00AD30A2">
          <w:rPr>
            <w:rFonts w:eastAsia="Times New Roman"/>
            <w:szCs w:val="20"/>
            <w:lang w:val="en-GB" w:eastAsia="en-GB"/>
          </w:rPr>
          <w:t>restricted activities</w:t>
        </w:r>
      </w:hyperlink>
      <w:r w:rsidR="0050024D" w:rsidRPr="00AD30A2">
        <w:rPr>
          <w:rFonts w:eastAsia="Times New Roman"/>
          <w:szCs w:val="20"/>
          <w:lang w:val="en-GB" w:eastAsia="en-GB"/>
        </w:rPr>
        <w:t>”</w:t>
      </w:r>
      <w:r w:rsidRPr="00AD30A2">
        <w:rPr>
          <w:rFonts w:eastAsia="Times New Roman"/>
          <w:szCs w:val="20"/>
          <w:lang w:val="en-GB" w:eastAsia="en-GB"/>
        </w:rPr>
        <w:t xml:space="preserve">.  Under the HPCA Act these restricted activities may only be carried out by specified health practitioners who specifically have those tasks identified within their scopes of practice.  No unregistered person or registered person who does not have that activity included within their scope of practice may carry out these tasks.  </w:t>
      </w:r>
    </w:p>
    <w:p w:rsidR="00650DE0" w:rsidRPr="0050024D" w:rsidRDefault="0050024D"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T</w:t>
      </w:r>
      <w:r w:rsidRPr="00177E1D">
        <w:rPr>
          <w:rFonts w:eastAsia="Times New Roman"/>
          <w:szCs w:val="20"/>
          <w:lang w:val="en-GB" w:eastAsia="en-GB"/>
        </w:rPr>
        <w:t xml:space="preserve">he title “social worker” </w:t>
      </w:r>
      <w:r>
        <w:rPr>
          <w:rFonts w:eastAsia="Times New Roman"/>
          <w:szCs w:val="20"/>
          <w:lang w:val="en-GB" w:eastAsia="en-GB"/>
        </w:rPr>
        <w:t>is already used in in</w:t>
      </w:r>
      <w:r w:rsidRPr="00177E1D">
        <w:rPr>
          <w:rFonts w:eastAsia="Times New Roman"/>
          <w:szCs w:val="20"/>
          <w:lang w:val="en-GB" w:eastAsia="en-GB"/>
        </w:rPr>
        <w:t xml:space="preserve"> other legislation which specifically defines tasks for “social workers”</w:t>
      </w:r>
      <w:r>
        <w:rPr>
          <w:rFonts w:eastAsia="Times New Roman"/>
          <w:szCs w:val="20"/>
          <w:lang w:val="en-GB" w:eastAsia="en-GB"/>
        </w:rPr>
        <w:t>.</w:t>
      </w:r>
      <w:r w:rsidRPr="00177E1D">
        <w:rPr>
          <w:rFonts w:eastAsia="Times New Roman"/>
          <w:szCs w:val="20"/>
          <w:lang w:val="en-GB" w:eastAsia="en-GB"/>
        </w:rPr>
        <w:t xml:space="preserve"> </w:t>
      </w:r>
      <w:r>
        <w:rPr>
          <w:rFonts w:eastAsia="Times New Roman"/>
          <w:szCs w:val="20"/>
          <w:lang w:val="en-GB" w:eastAsia="en-GB"/>
        </w:rPr>
        <w:t xml:space="preserve"> </w:t>
      </w:r>
      <w:r w:rsidRPr="00177E1D">
        <w:rPr>
          <w:rFonts w:eastAsia="Times New Roman"/>
          <w:szCs w:val="20"/>
          <w:lang w:val="en-GB" w:eastAsia="en-GB"/>
        </w:rPr>
        <w:t>For example</w:t>
      </w:r>
      <w:r>
        <w:rPr>
          <w:rFonts w:eastAsia="Times New Roman"/>
          <w:szCs w:val="20"/>
          <w:lang w:val="en-GB" w:eastAsia="en-GB"/>
        </w:rPr>
        <w:t>:</w:t>
      </w:r>
      <w:r w:rsidRPr="00177E1D">
        <w:rPr>
          <w:rFonts w:eastAsia="Times New Roman"/>
          <w:szCs w:val="20"/>
          <w:lang w:val="en-GB" w:eastAsia="en-GB"/>
        </w:rPr>
        <w:t xml:space="preserve"> the Contraception, Sterilisation, and Abortion Act 1977; the Victims’ Rights Act 2002; the Family Proceedings Act 1980; and the Adoption Act 1955.</w:t>
      </w:r>
      <w:r>
        <w:rPr>
          <w:rFonts w:eastAsia="Times New Roman"/>
          <w:szCs w:val="20"/>
          <w:lang w:val="en-GB" w:eastAsia="en-GB"/>
        </w:rPr>
        <w:t xml:space="preserve"> </w:t>
      </w:r>
      <w:r w:rsidRPr="00177E1D">
        <w:rPr>
          <w:rFonts w:eastAsia="Times New Roman"/>
          <w:szCs w:val="20"/>
          <w:lang w:val="en-GB" w:eastAsia="en-GB"/>
        </w:rPr>
        <w:t xml:space="preserve"> If left </w:t>
      </w:r>
      <w:proofErr w:type="spellStart"/>
      <w:r w:rsidRPr="00177E1D">
        <w:rPr>
          <w:rFonts w:eastAsia="Times New Roman"/>
          <w:szCs w:val="20"/>
          <w:lang w:val="en-GB" w:eastAsia="en-GB"/>
        </w:rPr>
        <w:t>unamended</w:t>
      </w:r>
      <w:proofErr w:type="spellEnd"/>
      <w:r w:rsidRPr="00177E1D">
        <w:rPr>
          <w:rFonts w:eastAsia="Times New Roman"/>
          <w:szCs w:val="20"/>
          <w:lang w:val="en-GB" w:eastAsia="en-GB"/>
        </w:rPr>
        <w:t xml:space="preserve">, these </w:t>
      </w:r>
      <w:r>
        <w:rPr>
          <w:rFonts w:eastAsia="Times New Roman"/>
          <w:szCs w:val="20"/>
          <w:lang w:val="en-GB" w:eastAsia="en-GB"/>
        </w:rPr>
        <w:t>statutory references</w:t>
      </w:r>
      <w:r w:rsidRPr="00177E1D">
        <w:rPr>
          <w:rFonts w:eastAsia="Times New Roman"/>
          <w:szCs w:val="20"/>
          <w:lang w:val="en-GB" w:eastAsia="en-GB"/>
        </w:rPr>
        <w:t xml:space="preserve"> </w:t>
      </w:r>
      <w:r>
        <w:rPr>
          <w:rFonts w:eastAsia="Times New Roman"/>
          <w:szCs w:val="20"/>
          <w:lang w:val="en-GB" w:eastAsia="en-GB"/>
        </w:rPr>
        <w:t>w</w:t>
      </w:r>
      <w:r w:rsidRPr="00177E1D">
        <w:rPr>
          <w:rFonts w:eastAsia="Times New Roman"/>
          <w:szCs w:val="20"/>
          <w:lang w:val="en-GB" w:eastAsia="en-GB"/>
        </w:rPr>
        <w:t xml:space="preserve">ould </w:t>
      </w:r>
      <w:r>
        <w:rPr>
          <w:rFonts w:eastAsia="Times New Roman"/>
          <w:szCs w:val="20"/>
          <w:lang w:val="en-GB" w:eastAsia="en-GB"/>
        </w:rPr>
        <w:t>become</w:t>
      </w:r>
      <w:r w:rsidRPr="00177E1D">
        <w:rPr>
          <w:rFonts w:eastAsia="Times New Roman"/>
          <w:szCs w:val="20"/>
          <w:lang w:val="en-GB" w:eastAsia="en-GB"/>
        </w:rPr>
        <w:t xml:space="preserve"> </w:t>
      </w:r>
      <w:r>
        <w:rPr>
          <w:rFonts w:eastAsia="Times New Roman"/>
          <w:szCs w:val="20"/>
          <w:lang w:val="en-GB" w:eastAsia="en-GB"/>
        </w:rPr>
        <w:t>“</w:t>
      </w:r>
      <w:r w:rsidRPr="00177E1D">
        <w:rPr>
          <w:rFonts w:eastAsia="Times New Roman"/>
          <w:szCs w:val="20"/>
          <w:lang w:val="en-GB" w:eastAsia="en-GB"/>
        </w:rPr>
        <w:t>restricted activities</w:t>
      </w:r>
      <w:r>
        <w:rPr>
          <w:rFonts w:eastAsia="Times New Roman"/>
          <w:szCs w:val="20"/>
          <w:lang w:val="en-GB" w:eastAsia="en-GB"/>
        </w:rPr>
        <w:t>”</w:t>
      </w:r>
      <w:r w:rsidRPr="00177E1D">
        <w:rPr>
          <w:rFonts w:eastAsia="Times New Roman"/>
          <w:szCs w:val="20"/>
          <w:lang w:val="en-GB" w:eastAsia="en-GB"/>
        </w:rPr>
        <w:t xml:space="preserve"> </w:t>
      </w:r>
      <w:r>
        <w:rPr>
          <w:rFonts w:eastAsia="Times New Roman"/>
          <w:szCs w:val="20"/>
          <w:lang w:val="en-GB" w:eastAsia="en-GB"/>
        </w:rPr>
        <w:t xml:space="preserve">which could only be undertaken by a social worker, </w:t>
      </w:r>
      <w:r w:rsidRPr="00177E1D">
        <w:rPr>
          <w:rFonts w:eastAsia="Times New Roman"/>
          <w:szCs w:val="20"/>
          <w:lang w:val="en-GB" w:eastAsia="en-GB"/>
        </w:rPr>
        <w:t xml:space="preserve">and </w:t>
      </w:r>
      <w:r>
        <w:rPr>
          <w:rFonts w:eastAsia="Times New Roman"/>
          <w:szCs w:val="20"/>
          <w:lang w:val="en-GB" w:eastAsia="en-GB"/>
        </w:rPr>
        <w:t xml:space="preserve">thereby </w:t>
      </w:r>
      <w:r w:rsidRPr="00177E1D">
        <w:rPr>
          <w:rFonts w:eastAsia="Times New Roman"/>
          <w:szCs w:val="20"/>
          <w:lang w:val="en-GB" w:eastAsia="en-GB"/>
        </w:rPr>
        <w:t xml:space="preserve">operate as a </w:t>
      </w:r>
      <w:r>
        <w:rPr>
          <w:rFonts w:eastAsia="Times New Roman"/>
          <w:szCs w:val="20"/>
          <w:lang w:val="en-GB" w:eastAsia="en-GB"/>
        </w:rPr>
        <w:t>form of task licencing</w:t>
      </w:r>
      <w:r w:rsidRPr="00177E1D">
        <w:rPr>
          <w:rFonts w:eastAsia="Times New Roman"/>
          <w:szCs w:val="20"/>
          <w:lang w:val="en-GB" w:eastAsia="en-GB"/>
        </w:rPr>
        <w:t>.</w:t>
      </w:r>
      <w:r>
        <w:rPr>
          <w:rFonts w:eastAsia="Times New Roman"/>
          <w:szCs w:val="20"/>
          <w:lang w:val="en-GB" w:eastAsia="en-GB"/>
        </w:rPr>
        <w:t xml:space="preserve">  These references will each need to be assessed by the government agencies which administer these Acts. </w:t>
      </w:r>
    </w:p>
    <w:p w:rsidR="006638A8" w:rsidRPr="00AC1FE2" w:rsidRDefault="006638A8" w:rsidP="00177E1D">
      <w:pPr>
        <w:spacing w:after="240" w:line="240" w:lineRule="auto"/>
        <w:rPr>
          <w:rFonts w:eastAsia="Times New Roman" w:cs="Times New Roman"/>
          <w:i/>
          <w:szCs w:val="20"/>
          <w:lang w:val="en-GB" w:eastAsia="en-GB"/>
        </w:rPr>
      </w:pPr>
      <w:r w:rsidRPr="00AC1FE2">
        <w:rPr>
          <w:rFonts w:eastAsia="Times New Roman" w:cs="Times New Roman"/>
          <w:i/>
          <w:szCs w:val="20"/>
          <w:lang w:val="en-GB" w:eastAsia="en-GB"/>
        </w:rPr>
        <w:t>The challenge of defining Social Work and Social Workers</w:t>
      </w:r>
    </w:p>
    <w:p w:rsidR="006638A8" w:rsidRPr="00AC1FE2" w:rsidRDefault="006638A8" w:rsidP="005B5FC6">
      <w:pPr>
        <w:numPr>
          <w:ilvl w:val="0"/>
          <w:numId w:val="23"/>
        </w:numPr>
        <w:spacing w:after="240" w:line="240" w:lineRule="auto"/>
        <w:ind w:left="567" w:hanging="567"/>
        <w:rPr>
          <w:rFonts w:eastAsia="Times New Roman" w:cs="Times New Roman"/>
          <w:szCs w:val="20"/>
          <w:lang w:eastAsia="en-GB"/>
        </w:rPr>
      </w:pPr>
      <w:r w:rsidRPr="00AC1FE2">
        <w:rPr>
          <w:rFonts w:eastAsia="Times New Roman"/>
          <w:color w:val="000000"/>
          <w:kern w:val="22"/>
          <w:szCs w:val="20"/>
          <w:lang w:eastAsia="en-NZ"/>
        </w:rPr>
        <w:t xml:space="preserve">Social work </w:t>
      </w:r>
      <w:r w:rsidR="0062656E">
        <w:rPr>
          <w:rFonts w:eastAsia="Times New Roman"/>
          <w:color w:val="000000"/>
          <w:kern w:val="22"/>
          <w:szCs w:val="20"/>
          <w:lang w:eastAsia="en-NZ"/>
        </w:rPr>
        <w:t xml:space="preserve">and social work tasks are </w:t>
      </w:r>
      <w:r w:rsidRPr="00AC1FE2">
        <w:rPr>
          <w:rFonts w:eastAsia="Times New Roman"/>
          <w:color w:val="000000"/>
          <w:kern w:val="22"/>
          <w:szCs w:val="20"/>
          <w:lang w:eastAsia="en-NZ"/>
        </w:rPr>
        <w:t xml:space="preserve">particularly difficult to define in an exclusive way.  </w:t>
      </w:r>
      <w:r w:rsidRPr="00AC1FE2">
        <w:rPr>
          <w:rFonts w:eastAsia="Times New Roman" w:cs="Times New Roman"/>
          <w:szCs w:val="20"/>
          <w:lang w:eastAsia="en-GB"/>
        </w:rPr>
        <w:t xml:space="preserve">In 2014, the two bodies representing international social work </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 the International Federation of Social Workers (IFSW) and the International Association of Schools of Social Work (IASSW) </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 agreed the following global definition: </w:t>
      </w:r>
    </w:p>
    <w:p w:rsidR="006638A8" w:rsidRPr="00AC1FE2" w:rsidRDefault="006638A8" w:rsidP="00177E1D">
      <w:pPr>
        <w:spacing w:after="240" w:line="240" w:lineRule="auto"/>
        <w:ind w:left="1080"/>
        <w:rPr>
          <w:rFonts w:eastAsia="Times New Roman" w:cs="Times New Roman"/>
          <w:szCs w:val="20"/>
          <w:lang w:eastAsia="en-GB"/>
        </w:rPr>
      </w:pPr>
      <w:r w:rsidRPr="00AC1FE2">
        <w:rPr>
          <w:rFonts w:eastAsia="Times New Roman" w:cs="Times New Roman"/>
          <w:szCs w:val="20"/>
          <w:lang w:eastAsia="en-GB"/>
        </w:rPr>
        <w:t>Social work is a practice</w:t>
      </w:r>
      <w:r w:rsidRPr="00AC1FE2">
        <w:rPr>
          <w:rFonts w:ascii="Cambria Math" w:eastAsia="Times New Roman" w:hAnsi="Cambria Math" w:cs="Cambria Math"/>
          <w:szCs w:val="20"/>
          <w:lang w:eastAsia="en-GB"/>
        </w:rPr>
        <w:t>‐</w:t>
      </w:r>
      <w:r w:rsidRPr="00AC1FE2">
        <w:rPr>
          <w:rFonts w:eastAsia="Times New Roman" w:cs="Times New Roman"/>
          <w:szCs w:val="20"/>
          <w:lang w:eastAsia="en-GB"/>
        </w:rPr>
        <w:t xml:space="preserve">based profession and an academic discipline that promotes social change and development, social cohesion, and the empowerment and liberation of people. </w:t>
      </w:r>
      <w:r w:rsidR="00AC1FE2">
        <w:rPr>
          <w:rFonts w:eastAsia="Times New Roman" w:cs="Times New Roman"/>
          <w:szCs w:val="20"/>
          <w:lang w:eastAsia="en-GB"/>
        </w:rPr>
        <w:t xml:space="preserve"> </w:t>
      </w:r>
      <w:r w:rsidRPr="00AC1FE2">
        <w:rPr>
          <w:rFonts w:eastAsia="Times New Roman" w:cs="Times New Roman"/>
          <w:szCs w:val="20"/>
          <w:lang w:eastAsia="en-GB"/>
        </w:rPr>
        <w:t xml:space="preserve">Principles of social justice, human rights, collective responsibility and respect for diversities are central to social </w:t>
      </w:r>
      <w:r w:rsidRPr="00AC1FE2">
        <w:rPr>
          <w:rFonts w:eastAsia="Times New Roman" w:cs="Times New Roman"/>
          <w:szCs w:val="20"/>
          <w:lang w:eastAsia="en-GB"/>
        </w:rPr>
        <w:lastRenderedPageBreak/>
        <w:t xml:space="preserve">work. </w:t>
      </w:r>
      <w:r w:rsidR="00AC1FE2">
        <w:rPr>
          <w:rFonts w:eastAsia="Times New Roman" w:cs="Times New Roman"/>
          <w:szCs w:val="20"/>
          <w:lang w:eastAsia="en-GB"/>
        </w:rPr>
        <w:t xml:space="preserve"> </w:t>
      </w:r>
      <w:r w:rsidRPr="00AC1FE2">
        <w:rPr>
          <w:rFonts w:eastAsia="Times New Roman" w:cs="Times New Roman"/>
          <w:szCs w:val="20"/>
          <w:lang w:eastAsia="en-GB"/>
        </w:rPr>
        <w:t>Underpinned by theories of social work, social sciences, humanities and indigenous knowledge, social work engages people and structures to address life challenges and enhance wellbeing.</w:t>
      </w:r>
      <w:r w:rsidRPr="00AC1FE2">
        <w:rPr>
          <w:rStyle w:val="FootnoteReference"/>
          <w:rFonts w:eastAsia="Times New Roman" w:cs="Times New Roman"/>
          <w:szCs w:val="20"/>
          <w:lang w:eastAsia="en-GB"/>
        </w:rPr>
        <w:footnoteReference w:id="19"/>
      </w:r>
    </w:p>
    <w:p w:rsidR="006638A8" w:rsidRPr="00AC1FE2" w:rsidRDefault="006638A8" w:rsidP="005B5FC6">
      <w:pPr>
        <w:numPr>
          <w:ilvl w:val="0"/>
          <w:numId w:val="23"/>
        </w:numPr>
        <w:spacing w:after="240" w:line="240" w:lineRule="auto"/>
        <w:ind w:left="567" w:hanging="567"/>
        <w:rPr>
          <w:rFonts w:eastAsia="Times New Roman" w:cs="Times New Roman"/>
          <w:szCs w:val="20"/>
          <w:lang w:val="en-GB" w:eastAsia="en-GB"/>
        </w:rPr>
      </w:pPr>
      <w:r w:rsidRPr="00AC1FE2">
        <w:rPr>
          <w:rFonts w:eastAsia="Times New Roman" w:cs="Times New Roman"/>
          <w:szCs w:val="20"/>
          <w:lang w:val="en-GB" w:eastAsia="en-GB"/>
        </w:rPr>
        <w:t>The same report also concludes “</w:t>
      </w:r>
      <w:r w:rsidR="00AC1FE2" w:rsidRPr="00AC1FE2">
        <w:rPr>
          <w:rFonts w:eastAsia="Times New Roman" w:cs="Times New Roman"/>
          <w:szCs w:val="20"/>
          <w:lang w:val="en-GB" w:eastAsia="en-GB"/>
        </w:rPr>
        <w:t>It is particularly difficult to distinguish social work from related professions in terms of task.</w:t>
      </w:r>
      <w:r w:rsidR="00AC1FE2">
        <w:rPr>
          <w:rFonts w:eastAsia="Times New Roman" w:cs="Times New Roman"/>
          <w:szCs w:val="20"/>
          <w:lang w:val="en-GB" w:eastAsia="en-GB"/>
        </w:rPr>
        <w:t xml:space="preserve"> ….. </w:t>
      </w:r>
      <w:r w:rsidRPr="00AC1FE2">
        <w:rPr>
          <w:rFonts w:eastAsia="Times New Roman" w:cs="Times New Roman"/>
          <w:szCs w:val="20"/>
          <w:lang w:val="en-GB" w:eastAsia="en-GB"/>
        </w:rPr>
        <w:t>Definitions of social work are contested and evolving; while the tasks that social workers undertake vary across different countries and different types of welfare regime.”</w:t>
      </w:r>
      <w:r w:rsidRPr="0062656E">
        <w:rPr>
          <w:rFonts w:eastAsia="Times New Roman" w:cs="Times New Roman"/>
          <w:szCs w:val="20"/>
          <w:vertAlign w:val="superscript"/>
          <w:lang w:val="en-GB" w:eastAsia="en-GB"/>
        </w:rPr>
        <w:footnoteReference w:id="20"/>
      </w:r>
      <w:r w:rsidRPr="00AC1FE2">
        <w:rPr>
          <w:rFonts w:eastAsia="Times New Roman" w:cs="Times New Roman"/>
          <w:szCs w:val="20"/>
          <w:lang w:val="en-GB" w:eastAsia="en-GB"/>
        </w:rPr>
        <w:t xml:space="preserve">  </w:t>
      </w:r>
      <w:r w:rsidR="003E79E5">
        <w:rPr>
          <w:rFonts w:eastAsia="Times New Roman" w:cs="Times New Roman"/>
          <w:szCs w:val="20"/>
          <w:lang w:val="en-GB" w:eastAsia="en-GB"/>
        </w:rPr>
        <w:t>Other professions</w:t>
      </w:r>
      <w:r w:rsidR="0062656E">
        <w:rPr>
          <w:rFonts w:eastAsia="Times New Roman" w:cs="Times New Roman"/>
          <w:szCs w:val="20"/>
          <w:lang w:val="en-GB" w:eastAsia="en-GB"/>
        </w:rPr>
        <w:t>,</w:t>
      </w:r>
      <w:r w:rsidR="003E79E5">
        <w:rPr>
          <w:rFonts w:eastAsia="Times New Roman" w:cs="Times New Roman"/>
          <w:szCs w:val="20"/>
          <w:lang w:val="en-GB" w:eastAsia="en-GB"/>
        </w:rPr>
        <w:t xml:space="preserve"> </w:t>
      </w:r>
      <w:r w:rsidR="00471974">
        <w:rPr>
          <w:rFonts w:eastAsia="Times New Roman" w:cs="Times New Roman"/>
          <w:szCs w:val="20"/>
          <w:lang w:val="en-GB" w:eastAsia="en-GB"/>
        </w:rPr>
        <w:t xml:space="preserve">for example nursing and various health professionals, </w:t>
      </w:r>
      <w:proofErr w:type="gramStart"/>
      <w:r w:rsidR="003E79E5">
        <w:rPr>
          <w:rFonts w:eastAsia="Times New Roman" w:cs="Times New Roman"/>
          <w:szCs w:val="20"/>
          <w:lang w:val="en-GB" w:eastAsia="en-GB"/>
        </w:rPr>
        <w:t>which</w:t>
      </w:r>
      <w:proofErr w:type="gramEnd"/>
      <w:r w:rsidR="003E79E5">
        <w:rPr>
          <w:rFonts w:eastAsia="Times New Roman" w:cs="Times New Roman"/>
          <w:szCs w:val="20"/>
          <w:lang w:val="en-GB" w:eastAsia="en-GB"/>
        </w:rPr>
        <w:t xml:space="preserve"> use </w:t>
      </w:r>
      <w:r w:rsidR="00471974">
        <w:rPr>
          <w:rFonts w:eastAsia="Times New Roman" w:cs="Times New Roman"/>
          <w:szCs w:val="20"/>
          <w:lang w:val="en-GB" w:eastAsia="en-GB"/>
        </w:rPr>
        <w:t>the task licencing</w:t>
      </w:r>
      <w:r w:rsidR="003E79E5">
        <w:rPr>
          <w:rFonts w:eastAsia="Times New Roman" w:cs="Times New Roman"/>
          <w:szCs w:val="20"/>
          <w:lang w:val="en-GB" w:eastAsia="en-GB"/>
        </w:rPr>
        <w:t xml:space="preserve"> approach are generally able to more clearly define their reserved tasks</w:t>
      </w:r>
      <w:r w:rsidR="00BE1A5E">
        <w:rPr>
          <w:rFonts w:eastAsia="Times New Roman" w:cs="Times New Roman"/>
          <w:szCs w:val="20"/>
          <w:lang w:val="en-GB" w:eastAsia="en-GB"/>
        </w:rPr>
        <w:t>.</w:t>
      </w:r>
      <w:r w:rsidR="00471974">
        <w:rPr>
          <w:rFonts w:eastAsia="Times New Roman" w:cs="Times New Roman"/>
          <w:szCs w:val="20"/>
          <w:lang w:val="en-GB" w:eastAsia="en-GB"/>
        </w:rPr>
        <w:t xml:space="preserve">  </w:t>
      </w:r>
      <w:r w:rsidR="0062656E" w:rsidRPr="00AD30A2">
        <w:rPr>
          <w:rFonts w:eastAsia="Times New Roman"/>
          <w:szCs w:val="20"/>
          <w:lang w:val="en-GB" w:eastAsia="en-GB"/>
        </w:rPr>
        <w:t>An example under</w:t>
      </w:r>
      <w:r w:rsidR="001913C7">
        <w:rPr>
          <w:rFonts w:eastAsia="Times New Roman"/>
          <w:szCs w:val="20"/>
          <w:lang w:val="en-GB" w:eastAsia="en-GB"/>
        </w:rPr>
        <w:t xml:space="preserve"> regulations made under</w:t>
      </w:r>
      <w:r w:rsidR="0062656E" w:rsidRPr="00AD30A2">
        <w:rPr>
          <w:rFonts w:eastAsia="Times New Roman"/>
          <w:szCs w:val="20"/>
          <w:lang w:val="en-GB" w:eastAsia="en-GB"/>
        </w:rPr>
        <w:t xml:space="preserve"> the HPCA Act is </w:t>
      </w:r>
      <w:r w:rsidR="00DF4203">
        <w:rPr>
          <w:rFonts w:eastAsia="Times New Roman"/>
          <w:szCs w:val="20"/>
          <w:lang w:val="en-GB" w:eastAsia="en-GB"/>
        </w:rPr>
        <w:t>“</w:t>
      </w:r>
      <w:r w:rsidR="0062656E" w:rsidRPr="00AD30A2">
        <w:rPr>
          <w:rFonts w:eastAsia="Times New Roman"/>
          <w:szCs w:val="20"/>
          <w:lang w:val="en-GB" w:eastAsia="en-GB"/>
        </w:rPr>
        <w:t>surgical or operative procedures below the gingival margin or the surface of the skin, mucous membranes or teeth</w:t>
      </w:r>
      <w:r w:rsidR="00DF4203">
        <w:rPr>
          <w:rFonts w:eastAsia="Times New Roman"/>
          <w:szCs w:val="20"/>
          <w:lang w:val="en-GB" w:eastAsia="en-GB"/>
        </w:rPr>
        <w:t>”</w:t>
      </w:r>
      <w:r w:rsidR="0062656E">
        <w:rPr>
          <w:rFonts w:eastAsia="Times New Roman"/>
          <w:szCs w:val="20"/>
          <w:lang w:val="en-GB" w:eastAsia="en-GB"/>
        </w:rPr>
        <w:t>, which provides a boundary between non-invasive cosmetic treatments, and those which can only be undertaken by an appropriately registered person</w:t>
      </w:r>
      <w:r w:rsidR="0062656E" w:rsidRPr="00AD30A2">
        <w:rPr>
          <w:rFonts w:eastAsia="Times New Roman"/>
          <w:szCs w:val="20"/>
          <w:lang w:val="en-GB" w:eastAsia="en-GB"/>
        </w:rPr>
        <w:t>.</w:t>
      </w:r>
      <w:r w:rsidR="0062656E">
        <w:rPr>
          <w:rFonts w:eastAsia="Times New Roman"/>
          <w:szCs w:val="20"/>
          <w:lang w:val="en-GB" w:eastAsia="en-GB"/>
        </w:rPr>
        <w:t xml:space="preserve">  </w:t>
      </w:r>
      <w:r w:rsidR="00471974">
        <w:rPr>
          <w:rFonts w:eastAsia="Times New Roman" w:cs="Times New Roman"/>
          <w:szCs w:val="20"/>
          <w:lang w:val="en-GB" w:eastAsia="en-GB"/>
        </w:rPr>
        <w:t xml:space="preserve">Finding equivalent clear boundaries that distinguish social work tasks from related professional tasks is difficult on a generic basis. </w:t>
      </w:r>
      <w:r w:rsidR="00CA6DA7">
        <w:rPr>
          <w:rFonts w:eastAsia="Times New Roman" w:cs="Times New Roman"/>
          <w:szCs w:val="20"/>
          <w:lang w:val="en-GB" w:eastAsia="en-GB"/>
        </w:rPr>
        <w:t xml:space="preserve"> </w:t>
      </w:r>
      <w:r w:rsidR="00CA6DA7" w:rsidRPr="003E79E5">
        <w:rPr>
          <w:rFonts w:eastAsia="Times New Roman"/>
          <w:szCs w:val="20"/>
          <w:lang w:val="en-GB" w:eastAsia="en-GB"/>
        </w:rPr>
        <w:t xml:space="preserve">We </w:t>
      </w:r>
      <w:r w:rsidR="00CA6DA7">
        <w:rPr>
          <w:rFonts w:eastAsia="Times New Roman"/>
          <w:szCs w:val="20"/>
          <w:lang w:val="en-GB" w:eastAsia="en-GB"/>
        </w:rPr>
        <w:t>therefore have</w:t>
      </w:r>
      <w:r w:rsidR="00CA6DA7" w:rsidRPr="003E79E5">
        <w:rPr>
          <w:rFonts w:eastAsia="Times New Roman"/>
          <w:szCs w:val="20"/>
          <w:lang w:val="en-GB" w:eastAsia="en-GB"/>
        </w:rPr>
        <w:t xml:space="preserve"> concerns with </w:t>
      </w:r>
      <w:r w:rsidR="00CA6DA7">
        <w:rPr>
          <w:rFonts w:eastAsia="Times New Roman"/>
          <w:szCs w:val="20"/>
          <w:lang w:val="en-GB" w:eastAsia="en-GB"/>
        </w:rPr>
        <w:t>taking a broad</w:t>
      </w:r>
      <w:r w:rsidR="00CA6DA7" w:rsidRPr="003E79E5">
        <w:rPr>
          <w:rFonts w:eastAsia="Times New Roman"/>
          <w:szCs w:val="20"/>
          <w:lang w:val="en-GB" w:eastAsia="en-GB"/>
        </w:rPr>
        <w:t xml:space="preserve"> approach</w:t>
      </w:r>
      <w:r w:rsidR="00CA6DA7">
        <w:rPr>
          <w:rFonts w:eastAsia="Times New Roman"/>
          <w:szCs w:val="20"/>
          <w:lang w:val="en-GB" w:eastAsia="en-GB"/>
        </w:rPr>
        <w:t xml:space="preserve"> to task licencing for social work.</w:t>
      </w:r>
    </w:p>
    <w:p w:rsidR="006638A8" w:rsidRPr="003E79E5" w:rsidRDefault="00CA6DA7"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Particular concerns about broader, more generic task </w:t>
      </w:r>
      <w:proofErr w:type="gramStart"/>
      <w:r>
        <w:rPr>
          <w:rFonts w:eastAsia="Times New Roman"/>
          <w:szCs w:val="20"/>
          <w:lang w:val="en-GB" w:eastAsia="en-GB"/>
        </w:rPr>
        <w:t>licencing</w:t>
      </w:r>
      <w:r w:rsidR="006638A8" w:rsidRPr="003E79E5">
        <w:rPr>
          <w:rFonts w:eastAsia="Times New Roman"/>
          <w:szCs w:val="20"/>
          <w:lang w:val="en-GB" w:eastAsia="en-GB"/>
        </w:rPr>
        <w:t>,</w:t>
      </w:r>
      <w:proofErr w:type="gramEnd"/>
      <w:r w:rsidR="006638A8" w:rsidRPr="003E79E5">
        <w:rPr>
          <w:rFonts w:eastAsia="Times New Roman"/>
          <w:szCs w:val="20"/>
          <w:lang w:val="en-GB" w:eastAsia="en-GB"/>
        </w:rPr>
        <w:t xml:space="preserve"> aris</w:t>
      </w:r>
      <w:r>
        <w:rPr>
          <w:rFonts w:eastAsia="Times New Roman"/>
          <w:szCs w:val="20"/>
          <w:lang w:val="en-GB" w:eastAsia="en-GB"/>
        </w:rPr>
        <w:t>e</w:t>
      </w:r>
      <w:r w:rsidR="006638A8" w:rsidRPr="003E79E5">
        <w:rPr>
          <w:rFonts w:eastAsia="Times New Roman"/>
          <w:szCs w:val="20"/>
          <w:lang w:val="en-GB" w:eastAsia="en-GB"/>
        </w:rPr>
        <w:t xml:space="preserve"> from legal advice</w:t>
      </w:r>
      <w:r>
        <w:rPr>
          <w:rFonts w:eastAsia="Times New Roman"/>
          <w:szCs w:val="20"/>
          <w:lang w:val="en-GB" w:eastAsia="en-GB"/>
        </w:rPr>
        <w:t xml:space="preserve"> about r</w:t>
      </w:r>
      <w:r w:rsidR="00471974">
        <w:rPr>
          <w:rFonts w:eastAsia="Times New Roman"/>
          <w:szCs w:val="20"/>
          <w:lang w:val="en-GB" w:eastAsia="en-GB"/>
        </w:rPr>
        <w:t>ecent</w:t>
      </w:r>
      <w:r w:rsidR="00C1110F">
        <w:rPr>
          <w:rFonts w:eastAsia="Times New Roman"/>
          <w:szCs w:val="20"/>
          <w:lang w:val="en-GB" w:eastAsia="en-GB"/>
        </w:rPr>
        <w:t xml:space="preserve"> changes made </w:t>
      </w:r>
      <w:r w:rsidR="0011220C">
        <w:rPr>
          <w:rFonts w:eastAsia="Times New Roman"/>
          <w:szCs w:val="20"/>
          <w:lang w:val="en-GB" w:eastAsia="en-GB"/>
        </w:rPr>
        <w:t>to</w:t>
      </w:r>
      <w:r w:rsidR="0011220C" w:rsidRPr="003E79E5">
        <w:rPr>
          <w:rFonts w:eastAsia="Times New Roman"/>
          <w:szCs w:val="20"/>
          <w:lang w:val="en-GB" w:eastAsia="en-GB"/>
        </w:rPr>
        <w:t xml:space="preserve"> </w:t>
      </w:r>
      <w:r w:rsidR="006638A8" w:rsidRPr="003E79E5">
        <w:rPr>
          <w:rFonts w:eastAsia="Times New Roman"/>
          <w:szCs w:val="20"/>
          <w:lang w:val="en-GB" w:eastAsia="en-GB"/>
        </w:rPr>
        <w:t>the</w:t>
      </w:r>
      <w:r w:rsidR="002F638D">
        <w:rPr>
          <w:rFonts w:eastAsia="Times New Roman"/>
          <w:szCs w:val="20"/>
          <w:lang w:val="en-GB" w:eastAsia="en-GB"/>
        </w:rPr>
        <w:t xml:space="preserve"> </w:t>
      </w:r>
      <w:r w:rsidR="000B5EC5">
        <w:rPr>
          <w:rFonts w:eastAsia="Times New Roman"/>
          <w:szCs w:val="20"/>
          <w:lang w:val="en-GB" w:eastAsia="en-GB"/>
        </w:rPr>
        <w:t>Children, Young Persons, and t</w:t>
      </w:r>
      <w:r w:rsidR="002F638D" w:rsidRPr="002F638D">
        <w:rPr>
          <w:rFonts w:eastAsia="Times New Roman"/>
          <w:szCs w:val="20"/>
          <w:lang w:val="en-GB" w:eastAsia="en-GB"/>
        </w:rPr>
        <w:t xml:space="preserve">heir Families Act </w:t>
      </w:r>
      <w:r w:rsidR="0011220C">
        <w:rPr>
          <w:rFonts w:eastAsia="Times New Roman"/>
          <w:szCs w:val="20"/>
          <w:lang w:val="en-GB" w:eastAsia="en-GB"/>
        </w:rPr>
        <w:t>1989</w:t>
      </w:r>
      <w:r w:rsidR="0011220C" w:rsidRPr="003E79E5">
        <w:rPr>
          <w:rFonts w:eastAsia="Times New Roman"/>
          <w:szCs w:val="20"/>
          <w:lang w:val="en-GB" w:eastAsia="en-GB"/>
        </w:rPr>
        <w:t xml:space="preserve"> </w:t>
      </w:r>
      <w:r w:rsidR="002F638D">
        <w:rPr>
          <w:rFonts w:eastAsia="Times New Roman"/>
          <w:szCs w:val="20"/>
          <w:lang w:val="en-GB" w:eastAsia="en-GB"/>
        </w:rPr>
        <w:t>(</w:t>
      </w:r>
      <w:r w:rsidR="006638A8" w:rsidRPr="003E79E5">
        <w:rPr>
          <w:rFonts w:eastAsia="Times New Roman"/>
          <w:szCs w:val="20"/>
          <w:lang w:val="en-GB" w:eastAsia="en-GB"/>
        </w:rPr>
        <w:t>CYPF Act</w:t>
      </w:r>
      <w:r w:rsidR="002F638D">
        <w:rPr>
          <w:rFonts w:eastAsia="Times New Roman"/>
          <w:szCs w:val="20"/>
          <w:lang w:val="en-GB" w:eastAsia="en-GB"/>
        </w:rPr>
        <w:t>)</w:t>
      </w:r>
      <w:r>
        <w:rPr>
          <w:rFonts w:eastAsia="Times New Roman"/>
          <w:szCs w:val="20"/>
          <w:lang w:val="en-GB" w:eastAsia="en-GB"/>
        </w:rPr>
        <w:t xml:space="preserve">. </w:t>
      </w:r>
      <w:r w:rsidR="006638A8" w:rsidRPr="003E79E5">
        <w:rPr>
          <w:rFonts w:eastAsia="Times New Roman"/>
          <w:szCs w:val="20"/>
          <w:lang w:val="en-GB" w:eastAsia="en-GB"/>
        </w:rPr>
        <w:t xml:space="preserve"> </w:t>
      </w:r>
      <w:r w:rsidR="00036AFB" w:rsidRPr="003E79E5">
        <w:rPr>
          <w:rFonts w:eastAsia="Times New Roman"/>
          <w:szCs w:val="20"/>
          <w:lang w:val="en-GB" w:eastAsia="en-GB"/>
        </w:rPr>
        <w:t xml:space="preserve">The </w:t>
      </w:r>
      <w:r w:rsidR="00CC7880">
        <w:rPr>
          <w:rFonts w:eastAsia="Times New Roman"/>
          <w:szCs w:val="20"/>
          <w:lang w:val="en-GB" w:eastAsia="en-GB"/>
        </w:rPr>
        <w:t xml:space="preserve">CYPF </w:t>
      </w:r>
      <w:r w:rsidR="00036AFB" w:rsidRPr="003E79E5">
        <w:rPr>
          <w:rFonts w:eastAsia="Times New Roman"/>
          <w:szCs w:val="20"/>
          <w:lang w:val="en-GB" w:eastAsia="en-GB"/>
        </w:rPr>
        <w:t>Act now allows the Chief Executive</w:t>
      </w:r>
      <w:r w:rsidR="002F638D">
        <w:rPr>
          <w:rFonts w:eastAsia="Times New Roman"/>
          <w:szCs w:val="20"/>
          <w:lang w:val="en-GB" w:eastAsia="en-GB"/>
        </w:rPr>
        <w:t xml:space="preserve"> </w:t>
      </w:r>
      <w:r w:rsidR="002B178F">
        <w:rPr>
          <w:rFonts w:eastAsia="Times New Roman"/>
          <w:szCs w:val="20"/>
          <w:lang w:val="en-GB" w:eastAsia="en-GB"/>
        </w:rPr>
        <w:t>of MVCOT</w:t>
      </w:r>
      <w:r w:rsidR="00036AFB" w:rsidRPr="003E79E5">
        <w:rPr>
          <w:rFonts w:eastAsia="Times New Roman"/>
          <w:szCs w:val="20"/>
          <w:lang w:val="en-GB" w:eastAsia="en-GB"/>
        </w:rPr>
        <w:t xml:space="preserve"> </w:t>
      </w:r>
      <w:r w:rsidR="002B178F">
        <w:rPr>
          <w:rFonts w:eastAsia="Times New Roman"/>
          <w:szCs w:val="20"/>
          <w:lang w:val="en-GB" w:eastAsia="en-GB"/>
        </w:rPr>
        <w:t xml:space="preserve">(CE) </w:t>
      </w:r>
      <w:r w:rsidR="00036AFB" w:rsidRPr="003E79E5">
        <w:rPr>
          <w:rFonts w:eastAsia="Times New Roman"/>
          <w:szCs w:val="20"/>
          <w:lang w:val="en-GB" w:eastAsia="en-GB"/>
        </w:rPr>
        <w:t xml:space="preserve">to delegate most of the functions and powers previously performed by social workers under the </w:t>
      </w:r>
      <w:r w:rsidR="00CC7880">
        <w:rPr>
          <w:rFonts w:eastAsia="Times New Roman"/>
          <w:szCs w:val="20"/>
          <w:lang w:val="en-GB" w:eastAsia="en-GB"/>
        </w:rPr>
        <w:t xml:space="preserve">CYPF </w:t>
      </w:r>
      <w:r w:rsidR="00036AFB" w:rsidRPr="003E79E5">
        <w:rPr>
          <w:rFonts w:eastAsia="Times New Roman"/>
          <w:szCs w:val="20"/>
          <w:lang w:val="en-GB" w:eastAsia="en-GB"/>
        </w:rPr>
        <w:t>Act to a broader range of appropriately qualified professionals, both inside and outside the state sector.  These delegations are likely to be to particular roles in organisations, not to named individuals or organisations.</w:t>
      </w:r>
      <w:r w:rsidR="00036AFB">
        <w:rPr>
          <w:rFonts w:eastAsia="Times New Roman"/>
          <w:szCs w:val="20"/>
          <w:lang w:val="en-GB" w:eastAsia="en-GB"/>
        </w:rPr>
        <w:t xml:space="preserve">  Amendments to the CYPF Act </w:t>
      </w:r>
      <w:r w:rsidR="006638A8" w:rsidRPr="003E79E5">
        <w:rPr>
          <w:rFonts w:eastAsia="Times New Roman"/>
          <w:szCs w:val="20"/>
          <w:lang w:val="en-GB" w:eastAsia="en-GB"/>
        </w:rPr>
        <w:t xml:space="preserve">are intended to enable flexibility for a multi-disciplinary approach to child protection work and decision-making, and to allow the new Ministry to deliver services via strategic partners rather than its own direct employees.  The changes were recommended by the Expert Panel that reviewed CYF, and are designed to enable a broader range of professionals to perform a wider set of functions under the </w:t>
      </w:r>
      <w:r w:rsidR="00CC7880">
        <w:rPr>
          <w:rFonts w:eastAsia="Times New Roman"/>
          <w:szCs w:val="20"/>
          <w:lang w:val="en-GB" w:eastAsia="en-GB"/>
        </w:rPr>
        <w:t xml:space="preserve">CYPF </w:t>
      </w:r>
      <w:r w:rsidR="006638A8" w:rsidRPr="003E79E5">
        <w:rPr>
          <w:rFonts w:eastAsia="Times New Roman"/>
          <w:szCs w:val="20"/>
          <w:lang w:val="en-GB" w:eastAsia="en-GB"/>
        </w:rPr>
        <w:t>Act to help identify and meet the needs of vulnerable children and young people.</w:t>
      </w:r>
    </w:p>
    <w:p w:rsidR="006638A8" w:rsidRPr="003E79E5" w:rsidRDefault="00036AFB"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Moves towards broader task licencing in the SWR Act would run counter to these changes.  </w:t>
      </w:r>
      <w:r w:rsidR="006638A8" w:rsidRPr="003E79E5">
        <w:rPr>
          <w:rFonts w:eastAsia="Times New Roman"/>
          <w:szCs w:val="20"/>
          <w:lang w:val="en-GB" w:eastAsia="en-GB"/>
        </w:rPr>
        <w:t xml:space="preserve">Many of the statutory functions previously vested in CYF social workers, are not specific to social work, and conversely many functions currently performed by </w:t>
      </w:r>
      <w:r w:rsidR="002B178F">
        <w:rPr>
          <w:rFonts w:eastAsia="Times New Roman"/>
          <w:szCs w:val="20"/>
          <w:lang w:val="en-GB" w:eastAsia="en-GB"/>
        </w:rPr>
        <w:t>MVCOT</w:t>
      </w:r>
      <w:r w:rsidR="006638A8" w:rsidRPr="003E79E5">
        <w:rPr>
          <w:rFonts w:eastAsia="Times New Roman"/>
          <w:szCs w:val="20"/>
          <w:lang w:val="en-GB" w:eastAsia="en-GB"/>
        </w:rPr>
        <w:t xml:space="preserve"> social workers are not currently limited to social workers for example, writing plans and reports for the court and acting on behalf of the CE as the person who has care of a child or young person.</w:t>
      </w:r>
    </w:p>
    <w:p w:rsidR="006638A8" w:rsidRPr="003E79E5" w:rsidRDefault="006638A8" w:rsidP="005B5FC6">
      <w:pPr>
        <w:numPr>
          <w:ilvl w:val="0"/>
          <w:numId w:val="23"/>
        </w:numPr>
        <w:spacing w:after="240" w:line="240" w:lineRule="auto"/>
        <w:ind w:left="567" w:hanging="567"/>
        <w:rPr>
          <w:rFonts w:eastAsia="Times New Roman"/>
          <w:szCs w:val="20"/>
          <w:lang w:val="en-GB" w:eastAsia="en-GB"/>
        </w:rPr>
      </w:pPr>
      <w:r w:rsidRPr="003E79E5">
        <w:rPr>
          <w:rFonts w:eastAsia="Times New Roman"/>
          <w:szCs w:val="20"/>
          <w:lang w:val="en-GB" w:eastAsia="en-GB"/>
        </w:rPr>
        <w:t xml:space="preserve">It is intended that social workers will continue to make up a key part of the workforce for vulnerable children, but the functions that may be delegated to other professionals under the </w:t>
      </w:r>
      <w:r w:rsidR="00AF4C07">
        <w:rPr>
          <w:rFonts w:eastAsia="Times New Roman"/>
          <w:szCs w:val="20"/>
          <w:lang w:val="en-GB" w:eastAsia="en-GB"/>
        </w:rPr>
        <w:t xml:space="preserve">CYPF </w:t>
      </w:r>
      <w:r w:rsidRPr="003E79E5">
        <w:rPr>
          <w:rFonts w:eastAsia="Times New Roman"/>
          <w:szCs w:val="20"/>
          <w:lang w:val="en-GB" w:eastAsia="en-GB"/>
        </w:rPr>
        <w:t xml:space="preserve">Act include receiving reports of concerns, initiating investigations and applying for warrants to remove children.  The </w:t>
      </w:r>
      <w:r w:rsidR="00CC7880">
        <w:rPr>
          <w:rFonts w:eastAsia="Times New Roman"/>
          <w:szCs w:val="20"/>
          <w:lang w:val="en-GB" w:eastAsia="en-GB"/>
        </w:rPr>
        <w:t xml:space="preserve">CYPF </w:t>
      </w:r>
      <w:r w:rsidRPr="003E79E5">
        <w:rPr>
          <w:rFonts w:eastAsia="Times New Roman"/>
          <w:szCs w:val="20"/>
          <w:lang w:val="en-GB" w:eastAsia="en-GB"/>
        </w:rPr>
        <w:t xml:space="preserve">Act </w:t>
      </w:r>
      <w:r w:rsidR="002B178F">
        <w:rPr>
          <w:rFonts w:eastAsia="Times New Roman"/>
          <w:szCs w:val="20"/>
          <w:lang w:val="en-GB" w:eastAsia="en-GB"/>
        </w:rPr>
        <w:t xml:space="preserve">had </w:t>
      </w:r>
      <w:r w:rsidRPr="003E79E5">
        <w:rPr>
          <w:rFonts w:eastAsia="Times New Roman"/>
          <w:szCs w:val="20"/>
          <w:lang w:val="en-GB" w:eastAsia="en-GB"/>
        </w:rPr>
        <w:t>already allow</w:t>
      </w:r>
      <w:r w:rsidR="002B178F">
        <w:rPr>
          <w:rFonts w:eastAsia="Times New Roman"/>
          <w:szCs w:val="20"/>
          <w:lang w:val="en-GB" w:eastAsia="en-GB"/>
        </w:rPr>
        <w:t>ed</w:t>
      </w:r>
      <w:r w:rsidRPr="003E79E5">
        <w:rPr>
          <w:rFonts w:eastAsia="Times New Roman"/>
          <w:szCs w:val="20"/>
          <w:lang w:val="en-GB" w:eastAsia="en-GB"/>
        </w:rPr>
        <w:t xml:space="preserve"> for a CYF social worker to arrange for another person to undertake an investigation.</w:t>
      </w:r>
    </w:p>
    <w:p w:rsidR="006638A8" w:rsidRPr="003E79E5" w:rsidRDefault="006638A8" w:rsidP="005B5FC6">
      <w:pPr>
        <w:numPr>
          <w:ilvl w:val="0"/>
          <w:numId w:val="23"/>
        </w:numPr>
        <w:spacing w:after="240" w:line="240" w:lineRule="auto"/>
        <w:ind w:left="567" w:hanging="567"/>
        <w:rPr>
          <w:rFonts w:eastAsia="Times New Roman" w:cs="Times New Roman"/>
          <w:szCs w:val="20"/>
          <w:u w:val="single"/>
          <w:lang w:val="en-GB" w:eastAsia="en-GB"/>
        </w:rPr>
      </w:pPr>
      <w:r w:rsidRPr="003E79E5">
        <w:rPr>
          <w:rFonts w:eastAsia="Times New Roman"/>
          <w:szCs w:val="20"/>
          <w:lang w:val="en-GB" w:eastAsia="en-GB"/>
        </w:rPr>
        <w:t>We anticipate this problem will be a</w:t>
      </w:r>
      <w:r w:rsidR="00516758">
        <w:rPr>
          <w:rFonts w:eastAsia="Times New Roman"/>
          <w:szCs w:val="20"/>
          <w:lang w:val="en-GB" w:eastAsia="en-GB"/>
        </w:rPr>
        <w:t xml:space="preserve"> wider</w:t>
      </w:r>
      <w:r w:rsidRPr="003E79E5">
        <w:rPr>
          <w:rFonts w:eastAsia="Times New Roman"/>
          <w:szCs w:val="20"/>
          <w:lang w:val="en-GB" w:eastAsia="en-GB"/>
        </w:rPr>
        <w:t xml:space="preserve"> issue than the immediate issue for </w:t>
      </w:r>
      <w:r w:rsidR="001913C7">
        <w:rPr>
          <w:rFonts w:eastAsia="Times New Roman"/>
          <w:szCs w:val="20"/>
          <w:lang w:val="en-GB" w:eastAsia="en-GB"/>
        </w:rPr>
        <w:t xml:space="preserve">the </w:t>
      </w:r>
      <w:r w:rsidR="001913C7" w:rsidRPr="007A6992">
        <w:rPr>
          <w:rFonts w:eastAsia="Times New Roman"/>
          <w:szCs w:val="20"/>
          <w:lang w:val="en-GB" w:eastAsia="en-GB"/>
        </w:rPr>
        <w:t>Ministry for Vulne</w:t>
      </w:r>
      <w:r w:rsidR="001913C7">
        <w:rPr>
          <w:rFonts w:eastAsia="Times New Roman"/>
          <w:szCs w:val="20"/>
          <w:lang w:val="en-GB" w:eastAsia="en-GB"/>
        </w:rPr>
        <w:t xml:space="preserve">rable Children, </w:t>
      </w:r>
      <w:proofErr w:type="spellStart"/>
      <w:r w:rsidR="001913C7">
        <w:rPr>
          <w:rFonts w:eastAsia="Times New Roman"/>
          <w:szCs w:val="20"/>
          <w:lang w:val="en-GB" w:eastAsia="en-GB"/>
        </w:rPr>
        <w:t>Oranga</w:t>
      </w:r>
      <w:proofErr w:type="spellEnd"/>
      <w:r w:rsidR="001913C7">
        <w:rPr>
          <w:rFonts w:eastAsia="Times New Roman"/>
          <w:szCs w:val="20"/>
          <w:lang w:val="en-GB" w:eastAsia="en-GB"/>
        </w:rPr>
        <w:t xml:space="preserve"> </w:t>
      </w:r>
      <w:proofErr w:type="spellStart"/>
      <w:r w:rsidR="001913C7">
        <w:rPr>
          <w:rFonts w:eastAsia="Times New Roman"/>
          <w:szCs w:val="20"/>
          <w:lang w:val="en-GB" w:eastAsia="en-GB"/>
        </w:rPr>
        <w:t>Tamariki</w:t>
      </w:r>
      <w:proofErr w:type="spellEnd"/>
      <w:r w:rsidRPr="003E79E5">
        <w:rPr>
          <w:rFonts w:eastAsia="Times New Roman"/>
          <w:szCs w:val="20"/>
          <w:lang w:val="en-GB" w:eastAsia="en-GB"/>
        </w:rPr>
        <w:t>.  Multidisciplinary approaches are increasingly seen as more effective for complex personal, family and community situations where social work practice is undertaken</w:t>
      </w:r>
      <w:r w:rsidRPr="003E79E5">
        <w:rPr>
          <w:rFonts w:eastAsia="Times New Roman"/>
          <w:color w:val="000000"/>
          <w:kern w:val="22"/>
          <w:szCs w:val="20"/>
          <w:lang w:eastAsia="en-NZ"/>
        </w:rPr>
        <w:t xml:space="preserve">, and commonly used in the health and education sectors.  </w:t>
      </w:r>
      <w:r w:rsidR="00516758">
        <w:rPr>
          <w:rFonts w:eastAsia="Times New Roman"/>
          <w:color w:val="000000"/>
          <w:kern w:val="22"/>
          <w:szCs w:val="20"/>
          <w:lang w:eastAsia="en-NZ"/>
        </w:rPr>
        <w:t>A</w:t>
      </w:r>
      <w:r w:rsidR="00471974">
        <w:rPr>
          <w:rFonts w:eastAsia="Times New Roman"/>
          <w:color w:val="000000"/>
          <w:kern w:val="22"/>
          <w:szCs w:val="20"/>
          <w:lang w:eastAsia="en-NZ"/>
        </w:rPr>
        <w:t xml:space="preserve"> </w:t>
      </w:r>
      <w:r w:rsidRPr="003E79E5">
        <w:rPr>
          <w:rFonts w:eastAsia="Times New Roman"/>
          <w:color w:val="000000"/>
          <w:kern w:val="22"/>
          <w:szCs w:val="20"/>
          <w:lang w:eastAsia="en-NZ"/>
        </w:rPr>
        <w:t xml:space="preserve">generic </w:t>
      </w:r>
      <w:r w:rsidR="00471974">
        <w:rPr>
          <w:rFonts w:eastAsia="Times New Roman"/>
          <w:color w:val="000000"/>
          <w:kern w:val="22"/>
          <w:szCs w:val="20"/>
          <w:lang w:eastAsia="en-NZ"/>
        </w:rPr>
        <w:t xml:space="preserve">legal </w:t>
      </w:r>
      <w:r w:rsidRPr="003E79E5">
        <w:rPr>
          <w:rFonts w:eastAsia="Times New Roman"/>
          <w:color w:val="000000"/>
          <w:kern w:val="22"/>
          <w:szCs w:val="20"/>
          <w:lang w:eastAsia="en-NZ"/>
        </w:rPr>
        <w:t>specification based on tasks could cause significant problems</w:t>
      </w:r>
      <w:r w:rsidR="00471974">
        <w:rPr>
          <w:rFonts w:eastAsia="Times New Roman"/>
          <w:color w:val="000000"/>
          <w:kern w:val="22"/>
          <w:szCs w:val="20"/>
          <w:lang w:eastAsia="en-NZ"/>
        </w:rPr>
        <w:t xml:space="preserve">, in that it could inadvertently restrict the practice of other professions providing services to vulnerable clients in a social services or </w:t>
      </w:r>
      <w:r w:rsidR="00471974">
        <w:rPr>
          <w:rFonts w:eastAsia="Times New Roman"/>
          <w:color w:val="000000"/>
          <w:kern w:val="22"/>
          <w:szCs w:val="20"/>
          <w:lang w:eastAsia="en-NZ"/>
        </w:rPr>
        <w:lastRenderedPageBreak/>
        <w:t xml:space="preserve">health context. </w:t>
      </w:r>
      <w:r w:rsidR="00CA6DA7">
        <w:rPr>
          <w:rFonts w:eastAsia="Times New Roman"/>
          <w:color w:val="000000"/>
          <w:kern w:val="22"/>
          <w:szCs w:val="20"/>
          <w:lang w:eastAsia="en-NZ"/>
        </w:rPr>
        <w:t xml:space="preserve"> </w:t>
      </w:r>
      <w:r w:rsidR="00516758" w:rsidRPr="003E79E5">
        <w:rPr>
          <w:rFonts w:eastAsia="Times New Roman"/>
          <w:color w:val="000000"/>
          <w:kern w:val="22"/>
          <w:szCs w:val="20"/>
          <w:lang w:eastAsia="en-NZ"/>
        </w:rPr>
        <w:t>Allowing employers and operational policy managers to specify where social workers are required will facilitate collaborative approaches</w:t>
      </w:r>
      <w:r w:rsidR="009C24D3">
        <w:rPr>
          <w:rFonts w:eastAsia="Times New Roman"/>
          <w:color w:val="000000"/>
          <w:kern w:val="22"/>
          <w:szCs w:val="20"/>
          <w:lang w:eastAsia="en-NZ"/>
        </w:rPr>
        <w:t>.</w:t>
      </w:r>
    </w:p>
    <w:p w:rsidR="00C92689" w:rsidRDefault="006638A8" w:rsidP="005B5FC6">
      <w:pPr>
        <w:numPr>
          <w:ilvl w:val="0"/>
          <w:numId w:val="23"/>
        </w:numPr>
        <w:spacing w:after="240" w:line="240" w:lineRule="auto"/>
        <w:ind w:left="567" w:hanging="567"/>
        <w:rPr>
          <w:rFonts w:eastAsia="Times New Roman"/>
          <w:color w:val="000000"/>
          <w:kern w:val="22"/>
          <w:szCs w:val="20"/>
          <w:lang w:eastAsia="en-NZ"/>
        </w:rPr>
      </w:pPr>
      <w:r w:rsidRPr="003E79E5">
        <w:rPr>
          <w:rFonts w:eastAsia="Times New Roman"/>
          <w:color w:val="000000"/>
          <w:kern w:val="22"/>
          <w:szCs w:val="20"/>
          <w:lang w:eastAsia="en-NZ"/>
        </w:rPr>
        <w:t>Task based specification on a generic, statutory basis could result in people currently working in related areas being shut out because their work overlaps too much with tasks defined as Social Work Tasks</w:t>
      </w:r>
      <w:r w:rsidR="00C92689">
        <w:rPr>
          <w:rFonts w:eastAsia="Times New Roman"/>
          <w:color w:val="000000"/>
          <w:kern w:val="22"/>
          <w:szCs w:val="20"/>
          <w:lang w:eastAsia="en-NZ"/>
        </w:rPr>
        <w:t xml:space="preserve"> (for example probation officers or </w:t>
      </w:r>
      <w:proofErr w:type="spellStart"/>
      <w:r w:rsidR="00C92689">
        <w:rPr>
          <w:rFonts w:eastAsia="Times New Roman"/>
          <w:color w:val="000000"/>
          <w:kern w:val="22"/>
          <w:szCs w:val="20"/>
          <w:lang w:eastAsia="en-NZ"/>
        </w:rPr>
        <w:t>Whanau</w:t>
      </w:r>
      <w:proofErr w:type="spellEnd"/>
      <w:r w:rsidR="00C92689">
        <w:rPr>
          <w:rFonts w:eastAsia="Times New Roman"/>
          <w:color w:val="000000"/>
          <w:kern w:val="22"/>
          <w:szCs w:val="20"/>
          <w:lang w:eastAsia="en-NZ"/>
        </w:rPr>
        <w:t xml:space="preserve"> </w:t>
      </w:r>
      <w:proofErr w:type="spellStart"/>
      <w:r w:rsidR="00C92689">
        <w:rPr>
          <w:rFonts w:eastAsia="Times New Roman"/>
          <w:color w:val="000000"/>
          <w:kern w:val="22"/>
          <w:szCs w:val="20"/>
          <w:lang w:eastAsia="en-NZ"/>
        </w:rPr>
        <w:t>Ora</w:t>
      </w:r>
      <w:proofErr w:type="spellEnd"/>
      <w:r w:rsidR="00C92689">
        <w:rPr>
          <w:rFonts w:eastAsia="Times New Roman"/>
          <w:color w:val="000000"/>
          <w:kern w:val="22"/>
          <w:szCs w:val="20"/>
          <w:lang w:eastAsia="en-NZ"/>
        </w:rPr>
        <w:t xml:space="preserve"> navigators)</w:t>
      </w:r>
      <w:r w:rsidRPr="003E79E5">
        <w:rPr>
          <w:rFonts w:eastAsia="Times New Roman"/>
          <w:color w:val="000000"/>
          <w:kern w:val="22"/>
          <w:szCs w:val="20"/>
          <w:lang w:eastAsia="en-NZ"/>
        </w:rPr>
        <w:t xml:space="preserve">.  </w:t>
      </w:r>
      <w:r w:rsidRPr="009445E6">
        <w:rPr>
          <w:rFonts w:eastAsia="Times New Roman"/>
          <w:color w:val="000000"/>
          <w:kern w:val="22"/>
          <w:szCs w:val="20"/>
          <w:lang w:eastAsia="en-NZ"/>
        </w:rPr>
        <w:t xml:space="preserve">It could also result in having to use </w:t>
      </w:r>
      <w:r w:rsidR="00C92689" w:rsidRPr="009445E6">
        <w:rPr>
          <w:rFonts w:eastAsia="Times New Roman"/>
          <w:color w:val="000000"/>
          <w:kern w:val="22"/>
          <w:szCs w:val="20"/>
          <w:lang w:eastAsia="en-NZ"/>
        </w:rPr>
        <w:t>social workers</w:t>
      </w:r>
      <w:r w:rsidRPr="009445E6">
        <w:rPr>
          <w:rFonts w:eastAsia="Times New Roman"/>
          <w:color w:val="000000"/>
          <w:kern w:val="22"/>
          <w:szCs w:val="20"/>
          <w:lang w:eastAsia="en-NZ"/>
        </w:rPr>
        <w:t>, at greater cost, for ta</w:t>
      </w:r>
      <w:r w:rsidRPr="003E79E5">
        <w:rPr>
          <w:rFonts w:eastAsia="Times New Roman"/>
          <w:color w:val="000000"/>
          <w:kern w:val="22"/>
          <w:szCs w:val="20"/>
          <w:lang w:eastAsia="en-NZ"/>
        </w:rPr>
        <w:t>sks that could be undertaken by less specialised staff.</w:t>
      </w:r>
      <w:r w:rsidR="00124508">
        <w:rPr>
          <w:rFonts w:eastAsia="Times New Roman"/>
          <w:color w:val="000000"/>
          <w:kern w:val="22"/>
          <w:szCs w:val="20"/>
          <w:lang w:eastAsia="en-NZ"/>
        </w:rPr>
        <w:t xml:space="preserve">  </w:t>
      </w:r>
    </w:p>
    <w:p w:rsidR="006638A8" w:rsidRDefault="00C92689"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In the context of a regime of certification and title protection for social workers (as described above as </w:t>
      </w:r>
      <w:r w:rsidRPr="00C92689">
        <w:rPr>
          <w:rFonts w:eastAsia="Times New Roman"/>
          <w:i/>
          <w:color w:val="000000"/>
          <w:kern w:val="22"/>
          <w:szCs w:val="20"/>
          <w:lang w:eastAsia="en-NZ"/>
        </w:rPr>
        <w:t>Extension to Level 3</w:t>
      </w:r>
      <w:r>
        <w:rPr>
          <w:rFonts w:eastAsia="Times New Roman"/>
          <w:color w:val="000000"/>
          <w:kern w:val="22"/>
          <w:szCs w:val="20"/>
          <w:lang w:eastAsia="en-NZ"/>
        </w:rPr>
        <w:t>), e</w:t>
      </w:r>
      <w:r w:rsidR="00124508">
        <w:rPr>
          <w:rFonts w:eastAsia="Times New Roman"/>
          <w:color w:val="000000"/>
          <w:kern w:val="22"/>
          <w:szCs w:val="20"/>
          <w:lang w:eastAsia="en-NZ"/>
        </w:rPr>
        <w:t xml:space="preserve">mployers and funding agencies </w:t>
      </w:r>
      <w:r>
        <w:rPr>
          <w:rFonts w:eastAsia="Times New Roman"/>
          <w:color w:val="000000"/>
          <w:kern w:val="22"/>
          <w:szCs w:val="20"/>
          <w:lang w:eastAsia="en-NZ"/>
        </w:rPr>
        <w:t xml:space="preserve">could implement their own form of task licencing by specifying “social worker” in job titles and contracts. </w:t>
      </w:r>
      <w:r w:rsidR="00124508">
        <w:rPr>
          <w:rFonts w:eastAsia="Times New Roman"/>
          <w:color w:val="000000"/>
          <w:kern w:val="22"/>
          <w:szCs w:val="20"/>
          <w:lang w:eastAsia="en-NZ"/>
        </w:rPr>
        <w:t xml:space="preserve"> </w:t>
      </w:r>
      <w:r>
        <w:rPr>
          <w:rFonts w:eastAsia="Times New Roman"/>
          <w:color w:val="000000"/>
          <w:kern w:val="22"/>
          <w:szCs w:val="20"/>
          <w:lang w:eastAsia="en-NZ"/>
        </w:rPr>
        <w:t xml:space="preserve">They will </w:t>
      </w:r>
      <w:r w:rsidR="00124508">
        <w:rPr>
          <w:rFonts w:eastAsia="Times New Roman"/>
          <w:color w:val="000000"/>
          <w:kern w:val="22"/>
          <w:szCs w:val="20"/>
          <w:lang w:eastAsia="en-NZ"/>
        </w:rPr>
        <w:t xml:space="preserve">be able to </w:t>
      </w:r>
      <w:r>
        <w:rPr>
          <w:rFonts w:eastAsia="Times New Roman"/>
          <w:color w:val="000000"/>
          <w:kern w:val="22"/>
          <w:szCs w:val="20"/>
          <w:lang w:eastAsia="en-NZ"/>
        </w:rPr>
        <w:t>precisely</w:t>
      </w:r>
      <w:r w:rsidR="00124508">
        <w:rPr>
          <w:rFonts w:eastAsia="Times New Roman"/>
          <w:color w:val="000000"/>
          <w:kern w:val="22"/>
          <w:szCs w:val="20"/>
          <w:lang w:eastAsia="en-NZ"/>
        </w:rPr>
        <w:t xml:space="preserve"> identify where social workers are needed, and to enforce this via </w:t>
      </w:r>
      <w:r>
        <w:rPr>
          <w:rFonts w:eastAsia="Times New Roman"/>
          <w:color w:val="000000"/>
          <w:kern w:val="22"/>
          <w:szCs w:val="20"/>
          <w:lang w:eastAsia="en-NZ"/>
        </w:rPr>
        <w:t>their employment and contracting policies.</w:t>
      </w:r>
    </w:p>
    <w:p w:rsidR="000B1E7C" w:rsidRDefault="000B1E7C"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A move to task licensing is not expected to add significantly greater</w:t>
      </w:r>
      <w:r w:rsidR="00CF5FEF">
        <w:rPr>
          <w:rFonts w:eastAsia="Times New Roman"/>
          <w:color w:val="000000"/>
          <w:kern w:val="22"/>
          <w:szCs w:val="20"/>
          <w:lang w:eastAsia="en-NZ"/>
        </w:rPr>
        <w:t xml:space="preserve"> </w:t>
      </w:r>
      <w:r>
        <w:rPr>
          <w:rFonts w:eastAsia="Times New Roman"/>
          <w:color w:val="000000"/>
          <w:kern w:val="22"/>
          <w:szCs w:val="20"/>
          <w:lang w:eastAsia="en-NZ"/>
        </w:rPr>
        <w:t xml:space="preserve">costs than mandatory certification. </w:t>
      </w:r>
    </w:p>
    <w:p w:rsidR="00516758" w:rsidRPr="003E79E5" w:rsidRDefault="00516758"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We do not recommend this approach for regulatory reform. </w:t>
      </w:r>
    </w:p>
    <w:p w:rsidR="006638A8" w:rsidRPr="0071256C" w:rsidRDefault="006638A8" w:rsidP="00177E1D">
      <w:pPr>
        <w:spacing w:after="240" w:line="240" w:lineRule="auto"/>
        <w:rPr>
          <w:rFonts w:eastAsia="Times New Roman" w:cs="Times New Roman"/>
          <w:i/>
          <w:szCs w:val="20"/>
          <w:u w:val="single"/>
          <w:lang w:val="en-GB" w:eastAsia="en-GB"/>
        </w:rPr>
      </w:pPr>
      <w:r w:rsidRPr="0071256C">
        <w:rPr>
          <w:rFonts w:eastAsia="Times New Roman" w:cs="Times New Roman"/>
          <w:i/>
          <w:szCs w:val="20"/>
          <w:u w:val="single"/>
          <w:lang w:val="en-GB" w:eastAsia="en-GB"/>
        </w:rPr>
        <w:t xml:space="preserve">Extension to Level </w:t>
      </w:r>
      <w:r w:rsidR="002B178F">
        <w:rPr>
          <w:rFonts w:eastAsia="Times New Roman" w:cs="Times New Roman"/>
          <w:i/>
          <w:szCs w:val="20"/>
          <w:u w:val="single"/>
          <w:lang w:val="en-GB" w:eastAsia="en-GB"/>
        </w:rPr>
        <w:t>Five</w:t>
      </w:r>
      <w:r w:rsidRPr="0071256C">
        <w:rPr>
          <w:rFonts w:eastAsia="Times New Roman" w:cs="Times New Roman"/>
          <w:i/>
          <w:szCs w:val="20"/>
          <w:u w:val="single"/>
          <w:lang w:val="en-GB" w:eastAsia="en-GB"/>
        </w:rPr>
        <w:t>: Licencing of Occupation</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Occupational licensing</w:t>
      </w:r>
      <w:r w:rsidRPr="003E05A4">
        <w:rPr>
          <w:rFonts w:eastAsia="Times New Roman"/>
          <w:color w:val="000000"/>
          <w:kern w:val="22"/>
          <w:szCs w:val="20"/>
          <w:lang w:eastAsia="en-NZ"/>
        </w:rPr>
        <w:t xml:space="preserve"> </w:t>
      </w:r>
      <w:r>
        <w:rPr>
          <w:rFonts w:eastAsia="Times New Roman"/>
          <w:color w:val="000000"/>
          <w:kern w:val="22"/>
          <w:szCs w:val="20"/>
          <w:lang w:eastAsia="en-NZ"/>
        </w:rPr>
        <w:t xml:space="preserve">is the most restrictive form of occupational regulation.  </w:t>
      </w:r>
      <w:r w:rsidRPr="0071256C">
        <w:rPr>
          <w:rFonts w:eastAsia="Times New Roman"/>
          <w:color w:val="000000"/>
          <w:kern w:val="22"/>
          <w:szCs w:val="20"/>
          <w:lang w:eastAsia="en-NZ"/>
        </w:rPr>
        <w:t xml:space="preserve">This is the type of regime applying to </w:t>
      </w:r>
      <w:r>
        <w:rPr>
          <w:rFonts w:eastAsia="Times New Roman"/>
          <w:color w:val="000000"/>
          <w:kern w:val="22"/>
          <w:szCs w:val="20"/>
          <w:lang w:eastAsia="en-NZ"/>
        </w:rPr>
        <w:t>t</w:t>
      </w:r>
      <w:r w:rsidRPr="0071256C">
        <w:rPr>
          <w:rFonts w:eastAsia="Times New Roman"/>
          <w:color w:val="000000"/>
          <w:kern w:val="22"/>
          <w:szCs w:val="20"/>
          <w:lang w:eastAsia="en-NZ"/>
        </w:rPr>
        <w:t xml:space="preserve">eachers and </w:t>
      </w:r>
      <w:r>
        <w:rPr>
          <w:rFonts w:eastAsia="Times New Roman"/>
          <w:color w:val="000000"/>
          <w:kern w:val="22"/>
          <w:szCs w:val="20"/>
          <w:lang w:eastAsia="en-NZ"/>
        </w:rPr>
        <w:t>r</w:t>
      </w:r>
      <w:r w:rsidRPr="0071256C">
        <w:rPr>
          <w:rFonts w:eastAsia="Times New Roman"/>
          <w:color w:val="000000"/>
          <w:kern w:val="22"/>
          <w:szCs w:val="20"/>
          <w:lang w:eastAsia="en-NZ"/>
        </w:rPr>
        <w:t xml:space="preserve">eal </w:t>
      </w:r>
      <w:r>
        <w:rPr>
          <w:rFonts w:eastAsia="Times New Roman"/>
          <w:color w:val="000000"/>
          <w:kern w:val="22"/>
          <w:szCs w:val="20"/>
          <w:lang w:eastAsia="en-NZ"/>
        </w:rPr>
        <w:t>e</w:t>
      </w:r>
      <w:r w:rsidRPr="0071256C">
        <w:rPr>
          <w:rFonts w:eastAsia="Times New Roman"/>
          <w:color w:val="000000"/>
          <w:kern w:val="22"/>
          <w:szCs w:val="20"/>
          <w:lang w:eastAsia="en-NZ"/>
        </w:rPr>
        <w:t xml:space="preserve">state </w:t>
      </w:r>
      <w:r>
        <w:rPr>
          <w:rFonts w:eastAsia="Times New Roman"/>
          <w:color w:val="000000"/>
          <w:kern w:val="22"/>
          <w:szCs w:val="20"/>
          <w:lang w:eastAsia="en-NZ"/>
        </w:rPr>
        <w:t>a</w:t>
      </w:r>
      <w:r w:rsidRPr="0071256C">
        <w:rPr>
          <w:rFonts w:eastAsia="Times New Roman"/>
          <w:color w:val="000000"/>
          <w:kern w:val="22"/>
          <w:szCs w:val="20"/>
          <w:lang w:eastAsia="en-NZ"/>
        </w:rPr>
        <w:t>gents.</w:t>
      </w:r>
      <w:r>
        <w:rPr>
          <w:rFonts w:eastAsia="Times New Roman"/>
          <w:color w:val="000000"/>
          <w:kern w:val="22"/>
          <w:szCs w:val="20"/>
          <w:lang w:eastAsia="en-NZ"/>
        </w:rPr>
        <w:t xml:space="preserve">  For social work, it would mean that only social workers were able to practise social work.  Although </w:t>
      </w:r>
      <w:r w:rsidRPr="003E05A4">
        <w:rPr>
          <w:rFonts w:eastAsia="Times New Roman"/>
          <w:color w:val="000000"/>
          <w:kern w:val="22"/>
          <w:szCs w:val="20"/>
          <w:lang w:eastAsia="en-NZ"/>
        </w:rPr>
        <w:t xml:space="preserve">the Select Committee Inquiry </w:t>
      </w:r>
      <w:r>
        <w:rPr>
          <w:rFonts w:eastAsia="Times New Roman"/>
          <w:color w:val="000000"/>
          <w:kern w:val="22"/>
          <w:szCs w:val="20"/>
          <w:lang w:eastAsia="en-NZ"/>
        </w:rPr>
        <w:t>did not describe its recommendations in the terms of the policy framework used in this RIS, it recommended that</w:t>
      </w:r>
      <w:r w:rsidRPr="00734ED0">
        <w:rPr>
          <w:rFonts w:eastAsia="Times New Roman"/>
          <w:color w:val="000000"/>
          <w:kern w:val="22"/>
          <w:szCs w:val="20"/>
          <w:lang w:eastAsia="en-NZ"/>
        </w:rPr>
        <w:t xml:space="preserve"> “Government permit only registered social workers to practise social work, as defined in a legislative instrument”. </w:t>
      </w:r>
      <w:r>
        <w:rPr>
          <w:rFonts w:eastAsia="Times New Roman"/>
          <w:color w:val="000000"/>
          <w:kern w:val="22"/>
          <w:szCs w:val="20"/>
          <w:lang w:eastAsia="en-NZ"/>
        </w:rPr>
        <w:t xml:space="preserve"> This is occupational licensing in terms of </w:t>
      </w:r>
      <w:r w:rsidR="002C47B6">
        <w:rPr>
          <w:rFonts w:eastAsia="Times New Roman"/>
          <w:color w:val="000000"/>
          <w:kern w:val="22"/>
          <w:szCs w:val="20"/>
          <w:lang w:eastAsia="en-NZ"/>
        </w:rPr>
        <w:t xml:space="preserve">the </w:t>
      </w:r>
      <w:r>
        <w:rPr>
          <w:rFonts w:eastAsia="Times New Roman"/>
          <w:color w:val="000000"/>
          <w:kern w:val="22"/>
          <w:szCs w:val="20"/>
          <w:lang w:eastAsia="en-NZ"/>
        </w:rPr>
        <w:t xml:space="preserve">policy framework.  </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The difficulties described above with regard to task licencing would be greater under this option because implementing a definition of “social work” in generic, statutory terms would introduce ambiguity and likely overreach.  Additionally, the definition would have to be put into </w:t>
      </w:r>
      <w:r w:rsidR="00CC7880">
        <w:rPr>
          <w:rFonts w:eastAsia="Times New Roman"/>
          <w:color w:val="000000"/>
          <w:kern w:val="22"/>
          <w:szCs w:val="20"/>
          <w:lang w:eastAsia="en-NZ"/>
        </w:rPr>
        <w:t>the SWR Act</w:t>
      </w:r>
      <w:r>
        <w:rPr>
          <w:rFonts w:eastAsia="Times New Roman"/>
          <w:color w:val="000000"/>
          <w:kern w:val="22"/>
          <w:szCs w:val="20"/>
          <w:lang w:eastAsia="en-NZ"/>
        </w:rPr>
        <w:t xml:space="preserve">; it is not appropriate to delegate the power to define social work to the Board or another regulatory authority as this would contravene fundamental legal norms about the role of Parliament. </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For the purposes of occupational regulation, teachers are people who hold “teaching positions” (positions involving instructing students in the general education system, as defined by the Education Act 1964).  Requirements to register as teachers and be certificated prior to employment apply only to teaching positions.  This is an example of an occupation being defined by the employer as well as the role.  Similarly, real estate agents are people, not being certificated lawyers or </w:t>
      </w:r>
      <w:proofErr w:type="spellStart"/>
      <w:r>
        <w:rPr>
          <w:rFonts w:eastAsia="Times New Roman"/>
          <w:color w:val="000000"/>
          <w:kern w:val="22"/>
          <w:szCs w:val="20"/>
          <w:lang w:eastAsia="en-NZ"/>
        </w:rPr>
        <w:t>conveyancers</w:t>
      </w:r>
      <w:proofErr w:type="spellEnd"/>
      <w:r>
        <w:rPr>
          <w:rFonts w:eastAsia="Times New Roman"/>
          <w:color w:val="000000"/>
          <w:kern w:val="22"/>
          <w:szCs w:val="20"/>
          <w:lang w:eastAsia="en-NZ"/>
        </w:rPr>
        <w:t xml:space="preserve">, who work in trade for the purpose of </w:t>
      </w:r>
      <w:proofErr w:type="gramStart"/>
      <w:r>
        <w:rPr>
          <w:rFonts w:eastAsia="Times New Roman"/>
          <w:color w:val="000000"/>
          <w:kern w:val="22"/>
          <w:szCs w:val="20"/>
          <w:lang w:eastAsia="en-NZ"/>
        </w:rPr>
        <w:t>effecting</w:t>
      </w:r>
      <w:proofErr w:type="gramEnd"/>
      <w:r>
        <w:rPr>
          <w:rFonts w:eastAsia="Times New Roman"/>
          <w:color w:val="000000"/>
          <w:kern w:val="22"/>
          <w:szCs w:val="20"/>
          <w:lang w:eastAsia="en-NZ"/>
        </w:rPr>
        <w:t xml:space="preserve"> any of a specific list of transaction types listed in the Real Estate Agents Act 2008.  This is an example of a clearly delineated role that is defined by use of well-established legal terms.</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Social work is like neither of these occupations.  It is a contestable field whose outer edges are hard to define, like teaching, but without an obvious way to limit the application of the regulatory regime (for example, by selecting on basis of the employer).  Social work, in addition to being ill-defined, is spread widely across government and non-government employers and across sectors like health, education, and justice.  On this basis, it is not possible to propose a workable definition of social work for the purposes of occupational licensing.</w:t>
      </w:r>
    </w:p>
    <w:p w:rsidR="00C81B0E" w:rsidRDefault="00C81B0E"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Lastly, this approach is out of step with the regulatory settings that apply to health professions, which have been identified as the most appropriate general comparator </w:t>
      </w:r>
      <w:r>
        <w:rPr>
          <w:rFonts w:eastAsia="Times New Roman"/>
          <w:color w:val="000000"/>
          <w:kern w:val="22"/>
          <w:szCs w:val="20"/>
          <w:lang w:eastAsia="en-NZ"/>
        </w:rPr>
        <w:lastRenderedPageBreak/>
        <w:t>for social work.  Health professions are regulated by a combination of certification (level three) and task licensing (level four).</w:t>
      </w:r>
    </w:p>
    <w:p w:rsidR="00B76A38" w:rsidRPr="00B76A38" w:rsidRDefault="00B76A38" w:rsidP="00177E1D">
      <w:pPr>
        <w:spacing w:after="240" w:line="240" w:lineRule="auto"/>
        <w:rPr>
          <w:rFonts w:eastAsia="Times New Roman" w:cs="Times New Roman"/>
          <w:i/>
          <w:szCs w:val="20"/>
          <w:u w:val="single"/>
          <w:lang w:val="en-GB" w:eastAsia="en-GB"/>
        </w:rPr>
      </w:pPr>
      <w:r w:rsidRPr="00B76A38">
        <w:rPr>
          <w:rFonts w:eastAsia="Times New Roman" w:cs="Times New Roman"/>
          <w:i/>
          <w:szCs w:val="20"/>
          <w:u w:val="single"/>
          <w:lang w:val="en-GB" w:eastAsia="en-GB"/>
        </w:rPr>
        <w:t>Summary and Conclusion</w:t>
      </w:r>
      <w:r w:rsidR="00DB4824">
        <w:rPr>
          <w:rFonts w:eastAsia="Times New Roman" w:cs="Times New Roman"/>
          <w:i/>
          <w:szCs w:val="20"/>
          <w:u w:val="single"/>
          <w:lang w:val="en-GB" w:eastAsia="en-GB"/>
        </w:rPr>
        <w:t xml:space="preserve"> about registration options</w:t>
      </w:r>
    </w:p>
    <w:tbl>
      <w:tblPr>
        <w:tblStyle w:val="TableGrid"/>
        <w:tblW w:w="0" w:type="auto"/>
        <w:jc w:val="center"/>
        <w:tblInd w:w="-1146" w:type="dxa"/>
        <w:tblLayout w:type="fixed"/>
        <w:tblLook w:val="04A0" w:firstRow="1" w:lastRow="0" w:firstColumn="1" w:lastColumn="0" w:noHBand="0" w:noVBand="1"/>
      </w:tblPr>
      <w:tblGrid>
        <w:gridCol w:w="1452"/>
        <w:gridCol w:w="970"/>
        <w:gridCol w:w="970"/>
        <w:gridCol w:w="993"/>
        <w:gridCol w:w="992"/>
        <w:gridCol w:w="1074"/>
        <w:gridCol w:w="952"/>
        <w:gridCol w:w="1092"/>
        <w:gridCol w:w="871"/>
        <w:gridCol w:w="982"/>
      </w:tblGrid>
      <w:tr w:rsidR="00DB4824" w:rsidRPr="00C05771" w:rsidTr="005517FA">
        <w:trPr>
          <w:jc w:val="center"/>
        </w:trPr>
        <w:tc>
          <w:tcPr>
            <w:tcW w:w="145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Options</w:t>
            </w:r>
          </w:p>
        </w:tc>
        <w:tc>
          <w:tcPr>
            <w:tcW w:w="970" w:type="dxa"/>
            <w:shd w:val="clear" w:color="auto" w:fill="D9D9D9" w:themeFill="background1" w:themeFillShade="D9"/>
          </w:tcPr>
          <w:p w:rsidR="005517FA" w:rsidRDefault="00490EDF" w:rsidP="00177E1D">
            <w:pPr>
              <w:spacing w:after="0" w:line="240" w:lineRule="auto"/>
              <w:rPr>
                <w:rFonts w:ascii="Arial" w:eastAsia="Times New Roman" w:hAnsi="Arial"/>
                <w:szCs w:val="20"/>
                <w:lang w:val="en-GB" w:eastAsia="en-GB"/>
              </w:rPr>
            </w:pPr>
            <w:r>
              <w:rPr>
                <w:rFonts w:ascii="Arial" w:eastAsia="Times New Roman" w:hAnsi="Arial"/>
                <w:szCs w:val="20"/>
                <w:lang w:val="en-GB" w:eastAsia="en-GB"/>
              </w:rPr>
              <w:t xml:space="preserve">Increase </w:t>
            </w:r>
            <w:proofErr w:type="spellStart"/>
            <w:r w:rsidR="00FF7DEE">
              <w:rPr>
                <w:rFonts w:ascii="Arial" w:eastAsia="Times New Roman" w:hAnsi="Arial"/>
                <w:szCs w:val="20"/>
                <w:lang w:val="en-GB" w:eastAsia="en-GB"/>
              </w:rPr>
              <w:t>registra</w:t>
            </w:r>
            <w:proofErr w:type="spellEnd"/>
            <w:r w:rsidR="005517FA">
              <w:rPr>
                <w:rFonts w:ascii="Arial" w:eastAsia="Times New Roman" w:hAnsi="Arial"/>
                <w:szCs w:val="20"/>
                <w:lang w:val="en-GB" w:eastAsia="en-GB"/>
              </w:rPr>
              <w:t>-</w:t>
            </w:r>
          </w:p>
          <w:p w:rsidR="00DB4824" w:rsidRDefault="00FF7DEE" w:rsidP="005517FA">
            <w:pPr>
              <w:spacing w:after="0" w:line="240" w:lineRule="auto"/>
              <w:rPr>
                <w:rFonts w:ascii="Arial" w:eastAsia="Times New Roman" w:hAnsi="Arial"/>
                <w:szCs w:val="20"/>
                <w:lang w:val="en-GB" w:eastAsia="en-GB"/>
              </w:rPr>
            </w:pPr>
            <w:proofErr w:type="spellStart"/>
            <w:r>
              <w:rPr>
                <w:rFonts w:ascii="Arial" w:eastAsia="Times New Roman" w:hAnsi="Arial"/>
                <w:szCs w:val="20"/>
                <w:lang w:val="en-GB" w:eastAsia="en-GB"/>
              </w:rPr>
              <w:t>tion</w:t>
            </w:r>
            <w:proofErr w:type="spellEnd"/>
          </w:p>
        </w:tc>
        <w:tc>
          <w:tcPr>
            <w:tcW w:w="970" w:type="dxa"/>
            <w:shd w:val="clear" w:color="auto" w:fill="D9D9D9" w:themeFill="background1" w:themeFillShade="D9"/>
          </w:tcPr>
          <w:p w:rsidR="00DB4824" w:rsidRDefault="00DB4824" w:rsidP="00177E1D">
            <w:pPr>
              <w:spacing w:after="0" w:line="240" w:lineRule="auto"/>
              <w:rPr>
                <w:rFonts w:ascii="Arial" w:eastAsia="Times New Roman" w:hAnsi="Arial"/>
                <w:sz w:val="20"/>
                <w:szCs w:val="20"/>
                <w:lang w:val="en-GB" w:eastAsia="en-GB"/>
              </w:rPr>
            </w:pPr>
            <w:r>
              <w:rPr>
                <w:rFonts w:ascii="Arial" w:eastAsia="Times New Roman" w:hAnsi="Arial"/>
                <w:sz w:val="20"/>
                <w:szCs w:val="20"/>
                <w:lang w:val="en-GB" w:eastAsia="en-GB"/>
              </w:rPr>
              <w:t>Profess-</w:t>
            </w:r>
          </w:p>
          <w:p w:rsidR="00DB4824" w:rsidRPr="00C05771" w:rsidRDefault="00DB4824" w:rsidP="00177E1D">
            <w:pPr>
              <w:spacing w:after="0" w:line="240" w:lineRule="auto"/>
              <w:rPr>
                <w:rFonts w:ascii="Arial" w:eastAsia="Times New Roman" w:hAnsi="Arial" w:cs="Times New Roman"/>
                <w:sz w:val="20"/>
                <w:szCs w:val="20"/>
                <w:lang w:val="en-GB" w:eastAsia="en-GB"/>
              </w:rPr>
            </w:pPr>
            <w:proofErr w:type="spellStart"/>
            <w:r>
              <w:rPr>
                <w:rFonts w:ascii="Arial" w:eastAsia="Times New Roman" w:hAnsi="Arial"/>
                <w:sz w:val="20"/>
                <w:szCs w:val="20"/>
                <w:lang w:val="en-GB" w:eastAsia="en-GB"/>
              </w:rPr>
              <w:t>ionalism</w:t>
            </w:r>
            <w:proofErr w:type="spellEnd"/>
          </w:p>
        </w:tc>
        <w:tc>
          <w:tcPr>
            <w:tcW w:w="993" w:type="dxa"/>
            <w:shd w:val="clear" w:color="auto" w:fill="D9D9D9" w:themeFill="background1" w:themeFillShade="D9"/>
          </w:tcPr>
          <w:p w:rsidR="00DB4824"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 xml:space="preserve">Public </w:t>
            </w:r>
          </w:p>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Safety</w:t>
            </w:r>
          </w:p>
        </w:tc>
        <w:tc>
          <w:tcPr>
            <w:tcW w:w="99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Effective-ness</w:t>
            </w:r>
          </w:p>
        </w:tc>
        <w:tc>
          <w:tcPr>
            <w:tcW w:w="1074"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Efficiency</w:t>
            </w:r>
          </w:p>
        </w:tc>
        <w:tc>
          <w:tcPr>
            <w:tcW w:w="952" w:type="dxa"/>
            <w:shd w:val="clear" w:color="auto" w:fill="D9D9D9" w:themeFill="background1" w:themeFillShade="D9"/>
          </w:tcPr>
          <w:p w:rsidR="00DB4824" w:rsidRPr="00C05771"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Equity</w:t>
            </w:r>
          </w:p>
        </w:tc>
        <w:tc>
          <w:tcPr>
            <w:tcW w:w="1092" w:type="dxa"/>
            <w:shd w:val="clear" w:color="auto" w:fill="D9D9D9" w:themeFill="background1" w:themeFillShade="D9"/>
          </w:tcPr>
          <w:p w:rsidR="00DB4824" w:rsidRDefault="00DB4824" w:rsidP="00177E1D">
            <w:pPr>
              <w:spacing w:after="0"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Trans-</w:t>
            </w:r>
          </w:p>
          <w:p w:rsidR="00DB4824" w:rsidRPr="00C05771" w:rsidRDefault="00DB4824" w:rsidP="00177E1D">
            <w:pPr>
              <w:spacing w:after="0" w:line="240" w:lineRule="auto"/>
              <w:rPr>
                <w:rFonts w:ascii="Arial" w:eastAsia="Times New Roman" w:hAnsi="Arial" w:cs="Times New Roman"/>
                <w:sz w:val="20"/>
                <w:szCs w:val="20"/>
                <w:lang w:val="en-GB" w:eastAsia="en-GB"/>
              </w:rPr>
            </w:pPr>
            <w:proofErr w:type="spellStart"/>
            <w:r>
              <w:rPr>
                <w:rFonts w:ascii="Arial" w:eastAsia="Times New Roman" w:hAnsi="Arial" w:cs="Times New Roman"/>
                <w:sz w:val="20"/>
                <w:szCs w:val="20"/>
                <w:lang w:val="en-GB" w:eastAsia="en-GB"/>
              </w:rPr>
              <w:t>parency</w:t>
            </w:r>
            <w:proofErr w:type="spellEnd"/>
          </w:p>
        </w:tc>
        <w:tc>
          <w:tcPr>
            <w:tcW w:w="871" w:type="dxa"/>
            <w:shd w:val="clear" w:color="auto" w:fill="D9D9D9" w:themeFill="background1" w:themeFillShade="D9"/>
          </w:tcPr>
          <w:p w:rsidR="00DB4824" w:rsidRPr="001C2B79" w:rsidRDefault="00DB4824" w:rsidP="00177E1D">
            <w:pPr>
              <w:spacing w:after="0" w:line="240" w:lineRule="auto"/>
              <w:rPr>
                <w:rFonts w:ascii="Arial" w:eastAsia="Times New Roman" w:hAnsi="Arial" w:cs="Times New Roman"/>
                <w:sz w:val="20"/>
                <w:szCs w:val="20"/>
                <w:lang w:val="en-GB" w:eastAsia="en-GB"/>
              </w:rPr>
            </w:pPr>
            <w:r w:rsidRPr="001C2B79">
              <w:rPr>
                <w:rFonts w:ascii="Arial" w:eastAsia="Times New Roman" w:hAnsi="Arial" w:cs="Times New Roman"/>
                <w:sz w:val="20"/>
                <w:szCs w:val="20"/>
                <w:lang w:val="en-GB" w:eastAsia="en-GB"/>
              </w:rPr>
              <w:t>Clarity</w:t>
            </w:r>
          </w:p>
        </w:tc>
        <w:tc>
          <w:tcPr>
            <w:tcW w:w="982" w:type="dxa"/>
            <w:shd w:val="clear" w:color="auto" w:fill="D9D9D9" w:themeFill="background1" w:themeFillShade="D9"/>
          </w:tcPr>
          <w:p w:rsidR="00DB4824" w:rsidRPr="001C2B79" w:rsidRDefault="00DB4824" w:rsidP="00177E1D">
            <w:pPr>
              <w:spacing w:after="0" w:line="240" w:lineRule="auto"/>
              <w:rPr>
                <w:rFonts w:ascii="Arial" w:eastAsia="Times New Roman" w:hAnsi="Arial" w:cs="Times New Roman"/>
                <w:sz w:val="20"/>
                <w:szCs w:val="20"/>
                <w:lang w:val="en-GB" w:eastAsia="en-GB"/>
              </w:rPr>
            </w:pPr>
            <w:proofErr w:type="spellStart"/>
            <w:r>
              <w:rPr>
                <w:rFonts w:ascii="Arial" w:eastAsia="Times New Roman" w:hAnsi="Arial" w:cs="Times New Roman"/>
                <w:sz w:val="20"/>
                <w:szCs w:val="20"/>
                <w:lang w:val="en-GB" w:eastAsia="en-GB"/>
              </w:rPr>
              <w:t>Insitut-io</w:t>
            </w:r>
            <w:r w:rsidRPr="001C2B79">
              <w:rPr>
                <w:rFonts w:ascii="Arial" w:eastAsia="Times New Roman" w:hAnsi="Arial" w:cs="Times New Roman"/>
                <w:sz w:val="20"/>
                <w:szCs w:val="20"/>
                <w:lang w:val="en-GB" w:eastAsia="en-GB"/>
              </w:rPr>
              <w:t>nal</w:t>
            </w:r>
            <w:proofErr w:type="spellEnd"/>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 xml:space="preserve">Option 1: </w:t>
            </w:r>
            <w:r w:rsidRPr="002C76E5">
              <w:rPr>
                <w:rFonts w:eastAsia="Times New Roman" w:cs="Times New Roman"/>
                <w:i/>
                <w:szCs w:val="20"/>
                <w:lang w:val="en-GB" w:eastAsia="en-GB"/>
              </w:rPr>
              <w:t>No change to Status Q</w:t>
            </w:r>
            <w:r>
              <w:rPr>
                <w:rFonts w:eastAsia="Times New Roman" w:cs="Times New Roman"/>
                <w:i/>
                <w:szCs w:val="20"/>
                <w:lang w:val="en-GB" w:eastAsia="en-GB"/>
              </w:rPr>
              <w:t>uo</w:t>
            </w:r>
          </w:p>
        </w:tc>
        <w:tc>
          <w:tcPr>
            <w:tcW w:w="970" w:type="dxa"/>
          </w:tcPr>
          <w:p w:rsidR="00DB4824"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70"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3"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9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074"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10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sidRPr="00C05771">
              <w:rPr>
                <w:rFonts w:ascii="Arial" w:eastAsia="Times New Roman" w:hAnsi="Arial" w:cs="Times New Roman"/>
                <w:sz w:val="20"/>
                <w:szCs w:val="20"/>
                <w:lang w:val="en-GB" w:eastAsia="en-GB"/>
              </w:rPr>
              <w:t>0</w:t>
            </w:r>
          </w:p>
        </w:tc>
        <w:tc>
          <w:tcPr>
            <w:tcW w:w="871" w:type="dxa"/>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82" w:type="dxa"/>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 xml:space="preserve">Option 2: </w:t>
            </w:r>
            <w:r w:rsidRPr="002C76E5">
              <w:rPr>
                <w:rFonts w:eastAsia="Times New Roman" w:cs="Times New Roman"/>
                <w:i/>
                <w:szCs w:val="20"/>
                <w:lang w:val="en-GB" w:eastAsia="en-GB"/>
              </w:rPr>
              <w:t>Non regulatory chang</w:t>
            </w:r>
            <w:r>
              <w:rPr>
                <w:rFonts w:eastAsia="Times New Roman" w:cs="Times New Roman"/>
                <w:i/>
                <w:szCs w:val="20"/>
                <w:lang w:val="en-GB" w:eastAsia="en-GB"/>
              </w:rPr>
              <w:t>e</w:t>
            </w: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93" w:type="dxa"/>
            <w:shd w:val="clear" w:color="auto" w:fill="92D050"/>
          </w:tcPr>
          <w:p w:rsidR="00DB4824" w:rsidRPr="00532799"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1074"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52" w:type="dxa"/>
            <w:shd w:val="clear" w:color="auto" w:fill="auto"/>
          </w:tcPr>
          <w:p w:rsidR="00DB4824" w:rsidRPr="00C05771" w:rsidRDefault="00C579F0"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871" w:type="dxa"/>
            <w:shd w:val="clear" w:color="auto" w:fill="auto"/>
          </w:tcPr>
          <w:p w:rsidR="00DB4824" w:rsidRPr="00C05771" w:rsidRDefault="00C579F0"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auto"/>
          </w:tcPr>
          <w:p w:rsidR="00DB4824" w:rsidRPr="00C05771" w:rsidRDefault="00DB4824" w:rsidP="00CF2F69">
            <w:pPr>
              <w:spacing w:beforeLines="20" w:before="48" w:afterLines="20" w:after="48" w:line="240" w:lineRule="auto"/>
              <w:rPr>
                <w:rFonts w:ascii="Arial" w:eastAsia="Times New Roman" w:hAnsi="Arial" w:cs="Times New Roman"/>
                <w:sz w:val="20"/>
                <w:szCs w:val="20"/>
                <w:lang w:val="en-GB" w:eastAsia="en-GB"/>
              </w:rPr>
            </w:pPr>
            <w:r>
              <w:rPr>
                <w:rFonts w:eastAsia="Times New Roman" w:cs="Times New Roman"/>
                <w:i/>
                <w:szCs w:val="20"/>
                <w:lang w:val="en-GB" w:eastAsia="en-GB"/>
              </w:rPr>
              <w:t>Option 3: L</w:t>
            </w:r>
            <w:r w:rsidRPr="002C76E5">
              <w:rPr>
                <w:rFonts w:eastAsia="Times New Roman" w:cs="Times New Roman"/>
                <w:i/>
                <w:szCs w:val="20"/>
                <w:lang w:val="en-GB" w:eastAsia="en-GB"/>
              </w:rPr>
              <w:t>egislative “tidy up”</w:t>
            </w:r>
          </w:p>
        </w:tc>
        <w:tc>
          <w:tcPr>
            <w:tcW w:w="970" w:type="dxa"/>
            <w:shd w:val="clear" w:color="auto" w:fill="92D050"/>
          </w:tcPr>
          <w:p w:rsidR="00DB4824" w:rsidRPr="00177E1D" w:rsidRDefault="00DB4824" w:rsidP="00177E1D">
            <w:pPr>
              <w:spacing w:beforeLines="20" w:before="48" w:afterLines="20" w:after="48" w:line="240" w:lineRule="auto"/>
              <w:rPr>
                <w:rFonts w:ascii="Arial" w:eastAsia="Times New Roman" w:hAnsi="Arial" w:cs="Times New Roman"/>
                <w:color w:val="92D050"/>
                <w:szCs w:val="20"/>
                <w:lang w:val="en-GB" w:eastAsia="en-GB"/>
              </w:rPr>
            </w:pPr>
          </w:p>
        </w:tc>
        <w:tc>
          <w:tcPr>
            <w:tcW w:w="970"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3"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9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74"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r>
              <w:rPr>
                <w:rFonts w:ascii="Arial" w:eastAsia="Times New Roman" w:hAnsi="Arial" w:cs="Times New Roman"/>
                <w:sz w:val="20"/>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 w:val="20"/>
                <w:szCs w:val="20"/>
                <w:lang w:val="en-GB" w:eastAsia="en-GB"/>
              </w:rPr>
            </w:pPr>
          </w:p>
        </w:tc>
        <w:tc>
          <w:tcPr>
            <w:tcW w:w="871"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FFFF00"/>
          </w:tcPr>
          <w:p w:rsidR="00DB4824" w:rsidRPr="00ED0469" w:rsidRDefault="00DB4824" w:rsidP="00CF2F69">
            <w:pPr>
              <w:spacing w:beforeLines="20" w:before="48" w:afterLines="20" w:after="48" w:line="240" w:lineRule="auto"/>
              <w:rPr>
                <w:rFonts w:ascii="Arial" w:eastAsia="Times New Roman" w:hAnsi="Arial" w:cs="Times New Roman"/>
                <w:i/>
                <w:szCs w:val="20"/>
                <w:highlight w:val="yellow"/>
                <w:lang w:val="en-GB" w:eastAsia="en-GB"/>
              </w:rPr>
            </w:pPr>
            <w:r>
              <w:rPr>
                <w:rFonts w:ascii="Arial" w:eastAsia="Times New Roman" w:hAnsi="Arial" w:cs="Times New Roman"/>
                <w:i/>
                <w:sz w:val="20"/>
                <w:szCs w:val="20"/>
                <w:highlight w:val="yellow"/>
                <w:lang w:val="en-GB" w:eastAsia="en-GB"/>
              </w:rPr>
              <w:t xml:space="preserve">Option 4: </w:t>
            </w:r>
            <w:r w:rsidR="005517FA">
              <w:rPr>
                <w:rFonts w:ascii="Arial" w:eastAsia="Times New Roman" w:hAnsi="Arial" w:cs="Times New Roman"/>
                <w:i/>
                <w:sz w:val="20"/>
                <w:szCs w:val="20"/>
                <w:highlight w:val="yellow"/>
                <w:lang w:val="en-GB" w:eastAsia="en-GB"/>
              </w:rPr>
              <w:t>Level three</w:t>
            </w:r>
            <w:r>
              <w:rPr>
                <w:rFonts w:ascii="Arial" w:eastAsia="Times New Roman" w:hAnsi="Arial" w:cs="Times New Roman"/>
                <w:i/>
                <w:sz w:val="20"/>
                <w:szCs w:val="20"/>
                <w:highlight w:val="yellow"/>
                <w:lang w:val="en-GB" w:eastAsia="en-GB"/>
              </w:rPr>
              <w:t xml:space="preserve"> </w:t>
            </w:r>
            <w:r w:rsidRPr="00ED0469">
              <w:rPr>
                <w:rFonts w:ascii="Arial" w:eastAsia="Times New Roman" w:hAnsi="Arial" w:cs="Times New Roman"/>
                <w:i/>
                <w:sz w:val="20"/>
                <w:szCs w:val="20"/>
                <w:highlight w:val="yellow"/>
                <w:lang w:val="en-GB" w:eastAsia="en-GB"/>
              </w:rPr>
              <w:t>Certification</w:t>
            </w:r>
          </w:p>
        </w:tc>
        <w:tc>
          <w:tcPr>
            <w:tcW w:w="970"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3"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74"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871"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jc w:val="center"/>
        </w:trPr>
        <w:tc>
          <w:tcPr>
            <w:tcW w:w="1452" w:type="dxa"/>
            <w:shd w:val="clear" w:color="auto" w:fill="auto"/>
          </w:tcPr>
          <w:p w:rsidR="00DB4824" w:rsidRPr="00ED0469" w:rsidRDefault="00DB4824" w:rsidP="00CF2F69">
            <w:pPr>
              <w:spacing w:beforeLines="20" w:before="48" w:afterLines="20" w:after="48" w:line="240" w:lineRule="auto"/>
              <w:rPr>
                <w:rFonts w:ascii="Arial" w:eastAsia="Times New Roman" w:hAnsi="Arial" w:cs="Times New Roman"/>
                <w:i/>
                <w:szCs w:val="20"/>
                <w:lang w:val="en-GB" w:eastAsia="en-GB"/>
              </w:rPr>
            </w:pPr>
            <w:r w:rsidRPr="00ED0469">
              <w:rPr>
                <w:rFonts w:ascii="Arial" w:eastAsia="Times New Roman" w:hAnsi="Arial" w:cs="Times New Roman"/>
                <w:i/>
                <w:sz w:val="20"/>
                <w:szCs w:val="20"/>
                <w:lang w:val="en-GB" w:eastAsia="en-GB"/>
              </w:rPr>
              <w:t>Option 4:</w:t>
            </w:r>
            <w:r>
              <w:rPr>
                <w:rFonts w:ascii="Arial" w:eastAsia="Times New Roman" w:hAnsi="Arial" w:cs="Times New Roman"/>
                <w:i/>
                <w:sz w:val="20"/>
                <w:szCs w:val="20"/>
                <w:highlight w:val="yellow"/>
                <w:lang w:val="en-GB" w:eastAsia="en-GB"/>
              </w:rPr>
              <w:t xml:space="preserve"> </w:t>
            </w:r>
            <w:r w:rsidR="005517FA">
              <w:rPr>
                <w:rFonts w:ascii="Arial" w:eastAsia="Times New Roman" w:hAnsi="Arial" w:cs="Times New Roman"/>
                <w:i/>
                <w:sz w:val="20"/>
                <w:szCs w:val="20"/>
                <w:lang w:val="en-GB" w:eastAsia="en-GB"/>
              </w:rPr>
              <w:t>Level four</w:t>
            </w:r>
            <w:r>
              <w:rPr>
                <w:rFonts w:ascii="Arial" w:eastAsia="Times New Roman" w:hAnsi="Arial" w:cs="Times New Roman"/>
                <w:i/>
                <w:sz w:val="20"/>
                <w:szCs w:val="20"/>
                <w:lang w:val="en-GB" w:eastAsia="en-GB"/>
              </w:rPr>
              <w:t xml:space="preserve"> </w:t>
            </w:r>
            <w:r w:rsidRPr="00ED0469">
              <w:rPr>
                <w:rFonts w:ascii="Arial" w:eastAsia="Times New Roman" w:hAnsi="Arial" w:cs="Times New Roman"/>
                <w:i/>
                <w:sz w:val="20"/>
                <w:szCs w:val="20"/>
                <w:lang w:val="en-GB" w:eastAsia="en-GB"/>
              </w:rPr>
              <w:t>Task Licencing</w:t>
            </w:r>
          </w:p>
        </w:tc>
        <w:tc>
          <w:tcPr>
            <w:tcW w:w="970"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70"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3"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92" w:type="dxa"/>
            <w:shd w:val="clear" w:color="auto" w:fill="00B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74"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109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871"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92D05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r>
      <w:tr w:rsidR="00DB4824" w:rsidRPr="00C05771" w:rsidTr="005517FA">
        <w:trPr>
          <w:trHeight w:val="666"/>
          <w:jc w:val="center"/>
        </w:trPr>
        <w:tc>
          <w:tcPr>
            <w:tcW w:w="1452" w:type="dxa"/>
            <w:shd w:val="clear" w:color="auto" w:fill="auto"/>
          </w:tcPr>
          <w:p w:rsidR="00DB4824" w:rsidRPr="00ED0469" w:rsidRDefault="00DB4824" w:rsidP="00CF2F69">
            <w:pPr>
              <w:spacing w:beforeLines="20" w:before="48" w:afterLines="20" w:after="48" w:line="240" w:lineRule="auto"/>
              <w:rPr>
                <w:rFonts w:ascii="Arial" w:eastAsia="Times New Roman" w:hAnsi="Arial" w:cs="Times New Roman"/>
                <w:i/>
                <w:szCs w:val="20"/>
                <w:lang w:val="en-GB" w:eastAsia="en-GB"/>
              </w:rPr>
            </w:pPr>
            <w:r w:rsidRPr="00ED0469">
              <w:rPr>
                <w:rFonts w:ascii="Arial" w:eastAsia="Times New Roman" w:hAnsi="Arial" w:cs="Times New Roman"/>
                <w:i/>
                <w:sz w:val="20"/>
                <w:szCs w:val="20"/>
                <w:lang w:val="en-GB" w:eastAsia="en-GB"/>
              </w:rPr>
              <w:t>Option 4:</w:t>
            </w:r>
            <w:r>
              <w:rPr>
                <w:rFonts w:ascii="Arial" w:eastAsia="Times New Roman" w:hAnsi="Arial" w:cs="Times New Roman"/>
                <w:i/>
                <w:sz w:val="20"/>
                <w:szCs w:val="20"/>
                <w:highlight w:val="yellow"/>
                <w:lang w:val="en-GB" w:eastAsia="en-GB"/>
              </w:rPr>
              <w:t xml:space="preserve"> </w:t>
            </w:r>
            <w:r w:rsidR="005517FA">
              <w:rPr>
                <w:rFonts w:ascii="Arial" w:eastAsia="Times New Roman" w:hAnsi="Arial" w:cs="Times New Roman"/>
                <w:i/>
                <w:sz w:val="20"/>
                <w:szCs w:val="20"/>
                <w:lang w:val="en-GB" w:eastAsia="en-GB"/>
              </w:rPr>
              <w:t>Level five</w:t>
            </w:r>
            <w:r>
              <w:rPr>
                <w:rFonts w:ascii="Arial" w:eastAsia="Times New Roman" w:hAnsi="Arial" w:cs="Times New Roman"/>
                <w:i/>
                <w:sz w:val="20"/>
                <w:szCs w:val="20"/>
                <w:lang w:val="en-GB" w:eastAsia="en-GB"/>
              </w:rPr>
              <w:t xml:space="preserve"> </w:t>
            </w:r>
            <w:r w:rsidRPr="00ED0469">
              <w:rPr>
                <w:rFonts w:ascii="Arial" w:eastAsia="Times New Roman" w:hAnsi="Arial" w:cs="Times New Roman"/>
                <w:i/>
                <w:sz w:val="20"/>
                <w:szCs w:val="20"/>
                <w:lang w:val="en-GB" w:eastAsia="en-GB"/>
              </w:rPr>
              <w:t>Occupational  Licencing</w:t>
            </w:r>
          </w:p>
        </w:tc>
        <w:tc>
          <w:tcPr>
            <w:tcW w:w="970" w:type="dxa"/>
            <w:shd w:val="clear" w:color="auto" w:fill="00B050"/>
          </w:tcPr>
          <w:p w:rsidR="00DB4824" w:rsidRPr="00835488" w:rsidRDefault="00DB4824" w:rsidP="00177E1D">
            <w:pPr>
              <w:spacing w:beforeLines="20" w:before="48" w:afterLines="20" w:after="48" w:line="240" w:lineRule="auto"/>
              <w:rPr>
                <w:rFonts w:ascii="Arial" w:eastAsia="Times New Roman" w:hAnsi="Arial" w:cs="Times New Roman"/>
                <w:color w:val="00B050"/>
                <w:szCs w:val="20"/>
                <w:lang w:val="en-GB" w:eastAsia="en-GB"/>
              </w:rPr>
            </w:pPr>
          </w:p>
        </w:tc>
        <w:tc>
          <w:tcPr>
            <w:tcW w:w="970" w:type="dxa"/>
            <w:shd w:val="clear" w:color="auto" w:fill="00B050"/>
          </w:tcPr>
          <w:p w:rsidR="00DB4824" w:rsidRPr="00835488" w:rsidRDefault="00DB4824" w:rsidP="00177E1D">
            <w:pPr>
              <w:spacing w:beforeLines="20" w:before="48" w:afterLines="20" w:after="48" w:line="240" w:lineRule="auto"/>
              <w:rPr>
                <w:rFonts w:ascii="Arial" w:eastAsia="Times New Roman" w:hAnsi="Arial" w:cs="Times New Roman"/>
                <w:color w:val="00B050"/>
                <w:szCs w:val="20"/>
                <w:lang w:val="en-GB" w:eastAsia="en-GB"/>
              </w:rPr>
            </w:pPr>
          </w:p>
        </w:tc>
        <w:tc>
          <w:tcPr>
            <w:tcW w:w="993"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992"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1074"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52" w:type="dxa"/>
            <w:shd w:val="clear" w:color="auto" w:fill="FFC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1092" w:type="dxa"/>
            <w:shd w:val="clear" w:color="auto" w:fill="auto"/>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0</w:t>
            </w:r>
          </w:p>
        </w:tc>
        <w:tc>
          <w:tcPr>
            <w:tcW w:w="871" w:type="dxa"/>
            <w:shd w:val="clear" w:color="auto" w:fill="FF0000"/>
          </w:tcPr>
          <w:p w:rsidR="00DB4824" w:rsidRPr="00C05771" w:rsidRDefault="00DB4824" w:rsidP="00177E1D">
            <w:pPr>
              <w:spacing w:beforeLines="20" w:before="48" w:afterLines="20" w:after="48" w:line="240" w:lineRule="auto"/>
              <w:rPr>
                <w:rFonts w:ascii="Arial" w:eastAsia="Times New Roman" w:hAnsi="Arial" w:cs="Times New Roman"/>
                <w:szCs w:val="20"/>
                <w:lang w:val="en-GB" w:eastAsia="en-GB"/>
              </w:rPr>
            </w:pPr>
          </w:p>
        </w:tc>
        <w:tc>
          <w:tcPr>
            <w:tcW w:w="982" w:type="dxa"/>
            <w:shd w:val="clear" w:color="auto" w:fill="FF0000"/>
          </w:tcPr>
          <w:p w:rsidR="00DB4824" w:rsidRPr="00C05771" w:rsidRDefault="00DB4824" w:rsidP="00CF2F69">
            <w:pPr>
              <w:spacing w:line="240" w:lineRule="auto"/>
              <w:rPr>
                <w:rFonts w:ascii="Arial" w:eastAsia="Times New Roman" w:hAnsi="Arial" w:cs="Times New Roman"/>
                <w:szCs w:val="20"/>
                <w:lang w:val="en-GB" w:eastAsia="en-GB"/>
              </w:rPr>
            </w:pPr>
          </w:p>
        </w:tc>
      </w:tr>
    </w:tbl>
    <w:p w:rsidR="007D3908" w:rsidRPr="0073154E" w:rsidRDefault="007D3908" w:rsidP="00CF2F69"/>
    <w:tbl>
      <w:tblPr>
        <w:tblStyle w:val="TableGrid"/>
        <w:tblW w:w="0" w:type="auto"/>
        <w:tblLook w:val="04A0" w:firstRow="1" w:lastRow="0" w:firstColumn="1" w:lastColumn="0" w:noHBand="0" w:noVBand="1"/>
      </w:tblPr>
      <w:tblGrid>
        <w:gridCol w:w="1868"/>
        <w:gridCol w:w="1870"/>
        <w:gridCol w:w="1871"/>
        <w:gridCol w:w="1870"/>
        <w:gridCol w:w="1763"/>
      </w:tblGrid>
      <w:tr w:rsidR="0073154E" w:rsidRPr="00C05771" w:rsidTr="00C81B0E">
        <w:tc>
          <w:tcPr>
            <w:tcW w:w="1868" w:type="dxa"/>
            <w:shd w:val="clear" w:color="auto" w:fill="FF000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Much worse</w:t>
            </w:r>
          </w:p>
        </w:tc>
        <w:tc>
          <w:tcPr>
            <w:tcW w:w="1870" w:type="dxa"/>
            <w:shd w:val="clear" w:color="auto" w:fill="FFC00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Worse</w:t>
            </w:r>
          </w:p>
        </w:tc>
        <w:tc>
          <w:tcPr>
            <w:tcW w:w="1871" w:type="dxa"/>
            <w:shd w:val="clear" w:color="auto" w:fill="F2F2F2" w:themeFill="background1" w:themeFillShade="F2"/>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[0] = Neutral</w:t>
            </w:r>
          </w:p>
        </w:tc>
        <w:tc>
          <w:tcPr>
            <w:tcW w:w="1870" w:type="dxa"/>
            <w:shd w:val="clear" w:color="auto" w:fill="92D050"/>
          </w:tcPr>
          <w:p w:rsidR="0073154E" w:rsidRPr="00C05771" w:rsidRDefault="0073154E" w:rsidP="00177E1D">
            <w:pPr>
              <w:spacing w:line="240" w:lineRule="auto"/>
              <w:rPr>
                <w:rFonts w:eastAsia="Times New Roman" w:cs="Times New Roman"/>
                <w:sz w:val="16"/>
                <w:szCs w:val="16"/>
                <w:lang w:val="en-GB" w:eastAsia="en-GB"/>
              </w:rPr>
            </w:pPr>
            <w:r w:rsidRPr="00C05771">
              <w:rPr>
                <w:rFonts w:eastAsia="Times New Roman" w:cs="Times New Roman"/>
                <w:sz w:val="16"/>
                <w:szCs w:val="16"/>
                <w:lang w:val="en-GB" w:eastAsia="en-GB"/>
              </w:rPr>
              <w:t>[+] = Better</w:t>
            </w:r>
          </w:p>
        </w:tc>
        <w:tc>
          <w:tcPr>
            <w:tcW w:w="1763" w:type="dxa"/>
            <w:shd w:val="clear" w:color="auto" w:fill="00B050"/>
          </w:tcPr>
          <w:p w:rsidR="0073154E" w:rsidRPr="00C05771" w:rsidRDefault="0073154E" w:rsidP="00177E1D">
            <w:pPr>
              <w:spacing w:line="240" w:lineRule="auto"/>
              <w:ind w:right="-108"/>
              <w:rPr>
                <w:rFonts w:eastAsia="Times New Roman" w:cs="Times New Roman"/>
                <w:sz w:val="16"/>
                <w:szCs w:val="16"/>
                <w:lang w:val="en-GB" w:eastAsia="en-GB"/>
              </w:rPr>
            </w:pPr>
            <w:r w:rsidRPr="00C05771">
              <w:rPr>
                <w:rFonts w:eastAsia="Times New Roman" w:cs="Times New Roman"/>
                <w:sz w:val="16"/>
                <w:szCs w:val="16"/>
                <w:lang w:val="en-GB" w:eastAsia="en-GB"/>
              </w:rPr>
              <w:t>[++] = Much Better</w:t>
            </w:r>
          </w:p>
        </w:tc>
      </w:tr>
    </w:tbl>
    <w:p w:rsidR="005E562D" w:rsidRDefault="005E562D" w:rsidP="00CF2F69"/>
    <w:p w:rsidR="001D27E6" w:rsidRDefault="002B178F" w:rsidP="005B5FC6">
      <w:pPr>
        <w:numPr>
          <w:ilvl w:val="0"/>
          <w:numId w:val="23"/>
        </w:numPr>
        <w:spacing w:after="240" w:line="240" w:lineRule="auto"/>
        <w:ind w:left="567" w:hanging="567"/>
        <w:rPr>
          <w:rFonts w:eastAsia="Times New Roman"/>
          <w:color w:val="000000"/>
          <w:kern w:val="22"/>
          <w:szCs w:val="20"/>
          <w:lang w:eastAsia="en-NZ"/>
        </w:rPr>
      </w:pPr>
      <w:proofErr w:type="gramStart"/>
      <w:r>
        <w:rPr>
          <w:rFonts w:eastAsia="Times New Roman"/>
          <w:color w:val="000000"/>
          <w:kern w:val="22"/>
          <w:szCs w:val="20"/>
          <w:lang w:eastAsia="en-NZ"/>
        </w:rPr>
        <w:t>Level three</w:t>
      </w:r>
      <w:r w:rsidR="001D27E6">
        <w:rPr>
          <w:rFonts w:eastAsia="Times New Roman"/>
          <w:color w:val="000000"/>
          <w:kern w:val="22"/>
          <w:szCs w:val="20"/>
          <w:lang w:eastAsia="en-NZ"/>
        </w:rPr>
        <w:t xml:space="preserve"> </w:t>
      </w:r>
      <w:r w:rsidR="00C579F0" w:rsidRPr="00D059CF">
        <w:rPr>
          <w:rFonts w:eastAsia="Times New Roman"/>
          <w:color w:val="000000"/>
          <w:kern w:val="22"/>
          <w:szCs w:val="20"/>
          <w:lang w:eastAsia="en-NZ"/>
        </w:rPr>
        <w:t xml:space="preserve">certification </w:t>
      </w:r>
      <w:r w:rsidR="00E64BBC">
        <w:rPr>
          <w:rFonts w:eastAsia="Times New Roman"/>
          <w:color w:val="000000"/>
          <w:kern w:val="22"/>
          <w:szCs w:val="20"/>
          <w:lang w:eastAsia="en-NZ"/>
        </w:rPr>
        <w:t>(highlighted in yellow)</w:t>
      </w:r>
      <w:proofErr w:type="gramEnd"/>
      <w:r w:rsidR="00E64BBC">
        <w:rPr>
          <w:rFonts w:eastAsia="Times New Roman"/>
          <w:color w:val="000000"/>
          <w:kern w:val="22"/>
          <w:szCs w:val="20"/>
          <w:lang w:eastAsia="en-NZ"/>
        </w:rPr>
        <w:t xml:space="preserve"> </w:t>
      </w:r>
      <w:r w:rsidR="00C579F0">
        <w:rPr>
          <w:rFonts w:eastAsia="Times New Roman"/>
          <w:color w:val="000000"/>
          <w:kern w:val="22"/>
          <w:szCs w:val="20"/>
          <w:lang w:eastAsia="en-NZ"/>
        </w:rPr>
        <w:t xml:space="preserve">is the preferred option because it </w:t>
      </w:r>
      <w:r w:rsidR="001D27E6" w:rsidRPr="00177E1D">
        <w:rPr>
          <w:rFonts w:eastAsia="Times New Roman"/>
          <w:color w:val="000000"/>
          <w:kern w:val="22"/>
          <w:szCs w:val="20"/>
          <w:lang w:eastAsia="en-NZ"/>
        </w:rPr>
        <w:t xml:space="preserve">will avoid inadvertently affecting related occupations </w:t>
      </w:r>
      <w:r w:rsidR="00BA0C63">
        <w:rPr>
          <w:rFonts w:eastAsia="Times New Roman"/>
          <w:color w:val="000000"/>
          <w:kern w:val="22"/>
          <w:szCs w:val="20"/>
          <w:lang w:eastAsia="en-NZ"/>
        </w:rPr>
        <w:t>(for example</w:t>
      </w:r>
      <w:r w:rsidR="001D27E6" w:rsidRPr="00177E1D">
        <w:rPr>
          <w:rFonts w:eastAsia="Times New Roman"/>
          <w:color w:val="000000"/>
          <w:kern w:val="22"/>
          <w:szCs w:val="20"/>
          <w:lang w:eastAsia="en-NZ"/>
        </w:rPr>
        <w:t xml:space="preserve"> school guidance counsellors</w:t>
      </w:r>
      <w:r w:rsidR="001D27E6">
        <w:rPr>
          <w:rFonts w:eastAsia="Times New Roman"/>
          <w:color w:val="000000"/>
          <w:kern w:val="22"/>
          <w:szCs w:val="20"/>
          <w:lang w:eastAsia="en-NZ"/>
        </w:rPr>
        <w:t xml:space="preserve">, </w:t>
      </w:r>
      <w:r w:rsidR="00BA0C63">
        <w:rPr>
          <w:rFonts w:eastAsia="Times New Roman"/>
          <w:color w:val="000000"/>
          <w:kern w:val="22"/>
          <w:szCs w:val="20"/>
          <w:lang w:eastAsia="en-NZ"/>
        </w:rPr>
        <w:t xml:space="preserve">probation officers and </w:t>
      </w:r>
      <w:proofErr w:type="spellStart"/>
      <w:r w:rsidR="00BA0C63">
        <w:rPr>
          <w:rFonts w:eastAsia="Times New Roman"/>
          <w:color w:val="000000"/>
          <w:kern w:val="22"/>
          <w:szCs w:val="20"/>
          <w:lang w:eastAsia="en-NZ"/>
        </w:rPr>
        <w:t>Whanau</w:t>
      </w:r>
      <w:proofErr w:type="spellEnd"/>
      <w:r w:rsidR="00BA0C63">
        <w:rPr>
          <w:rFonts w:eastAsia="Times New Roman"/>
          <w:color w:val="000000"/>
          <w:kern w:val="22"/>
          <w:szCs w:val="20"/>
          <w:lang w:eastAsia="en-NZ"/>
        </w:rPr>
        <w:t xml:space="preserve"> </w:t>
      </w:r>
      <w:proofErr w:type="spellStart"/>
      <w:r w:rsidR="00BA0C63">
        <w:rPr>
          <w:rFonts w:eastAsia="Times New Roman"/>
          <w:color w:val="000000"/>
          <w:kern w:val="22"/>
          <w:szCs w:val="20"/>
          <w:lang w:eastAsia="en-NZ"/>
        </w:rPr>
        <w:t>Ora</w:t>
      </w:r>
      <w:proofErr w:type="spellEnd"/>
      <w:r w:rsidR="00BA0C63">
        <w:rPr>
          <w:rFonts w:eastAsia="Times New Roman"/>
          <w:color w:val="000000"/>
          <w:kern w:val="22"/>
          <w:szCs w:val="20"/>
          <w:lang w:eastAsia="en-NZ"/>
        </w:rPr>
        <w:t xml:space="preserve"> navigators) </w:t>
      </w:r>
      <w:r w:rsidR="001D27E6">
        <w:rPr>
          <w:rFonts w:eastAsia="Times New Roman"/>
          <w:color w:val="000000"/>
          <w:kern w:val="22"/>
          <w:szCs w:val="20"/>
          <w:lang w:eastAsia="en-NZ"/>
        </w:rPr>
        <w:t>by prote</w:t>
      </w:r>
      <w:r w:rsidR="001D27E6" w:rsidRPr="00177E1D">
        <w:rPr>
          <w:rFonts w:eastAsia="Times New Roman"/>
          <w:color w:val="000000"/>
          <w:kern w:val="22"/>
          <w:szCs w:val="20"/>
          <w:lang w:eastAsia="en-NZ"/>
        </w:rPr>
        <w:t>ct</w:t>
      </w:r>
      <w:r w:rsidR="001D27E6">
        <w:rPr>
          <w:rFonts w:eastAsia="Times New Roman"/>
          <w:color w:val="000000"/>
          <w:kern w:val="22"/>
          <w:szCs w:val="20"/>
          <w:lang w:eastAsia="en-NZ"/>
        </w:rPr>
        <w:t>ing</w:t>
      </w:r>
      <w:r w:rsidR="001D27E6" w:rsidRPr="00177E1D">
        <w:rPr>
          <w:rFonts w:eastAsia="Times New Roman"/>
          <w:color w:val="000000"/>
          <w:kern w:val="22"/>
          <w:szCs w:val="20"/>
          <w:lang w:eastAsia="en-NZ"/>
        </w:rPr>
        <w:t xml:space="preserve"> the title </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social worker</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1D27E6" w:rsidRPr="00177E1D">
        <w:rPr>
          <w:rFonts w:eastAsia="Times New Roman"/>
          <w:color w:val="000000"/>
          <w:kern w:val="22"/>
          <w:szCs w:val="20"/>
          <w:lang w:eastAsia="en-NZ"/>
        </w:rPr>
        <w:t xml:space="preserve">This will mean that for </w:t>
      </w:r>
      <w:r w:rsidR="00EA7B27">
        <w:rPr>
          <w:rFonts w:eastAsia="Times New Roman"/>
          <w:color w:val="000000"/>
          <w:kern w:val="22"/>
          <w:szCs w:val="20"/>
          <w:lang w:eastAsia="en-NZ"/>
        </w:rPr>
        <w:t xml:space="preserve">areas where there are various </w:t>
      </w:r>
      <w:r w:rsidR="001D27E6" w:rsidRPr="00177E1D">
        <w:rPr>
          <w:rFonts w:eastAsia="Times New Roman"/>
          <w:color w:val="000000"/>
          <w:kern w:val="22"/>
          <w:szCs w:val="20"/>
          <w:lang w:eastAsia="en-NZ"/>
        </w:rPr>
        <w:t xml:space="preserve">occupations </w:t>
      </w:r>
      <w:r w:rsidR="001D27E6">
        <w:rPr>
          <w:rFonts w:eastAsia="Times New Roman"/>
          <w:color w:val="000000"/>
          <w:kern w:val="22"/>
          <w:szCs w:val="20"/>
          <w:lang w:eastAsia="en-NZ"/>
        </w:rPr>
        <w:t>that are closely related to</w:t>
      </w:r>
      <w:r w:rsidR="001D27E6" w:rsidRPr="00177E1D">
        <w:rPr>
          <w:rFonts w:eastAsia="Times New Roman"/>
          <w:color w:val="000000"/>
          <w:kern w:val="22"/>
          <w:szCs w:val="20"/>
          <w:lang w:eastAsia="en-NZ"/>
        </w:rPr>
        <w:t xml:space="preserve"> social work, it will be for employers</w:t>
      </w:r>
      <w:r w:rsidR="00EA7B27">
        <w:rPr>
          <w:rFonts w:eastAsia="Times New Roman"/>
          <w:color w:val="000000"/>
          <w:kern w:val="22"/>
          <w:szCs w:val="20"/>
          <w:lang w:eastAsia="en-NZ"/>
        </w:rPr>
        <w:t xml:space="preserve"> (or contracting agencies) </w:t>
      </w:r>
      <w:r w:rsidR="001D27E6" w:rsidRPr="00177E1D">
        <w:rPr>
          <w:rFonts w:eastAsia="Times New Roman"/>
          <w:color w:val="000000"/>
          <w:kern w:val="22"/>
          <w:szCs w:val="20"/>
          <w:lang w:eastAsia="en-NZ"/>
        </w:rPr>
        <w:t xml:space="preserve">to make the call as to whether they will require employees to hold the title </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social worker</w:t>
      </w:r>
      <w:r w:rsidR="00DF4203">
        <w:rPr>
          <w:rFonts w:eastAsia="Times New Roman"/>
          <w:color w:val="000000"/>
          <w:kern w:val="22"/>
          <w:szCs w:val="20"/>
          <w:lang w:eastAsia="en-NZ"/>
        </w:rPr>
        <w:t>”</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1D27E6" w:rsidRPr="00177E1D">
        <w:rPr>
          <w:rFonts w:eastAsia="Times New Roman"/>
          <w:color w:val="000000"/>
          <w:kern w:val="22"/>
          <w:szCs w:val="20"/>
          <w:lang w:eastAsia="en-NZ"/>
        </w:rPr>
        <w:t xml:space="preserve">We think that this approach is preferable to imposing registration requirements for </w:t>
      </w:r>
      <w:r w:rsidR="00252861">
        <w:rPr>
          <w:rFonts w:eastAsia="Times New Roman"/>
          <w:color w:val="000000"/>
          <w:kern w:val="22"/>
          <w:szCs w:val="20"/>
          <w:lang w:eastAsia="en-NZ"/>
        </w:rPr>
        <w:t>types of</w:t>
      </w:r>
      <w:r w:rsidR="001D27E6" w:rsidRPr="00177E1D">
        <w:rPr>
          <w:rFonts w:eastAsia="Times New Roman"/>
          <w:color w:val="000000"/>
          <w:kern w:val="22"/>
          <w:szCs w:val="20"/>
          <w:lang w:eastAsia="en-NZ"/>
        </w:rPr>
        <w:t xml:space="preserve"> tasks</w:t>
      </w:r>
      <w:r w:rsidR="00252861">
        <w:rPr>
          <w:rFonts w:eastAsia="Times New Roman"/>
          <w:color w:val="000000"/>
          <w:kern w:val="22"/>
          <w:szCs w:val="20"/>
          <w:lang w:eastAsia="en-NZ"/>
        </w:rPr>
        <w:t>, which would reduce clarity and efficiency in the multidisciplinary environment where social workers practice</w:t>
      </w:r>
      <w:r w:rsidR="001D27E6" w:rsidRPr="00177E1D">
        <w:rPr>
          <w:rFonts w:eastAsia="Times New Roman"/>
          <w:color w:val="000000"/>
          <w:kern w:val="22"/>
          <w:szCs w:val="20"/>
          <w:lang w:eastAsia="en-NZ"/>
        </w:rPr>
        <w:t xml:space="preserve">. </w:t>
      </w:r>
      <w:r w:rsidR="001D27E6">
        <w:rPr>
          <w:rFonts w:eastAsia="Times New Roman"/>
          <w:color w:val="000000"/>
          <w:kern w:val="22"/>
          <w:szCs w:val="20"/>
          <w:lang w:eastAsia="en-NZ"/>
        </w:rPr>
        <w:t xml:space="preserve"> </w:t>
      </w:r>
      <w:r w:rsidR="00252861">
        <w:rPr>
          <w:rFonts w:eastAsia="Times New Roman"/>
          <w:color w:val="000000"/>
          <w:kern w:val="22"/>
          <w:szCs w:val="20"/>
          <w:lang w:eastAsia="en-NZ"/>
        </w:rPr>
        <w:t>It does allow for the</w:t>
      </w:r>
      <w:r w:rsidR="00252861" w:rsidRPr="00260024">
        <w:rPr>
          <w:rFonts w:eastAsia="Times New Roman"/>
          <w:color w:val="000000"/>
          <w:kern w:val="22"/>
          <w:szCs w:val="20"/>
          <w:lang w:eastAsia="en-NZ"/>
        </w:rPr>
        <w:t xml:space="preserve"> reserv</w:t>
      </w:r>
      <w:r w:rsidR="00252861">
        <w:rPr>
          <w:rFonts w:eastAsia="Times New Roman"/>
          <w:color w:val="000000"/>
          <w:kern w:val="22"/>
          <w:szCs w:val="20"/>
          <w:lang w:eastAsia="en-NZ"/>
        </w:rPr>
        <w:t>ation of</w:t>
      </w:r>
      <w:r w:rsidR="00252861" w:rsidRPr="00260024">
        <w:rPr>
          <w:rFonts w:eastAsia="Times New Roman"/>
          <w:color w:val="000000"/>
          <w:kern w:val="22"/>
          <w:szCs w:val="20"/>
          <w:lang w:eastAsia="en-NZ"/>
        </w:rPr>
        <w:t xml:space="preserve"> certain tasks</w:t>
      </w:r>
      <w:r w:rsidR="00252861">
        <w:rPr>
          <w:rFonts w:eastAsia="Times New Roman"/>
          <w:color w:val="000000"/>
          <w:kern w:val="22"/>
          <w:szCs w:val="20"/>
          <w:lang w:eastAsia="en-NZ"/>
        </w:rPr>
        <w:t xml:space="preserve"> where these can specified in legislation or contracts</w:t>
      </w:r>
      <w:r w:rsidR="007E247A">
        <w:rPr>
          <w:rFonts w:eastAsia="Times New Roman"/>
          <w:color w:val="000000"/>
          <w:kern w:val="22"/>
          <w:szCs w:val="20"/>
          <w:lang w:eastAsia="en-NZ"/>
        </w:rPr>
        <w:t xml:space="preserve">, </w:t>
      </w:r>
      <w:r w:rsidR="005F4B34">
        <w:rPr>
          <w:rFonts w:eastAsia="Times New Roman"/>
          <w:color w:val="000000"/>
          <w:kern w:val="22"/>
          <w:szCs w:val="20"/>
          <w:lang w:eastAsia="en-NZ"/>
        </w:rPr>
        <w:t>venturing into</w:t>
      </w:r>
      <w:r w:rsidR="007E247A">
        <w:rPr>
          <w:rFonts w:eastAsia="Times New Roman"/>
          <w:color w:val="000000"/>
          <w:kern w:val="22"/>
          <w:szCs w:val="20"/>
          <w:lang w:eastAsia="en-NZ"/>
        </w:rPr>
        <w:t xml:space="preserve"> level </w:t>
      </w:r>
      <w:r w:rsidR="00880C50">
        <w:rPr>
          <w:rFonts w:eastAsia="Times New Roman"/>
          <w:color w:val="000000"/>
          <w:kern w:val="22"/>
          <w:szCs w:val="20"/>
          <w:lang w:eastAsia="en-NZ"/>
        </w:rPr>
        <w:t>four</w:t>
      </w:r>
      <w:r w:rsidR="00BA0C63">
        <w:rPr>
          <w:rFonts w:eastAsia="Times New Roman"/>
          <w:color w:val="000000"/>
          <w:kern w:val="22"/>
          <w:szCs w:val="20"/>
          <w:lang w:eastAsia="en-NZ"/>
        </w:rPr>
        <w:t>, but</w:t>
      </w:r>
      <w:r w:rsidR="007E247A">
        <w:rPr>
          <w:rFonts w:eastAsia="Times New Roman"/>
          <w:color w:val="000000"/>
          <w:kern w:val="22"/>
          <w:szCs w:val="20"/>
          <w:lang w:eastAsia="en-NZ"/>
        </w:rPr>
        <w:t xml:space="preserve"> in a very precise way</w:t>
      </w:r>
      <w:r w:rsidR="00252861">
        <w:rPr>
          <w:rFonts w:eastAsia="Times New Roman"/>
          <w:color w:val="000000"/>
          <w:kern w:val="22"/>
          <w:szCs w:val="20"/>
          <w:lang w:eastAsia="en-NZ"/>
        </w:rPr>
        <w:t>.</w:t>
      </w:r>
      <w:r w:rsidR="00252861" w:rsidRPr="00CF2F69">
        <w:rPr>
          <w:rFonts w:eastAsia="Times New Roman"/>
          <w:color w:val="000000"/>
          <w:kern w:val="22"/>
          <w:szCs w:val="20"/>
          <w:lang w:eastAsia="en-NZ"/>
        </w:rPr>
        <w:t xml:space="preserve"> </w:t>
      </w:r>
      <w:r w:rsidR="00252861">
        <w:rPr>
          <w:rFonts w:eastAsia="Times New Roman"/>
          <w:color w:val="000000"/>
          <w:kern w:val="22"/>
          <w:szCs w:val="20"/>
          <w:lang w:eastAsia="en-NZ"/>
        </w:rPr>
        <w:t xml:space="preserve"> </w:t>
      </w:r>
      <w:r w:rsidR="00370308">
        <w:rPr>
          <w:rFonts w:eastAsia="Times New Roman"/>
          <w:color w:val="000000"/>
          <w:kern w:val="22"/>
          <w:szCs w:val="20"/>
          <w:lang w:eastAsia="en-NZ"/>
        </w:rPr>
        <w:t xml:space="preserve">A registration regime also allows for the development of scopes of practice covering specialist practice.  </w:t>
      </w:r>
      <w:r w:rsidR="001D27E6" w:rsidRPr="00177E1D">
        <w:rPr>
          <w:rFonts w:eastAsia="Times New Roman"/>
          <w:color w:val="000000"/>
          <w:kern w:val="22"/>
          <w:szCs w:val="20"/>
          <w:lang w:eastAsia="en-NZ"/>
        </w:rPr>
        <w:t xml:space="preserve">The implementation phase should </w:t>
      </w:r>
      <w:r w:rsidR="00C579F0" w:rsidRPr="00CF2F69">
        <w:rPr>
          <w:rFonts w:eastAsia="Times New Roman"/>
          <w:color w:val="000000"/>
          <w:kern w:val="22"/>
          <w:szCs w:val="20"/>
          <w:lang w:eastAsia="en-NZ"/>
        </w:rPr>
        <w:t>support</w:t>
      </w:r>
      <w:r w:rsidR="001D27E6" w:rsidRPr="00177E1D">
        <w:rPr>
          <w:rFonts w:eastAsia="Times New Roman"/>
          <w:color w:val="000000"/>
          <w:kern w:val="22"/>
          <w:szCs w:val="20"/>
          <w:lang w:eastAsia="en-NZ"/>
        </w:rPr>
        <w:t xml:space="preserve"> </w:t>
      </w:r>
      <w:r w:rsidR="00C579F0" w:rsidRPr="0088087A">
        <w:rPr>
          <w:rFonts w:eastAsia="Times New Roman"/>
          <w:color w:val="000000"/>
          <w:kern w:val="22"/>
          <w:szCs w:val="20"/>
          <w:lang w:eastAsia="en-NZ"/>
        </w:rPr>
        <w:t xml:space="preserve">employers </w:t>
      </w:r>
      <w:r w:rsidR="001D27E6" w:rsidRPr="00177E1D">
        <w:rPr>
          <w:rFonts w:eastAsia="Times New Roman"/>
          <w:color w:val="000000"/>
          <w:kern w:val="22"/>
          <w:szCs w:val="20"/>
          <w:lang w:eastAsia="en-NZ"/>
        </w:rPr>
        <w:t xml:space="preserve">to make good decisions about whether </w:t>
      </w:r>
      <w:r w:rsidR="00252861">
        <w:rPr>
          <w:rFonts w:eastAsia="Times New Roman"/>
          <w:color w:val="000000"/>
          <w:kern w:val="22"/>
          <w:szCs w:val="20"/>
          <w:lang w:eastAsia="en-NZ"/>
        </w:rPr>
        <w:t xml:space="preserve">and where </w:t>
      </w:r>
      <w:r w:rsidR="005E562D">
        <w:rPr>
          <w:rFonts w:eastAsia="Times New Roman"/>
          <w:color w:val="000000"/>
          <w:kern w:val="22"/>
          <w:szCs w:val="20"/>
          <w:lang w:eastAsia="en-NZ"/>
        </w:rPr>
        <w:t>they require a “social worker”</w:t>
      </w:r>
      <w:r w:rsidR="001D27E6" w:rsidRPr="00177E1D">
        <w:rPr>
          <w:rFonts w:eastAsia="Times New Roman"/>
          <w:color w:val="000000"/>
          <w:kern w:val="22"/>
          <w:szCs w:val="20"/>
          <w:lang w:eastAsia="en-NZ"/>
        </w:rPr>
        <w:t xml:space="preserve">. </w:t>
      </w:r>
      <w:r w:rsidR="00C579F0">
        <w:rPr>
          <w:rFonts w:eastAsia="Times New Roman"/>
          <w:color w:val="000000"/>
          <w:kern w:val="22"/>
          <w:szCs w:val="20"/>
          <w:lang w:eastAsia="en-NZ"/>
        </w:rPr>
        <w:t xml:space="preserve"> </w:t>
      </w:r>
    </w:p>
    <w:p w:rsidR="003D774A" w:rsidRDefault="00EA7B27"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As illustrated in the summary table, options 2 and 3 both offer gains across many objectives</w:t>
      </w:r>
      <w:r w:rsidR="00AA5BA4">
        <w:rPr>
          <w:rFonts w:eastAsia="Times New Roman"/>
          <w:color w:val="000000"/>
          <w:kern w:val="22"/>
          <w:szCs w:val="20"/>
          <w:lang w:eastAsia="en-NZ"/>
        </w:rPr>
        <w:t xml:space="preserve">.  </w:t>
      </w:r>
      <w:r w:rsidR="00490EDF">
        <w:rPr>
          <w:rFonts w:eastAsia="Times New Roman"/>
          <w:color w:val="000000"/>
          <w:kern w:val="22"/>
          <w:szCs w:val="20"/>
          <w:lang w:eastAsia="en-NZ"/>
        </w:rPr>
        <w:t>Amongst the non-regulatory</w:t>
      </w:r>
      <w:r w:rsidR="003D774A">
        <w:rPr>
          <w:rFonts w:eastAsia="Times New Roman"/>
          <w:color w:val="000000"/>
          <w:kern w:val="22"/>
          <w:szCs w:val="20"/>
          <w:lang w:eastAsia="en-NZ"/>
        </w:rPr>
        <w:t xml:space="preserve"> options </w:t>
      </w:r>
      <w:r w:rsidR="00490EDF">
        <w:rPr>
          <w:rFonts w:eastAsia="Times New Roman"/>
          <w:color w:val="000000"/>
          <w:kern w:val="22"/>
          <w:szCs w:val="20"/>
          <w:lang w:eastAsia="en-NZ"/>
        </w:rPr>
        <w:t>are various current initiatives which are expected to make a real difference in effectiveness</w:t>
      </w:r>
      <w:r w:rsidR="00802FE6">
        <w:rPr>
          <w:rFonts w:eastAsia="Times New Roman"/>
          <w:color w:val="000000"/>
          <w:kern w:val="22"/>
          <w:szCs w:val="20"/>
          <w:lang w:eastAsia="en-NZ"/>
        </w:rPr>
        <w:t xml:space="preserve">.  The quality of training seems to be an area of particular concern, along with working conditions. </w:t>
      </w:r>
      <w:r w:rsidR="00490EDF">
        <w:rPr>
          <w:rFonts w:eastAsia="Times New Roman"/>
          <w:color w:val="000000"/>
          <w:kern w:val="22"/>
          <w:szCs w:val="20"/>
          <w:lang w:eastAsia="en-NZ"/>
        </w:rPr>
        <w:t xml:space="preserve"> </w:t>
      </w:r>
      <w:r w:rsidR="00802FE6">
        <w:rPr>
          <w:rFonts w:eastAsia="Times New Roman"/>
          <w:color w:val="000000"/>
          <w:kern w:val="22"/>
          <w:szCs w:val="20"/>
          <w:lang w:eastAsia="en-NZ"/>
        </w:rPr>
        <w:t>Nevertheless,</w:t>
      </w:r>
      <w:r w:rsidR="00490EDF">
        <w:rPr>
          <w:rFonts w:eastAsia="Times New Roman"/>
          <w:color w:val="000000"/>
          <w:kern w:val="22"/>
          <w:szCs w:val="20"/>
          <w:lang w:eastAsia="en-NZ"/>
        </w:rPr>
        <w:t xml:space="preserve"> </w:t>
      </w:r>
      <w:r w:rsidR="00802FE6">
        <w:rPr>
          <w:rFonts w:eastAsia="Times New Roman"/>
          <w:color w:val="000000"/>
          <w:kern w:val="22"/>
          <w:szCs w:val="20"/>
          <w:lang w:eastAsia="en-NZ"/>
        </w:rPr>
        <w:t>making the registration regime work effectively and equitably will make a distinct and important contribution, particularly in ensuring that deregistration will be an effective sanction and that the public</w:t>
      </w:r>
      <w:r w:rsidR="00802FE6" w:rsidRPr="00802FE6">
        <w:rPr>
          <w:rFonts w:eastAsia="Times New Roman"/>
          <w:color w:val="000000"/>
          <w:kern w:val="22"/>
          <w:szCs w:val="20"/>
          <w:lang w:eastAsia="en-NZ"/>
        </w:rPr>
        <w:t xml:space="preserve"> </w:t>
      </w:r>
      <w:r w:rsidR="00802FE6">
        <w:rPr>
          <w:rFonts w:eastAsia="Times New Roman"/>
          <w:color w:val="000000"/>
          <w:kern w:val="22"/>
          <w:szCs w:val="20"/>
          <w:lang w:eastAsia="en-NZ"/>
        </w:rPr>
        <w:t>will be protected from social workers who have been found to be incompetent or unfit to practice</w:t>
      </w:r>
      <w:r w:rsidR="00490EDF">
        <w:rPr>
          <w:rFonts w:eastAsia="Times New Roman"/>
          <w:color w:val="000000"/>
          <w:kern w:val="22"/>
          <w:szCs w:val="20"/>
          <w:lang w:eastAsia="en-NZ"/>
        </w:rPr>
        <w:t xml:space="preserve">. </w:t>
      </w:r>
    </w:p>
    <w:p w:rsidR="00C579F0" w:rsidRDefault="00AA5BA4"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lastRenderedPageBreak/>
        <w:t xml:space="preserve">The benefits of </w:t>
      </w:r>
      <w:r w:rsidR="00880C50">
        <w:rPr>
          <w:rFonts w:eastAsia="Times New Roman"/>
          <w:color w:val="000000"/>
          <w:kern w:val="22"/>
          <w:szCs w:val="20"/>
          <w:lang w:eastAsia="en-NZ"/>
        </w:rPr>
        <w:t>Level three</w:t>
      </w:r>
      <w:r w:rsidR="00D17A08">
        <w:rPr>
          <w:rFonts w:eastAsia="Times New Roman"/>
          <w:color w:val="000000"/>
          <w:kern w:val="22"/>
          <w:szCs w:val="20"/>
          <w:lang w:eastAsia="en-NZ"/>
        </w:rPr>
        <w:t xml:space="preserve"> certification </w:t>
      </w:r>
      <w:r>
        <w:rPr>
          <w:rFonts w:eastAsia="Times New Roman"/>
          <w:color w:val="000000"/>
          <w:kern w:val="22"/>
          <w:szCs w:val="20"/>
          <w:lang w:eastAsia="en-NZ"/>
        </w:rPr>
        <w:t xml:space="preserve">can be gained </w:t>
      </w:r>
      <w:r w:rsidR="00141656">
        <w:rPr>
          <w:rFonts w:eastAsia="Times New Roman"/>
          <w:color w:val="000000"/>
          <w:kern w:val="22"/>
          <w:szCs w:val="20"/>
          <w:lang w:eastAsia="en-NZ"/>
        </w:rPr>
        <w:t xml:space="preserve">without the risks </w:t>
      </w:r>
      <w:r>
        <w:rPr>
          <w:rFonts w:eastAsia="Times New Roman"/>
          <w:color w:val="000000"/>
          <w:kern w:val="22"/>
          <w:szCs w:val="20"/>
          <w:lang w:eastAsia="en-NZ"/>
        </w:rPr>
        <w:t>by the specificati</w:t>
      </w:r>
      <w:r w:rsidR="00880C50">
        <w:rPr>
          <w:rFonts w:eastAsia="Times New Roman"/>
          <w:color w:val="000000"/>
          <w:kern w:val="22"/>
          <w:szCs w:val="20"/>
          <w:lang w:eastAsia="en-NZ"/>
        </w:rPr>
        <w:t>on of restricted tasks.  Level five</w:t>
      </w:r>
      <w:r>
        <w:rPr>
          <w:rFonts w:eastAsia="Times New Roman"/>
          <w:color w:val="000000"/>
          <w:kern w:val="22"/>
          <w:szCs w:val="20"/>
          <w:lang w:eastAsia="en-NZ"/>
        </w:rPr>
        <w:t>, occupational licencing</w:t>
      </w:r>
      <w:r w:rsidR="00325216">
        <w:rPr>
          <w:rFonts w:eastAsia="Times New Roman"/>
          <w:color w:val="000000"/>
          <w:kern w:val="22"/>
          <w:szCs w:val="20"/>
          <w:lang w:eastAsia="en-NZ"/>
        </w:rPr>
        <w:t>,</w:t>
      </w:r>
      <w:r>
        <w:rPr>
          <w:rFonts w:eastAsia="Times New Roman"/>
          <w:color w:val="000000"/>
          <w:kern w:val="22"/>
          <w:szCs w:val="20"/>
          <w:lang w:eastAsia="en-NZ"/>
        </w:rPr>
        <w:t xml:space="preserve"> offers few gains and many disadvantages.  It is likely to be highly disruptive within the sectors in which social workers operate</w:t>
      </w:r>
      <w:r w:rsidR="00325216">
        <w:rPr>
          <w:rFonts w:eastAsia="Times New Roman"/>
          <w:color w:val="000000"/>
          <w:kern w:val="22"/>
          <w:szCs w:val="20"/>
          <w:lang w:eastAsia="en-NZ"/>
        </w:rPr>
        <w:t xml:space="preserve">.  Legislating </w:t>
      </w:r>
      <w:proofErr w:type="gramStart"/>
      <w:r w:rsidR="00325216">
        <w:rPr>
          <w:rFonts w:eastAsia="Times New Roman"/>
          <w:color w:val="000000"/>
          <w:kern w:val="22"/>
          <w:szCs w:val="20"/>
          <w:lang w:eastAsia="en-NZ"/>
        </w:rPr>
        <w:t>that</w:t>
      </w:r>
      <w:proofErr w:type="gramEnd"/>
      <w:r w:rsidR="00325216">
        <w:rPr>
          <w:rFonts w:eastAsia="Times New Roman"/>
          <w:color w:val="000000"/>
          <w:kern w:val="22"/>
          <w:szCs w:val="20"/>
          <w:lang w:eastAsia="en-NZ"/>
        </w:rPr>
        <w:t xml:space="preserve"> only social workers can do social work when the field of social work cannot be clearly defined </w:t>
      </w:r>
      <w:r>
        <w:rPr>
          <w:rFonts w:eastAsia="Times New Roman"/>
          <w:color w:val="000000"/>
          <w:kern w:val="22"/>
          <w:szCs w:val="20"/>
          <w:lang w:eastAsia="en-NZ"/>
        </w:rPr>
        <w:t xml:space="preserve">risks reducing effectiveness and public safety by fencing off </w:t>
      </w:r>
      <w:r w:rsidR="00325216">
        <w:rPr>
          <w:rFonts w:eastAsia="Times New Roman"/>
          <w:color w:val="000000"/>
          <w:kern w:val="22"/>
          <w:szCs w:val="20"/>
          <w:lang w:eastAsia="en-NZ"/>
        </w:rPr>
        <w:t>areas of work which cannot be the exclusive practice of social workers.</w:t>
      </w:r>
      <w:r w:rsidR="00490EDF">
        <w:rPr>
          <w:rFonts w:eastAsia="Times New Roman"/>
          <w:color w:val="000000"/>
          <w:kern w:val="22"/>
          <w:szCs w:val="20"/>
          <w:lang w:eastAsia="en-NZ"/>
        </w:rPr>
        <w:t xml:space="preserve">  Effort is best directed to ensuring all workers in the social services sectors are properly qualified and competent in their field of practice, and subject to oversight and accountability mechanisms that protect the public.  </w:t>
      </w:r>
      <w:r w:rsidR="00370308">
        <w:rPr>
          <w:rFonts w:eastAsia="Times New Roman"/>
          <w:color w:val="000000"/>
          <w:kern w:val="22"/>
          <w:szCs w:val="20"/>
          <w:lang w:eastAsia="en-NZ"/>
        </w:rPr>
        <w:t xml:space="preserve">Trying to licence “social work” as an occupation runs the risk of effort going into </w:t>
      </w:r>
      <w:r w:rsidR="00193FB8">
        <w:rPr>
          <w:rFonts w:eastAsia="Times New Roman"/>
          <w:color w:val="000000"/>
          <w:kern w:val="22"/>
          <w:szCs w:val="20"/>
          <w:lang w:eastAsia="en-NZ"/>
        </w:rPr>
        <w:t xml:space="preserve">professional </w:t>
      </w:r>
      <w:r w:rsidR="00370308">
        <w:rPr>
          <w:rFonts w:eastAsia="Times New Roman"/>
          <w:color w:val="000000"/>
          <w:kern w:val="22"/>
          <w:szCs w:val="20"/>
          <w:lang w:eastAsia="en-NZ"/>
        </w:rPr>
        <w:t>patch protection and boundary disputes rather than multidisciplinary and collaborative practice.</w:t>
      </w:r>
    </w:p>
    <w:p w:rsidR="00657406" w:rsidRPr="009445E6" w:rsidRDefault="00657406" w:rsidP="009445E6">
      <w:pPr>
        <w:spacing w:after="240" w:line="240" w:lineRule="auto"/>
        <w:rPr>
          <w:rFonts w:eastAsia="Times New Roman" w:cs="Times New Roman"/>
          <w:i/>
          <w:szCs w:val="20"/>
          <w:lang w:val="en-GB" w:eastAsia="en-GB"/>
        </w:rPr>
      </w:pPr>
      <w:r w:rsidRPr="009445E6">
        <w:rPr>
          <w:rFonts w:eastAsia="Times New Roman" w:cs="Times New Roman"/>
          <w:i/>
          <w:szCs w:val="20"/>
          <w:lang w:val="en-GB" w:eastAsia="en-GB"/>
        </w:rPr>
        <w:t xml:space="preserve">Anticipated effect </w:t>
      </w:r>
      <w:r w:rsidR="00201FC0">
        <w:rPr>
          <w:rFonts w:eastAsia="Times New Roman" w:cs="Times New Roman"/>
          <w:i/>
          <w:szCs w:val="20"/>
          <w:lang w:val="en-GB" w:eastAsia="en-GB"/>
        </w:rPr>
        <w:t xml:space="preserve">of shift to mandatory certification </w:t>
      </w:r>
      <w:r w:rsidRPr="009445E6">
        <w:rPr>
          <w:rFonts w:eastAsia="Times New Roman" w:cs="Times New Roman"/>
          <w:i/>
          <w:szCs w:val="20"/>
          <w:lang w:val="en-GB" w:eastAsia="en-GB"/>
        </w:rPr>
        <w:t xml:space="preserve">on current reasons for not being </w:t>
      </w:r>
      <w:r w:rsidRPr="003560CF">
        <w:rPr>
          <w:rFonts w:eastAsia="Times New Roman" w:cs="Times New Roman"/>
          <w:i/>
          <w:szCs w:val="20"/>
          <w:lang w:val="en-GB" w:eastAsia="en-GB"/>
        </w:rPr>
        <w:t>registered</w:t>
      </w:r>
    </w:p>
    <w:p w:rsidR="00FA3AB7" w:rsidRDefault="00FA3AB7" w:rsidP="005B5FC6">
      <w:pPr>
        <w:numPr>
          <w:ilvl w:val="0"/>
          <w:numId w:val="23"/>
        </w:numPr>
        <w:spacing w:after="240" w:line="240" w:lineRule="auto"/>
        <w:ind w:left="567" w:hanging="567"/>
        <w:rPr>
          <w:rFonts w:eastAsia="Times New Roman"/>
          <w:color w:val="000000"/>
          <w:kern w:val="22"/>
          <w:szCs w:val="20"/>
          <w:lang w:eastAsia="en-NZ"/>
        </w:rPr>
      </w:pPr>
      <w:r>
        <w:rPr>
          <w:rFonts w:eastAsia="Times New Roman"/>
          <w:color w:val="000000"/>
          <w:kern w:val="22"/>
          <w:szCs w:val="20"/>
          <w:lang w:eastAsia="en-NZ"/>
        </w:rPr>
        <w:t xml:space="preserve">Returning to the reasons identified above for not being registered, we anticipate the follow effects from the </w:t>
      </w:r>
      <w:r w:rsidRPr="009A1C49">
        <w:rPr>
          <w:rFonts w:eastAsia="Times New Roman"/>
          <w:color w:val="000000"/>
          <w:kern w:val="22"/>
          <w:szCs w:val="20"/>
          <w:lang w:eastAsia="en-NZ"/>
        </w:rPr>
        <w:t xml:space="preserve">recommended </w:t>
      </w:r>
      <w:r w:rsidR="007162B1" w:rsidRPr="009A1C49">
        <w:rPr>
          <w:rFonts w:eastAsia="Times New Roman"/>
          <w:color w:val="000000"/>
          <w:kern w:val="22"/>
          <w:szCs w:val="20"/>
          <w:lang w:eastAsia="en-NZ"/>
        </w:rPr>
        <w:t>shift to mandatory certification</w:t>
      </w:r>
      <w:r w:rsidRPr="009A1C49">
        <w:rPr>
          <w:rFonts w:eastAsia="Times New Roman"/>
          <w:color w:val="000000"/>
          <w:kern w:val="22"/>
          <w:szCs w:val="20"/>
          <w:lang w:eastAsia="en-NZ"/>
        </w:rPr>
        <w:t>:</w:t>
      </w:r>
    </w:p>
    <w:tbl>
      <w:tblPr>
        <w:tblStyle w:val="TableGrid"/>
        <w:tblW w:w="0" w:type="auto"/>
        <w:tblInd w:w="426" w:type="dxa"/>
        <w:tblLook w:val="04A0" w:firstRow="1" w:lastRow="0" w:firstColumn="1" w:lastColumn="0" w:noHBand="0" w:noVBand="1"/>
      </w:tblPr>
      <w:tblGrid>
        <w:gridCol w:w="2517"/>
        <w:gridCol w:w="6344"/>
      </w:tblGrid>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sidRPr="009445E6">
              <w:rPr>
                <w:rFonts w:eastAsia="Times New Roman"/>
                <w:color w:val="000000"/>
                <w:kern w:val="22"/>
                <w:szCs w:val="20"/>
                <w:lang w:eastAsia="en-NZ"/>
              </w:rPr>
              <w:t>Avoiding accountability</w:t>
            </w:r>
          </w:p>
        </w:tc>
        <w:tc>
          <w:tcPr>
            <w:tcW w:w="6344" w:type="dxa"/>
          </w:tcPr>
          <w:p w:rsidR="000233B0" w:rsidRDefault="00FA3AB7" w:rsidP="00880C50">
            <w:pPr>
              <w:spacing w:after="240" w:line="240" w:lineRule="auto"/>
              <w:rPr>
                <w:rFonts w:eastAsia="Times New Roman"/>
                <w:color w:val="000000"/>
                <w:kern w:val="22"/>
                <w:szCs w:val="20"/>
                <w:lang w:eastAsia="en-NZ"/>
              </w:rPr>
            </w:pPr>
            <w:r>
              <w:rPr>
                <w:rFonts w:eastAsia="Times New Roman"/>
                <w:color w:val="000000"/>
                <w:kern w:val="22"/>
                <w:szCs w:val="20"/>
                <w:lang w:eastAsia="en-NZ"/>
              </w:rPr>
              <w:t>T</w:t>
            </w:r>
            <w:r w:rsidR="000233B0" w:rsidRPr="009445E6">
              <w:rPr>
                <w:rFonts w:eastAsia="Times New Roman"/>
                <w:color w:val="000000"/>
                <w:kern w:val="22"/>
                <w:szCs w:val="20"/>
                <w:lang w:eastAsia="en-NZ"/>
              </w:rPr>
              <w:t xml:space="preserve">his reason will </w:t>
            </w:r>
            <w:r>
              <w:rPr>
                <w:rFonts w:eastAsia="Times New Roman"/>
                <w:color w:val="000000"/>
                <w:kern w:val="22"/>
                <w:szCs w:val="20"/>
                <w:lang w:eastAsia="en-NZ"/>
              </w:rPr>
              <w:t>rightly</w:t>
            </w:r>
            <w:r w:rsidR="000233B0" w:rsidRPr="009445E6">
              <w:rPr>
                <w:rFonts w:eastAsia="Times New Roman"/>
                <w:color w:val="000000"/>
                <w:kern w:val="22"/>
                <w:szCs w:val="20"/>
                <w:lang w:eastAsia="en-NZ"/>
              </w:rPr>
              <w:t xml:space="preserve"> cease to be an option</w:t>
            </w:r>
            <w:r>
              <w:rPr>
                <w:rFonts w:eastAsia="Times New Roman"/>
                <w:color w:val="000000"/>
                <w:kern w:val="22"/>
                <w:szCs w:val="20"/>
                <w:lang w:eastAsia="en-NZ"/>
              </w:rPr>
              <w:t xml:space="preserve">.  In addition, </w:t>
            </w:r>
            <w:r w:rsidR="00880C50">
              <w:rPr>
                <w:rFonts w:eastAsia="Times New Roman"/>
                <w:color w:val="000000"/>
                <w:kern w:val="22"/>
                <w:szCs w:val="20"/>
                <w:lang w:eastAsia="en-NZ"/>
              </w:rPr>
              <w:t xml:space="preserve">changes set out in </w:t>
            </w:r>
            <w:r>
              <w:rPr>
                <w:rFonts w:eastAsia="Times New Roman"/>
                <w:color w:val="000000"/>
                <w:kern w:val="22"/>
                <w:szCs w:val="20"/>
                <w:lang w:eastAsia="en-NZ"/>
              </w:rPr>
              <w:t xml:space="preserve">Part Two </w:t>
            </w:r>
            <w:r w:rsidR="00880C50">
              <w:rPr>
                <w:rFonts w:eastAsia="Times New Roman"/>
                <w:color w:val="000000"/>
                <w:kern w:val="22"/>
                <w:szCs w:val="20"/>
                <w:lang w:eastAsia="en-NZ"/>
              </w:rPr>
              <w:t xml:space="preserve">below </w:t>
            </w:r>
            <w:r>
              <w:rPr>
                <w:rFonts w:eastAsia="Times New Roman"/>
                <w:color w:val="000000"/>
                <w:kern w:val="22"/>
                <w:szCs w:val="20"/>
                <w:lang w:eastAsia="en-NZ"/>
              </w:rPr>
              <w:t>will ensure</w:t>
            </w:r>
            <w:r w:rsidR="000233B0" w:rsidRPr="009445E6">
              <w:rPr>
                <w:rFonts w:eastAsia="Times New Roman"/>
                <w:color w:val="000000"/>
                <w:kern w:val="22"/>
                <w:szCs w:val="20"/>
                <w:lang w:eastAsia="en-NZ"/>
              </w:rPr>
              <w:t xml:space="preserve"> the accountability system will function more effectively</w:t>
            </w:r>
            <w:r>
              <w:rPr>
                <w:rFonts w:eastAsia="Times New Roman"/>
                <w:color w:val="000000"/>
                <w:kern w:val="22"/>
                <w:szCs w:val="20"/>
                <w:lang w:eastAsia="en-NZ"/>
              </w:rPr>
              <w:t xml:space="preserve"> and transparently.</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Inability or unwillingness to undertake training</w:t>
            </w:r>
          </w:p>
        </w:tc>
        <w:tc>
          <w:tcPr>
            <w:tcW w:w="6344" w:type="dxa"/>
          </w:tcPr>
          <w:p w:rsidR="000233B0" w:rsidRDefault="00FA3AB7">
            <w:pPr>
              <w:spacing w:after="240" w:line="240" w:lineRule="auto"/>
              <w:rPr>
                <w:rFonts w:eastAsia="Times New Roman"/>
                <w:color w:val="000000"/>
                <w:kern w:val="22"/>
                <w:szCs w:val="20"/>
                <w:lang w:eastAsia="en-NZ"/>
              </w:rPr>
            </w:pPr>
            <w:r>
              <w:rPr>
                <w:rFonts w:eastAsia="Times New Roman" w:cs="Times New Roman"/>
                <w:szCs w:val="20"/>
                <w:lang w:val="en-GB" w:eastAsia="en-GB"/>
              </w:rPr>
              <w:t xml:space="preserve">Unregistered social workers with insufficient qualifications will need to proceed with </w:t>
            </w:r>
            <w:proofErr w:type="gramStart"/>
            <w:r>
              <w:rPr>
                <w:rFonts w:eastAsia="Times New Roman" w:cs="Times New Roman"/>
                <w:szCs w:val="20"/>
                <w:lang w:val="en-GB" w:eastAsia="en-GB"/>
              </w:rPr>
              <w:t>a</w:t>
            </w:r>
            <w:proofErr w:type="gramEnd"/>
            <w:r>
              <w:rPr>
                <w:rFonts w:eastAsia="Times New Roman" w:cs="Times New Roman"/>
                <w:szCs w:val="20"/>
                <w:lang w:val="en-GB" w:eastAsia="en-GB"/>
              </w:rPr>
              <w:t xml:space="preserve"> s.13 application, </w:t>
            </w:r>
            <w:r w:rsidR="00C9581F">
              <w:rPr>
                <w:rFonts w:eastAsia="Times New Roman" w:cs="Times New Roman"/>
                <w:szCs w:val="20"/>
                <w:lang w:val="en-GB" w:eastAsia="en-GB"/>
              </w:rPr>
              <w:t xml:space="preserve">or gain provisional registration while undertaking the necessary training (as provided for in </w:t>
            </w:r>
            <w:r w:rsidR="000233B0">
              <w:rPr>
                <w:rFonts w:eastAsia="Times New Roman" w:cs="Times New Roman"/>
                <w:szCs w:val="20"/>
                <w:lang w:val="en-GB" w:eastAsia="en-GB"/>
              </w:rPr>
              <w:t xml:space="preserve">s.10 </w:t>
            </w:r>
            <w:r w:rsidR="00C9581F">
              <w:rPr>
                <w:rFonts w:eastAsia="Times New Roman" w:cs="Times New Roman"/>
                <w:szCs w:val="20"/>
                <w:lang w:val="en-GB" w:eastAsia="en-GB"/>
              </w:rPr>
              <w:t xml:space="preserve">of </w:t>
            </w:r>
            <w:r w:rsidR="00CC7880">
              <w:rPr>
                <w:rFonts w:eastAsia="Times New Roman" w:cs="Times New Roman"/>
                <w:szCs w:val="20"/>
                <w:lang w:val="en-GB" w:eastAsia="en-GB"/>
              </w:rPr>
              <w:t>the SWR Act</w:t>
            </w:r>
            <w:r w:rsidR="00C9581F">
              <w:rPr>
                <w:rFonts w:eastAsia="Times New Roman" w:cs="Times New Roman"/>
                <w:szCs w:val="20"/>
                <w:lang w:val="en-GB" w:eastAsia="en-GB"/>
              </w:rPr>
              <w:t>)</w:t>
            </w:r>
            <w:r w:rsidR="000233B0">
              <w:rPr>
                <w:rFonts w:eastAsia="Times New Roman" w:cs="Times New Roman"/>
                <w:szCs w:val="20"/>
                <w:lang w:val="en-GB" w:eastAsia="en-GB"/>
              </w:rPr>
              <w:t xml:space="preserve">.  </w:t>
            </w:r>
            <w:r w:rsidR="00C9581F">
              <w:rPr>
                <w:rFonts w:eastAsia="Times New Roman" w:cs="Times New Roman"/>
                <w:szCs w:val="20"/>
                <w:lang w:val="en-GB" w:eastAsia="en-GB"/>
              </w:rPr>
              <w:t>People not willing or</w:t>
            </w:r>
            <w:r w:rsidR="008A193B">
              <w:rPr>
                <w:rFonts w:eastAsia="Times New Roman" w:cs="Times New Roman"/>
                <w:szCs w:val="20"/>
                <w:lang w:val="en-GB" w:eastAsia="en-GB"/>
              </w:rPr>
              <w:t xml:space="preserve"> able</w:t>
            </w:r>
            <w:r w:rsidR="000233B0">
              <w:rPr>
                <w:rFonts w:eastAsia="Times New Roman" w:cs="Times New Roman"/>
                <w:szCs w:val="20"/>
                <w:lang w:val="en-GB" w:eastAsia="en-GB"/>
              </w:rPr>
              <w:t xml:space="preserve"> may choose to retire or change job titles and some responsibilities.</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Lack of b</w:t>
            </w:r>
            <w:r w:rsidRPr="00924FB1">
              <w:rPr>
                <w:rFonts w:eastAsia="Times New Roman" w:cs="Times New Roman"/>
                <w:szCs w:val="20"/>
                <w:lang w:val="en-GB" w:eastAsia="en-GB"/>
              </w:rPr>
              <w:t>enefit</w:t>
            </w:r>
            <w:r>
              <w:rPr>
                <w:rFonts w:eastAsia="Times New Roman" w:cs="Times New Roman"/>
                <w:szCs w:val="20"/>
                <w:lang w:val="en-GB" w:eastAsia="en-GB"/>
              </w:rPr>
              <w:t xml:space="preserve"> from registration</w:t>
            </w:r>
          </w:p>
        </w:tc>
        <w:tc>
          <w:tcPr>
            <w:tcW w:w="6344"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Social workers will no longer be able to be employed as social w</w:t>
            </w:r>
            <w:r w:rsidR="00193FB8">
              <w:rPr>
                <w:rFonts w:eastAsia="Times New Roman" w:cs="Times New Roman"/>
                <w:szCs w:val="20"/>
                <w:lang w:val="en-GB" w:eastAsia="en-GB"/>
              </w:rPr>
              <w:t>orkers without being registered, so there will not be a sense of disadvantage from registration.  The Board will be better placed to provide a positive lead for the profession rather than the current focus on compliance.</w:t>
            </w:r>
          </w:p>
        </w:tc>
      </w:tr>
      <w:tr w:rsidR="000233B0" w:rsidTr="00CA7299">
        <w:tc>
          <w:tcPr>
            <w:tcW w:w="2517" w:type="dxa"/>
          </w:tcPr>
          <w:p w:rsidR="000233B0" w:rsidRDefault="000233B0"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C</w:t>
            </w:r>
            <w:r w:rsidRPr="00FD00D1">
              <w:rPr>
                <w:rFonts w:eastAsia="Times New Roman" w:cs="Times New Roman"/>
                <w:szCs w:val="20"/>
                <w:lang w:val="en-GB" w:eastAsia="en-GB"/>
              </w:rPr>
              <w:t>ost</w:t>
            </w:r>
          </w:p>
        </w:tc>
        <w:tc>
          <w:tcPr>
            <w:tcW w:w="6344" w:type="dxa"/>
          </w:tcPr>
          <w:p w:rsidR="000233B0" w:rsidRDefault="000233B0" w:rsidP="00CA7299">
            <w:pPr>
              <w:spacing w:after="240" w:line="240" w:lineRule="auto"/>
              <w:rPr>
                <w:rFonts w:eastAsia="Times New Roman"/>
                <w:color w:val="000000"/>
                <w:kern w:val="22"/>
                <w:szCs w:val="20"/>
                <w:lang w:eastAsia="en-NZ"/>
              </w:rPr>
            </w:pPr>
            <w:r>
              <w:rPr>
                <w:rFonts w:eastAsia="Times New Roman" w:cs="Times New Roman"/>
                <w:szCs w:val="20"/>
                <w:lang w:val="en-GB" w:eastAsia="en-GB"/>
              </w:rPr>
              <w:t xml:space="preserve">The Board have estimated that fees will be able to be reduced by </w:t>
            </w:r>
            <w:r w:rsidR="00CA7299">
              <w:rPr>
                <w:rFonts w:eastAsia="Times New Roman" w:cs="Times New Roman"/>
                <w:szCs w:val="20"/>
                <w:lang w:val="en-GB" w:eastAsia="en-GB"/>
              </w:rPr>
              <w:t>30%</w:t>
            </w:r>
            <w:r w:rsidR="00193FB8">
              <w:rPr>
                <w:rFonts w:eastAsia="Times New Roman" w:cs="Times New Roman"/>
                <w:szCs w:val="20"/>
                <w:lang w:val="en-GB" w:eastAsia="en-GB"/>
              </w:rPr>
              <w:t xml:space="preserve"> because of economies of scale</w:t>
            </w:r>
            <w:r w:rsidR="00CA7299">
              <w:rPr>
                <w:rFonts w:eastAsia="Times New Roman" w:cs="Times New Roman"/>
                <w:szCs w:val="20"/>
                <w:lang w:val="en-GB" w:eastAsia="en-GB"/>
              </w:rPr>
              <w:t>.</w:t>
            </w:r>
            <w:r>
              <w:rPr>
                <w:rFonts w:eastAsia="Times New Roman" w:cs="Times New Roman"/>
                <w:szCs w:val="20"/>
                <w:lang w:val="en-GB" w:eastAsia="en-GB"/>
              </w:rPr>
              <w:t xml:space="preserve">  Newly registered social workers may look to their employers to cover their costs.  In the case of NGOs with government contracts this may become a matter of negotiation with government.  </w:t>
            </w:r>
          </w:p>
        </w:tc>
      </w:tr>
      <w:tr w:rsidR="000233B0" w:rsidTr="00CA7299">
        <w:tc>
          <w:tcPr>
            <w:tcW w:w="2517" w:type="dxa"/>
          </w:tcPr>
          <w:p w:rsidR="000233B0" w:rsidRDefault="00FA3AB7" w:rsidP="000233B0">
            <w:pPr>
              <w:spacing w:after="240" w:line="240" w:lineRule="auto"/>
              <w:rPr>
                <w:rFonts w:eastAsia="Times New Roman"/>
                <w:color w:val="000000"/>
                <w:kern w:val="22"/>
                <w:szCs w:val="20"/>
                <w:lang w:eastAsia="en-NZ"/>
              </w:rPr>
            </w:pPr>
            <w:r w:rsidRPr="004A75EE">
              <w:rPr>
                <w:rFonts w:eastAsia="Times New Roman" w:cs="Times New Roman"/>
                <w:szCs w:val="20"/>
                <w:lang w:val="en-GB" w:eastAsia="en-GB"/>
              </w:rPr>
              <w:t>Length of process</w:t>
            </w:r>
          </w:p>
        </w:tc>
        <w:tc>
          <w:tcPr>
            <w:tcW w:w="6344" w:type="dxa"/>
          </w:tcPr>
          <w:p w:rsidR="000233B0" w:rsidRDefault="00FA3AB7" w:rsidP="000233B0">
            <w:pPr>
              <w:spacing w:after="240" w:line="240" w:lineRule="auto"/>
              <w:rPr>
                <w:rFonts w:eastAsia="Times New Roman"/>
                <w:color w:val="000000"/>
                <w:kern w:val="22"/>
                <w:szCs w:val="20"/>
                <w:lang w:eastAsia="en-NZ"/>
              </w:rPr>
            </w:pPr>
            <w:r>
              <w:rPr>
                <w:rFonts w:eastAsia="Times New Roman" w:cs="Times New Roman"/>
                <w:szCs w:val="20"/>
                <w:lang w:val="en-GB" w:eastAsia="en-GB"/>
              </w:rPr>
              <w:t>Changes recommended in Part Two below will reduce the complexity compliance costs of the assessment of competency</w:t>
            </w:r>
          </w:p>
        </w:tc>
      </w:tr>
      <w:tr w:rsidR="000233B0" w:rsidTr="00CA7299">
        <w:tc>
          <w:tcPr>
            <w:tcW w:w="2517"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Difficulty in “opting out”</w:t>
            </w:r>
          </w:p>
        </w:tc>
        <w:tc>
          <w:tcPr>
            <w:tcW w:w="6344" w:type="dxa"/>
          </w:tcPr>
          <w:p w:rsidR="000233B0" w:rsidRPr="00FA3AB7" w:rsidRDefault="00CA7299" w:rsidP="00880C50">
            <w:pPr>
              <w:spacing w:after="240" w:line="240" w:lineRule="auto"/>
              <w:rPr>
                <w:rFonts w:eastAsia="Times New Roman"/>
                <w:color w:val="000000"/>
                <w:kern w:val="22"/>
                <w:szCs w:val="20"/>
                <w:lang w:eastAsia="en-NZ"/>
              </w:rPr>
            </w:pPr>
            <w:r>
              <w:rPr>
                <w:szCs w:val="18"/>
                <w:lang w:val="en-GB" w:eastAsia="en-GB"/>
              </w:rPr>
              <w:t xml:space="preserve">The recommended changes to the registration system </w:t>
            </w:r>
            <w:r w:rsidR="00D65D14">
              <w:rPr>
                <w:szCs w:val="18"/>
                <w:lang w:val="en-GB" w:eastAsia="en-GB"/>
              </w:rPr>
              <w:t xml:space="preserve">provide the opportunity to clarify the intent that the requirement for registration and a practising certificate arises only if the job title or statutory position title is </w:t>
            </w:r>
            <w:r w:rsidR="00DF4203">
              <w:rPr>
                <w:szCs w:val="18"/>
                <w:lang w:val="en-GB" w:eastAsia="en-GB"/>
              </w:rPr>
              <w:t>“</w:t>
            </w:r>
            <w:r w:rsidR="00D65D14">
              <w:rPr>
                <w:szCs w:val="18"/>
                <w:lang w:val="en-GB" w:eastAsia="en-GB"/>
              </w:rPr>
              <w:t>social worker</w:t>
            </w:r>
            <w:r w:rsidR="00DF4203">
              <w:rPr>
                <w:szCs w:val="18"/>
                <w:lang w:val="en-GB" w:eastAsia="en-GB"/>
              </w:rPr>
              <w:t>”</w:t>
            </w:r>
            <w:r w:rsidR="00D65D14">
              <w:rPr>
                <w:szCs w:val="18"/>
                <w:lang w:val="en-GB" w:eastAsia="en-GB"/>
              </w:rPr>
              <w:t xml:space="preserve">, or if a person is claiming to be a social worker, or if a person is undertaking </w:t>
            </w:r>
            <w:r w:rsidR="00DF4203">
              <w:rPr>
                <w:szCs w:val="18"/>
                <w:lang w:val="en-GB" w:eastAsia="en-GB"/>
              </w:rPr>
              <w:t>“</w:t>
            </w:r>
            <w:r w:rsidR="00D65D14">
              <w:rPr>
                <w:szCs w:val="18"/>
                <w:lang w:val="en-GB" w:eastAsia="en-GB"/>
              </w:rPr>
              <w:t xml:space="preserve">restricted </w:t>
            </w:r>
            <w:r w:rsidR="00D65D14" w:rsidRPr="00CA7299">
              <w:rPr>
                <w:szCs w:val="18"/>
                <w:lang w:val="en-GB" w:eastAsia="en-GB"/>
              </w:rPr>
              <w:t>tasks</w:t>
            </w:r>
            <w:r w:rsidR="00DF4203">
              <w:rPr>
                <w:szCs w:val="18"/>
                <w:lang w:val="en-GB" w:eastAsia="en-GB"/>
              </w:rPr>
              <w:t>”</w:t>
            </w:r>
            <w:r w:rsidR="00D65D14" w:rsidRPr="00CA7299">
              <w:rPr>
                <w:szCs w:val="18"/>
                <w:lang w:val="en-GB" w:eastAsia="en-GB"/>
              </w:rPr>
              <w:t xml:space="preserve"> that can only b</w:t>
            </w:r>
            <w:r w:rsidR="00D65D14">
              <w:rPr>
                <w:szCs w:val="18"/>
                <w:lang w:val="en-GB" w:eastAsia="en-GB"/>
              </w:rPr>
              <w:t>e undertaken by a social worker</w:t>
            </w:r>
          </w:p>
        </w:tc>
      </w:tr>
      <w:tr w:rsidR="000233B0" w:rsidTr="00CA7299">
        <w:tc>
          <w:tcPr>
            <w:tcW w:w="2517"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Ideological objections</w:t>
            </w:r>
          </w:p>
        </w:tc>
        <w:tc>
          <w:tcPr>
            <w:tcW w:w="6344" w:type="dxa"/>
          </w:tcPr>
          <w:p w:rsidR="000233B0" w:rsidRPr="00FA3AB7" w:rsidRDefault="00FA3AB7" w:rsidP="000233B0">
            <w:pPr>
              <w:spacing w:after="240" w:line="240" w:lineRule="auto"/>
              <w:rPr>
                <w:rFonts w:eastAsia="Times New Roman"/>
                <w:color w:val="000000"/>
                <w:kern w:val="22"/>
                <w:szCs w:val="20"/>
                <w:lang w:eastAsia="en-NZ"/>
              </w:rPr>
            </w:pPr>
            <w:r w:rsidRPr="00CA7299">
              <w:rPr>
                <w:rFonts w:eastAsia="Times New Roman" w:cs="Times New Roman"/>
                <w:szCs w:val="20"/>
                <w:lang w:val="en-GB" w:eastAsia="en-GB"/>
              </w:rPr>
              <w:t>Those who have been waiting for legal compulsion will register, and others will have to reassess their stance in the light of the new regime.</w:t>
            </w:r>
          </w:p>
        </w:tc>
      </w:tr>
    </w:tbl>
    <w:p w:rsidR="00D76064" w:rsidRPr="00FD00D1" w:rsidRDefault="00D76064" w:rsidP="00610BF3">
      <w:pPr>
        <w:spacing w:after="240" w:line="240" w:lineRule="auto"/>
        <w:rPr>
          <w:rFonts w:eastAsia="Times New Roman" w:cs="Times New Roman"/>
          <w:szCs w:val="20"/>
          <w:highlight w:val="yellow"/>
          <w:lang w:val="en-GB" w:eastAsia="en-GB"/>
        </w:rPr>
      </w:pPr>
    </w:p>
    <w:p w:rsidR="003D1DF6" w:rsidRDefault="003D1DF6">
      <w:pPr>
        <w:spacing w:after="0" w:line="240" w:lineRule="auto"/>
        <w:rPr>
          <w:rFonts w:eastAsia="Times New Roman" w:cs="Times New Roman"/>
          <w:b/>
          <w:sz w:val="24"/>
          <w:szCs w:val="24"/>
          <w:lang w:val="en-GB" w:eastAsia="en-GB"/>
        </w:rPr>
      </w:pPr>
      <w:bookmarkStart w:id="44" w:name="_Toc479611997"/>
      <w:r>
        <w:rPr>
          <w:rFonts w:eastAsia="Times New Roman" w:cs="Times New Roman"/>
          <w:b/>
          <w:sz w:val="24"/>
          <w:szCs w:val="24"/>
          <w:lang w:val="en-GB" w:eastAsia="en-GB"/>
        </w:rPr>
        <w:br w:type="page"/>
      </w:r>
    </w:p>
    <w:p w:rsidR="00421BD3" w:rsidRDefault="00421BD3" w:rsidP="00421BD3">
      <w:pPr>
        <w:spacing w:after="240"/>
        <w:outlineLvl w:val="2"/>
        <w:rPr>
          <w:rFonts w:eastAsia="Times New Roman" w:cs="Times New Roman"/>
          <w:b/>
          <w:sz w:val="24"/>
          <w:szCs w:val="24"/>
          <w:lang w:val="en-GB" w:eastAsia="en-GB"/>
        </w:rPr>
      </w:pPr>
      <w:bookmarkStart w:id="45" w:name="_Toc481662084"/>
      <w:r>
        <w:rPr>
          <w:rFonts w:eastAsia="Times New Roman" w:cs="Times New Roman"/>
          <w:b/>
          <w:sz w:val="24"/>
          <w:szCs w:val="24"/>
          <w:lang w:val="en-GB" w:eastAsia="en-GB"/>
        </w:rPr>
        <w:lastRenderedPageBreak/>
        <w:t xml:space="preserve">Part </w:t>
      </w:r>
      <w:r w:rsidR="00B045B3">
        <w:rPr>
          <w:rFonts w:eastAsia="Times New Roman" w:cs="Times New Roman"/>
          <w:b/>
          <w:sz w:val="24"/>
          <w:szCs w:val="24"/>
          <w:lang w:val="en-GB" w:eastAsia="en-GB"/>
        </w:rPr>
        <w:t>T</w:t>
      </w:r>
      <w:r>
        <w:rPr>
          <w:rFonts w:eastAsia="Times New Roman" w:cs="Times New Roman"/>
          <w:b/>
          <w:sz w:val="24"/>
          <w:szCs w:val="24"/>
          <w:lang w:val="en-GB" w:eastAsia="en-GB"/>
        </w:rPr>
        <w:t xml:space="preserve">wo: Amendments to the Social Workers Registration Act to increase </w:t>
      </w:r>
      <w:r w:rsidR="00172037">
        <w:rPr>
          <w:rFonts w:eastAsia="Times New Roman" w:cs="Times New Roman"/>
          <w:b/>
          <w:sz w:val="24"/>
          <w:szCs w:val="24"/>
          <w:lang w:val="en-GB" w:eastAsia="en-GB"/>
        </w:rPr>
        <w:t xml:space="preserve">effectiveness and </w:t>
      </w:r>
      <w:r>
        <w:rPr>
          <w:rFonts w:eastAsia="Times New Roman" w:cs="Times New Roman"/>
          <w:b/>
          <w:sz w:val="24"/>
          <w:szCs w:val="24"/>
          <w:lang w:val="en-GB" w:eastAsia="en-GB"/>
        </w:rPr>
        <w:t>transparency</w:t>
      </w:r>
      <w:bookmarkEnd w:id="45"/>
    </w:p>
    <w:p w:rsidR="007505BA" w:rsidRPr="007505BA" w:rsidRDefault="007505BA" w:rsidP="007505BA">
      <w:pPr>
        <w:numPr>
          <w:ilvl w:val="0"/>
          <w:numId w:val="8"/>
        </w:numPr>
        <w:tabs>
          <w:tab w:val="num" w:pos="1440"/>
        </w:tabs>
        <w:spacing w:after="240" w:line="240" w:lineRule="auto"/>
        <w:ind w:left="567" w:hanging="567"/>
        <w:rPr>
          <w:rFonts w:eastAsia="Times New Roman" w:cs="Times New Roman"/>
          <w:szCs w:val="20"/>
          <w:lang w:val="en-GB" w:eastAsia="en-GB"/>
        </w:rPr>
      </w:pPr>
      <w:r w:rsidRPr="007505BA">
        <w:rPr>
          <w:rFonts w:eastAsia="Times New Roman" w:cs="Times New Roman"/>
          <w:szCs w:val="20"/>
          <w:lang w:val="en-GB" w:eastAsia="en-GB"/>
        </w:rPr>
        <w:t xml:space="preserve">The </w:t>
      </w:r>
      <w:r>
        <w:rPr>
          <w:rFonts w:eastAsia="Times New Roman" w:cs="Times New Roman"/>
          <w:szCs w:val="20"/>
          <w:lang w:val="en-GB" w:eastAsia="en-GB"/>
        </w:rPr>
        <w:t xml:space="preserve">proposals outlined in this section </w:t>
      </w:r>
      <w:r w:rsidR="00B209FF">
        <w:rPr>
          <w:rFonts w:eastAsia="Times New Roman" w:cs="Times New Roman"/>
          <w:szCs w:val="20"/>
          <w:lang w:val="en-GB" w:eastAsia="en-GB"/>
        </w:rPr>
        <w:t>can</w:t>
      </w:r>
      <w:r>
        <w:rPr>
          <w:rFonts w:eastAsia="Times New Roman" w:cs="Times New Roman"/>
          <w:szCs w:val="20"/>
          <w:lang w:val="en-GB" w:eastAsia="en-GB"/>
        </w:rPr>
        <w:t xml:space="preserve"> be progressed in conjunction with a change to the registration regime or on their own in order to </w:t>
      </w:r>
      <w:r w:rsidR="00B209FF">
        <w:rPr>
          <w:rFonts w:eastAsia="Times New Roman" w:cs="Times New Roman"/>
          <w:szCs w:val="20"/>
          <w:lang w:val="en-GB" w:eastAsia="en-GB"/>
        </w:rPr>
        <w:t>improve the effectiveness and efficiency of the SWR Act.</w:t>
      </w:r>
      <w:r>
        <w:rPr>
          <w:rFonts w:eastAsia="Times New Roman" w:cs="Times New Roman"/>
          <w:szCs w:val="20"/>
          <w:lang w:val="en-GB" w:eastAsia="en-GB"/>
        </w:rPr>
        <w:t xml:space="preserve"> </w:t>
      </w:r>
      <w:r w:rsidR="009445E6">
        <w:rPr>
          <w:rFonts w:eastAsia="Times New Roman" w:cs="Times New Roman"/>
          <w:szCs w:val="20"/>
          <w:lang w:val="en-GB" w:eastAsia="en-GB"/>
        </w:rPr>
        <w:t xml:space="preserve"> </w:t>
      </w:r>
      <w:r>
        <w:rPr>
          <w:rFonts w:eastAsia="Times New Roman" w:cs="Times New Roman"/>
          <w:szCs w:val="20"/>
          <w:lang w:val="en-GB" w:eastAsia="en-GB"/>
        </w:rPr>
        <w:t xml:space="preserve">These proposals are </w:t>
      </w:r>
      <w:r w:rsidR="008A193B">
        <w:rPr>
          <w:rFonts w:eastAsia="Times New Roman" w:cs="Times New Roman"/>
          <w:szCs w:val="20"/>
          <w:lang w:val="en-GB" w:eastAsia="en-GB"/>
        </w:rPr>
        <w:t xml:space="preserve">likely to have negligible </w:t>
      </w:r>
      <w:r w:rsidR="006D44F9">
        <w:rPr>
          <w:rFonts w:eastAsia="Times New Roman" w:cs="Times New Roman"/>
          <w:szCs w:val="20"/>
          <w:lang w:val="en-GB" w:eastAsia="en-GB"/>
        </w:rPr>
        <w:t xml:space="preserve">cost </w:t>
      </w:r>
      <w:r w:rsidR="008A193B">
        <w:rPr>
          <w:rFonts w:eastAsia="Times New Roman" w:cs="Times New Roman"/>
          <w:szCs w:val="20"/>
          <w:lang w:val="en-GB" w:eastAsia="en-GB"/>
        </w:rPr>
        <w:t>impact</w:t>
      </w:r>
      <w:r w:rsidR="00B209FF">
        <w:rPr>
          <w:rFonts w:eastAsia="Times New Roman" w:cs="Times New Roman"/>
          <w:szCs w:val="20"/>
          <w:lang w:val="en-GB" w:eastAsia="en-GB"/>
        </w:rPr>
        <w:t xml:space="preserve">. </w:t>
      </w:r>
    </w:p>
    <w:p w:rsidR="00A00008" w:rsidRPr="002A5D5B" w:rsidRDefault="00172037" w:rsidP="002703CE">
      <w:pPr>
        <w:spacing w:after="240"/>
        <w:outlineLvl w:val="2"/>
        <w:rPr>
          <w:rFonts w:eastAsia="Times New Roman" w:cs="Times New Roman"/>
          <w:b/>
          <w:sz w:val="24"/>
          <w:szCs w:val="24"/>
          <w:lang w:val="en-GB" w:eastAsia="en-GB"/>
        </w:rPr>
      </w:pPr>
      <w:bookmarkStart w:id="46" w:name="_Toc481662085"/>
      <w:r>
        <w:rPr>
          <w:rFonts w:eastAsia="Times New Roman" w:cs="Times New Roman"/>
          <w:b/>
          <w:sz w:val="24"/>
          <w:szCs w:val="24"/>
          <w:lang w:val="en-GB" w:eastAsia="en-GB"/>
        </w:rPr>
        <w:t>R</w:t>
      </w:r>
      <w:r w:rsidR="00A00008" w:rsidRPr="002A5D5B">
        <w:rPr>
          <w:rFonts w:eastAsia="Times New Roman" w:cs="Times New Roman"/>
          <w:b/>
          <w:sz w:val="24"/>
          <w:szCs w:val="24"/>
          <w:lang w:val="en-GB" w:eastAsia="en-GB"/>
        </w:rPr>
        <w:t>egulation of the Board</w:t>
      </w:r>
      <w:bookmarkEnd w:id="44"/>
      <w:bookmarkEnd w:id="46"/>
    </w:p>
    <w:p w:rsidR="00A00008" w:rsidRPr="00271EF5" w:rsidRDefault="00A00008" w:rsidP="00880C50">
      <w:pPr>
        <w:numPr>
          <w:ilvl w:val="0"/>
          <w:numId w:val="8"/>
        </w:numPr>
        <w:tabs>
          <w:tab w:val="num" w:pos="1440"/>
        </w:tabs>
        <w:spacing w:after="240" w:line="240" w:lineRule="auto"/>
        <w:ind w:left="567" w:hanging="567"/>
        <w:rPr>
          <w:rFonts w:eastAsia="Times New Roman" w:cs="Times New Roman"/>
          <w:szCs w:val="20"/>
          <w:lang w:val="en-GB" w:eastAsia="en-GB"/>
        </w:rPr>
      </w:pPr>
      <w:r w:rsidRPr="007621DB">
        <w:rPr>
          <w:rFonts w:eastAsia="Times New Roman" w:cs="Times New Roman"/>
          <w:szCs w:val="20"/>
          <w:lang w:val="en-GB" w:eastAsia="en-GB"/>
        </w:rPr>
        <w:t xml:space="preserve">The Board is a self-funding Crown entity established under the SWR Act. </w:t>
      </w:r>
      <w:r>
        <w:rPr>
          <w:rFonts w:eastAsia="Times New Roman" w:cs="Times New Roman"/>
          <w:szCs w:val="20"/>
          <w:lang w:val="en-GB" w:eastAsia="en-GB"/>
        </w:rPr>
        <w:t xml:space="preserve"> It</w:t>
      </w:r>
      <w:r w:rsidRPr="002747DC">
        <w:rPr>
          <w:rFonts w:eastAsia="Times New Roman" w:cs="Times New Roman"/>
          <w:szCs w:val="20"/>
          <w:lang w:val="en-GB" w:eastAsia="en-GB"/>
        </w:rPr>
        <w:t xml:space="preserve"> comprises </w:t>
      </w:r>
      <w:r>
        <w:rPr>
          <w:rFonts w:eastAsia="Times New Roman" w:cs="Times New Roman"/>
          <w:szCs w:val="20"/>
          <w:lang w:val="en-GB" w:eastAsia="en-GB"/>
        </w:rPr>
        <w:t>of ten</w:t>
      </w:r>
      <w:r w:rsidRPr="002747DC">
        <w:rPr>
          <w:rFonts w:eastAsia="Times New Roman" w:cs="Times New Roman"/>
          <w:szCs w:val="20"/>
          <w:lang w:val="en-GB" w:eastAsia="en-GB"/>
        </w:rPr>
        <w:t xml:space="preserve"> members appointed by the Responsible Minister (the Minister for Social Development) under the Crown Entities Act 200</w:t>
      </w:r>
      <w:r>
        <w:rPr>
          <w:rFonts w:eastAsia="Times New Roman" w:cs="Times New Roman"/>
          <w:szCs w:val="20"/>
          <w:lang w:val="en-GB" w:eastAsia="en-GB"/>
        </w:rPr>
        <w:t>4</w:t>
      </w:r>
      <w:r w:rsidRPr="002747DC">
        <w:rPr>
          <w:rFonts w:eastAsia="Times New Roman" w:cs="Times New Roman"/>
          <w:szCs w:val="20"/>
          <w:lang w:val="en-GB" w:eastAsia="en-GB"/>
        </w:rPr>
        <w:t xml:space="preserve">. </w:t>
      </w:r>
      <w:r>
        <w:rPr>
          <w:rFonts w:eastAsia="Times New Roman" w:cs="Times New Roman"/>
          <w:szCs w:val="20"/>
          <w:lang w:val="en-GB" w:eastAsia="en-GB"/>
        </w:rPr>
        <w:t xml:space="preserve"> </w:t>
      </w:r>
      <w:r w:rsidRPr="002747DC">
        <w:rPr>
          <w:rFonts w:eastAsia="Times New Roman" w:cs="Times New Roman"/>
          <w:szCs w:val="20"/>
          <w:lang w:val="en-GB" w:eastAsia="en-GB"/>
        </w:rPr>
        <w:t xml:space="preserve">Before making an appointment the Minister must consult with organisations and individuals that, in the Minister’s opinion, represent various sectors of the social work profession.  As a Crown entity the Board is accountable to the Minister and must report regularly to Parliament.  It is subject to the </w:t>
      </w:r>
      <w:r>
        <w:rPr>
          <w:rFonts w:eastAsia="Times New Roman" w:cs="Times New Roman"/>
          <w:szCs w:val="20"/>
          <w:lang w:val="en-GB" w:eastAsia="en-GB"/>
        </w:rPr>
        <w:t>Official Information Act 1982,</w:t>
      </w:r>
      <w:r w:rsidRPr="002747DC">
        <w:rPr>
          <w:rFonts w:eastAsia="Times New Roman" w:cs="Times New Roman"/>
          <w:szCs w:val="20"/>
          <w:lang w:val="en-GB" w:eastAsia="en-GB"/>
        </w:rPr>
        <w:t xml:space="preserve"> Crown </w:t>
      </w:r>
      <w:r>
        <w:rPr>
          <w:rFonts w:eastAsia="Times New Roman" w:cs="Times New Roman"/>
          <w:szCs w:val="20"/>
          <w:lang w:val="en-GB" w:eastAsia="en-GB"/>
        </w:rPr>
        <w:t>e</w:t>
      </w:r>
      <w:r w:rsidRPr="002747DC">
        <w:rPr>
          <w:rFonts w:eastAsia="Times New Roman" w:cs="Times New Roman"/>
          <w:szCs w:val="20"/>
          <w:lang w:val="en-GB" w:eastAsia="en-GB"/>
        </w:rPr>
        <w:t xml:space="preserve">ntity planning and budgeting requirements (preparation of </w:t>
      </w:r>
      <w:r w:rsidR="002F638D" w:rsidRPr="002F638D">
        <w:rPr>
          <w:rFonts w:eastAsia="Times New Roman" w:cs="Times New Roman"/>
          <w:szCs w:val="20"/>
          <w:lang w:val="en-GB" w:eastAsia="en-GB"/>
        </w:rPr>
        <w:t>Statement of Intent</w:t>
      </w:r>
      <w:r w:rsidRPr="002747DC">
        <w:rPr>
          <w:rFonts w:eastAsia="Times New Roman" w:cs="Times New Roman"/>
          <w:szCs w:val="20"/>
          <w:lang w:val="en-GB" w:eastAsia="en-GB"/>
        </w:rPr>
        <w:t>, Government budgetary processes)</w:t>
      </w:r>
      <w:r>
        <w:rPr>
          <w:rFonts w:eastAsia="Times New Roman" w:cs="Times New Roman"/>
          <w:szCs w:val="20"/>
          <w:lang w:val="en-GB" w:eastAsia="en-GB"/>
        </w:rPr>
        <w:t xml:space="preserve">, and is audited by the Office of the Auditor General. </w:t>
      </w:r>
      <w:r w:rsidR="002703CE">
        <w:rPr>
          <w:rFonts w:eastAsia="Times New Roman" w:cs="Times New Roman"/>
          <w:szCs w:val="20"/>
          <w:lang w:val="en-GB" w:eastAsia="en-GB"/>
        </w:rPr>
        <w:t xml:space="preserve"> </w:t>
      </w:r>
      <w:r w:rsidRPr="007621DB">
        <w:rPr>
          <w:rFonts w:eastAsia="Times New Roman" w:cs="Times New Roman"/>
          <w:szCs w:val="20"/>
          <w:lang w:val="en-GB" w:eastAsia="en-GB"/>
        </w:rPr>
        <w:t>Its actions are also subject to judicial review.</w:t>
      </w:r>
    </w:p>
    <w:p w:rsidR="00785B3E" w:rsidRPr="00785B3E" w:rsidRDefault="00A00008" w:rsidP="00177E1D">
      <w:pPr>
        <w:numPr>
          <w:ilvl w:val="0"/>
          <w:numId w:val="8"/>
        </w:numPr>
        <w:tabs>
          <w:tab w:val="num" w:pos="1440"/>
        </w:tabs>
        <w:spacing w:after="240" w:line="240" w:lineRule="auto"/>
        <w:ind w:left="567" w:hanging="567"/>
        <w:rPr>
          <w:rFonts w:eastAsia="Times New Roman"/>
          <w:color w:val="000000"/>
          <w:kern w:val="22"/>
          <w:szCs w:val="20"/>
          <w:lang w:eastAsia="en-NZ"/>
        </w:rPr>
      </w:pPr>
      <w:r w:rsidRPr="00737E29">
        <w:rPr>
          <w:rFonts w:eastAsia="Times New Roman" w:cs="Times New Roman"/>
          <w:szCs w:val="20"/>
          <w:lang w:val="en-GB" w:eastAsia="en-GB"/>
        </w:rPr>
        <w:t xml:space="preserve">The Board has considerable power over social workers who have chosen to register. </w:t>
      </w:r>
      <w:r w:rsidR="009445E6">
        <w:rPr>
          <w:rFonts w:eastAsia="Times New Roman" w:cs="Times New Roman"/>
          <w:szCs w:val="20"/>
          <w:lang w:val="en-GB" w:eastAsia="en-GB"/>
        </w:rPr>
        <w:t xml:space="preserve"> </w:t>
      </w:r>
      <w:r w:rsidRPr="00737E29">
        <w:rPr>
          <w:rFonts w:eastAsia="Times New Roman" w:cs="Times New Roman"/>
          <w:szCs w:val="20"/>
          <w:lang w:val="en-GB" w:eastAsia="en-GB"/>
        </w:rPr>
        <w:t xml:space="preserve">This will significantly increase with </w:t>
      </w:r>
      <w:r>
        <w:rPr>
          <w:rFonts w:eastAsia="Times New Roman" w:cs="Times New Roman"/>
          <w:szCs w:val="20"/>
          <w:lang w:val="en-GB" w:eastAsia="en-GB"/>
        </w:rPr>
        <w:t>m</w:t>
      </w:r>
      <w:r w:rsidRPr="00737E29">
        <w:rPr>
          <w:rFonts w:eastAsia="Times New Roman" w:cs="Times New Roman"/>
          <w:szCs w:val="20"/>
          <w:lang w:val="en-GB" w:eastAsia="en-GB"/>
        </w:rPr>
        <w:t xml:space="preserve">andatory registration so there must be adequate checks and balances to ensure the Board is accountable to the public and the private social work sector, and is effective and efficient.  </w:t>
      </w:r>
    </w:p>
    <w:p w:rsidR="009D1E11" w:rsidRPr="00EC248E" w:rsidRDefault="00610BF3" w:rsidP="00177E1D">
      <w:pPr>
        <w:numPr>
          <w:ilvl w:val="0"/>
          <w:numId w:val="8"/>
        </w:numPr>
        <w:tabs>
          <w:tab w:val="num" w:pos="1440"/>
        </w:tabs>
        <w:spacing w:after="240" w:line="240" w:lineRule="auto"/>
        <w:ind w:left="567" w:hanging="567"/>
        <w:rPr>
          <w:rFonts w:eastAsia="Times New Roman"/>
          <w:color w:val="000000"/>
          <w:kern w:val="22"/>
          <w:szCs w:val="20"/>
          <w:lang w:eastAsia="en-NZ"/>
        </w:rPr>
      </w:pPr>
      <w:r w:rsidRPr="00EC248E">
        <w:rPr>
          <w:rFonts w:eastAsia="Times New Roman" w:cs="Times New Roman"/>
          <w:szCs w:val="20"/>
          <w:lang w:val="en-GB" w:eastAsia="en-GB"/>
        </w:rPr>
        <w:t xml:space="preserve">In most instances, the recommendations with respect to specific amendments proposed below include </w:t>
      </w:r>
      <w:r w:rsidR="009D1E11" w:rsidRPr="00EC248E">
        <w:rPr>
          <w:rFonts w:eastAsia="Times New Roman" w:cs="Times New Roman"/>
          <w:szCs w:val="20"/>
          <w:lang w:val="en-GB" w:eastAsia="en-GB"/>
        </w:rPr>
        <w:t xml:space="preserve">an assessment of whether there are appropriate checks and balances </w:t>
      </w:r>
      <w:proofErr w:type="spellStart"/>
      <w:r w:rsidR="00340B40">
        <w:rPr>
          <w:rFonts w:eastAsia="Times New Roman" w:cs="Times New Roman"/>
          <w:szCs w:val="20"/>
          <w:lang w:val="en-GB" w:eastAsia="en-GB"/>
        </w:rPr>
        <w:t>eg</w:t>
      </w:r>
      <w:proofErr w:type="spellEnd"/>
      <w:r w:rsidR="009D1E11" w:rsidRPr="00EC248E">
        <w:rPr>
          <w:rFonts w:eastAsia="Times New Roman" w:cs="Times New Roman"/>
          <w:szCs w:val="20"/>
          <w:lang w:val="en-GB" w:eastAsia="en-GB"/>
        </w:rPr>
        <w:t xml:space="preserve"> does the recommended approach enable judicial review of decisions</w:t>
      </w:r>
      <w:r w:rsidR="00785B3E" w:rsidRPr="00EC248E">
        <w:rPr>
          <w:rFonts w:eastAsia="Times New Roman" w:cs="Times New Roman"/>
          <w:szCs w:val="20"/>
          <w:lang w:val="en-GB" w:eastAsia="en-GB"/>
        </w:rPr>
        <w:t>?; is the threshold for a sanction at the right level?</w:t>
      </w:r>
      <w:r w:rsidR="009D1E11" w:rsidRPr="00EC248E">
        <w:rPr>
          <w:rFonts w:eastAsia="Times New Roman" w:cs="Times New Roman"/>
          <w:szCs w:val="20"/>
          <w:lang w:val="en-GB" w:eastAsia="en-GB"/>
        </w:rPr>
        <w:t xml:space="preserve"> </w:t>
      </w:r>
      <w:r w:rsidR="00EC248E" w:rsidRPr="00EC248E">
        <w:rPr>
          <w:rFonts w:eastAsia="Times New Roman" w:cs="Times New Roman"/>
          <w:szCs w:val="20"/>
          <w:lang w:val="en-GB" w:eastAsia="en-GB"/>
        </w:rPr>
        <w:t xml:space="preserve"> However </w:t>
      </w:r>
      <w:r w:rsidR="00EC248E">
        <w:rPr>
          <w:rFonts w:eastAsia="Times New Roman" w:cs="Times New Roman"/>
          <w:szCs w:val="20"/>
          <w:lang w:val="en-GB" w:eastAsia="en-GB"/>
        </w:rPr>
        <w:t>w</w:t>
      </w:r>
      <w:r w:rsidR="009D1E11" w:rsidRPr="00EC248E">
        <w:rPr>
          <w:rFonts w:eastAsia="Times New Roman" w:cs="Times New Roman"/>
          <w:szCs w:val="20"/>
          <w:lang w:val="en-GB" w:eastAsia="en-GB"/>
        </w:rPr>
        <w:t xml:space="preserve">e have identified </w:t>
      </w:r>
      <w:r w:rsidR="00785B3E" w:rsidRPr="00EC248E">
        <w:rPr>
          <w:rFonts w:eastAsia="Times New Roman" w:cs="Times New Roman"/>
          <w:szCs w:val="20"/>
          <w:lang w:val="en-GB" w:eastAsia="en-GB"/>
        </w:rPr>
        <w:t xml:space="preserve">two distinct areas where we recommend some </w:t>
      </w:r>
      <w:r w:rsidR="00EC248E">
        <w:rPr>
          <w:rFonts w:eastAsia="Times New Roman" w:cs="Times New Roman"/>
          <w:szCs w:val="20"/>
          <w:lang w:val="en-GB" w:eastAsia="en-GB"/>
        </w:rPr>
        <w:t xml:space="preserve">higher level </w:t>
      </w:r>
      <w:r w:rsidR="00785B3E" w:rsidRPr="00EC248E">
        <w:rPr>
          <w:rFonts w:eastAsia="Times New Roman" w:cs="Times New Roman"/>
          <w:szCs w:val="20"/>
          <w:lang w:val="en-GB" w:eastAsia="en-GB"/>
        </w:rPr>
        <w:t>change to maintain an overall sense of transparency and appropriate checks and balances.</w:t>
      </w:r>
    </w:p>
    <w:p w:rsidR="00610BF3" w:rsidRPr="00610BF3" w:rsidRDefault="00610BF3" w:rsidP="00610BF3">
      <w:pPr>
        <w:spacing w:after="240" w:line="240" w:lineRule="auto"/>
        <w:rPr>
          <w:rFonts w:eastAsia="Times New Roman" w:cs="Times New Roman"/>
          <w:i/>
          <w:szCs w:val="20"/>
          <w:lang w:val="en-GB" w:eastAsia="en-GB"/>
        </w:rPr>
      </w:pPr>
      <w:r w:rsidRPr="00610BF3">
        <w:rPr>
          <w:rFonts w:eastAsia="Times New Roman" w:cs="Times New Roman"/>
          <w:i/>
          <w:szCs w:val="20"/>
          <w:lang w:val="en-GB" w:eastAsia="en-GB"/>
        </w:rPr>
        <w:t>Board membership</w:t>
      </w:r>
    </w:p>
    <w:p w:rsidR="00775BF5" w:rsidRPr="005975B2" w:rsidRDefault="00775BF5" w:rsidP="00775BF5">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Mandatory</w:t>
      </w:r>
      <w:r w:rsidR="002722E6">
        <w:rPr>
          <w:rFonts w:eastAsia="Times New Roman" w:cs="Times New Roman"/>
          <w:szCs w:val="20"/>
          <w:lang w:val="en-GB" w:eastAsia="en-GB"/>
        </w:rPr>
        <w:t xml:space="preserve"> registration</w:t>
      </w:r>
      <w:r w:rsidR="00785B3E">
        <w:rPr>
          <w:rFonts w:eastAsia="Times New Roman" w:cs="Times New Roman"/>
          <w:szCs w:val="20"/>
          <w:lang w:val="en-GB" w:eastAsia="en-GB"/>
        </w:rPr>
        <w:t xml:space="preserve"> </w:t>
      </w:r>
      <w:r>
        <w:rPr>
          <w:rFonts w:eastAsia="Times New Roman" w:cs="Times New Roman"/>
          <w:szCs w:val="20"/>
          <w:lang w:val="en-GB" w:eastAsia="en-GB"/>
        </w:rPr>
        <w:t>of</w:t>
      </w:r>
      <w:r w:rsidR="00785B3E">
        <w:rPr>
          <w:rFonts w:eastAsia="Times New Roman" w:cs="Times New Roman"/>
          <w:szCs w:val="20"/>
          <w:lang w:val="en-GB" w:eastAsia="en-GB"/>
        </w:rPr>
        <w:t xml:space="preserve"> social work</w:t>
      </w:r>
      <w:r>
        <w:rPr>
          <w:rFonts w:eastAsia="Times New Roman" w:cs="Times New Roman"/>
          <w:szCs w:val="20"/>
          <w:lang w:val="en-GB" w:eastAsia="en-GB"/>
        </w:rPr>
        <w:t>ers</w:t>
      </w:r>
      <w:r w:rsidR="00785B3E">
        <w:rPr>
          <w:rFonts w:eastAsia="Times New Roman" w:cs="Times New Roman"/>
          <w:szCs w:val="20"/>
          <w:lang w:val="en-GB" w:eastAsia="en-GB"/>
        </w:rPr>
        <w:t xml:space="preserve"> </w:t>
      </w:r>
      <w:r>
        <w:rPr>
          <w:rFonts w:eastAsia="Times New Roman" w:cs="Times New Roman"/>
          <w:szCs w:val="20"/>
          <w:lang w:val="en-GB" w:eastAsia="en-GB"/>
        </w:rPr>
        <w:t>will constrain the flexibility that employers of social workers have had in making appointments, and will affect aspects of their employees’ working conditions (</w:t>
      </w:r>
      <w:proofErr w:type="spellStart"/>
      <w:r w:rsidR="00340B40">
        <w:rPr>
          <w:rFonts w:eastAsia="Times New Roman" w:cs="Times New Roman"/>
          <w:szCs w:val="20"/>
          <w:lang w:val="en-GB" w:eastAsia="en-GB"/>
        </w:rPr>
        <w:t>eg</w:t>
      </w:r>
      <w:proofErr w:type="spellEnd"/>
      <w:r>
        <w:rPr>
          <w:rFonts w:eastAsia="Times New Roman" w:cs="Times New Roman"/>
          <w:szCs w:val="20"/>
          <w:lang w:val="en-GB" w:eastAsia="en-GB"/>
        </w:rPr>
        <w:t xml:space="preserve"> continuing professional development requirements). </w:t>
      </w:r>
      <w:r w:rsidR="00785B3E">
        <w:rPr>
          <w:rFonts w:eastAsia="Times New Roman" w:cs="Times New Roman"/>
          <w:szCs w:val="20"/>
          <w:lang w:val="en-GB" w:eastAsia="en-GB"/>
        </w:rPr>
        <w:t xml:space="preserve"> </w:t>
      </w:r>
      <w:r>
        <w:rPr>
          <w:rFonts w:eastAsia="Times New Roman" w:cs="Times New Roman"/>
          <w:szCs w:val="20"/>
          <w:lang w:val="en-GB" w:eastAsia="en-GB"/>
        </w:rPr>
        <w:t>We therefore recommend that the criteria for appointment to the Board be amended to explicitly include someone who can represent the interests of employers of social workers.</w:t>
      </w:r>
    </w:p>
    <w:p w:rsidR="00A00008" w:rsidRPr="00502AE9" w:rsidRDefault="00A00008" w:rsidP="00177E1D">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 xml:space="preserve">Additionally, </w:t>
      </w:r>
      <w:r w:rsidR="00785B3E">
        <w:rPr>
          <w:rFonts w:eastAsia="Times New Roman" w:cs="Times New Roman"/>
          <w:szCs w:val="20"/>
          <w:lang w:val="en-GB" w:eastAsia="en-GB"/>
        </w:rPr>
        <w:t xml:space="preserve">we note </w:t>
      </w:r>
      <w:r>
        <w:rPr>
          <w:rFonts w:eastAsia="Times New Roman" w:cs="Times New Roman"/>
          <w:szCs w:val="20"/>
          <w:lang w:val="en-GB" w:eastAsia="en-GB"/>
        </w:rPr>
        <w:t xml:space="preserve">the reorganisation of </w:t>
      </w:r>
      <w:r w:rsidR="00D17A08">
        <w:rPr>
          <w:rFonts w:eastAsia="Times New Roman" w:cs="Times New Roman"/>
          <w:szCs w:val="20"/>
          <w:lang w:val="en-GB" w:eastAsia="en-GB"/>
        </w:rPr>
        <w:t>CYF</w:t>
      </w:r>
      <w:r>
        <w:rPr>
          <w:rFonts w:eastAsia="Times New Roman" w:cs="Times New Roman"/>
          <w:szCs w:val="20"/>
          <w:lang w:val="en-GB" w:eastAsia="en-GB"/>
        </w:rPr>
        <w:t xml:space="preserve"> into </w:t>
      </w:r>
      <w:r w:rsidR="001913C7">
        <w:rPr>
          <w:rFonts w:eastAsia="Times New Roman" w:cs="Times New Roman"/>
          <w:szCs w:val="20"/>
          <w:lang w:val="en-GB" w:eastAsia="en-GB"/>
        </w:rPr>
        <w:t xml:space="preserve">the </w:t>
      </w:r>
      <w:r w:rsidR="001913C7" w:rsidRPr="007A6992">
        <w:rPr>
          <w:rFonts w:eastAsia="Times New Roman"/>
          <w:szCs w:val="20"/>
          <w:lang w:val="en-GB" w:eastAsia="en-GB"/>
        </w:rPr>
        <w:t>Ministry for Vulne</w:t>
      </w:r>
      <w:r w:rsidR="00775BF5">
        <w:rPr>
          <w:rFonts w:eastAsia="Times New Roman"/>
          <w:szCs w:val="20"/>
          <w:lang w:val="en-GB" w:eastAsia="en-GB"/>
        </w:rPr>
        <w:t xml:space="preserve">rable Children, </w:t>
      </w:r>
      <w:proofErr w:type="spellStart"/>
      <w:r w:rsidR="00775BF5">
        <w:rPr>
          <w:rFonts w:eastAsia="Times New Roman"/>
          <w:szCs w:val="20"/>
          <w:lang w:val="en-GB" w:eastAsia="en-GB"/>
        </w:rPr>
        <w:t>Oranga</w:t>
      </w:r>
      <w:proofErr w:type="spellEnd"/>
      <w:r w:rsidR="00775BF5">
        <w:rPr>
          <w:rFonts w:eastAsia="Times New Roman"/>
          <w:szCs w:val="20"/>
          <w:lang w:val="en-GB" w:eastAsia="en-GB"/>
        </w:rPr>
        <w:t xml:space="preserve"> </w:t>
      </w:r>
      <w:proofErr w:type="spellStart"/>
      <w:r w:rsidR="00775BF5">
        <w:rPr>
          <w:rFonts w:eastAsia="Times New Roman"/>
          <w:szCs w:val="20"/>
          <w:lang w:val="en-GB" w:eastAsia="en-GB"/>
        </w:rPr>
        <w:t>Tamariki</w:t>
      </w:r>
      <w:proofErr w:type="spellEnd"/>
      <w:r>
        <w:rPr>
          <w:rFonts w:eastAsia="Times New Roman" w:cs="Times New Roman"/>
          <w:szCs w:val="20"/>
          <w:lang w:val="en-GB" w:eastAsia="en-GB"/>
        </w:rPr>
        <w:t xml:space="preserve"> means that the new Ministry could be represented on the Board.  This has not been possible while </w:t>
      </w:r>
      <w:r w:rsidR="00775BF5">
        <w:rPr>
          <w:rFonts w:eastAsia="Times New Roman" w:cs="Times New Roman"/>
          <w:szCs w:val="20"/>
          <w:lang w:val="en-GB" w:eastAsia="en-GB"/>
        </w:rPr>
        <w:t xml:space="preserve">responsibility for </w:t>
      </w:r>
      <w:r>
        <w:rPr>
          <w:rFonts w:eastAsia="Times New Roman" w:cs="Times New Roman"/>
          <w:szCs w:val="20"/>
          <w:lang w:val="en-GB" w:eastAsia="en-GB"/>
        </w:rPr>
        <w:t xml:space="preserve">care and protection social work fell within </w:t>
      </w:r>
      <w:r w:rsidR="002A1508">
        <w:rPr>
          <w:rFonts w:eastAsia="Times New Roman" w:cs="Times New Roman"/>
          <w:szCs w:val="20"/>
          <w:lang w:val="en-GB" w:eastAsia="en-GB"/>
        </w:rPr>
        <w:t>MSD</w:t>
      </w:r>
      <w:r>
        <w:rPr>
          <w:rFonts w:eastAsia="Times New Roman" w:cs="Times New Roman"/>
          <w:szCs w:val="20"/>
          <w:lang w:val="en-GB" w:eastAsia="en-GB"/>
        </w:rPr>
        <w:t>, because its position as administrator of the SWR Act was justifiably seen as presenting a conflict of interest.</w:t>
      </w:r>
      <w:r w:rsidR="00284D85">
        <w:rPr>
          <w:rFonts w:eastAsia="Times New Roman" w:cs="Times New Roman"/>
          <w:szCs w:val="20"/>
          <w:lang w:val="en-GB" w:eastAsia="en-GB"/>
        </w:rPr>
        <w:t xml:space="preserve">  </w:t>
      </w:r>
    </w:p>
    <w:p w:rsidR="00502AE9" w:rsidRPr="00785B3E" w:rsidRDefault="00502AE9" w:rsidP="00177E1D">
      <w:pPr>
        <w:numPr>
          <w:ilvl w:val="0"/>
          <w:numId w:val="8"/>
        </w:numPr>
        <w:tabs>
          <w:tab w:val="num" w:pos="1440"/>
        </w:tabs>
        <w:spacing w:after="240" w:line="240" w:lineRule="auto"/>
        <w:ind w:left="567" w:hanging="567"/>
        <w:rPr>
          <w:rFonts w:eastAsia="Times New Roman"/>
          <w:color w:val="000000"/>
          <w:kern w:val="22"/>
          <w:szCs w:val="20"/>
          <w:lang w:eastAsia="en-NZ"/>
        </w:rPr>
      </w:pPr>
      <w:r>
        <w:rPr>
          <w:rFonts w:eastAsia="Times New Roman" w:cs="Times New Roman"/>
          <w:szCs w:val="20"/>
          <w:lang w:val="en-GB" w:eastAsia="en-GB"/>
        </w:rPr>
        <w:t>Reduction of the size of the Board from ten to seven members has been proposed – this reflects good governance principles.</w:t>
      </w:r>
    </w:p>
    <w:p w:rsidR="004E2FF1" w:rsidRPr="00027F1E" w:rsidRDefault="004E2FF1" w:rsidP="004E2FF1">
      <w:pPr>
        <w:spacing w:after="240" w:line="240" w:lineRule="auto"/>
        <w:rPr>
          <w:rFonts w:eastAsia="Times New Roman" w:cs="Times New Roman"/>
          <w:i/>
          <w:szCs w:val="20"/>
          <w:lang w:val="en-GB" w:eastAsia="en-GB"/>
        </w:rPr>
      </w:pPr>
      <w:r>
        <w:rPr>
          <w:rFonts w:eastAsia="Times New Roman" w:cs="Times New Roman"/>
          <w:i/>
          <w:szCs w:val="20"/>
          <w:lang w:val="en-GB" w:eastAsia="en-GB"/>
        </w:rPr>
        <w:t xml:space="preserve">Introduction of </w:t>
      </w:r>
      <w:r w:rsidR="00880C50">
        <w:rPr>
          <w:rFonts w:eastAsia="Times New Roman" w:cs="Times New Roman"/>
          <w:i/>
          <w:szCs w:val="20"/>
          <w:lang w:val="en-GB" w:eastAsia="en-GB"/>
        </w:rPr>
        <w:t>q</w:t>
      </w:r>
      <w:r>
        <w:rPr>
          <w:rFonts w:eastAsia="Times New Roman" w:cs="Times New Roman"/>
          <w:i/>
          <w:szCs w:val="20"/>
          <w:lang w:val="en-GB" w:eastAsia="en-GB"/>
        </w:rPr>
        <w:t>ualification principles</w:t>
      </w:r>
    </w:p>
    <w:p w:rsidR="004E2FF1" w:rsidRDefault="004E2FF1" w:rsidP="004E2FF1">
      <w:pPr>
        <w:numPr>
          <w:ilvl w:val="0"/>
          <w:numId w:val="8"/>
        </w:numPr>
        <w:tabs>
          <w:tab w:val="num" w:pos="1440"/>
        </w:tabs>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A risk which can occur with occupational regulation is that of </w:t>
      </w:r>
      <w:r w:rsidR="00DF4203">
        <w:rPr>
          <w:rFonts w:eastAsia="Times New Roman" w:cs="Times New Roman"/>
          <w:szCs w:val="20"/>
          <w:lang w:val="en-GB" w:eastAsia="en-GB"/>
        </w:rPr>
        <w:t>“</w:t>
      </w:r>
      <w:r>
        <w:rPr>
          <w:rFonts w:eastAsia="Times New Roman" w:cs="Times New Roman"/>
          <w:szCs w:val="20"/>
          <w:lang w:val="en-GB" w:eastAsia="en-GB"/>
        </w:rPr>
        <w:t>over-credentialing</w:t>
      </w:r>
      <w:r w:rsidR="00DF4203">
        <w:rPr>
          <w:rFonts w:eastAsia="Times New Roman" w:cs="Times New Roman"/>
          <w:szCs w:val="20"/>
          <w:lang w:val="en-GB" w:eastAsia="en-GB"/>
        </w:rPr>
        <w:t>”</w:t>
      </w:r>
      <w:r>
        <w:rPr>
          <w:rFonts w:eastAsia="Times New Roman" w:cs="Times New Roman"/>
          <w:szCs w:val="20"/>
          <w:lang w:val="en-GB" w:eastAsia="en-GB"/>
        </w:rPr>
        <w:t xml:space="preserve"> - setting too high an entry level which unnecessarily restricts entry to a profession.  Currently the Board</w:t>
      </w:r>
      <w:r w:rsidR="008A193B">
        <w:rPr>
          <w:rFonts w:eastAsia="Times New Roman" w:cs="Times New Roman"/>
          <w:szCs w:val="20"/>
          <w:lang w:val="en-GB" w:eastAsia="en-GB"/>
        </w:rPr>
        <w:t>’s practice is</w:t>
      </w:r>
      <w:r w:rsidR="005970B3">
        <w:rPr>
          <w:rFonts w:eastAsia="Times New Roman" w:cs="Times New Roman"/>
          <w:szCs w:val="20"/>
          <w:lang w:val="en-GB" w:eastAsia="en-GB"/>
        </w:rPr>
        <w:t xml:space="preserve"> to </w:t>
      </w:r>
      <w:r>
        <w:rPr>
          <w:rFonts w:eastAsia="Times New Roman" w:cs="Times New Roman"/>
          <w:szCs w:val="20"/>
          <w:lang w:val="en-GB" w:eastAsia="en-GB"/>
        </w:rPr>
        <w:t xml:space="preserve">consult widely before setting the qualification </w:t>
      </w:r>
      <w:r>
        <w:rPr>
          <w:rFonts w:eastAsia="Times New Roman" w:cs="Times New Roman"/>
          <w:szCs w:val="20"/>
          <w:lang w:val="en-GB" w:eastAsia="en-GB"/>
        </w:rPr>
        <w:lastRenderedPageBreak/>
        <w:t xml:space="preserve">criteria for registration, but a shift to mandatory registration may give rise to concerns about over-credentialing or lack of transparency.  </w:t>
      </w:r>
    </w:p>
    <w:p w:rsidR="004E2FF1" w:rsidRPr="005975B2" w:rsidRDefault="005975B2" w:rsidP="005975B2">
      <w:pPr>
        <w:numPr>
          <w:ilvl w:val="0"/>
          <w:numId w:val="8"/>
        </w:numPr>
        <w:tabs>
          <w:tab w:val="num" w:pos="1440"/>
        </w:tabs>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004E2FF1" w:rsidRPr="00240E4E">
        <w:rPr>
          <w:rFonts w:eastAsia="Times New Roman" w:cs="Times New Roman"/>
          <w:szCs w:val="20"/>
          <w:lang w:val="en-GB" w:eastAsia="en-GB"/>
        </w:rPr>
        <w:t xml:space="preserve">he </w:t>
      </w:r>
      <w:r>
        <w:rPr>
          <w:rFonts w:eastAsia="Times New Roman" w:cs="Times New Roman"/>
          <w:szCs w:val="20"/>
          <w:lang w:val="en-GB" w:eastAsia="en-GB"/>
        </w:rPr>
        <w:t>HPCA</w:t>
      </w:r>
      <w:r w:rsidR="004E2FF1" w:rsidRPr="00240E4E">
        <w:rPr>
          <w:rFonts w:eastAsia="Times New Roman" w:cs="Times New Roman"/>
          <w:szCs w:val="20"/>
          <w:lang w:val="en-GB" w:eastAsia="en-GB"/>
        </w:rPr>
        <w:t xml:space="preserve"> Act </w:t>
      </w:r>
      <w:r>
        <w:rPr>
          <w:rFonts w:eastAsia="Times New Roman" w:cs="Times New Roman"/>
          <w:szCs w:val="20"/>
          <w:lang w:val="en-GB" w:eastAsia="en-GB"/>
        </w:rPr>
        <w:t xml:space="preserve">provides a possible model to address such concerns.  It </w:t>
      </w:r>
      <w:r w:rsidR="004E2FF1">
        <w:rPr>
          <w:rFonts w:eastAsia="Times New Roman" w:cs="Times New Roman"/>
          <w:szCs w:val="20"/>
          <w:lang w:val="en-GB" w:eastAsia="en-GB"/>
        </w:rPr>
        <w:t>has</w:t>
      </w:r>
      <w:r w:rsidR="004E2FF1" w:rsidRPr="00240E4E">
        <w:rPr>
          <w:rFonts w:eastAsia="Times New Roman" w:cs="Times New Roman"/>
          <w:szCs w:val="20"/>
          <w:lang w:val="en-GB" w:eastAsia="en-GB"/>
        </w:rPr>
        <w:t xml:space="preserve"> three key principles to govern prescription of qualifications</w:t>
      </w:r>
      <w:r w:rsidR="004E2FF1">
        <w:rPr>
          <w:rFonts w:eastAsia="Times New Roman" w:cs="Times New Roman"/>
          <w:szCs w:val="20"/>
          <w:lang w:val="en-GB" w:eastAsia="en-GB"/>
        </w:rPr>
        <w:t>.  Prescribed qualifications must</w:t>
      </w:r>
      <w:r w:rsidR="004E2FF1" w:rsidRPr="00240E4E">
        <w:rPr>
          <w:rFonts w:eastAsia="Times New Roman" w:cs="Times New Roman"/>
          <w:szCs w:val="20"/>
          <w:lang w:val="en-GB" w:eastAsia="en-GB"/>
        </w:rPr>
        <w:t xml:space="preserve">: </w:t>
      </w:r>
      <w:r w:rsidR="004E2FF1">
        <w:rPr>
          <w:rFonts w:eastAsia="Times New Roman" w:cs="Times New Roman"/>
          <w:szCs w:val="20"/>
          <w:lang w:val="en-GB" w:eastAsia="en-GB"/>
        </w:rPr>
        <w:t>be</w:t>
      </w:r>
      <w:r w:rsidR="004E2FF1" w:rsidRPr="00240E4E">
        <w:rPr>
          <w:rFonts w:eastAsia="Times New Roman" w:cs="Times New Roman"/>
          <w:szCs w:val="20"/>
          <w:lang w:val="en-GB" w:eastAsia="en-GB"/>
        </w:rPr>
        <w:t xml:space="preserve"> necessary to protect members of the public; not unnecessarily restrict the registration of persons as health practitioners; </w:t>
      </w:r>
      <w:r w:rsidR="004E2FF1">
        <w:rPr>
          <w:rFonts w:eastAsia="Times New Roman" w:cs="Times New Roman"/>
          <w:szCs w:val="20"/>
          <w:lang w:val="en-GB" w:eastAsia="en-GB"/>
        </w:rPr>
        <w:t xml:space="preserve">and </w:t>
      </w:r>
      <w:r w:rsidR="004E2FF1" w:rsidRPr="00240E4E">
        <w:rPr>
          <w:rFonts w:eastAsia="Times New Roman" w:cs="Times New Roman"/>
          <w:szCs w:val="20"/>
          <w:lang w:val="en-GB" w:eastAsia="en-GB"/>
        </w:rPr>
        <w:t xml:space="preserve">not impose undue costs on practitioners or the public. </w:t>
      </w:r>
      <w:r w:rsidR="004E2FF1">
        <w:rPr>
          <w:rFonts w:eastAsia="Times New Roman" w:cs="Times New Roman"/>
          <w:szCs w:val="20"/>
          <w:lang w:val="en-GB" w:eastAsia="en-GB"/>
        </w:rPr>
        <w:t xml:space="preserve"> These principles would be</w:t>
      </w:r>
      <w:r w:rsidR="004E2FF1" w:rsidRPr="00240E4E">
        <w:rPr>
          <w:rFonts w:eastAsia="Times New Roman" w:cs="Times New Roman"/>
          <w:szCs w:val="20"/>
          <w:lang w:val="en-GB" w:eastAsia="en-GB"/>
        </w:rPr>
        <w:t xml:space="preserve"> intended to </w:t>
      </w:r>
      <w:r w:rsidR="004E2FF1">
        <w:rPr>
          <w:rFonts w:eastAsia="Times New Roman" w:cs="Times New Roman"/>
          <w:szCs w:val="20"/>
          <w:lang w:val="en-GB" w:eastAsia="en-GB"/>
        </w:rPr>
        <w:t>guide</w:t>
      </w:r>
      <w:r w:rsidR="004E2FF1" w:rsidRPr="00240E4E">
        <w:rPr>
          <w:rFonts w:eastAsia="Times New Roman" w:cs="Times New Roman"/>
          <w:szCs w:val="20"/>
          <w:lang w:val="en-GB" w:eastAsia="en-GB"/>
        </w:rPr>
        <w:t xml:space="preserve"> the exercise of the </w:t>
      </w:r>
      <w:r w:rsidR="004E2FF1">
        <w:rPr>
          <w:rFonts w:eastAsia="Times New Roman" w:cs="Times New Roman"/>
          <w:szCs w:val="20"/>
          <w:lang w:val="en-GB" w:eastAsia="en-GB"/>
        </w:rPr>
        <w:t>Board</w:t>
      </w:r>
      <w:r w:rsidR="004E2FF1" w:rsidRPr="00240E4E">
        <w:rPr>
          <w:rFonts w:eastAsia="Times New Roman" w:cs="Times New Roman"/>
          <w:szCs w:val="20"/>
          <w:lang w:val="en-GB" w:eastAsia="en-GB"/>
        </w:rPr>
        <w:t>’s discretion</w:t>
      </w:r>
      <w:r w:rsidR="004E2FF1">
        <w:rPr>
          <w:rFonts w:eastAsia="Times New Roman" w:cs="Times New Roman"/>
          <w:szCs w:val="20"/>
          <w:lang w:val="en-GB" w:eastAsia="en-GB"/>
        </w:rPr>
        <w:t xml:space="preserve"> and</w:t>
      </w:r>
      <w:r w:rsidR="004E2FF1" w:rsidRPr="00240E4E">
        <w:rPr>
          <w:rFonts w:eastAsia="Times New Roman" w:cs="Times New Roman"/>
          <w:szCs w:val="20"/>
          <w:lang w:val="en-GB" w:eastAsia="en-GB"/>
        </w:rPr>
        <w:t xml:space="preserve"> </w:t>
      </w:r>
      <w:r>
        <w:rPr>
          <w:rFonts w:eastAsia="Times New Roman" w:cs="Times New Roman"/>
          <w:szCs w:val="20"/>
          <w:lang w:val="en-GB" w:eastAsia="en-GB"/>
        </w:rPr>
        <w:t>ensure a full range of factors relevant to the sector were taken into account</w:t>
      </w:r>
      <w:r w:rsidR="004E2FF1" w:rsidRPr="00240E4E">
        <w:rPr>
          <w:rFonts w:eastAsia="Times New Roman" w:cs="Times New Roman"/>
          <w:szCs w:val="20"/>
          <w:lang w:val="en-GB" w:eastAsia="en-GB"/>
        </w:rPr>
        <w:t>.</w:t>
      </w:r>
    </w:p>
    <w:p w:rsidR="00A00008" w:rsidRPr="00D540DE" w:rsidRDefault="00A00008" w:rsidP="002703CE">
      <w:pPr>
        <w:spacing w:after="240"/>
        <w:outlineLvl w:val="2"/>
        <w:rPr>
          <w:rFonts w:eastAsia="Times New Roman" w:cs="Times New Roman"/>
          <w:b/>
          <w:sz w:val="24"/>
          <w:szCs w:val="24"/>
          <w:lang w:val="en-GB" w:eastAsia="en-GB"/>
        </w:rPr>
      </w:pPr>
      <w:bookmarkStart w:id="47" w:name="_Toc479611998"/>
      <w:bookmarkStart w:id="48" w:name="_Toc481662086"/>
      <w:r w:rsidRPr="00D540DE">
        <w:rPr>
          <w:rFonts w:eastAsia="Times New Roman" w:cs="Times New Roman"/>
          <w:b/>
          <w:sz w:val="24"/>
          <w:szCs w:val="24"/>
          <w:lang w:val="en-GB" w:eastAsia="en-GB"/>
        </w:rPr>
        <w:t xml:space="preserve">Experience based pathway to registration </w:t>
      </w:r>
      <w:r>
        <w:rPr>
          <w:rFonts w:eastAsia="Times New Roman" w:cs="Times New Roman"/>
          <w:b/>
          <w:sz w:val="24"/>
          <w:szCs w:val="24"/>
          <w:lang w:val="en-GB" w:eastAsia="en-GB"/>
        </w:rPr>
        <w:t>(</w:t>
      </w:r>
      <w:r w:rsidRPr="00D540DE">
        <w:rPr>
          <w:rFonts w:eastAsia="Times New Roman" w:cs="Times New Roman"/>
          <w:b/>
          <w:sz w:val="24"/>
          <w:szCs w:val="24"/>
          <w:lang w:val="en-GB" w:eastAsia="en-GB"/>
        </w:rPr>
        <w:t>Section13</w:t>
      </w:r>
      <w:r>
        <w:rPr>
          <w:rFonts w:eastAsia="Times New Roman" w:cs="Times New Roman"/>
          <w:b/>
          <w:sz w:val="24"/>
          <w:szCs w:val="24"/>
          <w:lang w:val="en-GB" w:eastAsia="en-GB"/>
        </w:rPr>
        <w:t>)</w:t>
      </w:r>
      <w:bookmarkEnd w:id="47"/>
      <w:bookmarkEnd w:id="48"/>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456129">
        <w:rPr>
          <w:rFonts w:eastAsia="Times New Roman" w:cs="Times New Roman"/>
          <w:szCs w:val="20"/>
          <w:lang w:val="en-GB" w:eastAsia="en-GB"/>
        </w:rPr>
        <w:t xml:space="preserve">Section 13 of </w:t>
      </w:r>
      <w:r w:rsidR="00CC7880">
        <w:rPr>
          <w:rFonts w:eastAsia="Times New Roman" w:cs="Times New Roman"/>
          <w:szCs w:val="20"/>
          <w:lang w:val="en-GB" w:eastAsia="en-GB"/>
        </w:rPr>
        <w:t>the SWR Act</w:t>
      </w:r>
      <w:r w:rsidRPr="00456129">
        <w:rPr>
          <w:rFonts w:eastAsia="Times New Roman" w:cs="Times New Roman"/>
          <w:szCs w:val="20"/>
          <w:lang w:val="en-GB" w:eastAsia="en-GB"/>
        </w:rPr>
        <w:t xml:space="preserve"> provides an experience-based pathway to registration for social workers who are competent and fit to practice social work but who do not have a qualification</w:t>
      </w:r>
      <w:r>
        <w:rPr>
          <w:rFonts w:eastAsia="Times New Roman" w:cs="Times New Roman"/>
          <w:szCs w:val="20"/>
          <w:lang w:val="en-GB" w:eastAsia="en-GB"/>
        </w:rPr>
        <w:t xml:space="preserve"> which is recognised by the </w:t>
      </w:r>
      <w:r w:rsidR="007C4074">
        <w:rPr>
          <w:rFonts w:eastAsia="Times New Roman" w:cs="Times New Roman"/>
          <w:szCs w:val="20"/>
          <w:lang w:val="en-GB" w:eastAsia="en-GB"/>
        </w:rPr>
        <w:t>Board</w:t>
      </w:r>
      <w:r>
        <w:rPr>
          <w:rFonts w:eastAsia="Times New Roman" w:cs="Times New Roman"/>
          <w:szCs w:val="20"/>
          <w:lang w:val="en-GB" w:eastAsia="en-GB"/>
        </w:rPr>
        <w:t>.</w:t>
      </w:r>
      <w:r w:rsidRPr="00456129">
        <w:rPr>
          <w:rFonts w:eastAsia="Times New Roman" w:cs="Times New Roman"/>
          <w:szCs w:val="20"/>
          <w:lang w:val="en-GB" w:eastAsia="en-GB"/>
        </w:rPr>
        <w:t xml:space="preserve"> </w:t>
      </w:r>
      <w:r>
        <w:rPr>
          <w:rFonts w:eastAsia="Times New Roman" w:cs="Times New Roman"/>
          <w:szCs w:val="20"/>
          <w:lang w:val="en-GB" w:eastAsia="en-GB"/>
        </w:rPr>
        <w:t xml:space="preserve"> </w:t>
      </w:r>
      <w:r w:rsidRPr="00456129">
        <w:rPr>
          <w:rFonts w:eastAsia="Times New Roman" w:cs="Times New Roman"/>
          <w:szCs w:val="20"/>
          <w:lang w:val="en-GB" w:eastAsia="en-GB"/>
        </w:rPr>
        <w:t>An applicant is req</w:t>
      </w:r>
      <w:r>
        <w:rPr>
          <w:rFonts w:eastAsia="Times New Roman" w:cs="Times New Roman"/>
          <w:szCs w:val="20"/>
          <w:lang w:val="en-GB" w:eastAsia="en-GB"/>
        </w:rPr>
        <w:t>uired to show their experience is “enough to compensate” for the lack of an acceptable qualification.</w:t>
      </w:r>
      <w:r>
        <w:rPr>
          <w:rStyle w:val="FootnoteReference"/>
          <w:rFonts w:eastAsia="Times New Roman" w:cs="Times New Roman"/>
          <w:szCs w:val="20"/>
          <w:lang w:val="en-GB" w:eastAsia="en-GB"/>
        </w:rPr>
        <w:footnoteReference w:id="21"/>
      </w:r>
      <w:r>
        <w:rPr>
          <w:rFonts w:eastAsia="Times New Roman" w:cs="Times New Roman"/>
          <w:szCs w:val="20"/>
          <w:lang w:val="en-GB" w:eastAsia="en-GB"/>
        </w:rPr>
        <w:t xml:space="preserve">  </w:t>
      </w:r>
    </w:p>
    <w:p w:rsidR="00A00008" w:rsidRDefault="007D02C9"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In 2003, s</w:t>
      </w:r>
      <w:r w:rsidR="00A00008">
        <w:rPr>
          <w:rFonts w:eastAsia="Times New Roman" w:cs="Times New Roman"/>
          <w:szCs w:val="20"/>
          <w:lang w:val="en-GB" w:eastAsia="en-GB"/>
        </w:rPr>
        <w:t>ection</w:t>
      </w:r>
      <w:r w:rsidR="00A00008" w:rsidRPr="00456129">
        <w:rPr>
          <w:rFonts w:eastAsia="Times New Roman" w:cs="Times New Roman"/>
          <w:szCs w:val="20"/>
          <w:lang w:val="en-GB" w:eastAsia="en-GB"/>
        </w:rPr>
        <w:t xml:space="preserve"> 13 </w:t>
      </w:r>
      <w:r w:rsidR="00A00008">
        <w:rPr>
          <w:rFonts w:eastAsia="Times New Roman" w:cs="Times New Roman"/>
          <w:szCs w:val="20"/>
          <w:lang w:val="en-GB" w:eastAsia="en-GB"/>
        </w:rPr>
        <w:t>was intended reduce</w:t>
      </w:r>
      <w:r w:rsidR="00A00008" w:rsidRPr="00456129">
        <w:rPr>
          <w:rFonts w:eastAsia="Times New Roman" w:cs="Times New Roman"/>
          <w:szCs w:val="20"/>
          <w:lang w:val="en-GB" w:eastAsia="en-GB"/>
        </w:rPr>
        <w:t xml:space="preserve"> </w:t>
      </w:r>
      <w:r w:rsidR="00A00008">
        <w:rPr>
          <w:rFonts w:eastAsia="Times New Roman" w:cs="Times New Roman"/>
          <w:szCs w:val="20"/>
          <w:lang w:val="en-GB" w:eastAsia="en-GB"/>
        </w:rPr>
        <w:t xml:space="preserve">the risk of serious </w:t>
      </w:r>
      <w:r w:rsidR="00A00008" w:rsidRPr="00456129">
        <w:rPr>
          <w:rFonts w:eastAsia="Times New Roman" w:cs="Times New Roman"/>
          <w:szCs w:val="20"/>
          <w:lang w:val="en-GB" w:eastAsia="en-GB"/>
        </w:rPr>
        <w:t>workforce disruption</w:t>
      </w:r>
      <w:r w:rsidR="004A1894">
        <w:rPr>
          <w:rFonts w:eastAsia="Times New Roman" w:cs="Times New Roman"/>
          <w:szCs w:val="20"/>
          <w:lang w:val="en-GB" w:eastAsia="en-GB"/>
        </w:rPr>
        <w:t xml:space="preserve">, particularly </w:t>
      </w:r>
      <w:r w:rsidR="004A1894">
        <w:rPr>
          <w:szCs w:val="20"/>
          <w:lang w:val="en-GB" w:eastAsia="en-GB"/>
        </w:rPr>
        <w:t>for Child, Youth and Family and some Crown entities such as district health boards and schools</w:t>
      </w:r>
      <w:r w:rsidR="00A00008">
        <w:rPr>
          <w:rFonts w:eastAsia="Times New Roman" w:cs="Times New Roman"/>
          <w:szCs w:val="20"/>
          <w:lang w:val="en-GB" w:eastAsia="en-GB"/>
        </w:rPr>
        <w:t xml:space="preserve">.  It provided a pathway to registration for practising social workers who were sufficiently competent based on experience but who could not reasonably be expected to undertake formal training to gain qualifications.  (Other sections of </w:t>
      </w:r>
      <w:r w:rsidR="00CC7880">
        <w:rPr>
          <w:rFonts w:eastAsia="Times New Roman" w:cs="Times New Roman"/>
          <w:szCs w:val="20"/>
          <w:lang w:val="en-GB" w:eastAsia="en-GB"/>
        </w:rPr>
        <w:t>the SWR Act</w:t>
      </w:r>
      <w:r w:rsidR="00A00008">
        <w:rPr>
          <w:rFonts w:eastAsia="Times New Roman" w:cs="Times New Roman"/>
          <w:szCs w:val="20"/>
          <w:lang w:val="en-GB" w:eastAsia="en-GB"/>
        </w:rPr>
        <w:t xml:space="preserve"> allow provisional registration for practising social workers who are in the process of completing social work qualifications.)</w:t>
      </w:r>
    </w:p>
    <w:p w:rsidR="00A00008" w:rsidRPr="00456129" w:rsidRDefault="00A00008" w:rsidP="005B5FC6">
      <w:pPr>
        <w:numPr>
          <w:ilvl w:val="0"/>
          <w:numId w:val="25"/>
        </w:numPr>
        <w:spacing w:after="240" w:line="240" w:lineRule="auto"/>
        <w:ind w:left="567" w:hanging="567"/>
        <w:rPr>
          <w:rFonts w:eastAsia="Times New Roman" w:cs="Times New Roman"/>
          <w:szCs w:val="20"/>
          <w:lang w:val="en-GB" w:eastAsia="en-GB"/>
        </w:rPr>
      </w:pPr>
      <w:r w:rsidRPr="00F74626">
        <w:rPr>
          <w:rFonts w:eastAsia="Times New Roman" w:cs="Times New Roman"/>
          <w:szCs w:val="20"/>
          <w:lang w:val="en-GB" w:eastAsia="en-GB"/>
        </w:rPr>
        <w:t>One hundred and twenty-four people have</w:t>
      </w:r>
      <w:r w:rsidRPr="00271EF5">
        <w:rPr>
          <w:rFonts w:eastAsia="Times New Roman" w:cs="Times New Roman"/>
          <w:szCs w:val="20"/>
          <w:lang w:val="en-GB" w:eastAsia="en-GB"/>
        </w:rPr>
        <w:t xml:space="preserve"> </w:t>
      </w:r>
      <w:r>
        <w:rPr>
          <w:rFonts w:eastAsia="Times New Roman" w:cs="Times New Roman"/>
          <w:szCs w:val="20"/>
          <w:lang w:val="en-GB" w:eastAsia="en-GB"/>
        </w:rPr>
        <w:t xml:space="preserve">been </w:t>
      </w:r>
      <w:r w:rsidRPr="00271EF5">
        <w:rPr>
          <w:rFonts w:eastAsia="Times New Roman" w:cs="Times New Roman"/>
          <w:szCs w:val="20"/>
          <w:lang w:val="en-GB" w:eastAsia="en-GB"/>
        </w:rPr>
        <w:t>registered under s</w:t>
      </w:r>
      <w:r>
        <w:rPr>
          <w:rFonts w:eastAsia="Times New Roman" w:cs="Times New Roman"/>
          <w:szCs w:val="20"/>
          <w:lang w:val="en-GB" w:eastAsia="en-GB"/>
        </w:rPr>
        <w:t>ection</w:t>
      </w:r>
      <w:r w:rsidRPr="00271EF5">
        <w:rPr>
          <w:rFonts w:eastAsia="Times New Roman" w:cs="Times New Roman"/>
          <w:szCs w:val="20"/>
          <w:lang w:val="en-GB" w:eastAsia="en-GB"/>
        </w:rPr>
        <w:t xml:space="preserve"> 13 since 2003</w:t>
      </w:r>
      <w:r>
        <w:rPr>
          <w:rFonts w:eastAsia="Times New Roman" w:cs="Times New Roman"/>
          <w:szCs w:val="20"/>
          <w:lang w:val="en-GB" w:eastAsia="en-GB"/>
        </w:rPr>
        <w:t xml:space="preserve">.  </w:t>
      </w:r>
      <w:r w:rsidRPr="00456129">
        <w:rPr>
          <w:rFonts w:eastAsia="Times New Roman" w:cs="Times New Roman"/>
          <w:szCs w:val="20"/>
          <w:lang w:val="en-GB" w:eastAsia="en-GB"/>
        </w:rPr>
        <w:t xml:space="preserve">Although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456129">
        <w:rPr>
          <w:rFonts w:eastAsia="Times New Roman" w:cs="Times New Roman"/>
          <w:szCs w:val="20"/>
          <w:lang w:val="en-GB" w:eastAsia="en-GB"/>
        </w:rPr>
        <w:t xml:space="preserve">considers applicants on a case-by-case basis, it generally expects applicants to have been practising since before </w:t>
      </w:r>
      <w:r>
        <w:rPr>
          <w:rFonts w:eastAsia="Times New Roman" w:cs="Times New Roman"/>
          <w:szCs w:val="20"/>
          <w:lang w:val="en-GB" w:eastAsia="en-GB"/>
        </w:rPr>
        <w:t xml:space="preserve">2003 to be considered eligible, on the basis that section 13 is a grand-parenting provision.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policy reflects an expectation </w:t>
      </w:r>
      <w:r w:rsidRPr="00456129">
        <w:rPr>
          <w:rFonts w:eastAsia="Times New Roman" w:cs="Times New Roman"/>
          <w:szCs w:val="20"/>
          <w:lang w:val="en-GB" w:eastAsia="en-GB"/>
        </w:rPr>
        <w:t xml:space="preserve">that anyone who began </w:t>
      </w:r>
      <w:r>
        <w:rPr>
          <w:rFonts w:eastAsia="Times New Roman" w:cs="Times New Roman"/>
          <w:szCs w:val="20"/>
          <w:lang w:val="en-GB" w:eastAsia="en-GB"/>
        </w:rPr>
        <w:t>practising</w:t>
      </w:r>
      <w:r w:rsidRPr="00456129">
        <w:rPr>
          <w:rFonts w:eastAsia="Times New Roman" w:cs="Times New Roman"/>
          <w:szCs w:val="20"/>
          <w:lang w:val="en-GB" w:eastAsia="en-GB"/>
        </w:rPr>
        <w:t xml:space="preserve"> after 2003 should ho</w:t>
      </w:r>
      <w:r>
        <w:rPr>
          <w:rFonts w:eastAsia="Times New Roman" w:cs="Times New Roman"/>
          <w:szCs w:val="20"/>
          <w:lang w:val="en-GB" w:eastAsia="en-GB"/>
        </w:rPr>
        <w:t>ld appropriate qualifications.  Assessment of experience has also been rigorous to ensure applicants do have the necessary depth and breadth of skills.</w:t>
      </w:r>
    </w:p>
    <w:p w:rsidR="00A00008" w:rsidRPr="004C2B01"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In order to reflect the growing expectation that social workers be professionally qualified, the </w:t>
      </w:r>
      <w:r w:rsidR="00101F12">
        <w:rPr>
          <w:rFonts w:eastAsia="Times New Roman" w:cs="Times New Roman"/>
          <w:szCs w:val="20"/>
          <w:lang w:val="en-GB" w:eastAsia="en-GB"/>
        </w:rPr>
        <w:t>Select</w:t>
      </w:r>
      <w:r>
        <w:rPr>
          <w:rFonts w:eastAsia="Times New Roman" w:cs="Times New Roman"/>
          <w:szCs w:val="20"/>
          <w:lang w:val="en-GB" w:eastAsia="en-GB"/>
        </w:rPr>
        <w:t xml:space="preserve"> Committee recommended the repeal of section 13 with a one</w:t>
      </w:r>
      <w:r w:rsidR="007C4074">
        <w:rPr>
          <w:rFonts w:eastAsia="Times New Roman" w:cs="Times New Roman"/>
          <w:szCs w:val="20"/>
          <w:lang w:val="en-GB" w:eastAsia="en-GB"/>
        </w:rPr>
        <w:t xml:space="preserve"> </w:t>
      </w:r>
      <w:r>
        <w:rPr>
          <w:rFonts w:eastAsia="Times New Roman" w:cs="Times New Roman"/>
          <w:szCs w:val="20"/>
          <w:lang w:val="en-GB" w:eastAsia="en-GB"/>
        </w:rPr>
        <w:t xml:space="preserve">year transition period.  Officials have also considered whether an alternative grand-parenting provision designed to address unique issues facing the </w:t>
      </w:r>
      <w:r w:rsidR="00880C50">
        <w:rPr>
          <w:rFonts w:eastAsia="Times New Roman" w:cs="Times New Roman"/>
          <w:szCs w:val="20"/>
          <w:lang w:val="en-GB" w:eastAsia="en-GB"/>
        </w:rPr>
        <w:t>NGO sector</w:t>
      </w:r>
      <w:r>
        <w:rPr>
          <w:rFonts w:eastAsia="Times New Roman" w:cs="Times New Roman"/>
          <w:szCs w:val="20"/>
          <w:lang w:val="en-GB" w:eastAsia="en-GB"/>
        </w:rPr>
        <w:t xml:space="preserve">, for up to two years, would be useful to minimise workforce disruption.  </w:t>
      </w:r>
      <w:r w:rsidRPr="00456129">
        <w:rPr>
          <w:rFonts w:eastAsia="Times New Roman" w:cs="Times New Roman"/>
          <w:szCs w:val="20"/>
          <w:lang w:val="en-GB" w:eastAsia="en-GB"/>
        </w:rPr>
        <w:t xml:space="preserve">Neither option is intended to affect the validity of registrations on the basis of </w:t>
      </w:r>
      <w:r>
        <w:rPr>
          <w:rFonts w:eastAsia="Times New Roman" w:cs="Times New Roman"/>
          <w:szCs w:val="20"/>
          <w:lang w:val="en-GB" w:eastAsia="en-GB"/>
        </w:rPr>
        <w:t>section</w:t>
      </w:r>
      <w:r w:rsidRPr="00456129">
        <w:rPr>
          <w:rFonts w:eastAsia="Times New Roman" w:cs="Times New Roman"/>
          <w:szCs w:val="20"/>
          <w:lang w:val="en-GB" w:eastAsia="en-GB"/>
        </w:rPr>
        <w:t xml:space="preserve"> 13.</w:t>
      </w:r>
    </w:p>
    <w:p w:rsidR="00A00008" w:rsidRPr="002703CE" w:rsidRDefault="00824574"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w:t>
      </w:r>
      <w:r w:rsidR="00A00008">
        <w:rPr>
          <w:rFonts w:eastAsia="Times New Roman" w:cs="Times New Roman"/>
          <w:szCs w:val="20"/>
          <w:lang w:val="en-GB" w:eastAsia="en-GB"/>
        </w:rPr>
        <w:t xml:space="preserve"> transitional period of two years </w:t>
      </w:r>
      <w:r>
        <w:rPr>
          <w:rFonts w:eastAsia="Times New Roman" w:cs="Times New Roman"/>
          <w:szCs w:val="20"/>
          <w:lang w:val="en-GB" w:eastAsia="en-GB"/>
        </w:rPr>
        <w:t xml:space="preserve">is recommended </w:t>
      </w:r>
      <w:r w:rsidR="00A00008">
        <w:rPr>
          <w:rFonts w:eastAsia="Times New Roman" w:cs="Times New Roman"/>
          <w:szCs w:val="20"/>
          <w:lang w:val="en-GB" w:eastAsia="en-GB"/>
        </w:rPr>
        <w:t xml:space="preserve">to </w:t>
      </w:r>
      <w:r>
        <w:rPr>
          <w:rFonts w:eastAsia="Times New Roman" w:cs="Times New Roman"/>
          <w:szCs w:val="20"/>
          <w:lang w:val="en-GB" w:eastAsia="en-GB"/>
        </w:rPr>
        <w:t xml:space="preserve">allow </w:t>
      </w:r>
      <w:r w:rsidR="00A00008">
        <w:rPr>
          <w:rFonts w:eastAsia="Times New Roman" w:cs="Times New Roman"/>
          <w:szCs w:val="20"/>
          <w:lang w:val="en-GB" w:eastAsia="en-GB"/>
        </w:rPr>
        <w:t xml:space="preserve">for those social workers currently </w:t>
      </w:r>
      <w:r w:rsidR="007B1456">
        <w:rPr>
          <w:rFonts w:eastAsia="Times New Roman" w:cs="Times New Roman"/>
          <w:szCs w:val="20"/>
          <w:lang w:val="en-GB" w:eastAsia="en-GB"/>
        </w:rPr>
        <w:t xml:space="preserve">eligible </w:t>
      </w:r>
      <w:r w:rsidR="00A00008">
        <w:rPr>
          <w:rFonts w:eastAsia="Times New Roman" w:cs="Times New Roman"/>
          <w:szCs w:val="20"/>
          <w:lang w:val="en-GB" w:eastAsia="en-GB"/>
        </w:rPr>
        <w:t xml:space="preserve">to register under section 13.  </w:t>
      </w:r>
      <w:r w:rsidR="00A00008" w:rsidRPr="006B345A">
        <w:rPr>
          <w:rFonts w:eastAsia="Times New Roman" w:cs="Times New Roman"/>
          <w:szCs w:val="20"/>
          <w:lang w:val="en-GB" w:eastAsia="en-GB"/>
        </w:rPr>
        <w:t xml:space="preserve">Up to 100 practising social workers are </w:t>
      </w:r>
      <w:r w:rsidR="007B1456" w:rsidRPr="006B345A">
        <w:rPr>
          <w:rFonts w:eastAsia="Times New Roman" w:cs="Times New Roman"/>
          <w:szCs w:val="20"/>
          <w:lang w:val="en-GB" w:eastAsia="en-GB"/>
        </w:rPr>
        <w:t>known to be preparing s</w:t>
      </w:r>
      <w:r w:rsidR="006B345A" w:rsidRPr="006B345A">
        <w:rPr>
          <w:rFonts w:eastAsia="Times New Roman" w:cs="Times New Roman"/>
          <w:szCs w:val="20"/>
          <w:lang w:val="en-GB" w:eastAsia="en-GB"/>
        </w:rPr>
        <w:t xml:space="preserve">ection </w:t>
      </w:r>
      <w:r w:rsidR="007B1456" w:rsidRPr="006B345A">
        <w:rPr>
          <w:rFonts w:eastAsia="Times New Roman" w:cs="Times New Roman"/>
          <w:szCs w:val="20"/>
          <w:lang w:val="en-GB" w:eastAsia="en-GB"/>
        </w:rPr>
        <w:t>13 applications</w:t>
      </w:r>
      <w:r w:rsidR="00A00008" w:rsidRPr="006B345A">
        <w:rPr>
          <w:rFonts w:eastAsia="Times New Roman" w:cs="Times New Roman"/>
          <w:szCs w:val="20"/>
          <w:lang w:val="en-GB" w:eastAsia="en-GB"/>
        </w:rPr>
        <w:t xml:space="preserve">, </w:t>
      </w:r>
      <w:r w:rsidR="002703CE" w:rsidRPr="006B345A">
        <w:rPr>
          <w:rFonts w:eastAsia="Times New Roman" w:cs="Times New Roman"/>
          <w:szCs w:val="20"/>
          <w:lang w:val="en-GB" w:eastAsia="en-GB"/>
        </w:rPr>
        <w:t xml:space="preserve">and we have estimated </w:t>
      </w:r>
      <w:r w:rsidR="00880C50">
        <w:rPr>
          <w:rFonts w:eastAsia="Times New Roman" w:cs="Times New Roman"/>
          <w:szCs w:val="20"/>
          <w:lang w:val="en-GB" w:eastAsia="en-GB"/>
        </w:rPr>
        <w:t xml:space="preserve">there may be </w:t>
      </w:r>
      <w:r w:rsidR="002703CE" w:rsidRPr="006B345A">
        <w:rPr>
          <w:rFonts w:eastAsia="Times New Roman" w:cs="Times New Roman"/>
          <w:szCs w:val="20"/>
          <w:lang w:val="en-GB" w:eastAsia="en-GB"/>
        </w:rPr>
        <w:t>up to 230</w:t>
      </w:r>
      <w:r w:rsidR="00A00008" w:rsidRPr="006B345A">
        <w:rPr>
          <w:rFonts w:eastAsia="Times New Roman" w:cs="Times New Roman"/>
          <w:szCs w:val="20"/>
          <w:lang w:val="en-GB" w:eastAsia="en-GB"/>
        </w:rPr>
        <w:t xml:space="preserve"> </w:t>
      </w:r>
      <w:r w:rsidR="002703CE" w:rsidRPr="006B345A">
        <w:rPr>
          <w:rFonts w:eastAsia="Times New Roman" w:cs="Times New Roman"/>
          <w:szCs w:val="20"/>
          <w:lang w:val="en-GB" w:eastAsia="en-GB"/>
        </w:rPr>
        <w:t xml:space="preserve">others </w:t>
      </w:r>
      <w:r w:rsidR="00A00008" w:rsidRPr="006B345A">
        <w:rPr>
          <w:rFonts w:eastAsia="Times New Roman" w:cs="Times New Roman"/>
          <w:szCs w:val="20"/>
          <w:lang w:val="en-GB" w:eastAsia="en-GB"/>
        </w:rPr>
        <w:t>eligible for s</w:t>
      </w:r>
      <w:r w:rsidR="006B345A" w:rsidRPr="006B345A">
        <w:rPr>
          <w:rFonts w:eastAsia="Times New Roman" w:cs="Times New Roman"/>
          <w:szCs w:val="20"/>
          <w:lang w:val="en-GB" w:eastAsia="en-GB"/>
        </w:rPr>
        <w:t xml:space="preserve">ection </w:t>
      </w:r>
      <w:r w:rsidR="00A00008" w:rsidRPr="006B345A">
        <w:rPr>
          <w:rFonts w:eastAsia="Times New Roman" w:cs="Times New Roman"/>
          <w:szCs w:val="20"/>
          <w:lang w:val="en-GB" w:eastAsia="en-GB"/>
        </w:rPr>
        <w:t xml:space="preserve">13 </w:t>
      </w:r>
      <w:proofErr w:type="gramStart"/>
      <w:r w:rsidR="00A00008" w:rsidRPr="006B345A">
        <w:rPr>
          <w:rFonts w:eastAsia="Times New Roman" w:cs="Times New Roman"/>
          <w:szCs w:val="20"/>
          <w:lang w:val="en-GB" w:eastAsia="en-GB"/>
        </w:rPr>
        <w:t>registration</w:t>
      </w:r>
      <w:proofErr w:type="gramEnd"/>
      <w:r w:rsidR="00A00008" w:rsidRPr="006B345A">
        <w:rPr>
          <w:rFonts w:eastAsia="Times New Roman" w:cs="Times New Roman"/>
          <w:szCs w:val="20"/>
          <w:lang w:val="en-GB" w:eastAsia="en-GB"/>
        </w:rPr>
        <w:t xml:space="preserve"> </w:t>
      </w:r>
      <w:r w:rsidR="00880C50">
        <w:rPr>
          <w:rFonts w:eastAsia="Times New Roman" w:cs="Times New Roman"/>
          <w:szCs w:val="20"/>
          <w:lang w:val="en-GB" w:eastAsia="en-GB"/>
        </w:rPr>
        <w:t>who</w:t>
      </w:r>
      <w:r w:rsidR="00A00008" w:rsidRPr="006B345A">
        <w:rPr>
          <w:rFonts w:eastAsia="Times New Roman" w:cs="Times New Roman"/>
          <w:szCs w:val="20"/>
          <w:lang w:val="en-GB" w:eastAsia="en-GB"/>
        </w:rPr>
        <w:t xml:space="preserve"> have not commenced the process, particularly in the NGO sector.</w:t>
      </w:r>
    </w:p>
    <w:p w:rsidR="003D1DF6" w:rsidRDefault="003D1DF6">
      <w:pPr>
        <w:spacing w:after="0" w:line="240" w:lineRule="auto"/>
        <w:rPr>
          <w:rFonts w:eastAsia="Times New Roman" w:cs="Times New Roman"/>
          <w:i/>
          <w:szCs w:val="20"/>
          <w:lang w:val="en-GB" w:eastAsia="en-GB"/>
        </w:rPr>
      </w:pPr>
      <w:r>
        <w:rPr>
          <w:rFonts w:eastAsia="Times New Roman" w:cs="Times New Roman"/>
          <w:i/>
          <w:szCs w:val="20"/>
          <w:lang w:val="en-GB" w:eastAsia="en-GB"/>
        </w:rPr>
        <w:br w:type="page"/>
      </w:r>
    </w:p>
    <w:p w:rsidR="00A00008" w:rsidRPr="00D540DE" w:rsidRDefault="00824574" w:rsidP="00177E1D">
      <w:pPr>
        <w:spacing w:after="240" w:line="240" w:lineRule="auto"/>
        <w:rPr>
          <w:rFonts w:eastAsia="Times New Roman" w:cs="Times New Roman"/>
          <w:i/>
          <w:szCs w:val="20"/>
          <w:lang w:val="en-GB" w:eastAsia="en-GB"/>
        </w:rPr>
      </w:pPr>
      <w:r>
        <w:rPr>
          <w:rFonts w:eastAsia="Times New Roman" w:cs="Times New Roman"/>
          <w:i/>
          <w:szCs w:val="20"/>
          <w:lang w:val="en-GB" w:eastAsia="en-GB"/>
        </w:rPr>
        <w:lastRenderedPageBreak/>
        <w:t>Repealing</w:t>
      </w:r>
      <w:r w:rsidRPr="00D540DE">
        <w:rPr>
          <w:rFonts w:eastAsia="Times New Roman" w:cs="Times New Roman"/>
          <w:i/>
          <w:szCs w:val="20"/>
          <w:lang w:val="en-GB" w:eastAsia="en-GB"/>
        </w:rPr>
        <w:t xml:space="preserve"> </w:t>
      </w:r>
      <w:r w:rsidR="00A00008" w:rsidRPr="00D540DE">
        <w:rPr>
          <w:rFonts w:eastAsia="Times New Roman" w:cs="Times New Roman"/>
          <w:i/>
          <w:szCs w:val="20"/>
          <w:lang w:val="en-GB" w:eastAsia="en-GB"/>
        </w:rPr>
        <w:t>section 13</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456129">
        <w:rPr>
          <w:rFonts w:eastAsia="Times New Roman" w:cs="Times New Roman"/>
          <w:szCs w:val="20"/>
          <w:lang w:val="en-GB" w:eastAsia="en-GB"/>
        </w:rPr>
        <w:t xml:space="preserve">Repealing </w:t>
      </w:r>
      <w:r>
        <w:rPr>
          <w:rFonts w:eastAsia="Times New Roman" w:cs="Times New Roman"/>
          <w:szCs w:val="20"/>
          <w:lang w:val="en-GB" w:eastAsia="en-GB"/>
        </w:rPr>
        <w:t>section</w:t>
      </w:r>
      <w:r w:rsidRPr="00456129">
        <w:rPr>
          <w:rFonts w:eastAsia="Times New Roman" w:cs="Times New Roman"/>
          <w:szCs w:val="20"/>
          <w:lang w:val="en-GB" w:eastAsia="en-GB"/>
        </w:rPr>
        <w:t xml:space="preserve"> 13 with a transitional effect will reflect </w:t>
      </w:r>
      <w:r>
        <w:rPr>
          <w:rFonts w:eastAsia="Times New Roman" w:cs="Times New Roman"/>
          <w:szCs w:val="20"/>
          <w:lang w:val="en-GB" w:eastAsia="en-GB"/>
        </w:rPr>
        <w:t>the</w:t>
      </w:r>
      <w:r w:rsidRPr="00456129">
        <w:rPr>
          <w:rFonts w:eastAsia="Times New Roman" w:cs="Times New Roman"/>
          <w:szCs w:val="20"/>
          <w:lang w:val="en-GB" w:eastAsia="en-GB"/>
        </w:rPr>
        <w:t xml:space="preserve"> expect</w:t>
      </w:r>
      <w:r>
        <w:rPr>
          <w:rFonts w:eastAsia="Times New Roman" w:cs="Times New Roman"/>
          <w:szCs w:val="20"/>
          <w:lang w:val="en-GB" w:eastAsia="en-GB"/>
        </w:rPr>
        <w:t>ation of increasing skill levels for</w:t>
      </w:r>
      <w:r w:rsidRPr="00456129">
        <w:rPr>
          <w:rFonts w:eastAsia="Times New Roman" w:cs="Times New Roman"/>
          <w:szCs w:val="20"/>
          <w:lang w:val="en-GB" w:eastAsia="en-GB"/>
        </w:rPr>
        <w:t xml:space="preserve"> the social work profession over time</w:t>
      </w:r>
      <w:r>
        <w:rPr>
          <w:rFonts w:eastAsia="Times New Roman" w:cs="Times New Roman"/>
          <w:szCs w:val="20"/>
          <w:lang w:val="en-GB" w:eastAsia="en-GB"/>
        </w:rPr>
        <w:t>, while allowing</w:t>
      </w:r>
      <w:r w:rsidRPr="00456129">
        <w:rPr>
          <w:rFonts w:eastAsia="Times New Roman" w:cs="Times New Roman"/>
          <w:szCs w:val="20"/>
          <w:lang w:val="en-GB" w:eastAsia="en-GB"/>
        </w:rPr>
        <w:t xml:space="preserve"> registration for </w:t>
      </w:r>
      <w:r>
        <w:rPr>
          <w:rFonts w:eastAsia="Times New Roman" w:cs="Times New Roman"/>
          <w:szCs w:val="20"/>
          <w:lang w:val="en-GB" w:eastAsia="en-GB"/>
        </w:rPr>
        <w:t xml:space="preserve">the remaining group of </w:t>
      </w:r>
      <w:r w:rsidRPr="00456129">
        <w:rPr>
          <w:rFonts w:eastAsia="Times New Roman" w:cs="Times New Roman"/>
          <w:szCs w:val="20"/>
          <w:lang w:val="en-GB" w:eastAsia="en-GB"/>
        </w:rPr>
        <w:t>experienced and</w:t>
      </w:r>
      <w:r>
        <w:rPr>
          <w:rFonts w:eastAsia="Times New Roman" w:cs="Times New Roman"/>
          <w:szCs w:val="20"/>
          <w:lang w:val="en-GB" w:eastAsia="en-GB"/>
        </w:rPr>
        <w:t xml:space="preserve"> competent older practitioners </w:t>
      </w:r>
      <w:r w:rsidRPr="00456129">
        <w:rPr>
          <w:rFonts w:eastAsia="Times New Roman" w:cs="Times New Roman"/>
          <w:szCs w:val="20"/>
          <w:lang w:val="en-GB" w:eastAsia="en-GB"/>
        </w:rPr>
        <w:t>for whom significant further educati</w:t>
      </w:r>
      <w:r>
        <w:rPr>
          <w:rFonts w:eastAsia="Times New Roman" w:cs="Times New Roman"/>
          <w:szCs w:val="20"/>
          <w:lang w:val="en-GB" w:eastAsia="en-GB"/>
        </w:rPr>
        <w:t>on might be unrealistic</w:t>
      </w:r>
      <w:r w:rsidRPr="00456129">
        <w:rPr>
          <w:rFonts w:eastAsia="Times New Roman" w:cs="Times New Roman"/>
          <w:szCs w:val="20"/>
          <w:lang w:val="en-GB" w:eastAsia="en-GB"/>
        </w:rPr>
        <w:t xml:space="preserve">.  </w:t>
      </w:r>
    </w:p>
    <w:p w:rsidR="00A00008" w:rsidRPr="007B1456" w:rsidRDefault="00A00008" w:rsidP="005B5FC6">
      <w:pPr>
        <w:numPr>
          <w:ilvl w:val="0"/>
          <w:numId w:val="25"/>
        </w:numPr>
        <w:spacing w:after="240" w:line="240" w:lineRule="auto"/>
        <w:ind w:left="567" w:hanging="567"/>
        <w:rPr>
          <w:rFonts w:eastAsia="Times New Roman" w:cs="Times New Roman"/>
          <w:szCs w:val="20"/>
          <w:lang w:val="en-GB" w:eastAsia="en-GB"/>
        </w:rPr>
      </w:pPr>
      <w:r w:rsidRPr="009C196A">
        <w:rPr>
          <w:rFonts w:eastAsia="Times New Roman" w:cs="Times New Roman"/>
          <w:szCs w:val="20"/>
          <w:lang w:val="en-GB" w:eastAsia="en-GB"/>
        </w:rPr>
        <w:t xml:space="preserve">A possible risk of repealing section 13 is that there will be no further route to registration based on experience alone.  Section 13 was primarily intended to help transition government social workers practising in 2003 and it may not have been the best means of transitioning NGO workers, due to the more specialist focus of some non-government agencies.  Additionally, </w:t>
      </w:r>
      <w:r w:rsidRPr="004015E8">
        <w:rPr>
          <w:rFonts w:eastAsia="Times New Roman" w:cs="Times New Roman"/>
          <w:szCs w:val="20"/>
          <w:lang w:val="en-GB" w:eastAsia="en-GB"/>
        </w:rPr>
        <w:t>some</w:t>
      </w:r>
      <w:r w:rsidRPr="009C196A">
        <w:rPr>
          <w:rFonts w:eastAsia="Times New Roman" w:cs="Times New Roman"/>
          <w:i/>
          <w:szCs w:val="20"/>
          <w:lang w:val="en-GB" w:eastAsia="en-GB"/>
        </w:rPr>
        <w:t xml:space="preserve"> </w:t>
      </w:r>
      <w:r w:rsidRPr="009C196A">
        <w:rPr>
          <w:rFonts w:eastAsia="Times New Roman" w:cs="Times New Roman"/>
          <w:szCs w:val="20"/>
          <w:lang w:val="en-GB" w:eastAsia="en-GB"/>
        </w:rPr>
        <w:t xml:space="preserve">concern remains that there </w:t>
      </w:r>
      <w:r>
        <w:rPr>
          <w:rFonts w:eastAsia="Times New Roman" w:cs="Times New Roman"/>
          <w:szCs w:val="20"/>
          <w:lang w:val="en-GB" w:eastAsia="en-GB"/>
        </w:rPr>
        <w:t>may be</w:t>
      </w:r>
      <w:r w:rsidRPr="009C196A">
        <w:rPr>
          <w:rFonts w:eastAsia="Times New Roman" w:cs="Times New Roman"/>
          <w:szCs w:val="20"/>
          <w:lang w:val="en-GB" w:eastAsia="en-GB"/>
        </w:rPr>
        <w:t xml:space="preserve"> a small number </w:t>
      </w:r>
      <w:r>
        <w:rPr>
          <w:rFonts w:eastAsia="Times New Roman" w:cs="Times New Roman"/>
          <w:szCs w:val="20"/>
          <w:lang w:val="en-GB" w:eastAsia="en-GB"/>
        </w:rPr>
        <w:t xml:space="preserve">of practising social workers in the government </w:t>
      </w:r>
      <w:r w:rsidR="00824574">
        <w:rPr>
          <w:rFonts w:eastAsia="Times New Roman" w:cs="Times New Roman"/>
          <w:szCs w:val="20"/>
          <w:lang w:val="en-GB" w:eastAsia="en-GB"/>
        </w:rPr>
        <w:t xml:space="preserve">and NGO </w:t>
      </w:r>
      <w:r>
        <w:rPr>
          <w:rFonts w:eastAsia="Times New Roman" w:cs="Times New Roman"/>
          <w:szCs w:val="20"/>
          <w:lang w:val="en-GB" w:eastAsia="en-GB"/>
        </w:rPr>
        <w:t>sector</w:t>
      </w:r>
      <w:r w:rsidR="00824574">
        <w:rPr>
          <w:rFonts w:eastAsia="Times New Roman" w:cs="Times New Roman"/>
          <w:szCs w:val="20"/>
          <w:lang w:val="en-GB" w:eastAsia="en-GB"/>
        </w:rPr>
        <w:t>s</w:t>
      </w:r>
      <w:r>
        <w:rPr>
          <w:rFonts w:eastAsia="Times New Roman" w:cs="Times New Roman"/>
          <w:szCs w:val="20"/>
          <w:lang w:val="en-GB" w:eastAsia="en-GB"/>
        </w:rPr>
        <w:t xml:space="preserve"> who have </w:t>
      </w:r>
      <w:r w:rsidRPr="00456129">
        <w:rPr>
          <w:rFonts w:eastAsia="Times New Roman" w:cs="Times New Roman"/>
          <w:szCs w:val="20"/>
          <w:lang w:val="en-GB" w:eastAsia="en-GB"/>
        </w:rPr>
        <w:t>high levels of specialised competence</w:t>
      </w:r>
      <w:r w:rsidRPr="009C196A">
        <w:rPr>
          <w:rFonts w:eastAsia="Times New Roman" w:cs="Times New Roman"/>
          <w:szCs w:val="20"/>
          <w:lang w:val="en-GB" w:eastAsia="en-GB"/>
        </w:rPr>
        <w:t xml:space="preserve"> </w:t>
      </w:r>
      <w:r>
        <w:rPr>
          <w:rFonts w:eastAsia="Times New Roman" w:cs="Times New Roman"/>
          <w:szCs w:val="20"/>
          <w:lang w:val="en-GB" w:eastAsia="en-GB"/>
        </w:rPr>
        <w:t>but who do not meet the criteria for section 13</w:t>
      </w:r>
      <w:r w:rsidR="00824574">
        <w:rPr>
          <w:rFonts w:eastAsia="Times New Roman" w:cs="Times New Roman"/>
          <w:szCs w:val="20"/>
          <w:lang w:val="en-GB" w:eastAsia="en-GB"/>
        </w:rPr>
        <w:t xml:space="preserve"> because they have</w:t>
      </w:r>
      <w:r w:rsidR="00824574" w:rsidRPr="00456129">
        <w:rPr>
          <w:rFonts w:eastAsia="Times New Roman" w:cs="Times New Roman"/>
          <w:szCs w:val="20"/>
          <w:lang w:val="en-GB" w:eastAsia="en-GB"/>
        </w:rPr>
        <w:t xml:space="preserve"> insufficient </w:t>
      </w:r>
      <w:r w:rsidR="00824574">
        <w:rPr>
          <w:rFonts w:eastAsia="Times New Roman" w:cs="Times New Roman"/>
          <w:szCs w:val="20"/>
          <w:lang w:val="en-GB" w:eastAsia="en-GB"/>
        </w:rPr>
        <w:t>breath of experience</w:t>
      </w:r>
      <w:r w:rsidR="00824574" w:rsidRPr="00456129">
        <w:rPr>
          <w:rFonts w:eastAsia="Times New Roman" w:cs="Times New Roman"/>
          <w:szCs w:val="20"/>
          <w:lang w:val="en-GB" w:eastAsia="en-GB"/>
        </w:rPr>
        <w:t>.</w:t>
      </w:r>
      <w:r>
        <w:rPr>
          <w:rFonts w:eastAsia="Times New Roman" w:cs="Times New Roman"/>
          <w:szCs w:val="20"/>
          <w:lang w:val="en-GB" w:eastAsia="en-GB"/>
        </w:rPr>
        <w:t xml:space="preserve">  This may result in </w:t>
      </w:r>
      <w:r w:rsidRPr="009C196A">
        <w:rPr>
          <w:rFonts w:eastAsia="Times New Roman" w:cs="Times New Roman"/>
          <w:szCs w:val="20"/>
          <w:lang w:val="en-GB" w:eastAsia="en-GB"/>
        </w:rPr>
        <w:t>a</w:t>
      </w:r>
      <w:r>
        <w:rPr>
          <w:rFonts w:eastAsia="Times New Roman" w:cs="Times New Roman"/>
          <w:szCs w:val="20"/>
          <w:lang w:val="en-GB" w:eastAsia="en-GB"/>
        </w:rPr>
        <w:t>n unnecessary</w:t>
      </w:r>
      <w:r w:rsidRPr="009C196A">
        <w:rPr>
          <w:rFonts w:eastAsia="Times New Roman" w:cs="Times New Roman"/>
          <w:szCs w:val="20"/>
          <w:lang w:val="en-GB" w:eastAsia="en-GB"/>
        </w:rPr>
        <w:t xml:space="preserve"> loss to the workforce and </w:t>
      </w:r>
      <w:r>
        <w:rPr>
          <w:rFonts w:eastAsia="Times New Roman" w:cs="Times New Roman"/>
          <w:szCs w:val="20"/>
          <w:lang w:val="en-GB" w:eastAsia="en-GB"/>
        </w:rPr>
        <w:t xml:space="preserve">an unfair loss of livelihood for those individuals.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0A397D">
        <w:rPr>
          <w:rFonts w:eastAsia="Times New Roman" w:cs="Times New Roman"/>
          <w:szCs w:val="20"/>
          <w:lang w:val="en-GB" w:eastAsia="en-GB"/>
        </w:rPr>
        <w:t xml:space="preserve">Although the magnitude of this risk is hard to assess it would crystallise under a mandatory </w:t>
      </w:r>
      <w:r w:rsidRPr="00C722FD">
        <w:rPr>
          <w:rFonts w:eastAsia="Times New Roman" w:cs="Times New Roman"/>
          <w:szCs w:val="20"/>
          <w:lang w:val="en-GB" w:eastAsia="en-GB"/>
        </w:rPr>
        <w:t xml:space="preserve">regime.  We </w:t>
      </w:r>
      <w:r w:rsidR="007B1456" w:rsidRPr="00C722FD">
        <w:rPr>
          <w:rFonts w:eastAsia="Times New Roman" w:cs="Times New Roman"/>
          <w:szCs w:val="20"/>
          <w:lang w:val="en-GB" w:eastAsia="en-GB"/>
        </w:rPr>
        <w:t xml:space="preserve">have considered </w:t>
      </w:r>
      <w:r w:rsidRPr="00C722FD">
        <w:rPr>
          <w:rFonts w:eastAsia="Times New Roman" w:cs="Times New Roman"/>
          <w:szCs w:val="20"/>
          <w:lang w:val="en-GB" w:eastAsia="en-GB"/>
        </w:rPr>
        <w:t xml:space="preserve">whether there is need for a newly targeted set of criteria, </w:t>
      </w:r>
      <w:r w:rsidR="00D91798">
        <w:rPr>
          <w:rFonts w:eastAsia="Times New Roman" w:cs="Times New Roman"/>
          <w:szCs w:val="20"/>
          <w:lang w:val="en-GB" w:eastAsia="en-GB"/>
        </w:rPr>
        <w:t>which would</w:t>
      </w:r>
      <w:r w:rsidRPr="00C722FD">
        <w:rPr>
          <w:rFonts w:eastAsia="Times New Roman" w:cs="Times New Roman"/>
          <w:szCs w:val="20"/>
          <w:lang w:val="en-GB" w:eastAsia="en-GB"/>
        </w:rPr>
        <w:t xml:space="preserve"> expire after the appropriate period</w:t>
      </w:r>
      <w:r w:rsidR="007B1456" w:rsidRPr="00C722FD">
        <w:rPr>
          <w:rFonts w:eastAsia="Times New Roman" w:cs="Times New Roman"/>
          <w:szCs w:val="20"/>
          <w:lang w:val="en-GB" w:eastAsia="en-GB"/>
        </w:rPr>
        <w:t xml:space="preserve">.  However we expect this concern could be </w:t>
      </w:r>
      <w:proofErr w:type="gramStart"/>
      <w:r w:rsidR="007B1456" w:rsidRPr="00C722FD">
        <w:rPr>
          <w:rFonts w:eastAsia="Times New Roman" w:cs="Times New Roman"/>
          <w:szCs w:val="20"/>
          <w:lang w:val="en-GB" w:eastAsia="en-GB"/>
        </w:rPr>
        <w:t>meet</w:t>
      </w:r>
      <w:proofErr w:type="gramEnd"/>
      <w:r w:rsidR="007B1456" w:rsidRPr="00C722FD">
        <w:rPr>
          <w:rFonts w:eastAsia="Times New Roman" w:cs="Times New Roman"/>
          <w:szCs w:val="20"/>
          <w:lang w:val="en-GB" w:eastAsia="en-GB"/>
        </w:rPr>
        <w:t xml:space="preserve"> by existing powers </w:t>
      </w:r>
      <w:r w:rsidR="00C722FD" w:rsidRPr="00C722FD">
        <w:rPr>
          <w:rFonts w:eastAsia="Times New Roman" w:cs="Times New Roman"/>
          <w:szCs w:val="20"/>
          <w:lang w:val="en-GB" w:eastAsia="en-GB"/>
        </w:rPr>
        <w:t xml:space="preserve">the Board has </w:t>
      </w:r>
      <w:r w:rsidR="007B1456" w:rsidRPr="00C722FD">
        <w:rPr>
          <w:rFonts w:eastAsia="Times New Roman" w:cs="Times New Roman"/>
          <w:szCs w:val="20"/>
          <w:lang w:val="en-GB" w:eastAsia="en-GB"/>
        </w:rPr>
        <w:t xml:space="preserve">to register </w:t>
      </w:r>
      <w:r w:rsidR="00C722FD" w:rsidRPr="00C722FD">
        <w:rPr>
          <w:rFonts w:eastAsia="Times New Roman" w:cs="Times New Roman"/>
          <w:szCs w:val="20"/>
          <w:lang w:val="en-GB" w:eastAsia="en-GB"/>
        </w:rPr>
        <w:t xml:space="preserve">social workers with restrictions on their area of practice where they have </w:t>
      </w:r>
      <w:r w:rsidR="007B1456" w:rsidRPr="00C722FD">
        <w:rPr>
          <w:rFonts w:eastAsia="Times New Roman" w:cs="Times New Roman"/>
          <w:szCs w:val="20"/>
          <w:lang w:val="en-GB" w:eastAsia="en-GB"/>
        </w:rPr>
        <w:t>specialist rather than broad experience.</w:t>
      </w:r>
    </w:p>
    <w:p w:rsidR="008248CA" w:rsidRPr="00C82B1A" w:rsidRDefault="008248CA" w:rsidP="00C82B1A">
      <w:pPr>
        <w:spacing w:after="240" w:line="240" w:lineRule="auto"/>
        <w:rPr>
          <w:rFonts w:eastAsia="Times New Roman" w:cs="Times New Roman"/>
          <w:i/>
          <w:szCs w:val="20"/>
          <w:lang w:val="en-GB" w:eastAsia="en-GB"/>
        </w:rPr>
      </w:pPr>
      <w:r>
        <w:rPr>
          <w:rFonts w:eastAsia="Times New Roman" w:cs="Times New Roman"/>
          <w:i/>
          <w:szCs w:val="20"/>
          <w:lang w:val="en-GB" w:eastAsia="en-GB"/>
        </w:rPr>
        <w:t>Recognition of prior learning</w:t>
      </w:r>
    </w:p>
    <w:p w:rsidR="008248CA" w:rsidRPr="00C82B1A" w:rsidRDefault="008248CA" w:rsidP="00C82B1A">
      <w:pPr>
        <w:numPr>
          <w:ilvl w:val="0"/>
          <w:numId w:val="25"/>
        </w:numPr>
        <w:spacing w:after="240" w:line="240" w:lineRule="auto"/>
        <w:ind w:left="567" w:hanging="567"/>
        <w:rPr>
          <w:rFonts w:eastAsia="Times New Roman" w:cs="Times New Roman"/>
          <w:szCs w:val="20"/>
          <w:lang w:val="en-GB" w:eastAsia="en-GB"/>
        </w:rPr>
      </w:pPr>
      <w:r w:rsidRPr="00C82B1A">
        <w:rPr>
          <w:rFonts w:eastAsia="Times New Roman" w:cs="Times New Roman"/>
          <w:szCs w:val="20"/>
          <w:lang w:val="en-GB" w:eastAsia="en-GB"/>
        </w:rPr>
        <w:t>While the current experience-based pathway to registration under Section 13 of the Act i</w:t>
      </w:r>
      <w:r w:rsidRPr="00CA7C20">
        <w:rPr>
          <w:rFonts w:eastAsia="Times New Roman" w:cs="Times New Roman"/>
          <w:szCs w:val="20"/>
          <w:lang w:val="en-GB" w:eastAsia="en-GB"/>
        </w:rPr>
        <w:t>s to be phased out</w:t>
      </w:r>
      <w:r w:rsidRPr="00C82B1A">
        <w:rPr>
          <w:rFonts w:eastAsia="Times New Roman" w:cs="Times New Roman"/>
          <w:szCs w:val="20"/>
          <w:lang w:val="en-GB" w:eastAsia="en-GB"/>
        </w:rPr>
        <w:t>, opportunities should remain for people to gain credit towards the required academic qualifications through</w:t>
      </w:r>
      <w:r w:rsidR="00CA7C20" w:rsidRPr="00CA7C20">
        <w:rPr>
          <w:rFonts w:eastAsia="Times New Roman" w:cs="Times New Roman"/>
          <w:szCs w:val="20"/>
          <w:lang w:val="en-GB" w:eastAsia="en-GB"/>
        </w:rPr>
        <w:t xml:space="preserve"> recognition of prior learning </w:t>
      </w:r>
      <w:r w:rsidRPr="00CA7C20">
        <w:rPr>
          <w:rFonts w:eastAsia="Times New Roman" w:cs="Times New Roman"/>
          <w:szCs w:val="20"/>
          <w:lang w:val="en-GB" w:eastAsia="en-GB"/>
        </w:rPr>
        <w:t>in their professional practice.</w:t>
      </w:r>
      <w:r>
        <w:rPr>
          <w:rFonts w:eastAsia="Times New Roman" w:cs="Times New Roman"/>
          <w:szCs w:val="20"/>
          <w:lang w:val="en-GB" w:eastAsia="en-GB"/>
        </w:rPr>
        <w:t xml:space="preserve"> </w:t>
      </w:r>
      <w:r w:rsidRPr="00CA7C20">
        <w:rPr>
          <w:rFonts w:eastAsia="Times New Roman" w:cs="Times New Roman"/>
          <w:szCs w:val="20"/>
          <w:lang w:val="en-GB" w:eastAsia="en-GB"/>
        </w:rPr>
        <w:t xml:space="preserve"> </w:t>
      </w:r>
      <w:r w:rsidR="00CA7C20">
        <w:rPr>
          <w:rFonts w:eastAsia="Times New Roman" w:cs="Times New Roman"/>
          <w:szCs w:val="20"/>
          <w:lang w:val="en-GB" w:eastAsia="en-GB"/>
        </w:rPr>
        <w:t>This will help</w:t>
      </w:r>
      <w:r w:rsidR="00CA7C20" w:rsidRPr="00CA7C20">
        <w:rPr>
          <w:rFonts w:eastAsia="Times New Roman" w:cs="Times New Roman"/>
          <w:szCs w:val="20"/>
          <w:lang w:val="en-GB" w:eastAsia="en-GB"/>
        </w:rPr>
        <w:t xml:space="preserve"> ensure that people currently working in roles that will require registration, but who do not meet the SWRB’s proposed qualification requirements, have </w:t>
      </w:r>
      <w:r w:rsidR="00CA7C20">
        <w:rPr>
          <w:rFonts w:eastAsia="Times New Roman" w:cs="Times New Roman"/>
          <w:szCs w:val="20"/>
          <w:lang w:val="en-GB" w:eastAsia="en-GB"/>
        </w:rPr>
        <w:t xml:space="preserve">sufficiently </w:t>
      </w:r>
      <w:r w:rsidR="00CA7C20" w:rsidRPr="00CA7C20">
        <w:rPr>
          <w:rFonts w:eastAsia="Times New Roman" w:cs="Times New Roman"/>
          <w:szCs w:val="20"/>
          <w:lang w:val="en-GB" w:eastAsia="en-GB"/>
        </w:rPr>
        <w:t>flexible pathways to registration.</w:t>
      </w:r>
    </w:p>
    <w:p w:rsidR="008248CA" w:rsidRPr="00CA7C20" w:rsidRDefault="008248CA" w:rsidP="00CA7C20">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C82B1A">
        <w:rPr>
          <w:rFonts w:eastAsia="Times New Roman" w:cs="Times New Roman"/>
          <w:szCs w:val="20"/>
          <w:lang w:val="en-GB" w:eastAsia="en-GB"/>
        </w:rPr>
        <w:t>he Ministry for Social Development and the Social Workers Registration Board will work closely with the NZ Qualifications Authority, Tertiary Education Providers, and the T</w:t>
      </w:r>
      <w:r>
        <w:rPr>
          <w:rFonts w:eastAsia="Times New Roman" w:cs="Times New Roman"/>
          <w:szCs w:val="20"/>
          <w:lang w:val="en-GB" w:eastAsia="en-GB"/>
        </w:rPr>
        <w:t xml:space="preserve">ertiary </w:t>
      </w:r>
      <w:r w:rsidRPr="00C82B1A">
        <w:rPr>
          <w:rFonts w:eastAsia="Times New Roman" w:cs="Times New Roman"/>
          <w:szCs w:val="20"/>
          <w:lang w:val="en-GB" w:eastAsia="en-GB"/>
        </w:rPr>
        <w:t>E</w:t>
      </w:r>
      <w:r>
        <w:rPr>
          <w:rFonts w:eastAsia="Times New Roman" w:cs="Times New Roman"/>
          <w:szCs w:val="20"/>
          <w:lang w:val="en-GB" w:eastAsia="en-GB"/>
        </w:rPr>
        <w:t xml:space="preserve">ducation </w:t>
      </w:r>
      <w:r w:rsidRPr="00C82B1A">
        <w:rPr>
          <w:rFonts w:eastAsia="Times New Roman" w:cs="Times New Roman"/>
          <w:szCs w:val="20"/>
          <w:lang w:val="en-GB" w:eastAsia="en-GB"/>
        </w:rPr>
        <w:t>C</w:t>
      </w:r>
      <w:r>
        <w:rPr>
          <w:rFonts w:eastAsia="Times New Roman" w:cs="Times New Roman"/>
          <w:szCs w:val="20"/>
          <w:lang w:val="en-GB" w:eastAsia="en-GB"/>
        </w:rPr>
        <w:t>ommission</w:t>
      </w:r>
      <w:r w:rsidRPr="00C82B1A">
        <w:rPr>
          <w:rFonts w:eastAsia="Times New Roman" w:cs="Times New Roman"/>
          <w:szCs w:val="20"/>
          <w:lang w:val="en-GB" w:eastAsia="en-GB"/>
        </w:rPr>
        <w:t xml:space="preserve"> as appropriate, to ensure that </w:t>
      </w:r>
      <w:r>
        <w:rPr>
          <w:rFonts w:eastAsia="Times New Roman" w:cs="Times New Roman"/>
          <w:szCs w:val="20"/>
          <w:lang w:val="en-GB" w:eastAsia="en-GB"/>
        </w:rPr>
        <w:t>t</w:t>
      </w:r>
      <w:r w:rsidRPr="00C82B1A">
        <w:rPr>
          <w:rFonts w:eastAsia="Times New Roman" w:cs="Times New Roman"/>
          <w:szCs w:val="20"/>
          <w:lang w:val="en-GB" w:eastAsia="en-GB"/>
        </w:rPr>
        <w:t xml:space="preserve">he Board’s registration requirements </w:t>
      </w:r>
      <w:r>
        <w:rPr>
          <w:rFonts w:eastAsia="Times New Roman" w:cs="Times New Roman"/>
          <w:szCs w:val="20"/>
          <w:lang w:val="en-GB" w:eastAsia="en-GB"/>
        </w:rPr>
        <w:t>take account</w:t>
      </w:r>
      <w:r w:rsidRPr="00C82B1A">
        <w:rPr>
          <w:rFonts w:eastAsia="Times New Roman" w:cs="Times New Roman"/>
          <w:szCs w:val="20"/>
          <w:lang w:val="en-GB" w:eastAsia="en-GB"/>
        </w:rPr>
        <w:t xml:space="preserve"> of </w:t>
      </w:r>
      <w:r>
        <w:rPr>
          <w:rFonts w:eastAsia="Times New Roman" w:cs="Times New Roman"/>
          <w:szCs w:val="20"/>
          <w:lang w:val="en-GB" w:eastAsia="en-GB"/>
        </w:rPr>
        <w:t xml:space="preserve">applicants’ </w:t>
      </w:r>
      <w:r w:rsidRPr="00321C82">
        <w:rPr>
          <w:rFonts w:eastAsia="Times New Roman" w:cs="Times New Roman"/>
          <w:szCs w:val="20"/>
          <w:lang w:val="en-GB" w:eastAsia="en-GB"/>
        </w:rPr>
        <w:t>prior learning</w:t>
      </w:r>
      <w:r w:rsidRPr="00C82B1A">
        <w:rPr>
          <w:rFonts w:eastAsia="Times New Roman" w:cs="Times New Roman"/>
          <w:szCs w:val="20"/>
          <w:lang w:val="en-GB" w:eastAsia="en-GB"/>
        </w:rPr>
        <w:t xml:space="preserve"> and </w:t>
      </w:r>
      <w:r>
        <w:rPr>
          <w:rFonts w:eastAsia="Times New Roman" w:cs="Times New Roman"/>
          <w:szCs w:val="20"/>
          <w:lang w:val="en-GB" w:eastAsia="en-GB"/>
        </w:rPr>
        <w:t xml:space="preserve">provide </w:t>
      </w:r>
      <w:r w:rsidRPr="00C82B1A">
        <w:rPr>
          <w:rFonts w:eastAsia="Times New Roman" w:cs="Times New Roman"/>
          <w:szCs w:val="20"/>
          <w:lang w:val="en-GB" w:eastAsia="en-GB"/>
        </w:rPr>
        <w:t>f</w:t>
      </w:r>
      <w:r w:rsidRPr="00CA7C20">
        <w:rPr>
          <w:rFonts w:eastAsia="Times New Roman" w:cs="Times New Roman"/>
          <w:szCs w:val="20"/>
          <w:lang w:val="en-GB" w:eastAsia="en-GB"/>
        </w:rPr>
        <w:t>lexible learning opportunities.</w:t>
      </w:r>
      <w:r w:rsidRPr="00C82B1A">
        <w:rPr>
          <w:rFonts w:eastAsia="Times New Roman" w:cs="Times New Roman"/>
          <w:szCs w:val="20"/>
          <w:lang w:val="en-GB" w:eastAsia="en-GB"/>
        </w:rPr>
        <w:t xml:space="preserve"> </w:t>
      </w:r>
      <w:r>
        <w:rPr>
          <w:rFonts w:eastAsia="Times New Roman" w:cs="Times New Roman"/>
          <w:szCs w:val="20"/>
          <w:lang w:val="en-GB" w:eastAsia="en-GB"/>
        </w:rPr>
        <w:t xml:space="preserve"> </w:t>
      </w:r>
      <w:r w:rsidRPr="0061249C">
        <w:rPr>
          <w:rFonts w:eastAsia="Times New Roman" w:cs="Times New Roman"/>
          <w:szCs w:val="20"/>
          <w:lang w:val="en-GB" w:eastAsia="en-GB"/>
        </w:rPr>
        <w:t>The</w:t>
      </w:r>
      <w:r>
        <w:rPr>
          <w:rFonts w:eastAsia="Times New Roman" w:cs="Times New Roman"/>
          <w:szCs w:val="20"/>
          <w:lang w:val="en-GB" w:eastAsia="en-GB"/>
        </w:rPr>
        <w:t xml:space="preserve"> </w:t>
      </w:r>
      <w:r w:rsidRPr="0061249C">
        <w:rPr>
          <w:rFonts w:eastAsia="Times New Roman" w:cs="Times New Roman"/>
          <w:szCs w:val="20"/>
          <w:lang w:val="en-GB" w:eastAsia="en-GB"/>
        </w:rPr>
        <w:t xml:space="preserve">opportunity </w:t>
      </w:r>
      <w:r>
        <w:rPr>
          <w:rFonts w:eastAsia="Times New Roman" w:cs="Times New Roman"/>
          <w:szCs w:val="20"/>
          <w:lang w:val="en-GB" w:eastAsia="en-GB"/>
        </w:rPr>
        <w:t xml:space="preserve">provided by section 10 </w:t>
      </w:r>
      <w:r w:rsidRPr="0061249C">
        <w:rPr>
          <w:rFonts w:eastAsia="Times New Roman" w:cs="Times New Roman"/>
          <w:szCs w:val="20"/>
          <w:lang w:val="en-GB" w:eastAsia="en-GB"/>
        </w:rPr>
        <w:t>to continue working while studying to complete the required qualifications</w:t>
      </w:r>
      <w:r>
        <w:rPr>
          <w:rFonts w:eastAsia="Times New Roman" w:cs="Times New Roman"/>
          <w:szCs w:val="20"/>
          <w:lang w:val="en-GB" w:eastAsia="en-GB"/>
        </w:rPr>
        <w:t xml:space="preserve"> will also ease the transition to a more highly qualified workforce</w:t>
      </w:r>
      <w:r w:rsidRPr="0061249C">
        <w:rPr>
          <w:rFonts w:eastAsia="Times New Roman" w:cs="Times New Roman"/>
          <w:szCs w:val="20"/>
          <w:lang w:val="en-GB" w:eastAsia="en-GB"/>
        </w:rPr>
        <w:t>.</w:t>
      </w:r>
    </w:p>
    <w:p w:rsidR="00A00008" w:rsidRPr="00D540DE" w:rsidRDefault="00A00008" w:rsidP="00177E1D">
      <w:pPr>
        <w:spacing w:after="240"/>
        <w:outlineLvl w:val="2"/>
        <w:rPr>
          <w:rFonts w:eastAsia="Times New Roman" w:cs="Times New Roman"/>
          <w:b/>
          <w:sz w:val="24"/>
          <w:szCs w:val="24"/>
          <w:lang w:val="en-GB" w:eastAsia="en-GB"/>
        </w:rPr>
      </w:pPr>
      <w:bookmarkStart w:id="49" w:name="_Toc479611999"/>
      <w:bookmarkStart w:id="50" w:name="_Toc481662087"/>
      <w:r w:rsidRPr="00D540DE">
        <w:rPr>
          <w:rFonts w:eastAsia="Times New Roman" w:cs="Times New Roman"/>
          <w:b/>
          <w:sz w:val="24"/>
          <w:szCs w:val="24"/>
          <w:lang w:val="en-GB" w:eastAsia="en-GB"/>
        </w:rPr>
        <w:t>Competence requirements</w:t>
      </w:r>
      <w:bookmarkEnd w:id="49"/>
      <w:bookmarkEnd w:id="50"/>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Social workers must be competent in terms of Part 3 of the</w:t>
      </w:r>
      <w:r w:rsidR="002876A5">
        <w:rPr>
          <w:rFonts w:eastAsia="Times New Roman" w:cs="Times New Roman"/>
          <w:szCs w:val="20"/>
          <w:lang w:val="en-GB" w:eastAsia="en-GB"/>
        </w:rPr>
        <w:t xml:space="preserve"> SWR</w:t>
      </w:r>
      <w:r w:rsidR="002876A5" w:rsidRPr="00222ED8">
        <w:rPr>
          <w:rFonts w:eastAsia="Times New Roman" w:cs="Times New Roman"/>
          <w:szCs w:val="20"/>
          <w:lang w:val="en-GB" w:eastAsia="en-GB"/>
        </w:rPr>
        <w:t xml:space="preserve"> Act</w:t>
      </w:r>
      <w:r w:rsidR="002876A5" w:rsidRPr="00240E4E" w:rsidDel="002876A5">
        <w:rPr>
          <w:rFonts w:eastAsia="Times New Roman" w:cs="Times New Roman"/>
          <w:szCs w:val="20"/>
          <w:lang w:val="en-GB" w:eastAsia="en-GB"/>
        </w:rPr>
        <w:t xml:space="preserve"> </w:t>
      </w:r>
      <w:r w:rsidRPr="00240E4E">
        <w:rPr>
          <w:rFonts w:eastAsia="Times New Roman" w:cs="Times New Roman"/>
          <w:szCs w:val="20"/>
          <w:lang w:val="en-GB" w:eastAsia="en-GB"/>
        </w:rPr>
        <w:t xml:space="preserve">in order to be registered or issued an annual </w:t>
      </w:r>
      <w:r>
        <w:rPr>
          <w:rFonts w:eastAsia="Times New Roman" w:cs="Times New Roman"/>
          <w:szCs w:val="20"/>
          <w:lang w:val="en-GB" w:eastAsia="en-GB"/>
        </w:rPr>
        <w:t xml:space="preserve">practising </w:t>
      </w:r>
      <w:r w:rsidRPr="00240E4E">
        <w:rPr>
          <w:rFonts w:eastAsia="Times New Roman" w:cs="Times New Roman"/>
          <w:szCs w:val="20"/>
          <w:lang w:val="en-GB" w:eastAsia="en-GB"/>
        </w:rPr>
        <w:t xml:space="preserve">certificate.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Specified competences include an ability to work with different ethnic </w:t>
      </w:r>
      <w:r>
        <w:rPr>
          <w:rFonts w:eastAsia="Times New Roman" w:cs="Times New Roman"/>
          <w:szCs w:val="20"/>
          <w:lang w:val="en-GB" w:eastAsia="en-GB"/>
        </w:rPr>
        <w:t xml:space="preserve">and cultural </w:t>
      </w:r>
      <w:r w:rsidRPr="00240E4E">
        <w:rPr>
          <w:rFonts w:eastAsia="Times New Roman" w:cs="Times New Roman"/>
          <w:szCs w:val="20"/>
          <w:lang w:val="en-GB" w:eastAsia="en-GB"/>
        </w:rPr>
        <w:t xml:space="preserve">groups in New Zealand, and </w:t>
      </w:r>
      <w:r>
        <w:rPr>
          <w:rFonts w:eastAsia="Times New Roman" w:cs="Times New Roman"/>
          <w:szCs w:val="20"/>
          <w:lang w:val="en-GB" w:eastAsia="en-GB"/>
        </w:rPr>
        <w:t xml:space="preserve">with </w:t>
      </w:r>
      <w:r w:rsidRPr="00240E4E">
        <w:rPr>
          <w:rFonts w:eastAsia="Times New Roman" w:cs="Times New Roman"/>
          <w:szCs w:val="20"/>
          <w:lang w:val="en-GB" w:eastAsia="en-GB"/>
        </w:rPr>
        <w:t xml:space="preserve">Māori. </w:t>
      </w:r>
      <w:r>
        <w:rPr>
          <w:rFonts w:eastAsia="Times New Roman" w:cs="Times New Roman"/>
          <w:szCs w:val="20"/>
          <w:lang w:val="en-GB" w:eastAsia="en-GB"/>
        </w:rPr>
        <w:t xml:space="preserve"> </w:t>
      </w:r>
      <w:r w:rsidRPr="005B68AC">
        <w:rPr>
          <w:rFonts w:eastAsia="Times New Roman" w:cs="Times New Roman"/>
          <w:szCs w:val="20"/>
          <w:lang w:val="en-GB" w:eastAsia="en-GB"/>
        </w:rPr>
        <w:t>In the case of applicants with overseas qualifications the Boa</w:t>
      </w:r>
      <w:r>
        <w:rPr>
          <w:rFonts w:eastAsia="Times New Roman" w:cs="Times New Roman"/>
          <w:szCs w:val="20"/>
          <w:lang w:val="en-GB" w:eastAsia="en-GB"/>
        </w:rPr>
        <w:t xml:space="preserve">rd must also be satisfied that </w:t>
      </w:r>
      <w:r w:rsidRPr="005B68AC">
        <w:rPr>
          <w:rFonts w:eastAsia="Times New Roman" w:cs="Times New Roman"/>
          <w:szCs w:val="20"/>
          <w:lang w:val="en-GB" w:eastAsia="en-GB"/>
        </w:rPr>
        <w:t xml:space="preserve">the applicant </w:t>
      </w:r>
      <w:r>
        <w:rPr>
          <w:rFonts w:eastAsia="Times New Roman" w:cs="Times New Roman"/>
          <w:szCs w:val="20"/>
          <w:lang w:val="en-GB" w:eastAsia="en-GB"/>
        </w:rPr>
        <w:t>“</w:t>
      </w:r>
      <w:r w:rsidRPr="005B68AC">
        <w:rPr>
          <w:rFonts w:eastAsia="Times New Roman" w:cs="Times New Roman"/>
          <w:szCs w:val="20"/>
          <w:lang w:val="en-GB" w:eastAsia="en-GB"/>
        </w:rPr>
        <w:t>can speak and write English reasonably effectively, and understand spoken and written English reasonably</w:t>
      </w:r>
      <w:r>
        <w:rPr>
          <w:rFonts w:eastAsia="Times New Roman" w:cs="Times New Roman"/>
          <w:szCs w:val="20"/>
          <w:lang w:val="en-GB" w:eastAsia="en-GB"/>
        </w:rPr>
        <w:t xml:space="preserve"> well.”</w:t>
      </w:r>
    </w:p>
    <w:p w:rsidR="00A00008" w:rsidRPr="00E06D97"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The content of competence assessments is determined by the </w:t>
      </w:r>
      <w:r w:rsidR="007C4074">
        <w:rPr>
          <w:rFonts w:eastAsia="Times New Roman" w:cs="Times New Roman"/>
          <w:szCs w:val="20"/>
          <w:lang w:val="en-GB" w:eastAsia="en-GB"/>
        </w:rPr>
        <w:t>Board</w:t>
      </w:r>
      <w:r>
        <w:rPr>
          <w:rFonts w:eastAsia="Times New Roman" w:cs="Times New Roman"/>
          <w:szCs w:val="20"/>
          <w:lang w:val="en-GB" w:eastAsia="en-GB"/>
        </w:rPr>
        <w:t xml:space="preserve">.  It has discretion to accept assessments from other providers </w:t>
      </w:r>
      <w:r w:rsidRPr="00657865">
        <w:rPr>
          <w:rFonts w:eastAsia="Times New Roman" w:cs="Times New Roman"/>
          <w:szCs w:val="20"/>
          <w:lang w:val="en-GB" w:eastAsia="en-GB"/>
        </w:rPr>
        <w:t xml:space="preserve">as part of competence recertification programmes, </w:t>
      </w:r>
      <w:r>
        <w:rPr>
          <w:rFonts w:eastAsia="Times New Roman" w:cs="Times New Roman"/>
          <w:szCs w:val="20"/>
          <w:lang w:val="en-GB" w:eastAsia="en-GB"/>
        </w:rPr>
        <w:t xml:space="preserve">and has done so for competence assessments offered by the </w:t>
      </w:r>
      <w:proofErr w:type="spellStart"/>
      <w:r w:rsidR="001913C7" w:rsidRPr="00177E1D">
        <w:t>Aotearoa</w:t>
      </w:r>
      <w:proofErr w:type="spellEnd"/>
      <w:r w:rsidR="001913C7" w:rsidRPr="00177E1D">
        <w:t xml:space="preserve"> New Zealand</w:t>
      </w:r>
      <w:r w:rsidR="001913C7">
        <w:t xml:space="preserve"> Association of Social Workers</w:t>
      </w:r>
      <w:r>
        <w:rPr>
          <w:rFonts w:eastAsia="Times New Roman" w:cs="Times New Roman"/>
          <w:szCs w:val="20"/>
          <w:lang w:val="en-GB" w:eastAsia="en-GB"/>
        </w:rPr>
        <w:t xml:space="preserve">.  Currently there are ten Core Competence Standards that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uses for the purposes of assessing </w:t>
      </w:r>
      <w:r>
        <w:rPr>
          <w:rFonts w:eastAsia="Times New Roman" w:cs="Times New Roman"/>
          <w:szCs w:val="20"/>
          <w:lang w:val="en-GB" w:eastAsia="en-GB"/>
        </w:rPr>
        <w:lastRenderedPageBreak/>
        <w:t xml:space="preserve">competence.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has been working with</w:t>
      </w:r>
      <w:r w:rsidR="001913C7">
        <w:rPr>
          <w:rFonts w:eastAsia="Times New Roman" w:cs="Times New Roman"/>
          <w:szCs w:val="20"/>
          <w:lang w:val="en-GB" w:eastAsia="en-GB"/>
        </w:rPr>
        <w:t xml:space="preserve"> the </w:t>
      </w:r>
      <w:r w:rsidR="001913C7" w:rsidRPr="007A6992">
        <w:rPr>
          <w:rFonts w:eastAsia="Times New Roman"/>
          <w:szCs w:val="20"/>
          <w:lang w:val="en-GB" w:eastAsia="en-GB"/>
        </w:rPr>
        <w:t xml:space="preserve">Ministry for Vulnerable Children, </w:t>
      </w:r>
      <w:proofErr w:type="spellStart"/>
      <w:r w:rsidR="001913C7" w:rsidRPr="007A6992">
        <w:rPr>
          <w:rFonts w:eastAsia="Times New Roman"/>
          <w:szCs w:val="20"/>
          <w:lang w:val="en-GB" w:eastAsia="en-GB"/>
        </w:rPr>
        <w:t>Oranga</w:t>
      </w:r>
      <w:proofErr w:type="spellEnd"/>
      <w:r w:rsidR="001913C7" w:rsidRPr="007A6992">
        <w:rPr>
          <w:rFonts w:eastAsia="Times New Roman"/>
          <w:szCs w:val="20"/>
          <w:lang w:val="en-GB" w:eastAsia="en-GB"/>
        </w:rPr>
        <w:t xml:space="preserve"> </w:t>
      </w:r>
      <w:proofErr w:type="spellStart"/>
      <w:r w:rsidR="001913C7" w:rsidRPr="007A6992">
        <w:rPr>
          <w:rFonts w:eastAsia="Times New Roman"/>
          <w:szCs w:val="20"/>
          <w:lang w:val="en-GB" w:eastAsia="en-GB"/>
        </w:rPr>
        <w:t>Tamariki</w:t>
      </w:r>
      <w:proofErr w:type="spellEnd"/>
      <w:r>
        <w:rPr>
          <w:rFonts w:eastAsia="Times New Roman" w:cs="Times New Roman"/>
          <w:szCs w:val="20"/>
          <w:lang w:val="en-GB" w:eastAsia="en-GB"/>
        </w:rPr>
        <w:t xml:space="preserve"> </w:t>
      </w:r>
      <w:r w:rsidR="00EA6778">
        <w:rPr>
          <w:rFonts w:eastAsia="Times New Roman" w:cs="Times New Roman"/>
          <w:szCs w:val="20"/>
          <w:lang w:val="en-GB" w:eastAsia="en-GB"/>
        </w:rPr>
        <w:t>to</w:t>
      </w:r>
      <w:r>
        <w:rPr>
          <w:rFonts w:eastAsia="Times New Roman" w:cs="Times New Roman"/>
          <w:szCs w:val="20"/>
          <w:lang w:val="en-GB" w:eastAsia="en-GB"/>
        </w:rPr>
        <w:t xml:space="preserve"> incorporat</w:t>
      </w:r>
      <w:r w:rsidR="00EA6778">
        <w:rPr>
          <w:rFonts w:eastAsia="Times New Roman" w:cs="Times New Roman"/>
          <w:szCs w:val="20"/>
          <w:lang w:val="en-GB" w:eastAsia="en-GB"/>
        </w:rPr>
        <w:t>e</w:t>
      </w:r>
      <w:r>
        <w:rPr>
          <w:rFonts w:eastAsia="Times New Roman" w:cs="Times New Roman"/>
          <w:szCs w:val="20"/>
          <w:lang w:val="en-GB" w:eastAsia="en-GB"/>
        </w:rPr>
        <w:t xml:space="preserve"> </w:t>
      </w:r>
      <w:r w:rsidR="00EA6778">
        <w:rPr>
          <w:rFonts w:eastAsia="Times New Roman" w:cs="Times New Roman"/>
          <w:szCs w:val="20"/>
          <w:lang w:val="en-GB" w:eastAsia="en-GB"/>
        </w:rPr>
        <w:t>its</w:t>
      </w:r>
      <w:r>
        <w:rPr>
          <w:rFonts w:eastAsia="Times New Roman" w:cs="Times New Roman"/>
          <w:szCs w:val="20"/>
          <w:lang w:val="en-GB" w:eastAsia="en-GB"/>
        </w:rPr>
        <w:t xml:space="preserve"> shared core competency framework into the</w:t>
      </w:r>
      <w:r w:rsidR="007C4074">
        <w:rPr>
          <w:rFonts w:eastAsia="Times New Roman" w:cs="Times New Roman"/>
          <w:szCs w:val="20"/>
          <w:lang w:val="en-GB" w:eastAsia="en-GB"/>
        </w:rPr>
        <w:t xml:space="preserve"> Board</w:t>
      </w:r>
      <w:r>
        <w:rPr>
          <w:rFonts w:eastAsia="Times New Roman" w:cs="Times New Roman"/>
          <w:szCs w:val="20"/>
          <w:lang w:val="en-GB" w:eastAsia="en-GB"/>
        </w:rPr>
        <w:t>’s core competencies.</w:t>
      </w:r>
      <w:r w:rsidR="00E93189">
        <w:rPr>
          <w:rFonts w:eastAsia="Times New Roman" w:cs="Times New Roman"/>
          <w:szCs w:val="20"/>
          <w:lang w:val="en-GB" w:eastAsia="en-GB"/>
        </w:rPr>
        <w:t xml:space="preserve"> </w:t>
      </w:r>
      <w:r w:rsidR="00EA6778">
        <w:rPr>
          <w:rFonts w:eastAsia="Times New Roman" w:cs="Times New Roman"/>
          <w:szCs w:val="20"/>
          <w:lang w:val="en-GB" w:eastAsia="en-GB"/>
        </w:rPr>
        <w:t xml:space="preserve"> </w:t>
      </w:r>
      <w:r>
        <w:rPr>
          <w:rFonts w:eastAsia="Times New Roman" w:cs="Times New Roman"/>
          <w:szCs w:val="20"/>
          <w:lang w:val="en-GB" w:eastAsia="en-GB"/>
        </w:rPr>
        <w:t xml:space="preserve">Once completed,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will </w:t>
      </w:r>
      <w:r w:rsidR="00EA6778">
        <w:rPr>
          <w:rFonts w:eastAsia="Times New Roman" w:cs="Times New Roman"/>
          <w:szCs w:val="20"/>
          <w:lang w:val="en-GB" w:eastAsia="en-GB"/>
        </w:rPr>
        <w:t xml:space="preserve">also </w:t>
      </w:r>
      <w:r>
        <w:rPr>
          <w:rFonts w:eastAsia="Times New Roman" w:cs="Times New Roman"/>
          <w:szCs w:val="20"/>
          <w:lang w:val="en-GB" w:eastAsia="en-GB"/>
        </w:rPr>
        <w:t xml:space="preserve">work with the Ministry of Justice on </w:t>
      </w:r>
      <w:r w:rsidRPr="00E06D97">
        <w:rPr>
          <w:rFonts w:eastAsia="Times New Roman" w:cs="Times New Roman"/>
          <w:szCs w:val="20"/>
          <w:lang w:val="en-GB" w:eastAsia="en-GB"/>
        </w:rPr>
        <w:t>the addition of new competencies in relation to family and sexual violence</w:t>
      </w:r>
      <w:r>
        <w:rPr>
          <w:rFonts w:eastAsia="Times New Roman" w:cs="Times New Roman"/>
          <w:szCs w:val="20"/>
          <w:lang w:val="en-GB" w:eastAsia="en-GB"/>
        </w:rPr>
        <w:t>.</w:t>
      </w:r>
      <w:r w:rsidR="00E93189">
        <w:rPr>
          <w:rFonts w:eastAsia="Times New Roman" w:cs="Times New Roman"/>
          <w:szCs w:val="20"/>
          <w:lang w:val="en-GB" w:eastAsia="en-GB"/>
        </w:rPr>
        <w:t xml:space="preserve"> </w:t>
      </w:r>
      <w:r w:rsidRPr="00E06D97">
        <w:rPr>
          <w:rFonts w:eastAsia="Times New Roman" w:cs="Times New Roman"/>
          <w:szCs w:val="20"/>
          <w:lang w:val="en-GB" w:eastAsia="en-GB"/>
        </w:rPr>
        <w:t xml:space="preserve"> Māori principles of </w:t>
      </w:r>
      <w:proofErr w:type="spellStart"/>
      <w:r w:rsidRPr="00E06D97">
        <w:rPr>
          <w:rFonts w:eastAsia="Times New Roman" w:cs="Times New Roman"/>
          <w:szCs w:val="20"/>
          <w:lang w:val="en-GB" w:eastAsia="en-GB"/>
        </w:rPr>
        <w:t>kaitiakitanga</w:t>
      </w:r>
      <w:proofErr w:type="spellEnd"/>
      <w:r w:rsidRPr="00E06D97">
        <w:rPr>
          <w:rFonts w:eastAsia="Times New Roman" w:cs="Times New Roman"/>
          <w:szCs w:val="20"/>
          <w:lang w:val="en-GB" w:eastAsia="en-GB"/>
        </w:rPr>
        <w:t xml:space="preserve"> can contribute to the assessment of competency</w:t>
      </w:r>
      <w:r>
        <w:rPr>
          <w:rFonts w:eastAsia="Times New Roman" w:cs="Times New Roman"/>
          <w:szCs w:val="20"/>
          <w:lang w:val="en-GB" w:eastAsia="en-GB"/>
        </w:rPr>
        <w:t xml:space="preserve">, and have already been included in </w:t>
      </w:r>
      <w:r w:rsidR="007C4074">
        <w:rPr>
          <w:rFonts w:eastAsia="Times New Roman" w:cs="Times New Roman"/>
          <w:szCs w:val="20"/>
          <w:lang w:val="en-GB" w:eastAsia="en-GB"/>
        </w:rPr>
        <w:t>Board</w:t>
      </w:r>
      <w:r w:rsidR="00E93189">
        <w:rPr>
          <w:rFonts w:eastAsia="Times New Roman" w:cs="Times New Roman"/>
          <w:szCs w:val="20"/>
          <w:lang w:val="en-GB" w:eastAsia="en-GB"/>
        </w:rPr>
        <w:t>’</w:t>
      </w:r>
      <w:r w:rsidR="007C4074">
        <w:rPr>
          <w:rFonts w:eastAsia="Times New Roman" w:cs="Times New Roman"/>
          <w:szCs w:val="20"/>
          <w:lang w:val="en-GB" w:eastAsia="en-GB"/>
        </w:rPr>
        <w:t>s</w:t>
      </w:r>
      <w:r w:rsidR="00E93189">
        <w:rPr>
          <w:rFonts w:eastAsia="Times New Roman" w:cs="Times New Roman"/>
          <w:szCs w:val="20"/>
          <w:lang w:val="en-GB" w:eastAsia="en-GB"/>
        </w:rPr>
        <w:t xml:space="preserve"> </w:t>
      </w:r>
      <w:r>
        <w:rPr>
          <w:rFonts w:eastAsia="Times New Roman" w:cs="Times New Roman"/>
          <w:szCs w:val="20"/>
          <w:lang w:val="en-GB" w:eastAsia="en-GB"/>
        </w:rPr>
        <w:t>core competencies</w:t>
      </w:r>
      <w:r w:rsidRPr="00E06D97">
        <w:rPr>
          <w:rFonts w:eastAsia="Times New Roman" w:cs="Times New Roman"/>
          <w:szCs w:val="20"/>
          <w:lang w:val="en-GB" w:eastAsia="en-GB"/>
        </w:rPr>
        <w:t>.</w:t>
      </w:r>
    </w:p>
    <w:p w:rsidR="00A00008" w:rsidRPr="00240E4E" w:rsidRDefault="00CC7880"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 SWR Act</w:t>
      </w:r>
      <w:r w:rsidR="00A00008">
        <w:rPr>
          <w:rFonts w:eastAsia="Times New Roman" w:cs="Times New Roman"/>
          <w:szCs w:val="20"/>
          <w:lang w:val="en-GB" w:eastAsia="en-GB"/>
        </w:rPr>
        <w:t xml:space="preserve"> requires c</w:t>
      </w:r>
      <w:r w:rsidR="00A00008" w:rsidRPr="00240E4E">
        <w:rPr>
          <w:rFonts w:eastAsia="Times New Roman" w:cs="Times New Roman"/>
          <w:szCs w:val="20"/>
          <w:lang w:val="en-GB" w:eastAsia="en-GB"/>
        </w:rPr>
        <w:t xml:space="preserve">ompetence </w:t>
      </w:r>
      <w:r w:rsidR="00A00008">
        <w:rPr>
          <w:rFonts w:eastAsia="Times New Roman" w:cs="Times New Roman"/>
          <w:szCs w:val="20"/>
          <w:lang w:val="en-GB" w:eastAsia="en-GB"/>
        </w:rPr>
        <w:t xml:space="preserve">to be </w:t>
      </w:r>
      <w:r w:rsidR="00A00008" w:rsidRPr="00240E4E">
        <w:rPr>
          <w:rFonts w:eastAsia="Times New Roman" w:cs="Times New Roman"/>
          <w:szCs w:val="20"/>
          <w:lang w:val="en-GB" w:eastAsia="en-GB"/>
        </w:rPr>
        <w:t>assessed at registration (unless an applicant has graduated a social work degree within the past two years</w:t>
      </w:r>
      <w:r w:rsidR="00A00008">
        <w:rPr>
          <w:rFonts w:eastAsia="Times New Roman" w:cs="Times New Roman"/>
          <w:szCs w:val="20"/>
          <w:lang w:val="en-GB" w:eastAsia="en-GB"/>
        </w:rPr>
        <w:t>,</w:t>
      </w:r>
      <w:r w:rsidR="00A00008" w:rsidRPr="00240E4E">
        <w:rPr>
          <w:rFonts w:eastAsia="Times New Roman" w:cs="Times New Roman"/>
          <w:szCs w:val="20"/>
          <w:lang w:val="en-GB" w:eastAsia="en-GB"/>
        </w:rPr>
        <w:t xml:space="preserve"> in which case at the end of that period), and every five years. </w:t>
      </w:r>
      <w:r w:rsidR="00A00008">
        <w:rPr>
          <w:rFonts w:eastAsia="Times New Roman" w:cs="Times New Roman"/>
          <w:szCs w:val="20"/>
          <w:lang w:val="en-GB" w:eastAsia="en-GB"/>
        </w:rPr>
        <w:t xml:space="preserve"> </w:t>
      </w:r>
      <w:r w:rsidR="00A00008" w:rsidRPr="00240E4E">
        <w:rPr>
          <w:rFonts w:eastAsia="Times New Roman" w:cs="Times New Roman"/>
          <w:szCs w:val="20"/>
          <w:lang w:val="en-GB" w:eastAsia="en-GB"/>
        </w:rPr>
        <w:t xml:space="preserve">It is a general condition of annual practising certificates that social workers also complete </w:t>
      </w:r>
      <w:r w:rsidR="00A00008">
        <w:rPr>
          <w:rFonts w:eastAsia="Times New Roman" w:cs="Times New Roman"/>
          <w:szCs w:val="20"/>
          <w:lang w:val="en-GB" w:eastAsia="en-GB"/>
        </w:rPr>
        <w:t xml:space="preserve">20 hours of </w:t>
      </w:r>
      <w:r w:rsidR="00A00008" w:rsidRPr="00240E4E">
        <w:rPr>
          <w:rFonts w:eastAsia="Times New Roman" w:cs="Times New Roman"/>
          <w:szCs w:val="20"/>
          <w:lang w:val="en-GB" w:eastAsia="en-GB"/>
        </w:rPr>
        <w:t>continuing professional development</w:t>
      </w:r>
      <w:r w:rsidR="00A00008">
        <w:rPr>
          <w:rFonts w:eastAsia="Times New Roman" w:cs="Times New Roman"/>
          <w:szCs w:val="20"/>
          <w:lang w:val="en-GB" w:eastAsia="en-GB"/>
        </w:rPr>
        <w:t xml:space="preserve"> per year</w:t>
      </w:r>
      <w:r w:rsidR="00A00008" w:rsidRPr="00240E4E">
        <w:rPr>
          <w:rFonts w:eastAsia="Times New Roman" w:cs="Times New Roman"/>
          <w:szCs w:val="20"/>
          <w:lang w:val="en-GB" w:eastAsia="en-GB"/>
        </w:rPr>
        <w:t xml:space="preserve">. </w:t>
      </w:r>
      <w:r w:rsidR="00A00008">
        <w:rPr>
          <w:rFonts w:eastAsia="Times New Roman" w:cs="Times New Roman"/>
          <w:szCs w:val="20"/>
          <w:lang w:val="en-GB" w:eastAsia="en-GB"/>
        </w:rPr>
        <w:t xml:space="preserve"> </w:t>
      </w:r>
      <w:r w:rsidR="00A00008" w:rsidRPr="00240E4E">
        <w:rPr>
          <w:rFonts w:eastAsia="Times New Roman" w:cs="Times New Roman"/>
          <w:szCs w:val="20"/>
          <w:lang w:val="en-GB" w:eastAsia="en-GB"/>
        </w:rPr>
        <w:t>The Board is also entitled to review competence at any time on its own initiative.</w:t>
      </w:r>
    </w:p>
    <w:p w:rsidR="00A00008" w:rsidRPr="00240E4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240E4E">
        <w:rPr>
          <w:rFonts w:eastAsia="Times New Roman" w:cs="Times New Roman"/>
          <w:szCs w:val="20"/>
          <w:lang w:val="en-GB" w:eastAsia="en-GB"/>
        </w:rPr>
        <w:t xml:space="preserve">he </w:t>
      </w:r>
      <w:r w:rsidR="0020415B">
        <w:rPr>
          <w:rFonts w:eastAsia="Times New Roman" w:cs="Times New Roman"/>
          <w:szCs w:val="20"/>
          <w:lang w:val="en-GB" w:eastAsia="en-GB"/>
        </w:rPr>
        <w:t>current statutory</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process of recertification is </w:t>
      </w:r>
      <w:r>
        <w:rPr>
          <w:rFonts w:eastAsia="Times New Roman" w:cs="Times New Roman"/>
          <w:szCs w:val="20"/>
          <w:lang w:val="en-GB" w:eastAsia="en-GB"/>
        </w:rPr>
        <w:t>expensive</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for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and practitioners </w:t>
      </w:r>
      <w:r w:rsidRPr="00240E4E">
        <w:rPr>
          <w:rFonts w:eastAsia="Times New Roman" w:cs="Times New Roman"/>
          <w:szCs w:val="20"/>
          <w:lang w:val="en-GB" w:eastAsia="en-GB"/>
        </w:rPr>
        <w:t xml:space="preserve">and more </w:t>
      </w:r>
      <w:r>
        <w:rPr>
          <w:rFonts w:eastAsia="Times New Roman" w:cs="Times New Roman"/>
          <w:szCs w:val="20"/>
          <w:lang w:val="en-GB" w:eastAsia="en-GB"/>
        </w:rPr>
        <w:t>burdensome than compara</w:t>
      </w:r>
      <w:r w:rsidR="00E93189">
        <w:rPr>
          <w:rFonts w:eastAsia="Times New Roman" w:cs="Times New Roman"/>
          <w:szCs w:val="20"/>
          <w:lang w:val="en-GB" w:eastAsia="en-GB"/>
        </w:rPr>
        <w:t>ble</w:t>
      </w:r>
      <w:r>
        <w:rPr>
          <w:rFonts w:eastAsia="Times New Roman" w:cs="Times New Roman"/>
          <w:szCs w:val="20"/>
          <w:lang w:val="en-GB" w:eastAsia="en-GB"/>
        </w:rPr>
        <w:t xml:space="preserve"> professions.  It is also not necessarily timely – five years </w:t>
      </w:r>
      <w:r w:rsidR="00E93189">
        <w:rPr>
          <w:rFonts w:eastAsia="Times New Roman" w:cs="Times New Roman"/>
          <w:szCs w:val="20"/>
          <w:lang w:val="en-GB" w:eastAsia="en-GB"/>
        </w:rPr>
        <w:t xml:space="preserve">between assessments </w:t>
      </w:r>
      <w:r>
        <w:rPr>
          <w:rFonts w:eastAsia="Times New Roman" w:cs="Times New Roman"/>
          <w:szCs w:val="20"/>
          <w:lang w:val="en-GB" w:eastAsia="en-GB"/>
        </w:rPr>
        <w:t>is a long period.</w:t>
      </w:r>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Streamlining </w:t>
      </w:r>
      <w:r>
        <w:rPr>
          <w:rFonts w:eastAsia="Times New Roman" w:cs="Times New Roman"/>
          <w:i/>
          <w:szCs w:val="20"/>
          <w:lang w:val="en-GB" w:eastAsia="en-GB"/>
        </w:rPr>
        <w:t>c</w:t>
      </w:r>
      <w:r w:rsidRPr="00D540DE">
        <w:rPr>
          <w:rFonts w:eastAsia="Times New Roman" w:cs="Times New Roman"/>
          <w:i/>
          <w:szCs w:val="20"/>
          <w:lang w:val="en-GB" w:eastAsia="en-GB"/>
        </w:rPr>
        <w:t xml:space="preserve">ompetence </w:t>
      </w:r>
      <w:r>
        <w:rPr>
          <w:rFonts w:eastAsia="Times New Roman" w:cs="Times New Roman"/>
          <w:i/>
          <w:szCs w:val="20"/>
          <w:lang w:val="en-GB" w:eastAsia="en-GB"/>
        </w:rPr>
        <w:t>a</w:t>
      </w:r>
      <w:r w:rsidRPr="00D540DE">
        <w:rPr>
          <w:rFonts w:eastAsia="Times New Roman" w:cs="Times New Roman"/>
          <w:i/>
          <w:szCs w:val="20"/>
          <w:lang w:val="en-GB" w:eastAsia="en-GB"/>
        </w:rPr>
        <w:t>ssessments</w:t>
      </w:r>
    </w:p>
    <w:p w:rsidR="00A00008" w:rsidRPr="00240E4E"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Officials have considered the recommendations made by the </w:t>
      </w:r>
      <w:r w:rsidR="00101F12">
        <w:rPr>
          <w:rFonts w:eastAsia="Times New Roman" w:cs="Times New Roman"/>
          <w:szCs w:val="20"/>
          <w:lang w:val="en-GB" w:eastAsia="en-GB"/>
        </w:rPr>
        <w:t>Select</w:t>
      </w:r>
      <w:r w:rsidRPr="00240E4E">
        <w:rPr>
          <w:rFonts w:eastAsia="Times New Roman" w:cs="Times New Roman"/>
          <w:szCs w:val="20"/>
          <w:lang w:val="en-GB" w:eastAsia="en-GB"/>
        </w:rPr>
        <w:t xml:space="preserve"> Committee and concluded that the costs imposed by the </w:t>
      </w:r>
      <w:r>
        <w:rPr>
          <w:rFonts w:eastAsia="Times New Roman" w:cs="Times New Roman"/>
          <w:szCs w:val="20"/>
          <w:lang w:val="en-GB" w:eastAsia="en-GB"/>
        </w:rPr>
        <w:t>five</w:t>
      </w:r>
      <w:r w:rsidRPr="00240E4E">
        <w:rPr>
          <w:rFonts w:eastAsia="Times New Roman" w:cs="Times New Roman"/>
          <w:szCs w:val="20"/>
          <w:lang w:val="en-GB" w:eastAsia="en-GB"/>
        </w:rPr>
        <w:t xml:space="preserve">-year recertification process are </w:t>
      </w:r>
      <w:r>
        <w:rPr>
          <w:rFonts w:eastAsia="Times New Roman" w:cs="Times New Roman"/>
          <w:szCs w:val="20"/>
          <w:lang w:val="en-GB" w:eastAsia="en-GB"/>
        </w:rPr>
        <w:t>not cost-effective</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Although incompetent social work can pose appreciable risk of serious harm to clients, it would be more efficient to streamline competence assurance processes by assuming competence of practitioner</w:t>
      </w:r>
      <w:r>
        <w:rPr>
          <w:rFonts w:eastAsia="Times New Roman" w:cs="Times New Roman"/>
          <w:szCs w:val="20"/>
          <w:lang w:val="en-GB" w:eastAsia="en-GB"/>
        </w:rPr>
        <w:t>s u</w:t>
      </w:r>
      <w:r w:rsidR="0020415B">
        <w:rPr>
          <w:rFonts w:eastAsia="Times New Roman" w:cs="Times New Roman"/>
          <w:szCs w:val="20"/>
          <w:lang w:val="en-GB" w:eastAsia="en-GB"/>
        </w:rPr>
        <w:t>ntil the contrary is alleged.  It is intended that t</w:t>
      </w:r>
      <w:r>
        <w:rPr>
          <w:rFonts w:eastAsia="Times New Roman" w:cs="Times New Roman"/>
          <w:szCs w:val="20"/>
          <w:lang w:val="en-GB" w:eastAsia="en-GB"/>
        </w:rPr>
        <w:t xml:space="preserve">his would be backed up by a system of continuing professional development enforced by periodic audits of </w:t>
      </w:r>
      <w:r w:rsidR="0020415B">
        <w:rPr>
          <w:rFonts w:eastAsia="Times New Roman" w:cs="Times New Roman"/>
          <w:szCs w:val="20"/>
          <w:lang w:val="en-GB" w:eastAsia="en-GB"/>
        </w:rPr>
        <w:t xml:space="preserve">training </w:t>
      </w:r>
      <w:r>
        <w:rPr>
          <w:rFonts w:eastAsia="Times New Roman" w:cs="Times New Roman"/>
          <w:szCs w:val="20"/>
          <w:lang w:val="en-GB" w:eastAsia="en-GB"/>
        </w:rPr>
        <w:t>logs.</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This will </w:t>
      </w:r>
      <w:r>
        <w:rPr>
          <w:rFonts w:eastAsia="Times New Roman" w:cs="Times New Roman"/>
          <w:szCs w:val="20"/>
          <w:lang w:val="en-GB" w:eastAsia="en-GB"/>
        </w:rPr>
        <w:t>provide more responsive and timely</w:t>
      </w:r>
      <w:r w:rsidRPr="00240E4E">
        <w:rPr>
          <w:rFonts w:eastAsia="Times New Roman" w:cs="Times New Roman"/>
          <w:szCs w:val="20"/>
          <w:lang w:val="en-GB" w:eastAsia="en-GB"/>
        </w:rPr>
        <w:t xml:space="preserve"> oversight of social workers.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 xml:space="preserve">Officials recommend the requirements to recertify social workers every five years and to assess </w:t>
      </w:r>
      <w:r w:rsidR="0020415B">
        <w:rPr>
          <w:rFonts w:eastAsia="Times New Roman" w:cs="Times New Roman"/>
          <w:szCs w:val="20"/>
          <w:lang w:val="en-GB" w:eastAsia="en-GB"/>
        </w:rPr>
        <w:t xml:space="preserve">initial </w:t>
      </w:r>
      <w:r w:rsidRPr="00240E4E">
        <w:rPr>
          <w:rFonts w:eastAsia="Times New Roman" w:cs="Times New Roman"/>
          <w:szCs w:val="20"/>
          <w:lang w:val="en-GB" w:eastAsia="en-GB"/>
        </w:rPr>
        <w:t xml:space="preserve">competency of New Zealand-educated social work graduates </w:t>
      </w:r>
      <w:r w:rsidR="002736FC">
        <w:rPr>
          <w:rFonts w:eastAsia="Times New Roman" w:cs="Times New Roman"/>
          <w:szCs w:val="20"/>
          <w:lang w:val="en-GB" w:eastAsia="en-GB"/>
        </w:rPr>
        <w:t>be</w:t>
      </w:r>
      <w:r w:rsidR="002736FC" w:rsidRPr="00240E4E">
        <w:rPr>
          <w:rFonts w:eastAsia="Times New Roman" w:cs="Times New Roman"/>
          <w:szCs w:val="20"/>
          <w:lang w:val="en-GB" w:eastAsia="en-GB"/>
        </w:rPr>
        <w:t xml:space="preserve"> </w:t>
      </w:r>
      <w:r w:rsidRPr="00240E4E">
        <w:rPr>
          <w:rFonts w:eastAsia="Times New Roman" w:cs="Times New Roman"/>
          <w:szCs w:val="20"/>
          <w:lang w:val="en-GB" w:eastAsia="en-GB"/>
        </w:rPr>
        <w:t>removed</w:t>
      </w:r>
      <w:r>
        <w:rPr>
          <w:rFonts w:eastAsia="Times New Roman" w:cs="Times New Roman"/>
          <w:szCs w:val="20"/>
          <w:lang w:val="en-GB" w:eastAsia="en-GB"/>
        </w:rPr>
        <w:t xml:space="preserve">.  </w:t>
      </w:r>
      <w:r w:rsidRPr="00027F1E">
        <w:rPr>
          <w:rFonts w:eastAsia="Times New Roman" w:cs="Times New Roman"/>
          <w:szCs w:val="20"/>
          <w:lang w:val="en-GB" w:eastAsia="en-GB"/>
        </w:rPr>
        <w:t>For each pathway to registration the Board conducts quality assurance of qualifications or</w:t>
      </w:r>
      <w:r>
        <w:rPr>
          <w:rFonts w:eastAsia="Times New Roman" w:cs="Times New Roman"/>
          <w:szCs w:val="20"/>
          <w:lang w:val="en-GB" w:eastAsia="en-GB"/>
        </w:rPr>
        <w:t>, if under section 13,</w:t>
      </w:r>
      <w:r w:rsidRPr="00027F1E">
        <w:rPr>
          <w:rFonts w:eastAsia="Times New Roman" w:cs="Times New Roman"/>
          <w:szCs w:val="20"/>
          <w:lang w:val="en-GB" w:eastAsia="en-GB"/>
        </w:rPr>
        <w:t xml:space="preserve"> on-the-job experience. </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To also require competence assessments of new graduates from these programmes is effectively assessing their competence twice. </w:t>
      </w:r>
      <w:r>
        <w:rPr>
          <w:rFonts w:eastAsia="Times New Roman" w:cs="Times New Roman"/>
          <w:szCs w:val="20"/>
          <w:lang w:val="en-GB" w:eastAsia="en-GB"/>
        </w:rPr>
        <w:t xml:space="preserve"> </w:t>
      </w:r>
      <w:r w:rsidRPr="00027F1E">
        <w:rPr>
          <w:rFonts w:eastAsia="Times New Roman" w:cs="Times New Roman"/>
          <w:szCs w:val="20"/>
          <w:lang w:val="en-GB" w:eastAsia="en-GB"/>
        </w:rPr>
        <w:t>This is inefficient.</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 The Board already has the power to withdraw recognition </w:t>
      </w:r>
      <w:r>
        <w:rPr>
          <w:rFonts w:eastAsia="Times New Roman" w:cs="Times New Roman"/>
          <w:szCs w:val="20"/>
          <w:lang w:val="en-GB" w:eastAsia="en-GB"/>
        </w:rPr>
        <w:t>of</w:t>
      </w:r>
      <w:r w:rsidRPr="00027F1E">
        <w:rPr>
          <w:rFonts w:eastAsia="Times New Roman" w:cs="Times New Roman"/>
          <w:szCs w:val="20"/>
          <w:lang w:val="en-GB" w:eastAsia="en-GB"/>
        </w:rPr>
        <w:t xml:space="preserve"> academic programs that produce graduates who consistently do not meet competence expectations. </w:t>
      </w:r>
      <w:r>
        <w:rPr>
          <w:rFonts w:eastAsia="Times New Roman" w:cs="Times New Roman"/>
          <w:szCs w:val="20"/>
          <w:lang w:val="en-GB" w:eastAsia="en-GB"/>
        </w:rPr>
        <w:t xml:space="preserve"> </w:t>
      </w:r>
      <w:r w:rsidRPr="00027F1E">
        <w:rPr>
          <w:rFonts w:eastAsia="Times New Roman" w:cs="Times New Roman"/>
          <w:szCs w:val="20"/>
          <w:lang w:val="en-GB" w:eastAsia="en-GB"/>
        </w:rPr>
        <w:t xml:space="preserve">Additionally, assessing competence at registration is out of step with other professional regimes which focus on training received and </w:t>
      </w:r>
      <w:r w:rsidR="0038674C">
        <w:rPr>
          <w:rFonts w:eastAsia="Times New Roman" w:cs="Times New Roman"/>
          <w:szCs w:val="20"/>
          <w:lang w:val="en-GB" w:eastAsia="en-GB"/>
        </w:rPr>
        <w:t xml:space="preserve">generally </w:t>
      </w:r>
      <w:r w:rsidRPr="00027F1E">
        <w:rPr>
          <w:rFonts w:eastAsia="Times New Roman" w:cs="Times New Roman"/>
          <w:szCs w:val="20"/>
          <w:lang w:val="en-GB" w:eastAsia="en-GB"/>
        </w:rPr>
        <w:t xml:space="preserve">assume </w:t>
      </w:r>
      <w:r>
        <w:rPr>
          <w:rFonts w:eastAsia="Times New Roman" w:cs="Times New Roman"/>
          <w:szCs w:val="20"/>
          <w:lang w:val="en-GB" w:eastAsia="en-GB"/>
        </w:rPr>
        <w:t xml:space="preserve">initial </w:t>
      </w:r>
      <w:r w:rsidRPr="00027F1E">
        <w:rPr>
          <w:rFonts w:eastAsia="Times New Roman" w:cs="Times New Roman"/>
          <w:szCs w:val="20"/>
          <w:lang w:val="en-GB" w:eastAsia="en-GB"/>
        </w:rPr>
        <w:t xml:space="preserve">competence on registration. </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027F1E">
        <w:rPr>
          <w:rFonts w:eastAsia="Times New Roman" w:cs="Times New Roman"/>
          <w:szCs w:val="20"/>
          <w:lang w:val="en-GB" w:eastAsia="en-GB"/>
        </w:rPr>
        <w:t xml:space="preserve">Although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027F1E">
        <w:rPr>
          <w:rFonts w:eastAsia="Times New Roman" w:cs="Times New Roman"/>
          <w:szCs w:val="20"/>
          <w:lang w:val="en-GB" w:eastAsia="en-GB"/>
        </w:rPr>
        <w:t>will retain the power to review competency at any time, only overseas-educated graduates and persons about whom concerns have been raised—for example, through the complaints process—will be subject to the current</w:t>
      </w:r>
      <w:r>
        <w:rPr>
          <w:rFonts w:eastAsia="Times New Roman" w:cs="Times New Roman"/>
          <w:szCs w:val="20"/>
          <w:lang w:val="en-GB" w:eastAsia="en-GB"/>
        </w:rPr>
        <w:t>ly applicable</w:t>
      </w:r>
      <w:r w:rsidRPr="00027F1E">
        <w:rPr>
          <w:rFonts w:eastAsia="Times New Roman" w:cs="Times New Roman"/>
          <w:szCs w:val="20"/>
          <w:lang w:val="en-GB" w:eastAsia="en-GB"/>
        </w:rPr>
        <w:t xml:space="preserve"> competence assessment process.</w:t>
      </w:r>
      <w:r>
        <w:rPr>
          <w:rFonts w:eastAsia="Times New Roman" w:cs="Times New Roman"/>
          <w:szCs w:val="20"/>
          <w:lang w:val="en-GB" w:eastAsia="en-GB"/>
        </w:rPr>
        <w:t xml:space="preserve"> </w:t>
      </w:r>
    </w:p>
    <w:p w:rsidR="00A00008" w:rsidRPr="00027F1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In particular, it is not intended to raise any additional barrier to overseas-trained social workers</w:t>
      </w:r>
      <w:r w:rsidR="007505BA">
        <w:rPr>
          <w:rFonts w:eastAsia="Times New Roman" w:cs="Times New Roman"/>
          <w:szCs w:val="20"/>
          <w:lang w:val="en-GB" w:eastAsia="en-GB"/>
        </w:rPr>
        <w:t>,</w:t>
      </w:r>
      <w:r>
        <w:rPr>
          <w:rFonts w:eastAsia="Times New Roman" w:cs="Times New Roman"/>
          <w:szCs w:val="20"/>
          <w:lang w:val="en-GB" w:eastAsia="en-GB"/>
        </w:rPr>
        <w:t xml:space="preserve"> who are </w:t>
      </w:r>
      <w:r w:rsidR="002736FC">
        <w:rPr>
          <w:rFonts w:eastAsia="Times New Roman" w:cs="Times New Roman"/>
          <w:szCs w:val="20"/>
          <w:lang w:val="en-GB" w:eastAsia="en-GB"/>
        </w:rPr>
        <w:t xml:space="preserve">at </w:t>
      </w:r>
      <w:r>
        <w:rPr>
          <w:rFonts w:eastAsia="Times New Roman" w:cs="Times New Roman"/>
          <w:szCs w:val="20"/>
          <w:lang w:val="en-GB" w:eastAsia="en-GB"/>
        </w:rPr>
        <w:t>the required standards of professionalism</w:t>
      </w:r>
      <w:r w:rsidR="007505BA">
        <w:rPr>
          <w:rFonts w:eastAsia="Times New Roman" w:cs="Times New Roman"/>
          <w:szCs w:val="20"/>
          <w:lang w:val="en-GB" w:eastAsia="en-GB"/>
        </w:rPr>
        <w:t>,</w:t>
      </w:r>
      <w:r>
        <w:rPr>
          <w:rFonts w:eastAsia="Times New Roman" w:cs="Times New Roman"/>
          <w:szCs w:val="20"/>
          <w:lang w:val="en-GB" w:eastAsia="en-GB"/>
        </w:rPr>
        <w:t xml:space="preserve"> from practising in New Zealand. </w:t>
      </w:r>
      <w:r w:rsidR="00E93189">
        <w:rPr>
          <w:rFonts w:eastAsia="Times New Roman" w:cs="Times New Roman"/>
          <w:szCs w:val="20"/>
          <w:lang w:val="en-GB" w:eastAsia="en-GB"/>
        </w:rPr>
        <w:t xml:space="preserve"> </w:t>
      </w:r>
      <w:r>
        <w:rPr>
          <w:rFonts w:eastAsia="Times New Roman" w:cs="Times New Roman"/>
          <w:szCs w:val="20"/>
          <w:lang w:val="en-GB" w:eastAsia="en-GB"/>
        </w:rPr>
        <w:t>Proposals relating to competence are not intended to affect the process by which foreign-trained social workers register.</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Making </w:t>
      </w:r>
      <w:r w:rsidRPr="00EB583F">
        <w:rPr>
          <w:rFonts w:eastAsia="Times New Roman" w:cs="Times New Roman"/>
          <w:szCs w:val="20"/>
          <w:lang w:val="en-GB" w:eastAsia="en-GB"/>
        </w:rPr>
        <w:t xml:space="preserve">the </w:t>
      </w:r>
      <w:r w:rsidR="007C4074">
        <w:rPr>
          <w:rFonts w:eastAsia="Times New Roman" w:cs="Times New Roman"/>
          <w:szCs w:val="20"/>
          <w:lang w:val="en-GB" w:eastAsia="en-GB"/>
        </w:rPr>
        <w:t>Board</w:t>
      </w:r>
      <w:r w:rsidRPr="00EB583F">
        <w:rPr>
          <w:rFonts w:eastAsia="Times New Roman" w:cs="Times New Roman"/>
          <w:szCs w:val="20"/>
          <w:lang w:val="en-GB" w:eastAsia="en-GB"/>
        </w:rPr>
        <w:t xml:space="preserve">’s power to require social workers to carry out continuing professional </w:t>
      </w:r>
      <w:r w:rsidR="00E93189" w:rsidRPr="00EB583F">
        <w:rPr>
          <w:rFonts w:eastAsia="Times New Roman" w:cs="Times New Roman"/>
          <w:szCs w:val="20"/>
          <w:lang w:val="en-GB" w:eastAsia="en-GB"/>
        </w:rPr>
        <w:t>development</w:t>
      </w:r>
      <w:r>
        <w:rPr>
          <w:rFonts w:eastAsia="Times New Roman" w:cs="Times New Roman"/>
          <w:szCs w:val="20"/>
          <w:lang w:val="en-GB" w:eastAsia="en-GB"/>
        </w:rPr>
        <w:t xml:space="preserve"> and to demonstrate its on-go</w:t>
      </w:r>
      <w:r w:rsidR="00E93189">
        <w:rPr>
          <w:rFonts w:eastAsia="Times New Roman" w:cs="Times New Roman"/>
          <w:szCs w:val="20"/>
          <w:lang w:val="en-GB" w:eastAsia="en-GB"/>
        </w:rPr>
        <w:t>ing relevance to their practice</w:t>
      </w:r>
      <w:r>
        <w:rPr>
          <w:rFonts w:eastAsia="Times New Roman" w:cs="Times New Roman"/>
          <w:szCs w:val="20"/>
          <w:lang w:val="en-GB" w:eastAsia="en-GB"/>
        </w:rPr>
        <w:t xml:space="preserve"> </w:t>
      </w:r>
      <w:r w:rsidRPr="00EB583F">
        <w:rPr>
          <w:rFonts w:eastAsia="Times New Roman" w:cs="Times New Roman"/>
          <w:szCs w:val="20"/>
          <w:lang w:val="en-GB" w:eastAsia="en-GB"/>
        </w:rPr>
        <w:t xml:space="preserve">more explicit in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EB583F" w:rsidDel="002876A5">
        <w:rPr>
          <w:rFonts w:eastAsia="Times New Roman" w:cs="Times New Roman"/>
          <w:szCs w:val="20"/>
          <w:lang w:val="en-GB" w:eastAsia="en-GB"/>
        </w:rPr>
        <w:t xml:space="preserve"> </w:t>
      </w:r>
      <w:r>
        <w:rPr>
          <w:rFonts w:eastAsia="Times New Roman" w:cs="Times New Roman"/>
          <w:szCs w:val="20"/>
          <w:lang w:val="en-GB" w:eastAsia="en-GB"/>
        </w:rPr>
        <w:t xml:space="preserve">will improve </w:t>
      </w:r>
      <w:r w:rsidR="0038674C">
        <w:rPr>
          <w:rFonts w:eastAsia="Times New Roman" w:cs="Times New Roman"/>
          <w:szCs w:val="20"/>
          <w:lang w:val="en-GB" w:eastAsia="en-GB"/>
        </w:rPr>
        <w:t xml:space="preserve">the </w:t>
      </w:r>
      <w:r>
        <w:rPr>
          <w:rFonts w:eastAsia="Times New Roman" w:cs="Times New Roman"/>
          <w:szCs w:val="20"/>
          <w:lang w:val="en-GB" w:eastAsia="en-GB"/>
        </w:rPr>
        <w:t>clarity and effectiveness of the regulatory regime.</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240E4E">
        <w:rPr>
          <w:rFonts w:eastAsia="Times New Roman" w:cs="Times New Roman"/>
          <w:szCs w:val="20"/>
          <w:lang w:val="en-GB" w:eastAsia="en-GB"/>
        </w:rPr>
        <w:t>This package of amendments will better align the competence assurance processes with those of other professions, and reflects a move from periodic competen</w:t>
      </w:r>
      <w:r>
        <w:rPr>
          <w:rFonts w:eastAsia="Times New Roman" w:cs="Times New Roman"/>
          <w:szCs w:val="20"/>
          <w:lang w:val="en-GB" w:eastAsia="en-GB"/>
        </w:rPr>
        <w:t>cy review to continuous development of competency</w:t>
      </w:r>
      <w:r w:rsidRPr="00240E4E">
        <w:rPr>
          <w:rFonts w:eastAsia="Times New Roman" w:cs="Times New Roman"/>
          <w:szCs w:val="20"/>
          <w:lang w:val="en-GB" w:eastAsia="en-GB"/>
        </w:rPr>
        <w:t xml:space="preserve">. </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It improves effectiveness of the </w:t>
      </w:r>
      <w:r w:rsidRPr="00240E4E">
        <w:rPr>
          <w:rFonts w:eastAsia="Times New Roman" w:cs="Times New Roman"/>
          <w:szCs w:val="20"/>
          <w:lang w:val="en-GB" w:eastAsia="en-GB"/>
        </w:rPr>
        <w:lastRenderedPageBreak/>
        <w:t>current system by encouraging social workers to pay attention to emerging trends and best practice.</w:t>
      </w:r>
      <w:r>
        <w:rPr>
          <w:rFonts w:eastAsia="Times New Roman" w:cs="Times New Roman"/>
          <w:szCs w:val="20"/>
          <w:lang w:val="en-GB" w:eastAsia="en-GB"/>
        </w:rPr>
        <w:t xml:space="preserve"> </w:t>
      </w:r>
      <w:r w:rsidRPr="00240E4E">
        <w:rPr>
          <w:rFonts w:eastAsia="Times New Roman" w:cs="Times New Roman"/>
          <w:szCs w:val="20"/>
          <w:lang w:val="en-GB" w:eastAsia="en-GB"/>
        </w:rPr>
        <w:t xml:space="preserve"> It is also likely to be more efficient and cheaper for both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240E4E">
        <w:rPr>
          <w:rFonts w:eastAsia="Times New Roman" w:cs="Times New Roman"/>
          <w:szCs w:val="20"/>
          <w:lang w:val="en-GB" w:eastAsia="en-GB"/>
        </w:rPr>
        <w:t>and applicants.</w:t>
      </w:r>
    </w:p>
    <w:p w:rsidR="00A00008" w:rsidRPr="00D540DE" w:rsidRDefault="00A00008" w:rsidP="00177E1D">
      <w:pPr>
        <w:spacing w:after="240"/>
        <w:outlineLvl w:val="2"/>
        <w:rPr>
          <w:rFonts w:eastAsia="Times New Roman" w:cs="Times New Roman"/>
          <w:sz w:val="24"/>
          <w:szCs w:val="24"/>
          <w:lang w:val="en-GB" w:eastAsia="en-GB"/>
        </w:rPr>
      </w:pPr>
      <w:bookmarkStart w:id="51" w:name="_Toc479612000"/>
      <w:bookmarkStart w:id="52" w:name="_Toc481662088"/>
      <w:r w:rsidRPr="00D540DE">
        <w:rPr>
          <w:rFonts w:eastAsia="Times New Roman" w:cs="Times New Roman"/>
          <w:b/>
          <w:sz w:val="24"/>
          <w:szCs w:val="24"/>
          <w:lang w:val="en-GB" w:eastAsia="en-GB"/>
        </w:rPr>
        <w:t xml:space="preserve">Fit and </w:t>
      </w:r>
      <w:r>
        <w:rPr>
          <w:rFonts w:eastAsia="Times New Roman" w:cs="Times New Roman"/>
          <w:b/>
          <w:sz w:val="24"/>
          <w:szCs w:val="24"/>
          <w:lang w:val="en-GB" w:eastAsia="en-GB"/>
        </w:rPr>
        <w:t>p</w:t>
      </w:r>
      <w:r w:rsidRPr="00D540DE">
        <w:rPr>
          <w:rFonts w:eastAsia="Times New Roman" w:cs="Times New Roman"/>
          <w:b/>
          <w:sz w:val="24"/>
          <w:szCs w:val="24"/>
          <w:lang w:val="en-GB" w:eastAsia="en-GB"/>
        </w:rPr>
        <w:t xml:space="preserve">roper </w:t>
      </w:r>
      <w:r>
        <w:rPr>
          <w:rFonts w:eastAsia="Times New Roman" w:cs="Times New Roman"/>
          <w:b/>
          <w:sz w:val="24"/>
          <w:szCs w:val="24"/>
          <w:lang w:val="en-GB" w:eastAsia="en-GB"/>
        </w:rPr>
        <w:t>p</w:t>
      </w:r>
      <w:r w:rsidRPr="00D540DE">
        <w:rPr>
          <w:rFonts w:eastAsia="Times New Roman" w:cs="Times New Roman"/>
          <w:b/>
          <w:sz w:val="24"/>
          <w:szCs w:val="24"/>
          <w:lang w:val="en-GB" w:eastAsia="en-GB"/>
        </w:rPr>
        <w:t xml:space="preserve">erson to </w:t>
      </w:r>
      <w:r>
        <w:rPr>
          <w:rFonts w:eastAsia="Times New Roman" w:cs="Times New Roman"/>
          <w:b/>
          <w:sz w:val="24"/>
          <w:szCs w:val="24"/>
          <w:lang w:val="en-GB" w:eastAsia="en-GB"/>
        </w:rPr>
        <w:t>p</w:t>
      </w:r>
      <w:r w:rsidRPr="00D540DE">
        <w:rPr>
          <w:rFonts w:eastAsia="Times New Roman" w:cs="Times New Roman"/>
          <w:b/>
          <w:sz w:val="24"/>
          <w:szCs w:val="24"/>
          <w:lang w:val="en-GB" w:eastAsia="en-GB"/>
        </w:rPr>
        <w:t>ractise</w:t>
      </w:r>
      <w:bookmarkEnd w:id="51"/>
      <w:bookmarkEnd w:id="52"/>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Status </w:t>
      </w:r>
      <w:r>
        <w:rPr>
          <w:rFonts w:eastAsia="Times New Roman" w:cs="Times New Roman"/>
          <w:i/>
          <w:szCs w:val="20"/>
          <w:lang w:val="en-GB" w:eastAsia="en-GB"/>
        </w:rPr>
        <w:t>q</w:t>
      </w:r>
      <w:r w:rsidRPr="00D540DE">
        <w:rPr>
          <w:rFonts w:eastAsia="Times New Roman" w:cs="Times New Roman"/>
          <w:i/>
          <w:szCs w:val="20"/>
          <w:lang w:val="en-GB" w:eastAsia="en-GB"/>
        </w:rPr>
        <w:t>uo</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sidRPr="00DE4100">
        <w:rPr>
          <w:rFonts w:eastAsia="Times New Roman" w:cs="Times New Roman"/>
          <w:szCs w:val="20"/>
          <w:lang w:val="en-GB" w:eastAsia="en-GB"/>
        </w:rPr>
        <w:t xml:space="preserve">A person may not be registered to practice social work unless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DE4100">
        <w:rPr>
          <w:rFonts w:eastAsia="Times New Roman" w:cs="Times New Roman"/>
          <w:szCs w:val="20"/>
          <w:lang w:val="en-GB" w:eastAsia="en-GB"/>
        </w:rPr>
        <w:t>is satisfied they are a fit and proper p</w:t>
      </w:r>
      <w:r>
        <w:rPr>
          <w:rFonts w:eastAsia="Times New Roman" w:cs="Times New Roman"/>
          <w:szCs w:val="20"/>
          <w:lang w:val="en-GB" w:eastAsia="en-GB"/>
        </w:rPr>
        <w:t>erson to practice social work.  Currently, t</w:t>
      </w:r>
      <w:r w:rsidRPr="00DE4100">
        <w:rPr>
          <w:rFonts w:eastAsia="Times New Roman" w:cs="Times New Roman"/>
          <w:szCs w:val="20"/>
          <w:lang w:val="en-GB" w:eastAsia="en-GB"/>
        </w:rPr>
        <w:t xml:space="preserve">he only ground for finding an applicant unfit to practice social work is if, and only if,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DE4100">
        <w:rPr>
          <w:rFonts w:eastAsia="Times New Roman" w:cs="Times New Roman"/>
          <w:szCs w:val="20"/>
          <w:lang w:val="en-GB" w:eastAsia="en-GB"/>
        </w:rPr>
        <w:t xml:space="preserve">is satisfied there are grounds on which a reasonable person would conclude the applicant was not a fit and proper person to practise social work. </w:t>
      </w:r>
      <w:r>
        <w:rPr>
          <w:rFonts w:eastAsia="Times New Roman" w:cs="Times New Roman"/>
          <w:szCs w:val="20"/>
          <w:lang w:val="en-GB" w:eastAsia="en-GB"/>
        </w:rPr>
        <w:t xml:space="preserve"> An applicant for registration must be declined registration if the Board considers them to be unfit.</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DE4100">
        <w:rPr>
          <w:rFonts w:eastAsia="Times New Roman" w:cs="Times New Roman"/>
          <w:szCs w:val="20"/>
          <w:lang w:val="en-GB" w:eastAsia="en-GB"/>
        </w:rPr>
        <w:t xml:space="preserve">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DE4100" w:rsidDel="002876A5">
        <w:rPr>
          <w:rFonts w:eastAsia="Times New Roman" w:cs="Times New Roman"/>
          <w:szCs w:val="20"/>
          <w:lang w:val="en-GB" w:eastAsia="en-GB"/>
        </w:rPr>
        <w:t xml:space="preserve"> </w:t>
      </w:r>
      <w:r>
        <w:rPr>
          <w:rFonts w:eastAsia="Times New Roman" w:cs="Times New Roman"/>
          <w:szCs w:val="20"/>
          <w:lang w:val="en-GB" w:eastAsia="en-GB"/>
        </w:rPr>
        <w:t>provides</w:t>
      </w:r>
      <w:r w:rsidRPr="00DE4100">
        <w:rPr>
          <w:rFonts w:eastAsia="Times New Roman" w:cs="Times New Roman"/>
          <w:szCs w:val="20"/>
          <w:lang w:val="en-GB" w:eastAsia="en-GB"/>
        </w:rPr>
        <w:t xml:space="preserve"> </w:t>
      </w:r>
      <w:r>
        <w:rPr>
          <w:rFonts w:eastAsia="Times New Roman" w:cs="Times New Roman"/>
          <w:szCs w:val="20"/>
          <w:lang w:val="en-GB" w:eastAsia="en-GB"/>
        </w:rPr>
        <w:t>s</w:t>
      </w:r>
      <w:r w:rsidRPr="00DE4100">
        <w:rPr>
          <w:rFonts w:eastAsia="Times New Roman" w:cs="Times New Roman"/>
          <w:szCs w:val="20"/>
          <w:lang w:val="en-GB" w:eastAsia="en-GB"/>
        </w:rPr>
        <w:t xml:space="preserve">ome examples of </w:t>
      </w:r>
      <w:r>
        <w:rPr>
          <w:rFonts w:eastAsia="Times New Roman" w:cs="Times New Roman"/>
          <w:szCs w:val="20"/>
          <w:lang w:val="en-GB" w:eastAsia="en-GB"/>
        </w:rPr>
        <w:t xml:space="preserve">reasonable </w:t>
      </w:r>
      <w:r w:rsidRPr="00DE4100">
        <w:rPr>
          <w:rFonts w:eastAsia="Times New Roman" w:cs="Times New Roman"/>
          <w:szCs w:val="20"/>
          <w:lang w:val="en-GB" w:eastAsia="en-GB"/>
        </w:rPr>
        <w:t>grounds: a conviction for an offence punishable by three months or more imprisonment which reflects adversely on fitness to practice; inability to perform social work functions; or that the subject is not of good character</w:t>
      </w:r>
      <w:r>
        <w:rPr>
          <w:rFonts w:eastAsia="Times New Roman" w:cs="Times New Roman"/>
          <w:szCs w:val="20"/>
          <w:lang w:val="en-GB" w:eastAsia="en-GB"/>
        </w:rPr>
        <w:t xml:space="preserve"> and</w:t>
      </w:r>
      <w:r w:rsidRPr="00DE4100">
        <w:rPr>
          <w:rFonts w:eastAsia="Times New Roman" w:cs="Times New Roman"/>
          <w:szCs w:val="20"/>
          <w:lang w:val="en-GB" w:eastAsia="en-GB"/>
        </w:rPr>
        <w:t xml:space="preserve"> reputation. </w:t>
      </w:r>
      <w:r>
        <w:rPr>
          <w:rFonts w:eastAsia="Times New Roman" w:cs="Times New Roman"/>
          <w:szCs w:val="20"/>
          <w:lang w:val="en-GB" w:eastAsia="en-GB"/>
        </w:rPr>
        <w:t xml:space="preserve"> However</w:t>
      </w:r>
      <w:r w:rsidRPr="00DE4100">
        <w:rPr>
          <w:rFonts w:eastAsia="Times New Roman" w:cs="Times New Roman"/>
          <w:szCs w:val="20"/>
          <w:lang w:val="en-GB" w:eastAsia="en-GB"/>
        </w:rPr>
        <w:t>, the power to consider somebody as being unfit to practice is highly discretionary</w:t>
      </w:r>
      <w:r>
        <w:rPr>
          <w:rFonts w:eastAsia="Times New Roman" w:cs="Times New Roman"/>
          <w:szCs w:val="20"/>
          <w:lang w:val="en-GB" w:eastAsia="en-GB"/>
        </w:rPr>
        <w:t>, and</w:t>
      </w:r>
      <w:r w:rsidR="0038674C">
        <w:rPr>
          <w:rFonts w:eastAsia="Times New Roman" w:cs="Times New Roman"/>
          <w:szCs w:val="20"/>
          <w:lang w:val="en-GB" w:eastAsia="en-GB"/>
        </w:rPr>
        <w:t xml:space="preserve"> out of step with other occupational legislation</w:t>
      </w:r>
      <w:r>
        <w:rPr>
          <w:rFonts w:eastAsia="Times New Roman" w:cs="Times New Roman"/>
          <w:szCs w:val="20"/>
          <w:lang w:val="en-GB" w:eastAsia="en-GB"/>
        </w:rPr>
        <w:t xml:space="preserve">.  The </w:t>
      </w:r>
      <w:r w:rsidRPr="00DE4100">
        <w:rPr>
          <w:rFonts w:eastAsia="Times New Roman" w:cs="Times New Roman"/>
          <w:szCs w:val="20"/>
          <w:lang w:val="en-GB" w:eastAsia="en-GB"/>
        </w:rPr>
        <w:t xml:space="preserve">transparency </w:t>
      </w:r>
      <w:r>
        <w:rPr>
          <w:rFonts w:eastAsia="Times New Roman" w:cs="Times New Roman"/>
          <w:szCs w:val="20"/>
          <w:lang w:val="en-GB" w:eastAsia="en-GB"/>
        </w:rPr>
        <w:t xml:space="preserve">and clarity </w:t>
      </w:r>
      <w:r w:rsidRPr="00DE4100">
        <w:rPr>
          <w:rFonts w:eastAsia="Times New Roman" w:cs="Times New Roman"/>
          <w:szCs w:val="20"/>
          <w:lang w:val="en-GB" w:eastAsia="en-GB"/>
        </w:rPr>
        <w:t xml:space="preserve">of </w:t>
      </w:r>
      <w:r>
        <w:rPr>
          <w:rFonts w:eastAsia="Times New Roman" w:cs="Times New Roman"/>
          <w:szCs w:val="20"/>
          <w:lang w:val="en-GB" w:eastAsia="en-GB"/>
        </w:rPr>
        <w:t>the legislation would be improved by more explicit criteria</w:t>
      </w:r>
      <w:r w:rsidRPr="00DE4100">
        <w:rPr>
          <w:rFonts w:eastAsia="Times New Roman" w:cs="Times New Roman"/>
          <w:szCs w:val="20"/>
          <w:lang w:val="en-GB" w:eastAsia="en-GB"/>
        </w:rPr>
        <w:t>.</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sidRPr="00DE4100">
        <w:rPr>
          <w:rFonts w:eastAsia="Times New Roman" w:cs="Times New Roman"/>
          <w:szCs w:val="20"/>
          <w:lang w:val="en-GB" w:eastAsia="en-GB"/>
        </w:rPr>
        <w:t>Fitness to practice social work is assessed at registration</w:t>
      </w:r>
      <w:r>
        <w:rPr>
          <w:rFonts w:eastAsia="Times New Roman" w:cs="Times New Roman"/>
          <w:szCs w:val="20"/>
          <w:lang w:val="en-GB" w:eastAsia="en-GB"/>
        </w:rPr>
        <w:t xml:space="preserve">.  </w:t>
      </w:r>
      <w:r w:rsidRPr="00DE4100">
        <w:rPr>
          <w:rFonts w:eastAsia="Times New Roman" w:cs="Times New Roman"/>
          <w:szCs w:val="20"/>
          <w:lang w:val="en-GB" w:eastAsia="en-GB"/>
        </w:rPr>
        <w:t xml:space="preserve">The </w:t>
      </w:r>
      <w:r w:rsidR="0064484F">
        <w:rPr>
          <w:rFonts w:eastAsia="Times New Roman" w:cs="Times New Roman"/>
          <w:szCs w:val="20"/>
          <w:lang w:val="en-GB" w:eastAsia="en-GB"/>
        </w:rPr>
        <w:t xml:space="preserve">Board </w:t>
      </w:r>
      <w:r w:rsidRPr="00DE4100">
        <w:rPr>
          <w:rFonts w:eastAsia="Times New Roman" w:cs="Times New Roman"/>
          <w:szCs w:val="20"/>
          <w:lang w:val="en-GB" w:eastAsia="en-GB"/>
        </w:rPr>
        <w:t xml:space="preserve">must also assess fitness to practice if directed to by a complaints assessment committee and may assess fitness if, at the point of applying for an annual practising certificate, the Registrar suspects on reasonable grounds that an applicant is not fit to practice social work. </w:t>
      </w:r>
    </w:p>
    <w:p w:rsidR="00A00008" w:rsidRPr="00DE4100"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DE4100">
        <w:rPr>
          <w:rFonts w:eastAsia="Times New Roman" w:cs="Times New Roman"/>
          <w:szCs w:val="20"/>
          <w:lang w:val="en-GB" w:eastAsia="en-GB"/>
        </w:rPr>
        <w:t xml:space="preserve">he Board has </w:t>
      </w:r>
      <w:r>
        <w:rPr>
          <w:rFonts w:eastAsia="Times New Roman" w:cs="Times New Roman"/>
          <w:szCs w:val="20"/>
          <w:lang w:val="en-GB" w:eastAsia="en-GB"/>
        </w:rPr>
        <w:t>also required a</w:t>
      </w:r>
      <w:r w:rsidRPr="00DE4100">
        <w:rPr>
          <w:rFonts w:eastAsia="Times New Roman" w:cs="Times New Roman"/>
          <w:szCs w:val="20"/>
          <w:lang w:val="en-GB" w:eastAsia="en-GB"/>
        </w:rPr>
        <w:t xml:space="preserve"> satisfactory </w:t>
      </w:r>
      <w:r w:rsidR="0038674C">
        <w:rPr>
          <w:rFonts w:eastAsia="Times New Roman" w:cs="Times New Roman"/>
          <w:szCs w:val="20"/>
          <w:lang w:val="en-GB" w:eastAsia="en-GB"/>
        </w:rPr>
        <w:t xml:space="preserve">Police </w:t>
      </w:r>
      <w:r w:rsidRPr="00DE4100">
        <w:rPr>
          <w:rFonts w:eastAsia="Times New Roman" w:cs="Times New Roman"/>
          <w:szCs w:val="20"/>
          <w:lang w:val="en-GB" w:eastAsia="en-GB"/>
        </w:rPr>
        <w:t xml:space="preserve">vet as </w:t>
      </w:r>
      <w:r>
        <w:rPr>
          <w:rFonts w:eastAsia="Times New Roman" w:cs="Times New Roman"/>
          <w:szCs w:val="20"/>
          <w:lang w:val="en-GB" w:eastAsia="en-GB"/>
        </w:rPr>
        <w:t>part of</w:t>
      </w:r>
      <w:r w:rsidRPr="00DE4100">
        <w:rPr>
          <w:rFonts w:eastAsia="Times New Roman" w:cs="Times New Roman"/>
          <w:szCs w:val="20"/>
          <w:lang w:val="en-GB" w:eastAsia="en-GB"/>
        </w:rPr>
        <w:t xml:space="preserve"> the 5-year competence recertification.</w:t>
      </w:r>
      <w:r>
        <w:rPr>
          <w:rFonts w:eastAsia="Times New Roman" w:cs="Times New Roman"/>
          <w:szCs w:val="20"/>
          <w:lang w:val="en-GB" w:eastAsia="en-GB"/>
        </w:rPr>
        <w:t xml:space="preserve">  </w:t>
      </w:r>
      <w:r w:rsidRPr="00DE4100">
        <w:rPr>
          <w:rFonts w:eastAsia="Times New Roman" w:cs="Times New Roman"/>
          <w:szCs w:val="20"/>
          <w:lang w:val="en-GB" w:eastAsia="en-GB"/>
        </w:rPr>
        <w:t xml:space="preserve">The status quo allows for </w:t>
      </w:r>
      <w:r>
        <w:rPr>
          <w:rFonts w:eastAsia="Times New Roman" w:cs="Times New Roman"/>
          <w:szCs w:val="20"/>
          <w:lang w:val="en-GB" w:eastAsia="en-GB"/>
        </w:rPr>
        <w:t>regular periodic vetting but, for this to continue</w:t>
      </w:r>
      <w:r w:rsidRPr="00DE4100">
        <w:rPr>
          <w:rFonts w:eastAsia="Times New Roman" w:cs="Times New Roman"/>
          <w:szCs w:val="20"/>
          <w:lang w:val="en-GB" w:eastAsia="en-GB"/>
        </w:rPr>
        <w:t xml:space="preserve"> </w:t>
      </w:r>
      <w:r w:rsidR="0038674C">
        <w:rPr>
          <w:rFonts w:eastAsia="Times New Roman" w:cs="Times New Roman"/>
          <w:szCs w:val="20"/>
          <w:lang w:val="en-GB" w:eastAsia="en-GB"/>
        </w:rPr>
        <w:t>following the replacement of five</w:t>
      </w:r>
      <w:r>
        <w:rPr>
          <w:rFonts w:eastAsia="Times New Roman" w:cs="Times New Roman"/>
          <w:szCs w:val="20"/>
          <w:lang w:val="en-GB" w:eastAsia="en-GB"/>
        </w:rPr>
        <w:t>-year recertification, some minor amendments will be required.</w:t>
      </w:r>
    </w:p>
    <w:p w:rsidR="00A00008" w:rsidRPr="00BD555D" w:rsidRDefault="00BD555D" w:rsidP="005B5FC6">
      <w:pPr>
        <w:numPr>
          <w:ilvl w:val="0"/>
          <w:numId w:val="25"/>
        </w:numPr>
        <w:spacing w:after="240" w:line="240" w:lineRule="auto"/>
        <w:ind w:left="567" w:hanging="567"/>
        <w:rPr>
          <w:rFonts w:eastAsia="Times New Roman" w:cs="Times New Roman"/>
          <w:i/>
          <w:szCs w:val="20"/>
          <w:lang w:val="en-GB" w:eastAsia="en-GB"/>
        </w:rPr>
      </w:pPr>
      <w:r w:rsidRPr="00BD555D">
        <w:rPr>
          <w:rFonts w:eastAsia="Times New Roman" w:cs="Times New Roman"/>
          <w:i/>
          <w:szCs w:val="20"/>
          <w:lang w:val="en-GB" w:eastAsia="en-GB"/>
        </w:rPr>
        <w:t>(redacted)</w:t>
      </w:r>
      <w:bookmarkStart w:id="53" w:name="_GoBack"/>
      <w:bookmarkEnd w:id="53"/>
    </w:p>
    <w:p w:rsidR="00A00008" w:rsidRPr="003F41BE"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Vetting conducted for the </w:t>
      </w:r>
      <w:r w:rsidR="007C4074">
        <w:rPr>
          <w:rFonts w:eastAsia="Times New Roman" w:cs="Times New Roman"/>
          <w:szCs w:val="20"/>
          <w:lang w:val="en-GB" w:eastAsia="en-GB"/>
        </w:rPr>
        <w:t>Board</w:t>
      </w:r>
      <w:r w:rsidR="007C4074" w:rsidRPr="00DE4100">
        <w:rPr>
          <w:rFonts w:eastAsia="Times New Roman" w:cs="Times New Roman"/>
          <w:szCs w:val="20"/>
          <w:lang w:val="en-GB" w:eastAsia="en-GB"/>
        </w:rPr>
        <w:t xml:space="preserve"> </w:t>
      </w:r>
      <w:r>
        <w:rPr>
          <w:rFonts w:eastAsia="Times New Roman" w:cs="Times New Roman"/>
          <w:szCs w:val="20"/>
          <w:lang w:val="en-GB" w:eastAsia="en-GB"/>
        </w:rPr>
        <w:t xml:space="preserve">as part of the registration regime </w:t>
      </w:r>
      <w:r w:rsidRPr="00DE4100">
        <w:rPr>
          <w:rFonts w:eastAsia="Times New Roman" w:cs="Times New Roman"/>
          <w:szCs w:val="20"/>
          <w:lang w:val="en-GB" w:eastAsia="en-GB"/>
        </w:rPr>
        <w:t>are distinct from vets conducted under the Vulnerable Children Act 2014</w:t>
      </w:r>
      <w:r>
        <w:rPr>
          <w:rFonts w:eastAsia="Times New Roman" w:cs="Times New Roman"/>
          <w:szCs w:val="20"/>
          <w:lang w:val="en-GB" w:eastAsia="en-GB"/>
        </w:rPr>
        <w:t>,</w:t>
      </w:r>
      <w:r w:rsidRPr="00DE4100">
        <w:rPr>
          <w:rFonts w:eastAsia="Times New Roman" w:cs="Times New Roman"/>
          <w:szCs w:val="20"/>
          <w:lang w:val="en-GB" w:eastAsia="en-GB"/>
        </w:rPr>
        <w:t xml:space="preserve"> which are intended to be conducted at the point of employment.</w:t>
      </w:r>
      <w:r>
        <w:rPr>
          <w:rFonts w:eastAsia="Times New Roman" w:cs="Times New Roman"/>
          <w:szCs w:val="20"/>
          <w:lang w:val="en-GB" w:eastAsia="en-GB"/>
        </w:rPr>
        <w:t xml:space="preserve">  Vetting under the Vulnerable Children Act will be required if the social worker</w:t>
      </w:r>
      <w:r w:rsidRPr="000F2AE7">
        <w:rPr>
          <w:rFonts w:eastAsia="Times New Roman" w:cs="Times New Roman"/>
          <w:szCs w:val="20"/>
          <w:lang w:val="en-GB" w:eastAsia="en-GB"/>
        </w:rPr>
        <w:t xml:space="preserve"> </w:t>
      </w:r>
      <w:r>
        <w:rPr>
          <w:rFonts w:eastAsia="Times New Roman" w:cs="Times New Roman"/>
          <w:szCs w:val="20"/>
          <w:lang w:val="en-GB" w:eastAsia="en-GB"/>
        </w:rPr>
        <w:t>will be</w:t>
      </w:r>
      <w:r w:rsidRPr="000F2AE7">
        <w:rPr>
          <w:rFonts w:eastAsia="Times New Roman" w:cs="Times New Roman"/>
          <w:szCs w:val="20"/>
          <w:lang w:val="en-GB" w:eastAsia="en-GB"/>
        </w:rPr>
        <w:t xml:space="preserve"> employed by certain publicly funded services and their work involves regular or o</w:t>
      </w:r>
      <w:r>
        <w:rPr>
          <w:rFonts w:eastAsia="Times New Roman" w:cs="Times New Roman"/>
          <w:szCs w:val="20"/>
          <w:lang w:val="en-GB" w:eastAsia="en-GB"/>
        </w:rPr>
        <w:t xml:space="preserve">vernight contact with children </w:t>
      </w:r>
      <w:r w:rsidRPr="000F2AE7">
        <w:rPr>
          <w:rFonts w:eastAsia="Times New Roman" w:cs="Times New Roman"/>
          <w:szCs w:val="20"/>
          <w:lang w:val="en-GB" w:eastAsia="en-GB"/>
        </w:rPr>
        <w:t>without pa</w:t>
      </w:r>
      <w:r>
        <w:rPr>
          <w:rFonts w:eastAsia="Times New Roman" w:cs="Times New Roman"/>
          <w:szCs w:val="20"/>
          <w:lang w:val="en-GB" w:eastAsia="en-GB"/>
        </w:rPr>
        <w:t>rent or guardians being present.  Because Police will only release information relevant to the role being vetted for</w:t>
      </w:r>
      <w:r w:rsidR="00C24DDE">
        <w:rPr>
          <w:rFonts w:eastAsia="Times New Roman" w:cs="Times New Roman"/>
          <w:szCs w:val="20"/>
          <w:lang w:val="en-GB" w:eastAsia="en-GB"/>
        </w:rPr>
        <w:t>, a new vet may be required for each new role</w:t>
      </w:r>
      <w:r>
        <w:rPr>
          <w:rFonts w:eastAsia="Times New Roman" w:cs="Times New Roman"/>
          <w:szCs w:val="20"/>
          <w:lang w:val="en-GB" w:eastAsia="en-GB"/>
        </w:rPr>
        <w:t>.  Therefore, there is good reason to keep these checks separate.</w:t>
      </w:r>
    </w:p>
    <w:p w:rsidR="00A00008" w:rsidRPr="00D540DE" w:rsidRDefault="00A00008" w:rsidP="00C24DDE">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Clarifying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p>
    <w:p w:rsidR="00A00008" w:rsidRPr="00657865"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Pr="00197894">
        <w:rPr>
          <w:rFonts w:eastAsia="Times New Roman" w:cs="Times New Roman"/>
          <w:szCs w:val="20"/>
          <w:lang w:val="en-GB" w:eastAsia="en-GB"/>
        </w:rPr>
        <w:t xml:space="preserve">he definition of fitness to practice </w:t>
      </w:r>
      <w:r>
        <w:rPr>
          <w:rFonts w:eastAsia="Times New Roman" w:cs="Times New Roman"/>
          <w:szCs w:val="20"/>
          <w:lang w:val="en-GB" w:eastAsia="en-GB"/>
        </w:rPr>
        <w:t xml:space="preserve">should be amended </w:t>
      </w:r>
      <w:r w:rsidRPr="00197894">
        <w:rPr>
          <w:rFonts w:eastAsia="Times New Roman" w:cs="Times New Roman"/>
          <w:szCs w:val="20"/>
          <w:lang w:val="en-GB" w:eastAsia="en-GB"/>
        </w:rPr>
        <w:t xml:space="preserve">in order to adopt an approach analogous </w:t>
      </w:r>
      <w:r w:rsidR="001913C7">
        <w:rPr>
          <w:rFonts w:eastAsia="Times New Roman" w:cs="Times New Roman"/>
          <w:szCs w:val="20"/>
          <w:lang w:val="en-GB" w:eastAsia="en-GB"/>
        </w:rPr>
        <w:t xml:space="preserve">to </w:t>
      </w:r>
      <w:r w:rsidRPr="00197894">
        <w:rPr>
          <w:rFonts w:eastAsia="Times New Roman" w:cs="Times New Roman"/>
          <w:szCs w:val="20"/>
          <w:lang w:val="en-GB" w:eastAsia="en-GB"/>
        </w:rPr>
        <w:t xml:space="preserve">the </w:t>
      </w:r>
      <w:r w:rsidR="0064484F">
        <w:rPr>
          <w:rFonts w:eastAsia="Times New Roman" w:cs="Times New Roman"/>
          <w:szCs w:val="20"/>
          <w:lang w:val="en-GB" w:eastAsia="en-GB"/>
        </w:rPr>
        <w:t>HPCA Act</w:t>
      </w:r>
      <w:r w:rsidRPr="00197894">
        <w:rPr>
          <w:rFonts w:eastAsia="Times New Roman" w:cs="Times New Roman"/>
          <w:szCs w:val="20"/>
          <w:lang w:val="en-GB" w:eastAsia="en-GB"/>
        </w:rPr>
        <w:t>.</w:t>
      </w:r>
      <w:r>
        <w:rPr>
          <w:rFonts w:eastAsia="Times New Roman" w:cs="Times New Roman"/>
          <w:szCs w:val="20"/>
          <w:lang w:val="en-GB" w:eastAsia="en-GB"/>
        </w:rPr>
        <w:t xml:space="preserve">  </w:t>
      </w:r>
      <w:r w:rsidRPr="00657865">
        <w:rPr>
          <w:rFonts w:eastAsia="Times New Roman" w:cs="Times New Roman"/>
          <w:szCs w:val="20"/>
          <w:lang w:val="en-GB" w:eastAsia="en-GB"/>
        </w:rPr>
        <w:t xml:space="preserve">It is proposed to adopt criteria similar to those outlined in that Act.  This would mean that a person could not be registered as a social worker if one of those grounds applied. </w:t>
      </w:r>
      <w:r>
        <w:rPr>
          <w:rFonts w:eastAsia="Times New Roman" w:cs="Times New Roman"/>
          <w:szCs w:val="20"/>
          <w:lang w:val="en-GB" w:eastAsia="en-GB"/>
        </w:rPr>
        <w:t xml:space="preserve"> </w:t>
      </w:r>
      <w:r w:rsidRPr="00657865">
        <w:rPr>
          <w:rFonts w:eastAsia="Times New Roman" w:cs="Times New Roman"/>
          <w:szCs w:val="20"/>
          <w:lang w:val="en-GB" w:eastAsia="en-GB"/>
        </w:rPr>
        <w:t xml:space="preserve">Such an amendment would reflect a choice to expand the status quo without delegating the power to define fitness to practice social work.  It also improves transparency of the definition by including a fuller description in primary legislation. </w:t>
      </w:r>
    </w:p>
    <w:p w:rsidR="00A00008" w:rsidRPr="00D540DE"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Assessing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r>
        <w:rPr>
          <w:rFonts w:eastAsia="Times New Roman" w:cs="Times New Roman"/>
          <w:i/>
          <w:szCs w:val="20"/>
          <w:lang w:val="en-GB" w:eastAsia="en-GB"/>
        </w:rPr>
        <w:t xml:space="preserve"> when renewing annual practising certificates</w:t>
      </w:r>
    </w:p>
    <w:p w:rsidR="00A00008"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lastRenderedPageBreak/>
        <w:t xml:space="preserve">Following initial registration, and in the absence of expressed concerns, a periodic review of fitness to practice social work will still be necessary to ensure that the </w:t>
      </w:r>
      <w:r w:rsidR="007C4074">
        <w:rPr>
          <w:rFonts w:eastAsia="Times New Roman" w:cs="Times New Roman"/>
          <w:szCs w:val="20"/>
          <w:lang w:val="en-GB" w:eastAsia="en-GB"/>
        </w:rPr>
        <w:t>Board</w:t>
      </w:r>
      <w:r>
        <w:rPr>
          <w:rFonts w:eastAsia="Times New Roman" w:cs="Times New Roman"/>
          <w:szCs w:val="20"/>
          <w:lang w:val="en-GB" w:eastAsia="en-GB"/>
        </w:rPr>
        <w:t xml:space="preserve">, profession and public can have confidence that social workers continue to be fit to practice.  The current vehicle for periodic assessment of fitness to practice, the five-yearly competence recertification, is proposed to be removed. </w:t>
      </w:r>
      <w:r w:rsidRPr="00035523">
        <w:rPr>
          <w:rFonts w:eastAsia="Times New Roman" w:cs="Times New Roman"/>
          <w:szCs w:val="20"/>
          <w:lang w:val="en-GB" w:eastAsia="en-GB"/>
        </w:rPr>
        <w:t xml:space="preserve"> </w:t>
      </w:r>
      <w:r>
        <w:rPr>
          <w:rFonts w:eastAsia="Times New Roman" w:cs="Times New Roman"/>
          <w:szCs w:val="20"/>
          <w:lang w:val="en-GB" w:eastAsia="en-GB"/>
        </w:rPr>
        <w:t xml:space="preserve">An obvious alternative vehicle is as part of the application for the </w:t>
      </w:r>
      <w:r w:rsidRPr="00035523">
        <w:rPr>
          <w:rFonts w:eastAsia="Times New Roman" w:cs="Times New Roman"/>
          <w:szCs w:val="20"/>
          <w:lang w:val="en-GB" w:eastAsia="en-GB"/>
        </w:rPr>
        <w:t>annual practising certificate</w:t>
      </w:r>
      <w:r w:rsidR="00702FEB">
        <w:rPr>
          <w:rFonts w:eastAsia="Times New Roman" w:cs="Times New Roman"/>
          <w:szCs w:val="20"/>
          <w:lang w:val="en-GB" w:eastAsia="en-GB"/>
        </w:rPr>
        <w:t>.</w:t>
      </w:r>
      <w:r>
        <w:rPr>
          <w:rFonts w:eastAsia="Times New Roman" w:cs="Times New Roman"/>
          <w:szCs w:val="20"/>
          <w:lang w:val="en-GB" w:eastAsia="en-GB"/>
        </w:rPr>
        <w:t xml:space="preserve">  </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Assessing fitness to practice annually when issuing a practising certificate is contingent on an amendment stipulating</w:t>
      </w:r>
      <w:r w:rsidRPr="00035523">
        <w:rPr>
          <w:rFonts w:eastAsia="Times New Roman" w:cs="Times New Roman"/>
          <w:szCs w:val="20"/>
          <w:lang w:val="en-GB" w:eastAsia="en-GB"/>
        </w:rPr>
        <w:t xml:space="preserve"> the Bo</w:t>
      </w:r>
      <w:r w:rsidR="00C24DDE">
        <w:rPr>
          <w:rFonts w:eastAsia="Times New Roman" w:cs="Times New Roman"/>
          <w:szCs w:val="20"/>
          <w:lang w:val="en-GB" w:eastAsia="en-GB"/>
        </w:rPr>
        <w:t>ard must accept a satisfactory P</w:t>
      </w:r>
      <w:r w:rsidRPr="00035523">
        <w:rPr>
          <w:rFonts w:eastAsia="Times New Roman" w:cs="Times New Roman"/>
          <w:szCs w:val="20"/>
          <w:lang w:val="en-GB" w:eastAsia="en-GB"/>
        </w:rPr>
        <w:t xml:space="preserve">olice vet conducted within the past three years </w:t>
      </w:r>
      <w:r>
        <w:rPr>
          <w:rFonts w:eastAsia="Times New Roman" w:cs="Times New Roman"/>
          <w:szCs w:val="20"/>
          <w:lang w:val="en-GB" w:eastAsia="en-GB"/>
        </w:rPr>
        <w:t>when assessing fitness to practice for the purpose of annual practising certificates. This would not affect situations where the vet is being carried out at registration or in response to a concern about fitness to practice as raised by a complaints assessment committee.  This is to avoid unnecessary inefficiencies in Police vetting practices and is in line with vetting practices that apply to teachers.</w:t>
      </w:r>
    </w:p>
    <w:p w:rsidR="00A00008" w:rsidRPr="00917772" w:rsidRDefault="00A00008" w:rsidP="00177E1D">
      <w:pPr>
        <w:spacing w:after="240" w:line="240" w:lineRule="auto"/>
        <w:rPr>
          <w:rFonts w:eastAsia="Times New Roman" w:cs="Times New Roman"/>
          <w:i/>
          <w:szCs w:val="20"/>
          <w:lang w:val="en-GB" w:eastAsia="en-GB"/>
        </w:rPr>
      </w:pPr>
      <w:r w:rsidRPr="00D540DE">
        <w:rPr>
          <w:rFonts w:eastAsia="Times New Roman" w:cs="Times New Roman"/>
          <w:i/>
          <w:szCs w:val="20"/>
          <w:lang w:val="en-GB" w:eastAsia="en-GB"/>
        </w:rPr>
        <w:t xml:space="preserve">Assessing </w:t>
      </w:r>
      <w:r>
        <w:rPr>
          <w:rFonts w:eastAsia="Times New Roman" w:cs="Times New Roman"/>
          <w:i/>
          <w:szCs w:val="20"/>
          <w:lang w:val="en-GB" w:eastAsia="en-GB"/>
        </w:rPr>
        <w:t>f</w:t>
      </w:r>
      <w:r w:rsidRPr="00D540DE">
        <w:rPr>
          <w:rFonts w:eastAsia="Times New Roman" w:cs="Times New Roman"/>
          <w:i/>
          <w:szCs w:val="20"/>
          <w:lang w:val="en-GB" w:eastAsia="en-GB"/>
        </w:rPr>
        <w:t xml:space="preserve">itness to </w:t>
      </w:r>
      <w:r>
        <w:rPr>
          <w:rFonts w:eastAsia="Times New Roman" w:cs="Times New Roman"/>
          <w:i/>
          <w:szCs w:val="20"/>
          <w:lang w:val="en-GB" w:eastAsia="en-GB"/>
        </w:rPr>
        <w:t>p</w:t>
      </w:r>
      <w:r w:rsidRPr="00D540DE">
        <w:rPr>
          <w:rFonts w:eastAsia="Times New Roman" w:cs="Times New Roman"/>
          <w:i/>
          <w:szCs w:val="20"/>
          <w:lang w:val="en-GB" w:eastAsia="en-GB"/>
        </w:rPr>
        <w:t>ractice</w:t>
      </w:r>
      <w:r>
        <w:rPr>
          <w:rFonts w:eastAsia="Times New Roman" w:cs="Times New Roman"/>
          <w:i/>
          <w:szCs w:val="20"/>
          <w:lang w:val="en-GB" w:eastAsia="en-GB"/>
        </w:rPr>
        <w:t xml:space="preserve"> at will</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sidRPr="00917772">
        <w:rPr>
          <w:rFonts w:eastAsia="Times New Roman" w:cs="Times New Roman"/>
          <w:szCs w:val="20"/>
          <w:lang w:val="en-GB" w:eastAsia="en-GB"/>
        </w:rPr>
        <w:t xml:space="preserve">The Select Committee recommended that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917772">
        <w:rPr>
          <w:rFonts w:eastAsia="Times New Roman" w:cs="Times New Roman"/>
          <w:szCs w:val="20"/>
          <w:lang w:val="en-GB" w:eastAsia="en-GB"/>
        </w:rPr>
        <w:t>be allowed to assess fitness to practice on its own initiative.</w:t>
      </w:r>
      <w:r>
        <w:rPr>
          <w:rFonts w:eastAsia="Times New Roman" w:cs="Times New Roman"/>
          <w:szCs w:val="20"/>
          <w:lang w:val="en-GB" w:eastAsia="en-GB"/>
        </w:rPr>
        <w:t xml:space="preserve"> </w:t>
      </w:r>
      <w:r w:rsidRPr="00917772">
        <w:rPr>
          <w:rFonts w:eastAsia="Times New Roman" w:cs="Times New Roman"/>
          <w:szCs w:val="20"/>
          <w:lang w:val="en-GB" w:eastAsia="en-GB"/>
        </w:rPr>
        <w:t xml:space="preserve"> This w</w:t>
      </w:r>
      <w:r>
        <w:rPr>
          <w:rFonts w:eastAsia="Times New Roman" w:cs="Times New Roman"/>
          <w:szCs w:val="20"/>
          <w:lang w:val="en-GB" w:eastAsia="en-GB"/>
        </w:rPr>
        <w:t>as to</w:t>
      </w:r>
      <w:r w:rsidRPr="00917772">
        <w:rPr>
          <w:rFonts w:eastAsia="Times New Roman" w:cs="Times New Roman"/>
          <w:szCs w:val="20"/>
          <w:lang w:val="en-GB" w:eastAsia="en-GB"/>
        </w:rPr>
        <w:t xml:space="preserve"> allow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sidRPr="00917772">
        <w:rPr>
          <w:rFonts w:eastAsia="Times New Roman" w:cs="Times New Roman"/>
          <w:szCs w:val="20"/>
          <w:lang w:val="en-GB" w:eastAsia="en-GB"/>
        </w:rPr>
        <w:t xml:space="preserve">to be assured </w:t>
      </w:r>
      <w:r>
        <w:rPr>
          <w:rFonts w:eastAsia="Times New Roman" w:cs="Times New Roman"/>
          <w:szCs w:val="20"/>
          <w:lang w:val="en-GB" w:eastAsia="en-GB"/>
        </w:rPr>
        <w:t xml:space="preserve">at any time </w:t>
      </w:r>
      <w:r w:rsidRPr="00917772">
        <w:rPr>
          <w:rFonts w:eastAsia="Times New Roman" w:cs="Times New Roman"/>
          <w:szCs w:val="20"/>
          <w:lang w:val="en-GB" w:eastAsia="en-GB"/>
        </w:rPr>
        <w:t xml:space="preserve">that </w:t>
      </w:r>
      <w:r>
        <w:rPr>
          <w:rFonts w:eastAsia="Times New Roman" w:cs="Times New Roman"/>
          <w:szCs w:val="20"/>
          <w:lang w:val="en-GB" w:eastAsia="en-GB"/>
        </w:rPr>
        <w:t xml:space="preserve">a </w:t>
      </w:r>
      <w:r w:rsidRPr="00917772">
        <w:rPr>
          <w:rFonts w:eastAsia="Times New Roman" w:cs="Times New Roman"/>
          <w:szCs w:val="20"/>
          <w:lang w:val="en-GB" w:eastAsia="en-GB"/>
        </w:rPr>
        <w:t>social worker</w:t>
      </w:r>
      <w:r>
        <w:rPr>
          <w:rFonts w:eastAsia="Times New Roman" w:cs="Times New Roman"/>
          <w:szCs w:val="20"/>
          <w:lang w:val="en-GB" w:eastAsia="en-GB"/>
        </w:rPr>
        <w:t xml:space="preserve"> was</w:t>
      </w:r>
      <w:r w:rsidRPr="00917772">
        <w:rPr>
          <w:rFonts w:eastAsia="Times New Roman" w:cs="Times New Roman"/>
          <w:szCs w:val="20"/>
          <w:lang w:val="en-GB" w:eastAsia="en-GB"/>
        </w:rPr>
        <w:t xml:space="preserve"> of the appropriate character and trustworthiness for their role.</w:t>
      </w:r>
    </w:p>
    <w:p w:rsidR="00A00008" w:rsidRPr="00917772" w:rsidRDefault="00A00008" w:rsidP="005B5FC6">
      <w:pPr>
        <w:numPr>
          <w:ilvl w:val="0"/>
          <w:numId w:val="25"/>
        </w:numPr>
        <w:spacing w:after="240" w:line="240" w:lineRule="auto"/>
        <w:ind w:left="567" w:hanging="567"/>
        <w:rPr>
          <w:rFonts w:eastAsia="Times New Roman" w:cs="Times New Roman"/>
          <w:szCs w:val="20"/>
          <w:lang w:val="en-GB" w:eastAsia="en-GB"/>
        </w:rPr>
      </w:pPr>
      <w:r w:rsidRPr="00917772">
        <w:rPr>
          <w:rFonts w:eastAsia="Times New Roman" w:cs="Times New Roman"/>
          <w:szCs w:val="20"/>
          <w:lang w:val="en-GB" w:eastAsia="en-GB"/>
        </w:rPr>
        <w:t xml:space="preserve">The ability to assess fitness to practice </w:t>
      </w:r>
      <w:r>
        <w:rPr>
          <w:rFonts w:eastAsia="Times New Roman" w:cs="Times New Roman"/>
          <w:szCs w:val="20"/>
          <w:lang w:val="en-GB" w:eastAsia="en-GB"/>
        </w:rPr>
        <w:t xml:space="preserve">at will </w:t>
      </w:r>
      <w:proofErr w:type="gramStart"/>
      <w:r>
        <w:rPr>
          <w:rFonts w:eastAsia="Times New Roman" w:cs="Times New Roman"/>
          <w:szCs w:val="20"/>
          <w:lang w:val="en-GB" w:eastAsia="en-GB"/>
        </w:rPr>
        <w:t>appears</w:t>
      </w:r>
      <w:proofErr w:type="gramEnd"/>
      <w:r>
        <w:rPr>
          <w:rFonts w:eastAsia="Times New Roman" w:cs="Times New Roman"/>
          <w:szCs w:val="20"/>
          <w:lang w:val="en-GB" w:eastAsia="en-GB"/>
        </w:rPr>
        <w:t xml:space="preserve"> to be</w:t>
      </w:r>
      <w:r w:rsidRPr="00917772">
        <w:rPr>
          <w:rFonts w:eastAsia="Times New Roman" w:cs="Times New Roman"/>
          <w:szCs w:val="20"/>
          <w:lang w:val="en-GB" w:eastAsia="en-GB"/>
        </w:rPr>
        <w:t xml:space="preserve"> an unnecessar</w:t>
      </w:r>
      <w:r>
        <w:rPr>
          <w:rFonts w:eastAsia="Times New Roman" w:cs="Times New Roman"/>
          <w:szCs w:val="20"/>
          <w:lang w:val="en-GB" w:eastAsia="en-GB"/>
        </w:rPr>
        <w:t xml:space="preserve">y </w:t>
      </w:r>
      <w:r w:rsidRPr="00917772">
        <w:rPr>
          <w:rFonts w:eastAsia="Times New Roman" w:cs="Times New Roman"/>
          <w:szCs w:val="20"/>
          <w:lang w:val="en-GB" w:eastAsia="en-GB"/>
        </w:rPr>
        <w:t xml:space="preserve">power. </w:t>
      </w:r>
      <w:r>
        <w:rPr>
          <w:rFonts w:eastAsia="Times New Roman" w:cs="Times New Roman"/>
          <w:szCs w:val="20"/>
          <w:lang w:val="en-GB" w:eastAsia="en-GB"/>
        </w:rPr>
        <w:t xml:space="preserve"> </w:t>
      </w:r>
      <w:r w:rsidRPr="00917772">
        <w:rPr>
          <w:rFonts w:eastAsia="Times New Roman" w:cs="Times New Roman"/>
          <w:szCs w:val="20"/>
          <w:lang w:val="en-GB" w:eastAsia="en-GB"/>
        </w:rPr>
        <w:t>It is also inefficient beca</w:t>
      </w:r>
      <w:r w:rsidR="00C24DDE">
        <w:rPr>
          <w:rFonts w:eastAsia="Times New Roman" w:cs="Times New Roman"/>
          <w:szCs w:val="20"/>
          <w:lang w:val="en-GB" w:eastAsia="en-GB"/>
        </w:rPr>
        <w:t>use of the likely increases in P</w:t>
      </w:r>
      <w:r w:rsidRPr="00917772">
        <w:rPr>
          <w:rFonts w:eastAsia="Times New Roman" w:cs="Times New Roman"/>
          <w:szCs w:val="20"/>
          <w:lang w:val="en-GB" w:eastAsia="en-GB"/>
        </w:rPr>
        <w:t>olice vet</w:t>
      </w:r>
      <w:r>
        <w:rPr>
          <w:rFonts w:eastAsia="Times New Roman" w:cs="Times New Roman"/>
          <w:szCs w:val="20"/>
          <w:lang w:val="en-GB" w:eastAsia="en-GB"/>
        </w:rPr>
        <w:t>ting</w:t>
      </w:r>
      <w:r w:rsidRPr="00917772">
        <w:rPr>
          <w:rFonts w:eastAsia="Times New Roman" w:cs="Times New Roman"/>
          <w:szCs w:val="20"/>
          <w:lang w:val="en-GB" w:eastAsia="en-GB"/>
        </w:rPr>
        <w:t xml:space="preserve"> that would result, with a negligible associated increase in public safety.</w:t>
      </w:r>
      <w:r>
        <w:rPr>
          <w:rFonts w:eastAsia="Times New Roman" w:cs="Times New Roman"/>
          <w:szCs w:val="20"/>
          <w:lang w:val="en-GB" w:eastAsia="en-GB"/>
        </w:rPr>
        <w:t xml:space="preserve">  Fitness to practice addresses matters of probity and character, not just the absence of physical or mental conditions affecting a social worker’s practice. If there is any reason for concern</w:t>
      </w:r>
      <w:r w:rsidRPr="00917772">
        <w:rPr>
          <w:rFonts w:eastAsia="Times New Roman" w:cs="Times New Roman"/>
          <w:szCs w:val="20"/>
          <w:lang w:val="en-GB" w:eastAsia="en-GB"/>
        </w:rPr>
        <w:t>, the appropriate place to address concerns about fitness to practice is through the complaints process</w:t>
      </w:r>
      <w:r>
        <w:rPr>
          <w:rFonts w:eastAsia="Times New Roman" w:cs="Times New Roman"/>
          <w:szCs w:val="20"/>
          <w:lang w:val="en-GB" w:eastAsia="en-GB"/>
        </w:rPr>
        <w:t xml:space="preserve"> if misconduct is suspected or by using the existing power to request a medical examination if there is concern about a social worker’s health and its possible impact on their practice</w:t>
      </w:r>
      <w:r w:rsidRPr="00917772">
        <w:rPr>
          <w:rFonts w:eastAsia="Times New Roman" w:cs="Times New Roman"/>
          <w:szCs w:val="20"/>
          <w:lang w:val="en-GB" w:eastAsia="en-GB"/>
        </w:rPr>
        <w:t xml:space="preserve">. </w:t>
      </w:r>
      <w:r>
        <w:rPr>
          <w:rFonts w:eastAsia="Times New Roman" w:cs="Times New Roman"/>
          <w:szCs w:val="20"/>
          <w:lang w:val="en-GB" w:eastAsia="en-GB"/>
        </w:rPr>
        <w:t xml:space="preserve"> </w:t>
      </w:r>
      <w:r w:rsidRPr="00917772">
        <w:rPr>
          <w:rFonts w:eastAsia="Times New Roman" w:cs="Times New Roman"/>
          <w:szCs w:val="20"/>
          <w:lang w:val="en-GB" w:eastAsia="en-GB"/>
        </w:rPr>
        <w:t>If no specific concerns have arisen then only a periodic review of fitness will be necessary.</w:t>
      </w:r>
      <w:r>
        <w:rPr>
          <w:rFonts w:eastAsia="Times New Roman" w:cs="Times New Roman"/>
          <w:szCs w:val="20"/>
          <w:lang w:val="en-GB" w:eastAsia="en-GB"/>
        </w:rPr>
        <w:t xml:space="preserve"> </w:t>
      </w:r>
    </w:p>
    <w:p w:rsidR="00A00008" w:rsidRPr="0094573F" w:rsidRDefault="00A00008" w:rsidP="00177E1D">
      <w:pPr>
        <w:spacing w:after="240" w:line="240" w:lineRule="auto"/>
        <w:rPr>
          <w:rFonts w:eastAsia="Times New Roman" w:cs="Times New Roman"/>
          <w:i/>
          <w:szCs w:val="20"/>
          <w:lang w:val="en-GB" w:eastAsia="en-GB"/>
        </w:rPr>
      </w:pPr>
      <w:r w:rsidRPr="0094573F">
        <w:rPr>
          <w:rFonts w:eastAsia="Times New Roman" w:cs="Times New Roman"/>
          <w:i/>
          <w:szCs w:val="20"/>
          <w:lang w:val="en-GB" w:eastAsia="en-GB"/>
        </w:rPr>
        <w:t>Notifications of conditions affecting ability to practise social work</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There is currently an exclusion from liability for persons who, in good faith only, report concerns about a social worker’s ability to practice. </w:t>
      </w:r>
      <w:r>
        <w:rPr>
          <w:rFonts w:eastAsia="Times New Roman" w:cs="Times New Roman"/>
          <w:szCs w:val="20"/>
          <w:lang w:val="en-GB" w:eastAsia="en-GB"/>
        </w:rPr>
        <w:t xml:space="preserve"> </w:t>
      </w:r>
      <w:r w:rsidRPr="00D77808">
        <w:rPr>
          <w:rFonts w:eastAsia="Times New Roman" w:cs="Times New Roman"/>
          <w:szCs w:val="20"/>
          <w:lang w:val="en-GB" w:eastAsia="en-GB"/>
        </w:rPr>
        <w:t>This is a whistle-blower protection clause</w:t>
      </w:r>
      <w:r>
        <w:rPr>
          <w:rFonts w:eastAsia="Times New Roman" w:cs="Times New Roman"/>
          <w:szCs w:val="20"/>
          <w:lang w:val="en-GB" w:eastAsia="en-GB"/>
        </w:rPr>
        <w:t>,</w:t>
      </w:r>
      <w:r w:rsidRPr="00D77808">
        <w:rPr>
          <w:rFonts w:eastAsia="Times New Roman" w:cs="Times New Roman"/>
          <w:szCs w:val="20"/>
          <w:lang w:val="en-GB" w:eastAsia="en-GB"/>
        </w:rPr>
        <w:t xml:space="preserve"> distinct in function and effect from the Protected Disclosures Act 2000.</w:t>
      </w:r>
      <w:r>
        <w:rPr>
          <w:rFonts w:eastAsia="Times New Roman" w:cs="Times New Roman"/>
          <w:szCs w:val="20"/>
          <w:lang w:val="en-GB" w:eastAsia="en-GB"/>
        </w:rPr>
        <w:t xml:space="preserve">  </w:t>
      </w:r>
      <w:r w:rsidRPr="00D77808">
        <w:rPr>
          <w:rFonts w:eastAsia="Times New Roman" w:cs="Times New Roman"/>
          <w:szCs w:val="20"/>
          <w:lang w:val="en-GB" w:eastAsia="en-GB"/>
        </w:rPr>
        <w:t xml:space="preserve">Because the protection is narrow and reporting is optional,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has been concerned that it is ineffective in ensuring they receive </w:t>
      </w:r>
      <w:r w:rsidRPr="00D77808">
        <w:rPr>
          <w:rFonts w:eastAsia="Times New Roman" w:cs="Times New Roman"/>
          <w:szCs w:val="20"/>
          <w:lang w:val="en-GB" w:eastAsia="en-GB"/>
        </w:rPr>
        <w:t xml:space="preserve">information </w:t>
      </w:r>
      <w:r>
        <w:rPr>
          <w:rFonts w:eastAsia="Times New Roman" w:cs="Times New Roman"/>
          <w:szCs w:val="20"/>
          <w:lang w:val="en-GB" w:eastAsia="en-GB"/>
        </w:rPr>
        <w:t>needed to protect the public</w:t>
      </w:r>
      <w:r w:rsidRPr="00D77808">
        <w:rPr>
          <w:rFonts w:eastAsia="Times New Roman" w:cs="Times New Roman"/>
          <w:szCs w:val="20"/>
          <w:lang w:val="en-GB" w:eastAsia="en-GB"/>
        </w:rPr>
        <w:t>.</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There is no specific requirement </w:t>
      </w:r>
      <w:r>
        <w:rPr>
          <w:rFonts w:eastAsia="Times New Roman" w:cs="Times New Roman"/>
          <w:szCs w:val="20"/>
          <w:lang w:val="en-GB" w:eastAsia="en-GB"/>
        </w:rPr>
        <w:t xml:space="preserve">in section 51 of </w:t>
      </w:r>
      <w:r w:rsidR="00CC7880">
        <w:rPr>
          <w:rFonts w:eastAsia="Times New Roman" w:cs="Times New Roman"/>
          <w:szCs w:val="20"/>
          <w:lang w:val="en-GB" w:eastAsia="en-GB"/>
        </w:rPr>
        <w:t>the SWR Act</w:t>
      </w:r>
      <w:r>
        <w:rPr>
          <w:rFonts w:eastAsia="Times New Roman" w:cs="Times New Roman"/>
          <w:szCs w:val="20"/>
          <w:lang w:val="en-GB" w:eastAsia="en-GB"/>
        </w:rPr>
        <w:t xml:space="preserve"> </w:t>
      </w:r>
      <w:r w:rsidRPr="000F2AE7">
        <w:rPr>
          <w:rFonts w:eastAsia="Times New Roman" w:cs="Times New Roman"/>
          <w:szCs w:val="20"/>
          <w:lang w:val="en-GB" w:eastAsia="en-GB"/>
        </w:rPr>
        <w:t>on any class of persons to report concerns and the class of protected disclosures is restricted to concerns about a social worker’s ability to perform social work functions adequately.</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 In context, the scheme of </w:t>
      </w:r>
      <w:r>
        <w:rPr>
          <w:rFonts w:eastAsia="Times New Roman" w:cs="Times New Roman"/>
          <w:szCs w:val="20"/>
          <w:lang w:val="en-GB" w:eastAsia="en-GB"/>
        </w:rPr>
        <w:t>the relevant subpart of the SWR Act</w:t>
      </w:r>
      <w:r w:rsidRPr="000F2AE7">
        <w:rPr>
          <w:rFonts w:eastAsia="Times New Roman" w:cs="Times New Roman"/>
          <w:szCs w:val="20"/>
          <w:lang w:val="en-GB" w:eastAsia="en-GB"/>
        </w:rPr>
        <w:t xml:space="preserve"> suggests this notification power is aimed at mental or physical stressors which affect the social worker’s role. </w:t>
      </w:r>
      <w:r>
        <w:rPr>
          <w:rFonts w:eastAsia="Times New Roman" w:cs="Times New Roman"/>
          <w:szCs w:val="20"/>
          <w:lang w:val="en-GB" w:eastAsia="en-GB"/>
        </w:rPr>
        <w:t xml:space="preserve"> </w:t>
      </w:r>
      <w:r w:rsidRPr="00D77808">
        <w:rPr>
          <w:rFonts w:eastAsia="Times New Roman" w:cs="Times New Roman"/>
          <w:szCs w:val="20"/>
          <w:lang w:val="en-GB" w:eastAsia="en-GB"/>
        </w:rPr>
        <w:t xml:space="preserve">This is too narrow to protect all types of complaints that are made to the Board about a social worker’s suitability to perform social work. </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t xml:space="preserve">There is also no requirement to report relevant concerns. </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Without a mandatory requirement, there is a risk that registered social workers or other interested and proximate parties will not disclose risks to the Board. </w:t>
      </w:r>
      <w:r>
        <w:rPr>
          <w:rFonts w:eastAsia="Times New Roman" w:cs="Times New Roman"/>
          <w:szCs w:val="20"/>
          <w:lang w:val="en-GB" w:eastAsia="en-GB"/>
        </w:rPr>
        <w:t xml:space="preserve"> </w:t>
      </w:r>
      <w:r w:rsidRPr="000F2AE7">
        <w:rPr>
          <w:rFonts w:eastAsia="Times New Roman" w:cs="Times New Roman"/>
          <w:szCs w:val="20"/>
          <w:lang w:val="en-GB" w:eastAsia="en-GB"/>
        </w:rPr>
        <w:t xml:space="preserve">Stronger </w:t>
      </w:r>
      <w:r>
        <w:rPr>
          <w:rFonts w:eastAsia="Times New Roman" w:cs="Times New Roman"/>
          <w:szCs w:val="20"/>
          <w:lang w:val="en-GB" w:eastAsia="en-GB"/>
        </w:rPr>
        <w:t>information-sharing</w:t>
      </w:r>
      <w:r w:rsidRPr="000F2AE7">
        <w:rPr>
          <w:rFonts w:eastAsia="Times New Roman" w:cs="Times New Roman"/>
          <w:szCs w:val="20"/>
          <w:lang w:val="en-GB" w:eastAsia="en-GB"/>
        </w:rPr>
        <w:t xml:space="preserve"> requirements would encourage a more effective regulatory approach by giving the Board </w:t>
      </w:r>
      <w:r>
        <w:rPr>
          <w:rFonts w:eastAsia="Times New Roman" w:cs="Times New Roman"/>
          <w:szCs w:val="20"/>
          <w:lang w:val="en-GB" w:eastAsia="en-GB"/>
        </w:rPr>
        <w:t xml:space="preserve">more timely notice of potential problems. </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sidRPr="000F2AE7">
        <w:rPr>
          <w:rFonts w:eastAsia="Times New Roman" w:cs="Times New Roman"/>
          <w:szCs w:val="20"/>
          <w:lang w:val="en-GB" w:eastAsia="en-GB"/>
        </w:rPr>
        <w:lastRenderedPageBreak/>
        <w:t xml:space="preserve">Those practising other professions are subject to mandatory notification requirements. </w:t>
      </w:r>
      <w:r>
        <w:rPr>
          <w:rFonts w:eastAsia="Times New Roman" w:cs="Times New Roman"/>
          <w:szCs w:val="20"/>
          <w:lang w:val="en-GB" w:eastAsia="en-GB"/>
        </w:rPr>
        <w:t xml:space="preserve"> In health f</w:t>
      </w:r>
      <w:r w:rsidRPr="000F2AE7">
        <w:rPr>
          <w:rFonts w:eastAsia="Times New Roman" w:cs="Times New Roman"/>
          <w:szCs w:val="20"/>
          <w:lang w:val="en-GB" w:eastAsia="en-GB"/>
        </w:rPr>
        <w:t>or example, practitioners</w:t>
      </w:r>
      <w:r>
        <w:rPr>
          <w:rFonts w:eastAsia="Times New Roman" w:cs="Times New Roman"/>
          <w:szCs w:val="20"/>
          <w:lang w:val="en-GB" w:eastAsia="en-GB"/>
        </w:rPr>
        <w:t xml:space="preserve">, employers, and persons running health services </w:t>
      </w:r>
      <w:r w:rsidRPr="000F2AE7">
        <w:rPr>
          <w:rFonts w:eastAsia="Times New Roman" w:cs="Times New Roman"/>
          <w:szCs w:val="20"/>
          <w:lang w:val="en-GB" w:eastAsia="en-GB"/>
        </w:rPr>
        <w:t>are obliged to notify the relevant authority when concerned about the performance of another health practitioner due to a mental or physical condition</w:t>
      </w:r>
      <w:r>
        <w:rPr>
          <w:rFonts w:eastAsia="Times New Roman" w:cs="Times New Roman"/>
          <w:szCs w:val="20"/>
          <w:lang w:val="en-GB" w:eastAsia="en-GB"/>
        </w:rPr>
        <w:t>.</w:t>
      </w:r>
      <w:r w:rsidRPr="000F2AE7">
        <w:rPr>
          <w:rFonts w:eastAsia="Times New Roman" w:cs="Times New Roman"/>
          <w:szCs w:val="20"/>
          <w:lang w:val="en-GB" w:eastAsia="en-GB"/>
        </w:rPr>
        <w:t xml:space="preserve"> </w:t>
      </w:r>
      <w:r>
        <w:rPr>
          <w:rFonts w:eastAsia="Times New Roman" w:cs="Times New Roman"/>
          <w:szCs w:val="20"/>
          <w:lang w:val="en-GB" w:eastAsia="en-GB"/>
        </w:rPr>
        <w:t xml:space="preserve"> Employers of practitioners must report dismissals for reasons relating to competence. In education, employers of teachers are required to report dismissals of their teaching staff and complaints against teachers formerly employed by the school. Individual teachers are obliged to report qualifying convictions entered against them, in addition to the notification requirements that apply to court registrars.</w:t>
      </w:r>
    </w:p>
    <w:p w:rsidR="00A00008" w:rsidRPr="009F77A5"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Officials recommend widening the scope of protected disclosures and strengthening obligations on employers to report certain matters. This could mean, for example, ensuring that employers are required to report to the </w:t>
      </w:r>
      <w:r w:rsidR="007C4074">
        <w:rPr>
          <w:rFonts w:eastAsia="Times New Roman" w:cs="Times New Roman"/>
          <w:szCs w:val="20"/>
          <w:lang w:val="en-GB" w:eastAsia="en-GB"/>
        </w:rPr>
        <w:t>Board</w:t>
      </w:r>
      <w:r w:rsidR="007C4074" w:rsidRPr="00456129">
        <w:rPr>
          <w:rFonts w:eastAsia="Times New Roman" w:cs="Times New Roman"/>
          <w:szCs w:val="20"/>
          <w:lang w:val="en-GB" w:eastAsia="en-GB"/>
        </w:rPr>
        <w:t xml:space="preserve"> </w:t>
      </w:r>
      <w:r>
        <w:rPr>
          <w:rFonts w:eastAsia="Times New Roman" w:cs="Times New Roman"/>
          <w:szCs w:val="20"/>
          <w:lang w:val="en-GB" w:eastAsia="en-GB"/>
        </w:rPr>
        <w:t xml:space="preserve">concerns about serious misconduct, the failure of an employee to reach required standards of competence or any competence-related dismissals. </w:t>
      </w:r>
      <w:r w:rsidRPr="00FF77F9">
        <w:rPr>
          <w:rFonts w:eastAsia="Times New Roman" w:cs="Times New Roman"/>
          <w:szCs w:val="20"/>
          <w:lang w:val="en-GB" w:eastAsia="en-GB"/>
        </w:rPr>
        <w:t>The Education Act 1989 presents a useful model for how to proceed</w:t>
      </w:r>
      <w:r>
        <w:rPr>
          <w:rFonts w:eastAsia="Times New Roman" w:cs="Times New Roman"/>
          <w:szCs w:val="20"/>
          <w:lang w:val="en-GB" w:eastAsia="en-GB"/>
        </w:rPr>
        <w:t xml:space="preserve"> in terms of employer obligations</w:t>
      </w:r>
      <w:r w:rsidRPr="00FF77F9">
        <w:rPr>
          <w:rFonts w:eastAsia="Times New Roman" w:cs="Times New Roman"/>
          <w:szCs w:val="20"/>
          <w:lang w:val="en-GB" w:eastAsia="en-GB"/>
        </w:rPr>
        <w:t>.</w:t>
      </w:r>
    </w:p>
    <w:p w:rsidR="00A00008"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Means of enforcing these obligations must be considered. The Education Act</w:t>
      </w:r>
      <w:r w:rsidR="001913C7">
        <w:rPr>
          <w:rFonts w:eastAsia="Times New Roman" w:cs="Times New Roman"/>
          <w:szCs w:val="20"/>
          <w:lang w:val="en-GB" w:eastAsia="en-GB"/>
        </w:rPr>
        <w:t xml:space="preserve"> 1989</w:t>
      </w:r>
      <w:r>
        <w:rPr>
          <w:rFonts w:eastAsia="Times New Roman" w:cs="Times New Roman"/>
          <w:szCs w:val="20"/>
          <w:lang w:val="en-GB" w:eastAsia="en-GB"/>
        </w:rPr>
        <w:t xml:space="preserve"> </w:t>
      </w:r>
      <w:r w:rsidRPr="00FF77F9">
        <w:rPr>
          <w:rFonts w:eastAsia="Times New Roman" w:cs="Times New Roman"/>
          <w:szCs w:val="20"/>
          <w:lang w:val="en-GB" w:eastAsia="en-GB"/>
        </w:rPr>
        <w:t xml:space="preserve">creates a criminal offence; the </w:t>
      </w:r>
      <w:r w:rsidR="0064484F">
        <w:rPr>
          <w:rFonts w:eastAsia="Times New Roman" w:cs="Times New Roman"/>
          <w:szCs w:val="20"/>
          <w:lang w:val="en-GB" w:eastAsia="en-GB"/>
        </w:rPr>
        <w:t>HPCA Act</w:t>
      </w:r>
      <w:r w:rsidRPr="00FF77F9">
        <w:rPr>
          <w:rFonts w:eastAsia="Times New Roman" w:cs="Times New Roman"/>
          <w:szCs w:val="20"/>
          <w:lang w:val="en-GB" w:eastAsia="en-GB"/>
        </w:rPr>
        <w:t xml:space="preserve">, however, does not. </w:t>
      </w:r>
    </w:p>
    <w:p w:rsidR="00A00008" w:rsidRPr="00FF77F9" w:rsidRDefault="00A00008"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An obligation, enforceable through the disciplinary process, could also be placed on social workers to report any suspicions or beliefs, based on reasonable grounds, that another social worker cannot perform their role due to a mental of physical condition. </w:t>
      </w:r>
    </w:p>
    <w:p w:rsidR="00A00008" w:rsidRPr="00FF77F9" w:rsidRDefault="00A00008" w:rsidP="00177E1D">
      <w:pPr>
        <w:numPr>
          <w:ilvl w:val="0"/>
          <w:numId w:val="8"/>
        </w:numPr>
        <w:spacing w:after="240" w:line="240" w:lineRule="auto"/>
        <w:ind w:left="567" w:hanging="567"/>
        <w:rPr>
          <w:rFonts w:eastAsia="Times New Roman" w:cs="Times New Roman"/>
          <w:szCs w:val="20"/>
          <w:lang w:val="en-GB" w:eastAsia="en-GB"/>
        </w:rPr>
      </w:pPr>
      <w:r w:rsidRPr="00853483">
        <w:rPr>
          <w:rFonts w:eastAsia="Times New Roman" w:cs="Times New Roman"/>
          <w:szCs w:val="20"/>
          <w:lang w:val="en-GB" w:eastAsia="en-GB"/>
        </w:rPr>
        <w:t>This change in scope is generally appropriate to reflect public expectations of the social work profession and proposed changes in the definition of fitness to practice, and would improve the clarity and transparency of the protection clause</w:t>
      </w:r>
      <w:r>
        <w:rPr>
          <w:rFonts w:eastAsia="Times New Roman" w:cs="Times New Roman"/>
          <w:szCs w:val="20"/>
          <w:lang w:val="en-GB" w:eastAsia="en-GB"/>
        </w:rPr>
        <w:t xml:space="preserve">. </w:t>
      </w:r>
      <w:r w:rsidRPr="00FF77F9">
        <w:rPr>
          <w:rFonts w:eastAsia="Times New Roman" w:cs="Times New Roman"/>
          <w:szCs w:val="20"/>
          <w:lang w:val="en-GB" w:eastAsia="en-GB"/>
        </w:rPr>
        <w:t xml:space="preserve">Requiring employers to report poor behaviour and performance of social workers and placing obligations on social workers to report misconduct reflect the responsibilities and privileges of being a member of a profession.  These improvements will also improve the effectiveness of the notification regime. </w:t>
      </w:r>
    </w:p>
    <w:p w:rsidR="00391E3C" w:rsidRPr="00177E1D" w:rsidRDefault="00391E3C" w:rsidP="00177E1D">
      <w:pPr>
        <w:spacing w:after="240"/>
        <w:outlineLvl w:val="2"/>
        <w:rPr>
          <w:rFonts w:eastAsia="Times New Roman" w:cs="Times New Roman"/>
          <w:b/>
          <w:sz w:val="24"/>
          <w:szCs w:val="24"/>
          <w:lang w:val="en-GB" w:eastAsia="en-GB"/>
        </w:rPr>
      </w:pPr>
      <w:bookmarkStart w:id="54" w:name="_Toc479263586"/>
      <w:bookmarkStart w:id="55" w:name="_Toc481662089"/>
      <w:bookmarkStart w:id="56" w:name="_Toc244580365"/>
      <w:bookmarkStart w:id="57" w:name="_Toc244587041"/>
      <w:bookmarkStart w:id="58" w:name="_Toc244857275"/>
      <w:bookmarkStart w:id="59" w:name="_Toc244912540"/>
      <w:bookmarkStart w:id="60" w:name="_Toc244916997"/>
      <w:bookmarkStart w:id="61" w:name="_Toc362368106"/>
      <w:bookmarkStart w:id="62" w:name="_Toc362434947"/>
      <w:bookmarkStart w:id="63" w:name="_Toc362589333"/>
      <w:bookmarkStart w:id="64" w:name="_Toc362619033"/>
      <w:bookmarkStart w:id="65" w:name="_Toc362940597"/>
      <w:bookmarkStart w:id="66" w:name="_Toc363047105"/>
      <w:r w:rsidRPr="00177E1D">
        <w:rPr>
          <w:rFonts w:eastAsia="Times New Roman" w:cs="Times New Roman"/>
          <w:b/>
          <w:sz w:val="24"/>
          <w:szCs w:val="24"/>
          <w:lang w:val="en-GB" w:eastAsia="en-GB"/>
        </w:rPr>
        <w:t>Complaints and disciplinary processes</w:t>
      </w:r>
      <w:bookmarkEnd w:id="54"/>
      <w:bookmarkEnd w:id="55"/>
    </w:p>
    <w:p w:rsidR="0085323E" w:rsidRPr="00391E3C" w:rsidRDefault="0085323E" w:rsidP="00177E1D">
      <w:pPr>
        <w:rPr>
          <w:rFonts w:eastAsia="Times New Roman" w:cs="Times New Roman"/>
          <w:szCs w:val="20"/>
          <w:u w:val="single"/>
          <w:lang w:val="en-GB" w:eastAsia="en-GB"/>
        </w:rPr>
      </w:pPr>
      <w:r w:rsidRPr="00391E3C">
        <w:rPr>
          <w:rFonts w:eastAsia="Times New Roman" w:cs="Times New Roman"/>
          <w:szCs w:val="20"/>
          <w:u w:val="single"/>
          <w:lang w:val="en-GB" w:eastAsia="en-GB"/>
        </w:rPr>
        <w:t>Status quo and problem</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w:t>
      </w:r>
      <w:r w:rsidR="00D9009E">
        <w:rPr>
          <w:rFonts w:eastAsia="Times New Roman" w:cs="Times New Roman"/>
          <w:szCs w:val="20"/>
          <w:lang w:val="en-GB" w:eastAsia="en-GB"/>
        </w:rPr>
        <w:t>Social Workers Complaints and Disciplinary Tribunal</w:t>
      </w:r>
      <w:r w:rsidR="00D9009E" w:rsidRPr="00391E3C" w:rsidDel="00D9009E">
        <w:rPr>
          <w:rFonts w:eastAsia="Times New Roman" w:cs="Times New Roman"/>
          <w:szCs w:val="20"/>
          <w:lang w:val="en-GB" w:eastAsia="en-GB"/>
        </w:rPr>
        <w:t xml:space="preserve"> </w:t>
      </w:r>
      <w:r w:rsidR="00D9009E">
        <w:rPr>
          <w:rFonts w:eastAsia="Times New Roman" w:cs="Times New Roman"/>
          <w:szCs w:val="20"/>
          <w:lang w:val="en-GB" w:eastAsia="en-GB"/>
        </w:rPr>
        <w:t xml:space="preserve">(the Tribunal) </w:t>
      </w:r>
      <w:r w:rsidRPr="00391E3C">
        <w:rPr>
          <w:rFonts w:eastAsia="Times New Roman" w:cs="Times New Roman"/>
          <w:szCs w:val="20"/>
          <w:lang w:val="en-GB" w:eastAsia="en-GB"/>
        </w:rPr>
        <w:t xml:space="preserve">was established under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391E3C" w:rsidDel="002876A5">
        <w:rPr>
          <w:rFonts w:eastAsia="Times New Roman" w:cs="Times New Roman"/>
          <w:szCs w:val="20"/>
          <w:lang w:val="en-GB" w:eastAsia="en-GB"/>
        </w:rPr>
        <w:t xml:space="preserve"> </w:t>
      </w:r>
      <w:r w:rsidRPr="00391E3C">
        <w:rPr>
          <w:rFonts w:eastAsia="Times New Roman" w:cs="Times New Roman"/>
          <w:szCs w:val="20"/>
          <w:lang w:val="en-GB" w:eastAsia="en-GB"/>
        </w:rPr>
        <w:t xml:space="preserve">to administer the complaints process and to exercise disciplinary powers.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 Board appoints </w:t>
      </w:r>
      <w:r w:rsidR="00C24DDE">
        <w:rPr>
          <w:rFonts w:eastAsia="Times New Roman" w:cs="Times New Roman"/>
          <w:szCs w:val="20"/>
          <w:lang w:val="en-GB" w:eastAsia="en-GB"/>
        </w:rPr>
        <w:t>eight</w:t>
      </w:r>
      <w:r w:rsidRPr="00391E3C">
        <w:rPr>
          <w:rFonts w:eastAsia="Times New Roman" w:cs="Times New Roman"/>
          <w:szCs w:val="20"/>
          <w:lang w:val="en-GB" w:eastAsia="en-GB"/>
        </w:rPr>
        <w:t xml:space="preserve"> members of the Tribunal and the Minister appoints one lay person.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It is unusual for a regulatory body to appoint members of a disciplinary Tribunal (most members of Tribunals are appointed by a Minister or </w:t>
      </w:r>
      <w:r>
        <w:rPr>
          <w:rFonts w:eastAsia="Times New Roman" w:cs="Times New Roman"/>
          <w:szCs w:val="20"/>
          <w:lang w:val="en-GB" w:eastAsia="en-GB"/>
        </w:rPr>
        <w:t xml:space="preserve">the </w:t>
      </w:r>
      <w:r w:rsidRPr="00391E3C">
        <w:rPr>
          <w:rFonts w:eastAsia="Times New Roman" w:cs="Times New Roman"/>
          <w:szCs w:val="20"/>
          <w:lang w:val="en-GB" w:eastAsia="en-GB"/>
        </w:rPr>
        <w:t>Governor-General).</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It could be perceived as the Tribunal having a lack of independence from the body responsible for regulating the profession, and this risk would be more acute under a mandatory regime.</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Under </w:t>
      </w:r>
      <w:r w:rsidR="00CC7880">
        <w:rPr>
          <w:rFonts w:eastAsia="Times New Roman" w:cs="Times New Roman"/>
          <w:szCs w:val="20"/>
          <w:lang w:val="en-GB" w:eastAsia="en-GB"/>
        </w:rPr>
        <w:t>the SWR Act</w:t>
      </w:r>
      <w:r>
        <w:rPr>
          <w:rFonts w:eastAsia="Times New Roman" w:cs="Times New Roman"/>
          <w:szCs w:val="20"/>
          <w:lang w:val="en-GB" w:eastAsia="en-GB"/>
        </w:rPr>
        <w:t>, t</w:t>
      </w:r>
      <w:r w:rsidRPr="00391E3C">
        <w:rPr>
          <w:rFonts w:eastAsia="Times New Roman" w:cs="Times New Roman"/>
          <w:szCs w:val="20"/>
          <w:lang w:val="en-GB" w:eastAsia="en-GB"/>
        </w:rPr>
        <w:t xml:space="preserve">he chair of the Tribunal is responsible for screening </w:t>
      </w:r>
      <w:r>
        <w:rPr>
          <w:rFonts w:eastAsia="Times New Roman" w:cs="Times New Roman"/>
          <w:szCs w:val="20"/>
          <w:lang w:val="en-GB" w:eastAsia="en-GB"/>
        </w:rPr>
        <w:t>all complaints</w:t>
      </w:r>
      <w:r w:rsidRPr="00391E3C">
        <w:rPr>
          <w:rFonts w:eastAsia="Times New Roman" w:cs="Times New Roman"/>
          <w:szCs w:val="20"/>
          <w:lang w:val="en-GB" w:eastAsia="en-GB"/>
        </w:rPr>
        <w:t xml:space="preserve"> and </w:t>
      </w:r>
      <w:r>
        <w:rPr>
          <w:rFonts w:eastAsia="Times New Roman" w:cs="Times New Roman"/>
          <w:szCs w:val="20"/>
          <w:lang w:val="en-GB" w:eastAsia="en-GB"/>
        </w:rPr>
        <w:t xml:space="preserve">must decide whether to refer </w:t>
      </w:r>
      <w:r w:rsidRPr="00391E3C">
        <w:rPr>
          <w:rFonts w:eastAsia="Times New Roman" w:cs="Times New Roman"/>
          <w:szCs w:val="20"/>
          <w:lang w:val="en-GB" w:eastAsia="en-GB"/>
        </w:rPr>
        <w:t xml:space="preserve">it to a complaints assessment committee </w:t>
      </w:r>
      <w:r>
        <w:rPr>
          <w:rFonts w:eastAsia="Times New Roman" w:cs="Times New Roman"/>
          <w:szCs w:val="20"/>
          <w:lang w:val="en-GB" w:eastAsia="en-GB"/>
        </w:rPr>
        <w:t>for</w:t>
      </w:r>
      <w:r w:rsidRPr="00391E3C">
        <w:rPr>
          <w:rFonts w:eastAsia="Times New Roman" w:cs="Times New Roman"/>
          <w:szCs w:val="20"/>
          <w:lang w:val="en-GB" w:eastAsia="en-GB"/>
        </w:rPr>
        <w:t xml:space="preserve"> further </w:t>
      </w:r>
      <w:r>
        <w:rPr>
          <w:rFonts w:eastAsia="Times New Roman" w:cs="Times New Roman"/>
          <w:szCs w:val="20"/>
          <w:lang w:val="en-GB" w:eastAsia="en-GB"/>
        </w:rPr>
        <w:t>investigation, or to take no further actio</w:t>
      </w:r>
      <w:r w:rsidRPr="00391E3C">
        <w:rPr>
          <w:rFonts w:eastAsia="Times New Roman" w:cs="Times New Roman"/>
          <w:szCs w:val="20"/>
          <w:lang w:val="en-GB" w:eastAsia="en-GB"/>
        </w:rPr>
        <w:t xml:space="preserve">n.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A notification of a conviction (punishable by imprisonment of 3 months or longer) must be referred directly to a complaints assessment committee.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The current process is inefficient.</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The chair of the Tribunal cannot adequately screen a complaint based on the information provided at the initial stage.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With a lack of an informed assessment, complaints can be referred to committees unnecessarily</w:t>
      </w:r>
      <w:r>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Pr>
          <w:rFonts w:eastAsia="Times New Roman" w:cs="Times New Roman"/>
          <w:szCs w:val="20"/>
          <w:lang w:val="en-GB" w:eastAsia="en-GB"/>
        </w:rPr>
        <w:t>The cost of this process ranges from $1,500 to $60,000, averaging around $8,000.</w:t>
      </w:r>
      <w:r w:rsidRPr="00391E3C">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Referring a conviction notification directly to a committee (without </w:t>
      </w:r>
      <w:r w:rsidRPr="00391E3C">
        <w:rPr>
          <w:rFonts w:eastAsia="Times New Roman" w:cs="Times New Roman"/>
          <w:szCs w:val="20"/>
          <w:lang w:val="en-GB" w:eastAsia="en-GB"/>
        </w:rPr>
        <w:lastRenderedPageBreak/>
        <w:t xml:space="preserve">screening to assess whether it warrants a further process) is also inefficient and costly.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The Tribunal is a judicial body and should not have an inquisitorial role in screening complaints and notifications</w:t>
      </w:r>
      <w:r>
        <w:rPr>
          <w:rFonts w:eastAsia="Times New Roman" w:cs="Times New Roman"/>
          <w:szCs w:val="20"/>
          <w:lang w:val="en-GB" w:eastAsia="en-GB"/>
        </w:rPr>
        <w:t xml:space="preserve"> of convictions</w:t>
      </w:r>
      <w:r w:rsidRPr="00391E3C">
        <w:rPr>
          <w:rFonts w:eastAsia="Times New Roman" w:cs="Times New Roman"/>
          <w:szCs w:val="20"/>
          <w:lang w:val="en-GB" w:eastAsia="en-GB"/>
        </w:rPr>
        <w:t xml:space="preser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 Board has also identified a potential conflict of interest for the chair of the Tribunal who may preside over a charge in which they have already seen prejudicial information through the screening process.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chair of the Tribunal is responsible for appointing, dissolving and reconstituting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w:t>
      </w:r>
      <w:r w:rsidR="0020415B">
        <w:rPr>
          <w:rFonts w:eastAsia="Times New Roman" w:cs="Times New Roman"/>
          <w:szCs w:val="20"/>
          <w:lang w:val="en-GB" w:eastAsia="en-GB"/>
        </w:rPr>
        <w:t xml:space="preserve"> These c</w:t>
      </w:r>
      <w:r w:rsidRPr="00391E3C">
        <w:rPr>
          <w:rFonts w:eastAsia="Times New Roman" w:cs="Times New Roman"/>
          <w:szCs w:val="20"/>
          <w:lang w:val="en-GB" w:eastAsia="en-GB"/>
        </w:rPr>
        <w:t xml:space="preserve">ommittees make determinations about complaints, including whether to frame a charge and progress to the Tribunal.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These committees have the power to carry out or arrange for any investigations they think necessary.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These investigatory powers are vague.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Clarifying this provision and strengthening the ability of committees to assess all relevant information would increase efficiencies under the complaints process</w:t>
      </w:r>
      <w:r>
        <w:rPr>
          <w:rFonts w:eastAsia="Times New Roman" w:cs="Times New Roman"/>
          <w:szCs w:val="20"/>
          <w:lang w:val="en-GB" w:eastAsia="en-GB"/>
        </w:rPr>
        <w:t>, enable them to more accurately determine the appropriate course of action</w:t>
      </w:r>
      <w:r w:rsidRPr="00391E3C">
        <w:rPr>
          <w:rFonts w:eastAsia="Times New Roman" w:cs="Times New Roman"/>
          <w:szCs w:val="20"/>
          <w:lang w:val="en-GB" w:eastAsia="en-GB"/>
        </w:rPr>
        <w:t xml:space="preserve"> and prevent charges being laid before the Tribunal unnecessarily.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Relative to other professional disciplinary bodies, the options available to the complaints assessment committees and the Tribunal when determining the outcomes of investigations or hearings are limited.</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 Expanding these options would provide these bodies with greater flexibility to resolve complaints with the most effective response.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Legislative provisions relating to the definition of professional misconduct and the Tribunal’s power to cancel registration are narrow and restrict the Tribunal’s ability to appropriately sanction some forms of misconduct.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The definition should include conduct that has discredited or likely to discredit the profession.</w:t>
      </w:r>
    </w:p>
    <w:p w:rsidR="0085323E" w:rsidRPr="00391E3C" w:rsidRDefault="0085323E" w:rsidP="00177E1D">
      <w:pPr>
        <w:spacing w:after="240" w:line="240" w:lineRule="auto"/>
        <w:rPr>
          <w:rFonts w:eastAsia="Times New Roman" w:cs="Times New Roman"/>
          <w:szCs w:val="20"/>
          <w:u w:val="single"/>
          <w:lang w:val="en-GB" w:eastAsia="en-GB"/>
        </w:rPr>
      </w:pPr>
      <w:r w:rsidRPr="00391E3C">
        <w:rPr>
          <w:rFonts w:eastAsia="Times New Roman" w:cs="Times New Roman"/>
          <w:szCs w:val="20"/>
          <w:u w:val="single"/>
          <w:lang w:val="en-GB" w:eastAsia="en-GB"/>
        </w:rPr>
        <w:t>Proposed amendments</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w:t>
      </w:r>
      <w:r w:rsidR="00101F12">
        <w:rPr>
          <w:rFonts w:eastAsia="Times New Roman" w:cs="Times New Roman"/>
          <w:szCs w:val="20"/>
          <w:lang w:val="en-GB" w:eastAsia="en-GB"/>
        </w:rPr>
        <w:t>Select</w:t>
      </w:r>
      <w:r w:rsidRPr="00391E3C">
        <w:rPr>
          <w:rFonts w:eastAsia="Times New Roman" w:cs="Times New Roman"/>
          <w:szCs w:val="20"/>
          <w:lang w:val="en-GB" w:eastAsia="en-GB"/>
        </w:rPr>
        <w:t xml:space="preserve"> Committee has made recommendations for legislative reform in relation to the complaints and disciplinary process to address the problems described above.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We consider that the majority of the recommendations improve efficiency and effectiveness of the complaints and disciplinary process and will support better resolution of complaints.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Aligning processes with other occupational regulatory regimes will enhance the professionalism required to practise as a registered social worker.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We have considered these recommendations in relation to the objectives of the </w:t>
      </w:r>
      <w:r w:rsidR="002876A5">
        <w:rPr>
          <w:rFonts w:eastAsia="Times New Roman" w:cs="Times New Roman"/>
          <w:szCs w:val="20"/>
          <w:lang w:val="en-GB" w:eastAsia="en-GB"/>
        </w:rPr>
        <w:t>SWR</w:t>
      </w:r>
      <w:r w:rsidR="002876A5" w:rsidRPr="00222ED8">
        <w:rPr>
          <w:rFonts w:eastAsia="Times New Roman" w:cs="Times New Roman"/>
          <w:szCs w:val="20"/>
          <w:lang w:val="en-GB" w:eastAsia="en-GB"/>
        </w:rPr>
        <w:t xml:space="preserve"> Act</w:t>
      </w:r>
      <w:r w:rsidR="002876A5" w:rsidRPr="00391E3C" w:rsidDel="002876A5">
        <w:rPr>
          <w:rFonts w:eastAsia="Times New Roman" w:cs="Times New Roman"/>
          <w:szCs w:val="20"/>
          <w:lang w:val="en-GB" w:eastAsia="en-GB"/>
        </w:rPr>
        <w:t xml:space="preserve"> </w:t>
      </w:r>
      <w:r w:rsidRPr="00391E3C">
        <w:rPr>
          <w:rFonts w:eastAsia="Times New Roman" w:cs="Times New Roman"/>
          <w:szCs w:val="20"/>
          <w:lang w:val="en-GB" w:eastAsia="en-GB"/>
        </w:rPr>
        <w:t xml:space="preserve">and criteria set out in this RIS. </w:t>
      </w:r>
      <w:r w:rsidR="003E1183">
        <w:rPr>
          <w:rFonts w:eastAsia="Times New Roman" w:cs="Times New Roman"/>
          <w:szCs w:val="20"/>
          <w:lang w:val="en-GB" w:eastAsia="en-GB"/>
        </w:rPr>
        <w:t xml:space="preserve"> </w:t>
      </w:r>
      <w:r w:rsidRPr="00391E3C">
        <w:rPr>
          <w:rFonts w:eastAsia="Times New Roman" w:cs="Times New Roman"/>
          <w:szCs w:val="20"/>
          <w:lang w:val="en-GB" w:eastAsia="en-GB"/>
        </w:rPr>
        <w:t xml:space="preserve">For the complaints and disciplinary process, we have also considered additional objectives of natural justice and due process.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Recommendations and analysis are set out below.</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Administering the complaints process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Assign responsibility for receiving and assessing complaints</w:t>
      </w:r>
      <w:r>
        <w:rPr>
          <w:rFonts w:eastAsia="Times New Roman" w:cs="Times New Roman"/>
          <w:szCs w:val="20"/>
          <w:lang w:val="en-GB" w:eastAsia="en-GB"/>
        </w:rPr>
        <w:t xml:space="preserve"> and notifications of convictions and whether to appoint a complaints assessment committee to the Board. Additionally, a</w:t>
      </w:r>
      <w:r w:rsidRPr="00391E3C">
        <w:rPr>
          <w:rFonts w:eastAsia="Times New Roman" w:cs="Times New Roman"/>
          <w:szCs w:val="20"/>
          <w:lang w:val="en-GB" w:eastAsia="en-GB"/>
        </w:rPr>
        <w:t>ssign responsibility for appointing and reconstituting complaints assessment committees, to the Board.</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Require the Board to screen notifications of criminal convictions against social workers and decide whether to refer them to a complaints assessment committee.</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lastRenderedPageBreak/>
        <w:t xml:space="preserve">The Board is more informed than the Tribunal to undertake complaints screening tasks. Efficiencies will be created by the Board triaging complaints before directing them to the right process. The Board currently funds the Tribunal’s operations so transferring these powers would have nil financial impact. </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Transferring the complaints process administration to the Board removes a potential conflict of interest for the Tribunal and creates greater transparency in the process.</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 triaging process </w:t>
      </w:r>
      <w:r>
        <w:rPr>
          <w:rFonts w:eastAsia="Times New Roman" w:cs="Times New Roman"/>
          <w:szCs w:val="20"/>
          <w:lang w:val="en-GB" w:eastAsia="en-GB"/>
        </w:rPr>
        <w:t xml:space="preserve">that enables screening of complaints </w:t>
      </w:r>
      <w:r w:rsidRPr="00391E3C">
        <w:rPr>
          <w:rFonts w:eastAsia="Times New Roman" w:cs="Times New Roman"/>
          <w:szCs w:val="20"/>
          <w:lang w:val="en-GB" w:eastAsia="en-GB"/>
        </w:rPr>
        <w:t>will help to protect social workers from unnecessary disciplinary processes in the case of unfounded complaints.</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Powers of the Complaints Assessment Committees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Expand the investigative powers of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to include powers to request and require documents or information to be provided to them.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Expand the options available to </w:t>
      </w:r>
      <w:r w:rsidR="00D9009E">
        <w:rPr>
          <w:rFonts w:eastAsia="Times New Roman" w:cs="Times New Roman"/>
          <w:szCs w:val="20"/>
          <w:lang w:val="en-GB" w:eastAsia="en-GB"/>
        </w:rPr>
        <w:t>complaints assessment committee</w:t>
      </w:r>
      <w:r w:rsidR="0064484F">
        <w:rPr>
          <w:rFonts w:eastAsia="Times New Roman" w:cs="Times New Roman"/>
          <w:szCs w:val="20"/>
          <w:lang w:val="en-GB" w:eastAsia="en-GB"/>
        </w:rPr>
        <w:t>s</w:t>
      </w:r>
      <w:r w:rsidRPr="00391E3C">
        <w:rPr>
          <w:rFonts w:eastAsia="Times New Roman" w:cs="Times New Roman"/>
          <w:szCs w:val="20"/>
          <w:lang w:val="en-GB" w:eastAsia="en-GB"/>
        </w:rPr>
        <w:t xml:space="preserve"> when determining the outcome of their investigations, to </w:t>
      </w:r>
      <w:r>
        <w:rPr>
          <w:rFonts w:eastAsia="Times New Roman" w:cs="Times New Roman"/>
          <w:szCs w:val="20"/>
          <w:lang w:val="en-GB" w:eastAsia="en-GB"/>
        </w:rPr>
        <w:t xml:space="preserve">also </w:t>
      </w:r>
      <w:r w:rsidRPr="00391E3C">
        <w:rPr>
          <w:rFonts w:eastAsia="Times New Roman" w:cs="Times New Roman"/>
          <w:szCs w:val="20"/>
          <w:lang w:val="en-GB" w:eastAsia="en-GB"/>
        </w:rPr>
        <w:t>include:</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directing an apology from the social worker to the complainant</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appointing an independent person to act as a conciliator</w:t>
      </w:r>
      <w:r>
        <w:rPr>
          <w:rFonts w:eastAsia="Times New Roman" w:cs="Times New Roman"/>
          <w:szCs w:val="20"/>
          <w:lang w:val="en-GB" w:eastAsia="en-GB"/>
        </w:rPr>
        <w:t xml:space="preserve"> or mediator, including in the Employment Relations Authority process</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 xml:space="preserve">referring the subject matter of the complaint to the New Zealand Police </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r w:rsidRPr="00391E3C">
        <w:rPr>
          <w:rFonts w:eastAsia="Times New Roman" w:cs="Times New Roman"/>
          <w:szCs w:val="20"/>
          <w:lang w:val="en-GB" w:eastAsia="en-GB"/>
        </w:rPr>
        <w:t>censuring the social worker</w:t>
      </w:r>
    </w:p>
    <w:p w:rsidR="0085323E" w:rsidRPr="00391E3C" w:rsidRDefault="0085323E" w:rsidP="005B5FC6">
      <w:pPr>
        <w:numPr>
          <w:ilvl w:val="2"/>
          <w:numId w:val="22"/>
        </w:numPr>
        <w:spacing w:line="240" w:lineRule="auto"/>
        <w:ind w:left="1560" w:hanging="426"/>
        <w:rPr>
          <w:rFonts w:eastAsia="Times New Roman" w:cs="Times New Roman"/>
          <w:szCs w:val="20"/>
          <w:lang w:val="en-GB" w:eastAsia="en-GB"/>
        </w:rPr>
      </w:pPr>
      <w:proofErr w:type="gramStart"/>
      <w:r w:rsidRPr="00391E3C">
        <w:rPr>
          <w:rFonts w:eastAsia="Times New Roman" w:cs="Times New Roman"/>
          <w:szCs w:val="20"/>
          <w:lang w:val="en-GB" w:eastAsia="en-GB"/>
        </w:rPr>
        <w:t>directing</w:t>
      </w:r>
      <w:proofErr w:type="gramEnd"/>
      <w:r w:rsidRPr="00391E3C">
        <w:rPr>
          <w:rFonts w:eastAsia="Times New Roman" w:cs="Times New Roman"/>
          <w:szCs w:val="20"/>
          <w:lang w:val="en-GB" w:eastAsia="en-GB"/>
        </w:rPr>
        <w:t xml:space="preserve"> the social worker to undergo training, counselling, or mentoring.</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Expanded powers of investigation would assist committees to perform their functions and make effective and informed assessments.</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 xml:space="preserve"> It will allow more information to come to light </w:t>
      </w:r>
      <w:r>
        <w:rPr>
          <w:rFonts w:eastAsia="Times New Roman" w:cs="Times New Roman"/>
          <w:szCs w:val="20"/>
          <w:lang w:val="en-GB" w:eastAsia="en-GB"/>
        </w:rPr>
        <w:t>so the committee may make a more targeted and appropriate determination</w:t>
      </w:r>
      <w:r w:rsidRPr="00391E3C">
        <w:rPr>
          <w:rFonts w:eastAsia="Times New Roman" w:cs="Times New Roman"/>
          <w:szCs w:val="20"/>
          <w:lang w:val="en-GB" w:eastAsia="en-GB"/>
        </w:rPr>
        <w:t xml:space="preserve">. </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 xml:space="preserve">Additional powers to require information will assist the committee assess whether a charge should be laid or if some other course of action is appropriate. </w:t>
      </w:r>
      <w:r w:rsidR="00412377">
        <w:rPr>
          <w:rFonts w:eastAsia="Times New Roman" w:cs="Times New Roman"/>
          <w:szCs w:val="20"/>
          <w:lang w:val="en-GB" w:eastAsia="en-GB"/>
        </w:rPr>
        <w:t xml:space="preserve"> </w:t>
      </w:r>
      <w:r w:rsidRPr="00391E3C">
        <w:rPr>
          <w:rFonts w:eastAsia="Times New Roman" w:cs="Times New Roman"/>
          <w:szCs w:val="20"/>
          <w:lang w:val="en-GB" w:eastAsia="en-GB"/>
        </w:rPr>
        <w:t>With respect to due process, conditions of relevancy for requesting information would need to apply, as is standard for comparable professional complaints processes.</w:t>
      </w:r>
      <w:r>
        <w:rPr>
          <w:rFonts w:eastAsia="Times New Roman" w:cs="Times New Roman"/>
          <w:szCs w:val="20"/>
          <w:lang w:val="en-GB" w:eastAsia="en-GB"/>
        </w:rPr>
        <w:t xml:space="preserve"> </w:t>
      </w:r>
      <w:r w:rsidR="00FB7C2A">
        <w:rPr>
          <w:rFonts w:eastAsia="Times New Roman" w:cs="Times New Roman"/>
          <w:szCs w:val="20"/>
          <w:lang w:val="en-GB" w:eastAsia="en-GB"/>
        </w:rPr>
        <w:t xml:space="preserve"> These expanded</w:t>
      </w:r>
      <w:r w:rsidR="00FB7C2A" w:rsidRPr="00B0287A">
        <w:rPr>
          <w:rFonts w:eastAsia="Times New Roman" w:cs="Times New Roman"/>
          <w:szCs w:val="20"/>
          <w:lang w:val="en-GB" w:eastAsia="en-GB"/>
        </w:rPr>
        <w:t xml:space="preserve"> power</w:t>
      </w:r>
      <w:r w:rsidR="00FB7C2A">
        <w:rPr>
          <w:rFonts w:eastAsia="Times New Roman" w:cs="Times New Roman"/>
          <w:szCs w:val="20"/>
          <w:lang w:val="en-GB" w:eastAsia="en-GB"/>
        </w:rPr>
        <w:t>s will</w:t>
      </w:r>
      <w:r w:rsidR="00FB7C2A" w:rsidRPr="00B0287A">
        <w:rPr>
          <w:rFonts w:eastAsia="Times New Roman" w:cs="Times New Roman"/>
          <w:szCs w:val="20"/>
          <w:lang w:val="en-GB" w:eastAsia="en-GB"/>
        </w:rPr>
        <w:t xml:space="preserve"> not require a person to provide any information or produce any document that would be privileged in a court of law or would breach a statutory obligation (other than the Privacy Act or the Official Information Act) of secrecy or non-disclosure.</w:t>
      </w:r>
      <w:r w:rsidR="00412377">
        <w:rPr>
          <w:rFonts w:eastAsia="Times New Roman" w:cs="Times New Roman"/>
          <w:szCs w:val="20"/>
          <w:lang w:val="en-GB" w:eastAsia="en-GB"/>
        </w:rPr>
        <w:t xml:space="preserve"> </w:t>
      </w:r>
      <w:r w:rsidR="00FB7C2A">
        <w:rPr>
          <w:rFonts w:eastAsia="Times New Roman" w:cs="Times New Roman"/>
          <w:szCs w:val="20"/>
          <w:lang w:val="en-GB" w:eastAsia="en-GB"/>
        </w:rPr>
        <w:t xml:space="preserve"> </w:t>
      </w:r>
      <w:r w:rsidR="009D4A62">
        <w:rPr>
          <w:rFonts w:eastAsia="Times New Roman" w:cs="Times New Roman"/>
          <w:szCs w:val="20"/>
          <w:lang w:val="en-GB" w:eastAsia="en-GB"/>
        </w:rPr>
        <w:t>The Privacy Commission has advised that they have no comment to make at this time, observing that the proposal is based on the HPCA Act and is unlikely to cause any issues.</w:t>
      </w:r>
    </w:p>
    <w:p w:rsidR="00CC48C5" w:rsidRPr="003B680A" w:rsidRDefault="0085323E" w:rsidP="003B680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Expanding options available to committees when determining outcomes ensures that committees can choose the most effective option for the wide range of circumstances they consider, whether that be a situation where serious harm has occurred and must be remedied, simply poor practice which the social worker can be supported to improve</w:t>
      </w:r>
      <w:r>
        <w:rPr>
          <w:rFonts w:eastAsia="Times New Roman" w:cs="Times New Roman"/>
          <w:szCs w:val="20"/>
          <w:lang w:val="en-GB" w:eastAsia="en-GB"/>
        </w:rPr>
        <w:t>, or a situation where no further action is needed.</w:t>
      </w:r>
    </w:p>
    <w:p w:rsidR="003115A2" w:rsidRDefault="003115A2">
      <w:pPr>
        <w:spacing w:after="0" w:line="240" w:lineRule="auto"/>
        <w:rPr>
          <w:rFonts w:eastAsia="Times New Roman" w:cs="Times New Roman"/>
          <w:i/>
          <w:szCs w:val="20"/>
          <w:lang w:val="en-GB" w:eastAsia="en-GB"/>
        </w:rPr>
      </w:pPr>
      <w:r>
        <w:rPr>
          <w:rFonts w:eastAsia="Times New Roman" w:cs="Times New Roman"/>
          <w:i/>
          <w:szCs w:val="20"/>
          <w:lang w:val="en-GB" w:eastAsia="en-GB"/>
        </w:rPr>
        <w:br w:type="page"/>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lastRenderedPageBreak/>
        <w:t>Professional misconduct</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recommendations: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 xml:space="preserve">Widen the definition of “professional misconduct” in section 82(2) of the </w:t>
      </w:r>
      <w:r w:rsidR="0064484F">
        <w:rPr>
          <w:rFonts w:eastAsia="Times New Roman" w:cs="Times New Roman"/>
          <w:szCs w:val="20"/>
          <w:lang w:val="en-GB" w:eastAsia="en-GB"/>
        </w:rPr>
        <w:t>SWR</w:t>
      </w:r>
      <w:r w:rsidR="00412377">
        <w:rPr>
          <w:rFonts w:eastAsia="Times New Roman" w:cs="Times New Roman"/>
          <w:szCs w:val="20"/>
          <w:lang w:val="en-GB" w:eastAsia="en-GB"/>
        </w:rPr>
        <w:t xml:space="preserve"> Act</w:t>
      </w:r>
      <w:r w:rsidRPr="00391E3C">
        <w:rPr>
          <w:rFonts w:eastAsia="Times New Roman" w:cs="Times New Roman"/>
          <w:szCs w:val="20"/>
          <w:lang w:val="en-GB" w:eastAsia="en-GB"/>
        </w:rPr>
        <w:t xml:space="preserve"> to include any conduct that has brought or that is likely to bring discredit on the social work profession.</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Pr>
          <w:rFonts w:eastAsia="Times New Roman" w:cs="Times New Roman"/>
          <w:szCs w:val="20"/>
          <w:lang w:val="en-GB" w:eastAsia="en-GB"/>
        </w:rPr>
        <w:t>A</w:t>
      </w:r>
      <w:r w:rsidRPr="00391E3C">
        <w:rPr>
          <w:rFonts w:eastAsia="Times New Roman" w:cs="Times New Roman"/>
          <w:szCs w:val="20"/>
          <w:lang w:val="en-GB" w:eastAsia="en-GB"/>
        </w:rPr>
        <w:t xml:space="preserve">llow the Tribunal to cancel a social worker’s registration on any ground of discipline, including removing the threshold of “gross or severe” professional misconduct before registration can be cancelled for professional misconduct. </w:t>
      </w:r>
    </w:p>
    <w:p w:rsidR="0085323E" w:rsidRPr="00391E3C" w:rsidRDefault="0085323E" w:rsidP="00177E1D">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 definition of professional misconduct that includes discrediting the profession aligns with comparable professional </w:t>
      </w:r>
      <w:r>
        <w:rPr>
          <w:rFonts w:eastAsia="Times New Roman" w:cs="Times New Roman"/>
          <w:szCs w:val="20"/>
          <w:lang w:val="en-GB" w:eastAsia="en-GB"/>
        </w:rPr>
        <w:t>standards</w:t>
      </w:r>
      <w:r w:rsidRPr="00391E3C">
        <w:rPr>
          <w:rFonts w:eastAsia="Times New Roman" w:cs="Times New Roman"/>
          <w:szCs w:val="20"/>
          <w:lang w:val="en-GB" w:eastAsia="en-GB"/>
        </w:rPr>
        <w:t xml:space="preserve"> and indicates the importance of trust to the public. A refined definition would align the definition with principle 9 of the social worker Code of Conduct (to maintain public trust and confidence in the social work profession), and would align with the approach taken in other professions, such as health practitioners and lawyers.</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Cancelling</w:t>
      </w:r>
      <w:r w:rsidRPr="00391E3C">
        <w:rPr>
          <w:rFonts w:eastAsia="Times New Roman" w:cs="Times New Roman"/>
          <w:szCs w:val="20"/>
          <w:lang w:val="en-GB" w:eastAsia="en-GB"/>
        </w:rPr>
        <w:t xml:space="preserve"> the current threshold for cancelling registration would increase the power of Tribunal to cancel a social worker's registration in light of risk of harm to the public.  We </w:t>
      </w:r>
      <w:r>
        <w:rPr>
          <w:rFonts w:eastAsia="Times New Roman" w:cs="Times New Roman"/>
          <w:szCs w:val="20"/>
          <w:lang w:val="en-GB" w:eastAsia="en-GB"/>
        </w:rPr>
        <w:t>consider</w:t>
      </w:r>
      <w:r w:rsidRPr="00391E3C">
        <w:rPr>
          <w:rFonts w:eastAsia="Times New Roman" w:cs="Times New Roman"/>
          <w:szCs w:val="20"/>
          <w:lang w:val="en-GB" w:eastAsia="en-GB"/>
        </w:rPr>
        <w:t xml:space="preserve"> that the threshold </w:t>
      </w:r>
      <w:r>
        <w:rPr>
          <w:rFonts w:eastAsia="Times New Roman" w:cs="Times New Roman"/>
          <w:szCs w:val="20"/>
          <w:lang w:val="en-GB" w:eastAsia="en-GB"/>
        </w:rPr>
        <w:t>for cancelling registration on the grounds of professional misconduct c</w:t>
      </w:r>
      <w:r w:rsidRPr="00391E3C">
        <w:rPr>
          <w:rFonts w:eastAsia="Times New Roman" w:cs="Times New Roman"/>
          <w:szCs w:val="20"/>
          <w:lang w:val="en-GB" w:eastAsia="en-GB"/>
        </w:rPr>
        <w:t>ould be lowered rather than removed entirely</w:t>
      </w:r>
      <w:r>
        <w:rPr>
          <w:rFonts w:eastAsia="Times New Roman" w:cs="Times New Roman"/>
          <w:szCs w:val="20"/>
          <w:lang w:val="en-GB" w:eastAsia="en-GB"/>
        </w:rPr>
        <w:t>. The</w:t>
      </w:r>
      <w:r w:rsidRPr="00671C9B">
        <w:rPr>
          <w:rFonts w:eastAsia="Times New Roman" w:cs="Times New Roman"/>
          <w:szCs w:val="20"/>
          <w:lang w:val="en-GB" w:eastAsia="en-GB"/>
        </w:rPr>
        <w:t xml:space="preserve"> Education Act </w:t>
      </w:r>
      <w:r>
        <w:rPr>
          <w:rFonts w:eastAsia="Times New Roman" w:cs="Times New Roman"/>
          <w:szCs w:val="20"/>
          <w:lang w:val="en-GB" w:eastAsia="en-GB"/>
        </w:rPr>
        <w:t xml:space="preserve">1989 </w:t>
      </w:r>
      <w:r w:rsidRPr="00671C9B">
        <w:rPr>
          <w:rFonts w:eastAsia="Times New Roman" w:cs="Times New Roman"/>
          <w:szCs w:val="20"/>
          <w:lang w:val="en-GB" w:eastAsia="en-GB"/>
        </w:rPr>
        <w:t xml:space="preserve">contains a comparable model that </w:t>
      </w:r>
      <w:r>
        <w:rPr>
          <w:rFonts w:eastAsia="Times New Roman" w:cs="Times New Roman"/>
          <w:szCs w:val="20"/>
          <w:lang w:val="en-GB" w:eastAsia="en-GB"/>
        </w:rPr>
        <w:t>will be</w:t>
      </w:r>
      <w:r w:rsidRPr="00671C9B">
        <w:rPr>
          <w:rFonts w:eastAsia="Times New Roman" w:cs="Times New Roman"/>
          <w:szCs w:val="20"/>
          <w:lang w:val="en-GB" w:eastAsia="en-GB"/>
        </w:rPr>
        <w:t xml:space="preserve"> considered during the legislative drafting process to ensure there are the appropriate checks and balances on the Tribunal's powers when it comes to cancelling registration.</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We recommend that the Tribunal have the power to cancel a registration for other types of serious misconduct (for example</w:t>
      </w:r>
      <w:r w:rsidR="000F1702">
        <w:rPr>
          <w:rFonts w:eastAsia="Times New Roman" w:cs="Times New Roman"/>
          <w:szCs w:val="20"/>
          <w:lang w:val="en-GB" w:eastAsia="en-GB"/>
        </w:rPr>
        <w:t>,</w:t>
      </w:r>
      <w:r>
        <w:rPr>
          <w:rFonts w:eastAsia="Times New Roman" w:cs="Times New Roman"/>
          <w:szCs w:val="20"/>
          <w:lang w:val="en-GB" w:eastAsia="en-GB"/>
        </w:rPr>
        <w:t xml:space="preserve"> a serious conviction).</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Interim suspension powers</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Allow immediate interim suspension or conditions to be imposed</w:t>
      </w:r>
      <w:r>
        <w:rPr>
          <w:rFonts w:eastAsia="Times New Roman" w:cs="Times New Roman"/>
          <w:szCs w:val="20"/>
          <w:lang w:val="en-GB" w:eastAsia="en-GB"/>
        </w:rPr>
        <w:t xml:space="preserve"> by the Board</w:t>
      </w:r>
      <w:r w:rsidRPr="00391E3C">
        <w:rPr>
          <w:rFonts w:eastAsia="Times New Roman" w:cs="Times New Roman"/>
          <w:szCs w:val="20"/>
          <w:lang w:val="en-GB" w:eastAsia="en-GB"/>
        </w:rPr>
        <w:t xml:space="preserve"> on a social worker when there are reasonable grounds to believe that:</w:t>
      </w:r>
    </w:p>
    <w:p w:rsidR="0085323E" w:rsidRPr="00391E3C" w:rsidRDefault="0085323E" w:rsidP="00177E1D">
      <w:pPr>
        <w:spacing w:line="240" w:lineRule="auto"/>
        <w:ind w:left="851"/>
        <w:rPr>
          <w:rFonts w:eastAsia="Times New Roman" w:cs="Times New Roman"/>
          <w:szCs w:val="20"/>
          <w:lang w:val="en-GB" w:eastAsia="en-GB"/>
        </w:rPr>
      </w:pPr>
      <w:r w:rsidRPr="00391E3C">
        <w:rPr>
          <w:rFonts w:eastAsia="Times New Roman" w:cs="Times New Roman"/>
          <w:szCs w:val="20"/>
          <w:lang w:val="en-GB" w:eastAsia="en-GB"/>
        </w:rPr>
        <w:t xml:space="preserve">(a) </w:t>
      </w:r>
      <w:proofErr w:type="gramStart"/>
      <w:r w:rsidRPr="00391E3C">
        <w:rPr>
          <w:rFonts w:eastAsia="Times New Roman" w:cs="Times New Roman"/>
          <w:szCs w:val="20"/>
          <w:lang w:val="en-GB" w:eastAsia="en-GB"/>
        </w:rPr>
        <w:t>the</w:t>
      </w:r>
      <w:proofErr w:type="gramEnd"/>
      <w:r w:rsidRPr="00391E3C">
        <w:rPr>
          <w:rFonts w:eastAsia="Times New Roman" w:cs="Times New Roman"/>
          <w:szCs w:val="20"/>
          <w:lang w:val="en-GB" w:eastAsia="en-GB"/>
        </w:rPr>
        <w:t xml:space="preserve"> social worker is not competent or fit to practise social work or is not able (for example, because of a physical or mental condition) to perform adequately the functions required to practise social work satisfactorily, and</w:t>
      </w:r>
    </w:p>
    <w:p w:rsidR="0085323E" w:rsidRPr="00391E3C" w:rsidRDefault="0085323E" w:rsidP="00177E1D">
      <w:pPr>
        <w:spacing w:after="240" w:line="240" w:lineRule="auto"/>
        <w:ind w:left="851"/>
        <w:rPr>
          <w:rFonts w:eastAsia="Times New Roman" w:cs="Times New Roman"/>
          <w:szCs w:val="20"/>
          <w:lang w:val="en-GB" w:eastAsia="en-GB"/>
        </w:rPr>
      </w:pPr>
      <w:r w:rsidRPr="00391E3C">
        <w:rPr>
          <w:rFonts w:eastAsia="Times New Roman" w:cs="Times New Roman"/>
          <w:szCs w:val="20"/>
          <w:lang w:val="en-GB" w:eastAsia="en-GB"/>
        </w:rPr>
        <w:t xml:space="preserve">(b) </w:t>
      </w:r>
      <w:proofErr w:type="gramStart"/>
      <w:r w:rsidRPr="00391E3C">
        <w:rPr>
          <w:rFonts w:eastAsia="Times New Roman" w:cs="Times New Roman"/>
          <w:szCs w:val="20"/>
          <w:lang w:val="en-GB" w:eastAsia="en-GB"/>
        </w:rPr>
        <w:t>the</w:t>
      </w:r>
      <w:proofErr w:type="gramEnd"/>
      <w:r w:rsidRPr="00391E3C">
        <w:rPr>
          <w:rFonts w:eastAsia="Times New Roman" w:cs="Times New Roman"/>
          <w:szCs w:val="20"/>
          <w:lang w:val="en-GB" w:eastAsia="en-GB"/>
        </w:rPr>
        <w:t xml:space="preserve"> suspension or conditions are reasonably necessary in light of the purposes of the </w:t>
      </w:r>
      <w:r w:rsidR="0064484F">
        <w:rPr>
          <w:rFonts w:eastAsia="Times New Roman" w:cs="Times New Roman"/>
          <w:szCs w:val="20"/>
          <w:lang w:val="en-GB" w:eastAsia="en-GB"/>
        </w:rPr>
        <w:t>SWR Act</w:t>
      </w:r>
      <w:r w:rsidRPr="00391E3C">
        <w:rPr>
          <w:rFonts w:eastAsia="Times New Roman" w:cs="Times New Roman"/>
          <w:szCs w:val="20"/>
          <w:lang w:val="en-GB" w:eastAsia="en-GB"/>
        </w:rPr>
        <w:t>.</w:t>
      </w:r>
    </w:p>
    <w:p w:rsidR="003B680A" w:rsidRDefault="0085323E" w:rsidP="00FB7C2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The grounds proposed for interim suspension are broad and could be perceived as giving too much power to the Board.  We propose that </w:t>
      </w:r>
      <w:r>
        <w:rPr>
          <w:rFonts w:eastAsia="Times New Roman" w:cs="Times New Roman"/>
          <w:szCs w:val="20"/>
          <w:lang w:val="en-GB" w:eastAsia="en-GB"/>
        </w:rPr>
        <w:t>any changes generally</w:t>
      </w:r>
      <w:r w:rsidRPr="00391E3C">
        <w:rPr>
          <w:rFonts w:eastAsia="Times New Roman" w:cs="Times New Roman"/>
          <w:szCs w:val="20"/>
          <w:lang w:val="en-GB" w:eastAsia="en-GB"/>
        </w:rPr>
        <w:t xml:space="preserve"> align with provisions under the HPCA</w:t>
      </w:r>
      <w:r w:rsidR="0064484F">
        <w:rPr>
          <w:rFonts w:eastAsia="Times New Roman" w:cs="Times New Roman"/>
          <w:szCs w:val="20"/>
          <w:lang w:val="en-GB" w:eastAsia="en-GB"/>
        </w:rPr>
        <w:t xml:space="preserve"> </w:t>
      </w:r>
      <w:r w:rsidRPr="00391E3C">
        <w:rPr>
          <w:rFonts w:eastAsia="Times New Roman" w:cs="Times New Roman"/>
          <w:szCs w:val="20"/>
          <w:lang w:val="en-GB" w:eastAsia="en-GB"/>
        </w:rPr>
        <w:t>A</w:t>
      </w:r>
      <w:r w:rsidR="0064484F">
        <w:rPr>
          <w:rFonts w:eastAsia="Times New Roman" w:cs="Times New Roman"/>
          <w:szCs w:val="20"/>
          <w:lang w:val="en-GB" w:eastAsia="en-GB"/>
        </w:rPr>
        <w:t>ct</w:t>
      </w:r>
      <w:r w:rsidRPr="00391E3C">
        <w:rPr>
          <w:rFonts w:eastAsia="Times New Roman" w:cs="Times New Roman"/>
          <w:szCs w:val="20"/>
          <w:lang w:val="en-GB" w:eastAsia="en-GB"/>
        </w:rPr>
        <w:t xml:space="preserve"> which specify when an interim suspension can be imposed by the regulatory body. This would ensure the Board has specific grounds to impose an immediate interim suspension when necessary, but ring-fences its application to ensure due process. </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Remove from legislation the 10-day time limit for interim extensions.</w:t>
      </w:r>
    </w:p>
    <w:p w:rsidR="00FB7C2A" w:rsidRDefault="00FB7C2A" w:rsidP="00FB7C2A">
      <w:pPr>
        <w:numPr>
          <w:ilvl w:val="0"/>
          <w:numId w:val="8"/>
        </w:numPr>
        <w:spacing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An unlimited timeframe for interim suspension could be perceived as not aligned with natural justice standards to give the resolution procedure priority and respond in a timely manner. A specific timeframe will be particularly important if the Board is provided with the additional suspension powers described above.  We recommend that the interim suspension period be amended to include the power to extend the length on reasonable grounds. </w:t>
      </w:r>
    </w:p>
    <w:p w:rsidR="00FB7C2A" w:rsidRPr="00FB7C2A" w:rsidRDefault="00FB7C2A" w:rsidP="00FB7C2A">
      <w:pPr>
        <w:numPr>
          <w:ilvl w:val="0"/>
          <w:numId w:val="8"/>
        </w:numPr>
        <w:spacing w:line="240" w:lineRule="auto"/>
        <w:ind w:left="567" w:hanging="567"/>
        <w:rPr>
          <w:rFonts w:eastAsia="Times New Roman" w:cs="Times New Roman"/>
          <w:szCs w:val="20"/>
          <w:lang w:val="en-GB" w:eastAsia="en-GB"/>
        </w:rPr>
      </w:pPr>
      <w:r w:rsidRPr="00FB7C2A">
        <w:rPr>
          <w:rFonts w:eastAsia="Times New Roman" w:cs="Times New Roman"/>
          <w:szCs w:val="20"/>
          <w:lang w:val="en-GB" w:eastAsia="en-GB"/>
        </w:rPr>
        <w:t xml:space="preserve">As </w:t>
      </w:r>
      <w:r w:rsidR="00D9009E">
        <w:rPr>
          <w:rFonts w:eastAsia="Times New Roman" w:cs="Times New Roman"/>
          <w:szCs w:val="20"/>
          <w:lang w:val="en-GB" w:eastAsia="en-GB"/>
        </w:rPr>
        <w:t xml:space="preserve">with </w:t>
      </w:r>
      <w:r w:rsidRPr="00FB7C2A">
        <w:rPr>
          <w:rFonts w:eastAsia="Times New Roman" w:cs="Times New Roman"/>
          <w:szCs w:val="20"/>
          <w:lang w:val="en-GB" w:eastAsia="en-GB"/>
        </w:rPr>
        <w:t xml:space="preserve">the HPCA Act, there will be requirements on the Board to only make an order for interim suspension if it has informed the social worker on the grounds and </w:t>
      </w:r>
      <w:r w:rsidRPr="00FB7C2A">
        <w:rPr>
          <w:rFonts w:eastAsia="Times New Roman" w:cs="Times New Roman"/>
          <w:szCs w:val="20"/>
          <w:lang w:val="en-GB" w:eastAsia="en-GB"/>
        </w:rPr>
        <w:lastRenderedPageBreak/>
        <w:t xml:space="preserve">given the social worker reasonable opportunity to respond and be heard on the proposed suspension. </w:t>
      </w:r>
    </w:p>
    <w:p w:rsidR="0085323E" w:rsidRPr="00391E3C" w:rsidRDefault="0085323E" w:rsidP="00177E1D">
      <w:pPr>
        <w:spacing w:after="240" w:line="240" w:lineRule="auto"/>
        <w:rPr>
          <w:rFonts w:eastAsia="Times New Roman" w:cs="Times New Roman"/>
          <w:i/>
          <w:szCs w:val="20"/>
          <w:lang w:val="en-GB" w:eastAsia="en-GB"/>
        </w:rPr>
      </w:pPr>
      <w:r w:rsidRPr="00391E3C">
        <w:rPr>
          <w:rFonts w:eastAsia="Times New Roman" w:cs="Times New Roman"/>
          <w:i/>
          <w:szCs w:val="20"/>
          <w:lang w:val="en-GB" w:eastAsia="en-GB"/>
        </w:rPr>
        <w:t xml:space="preserve">Powers and status of the </w:t>
      </w:r>
      <w:r w:rsidR="00D9009E" w:rsidRPr="00412377">
        <w:rPr>
          <w:rFonts w:eastAsia="Times New Roman" w:cs="Times New Roman"/>
          <w:i/>
          <w:szCs w:val="20"/>
          <w:lang w:val="en-GB" w:eastAsia="en-GB"/>
        </w:rPr>
        <w:t>Social Workers Complaints and Disciplinary Tribunal</w:t>
      </w:r>
    </w:p>
    <w:p w:rsidR="0085323E" w:rsidRPr="00391E3C" w:rsidRDefault="00101F12"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Select </w:t>
      </w:r>
      <w:r w:rsidR="0085323E" w:rsidRPr="00391E3C">
        <w:rPr>
          <w:rFonts w:eastAsia="Times New Roman" w:cs="Times New Roman"/>
          <w:szCs w:val="20"/>
          <w:lang w:val="en-GB" w:eastAsia="en-GB"/>
        </w:rPr>
        <w:t xml:space="preserve">Committee recommendation: </w:t>
      </w:r>
    </w:p>
    <w:p w:rsidR="0085323E" w:rsidRPr="00391E3C" w:rsidRDefault="0085323E" w:rsidP="005B5FC6">
      <w:pPr>
        <w:numPr>
          <w:ilvl w:val="1"/>
          <w:numId w:val="21"/>
        </w:numPr>
        <w:spacing w:line="240" w:lineRule="auto"/>
        <w:ind w:left="851" w:hanging="284"/>
        <w:rPr>
          <w:rFonts w:eastAsia="Times New Roman" w:cs="Times New Roman"/>
          <w:szCs w:val="20"/>
          <w:lang w:val="en-GB" w:eastAsia="en-GB"/>
        </w:rPr>
      </w:pPr>
      <w:r w:rsidRPr="00391E3C">
        <w:rPr>
          <w:rFonts w:eastAsia="Times New Roman" w:cs="Times New Roman"/>
          <w:szCs w:val="20"/>
          <w:lang w:val="en-GB" w:eastAsia="en-GB"/>
        </w:rPr>
        <w:t>Expand the sanctions available to the Tribunal, to include powers to:</w:t>
      </w:r>
    </w:p>
    <w:p w:rsidR="0085323E" w:rsidRPr="00391E3C" w:rsidRDefault="0085323E" w:rsidP="005B5FC6">
      <w:pPr>
        <w:numPr>
          <w:ilvl w:val="1"/>
          <w:numId w:val="20"/>
        </w:numPr>
        <w:spacing w:after="60" w:line="240" w:lineRule="auto"/>
        <w:rPr>
          <w:rFonts w:eastAsia="Times New Roman" w:cs="Times New Roman"/>
          <w:szCs w:val="20"/>
          <w:lang w:val="en-GB" w:eastAsia="en-GB"/>
        </w:rPr>
      </w:pPr>
      <w:r w:rsidRPr="00391E3C">
        <w:rPr>
          <w:rFonts w:eastAsia="Times New Roman" w:cs="Times New Roman"/>
          <w:szCs w:val="20"/>
          <w:lang w:val="en-GB" w:eastAsia="en-GB"/>
        </w:rPr>
        <w:t>suspend a social worker for a period of up to three years</w:t>
      </w:r>
    </w:p>
    <w:p w:rsidR="0085323E" w:rsidRPr="00391E3C" w:rsidRDefault="0085323E" w:rsidP="005B5FC6">
      <w:pPr>
        <w:numPr>
          <w:ilvl w:val="1"/>
          <w:numId w:val="20"/>
        </w:numPr>
        <w:spacing w:line="240" w:lineRule="auto"/>
        <w:rPr>
          <w:rFonts w:eastAsia="Times New Roman" w:cs="Times New Roman"/>
          <w:szCs w:val="20"/>
          <w:lang w:val="en-GB" w:eastAsia="en-GB"/>
        </w:rPr>
      </w:pPr>
      <w:proofErr w:type="gramStart"/>
      <w:r w:rsidRPr="00391E3C">
        <w:rPr>
          <w:rFonts w:eastAsia="Times New Roman" w:cs="Times New Roman"/>
          <w:szCs w:val="20"/>
          <w:lang w:val="en-GB" w:eastAsia="en-GB"/>
        </w:rPr>
        <w:t>take</w:t>
      </w:r>
      <w:proofErr w:type="gramEnd"/>
      <w:r w:rsidRPr="00391E3C">
        <w:rPr>
          <w:rFonts w:eastAsia="Times New Roman" w:cs="Times New Roman"/>
          <w:szCs w:val="20"/>
          <w:lang w:val="en-GB" w:eastAsia="en-GB"/>
        </w:rPr>
        <w:t xml:space="preserve"> any course of action that is available to a complaints assessment committee.</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Increasing the sanction powers of the Tribunal provides greater flexibility in resolving complaints.  </w:t>
      </w:r>
    </w:p>
    <w:p w:rsidR="0085323E" w:rsidRPr="00391E3C" w:rsidRDefault="0085323E" w:rsidP="00177E1D">
      <w:pPr>
        <w:numPr>
          <w:ilvl w:val="0"/>
          <w:numId w:val="8"/>
        </w:numPr>
        <w:spacing w:after="240" w:line="240" w:lineRule="auto"/>
        <w:ind w:left="567" w:hanging="567"/>
        <w:rPr>
          <w:rFonts w:eastAsia="Times New Roman" w:cs="Times New Roman"/>
          <w:szCs w:val="20"/>
          <w:lang w:val="en-GB" w:eastAsia="en-GB"/>
        </w:rPr>
      </w:pPr>
      <w:r w:rsidRPr="00391E3C">
        <w:rPr>
          <w:rFonts w:eastAsia="Times New Roman" w:cs="Times New Roman"/>
          <w:szCs w:val="20"/>
          <w:lang w:val="en-GB" w:eastAsia="en-GB"/>
        </w:rPr>
        <w:t xml:space="preserve">In addition to the Inquiry recommendations, we recommend that the power to appoint Tribunal members be transferred from the Board to the Minister. This approach is consistent with best practice for disciplinary Tribunals. </w:t>
      </w:r>
      <w:r>
        <w:rPr>
          <w:rFonts w:eastAsia="Times New Roman" w:cs="Times New Roman"/>
          <w:szCs w:val="20"/>
          <w:lang w:val="en-GB" w:eastAsia="en-GB"/>
        </w:rPr>
        <w:t xml:space="preserve"> </w:t>
      </w:r>
      <w:r w:rsidRPr="00391E3C">
        <w:rPr>
          <w:rFonts w:eastAsia="Times New Roman" w:cs="Times New Roman"/>
          <w:szCs w:val="20"/>
          <w:lang w:val="en-GB" w:eastAsia="en-GB"/>
        </w:rPr>
        <w:t xml:space="preserve">A Tribunal should be independent from the regulatory body – an independent appointment process is an important signal of that. </w:t>
      </w:r>
    </w:p>
    <w:p w:rsidR="004B74CF" w:rsidRPr="00177E1D" w:rsidRDefault="004B74CF" w:rsidP="004B74CF">
      <w:pPr>
        <w:spacing w:after="240" w:line="240" w:lineRule="auto"/>
        <w:outlineLvl w:val="1"/>
        <w:rPr>
          <w:rFonts w:eastAsia="Times New Roman" w:cs="Times New Roman"/>
          <w:b/>
          <w:color w:val="1F497D" w:themeColor="text2"/>
          <w:sz w:val="28"/>
          <w:szCs w:val="28"/>
          <w:lang w:val="en-GB" w:eastAsia="en-GB"/>
        </w:rPr>
      </w:pPr>
      <w:bookmarkStart w:id="67" w:name="_Toc481662090"/>
      <w:r w:rsidRPr="00177E1D">
        <w:rPr>
          <w:rFonts w:eastAsia="Times New Roman" w:cs="Times New Roman"/>
          <w:b/>
          <w:color w:val="1F497D" w:themeColor="text2"/>
          <w:sz w:val="28"/>
          <w:szCs w:val="28"/>
          <w:lang w:val="en-GB" w:eastAsia="en-GB"/>
        </w:rPr>
        <w:t>Financial and operational implications of preferred options</w:t>
      </w:r>
      <w:bookmarkEnd w:id="67"/>
    </w:p>
    <w:p w:rsidR="004B74CF" w:rsidRPr="00177E1D" w:rsidRDefault="004B74CF" w:rsidP="004B74CF">
      <w:pPr>
        <w:numPr>
          <w:ilvl w:val="0"/>
          <w:numId w:val="8"/>
        </w:numPr>
        <w:spacing w:before="240"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Implementation of </w:t>
      </w:r>
      <w:r>
        <w:rPr>
          <w:rFonts w:eastAsia="Times New Roman" w:cs="Times New Roman"/>
          <w:szCs w:val="20"/>
          <w:lang w:val="en-GB" w:eastAsia="en-GB"/>
        </w:rPr>
        <w:t xml:space="preserve">mandatory </w:t>
      </w:r>
      <w:r w:rsidRPr="00177E1D">
        <w:rPr>
          <w:rFonts w:eastAsia="Times New Roman" w:cs="Times New Roman"/>
          <w:szCs w:val="20"/>
          <w:lang w:val="en-GB" w:eastAsia="en-GB"/>
        </w:rPr>
        <w:t xml:space="preserve">certification and title protection will have financial and economic implications for government, NGOs and individual social workers and prospective social workers.  Ultimately most of these costs will fall back to government as the primary employer and funder of social work services, but individuals and NGOs who are not contracted to government will bear some additional costs.  These additional costs will result in an increase in quality and value from social work services, but this cannot be realistically quantified.  Further extension to the levels of task licencing or occupational licencing is not expected to cause significant additional </w:t>
      </w:r>
      <w:r>
        <w:rPr>
          <w:rFonts w:eastAsia="Times New Roman" w:cs="Times New Roman"/>
          <w:szCs w:val="20"/>
          <w:lang w:val="en-GB" w:eastAsia="en-GB"/>
        </w:rPr>
        <w:t xml:space="preserve">financial </w:t>
      </w:r>
      <w:r w:rsidRPr="00177E1D">
        <w:rPr>
          <w:rFonts w:eastAsia="Times New Roman" w:cs="Times New Roman"/>
          <w:szCs w:val="20"/>
          <w:lang w:val="en-GB" w:eastAsia="en-GB"/>
        </w:rPr>
        <w:t>costs</w:t>
      </w:r>
      <w:r>
        <w:rPr>
          <w:rFonts w:eastAsia="Times New Roman" w:cs="Times New Roman"/>
          <w:szCs w:val="20"/>
          <w:lang w:val="en-GB" w:eastAsia="en-GB"/>
        </w:rPr>
        <w:t xml:space="preserve"> but will have economic costs in terms of compliance issues and efficiency losses (over and above the shift from voluntary to mandatory certification)</w:t>
      </w:r>
      <w:r w:rsidRPr="00177E1D">
        <w:rPr>
          <w:rFonts w:eastAsia="Times New Roman" w:cs="Times New Roman"/>
          <w:szCs w:val="20"/>
          <w:lang w:val="en-GB" w:eastAsia="en-GB"/>
        </w:rPr>
        <w:t>.</w:t>
      </w:r>
    </w:p>
    <w:p w:rsidR="004B74CF" w:rsidRPr="00177E1D" w:rsidRDefault="004B74CF" w:rsidP="004B74CF">
      <w:pPr>
        <w:numPr>
          <w:ilvl w:val="0"/>
          <w:numId w:val="8"/>
        </w:numPr>
        <w:spacing w:before="240" w:after="240" w:line="240" w:lineRule="auto"/>
        <w:ind w:left="567" w:hanging="567"/>
        <w:rPr>
          <w:rFonts w:eastAsia="Times New Roman" w:cs="Times New Roman"/>
          <w:szCs w:val="20"/>
          <w:lang w:val="en-GB" w:eastAsia="en-GB"/>
        </w:rPr>
      </w:pPr>
      <w:r w:rsidRPr="00177E1D">
        <w:rPr>
          <w:rFonts w:eastAsia="Times New Roman" w:cs="Times New Roman"/>
          <w:szCs w:val="20"/>
          <w:lang w:val="en-GB" w:eastAsia="en-GB"/>
        </w:rPr>
        <w:t xml:space="preserve">Costs will arise in </w:t>
      </w:r>
      <w:r w:rsidR="005E6548">
        <w:rPr>
          <w:rFonts w:eastAsia="Times New Roman" w:cs="Times New Roman"/>
          <w:szCs w:val="20"/>
          <w:lang w:val="en-GB" w:eastAsia="en-GB"/>
        </w:rPr>
        <w:t>three</w:t>
      </w:r>
      <w:r w:rsidR="00123E1A" w:rsidRPr="00177E1D">
        <w:rPr>
          <w:rFonts w:eastAsia="Times New Roman" w:cs="Times New Roman"/>
          <w:szCs w:val="20"/>
          <w:lang w:val="en-GB" w:eastAsia="en-GB"/>
        </w:rPr>
        <w:t xml:space="preserve"> </w:t>
      </w:r>
      <w:r w:rsidRPr="00177E1D">
        <w:rPr>
          <w:rFonts w:eastAsia="Times New Roman" w:cs="Times New Roman"/>
          <w:szCs w:val="20"/>
          <w:lang w:val="en-GB" w:eastAsia="en-GB"/>
        </w:rPr>
        <w:t xml:space="preserve">ways: </w:t>
      </w:r>
    </w:p>
    <w:p w:rsidR="004B74CF" w:rsidRPr="00177E1D" w:rsidRDefault="004B74CF" w:rsidP="005B5FC6">
      <w:pPr>
        <w:numPr>
          <w:ilvl w:val="1"/>
          <w:numId w:val="17"/>
        </w:numPr>
        <w:spacing w:before="120" w:line="240" w:lineRule="auto"/>
        <w:ind w:left="1134" w:hanging="425"/>
        <w:rPr>
          <w:rFonts w:eastAsia="Times New Roman" w:cs="Times New Roman"/>
          <w:szCs w:val="20"/>
          <w:lang w:val="en-GB" w:eastAsia="en-GB"/>
        </w:rPr>
      </w:pPr>
      <w:r w:rsidRPr="00177E1D">
        <w:rPr>
          <w:rFonts w:eastAsia="Times New Roman" w:cs="Times New Roman"/>
          <w:szCs w:val="20"/>
          <w:lang w:val="en-GB" w:eastAsia="en-GB"/>
        </w:rPr>
        <w:t xml:space="preserve">a one-off transitional cost of up-skilling current social workers who will need to obtain </w:t>
      </w:r>
      <w:r>
        <w:rPr>
          <w:rFonts w:eastAsia="Times New Roman" w:cs="Times New Roman"/>
          <w:szCs w:val="20"/>
          <w:lang w:val="en-GB" w:eastAsia="en-GB"/>
        </w:rPr>
        <w:t>a recognised</w:t>
      </w:r>
      <w:r w:rsidRPr="00177E1D">
        <w:rPr>
          <w:rFonts w:eastAsia="Times New Roman" w:cs="Times New Roman"/>
          <w:szCs w:val="20"/>
          <w:lang w:val="en-GB" w:eastAsia="en-GB"/>
        </w:rPr>
        <w:t xml:space="preserve"> social work qualificat</w:t>
      </w:r>
      <w:r>
        <w:rPr>
          <w:rFonts w:eastAsia="Times New Roman" w:cs="Times New Roman"/>
          <w:szCs w:val="20"/>
          <w:lang w:val="en-GB" w:eastAsia="en-GB"/>
        </w:rPr>
        <w:t>ion</w:t>
      </w:r>
      <w:r w:rsidRPr="00177E1D">
        <w:rPr>
          <w:rFonts w:eastAsia="Times New Roman" w:cs="Times New Roman"/>
          <w:szCs w:val="20"/>
          <w:lang w:val="en-GB" w:eastAsia="en-GB"/>
        </w:rPr>
        <w:t xml:space="preserve"> </w:t>
      </w:r>
    </w:p>
    <w:p w:rsidR="005E6548" w:rsidRDefault="004B74CF" w:rsidP="005B5FC6">
      <w:pPr>
        <w:numPr>
          <w:ilvl w:val="1"/>
          <w:numId w:val="17"/>
        </w:numPr>
        <w:spacing w:before="120" w:line="240" w:lineRule="auto"/>
        <w:ind w:left="1134" w:hanging="425"/>
        <w:rPr>
          <w:rFonts w:eastAsia="Times New Roman" w:cs="Times New Roman"/>
          <w:szCs w:val="20"/>
          <w:lang w:val="en-GB" w:eastAsia="en-GB"/>
        </w:rPr>
      </w:pPr>
      <w:r w:rsidRPr="00177E1D">
        <w:rPr>
          <w:rFonts w:eastAsia="Times New Roman" w:cs="Times New Roman"/>
          <w:szCs w:val="20"/>
          <w:lang w:val="en-GB" w:eastAsia="en-GB"/>
        </w:rPr>
        <w:t>on-going cost increases from registration, annual practicing certificate renewals</w:t>
      </w:r>
      <w:r>
        <w:rPr>
          <w:rFonts w:eastAsia="Times New Roman" w:cs="Times New Roman"/>
          <w:szCs w:val="20"/>
          <w:lang w:val="en-GB" w:eastAsia="en-GB"/>
        </w:rPr>
        <w:t>,</w:t>
      </w:r>
      <w:r w:rsidRPr="00177E1D">
        <w:rPr>
          <w:rFonts w:eastAsia="Times New Roman" w:cs="Times New Roman"/>
          <w:szCs w:val="20"/>
          <w:lang w:val="en-GB" w:eastAsia="en-GB"/>
        </w:rPr>
        <w:t xml:space="preserve"> </w:t>
      </w:r>
      <w:r>
        <w:rPr>
          <w:rFonts w:eastAsia="Times New Roman" w:cs="Times New Roman"/>
          <w:szCs w:val="20"/>
          <w:lang w:val="en-GB" w:eastAsia="en-GB"/>
        </w:rPr>
        <w:t xml:space="preserve">continuing </w:t>
      </w:r>
      <w:r w:rsidRPr="00177E1D">
        <w:rPr>
          <w:rFonts w:eastAsia="Times New Roman" w:cs="Times New Roman"/>
          <w:szCs w:val="20"/>
          <w:lang w:val="en-GB" w:eastAsia="en-GB"/>
        </w:rPr>
        <w:t xml:space="preserve">professional </w:t>
      </w:r>
      <w:r w:rsidRPr="004B74CF">
        <w:rPr>
          <w:rFonts w:eastAsia="Times New Roman" w:cs="Times New Roman"/>
          <w:szCs w:val="20"/>
          <w:lang w:val="en-GB" w:eastAsia="en-GB"/>
        </w:rPr>
        <w:t xml:space="preserve">development and supervision for newly registered social workers </w:t>
      </w:r>
    </w:p>
    <w:p w:rsidR="004B74CF" w:rsidRPr="005E6548" w:rsidRDefault="005E6548" w:rsidP="005B5FC6">
      <w:pPr>
        <w:numPr>
          <w:ilvl w:val="1"/>
          <w:numId w:val="17"/>
        </w:numPr>
        <w:spacing w:before="120" w:line="240" w:lineRule="auto"/>
        <w:ind w:left="1134" w:hanging="425"/>
        <w:rPr>
          <w:rFonts w:eastAsia="Times New Roman" w:cs="Times New Roman"/>
          <w:szCs w:val="20"/>
          <w:lang w:val="en-GB" w:eastAsia="en-GB"/>
        </w:rPr>
      </w:pPr>
      <w:proofErr w:type="gramStart"/>
      <w:r>
        <w:rPr>
          <w:rFonts w:eastAsia="Times New Roman" w:cs="Times New Roman"/>
          <w:szCs w:val="20"/>
          <w:lang w:val="en-GB" w:eastAsia="en-GB"/>
        </w:rPr>
        <w:t>increased</w:t>
      </w:r>
      <w:proofErr w:type="gramEnd"/>
      <w:r>
        <w:rPr>
          <w:rFonts w:eastAsia="Times New Roman" w:cs="Times New Roman"/>
          <w:szCs w:val="20"/>
          <w:lang w:val="en-GB" w:eastAsia="en-GB"/>
        </w:rPr>
        <w:t xml:space="preserve"> professionalism and expectations of increasing quality may lead to pressures to increase salary levels, particularly in the NGO sector.</w:t>
      </w:r>
    </w:p>
    <w:p w:rsidR="004B74CF" w:rsidRPr="004B74CF" w:rsidRDefault="00880438" w:rsidP="005B5FC6">
      <w:pPr>
        <w:numPr>
          <w:ilvl w:val="0"/>
          <w:numId w:val="23"/>
        </w:numPr>
        <w:spacing w:after="240" w:line="240" w:lineRule="auto"/>
        <w:ind w:left="567" w:hanging="567"/>
        <w:rPr>
          <w:rFonts w:eastAsia="Times New Roman"/>
          <w:szCs w:val="20"/>
          <w:lang w:val="en-GB" w:eastAsia="en-GB"/>
        </w:rPr>
      </w:pPr>
      <w:r>
        <w:t xml:space="preserve">Because </w:t>
      </w:r>
      <w:r w:rsidR="00412377">
        <w:t>of</w:t>
      </w:r>
      <w:r w:rsidR="004B74CF" w:rsidRPr="004B74CF">
        <w:t xml:space="preserve"> incomplete information about the numbers and circumstances of the estimated 2,000 unregistered social workers, it is very difficult estimate how many are likely to need to undertake training.</w:t>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 xml:space="preserve">Based on our earlier estimates of unregistered social workers, up to 1,200 practising social workers are likely to be tertiary qualified already. Many may already have Board recognised social work qualifications and have chosen not to register as a social worker for various reasons.  However, a proportion of these tertiary qualified people may have other qualifications (such as a Bachelor of Arts in psychology, sociology, or anthropology) that may be “cross creditable” and only require completion of a reduced length social work qualification before they can </w:t>
      </w:r>
      <w:r w:rsidRPr="005970B3">
        <w:lastRenderedPageBreak/>
        <w:t>register as social workers. The</w:t>
      </w:r>
      <w:r w:rsidR="00F51DD6">
        <w:t>s</w:t>
      </w:r>
      <w:r w:rsidRPr="005970B3">
        <w:t>e people are “</w:t>
      </w:r>
      <w:proofErr w:type="spellStart"/>
      <w:r w:rsidR="005E562D">
        <w:t>registrable</w:t>
      </w:r>
      <w:proofErr w:type="spellEnd"/>
      <w:r w:rsidRPr="005970B3">
        <w:t>” on the basis that they could qualify for provisional registration under section 10.</w:t>
      </w:r>
      <w:r w:rsidRPr="005970B3">
        <w:rPr>
          <w:rStyle w:val="FootnoteReference"/>
        </w:rPr>
        <w:footnoteReference w:id="22"/>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 xml:space="preserve">Around 330 are likely to be able to qualify via section 13, so will not require additional training to gain </w:t>
      </w:r>
      <w:proofErr w:type="gramStart"/>
      <w:r w:rsidRPr="005970B3">
        <w:t>registration.</w:t>
      </w:r>
      <w:proofErr w:type="gramEnd"/>
      <w:r w:rsidRPr="005970B3">
        <w:t xml:space="preserve">  However, it is possible that some of these people may elect to up-skill anyway, to formalise their knowledge and gain peer recognition.  </w:t>
      </w: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t>Of the remaining 470, some may have no tertiary qualification, and will need to undertake a four year tertiary course if they want to be employed as registered social workers.  For others, we simply do not know and have to presume they will require tertiary training.</w:t>
      </w:r>
    </w:p>
    <w:p w:rsidR="005970B3" w:rsidRPr="005970B3" w:rsidRDefault="005970B3" w:rsidP="005B5FC6">
      <w:pPr>
        <w:pStyle w:val="ListParagraph"/>
        <w:numPr>
          <w:ilvl w:val="0"/>
          <w:numId w:val="23"/>
        </w:numPr>
        <w:spacing w:after="0" w:line="240" w:lineRule="auto"/>
        <w:ind w:left="567" w:hanging="567"/>
        <w:rPr>
          <w:rFonts w:ascii="Times New Roman" w:hAnsi="Times New Roman" w:cs="Times New Roman"/>
          <w:sz w:val="24"/>
          <w:szCs w:val="24"/>
          <w:lang w:eastAsia="en-NZ"/>
        </w:rPr>
      </w:pPr>
      <w:r w:rsidRPr="005970B3">
        <w:t>Indicative cost estimates have been based on 500 full-time equivalent social work students per year who need to up-skill by taking a tertiary course of study, either for a full four years or for a reduced two year programme.  Some students may choose to study part time and take longer to up-skill.</w:t>
      </w:r>
      <w:r w:rsidRPr="005970B3">
        <w:rPr>
          <w:rFonts w:ascii="Times New Roman" w:hAnsi="Times New Roman" w:cs="Times New Roman"/>
          <w:sz w:val="24"/>
          <w:szCs w:val="24"/>
          <w:lang w:eastAsia="en-NZ"/>
        </w:rPr>
        <w:t xml:space="preserve"> </w:t>
      </w:r>
    </w:p>
    <w:p w:rsidR="005970B3" w:rsidRPr="005970B3" w:rsidRDefault="005970B3" w:rsidP="005970B3">
      <w:pPr>
        <w:pStyle w:val="ListParagraph"/>
        <w:spacing w:after="0" w:line="240" w:lineRule="auto"/>
        <w:ind w:left="567"/>
        <w:rPr>
          <w:rFonts w:ascii="Times New Roman" w:hAnsi="Times New Roman" w:cs="Times New Roman"/>
          <w:sz w:val="24"/>
          <w:szCs w:val="24"/>
          <w:lang w:eastAsia="en-NZ"/>
        </w:rPr>
      </w:pPr>
    </w:p>
    <w:p w:rsidR="005970B3" w:rsidRPr="005970B3" w:rsidRDefault="005970B3" w:rsidP="005B5FC6">
      <w:pPr>
        <w:numPr>
          <w:ilvl w:val="0"/>
          <w:numId w:val="23"/>
        </w:numPr>
        <w:spacing w:after="240" w:line="240" w:lineRule="auto"/>
        <w:ind w:left="567" w:hanging="567"/>
        <w:rPr>
          <w:rFonts w:eastAsia="Times New Roman"/>
          <w:szCs w:val="20"/>
          <w:lang w:val="en-GB" w:eastAsia="en-GB"/>
        </w:rPr>
      </w:pPr>
      <w:r w:rsidRPr="005970B3">
        <w:rPr>
          <w:rFonts w:eastAsia="Times New Roman"/>
          <w:szCs w:val="20"/>
          <w:lang w:val="en-GB" w:eastAsia="en-GB"/>
        </w:rPr>
        <w:t>Educational costs of up to $5 million per year are estimated in the first few years until up-skilling of the currently practising insufficiently qualified social workers is complete.</w:t>
      </w:r>
      <w:r w:rsidRPr="005970B3">
        <w:rPr>
          <w:rStyle w:val="FootnoteReference"/>
        </w:rPr>
        <w:t xml:space="preserve"> </w:t>
      </w:r>
      <w:r w:rsidRPr="005970B3">
        <w:rPr>
          <w:rStyle w:val="FootnoteReference"/>
        </w:rPr>
        <w:footnoteReference w:id="23"/>
      </w:r>
      <w:r w:rsidRPr="005970B3">
        <w:t xml:space="preserve"> </w:t>
      </w:r>
      <w:r w:rsidRPr="005970B3">
        <w:rPr>
          <w:rFonts w:eastAsia="Times New Roman"/>
          <w:szCs w:val="20"/>
          <w:lang w:val="en-GB" w:eastAsia="en-GB"/>
        </w:rPr>
        <w:t xml:space="preserve"> Options to recognise and accredit work experience and previous study toward the required qualifications may reduce costs.  </w:t>
      </w:r>
    </w:p>
    <w:p w:rsidR="00123E1A" w:rsidRPr="00177E1D" w:rsidRDefault="00123E1A" w:rsidP="005B5FC6">
      <w:pPr>
        <w:numPr>
          <w:ilvl w:val="0"/>
          <w:numId w:val="23"/>
        </w:numPr>
        <w:spacing w:after="240" w:line="240" w:lineRule="auto"/>
        <w:ind w:left="567" w:hanging="567"/>
        <w:rPr>
          <w:rFonts w:ascii="Times New Roman" w:hAnsi="Times New Roman" w:cs="Times New Roman"/>
          <w:sz w:val="24"/>
          <w:szCs w:val="24"/>
          <w:lang w:eastAsia="en-NZ"/>
        </w:rPr>
      </w:pPr>
      <w:r w:rsidRPr="00177E1D">
        <w:rPr>
          <w:rFonts w:eastAsia="Times New Roman"/>
          <w:szCs w:val="20"/>
          <w:lang w:val="en-GB" w:eastAsia="en-GB"/>
        </w:rPr>
        <w:t>On-going cost increases will arise from new registrations, annual practi</w:t>
      </w:r>
      <w:r>
        <w:rPr>
          <w:rFonts w:eastAsia="Times New Roman"/>
          <w:szCs w:val="20"/>
          <w:lang w:val="en-GB" w:eastAsia="en-GB"/>
        </w:rPr>
        <w:t>s</w:t>
      </w:r>
      <w:r w:rsidRPr="00177E1D">
        <w:rPr>
          <w:rFonts w:eastAsia="Times New Roman"/>
          <w:szCs w:val="20"/>
          <w:lang w:val="en-GB" w:eastAsia="en-GB"/>
        </w:rPr>
        <w:t xml:space="preserve">ing certificates and continuing professional development. </w:t>
      </w:r>
      <w:r w:rsidR="005E6548">
        <w:rPr>
          <w:rFonts w:eastAsia="Times New Roman" w:cs="Times New Roman"/>
          <w:szCs w:val="20"/>
          <w:lang w:val="en-GB" w:eastAsia="en-GB"/>
        </w:rPr>
        <w:t xml:space="preserve"> </w:t>
      </w:r>
      <w:r w:rsidR="005E6548">
        <w:rPr>
          <w:rFonts w:eastAsia="Times New Roman"/>
          <w:szCs w:val="20"/>
          <w:lang w:val="en-GB" w:eastAsia="en-GB"/>
        </w:rPr>
        <w:t>At present rates</w:t>
      </w:r>
      <w:r w:rsidRPr="00177E1D">
        <w:rPr>
          <w:rFonts w:eastAsia="Times New Roman"/>
          <w:szCs w:val="20"/>
          <w:lang w:val="en-GB" w:eastAsia="en-GB"/>
        </w:rPr>
        <w:t xml:space="preserve">, an additional 2,000 registrations would give rise to a total of $690,000 in new registration fees, and $736,000 in annual practicing certificate fees.  </w:t>
      </w:r>
      <w:r w:rsidR="005E6548">
        <w:rPr>
          <w:rFonts w:eastAsia="Times New Roman" w:cs="Times New Roman"/>
          <w:szCs w:val="20"/>
          <w:lang w:val="en-GB" w:eastAsia="en-GB"/>
        </w:rPr>
        <w:t>However t</w:t>
      </w:r>
      <w:r w:rsidR="005E6548" w:rsidRPr="004B74CF">
        <w:rPr>
          <w:rFonts w:eastAsia="Times New Roman" w:cs="Times New Roman"/>
          <w:szCs w:val="20"/>
          <w:lang w:val="en-GB" w:eastAsia="en-GB"/>
        </w:rPr>
        <w:t xml:space="preserve">he Board </w:t>
      </w:r>
      <w:r w:rsidR="005E6548">
        <w:rPr>
          <w:rFonts w:eastAsia="Times New Roman" w:cs="Times New Roman"/>
          <w:szCs w:val="20"/>
          <w:lang w:val="en-GB" w:eastAsia="en-GB"/>
        </w:rPr>
        <w:t>has estimated</w:t>
      </w:r>
      <w:r w:rsidR="005E6548" w:rsidRPr="004B74CF">
        <w:rPr>
          <w:rFonts w:eastAsia="Times New Roman" w:cs="Times New Roman"/>
          <w:szCs w:val="20"/>
          <w:lang w:val="en-GB" w:eastAsia="en-GB"/>
        </w:rPr>
        <w:t xml:space="preserve"> a 30% reduction in annual practicing certificate costs to individuals, because of economies of scale</w:t>
      </w:r>
      <w:r w:rsidR="005E6548">
        <w:rPr>
          <w:rFonts w:eastAsia="Times New Roman" w:cs="Times New Roman"/>
          <w:szCs w:val="20"/>
          <w:lang w:val="en-GB" w:eastAsia="en-GB"/>
        </w:rPr>
        <w:t xml:space="preserve">.  </w:t>
      </w:r>
      <w:r w:rsidRPr="00177E1D">
        <w:rPr>
          <w:rFonts w:eastAsia="Times New Roman"/>
          <w:szCs w:val="20"/>
          <w:lang w:val="en-GB" w:eastAsia="en-GB"/>
        </w:rPr>
        <w:t xml:space="preserve">Employers may also have to meet extra costs from staff taking time away from core social work activities for the proposed 20 hours per year </w:t>
      </w:r>
      <w:r w:rsidR="00D9009E">
        <w:rPr>
          <w:rFonts w:eastAsia="Times New Roman"/>
          <w:szCs w:val="20"/>
          <w:lang w:val="en-GB" w:eastAsia="en-GB"/>
        </w:rPr>
        <w:t xml:space="preserve">of </w:t>
      </w:r>
      <w:r w:rsidR="00D9009E" w:rsidRPr="00177E1D">
        <w:rPr>
          <w:rFonts w:eastAsia="Times New Roman"/>
          <w:szCs w:val="20"/>
          <w:lang w:val="en-GB" w:eastAsia="en-GB"/>
        </w:rPr>
        <w:t>continuing professional development</w:t>
      </w:r>
      <w:r w:rsidRPr="00177E1D">
        <w:rPr>
          <w:rFonts w:eastAsia="Times New Roman"/>
          <w:szCs w:val="20"/>
          <w:lang w:val="en-GB" w:eastAsia="en-GB"/>
        </w:rPr>
        <w:t>.</w:t>
      </w:r>
      <w:r w:rsidRPr="00177E1D">
        <w:rPr>
          <w:rFonts w:ascii="Arial" w:hAnsi="Arial"/>
          <w:sz w:val="23"/>
          <w:szCs w:val="23"/>
        </w:rPr>
        <w:t xml:space="preserve"> </w:t>
      </w:r>
    </w:p>
    <w:p w:rsidR="00123E1A" w:rsidRPr="003D1DF6" w:rsidRDefault="00123E1A" w:rsidP="003D1DF6">
      <w:pPr>
        <w:spacing w:after="240" w:line="240" w:lineRule="auto"/>
        <w:rPr>
          <w:rFonts w:eastAsia="Times New Roman" w:cs="Times New Roman"/>
          <w:i/>
          <w:szCs w:val="20"/>
          <w:lang w:val="en-GB" w:eastAsia="en-GB"/>
        </w:rPr>
      </w:pPr>
      <w:r w:rsidRPr="003D1DF6">
        <w:rPr>
          <w:rFonts w:eastAsia="Times New Roman" w:cs="Times New Roman"/>
          <w:i/>
          <w:szCs w:val="20"/>
          <w:lang w:val="en-GB" w:eastAsia="en-GB"/>
        </w:rPr>
        <w:t>Impacts of cost increases</w:t>
      </w:r>
    </w:p>
    <w:p w:rsidR="004B74CF" w:rsidRPr="00177E1D" w:rsidRDefault="004B74CF" w:rsidP="005B5FC6">
      <w:pPr>
        <w:numPr>
          <w:ilvl w:val="0"/>
          <w:numId w:val="23"/>
        </w:numPr>
        <w:spacing w:after="240" w:line="240" w:lineRule="auto"/>
        <w:ind w:left="567" w:hanging="567"/>
        <w:rPr>
          <w:rFonts w:eastAsia="Times New Roman"/>
          <w:szCs w:val="20"/>
          <w:lang w:val="en-GB" w:eastAsia="en-GB"/>
        </w:rPr>
      </w:pPr>
      <w:r w:rsidRPr="00177E1D">
        <w:rPr>
          <w:rFonts w:eastAsia="Times New Roman"/>
          <w:szCs w:val="20"/>
          <w:lang w:val="en-GB" w:eastAsia="en-GB"/>
        </w:rPr>
        <w:t>Increased training costs for both currently practi</w:t>
      </w:r>
      <w:r>
        <w:rPr>
          <w:rFonts w:eastAsia="Times New Roman"/>
          <w:szCs w:val="20"/>
          <w:lang w:val="en-GB" w:eastAsia="en-GB"/>
        </w:rPr>
        <w:t>s</w:t>
      </w:r>
      <w:r w:rsidRPr="00177E1D">
        <w:rPr>
          <w:rFonts w:eastAsia="Times New Roman"/>
          <w:szCs w:val="20"/>
          <w:lang w:val="en-GB" w:eastAsia="en-GB"/>
        </w:rPr>
        <w:t>ing social workers and future social workers will fall primarily in the education sector,</w:t>
      </w:r>
      <w:r>
        <w:rPr>
          <w:rFonts w:eastAsia="Times New Roman"/>
          <w:szCs w:val="20"/>
          <w:lang w:val="en-GB" w:eastAsia="en-GB"/>
        </w:rPr>
        <w:t xml:space="preserve"> to tertiary training providers, </w:t>
      </w:r>
      <w:r w:rsidRPr="00177E1D">
        <w:rPr>
          <w:rFonts w:eastAsia="Times New Roman"/>
          <w:szCs w:val="20"/>
          <w:lang w:val="en-GB" w:eastAsia="en-GB"/>
        </w:rPr>
        <w:t xml:space="preserve">student </w:t>
      </w:r>
      <w:r>
        <w:rPr>
          <w:rFonts w:eastAsia="Times New Roman"/>
          <w:szCs w:val="20"/>
          <w:lang w:val="en-GB" w:eastAsia="en-GB"/>
        </w:rPr>
        <w:t xml:space="preserve">allowances and the student </w:t>
      </w:r>
      <w:r w:rsidR="00DA34E5">
        <w:rPr>
          <w:rFonts w:eastAsia="Times New Roman"/>
          <w:szCs w:val="20"/>
          <w:lang w:val="en-GB" w:eastAsia="en-GB"/>
        </w:rPr>
        <w:t>loan scheme.</w:t>
      </w:r>
      <w:r w:rsidRPr="00177E1D">
        <w:rPr>
          <w:rFonts w:eastAsia="Times New Roman"/>
          <w:szCs w:val="20"/>
          <w:lang w:val="en-GB" w:eastAsia="en-GB"/>
        </w:rPr>
        <w:t xml:space="preserve">  It would require additional funding or reprioritisation within the sector.</w:t>
      </w:r>
    </w:p>
    <w:p w:rsidR="00123E1A" w:rsidRPr="003D1DF6" w:rsidRDefault="001C354D" w:rsidP="005B5FC6">
      <w:pPr>
        <w:numPr>
          <w:ilvl w:val="0"/>
          <w:numId w:val="23"/>
        </w:numPr>
        <w:spacing w:after="240" w:line="240" w:lineRule="auto"/>
        <w:ind w:left="567" w:hanging="567"/>
        <w:rPr>
          <w:rFonts w:ascii="Times New Roman" w:hAnsi="Times New Roman" w:cs="Times New Roman"/>
          <w:sz w:val="24"/>
          <w:szCs w:val="24"/>
          <w:lang w:eastAsia="en-NZ"/>
        </w:rPr>
      </w:pPr>
      <w:r>
        <w:rPr>
          <w:rFonts w:eastAsia="Times New Roman"/>
          <w:szCs w:val="20"/>
          <w:lang w:val="en-GB" w:eastAsia="en-GB"/>
        </w:rPr>
        <w:t>Increased annual</w:t>
      </w:r>
      <w:r w:rsidR="00123E1A" w:rsidRPr="00177E1D">
        <w:rPr>
          <w:rFonts w:eastAsia="Times New Roman"/>
          <w:szCs w:val="20"/>
          <w:lang w:val="en-GB" w:eastAsia="en-GB"/>
        </w:rPr>
        <w:t xml:space="preserve"> costs </w:t>
      </w:r>
      <w:r>
        <w:rPr>
          <w:rFonts w:eastAsia="Times New Roman"/>
          <w:szCs w:val="20"/>
          <w:lang w:val="en-GB" w:eastAsia="en-GB"/>
        </w:rPr>
        <w:t>will</w:t>
      </w:r>
      <w:r w:rsidR="00123E1A" w:rsidRPr="00177E1D">
        <w:rPr>
          <w:rFonts w:eastAsia="Times New Roman"/>
          <w:szCs w:val="20"/>
          <w:lang w:val="en-GB" w:eastAsia="en-GB"/>
        </w:rPr>
        <w:t xml:space="preserve"> </w:t>
      </w:r>
      <w:r>
        <w:rPr>
          <w:rFonts w:eastAsia="Times New Roman"/>
          <w:szCs w:val="20"/>
          <w:lang w:val="en-GB" w:eastAsia="en-GB"/>
        </w:rPr>
        <w:t xml:space="preserve">immediately </w:t>
      </w:r>
      <w:r w:rsidR="00123E1A" w:rsidRPr="00177E1D">
        <w:rPr>
          <w:rFonts w:eastAsia="Times New Roman"/>
          <w:szCs w:val="20"/>
          <w:lang w:val="en-GB" w:eastAsia="en-GB"/>
        </w:rPr>
        <w:t xml:space="preserve">be met by individual social workers, </w:t>
      </w:r>
      <w:r>
        <w:rPr>
          <w:rFonts w:eastAsia="Times New Roman"/>
          <w:szCs w:val="20"/>
          <w:lang w:val="en-GB" w:eastAsia="en-GB"/>
        </w:rPr>
        <w:t xml:space="preserve">but </w:t>
      </w:r>
      <w:r w:rsidRPr="00177E1D">
        <w:rPr>
          <w:rFonts w:eastAsia="Times New Roman"/>
          <w:szCs w:val="20"/>
          <w:lang w:val="en-GB" w:eastAsia="en-GB"/>
        </w:rPr>
        <w:t xml:space="preserve">ultimately </w:t>
      </w:r>
      <w:r>
        <w:rPr>
          <w:rFonts w:eastAsia="Times New Roman"/>
          <w:szCs w:val="20"/>
          <w:lang w:val="en-GB" w:eastAsia="en-GB"/>
        </w:rPr>
        <w:t xml:space="preserve">flow to </w:t>
      </w:r>
      <w:r w:rsidR="00123E1A" w:rsidRPr="00177E1D">
        <w:rPr>
          <w:rFonts w:eastAsia="Times New Roman"/>
          <w:szCs w:val="20"/>
          <w:lang w:val="en-GB" w:eastAsia="en-GB"/>
        </w:rPr>
        <w:t xml:space="preserve">their employers.  There will be </w:t>
      </w:r>
      <w:r>
        <w:rPr>
          <w:rFonts w:eastAsia="Times New Roman"/>
          <w:szCs w:val="20"/>
          <w:lang w:val="en-GB" w:eastAsia="en-GB"/>
        </w:rPr>
        <w:t>a</w:t>
      </w:r>
      <w:r w:rsidR="00123E1A" w:rsidRPr="00177E1D">
        <w:rPr>
          <w:rFonts w:eastAsia="Times New Roman"/>
          <w:szCs w:val="20"/>
          <w:lang w:val="en-GB" w:eastAsia="en-GB"/>
        </w:rPr>
        <w:t xml:space="preserve"> financial impact on the NGO sector, and they are likely to look to government agencies to support them financially to make this transition. </w:t>
      </w:r>
    </w:p>
    <w:p w:rsidR="001B6B7B" w:rsidRPr="00B73299" w:rsidRDefault="001C354D"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However </w:t>
      </w:r>
      <w:r w:rsidR="00DA34E5">
        <w:rPr>
          <w:rFonts w:eastAsia="Times New Roman"/>
          <w:szCs w:val="20"/>
          <w:lang w:val="en-GB" w:eastAsia="en-GB"/>
        </w:rPr>
        <w:t>a</w:t>
      </w:r>
      <w:r w:rsidR="00215573">
        <w:rPr>
          <w:rFonts w:eastAsia="Times New Roman"/>
          <w:szCs w:val="20"/>
          <w:lang w:val="en-GB" w:eastAsia="en-GB"/>
        </w:rPr>
        <w:t xml:space="preserve"> possible risk</w:t>
      </w:r>
      <w:r w:rsidR="005E6548" w:rsidRPr="00123E1A">
        <w:rPr>
          <w:rFonts w:eastAsia="Times New Roman"/>
          <w:szCs w:val="20"/>
          <w:lang w:val="en-GB" w:eastAsia="en-GB"/>
        </w:rPr>
        <w:t xml:space="preserve"> </w:t>
      </w:r>
      <w:r w:rsidR="00215573">
        <w:rPr>
          <w:rFonts w:eastAsia="Times New Roman"/>
          <w:szCs w:val="20"/>
          <w:lang w:val="en-GB" w:eastAsia="en-GB"/>
        </w:rPr>
        <w:t xml:space="preserve">to NGOs arising from the proposed changes is not from </w:t>
      </w:r>
      <w:r w:rsidR="005E6548" w:rsidRPr="00123E1A">
        <w:rPr>
          <w:rFonts w:eastAsia="Times New Roman"/>
          <w:szCs w:val="20"/>
          <w:lang w:val="en-GB" w:eastAsia="en-GB"/>
        </w:rPr>
        <w:t xml:space="preserve">the payment of the registration fee or even </w:t>
      </w:r>
      <w:r w:rsidR="000F1702">
        <w:rPr>
          <w:rFonts w:eastAsia="Times New Roman"/>
          <w:szCs w:val="20"/>
          <w:lang w:val="en-GB" w:eastAsia="en-GB"/>
        </w:rPr>
        <w:t>annual practicing certificate</w:t>
      </w:r>
      <w:r w:rsidR="005E6548" w:rsidRPr="00123E1A">
        <w:rPr>
          <w:rFonts w:eastAsia="Times New Roman"/>
          <w:szCs w:val="20"/>
          <w:lang w:val="en-GB" w:eastAsia="en-GB"/>
        </w:rPr>
        <w:t xml:space="preserve">, but rather the </w:t>
      </w:r>
      <w:r w:rsidR="001B6B7B">
        <w:rPr>
          <w:rFonts w:eastAsia="Times New Roman"/>
          <w:szCs w:val="20"/>
          <w:lang w:val="en-GB" w:eastAsia="en-GB"/>
        </w:rPr>
        <w:t xml:space="preserve">increasing </w:t>
      </w:r>
      <w:r w:rsidR="005E6548" w:rsidRPr="00123E1A">
        <w:rPr>
          <w:rFonts w:eastAsia="Times New Roman"/>
          <w:szCs w:val="20"/>
          <w:lang w:val="en-GB" w:eastAsia="en-GB"/>
        </w:rPr>
        <w:t xml:space="preserve">cost of paying for </w:t>
      </w:r>
      <w:r>
        <w:rPr>
          <w:rFonts w:eastAsia="Times New Roman"/>
          <w:szCs w:val="20"/>
          <w:lang w:val="en-GB" w:eastAsia="en-GB"/>
        </w:rPr>
        <w:t xml:space="preserve">better </w:t>
      </w:r>
      <w:r w:rsidR="005E6548" w:rsidRPr="00123E1A">
        <w:rPr>
          <w:rFonts w:eastAsia="Times New Roman"/>
          <w:szCs w:val="20"/>
          <w:lang w:val="en-GB" w:eastAsia="en-GB"/>
        </w:rPr>
        <w:t xml:space="preserve">qualified </w:t>
      </w:r>
      <w:r w:rsidR="003D1DF6" w:rsidRPr="00123E1A">
        <w:rPr>
          <w:rFonts w:eastAsia="Times New Roman"/>
          <w:szCs w:val="20"/>
          <w:lang w:val="en-GB" w:eastAsia="en-GB"/>
        </w:rPr>
        <w:t>staff,</w:t>
      </w:r>
      <w:r>
        <w:rPr>
          <w:rFonts w:eastAsia="Times New Roman"/>
          <w:szCs w:val="20"/>
          <w:lang w:val="en-GB" w:eastAsia="en-GB"/>
        </w:rPr>
        <w:t xml:space="preserve"> including </w:t>
      </w:r>
      <w:r w:rsidR="005E6548" w:rsidRPr="00123E1A">
        <w:rPr>
          <w:rFonts w:eastAsia="Times New Roman"/>
          <w:szCs w:val="20"/>
          <w:lang w:val="en-GB" w:eastAsia="en-GB"/>
        </w:rPr>
        <w:t xml:space="preserve">providing them with time for </w:t>
      </w:r>
      <w:r w:rsidRPr="00123E1A">
        <w:rPr>
          <w:rFonts w:eastAsia="Times New Roman"/>
          <w:szCs w:val="20"/>
          <w:lang w:val="en-GB" w:eastAsia="en-GB"/>
        </w:rPr>
        <w:t>C</w:t>
      </w:r>
      <w:r>
        <w:rPr>
          <w:rFonts w:eastAsia="Times New Roman"/>
          <w:szCs w:val="20"/>
          <w:lang w:val="en-GB" w:eastAsia="en-GB"/>
        </w:rPr>
        <w:t xml:space="preserve">ontinuing </w:t>
      </w:r>
      <w:r w:rsidR="005E6548" w:rsidRPr="00123E1A">
        <w:rPr>
          <w:rFonts w:eastAsia="Times New Roman"/>
          <w:szCs w:val="20"/>
          <w:lang w:val="en-GB" w:eastAsia="en-GB"/>
        </w:rPr>
        <w:t>P</w:t>
      </w:r>
      <w:r>
        <w:rPr>
          <w:rFonts w:eastAsia="Times New Roman"/>
          <w:szCs w:val="20"/>
          <w:lang w:val="en-GB" w:eastAsia="en-GB"/>
        </w:rPr>
        <w:t xml:space="preserve">rofessional </w:t>
      </w:r>
      <w:r w:rsidR="005E6548" w:rsidRPr="00123E1A">
        <w:rPr>
          <w:rFonts w:eastAsia="Times New Roman"/>
          <w:szCs w:val="20"/>
          <w:lang w:val="en-GB" w:eastAsia="en-GB"/>
        </w:rPr>
        <w:t>D</w:t>
      </w:r>
      <w:r>
        <w:rPr>
          <w:rFonts w:eastAsia="Times New Roman"/>
          <w:szCs w:val="20"/>
          <w:lang w:val="en-GB" w:eastAsia="en-GB"/>
        </w:rPr>
        <w:t>evelopment</w:t>
      </w:r>
      <w:r w:rsidR="005E6548" w:rsidRPr="00123E1A">
        <w:rPr>
          <w:rFonts w:eastAsia="Times New Roman"/>
          <w:szCs w:val="20"/>
          <w:lang w:val="en-GB" w:eastAsia="en-GB"/>
        </w:rPr>
        <w:t xml:space="preserve">. </w:t>
      </w:r>
      <w:r w:rsidR="00215573">
        <w:rPr>
          <w:rFonts w:eastAsia="Times New Roman"/>
          <w:szCs w:val="20"/>
          <w:lang w:val="en-GB" w:eastAsia="en-GB"/>
        </w:rPr>
        <w:t xml:space="preserve"> </w:t>
      </w:r>
      <w:r w:rsidR="005E6548" w:rsidRPr="00123E1A">
        <w:rPr>
          <w:rFonts w:eastAsia="Times New Roman"/>
          <w:szCs w:val="20"/>
          <w:lang w:val="en-GB" w:eastAsia="en-GB"/>
        </w:rPr>
        <w:t xml:space="preserve">These costs, if not met, </w:t>
      </w:r>
      <w:r w:rsidR="00215573">
        <w:rPr>
          <w:rFonts w:eastAsia="Times New Roman"/>
          <w:szCs w:val="20"/>
          <w:lang w:val="en-GB" w:eastAsia="en-GB"/>
        </w:rPr>
        <w:t xml:space="preserve">may </w:t>
      </w:r>
      <w:r w:rsidR="005E6548" w:rsidRPr="00123E1A">
        <w:rPr>
          <w:rFonts w:eastAsia="Times New Roman"/>
          <w:szCs w:val="20"/>
          <w:lang w:val="en-GB" w:eastAsia="en-GB"/>
        </w:rPr>
        <w:t xml:space="preserve">lead to staff leaving, going to larger NGOs or government agencies who can afford to pay </w:t>
      </w:r>
      <w:r w:rsidR="00803023">
        <w:rPr>
          <w:rFonts w:eastAsia="Times New Roman"/>
          <w:szCs w:val="20"/>
          <w:lang w:val="en-GB" w:eastAsia="en-GB"/>
        </w:rPr>
        <w:t>better</w:t>
      </w:r>
      <w:r w:rsidR="005E6548" w:rsidRPr="00123E1A">
        <w:rPr>
          <w:rFonts w:eastAsia="Times New Roman"/>
          <w:szCs w:val="20"/>
          <w:lang w:val="en-GB" w:eastAsia="en-GB"/>
        </w:rPr>
        <w:t xml:space="preserve"> rates and offer the</w:t>
      </w:r>
      <w:r w:rsidR="00DA34E5">
        <w:rPr>
          <w:rFonts w:eastAsia="Times New Roman"/>
          <w:szCs w:val="20"/>
          <w:lang w:val="en-GB" w:eastAsia="en-GB"/>
        </w:rPr>
        <w:t xml:space="preserve"> professional support required.</w:t>
      </w:r>
    </w:p>
    <w:p w:rsidR="005E6548" w:rsidRPr="00123E1A" w:rsidRDefault="00215573"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lastRenderedPageBreak/>
        <w:t>A move to mandatory registration</w:t>
      </w:r>
      <w:r w:rsidR="005E6548" w:rsidRPr="00123E1A">
        <w:rPr>
          <w:rFonts w:eastAsia="Times New Roman"/>
          <w:szCs w:val="20"/>
          <w:lang w:val="en-GB" w:eastAsia="en-GB"/>
        </w:rPr>
        <w:t xml:space="preserve"> </w:t>
      </w:r>
      <w:r>
        <w:rPr>
          <w:rFonts w:eastAsia="Times New Roman"/>
          <w:szCs w:val="20"/>
          <w:lang w:val="en-GB" w:eastAsia="en-GB"/>
        </w:rPr>
        <w:t>could leave smaller NGO</w:t>
      </w:r>
      <w:r w:rsidR="003D1DF6">
        <w:rPr>
          <w:rFonts w:eastAsia="Times New Roman"/>
          <w:szCs w:val="20"/>
          <w:lang w:val="en-GB" w:eastAsia="en-GB"/>
        </w:rPr>
        <w:t>s</w:t>
      </w:r>
      <w:r>
        <w:rPr>
          <w:rFonts w:eastAsia="Times New Roman"/>
          <w:szCs w:val="20"/>
          <w:lang w:val="en-GB" w:eastAsia="en-GB"/>
        </w:rPr>
        <w:t xml:space="preserve"> </w:t>
      </w:r>
      <w:r w:rsidR="005E6548" w:rsidRPr="00123E1A">
        <w:rPr>
          <w:rFonts w:eastAsia="Times New Roman"/>
          <w:szCs w:val="20"/>
          <w:lang w:val="en-GB" w:eastAsia="en-GB"/>
        </w:rPr>
        <w:t>having to either recruit inexperienced staff, or being unable to meet the requirement for holding government contracts (typically either MSD or DHB</w:t>
      </w:r>
      <w:r>
        <w:rPr>
          <w:rFonts w:eastAsia="Times New Roman"/>
          <w:szCs w:val="20"/>
          <w:lang w:val="en-GB" w:eastAsia="en-GB"/>
        </w:rPr>
        <w:t xml:space="preserve"> contracts</w:t>
      </w:r>
      <w:r w:rsidR="005E6548" w:rsidRPr="00123E1A">
        <w:rPr>
          <w:rFonts w:eastAsia="Times New Roman"/>
          <w:szCs w:val="20"/>
          <w:lang w:val="en-GB" w:eastAsia="en-GB"/>
        </w:rPr>
        <w:t xml:space="preserve">). </w:t>
      </w:r>
      <w:r>
        <w:rPr>
          <w:rFonts w:eastAsia="Times New Roman"/>
          <w:szCs w:val="20"/>
          <w:lang w:val="en-GB" w:eastAsia="en-GB"/>
        </w:rPr>
        <w:t xml:space="preserve"> </w:t>
      </w:r>
      <w:r w:rsidR="00DA34E5">
        <w:rPr>
          <w:szCs w:val="20"/>
          <w:lang w:val="en-GB" w:eastAsia="en-GB"/>
        </w:rPr>
        <w:t xml:space="preserve">Some smaller NGOs may </w:t>
      </w:r>
      <w:r w:rsidR="00DA34E5">
        <w:rPr>
          <w:rFonts w:eastAsia="Times New Roman"/>
          <w:szCs w:val="20"/>
          <w:lang w:val="en-GB" w:eastAsia="en-GB"/>
        </w:rPr>
        <w:t xml:space="preserve">need to </w:t>
      </w:r>
      <w:r w:rsidR="00DA34E5">
        <w:rPr>
          <w:szCs w:val="20"/>
          <w:lang w:val="en-GB" w:eastAsia="en-GB"/>
        </w:rPr>
        <w:t>reassess their approach, for example they could consider whether to amalgamate with other NGOs</w:t>
      </w:r>
      <w:r w:rsidR="00DA34E5" w:rsidRPr="00F87BE4">
        <w:rPr>
          <w:lang w:val="en-GB" w:eastAsia="en-GB"/>
        </w:rPr>
        <w:t>.</w:t>
      </w:r>
      <w:r w:rsidR="005E6548" w:rsidRPr="00123E1A">
        <w:rPr>
          <w:rFonts w:eastAsia="Times New Roman"/>
          <w:szCs w:val="20"/>
          <w:lang w:val="en-GB" w:eastAsia="en-GB"/>
        </w:rPr>
        <w:t xml:space="preserve"> </w:t>
      </w:r>
      <w:r>
        <w:rPr>
          <w:rFonts w:eastAsia="Times New Roman"/>
          <w:szCs w:val="20"/>
          <w:lang w:val="en-GB" w:eastAsia="en-GB"/>
        </w:rPr>
        <w:t xml:space="preserve"> </w:t>
      </w:r>
    </w:p>
    <w:p w:rsidR="004B74CF" w:rsidRDefault="004B74CF" w:rsidP="005B5FC6">
      <w:pPr>
        <w:numPr>
          <w:ilvl w:val="0"/>
          <w:numId w:val="23"/>
        </w:numPr>
        <w:spacing w:after="240" w:line="240" w:lineRule="auto"/>
        <w:ind w:left="567" w:hanging="567"/>
        <w:rPr>
          <w:rFonts w:eastAsia="Times New Roman"/>
          <w:szCs w:val="20"/>
          <w:lang w:val="en-GB" w:eastAsia="en-GB"/>
        </w:rPr>
      </w:pPr>
      <w:r w:rsidRPr="00177E1D">
        <w:rPr>
          <w:rFonts w:eastAsia="Times New Roman"/>
          <w:szCs w:val="20"/>
          <w:lang w:val="en-GB" w:eastAsia="en-GB"/>
        </w:rPr>
        <w:t xml:space="preserve">There will also be some costs for </w:t>
      </w:r>
      <w:r>
        <w:rPr>
          <w:rFonts w:eastAsia="Times New Roman"/>
          <w:szCs w:val="20"/>
          <w:lang w:val="en-GB" w:eastAsia="en-GB"/>
        </w:rPr>
        <w:t xml:space="preserve">government funded </w:t>
      </w:r>
      <w:r w:rsidRPr="00177E1D">
        <w:rPr>
          <w:rFonts w:eastAsia="Times New Roman"/>
          <w:szCs w:val="20"/>
          <w:lang w:val="en-GB" w:eastAsia="en-GB"/>
        </w:rPr>
        <w:t>employers in reviewing employment contracts and contracts for services to ensure they understand the implications under the new regime</w:t>
      </w:r>
      <w:r>
        <w:rPr>
          <w:rFonts w:eastAsia="Times New Roman"/>
          <w:szCs w:val="20"/>
          <w:lang w:val="en-GB" w:eastAsia="en-GB"/>
        </w:rPr>
        <w:t>, but these are unlikely to add materially to the expected cost contract renewal processes</w:t>
      </w:r>
      <w:r w:rsidRPr="00177E1D">
        <w:rPr>
          <w:rFonts w:eastAsia="Times New Roman"/>
          <w:szCs w:val="20"/>
          <w:lang w:val="en-GB" w:eastAsia="en-GB"/>
        </w:rPr>
        <w:t xml:space="preserve">.  </w:t>
      </w:r>
    </w:p>
    <w:p w:rsidR="004B74CF" w:rsidRPr="00112962" w:rsidRDefault="004B74CF"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T</w:t>
      </w:r>
      <w:r w:rsidRPr="00112962">
        <w:rPr>
          <w:rFonts w:eastAsia="Times New Roman"/>
          <w:szCs w:val="20"/>
          <w:lang w:val="en-GB" w:eastAsia="en-GB"/>
        </w:rPr>
        <w:t>he overwhelming majority of social workers are women and there is current</w:t>
      </w:r>
      <w:r>
        <w:rPr>
          <w:rFonts w:eastAsia="Times New Roman"/>
          <w:szCs w:val="20"/>
          <w:lang w:val="en-GB" w:eastAsia="en-GB"/>
        </w:rPr>
        <w:t>ly a</w:t>
      </w:r>
      <w:r w:rsidRPr="00112962">
        <w:rPr>
          <w:rFonts w:eastAsia="Times New Roman"/>
          <w:szCs w:val="20"/>
          <w:lang w:val="en-GB" w:eastAsia="en-GB"/>
        </w:rPr>
        <w:t xml:space="preserve"> pay equity claim on behalf of social workers employed by </w:t>
      </w:r>
      <w:r w:rsidR="001913C7">
        <w:rPr>
          <w:rFonts w:eastAsia="Times New Roman"/>
          <w:szCs w:val="20"/>
          <w:lang w:val="en-GB" w:eastAsia="en-GB"/>
        </w:rPr>
        <w:t xml:space="preserve">the </w:t>
      </w:r>
      <w:r w:rsidR="001913C7" w:rsidRPr="007A6992">
        <w:rPr>
          <w:rFonts w:eastAsia="Times New Roman"/>
          <w:szCs w:val="20"/>
          <w:lang w:val="en-GB" w:eastAsia="en-GB"/>
        </w:rPr>
        <w:t>Ministry for Vulne</w:t>
      </w:r>
      <w:r w:rsidR="001913C7">
        <w:rPr>
          <w:rFonts w:eastAsia="Times New Roman"/>
          <w:szCs w:val="20"/>
          <w:lang w:val="en-GB" w:eastAsia="en-GB"/>
        </w:rPr>
        <w:t xml:space="preserve">rable Children, </w:t>
      </w:r>
      <w:proofErr w:type="spellStart"/>
      <w:r w:rsidR="001913C7">
        <w:rPr>
          <w:rFonts w:eastAsia="Times New Roman"/>
          <w:szCs w:val="20"/>
          <w:lang w:val="en-GB" w:eastAsia="en-GB"/>
        </w:rPr>
        <w:t>Oranga</w:t>
      </w:r>
      <w:proofErr w:type="spellEnd"/>
      <w:r w:rsidR="001913C7">
        <w:rPr>
          <w:rFonts w:eastAsia="Times New Roman"/>
          <w:szCs w:val="20"/>
          <w:lang w:val="en-GB" w:eastAsia="en-GB"/>
        </w:rPr>
        <w:t xml:space="preserve"> </w:t>
      </w:r>
      <w:proofErr w:type="spellStart"/>
      <w:r w:rsidR="001913C7">
        <w:rPr>
          <w:rFonts w:eastAsia="Times New Roman"/>
          <w:szCs w:val="20"/>
          <w:lang w:val="en-GB" w:eastAsia="en-GB"/>
        </w:rPr>
        <w:t>Tamariki</w:t>
      </w:r>
      <w:proofErr w:type="spellEnd"/>
      <w:r w:rsidR="001913C7">
        <w:rPr>
          <w:rFonts w:eastAsia="Times New Roman"/>
          <w:szCs w:val="20"/>
          <w:lang w:val="en-GB" w:eastAsia="en-GB"/>
        </w:rPr>
        <w:t>.</w:t>
      </w:r>
      <w:r w:rsidR="00D9009E">
        <w:rPr>
          <w:rFonts w:eastAsia="Times New Roman"/>
          <w:szCs w:val="20"/>
          <w:lang w:val="en-GB" w:eastAsia="en-GB"/>
        </w:rPr>
        <w:t xml:space="preserve"> </w:t>
      </w:r>
      <w:r w:rsidR="003D1DF6">
        <w:rPr>
          <w:rFonts w:eastAsia="Times New Roman"/>
          <w:szCs w:val="20"/>
          <w:lang w:val="en-GB" w:eastAsia="en-GB"/>
        </w:rPr>
        <w:t xml:space="preserve"> </w:t>
      </w:r>
      <w:r w:rsidR="006D44F9">
        <w:rPr>
          <w:rFonts w:eastAsia="Times New Roman"/>
          <w:szCs w:val="20"/>
          <w:lang w:val="en-GB" w:eastAsia="en-GB"/>
        </w:rPr>
        <w:t>However, a</w:t>
      </w:r>
      <w:r w:rsidRPr="00112962">
        <w:rPr>
          <w:rFonts w:eastAsia="Times New Roman"/>
          <w:szCs w:val="20"/>
          <w:lang w:val="en-GB" w:eastAsia="en-GB"/>
        </w:rPr>
        <w:t>s the nature of the work performed will not be changed, the proposals are unlikely to have a material impact on assessing pay equity claims.</w:t>
      </w:r>
    </w:p>
    <w:p w:rsidR="00C05771" w:rsidRPr="00177E1D" w:rsidRDefault="00C05771" w:rsidP="00177E1D">
      <w:pPr>
        <w:spacing w:after="240" w:line="240" w:lineRule="auto"/>
        <w:outlineLvl w:val="1"/>
        <w:rPr>
          <w:rFonts w:eastAsia="Times New Roman" w:cs="Times New Roman"/>
          <w:b/>
          <w:color w:val="1F497D" w:themeColor="text2"/>
          <w:sz w:val="28"/>
          <w:szCs w:val="28"/>
          <w:lang w:val="en-GB" w:eastAsia="en-GB"/>
        </w:rPr>
      </w:pPr>
      <w:bookmarkStart w:id="68" w:name="_Toc481662091"/>
      <w:r w:rsidRPr="00177E1D">
        <w:rPr>
          <w:rFonts w:eastAsia="Times New Roman" w:cs="Times New Roman"/>
          <w:b/>
          <w:color w:val="1F497D" w:themeColor="text2"/>
          <w:sz w:val="28"/>
          <w:szCs w:val="28"/>
          <w:lang w:val="en-GB" w:eastAsia="en-GB"/>
        </w:rPr>
        <w:t>Consultation</w:t>
      </w:r>
      <w:bookmarkEnd w:id="68"/>
    </w:p>
    <w:p w:rsidR="00C05771" w:rsidRPr="00177E1D" w:rsidRDefault="00460C2A" w:rsidP="00177E1D">
      <w:pPr>
        <w:numPr>
          <w:ilvl w:val="0"/>
          <w:numId w:val="8"/>
        </w:numPr>
        <w:spacing w:after="240" w:line="240" w:lineRule="auto"/>
        <w:ind w:left="567" w:hanging="567"/>
        <w:rPr>
          <w:rFonts w:eastAsia="Times New Roman" w:cs="Times New Roman"/>
          <w:szCs w:val="20"/>
          <w:lang w:eastAsia="en-GB"/>
        </w:rPr>
      </w:pPr>
      <w:r>
        <w:rPr>
          <w:rFonts w:eastAsia="Times New Roman" w:cs="Times New Roman"/>
          <w:szCs w:val="20"/>
          <w:lang w:eastAsia="en-GB"/>
        </w:rPr>
        <w:t xml:space="preserve">Preparation of the RIS has been informed by reviewing the submissions made to the Select Committee as part of its inquiry.  </w:t>
      </w:r>
      <w:r w:rsidR="000F1702">
        <w:rPr>
          <w:rFonts w:eastAsia="Times New Roman" w:cs="Times New Roman"/>
          <w:szCs w:val="20"/>
          <w:lang w:eastAsia="en-GB"/>
        </w:rPr>
        <w:t>Thirty</w:t>
      </w:r>
      <w:r>
        <w:rPr>
          <w:rFonts w:eastAsia="Times New Roman" w:cs="Times New Roman"/>
          <w:szCs w:val="20"/>
          <w:lang w:eastAsia="en-GB"/>
        </w:rPr>
        <w:t xml:space="preserve"> submissions were received </w:t>
      </w:r>
      <w:r w:rsidRPr="000473EF">
        <w:rPr>
          <w:rFonts w:eastAsia="Times New Roman" w:cs="Times New Roman"/>
          <w:szCs w:val="20"/>
          <w:lang w:eastAsia="en-GB"/>
        </w:rPr>
        <w:t>from a</w:t>
      </w:r>
      <w:r w:rsidR="00191E07" w:rsidRPr="000473EF">
        <w:rPr>
          <w:rFonts w:eastAsia="Times New Roman" w:cs="Times New Roman"/>
          <w:szCs w:val="20"/>
          <w:lang w:eastAsia="en-GB"/>
        </w:rPr>
        <w:t xml:space="preserve"> range</w:t>
      </w:r>
      <w:r w:rsidR="00191E07" w:rsidRPr="005C347E">
        <w:rPr>
          <w:rFonts w:eastAsia="Times New Roman" w:cs="Times New Roman"/>
          <w:szCs w:val="20"/>
          <w:lang w:eastAsia="en-GB"/>
        </w:rPr>
        <w:t xml:space="preserve"> of agencies and individuals</w:t>
      </w:r>
      <w:r w:rsidR="006B00AF" w:rsidRPr="005C347E">
        <w:rPr>
          <w:rFonts w:eastAsia="Times New Roman" w:cs="Times New Roman"/>
          <w:szCs w:val="20"/>
          <w:lang w:eastAsia="en-GB"/>
        </w:rPr>
        <w:t>, including NGO e</w:t>
      </w:r>
      <w:r w:rsidR="00191E07" w:rsidRPr="005C347E">
        <w:rPr>
          <w:rFonts w:eastAsia="Times New Roman" w:cs="Times New Roman"/>
          <w:szCs w:val="20"/>
          <w:lang w:eastAsia="en-GB"/>
        </w:rPr>
        <w:t>mployers</w:t>
      </w:r>
      <w:r w:rsidR="006B00AF" w:rsidRPr="005C347E">
        <w:rPr>
          <w:rFonts w:eastAsia="Times New Roman" w:cs="Times New Roman"/>
          <w:szCs w:val="20"/>
          <w:lang w:eastAsia="en-GB"/>
        </w:rPr>
        <w:t xml:space="preserve"> of social workers</w:t>
      </w:r>
      <w:r w:rsidR="00191E07" w:rsidRPr="005C347E">
        <w:rPr>
          <w:rFonts w:eastAsia="Times New Roman" w:cs="Times New Roman"/>
          <w:szCs w:val="20"/>
          <w:lang w:eastAsia="en-GB"/>
        </w:rPr>
        <w:t xml:space="preserve">, </w:t>
      </w:r>
      <w:r w:rsidR="006B00AF" w:rsidRPr="005C347E">
        <w:rPr>
          <w:rFonts w:eastAsia="Times New Roman" w:cs="Times New Roman"/>
          <w:szCs w:val="20"/>
          <w:lang w:eastAsia="en-GB"/>
        </w:rPr>
        <w:t xml:space="preserve">individual social workers, </w:t>
      </w:r>
      <w:r w:rsidR="00191E07" w:rsidRPr="005C347E">
        <w:rPr>
          <w:rFonts w:eastAsia="Times New Roman" w:cs="Times New Roman"/>
          <w:szCs w:val="20"/>
          <w:lang w:eastAsia="en-GB"/>
        </w:rPr>
        <w:t>training providers</w:t>
      </w:r>
      <w:r w:rsidR="006B00AF" w:rsidRPr="00824574">
        <w:rPr>
          <w:rFonts w:eastAsia="Times New Roman" w:cs="Times New Roman"/>
          <w:szCs w:val="20"/>
          <w:lang w:eastAsia="en-GB"/>
        </w:rPr>
        <w:t>,</w:t>
      </w:r>
      <w:r w:rsidR="006B00AF">
        <w:rPr>
          <w:rFonts w:eastAsia="Times New Roman" w:cs="Times New Roman"/>
          <w:szCs w:val="20"/>
          <w:lang w:eastAsia="en-GB"/>
        </w:rPr>
        <w:t xml:space="preserve"> and agencies which have a mandate to advocate for social work clients (including the</w:t>
      </w:r>
      <w:r w:rsidR="005C431E">
        <w:rPr>
          <w:rFonts w:eastAsia="Times New Roman" w:cs="Times New Roman"/>
          <w:szCs w:val="20"/>
          <w:lang w:eastAsia="en-GB"/>
        </w:rPr>
        <w:t xml:space="preserve"> NZ Council of Christian Social Services and the Children’s Commissioner).</w:t>
      </w:r>
    </w:p>
    <w:p w:rsidR="005C431E" w:rsidRPr="000473EF" w:rsidRDefault="00C05771" w:rsidP="000473EF">
      <w:pPr>
        <w:numPr>
          <w:ilvl w:val="0"/>
          <w:numId w:val="8"/>
        </w:numPr>
        <w:spacing w:after="240" w:line="240" w:lineRule="auto"/>
        <w:ind w:left="567" w:hanging="567"/>
        <w:rPr>
          <w:rFonts w:eastAsia="Times New Roman" w:cs="Times New Roman"/>
          <w:szCs w:val="20"/>
          <w:lang w:eastAsia="en-GB"/>
        </w:rPr>
      </w:pPr>
      <w:r w:rsidRPr="00177E1D">
        <w:rPr>
          <w:rFonts w:eastAsia="Times New Roman" w:cs="Times New Roman"/>
          <w:szCs w:val="20"/>
          <w:lang w:eastAsia="en-GB"/>
        </w:rPr>
        <w:t>Officials have con</w:t>
      </w:r>
      <w:r w:rsidR="0079316C" w:rsidRPr="00177E1D">
        <w:rPr>
          <w:rFonts w:eastAsia="Times New Roman" w:cs="Times New Roman"/>
          <w:szCs w:val="20"/>
          <w:lang w:eastAsia="en-GB"/>
        </w:rPr>
        <w:t>sulted on the proposals with</w:t>
      </w:r>
      <w:r w:rsidR="005C431E" w:rsidRPr="000473EF">
        <w:rPr>
          <w:rFonts w:eastAsia="Times New Roman" w:cs="Times New Roman"/>
          <w:szCs w:val="20"/>
          <w:lang w:eastAsia="en-GB"/>
        </w:rPr>
        <w:t xml:space="preserve">: the Ministry for Vulnerable Children, </w:t>
      </w:r>
      <w:proofErr w:type="spellStart"/>
      <w:r w:rsidR="005C431E" w:rsidRPr="000473EF">
        <w:rPr>
          <w:rFonts w:eastAsia="Times New Roman" w:cs="Times New Roman"/>
          <w:szCs w:val="20"/>
          <w:lang w:eastAsia="en-GB"/>
        </w:rPr>
        <w:t>Oranga</w:t>
      </w:r>
      <w:proofErr w:type="spellEnd"/>
      <w:r w:rsidR="005C431E" w:rsidRPr="000473EF">
        <w:rPr>
          <w:rFonts w:eastAsia="Times New Roman" w:cs="Times New Roman"/>
          <w:szCs w:val="20"/>
          <w:lang w:eastAsia="en-GB"/>
        </w:rPr>
        <w:t xml:space="preserve"> </w:t>
      </w:r>
      <w:proofErr w:type="spellStart"/>
      <w:r w:rsidR="005C431E" w:rsidRPr="000473EF">
        <w:rPr>
          <w:rFonts w:eastAsia="Times New Roman" w:cs="Times New Roman"/>
          <w:szCs w:val="20"/>
          <w:lang w:eastAsia="en-GB"/>
        </w:rPr>
        <w:t>Tamariki</w:t>
      </w:r>
      <w:proofErr w:type="spellEnd"/>
      <w:r w:rsidR="005C431E" w:rsidRPr="000473EF">
        <w:rPr>
          <w:rFonts w:eastAsia="Times New Roman" w:cs="Times New Roman"/>
          <w:szCs w:val="20"/>
          <w:lang w:eastAsia="en-GB"/>
        </w:rPr>
        <w:t xml:space="preserve">; the Accident Compensation Corporation; the Departments of Corrections, and Internal Affairs; the Ministries for Pacific Peoples, and Women; the Ministries of Business Innovation and Employment, Defence, Education, Health, and Justice; the New Zealand Police; the New Zealand Qualifications Authority; Te </w:t>
      </w:r>
      <w:proofErr w:type="spellStart"/>
      <w:r w:rsidR="005C431E" w:rsidRPr="000473EF">
        <w:rPr>
          <w:rFonts w:eastAsia="Times New Roman" w:cs="Times New Roman"/>
          <w:szCs w:val="20"/>
          <w:lang w:eastAsia="en-GB"/>
        </w:rPr>
        <w:t>Puni</w:t>
      </w:r>
      <w:proofErr w:type="spellEnd"/>
      <w:r w:rsidR="005C431E" w:rsidRPr="000473EF">
        <w:rPr>
          <w:rFonts w:eastAsia="Times New Roman" w:cs="Times New Roman"/>
          <w:szCs w:val="20"/>
          <w:lang w:eastAsia="en-GB"/>
        </w:rPr>
        <w:t xml:space="preserve"> </w:t>
      </w:r>
      <w:proofErr w:type="spellStart"/>
      <w:r w:rsidR="005C431E" w:rsidRPr="000473EF">
        <w:rPr>
          <w:rFonts w:eastAsia="Times New Roman" w:cs="Times New Roman"/>
          <w:szCs w:val="20"/>
          <w:lang w:eastAsia="en-GB"/>
        </w:rPr>
        <w:t>Kōkiri</w:t>
      </w:r>
      <w:proofErr w:type="spellEnd"/>
      <w:r w:rsidR="005C431E" w:rsidRPr="000473EF">
        <w:rPr>
          <w:rFonts w:eastAsia="Times New Roman" w:cs="Times New Roman"/>
          <w:szCs w:val="20"/>
          <w:lang w:eastAsia="en-GB"/>
        </w:rPr>
        <w:t xml:space="preserve">, the Tertiary Education Commission; the State Services Commission; and the Treasury. </w:t>
      </w:r>
    </w:p>
    <w:p w:rsidR="00C05771" w:rsidRPr="00824574" w:rsidRDefault="005C431E" w:rsidP="005C431E">
      <w:pPr>
        <w:numPr>
          <w:ilvl w:val="0"/>
          <w:numId w:val="8"/>
        </w:numPr>
        <w:spacing w:after="240" w:line="240" w:lineRule="auto"/>
        <w:ind w:left="567" w:hanging="567"/>
        <w:rPr>
          <w:rFonts w:eastAsia="Times New Roman" w:cs="Times New Roman"/>
          <w:szCs w:val="20"/>
          <w:lang w:eastAsia="en-GB"/>
        </w:rPr>
      </w:pPr>
      <w:r>
        <w:t xml:space="preserve">The Board was also consulted during the development </w:t>
      </w:r>
      <w:r w:rsidRPr="00824574">
        <w:t>of the proposals.</w:t>
      </w:r>
    </w:p>
    <w:p w:rsidR="00C05771" w:rsidRPr="00177E1D" w:rsidRDefault="00C05771" w:rsidP="00177E1D">
      <w:pPr>
        <w:spacing w:after="240" w:line="240" w:lineRule="auto"/>
        <w:outlineLvl w:val="1"/>
        <w:rPr>
          <w:rFonts w:eastAsia="Times New Roman" w:cs="Times New Roman"/>
          <w:b/>
          <w:color w:val="1F497D" w:themeColor="text2"/>
          <w:sz w:val="28"/>
          <w:szCs w:val="28"/>
          <w:lang w:val="en-GB" w:eastAsia="en-GB"/>
        </w:rPr>
      </w:pPr>
      <w:bookmarkStart w:id="69" w:name="_Toc458533101"/>
      <w:bookmarkStart w:id="70" w:name="_Toc481662092"/>
      <w:r w:rsidRPr="00177E1D">
        <w:rPr>
          <w:rFonts w:eastAsia="Times New Roman" w:cs="Times New Roman"/>
          <w:b/>
          <w:color w:val="1F497D" w:themeColor="text2"/>
          <w:sz w:val="28"/>
          <w:szCs w:val="28"/>
          <w:lang w:val="en-GB" w:eastAsia="en-GB"/>
        </w:rPr>
        <w:t>Conclusions and recommendations</w:t>
      </w:r>
      <w:bookmarkEnd w:id="69"/>
      <w:bookmarkEnd w:id="70"/>
    </w:p>
    <w:p w:rsidR="00E81C43" w:rsidRDefault="00E81C43" w:rsidP="005B5FC6">
      <w:pPr>
        <w:numPr>
          <w:ilvl w:val="0"/>
          <w:numId w:val="23"/>
        </w:numPr>
        <w:spacing w:after="240" w:line="240" w:lineRule="auto"/>
        <w:ind w:left="567" w:hanging="567"/>
        <w:rPr>
          <w:rFonts w:eastAsia="Times New Roman"/>
          <w:szCs w:val="20"/>
          <w:lang w:val="en-GB" w:eastAsia="en-GB"/>
        </w:rPr>
      </w:pPr>
      <w:bookmarkStart w:id="71" w:name="_Toc458533102"/>
      <w:r w:rsidRPr="00177E1D">
        <w:rPr>
          <w:rFonts w:eastAsia="Times New Roman"/>
          <w:szCs w:val="20"/>
          <w:lang w:val="en-GB" w:eastAsia="en-GB"/>
        </w:rPr>
        <w:t xml:space="preserve">The </w:t>
      </w:r>
      <w:r w:rsidR="001067CC">
        <w:rPr>
          <w:rFonts w:eastAsia="Times New Roman"/>
          <w:szCs w:val="20"/>
          <w:lang w:val="en-GB" w:eastAsia="en-GB"/>
        </w:rPr>
        <w:t>recommended</w:t>
      </w:r>
      <w:r w:rsidR="001067CC" w:rsidRPr="00177E1D">
        <w:rPr>
          <w:rFonts w:eastAsia="Times New Roman"/>
          <w:szCs w:val="20"/>
          <w:lang w:val="en-GB" w:eastAsia="en-GB"/>
        </w:rPr>
        <w:t xml:space="preserve"> </w:t>
      </w:r>
      <w:r w:rsidRPr="00177E1D">
        <w:rPr>
          <w:rFonts w:eastAsia="Times New Roman"/>
          <w:szCs w:val="20"/>
          <w:lang w:val="en-GB" w:eastAsia="en-GB"/>
        </w:rPr>
        <w:t xml:space="preserve">form of occupational regulation to achieve the objectives is one of mandatory certification and title protection so that only those who </w:t>
      </w:r>
      <w:r w:rsidR="001067CC">
        <w:rPr>
          <w:rFonts w:eastAsia="Times New Roman"/>
          <w:szCs w:val="20"/>
          <w:lang w:val="en-GB" w:eastAsia="en-GB"/>
        </w:rPr>
        <w:t xml:space="preserve">are </w:t>
      </w:r>
      <w:r w:rsidRPr="00177E1D">
        <w:rPr>
          <w:rFonts w:eastAsia="Times New Roman"/>
          <w:szCs w:val="20"/>
          <w:lang w:val="en-GB" w:eastAsia="en-GB"/>
        </w:rPr>
        <w:t>register</w:t>
      </w:r>
      <w:r w:rsidR="001067CC">
        <w:rPr>
          <w:rFonts w:eastAsia="Times New Roman"/>
          <w:szCs w:val="20"/>
          <w:lang w:val="en-GB" w:eastAsia="en-GB"/>
        </w:rPr>
        <w:t>ed</w:t>
      </w:r>
      <w:r w:rsidRPr="00177E1D">
        <w:rPr>
          <w:rFonts w:eastAsia="Times New Roman"/>
          <w:szCs w:val="20"/>
          <w:lang w:val="en-GB" w:eastAsia="en-GB"/>
        </w:rPr>
        <w:t xml:space="preserve"> are able to call themselves </w:t>
      </w:r>
      <w:r w:rsidR="00DF4203">
        <w:rPr>
          <w:rFonts w:eastAsia="Times New Roman"/>
          <w:szCs w:val="20"/>
          <w:lang w:val="en-GB" w:eastAsia="en-GB"/>
        </w:rPr>
        <w:t>“</w:t>
      </w:r>
      <w:r w:rsidRPr="00177E1D">
        <w:rPr>
          <w:rFonts w:eastAsia="Times New Roman"/>
          <w:szCs w:val="20"/>
          <w:lang w:val="en-GB" w:eastAsia="en-GB"/>
        </w:rPr>
        <w:t>social workers</w:t>
      </w:r>
      <w:r w:rsidR="00DF4203">
        <w:rPr>
          <w:rFonts w:eastAsia="Times New Roman"/>
          <w:szCs w:val="20"/>
          <w:lang w:val="en-GB" w:eastAsia="en-GB"/>
        </w:rPr>
        <w:t>”</w:t>
      </w:r>
      <w:r w:rsidRPr="00177E1D">
        <w:rPr>
          <w:rFonts w:eastAsia="Times New Roman"/>
          <w:szCs w:val="20"/>
          <w:lang w:val="en-GB" w:eastAsia="en-GB"/>
        </w:rPr>
        <w:t>.  Under this approach, it would be an offence to represent oneself as a social worker unless registered with the Board.  This will allow employing and contacting agencies to speci</w:t>
      </w:r>
      <w:r w:rsidR="000F1702">
        <w:rPr>
          <w:rFonts w:eastAsia="Times New Roman"/>
          <w:szCs w:val="20"/>
          <w:lang w:val="en-GB" w:eastAsia="en-GB"/>
        </w:rPr>
        <w:t>fy where and when</w:t>
      </w:r>
      <w:r w:rsidRPr="00177E1D">
        <w:rPr>
          <w:rFonts w:eastAsia="Times New Roman"/>
          <w:szCs w:val="20"/>
          <w:lang w:val="en-GB" w:eastAsia="en-GB"/>
        </w:rPr>
        <w:t xml:space="preserve"> social workers and social work skills are required</w:t>
      </w:r>
      <w:r w:rsidR="00191E07" w:rsidRPr="000473EF">
        <w:rPr>
          <w:rFonts w:eastAsia="Times New Roman"/>
          <w:szCs w:val="20"/>
          <w:lang w:val="en-GB" w:eastAsia="en-GB"/>
        </w:rPr>
        <w:t xml:space="preserve">, ensuring a precise form of task </w:t>
      </w:r>
      <w:r w:rsidR="00191E07" w:rsidRPr="009A1C49">
        <w:rPr>
          <w:rFonts w:eastAsia="Times New Roman"/>
          <w:szCs w:val="20"/>
          <w:lang w:val="en-GB" w:eastAsia="en-GB"/>
        </w:rPr>
        <w:t>licencing</w:t>
      </w:r>
      <w:r w:rsidR="00CE0CB0" w:rsidRPr="009A1C49">
        <w:rPr>
          <w:rFonts w:eastAsia="Times New Roman"/>
          <w:szCs w:val="20"/>
          <w:lang w:val="en-GB" w:eastAsia="en-GB"/>
        </w:rPr>
        <w:t xml:space="preserve"> </w:t>
      </w:r>
      <w:r w:rsidR="009A1C49">
        <w:rPr>
          <w:rFonts w:eastAsia="Times New Roman"/>
          <w:szCs w:val="20"/>
          <w:lang w:val="en-GB" w:eastAsia="en-GB"/>
        </w:rPr>
        <w:t>as and</w:t>
      </w:r>
      <w:r w:rsidR="00CE0CB0" w:rsidRPr="009A1C49">
        <w:rPr>
          <w:rFonts w:eastAsia="Times New Roman"/>
          <w:szCs w:val="20"/>
          <w:lang w:val="en-GB" w:eastAsia="en-GB"/>
        </w:rPr>
        <w:t xml:space="preserve"> where appropriate</w:t>
      </w:r>
      <w:r w:rsidR="004B1D2F" w:rsidRPr="009A1C49">
        <w:rPr>
          <w:rFonts w:eastAsia="Times New Roman"/>
          <w:szCs w:val="20"/>
          <w:lang w:val="en-GB" w:eastAsia="en-GB"/>
        </w:rPr>
        <w:t>.</w:t>
      </w:r>
      <w:r w:rsidRPr="00177E1D">
        <w:rPr>
          <w:rFonts w:eastAsia="Times New Roman"/>
          <w:szCs w:val="20"/>
          <w:lang w:val="en-GB" w:eastAsia="en-GB"/>
        </w:rPr>
        <w:t xml:space="preserve"> </w:t>
      </w:r>
      <w:r w:rsidR="00D76064">
        <w:rPr>
          <w:rFonts w:eastAsia="Times New Roman"/>
          <w:szCs w:val="20"/>
          <w:lang w:val="en-GB" w:eastAsia="en-GB"/>
        </w:rPr>
        <w:t xml:space="preserve"> </w:t>
      </w:r>
      <w:r w:rsidR="004B1D2F">
        <w:rPr>
          <w:rFonts w:eastAsia="Times New Roman"/>
          <w:szCs w:val="20"/>
          <w:lang w:val="en-GB" w:eastAsia="en-GB"/>
        </w:rPr>
        <w:t xml:space="preserve">In contrast our analysis indicates that </w:t>
      </w:r>
      <w:r w:rsidRPr="00177E1D">
        <w:rPr>
          <w:rFonts w:eastAsia="Times New Roman"/>
          <w:szCs w:val="20"/>
          <w:lang w:val="en-GB" w:eastAsia="en-GB"/>
        </w:rPr>
        <w:t>generic task or occupational licencing would be highly disruptive to the social services sector because of the difficulties in distinctly defining social work, and run counter to the multidisciplinary environment in which most social work happens.</w:t>
      </w:r>
    </w:p>
    <w:p w:rsidR="001067CC" w:rsidRPr="00177E1D" w:rsidRDefault="001067CC" w:rsidP="005B5FC6">
      <w:pPr>
        <w:numPr>
          <w:ilvl w:val="0"/>
          <w:numId w:val="23"/>
        </w:numPr>
        <w:spacing w:after="240" w:line="240" w:lineRule="auto"/>
        <w:ind w:left="567" w:hanging="567"/>
        <w:rPr>
          <w:rFonts w:eastAsia="Times New Roman"/>
          <w:szCs w:val="20"/>
          <w:lang w:val="en-GB" w:eastAsia="en-GB"/>
        </w:rPr>
      </w:pPr>
      <w:r>
        <w:rPr>
          <w:rFonts w:eastAsia="Times New Roman"/>
          <w:szCs w:val="20"/>
          <w:lang w:val="en-GB" w:eastAsia="en-GB"/>
        </w:rPr>
        <w:t xml:space="preserve">The amendments recommended in Part </w:t>
      </w:r>
      <w:proofErr w:type="gramStart"/>
      <w:r>
        <w:rPr>
          <w:rFonts w:eastAsia="Times New Roman"/>
          <w:szCs w:val="20"/>
          <w:lang w:val="en-GB" w:eastAsia="en-GB"/>
        </w:rPr>
        <w:t>Two</w:t>
      </w:r>
      <w:proofErr w:type="gramEnd"/>
      <w:r>
        <w:rPr>
          <w:rFonts w:eastAsia="Times New Roman"/>
          <w:szCs w:val="20"/>
          <w:lang w:val="en-GB" w:eastAsia="en-GB"/>
        </w:rPr>
        <w:t xml:space="preserve"> are expected to improve the effective functioning of </w:t>
      </w:r>
      <w:r w:rsidR="00CC7880">
        <w:rPr>
          <w:rFonts w:eastAsia="Times New Roman"/>
          <w:szCs w:val="20"/>
          <w:lang w:val="en-GB" w:eastAsia="en-GB"/>
        </w:rPr>
        <w:t>the SWR Act</w:t>
      </w:r>
      <w:r>
        <w:rPr>
          <w:rFonts w:eastAsia="Times New Roman"/>
          <w:szCs w:val="20"/>
          <w:lang w:val="en-GB" w:eastAsia="en-GB"/>
        </w:rPr>
        <w:t xml:space="preserve"> and reducing compliance costs.  They would be of value even if the recommended changes to registration are not accepted.</w:t>
      </w:r>
    </w:p>
    <w:p w:rsidR="00C05771" w:rsidRPr="00F87BA3" w:rsidRDefault="00C05771" w:rsidP="00177E1D">
      <w:pPr>
        <w:spacing w:after="240" w:line="240" w:lineRule="auto"/>
        <w:outlineLvl w:val="1"/>
        <w:rPr>
          <w:rFonts w:eastAsia="Times New Roman" w:cs="Times New Roman"/>
          <w:b/>
          <w:color w:val="1F497D" w:themeColor="text2"/>
          <w:sz w:val="28"/>
          <w:szCs w:val="28"/>
          <w:lang w:val="en-GB" w:eastAsia="en-GB"/>
        </w:rPr>
      </w:pPr>
      <w:bookmarkStart w:id="72" w:name="_Toc481662093"/>
      <w:r w:rsidRPr="00F87BA3">
        <w:rPr>
          <w:rFonts w:eastAsia="Times New Roman" w:cs="Times New Roman"/>
          <w:b/>
          <w:color w:val="1F497D" w:themeColor="text2"/>
          <w:sz w:val="28"/>
          <w:szCs w:val="28"/>
          <w:lang w:val="en-GB" w:eastAsia="en-GB"/>
        </w:rPr>
        <w:t>Implementation plan</w:t>
      </w:r>
      <w:bookmarkEnd w:id="71"/>
      <w:bookmarkEnd w:id="72"/>
    </w:p>
    <w:p w:rsidR="00C15335" w:rsidRPr="006A62CC" w:rsidRDefault="005415F4" w:rsidP="006A62CC">
      <w:pPr>
        <w:numPr>
          <w:ilvl w:val="0"/>
          <w:numId w:val="8"/>
        </w:numPr>
        <w:spacing w:after="240" w:line="240" w:lineRule="auto"/>
        <w:ind w:left="567" w:hanging="567"/>
        <w:rPr>
          <w:rFonts w:eastAsia="Times New Roman" w:cs="Times New Roman"/>
          <w:szCs w:val="20"/>
          <w:lang w:val="en-GB" w:eastAsia="en-GB"/>
        </w:rPr>
      </w:pPr>
      <w:bookmarkStart w:id="73" w:name="_Toc458533103"/>
      <w:r w:rsidRPr="009A1C49">
        <w:rPr>
          <w:rFonts w:eastAsia="Times New Roman" w:cs="Times New Roman"/>
          <w:szCs w:val="20"/>
          <w:lang w:val="en-GB" w:eastAsia="en-GB"/>
        </w:rPr>
        <w:t xml:space="preserve">The </w:t>
      </w:r>
      <w:r w:rsidR="00CE0CB0" w:rsidRPr="009A1C49">
        <w:rPr>
          <w:rFonts w:eastAsia="Times New Roman" w:cs="Times New Roman"/>
          <w:szCs w:val="20"/>
          <w:lang w:val="en-GB" w:eastAsia="en-GB"/>
        </w:rPr>
        <w:t xml:space="preserve">majority of </w:t>
      </w:r>
      <w:r w:rsidRPr="009A1C49">
        <w:rPr>
          <w:rFonts w:eastAsia="Times New Roman" w:cs="Times New Roman"/>
          <w:szCs w:val="20"/>
          <w:lang w:val="en-GB" w:eastAsia="en-GB"/>
        </w:rPr>
        <w:t>amendments</w:t>
      </w:r>
      <w:r>
        <w:rPr>
          <w:rFonts w:eastAsia="Times New Roman" w:cs="Times New Roman"/>
          <w:szCs w:val="20"/>
          <w:lang w:val="en-GB" w:eastAsia="en-GB"/>
        </w:rPr>
        <w:t xml:space="preserve"> proposed in Part Two could come into effect immediately on the passing of the new legislation and will ease the transition to </w:t>
      </w:r>
      <w:r>
        <w:rPr>
          <w:rFonts w:eastAsia="Times New Roman" w:cs="Times New Roman"/>
          <w:szCs w:val="20"/>
          <w:lang w:val="en-GB" w:eastAsia="en-GB"/>
        </w:rPr>
        <w:lastRenderedPageBreak/>
        <w:t>m</w:t>
      </w:r>
      <w:r w:rsidRPr="00B4151C">
        <w:rPr>
          <w:rFonts w:eastAsia="Times New Roman" w:cs="Times New Roman"/>
          <w:szCs w:val="20"/>
          <w:lang w:val="en-GB" w:eastAsia="en-GB"/>
        </w:rPr>
        <w:t xml:space="preserve">andatory social worker registration </w:t>
      </w:r>
      <w:r>
        <w:rPr>
          <w:rFonts w:eastAsia="Times New Roman" w:cs="Times New Roman"/>
          <w:szCs w:val="20"/>
          <w:lang w:val="en-GB" w:eastAsia="en-GB"/>
        </w:rPr>
        <w:t xml:space="preserve">recommended in Part One.  </w:t>
      </w:r>
      <w:r w:rsidR="000C69AC" w:rsidRPr="00B4151C">
        <w:rPr>
          <w:rFonts w:eastAsia="Times New Roman" w:cs="Times New Roman"/>
          <w:szCs w:val="20"/>
          <w:lang w:val="en-GB" w:eastAsia="en-GB"/>
        </w:rPr>
        <w:t xml:space="preserve">Mandatory social worker registration will be phased in over a </w:t>
      </w:r>
      <w:r w:rsidR="00B4151C" w:rsidRPr="006D44F9">
        <w:rPr>
          <w:rFonts w:eastAsia="Times New Roman" w:cs="Times New Roman"/>
          <w:szCs w:val="20"/>
          <w:lang w:val="en-GB" w:eastAsia="en-GB"/>
        </w:rPr>
        <w:t>two</w:t>
      </w:r>
      <w:r w:rsidR="000C69AC" w:rsidRPr="00B4151C">
        <w:rPr>
          <w:rFonts w:eastAsia="Times New Roman" w:cs="Times New Roman"/>
          <w:szCs w:val="20"/>
          <w:lang w:val="en-GB" w:eastAsia="en-GB"/>
        </w:rPr>
        <w:t xml:space="preserve"> year period from the time the amended legislation comes into force. </w:t>
      </w:r>
      <w:r w:rsidR="00B4151C" w:rsidRP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 xml:space="preserve">The Board has stated that it has the capacity to successfully handle the projected increase in registration. </w:t>
      </w:r>
      <w:r w:rsid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 xml:space="preserve">MSD will work with the Board to ensure the social work sector is aware of the change to mandatory registration, and provide guidance to </w:t>
      </w:r>
      <w:r w:rsidR="00B4151C">
        <w:rPr>
          <w:rFonts w:eastAsia="Times New Roman" w:cs="Times New Roman"/>
          <w:szCs w:val="20"/>
          <w:lang w:val="en-GB" w:eastAsia="en-GB"/>
        </w:rPr>
        <w:t xml:space="preserve">unregistered </w:t>
      </w:r>
      <w:r w:rsidR="000C69AC" w:rsidRPr="00B4151C">
        <w:rPr>
          <w:rFonts w:eastAsia="Times New Roman" w:cs="Times New Roman"/>
          <w:szCs w:val="20"/>
          <w:lang w:val="en-GB" w:eastAsia="en-GB"/>
        </w:rPr>
        <w:t xml:space="preserve">social workers, in particular the NGO sector, on how to gain registration. </w:t>
      </w:r>
      <w:r w:rsidR="00B4151C">
        <w:rPr>
          <w:rFonts w:eastAsia="Times New Roman" w:cs="Times New Roman"/>
          <w:szCs w:val="20"/>
          <w:lang w:val="en-GB" w:eastAsia="en-GB"/>
        </w:rPr>
        <w:t xml:space="preserve"> </w:t>
      </w:r>
      <w:r w:rsidR="000C69AC" w:rsidRPr="00B4151C">
        <w:rPr>
          <w:rFonts w:eastAsia="Times New Roman" w:cs="Times New Roman"/>
          <w:szCs w:val="20"/>
          <w:lang w:val="en-GB" w:eastAsia="en-GB"/>
        </w:rPr>
        <w:t>This will include providing information about up</w:t>
      </w:r>
      <w:r w:rsidR="005970B3">
        <w:rPr>
          <w:rFonts w:eastAsia="Times New Roman" w:cs="Times New Roman"/>
          <w:szCs w:val="20"/>
          <w:lang w:val="en-GB" w:eastAsia="en-GB"/>
        </w:rPr>
        <w:t>-</w:t>
      </w:r>
      <w:r w:rsidR="000C69AC" w:rsidRPr="00B4151C">
        <w:rPr>
          <w:rFonts w:eastAsia="Times New Roman" w:cs="Times New Roman"/>
          <w:szCs w:val="20"/>
          <w:lang w:val="en-GB" w:eastAsia="en-GB"/>
        </w:rPr>
        <w:t>skilling and gaining a Board recognised qualification or equivalent experience</w:t>
      </w:r>
      <w:r w:rsidR="00B4151C">
        <w:rPr>
          <w:rFonts w:eastAsia="Times New Roman" w:cs="Times New Roman"/>
          <w:szCs w:val="20"/>
          <w:lang w:val="en-GB" w:eastAsia="en-GB"/>
        </w:rPr>
        <w:t>.</w:t>
      </w:r>
    </w:p>
    <w:p w:rsidR="00C05771" w:rsidRPr="00F87BA3" w:rsidRDefault="00C05771" w:rsidP="00177E1D">
      <w:pPr>
        <w:spacing w:after="240" w:line="240" w:lineRule="auto"/>
        <w:outlineLvl w:val="1"/>
        <w:rPr>
          <w:rFonts w:eastAsia="Times New Roman" w:cs="Times New Roman"/>
          <w:b/>
          <w:color w:val="1F497D" w:themeColor="text2"/>
          <w:sz w:val="28"/>
          <w:szCs w:val="28"/>
          <w:lang w:val="en-GB" w:eastAsia="en-GB"/>
        </w:rPr>
      </w:pPr>
      <w:bookmarkStart w:id="74" w:name="_Toc481662094"/>
      <w:r w:rsidRPr="00F87BA3">
        <w:rPr>
          <w:rFonts w:eastAsia="Times New Roman" w:cs="Times New Roman"/>
          <w:b/>
          <w:color w:val="1F497D" w:themeColor="text2"/>
          <w:sz w:val="28"/>
          <w:szCs w:val="28"/>
          <w:lang w:val="en-GB" w:eastAsia="en-GB"/>
        </w:rPr>
        <w:t>Monitoring, evaluation and review</w:t>
      </w:r>
      <w:bookmarkEnd w:id="73"/>
      <w:bookmarkEnd w:id="74"/>
      <w:r w:rsidRPr="00F87BA3">
        <w:rPr>
          <w:rFonts w:eastAsia="Times New Roman" w:cs="Times New Roman"/>
          <w:b/>
          <w:color w:val="1F497D" w:themeColor="text2"/>
          <w:sz w:val="28"/>
          <w:szCs w:val="28"/>
          <w:lang w:val="en-GB" w:eastAsia="en-GB"/>
        </w:rPr>
        <w:t xml:space="preserve"> </w:t>
      </w:r>
    </w:p>
    <w:bookmarkEnd w:id="15"/>
    <w:bookmarkEnd w:id="16"/>
    <w:bookmarkEnd w:id="17"/>
    <w:bookmarkEnd w:id="18"/>
    <w:bookmarkEnd w:id="19"/>
    <w:bookmarkEnd w:id="20"/>
    <w:bookmarkEnd w:id="21"/>
    <w:bookmarkEnd w:id="22"/>
    <w:bookmarkEnd w:id="23"/>
    <w:bookmarkEnd w:id="24"/>
    <w:bookmarkEnd w:id="56"/>
    <w:bookmarkEnd w:id="57"/>
    <w:bookmarkEnd w:id="58"/>
    <w:bookmarkEnd w:id="59"/>
    <w:bookmarkEnd w:id="60"/>
    <w:bookmarkEnd w:id="61"/>
    <w:bookmarkEnd w:id="62"/>
    <w:bookmarkEnd w:id="63"/>
    <w:bookmarkEnd w:id="64"/>
    <w:bookmarkEnd w:id="65"/>
    <w:bookmarkEnd w:id="66"/>
    <w:p w:rsidR="0098614C" w:rsidRDefault="00843F43" w:rsidP="00177E1D">
      <w:pPr>
        <w:numPr>
          <w:ilvl w:val="0"/>
          <w:numId w:val="8"/>
        </w:numPr>
        <w:spacing w:after="240" w:line="240" w:lineRule="auto"/>
        <w:ind w:left="567" w:hanging="567"/>
        <w:rPr>
          <w:rFonts w:eastAsia="Times New Roman" w:cs="Times New Roman"/>
          <w:szCs w:val="20"/>
          <w:lang w:val="en-GB" w:eastAsia="en-GB"/>
        </w:rPr>
      </w:pPr>
      <w:r w:rsidRPr="004254B7">
        <w:rPr>
          <w:rFonts w:eastAsia="Times New Roman" w:cs="Times New Roman"/>
          <w:szCs w:val="20"/>
          <w:lang w:val="en-GB" w:eastAsia="en-GB"/>
        </w:rPr>
        <w:t>As described previously, the Board is subject to Crown Entity reporting requirements and publishes quarterly reports covering trends and activities</w:t>
      </w:r>
      <w:r w:rsidR="004254B7">
        <w:rPr>
          <w:rFonts w:eastAsia="Times New Roman" w:cs="Times New Roman"/>
          <w:szCs w:val="20"/>
          <w:lang w:val="en-GB" w:eastAsia="en-GB"/>
        </w:rPr>
        <w:t xml:space="preserve"> (</w:t>
      </w:r>
      <w:proofErr w:type="spellStart"/>
      <w:r w:rsidR="00340B40">
        <w:rPr>
          <w:rFonts w:eastAsia="Times New Roman" w:cs="Times New Roman"/>
          <w:szCs w:val="20"/>
          <w:lang w:val="en-GB" w:eastAsia="en-GB"/>
        </w:rPr>
        <w:t>eg</w:t>
      </w:r>
      <w:proofErr w:type="spellEnd"/>
      <w:r w:rsidR="004254B7">
        <w:rPr>
          <w:rFonts w:eastAsia="Times New Roman" w:cs="Times New Roman"/>
          <w:szCs w:val="20"/>
          <w:lang w:val="en-GB" w:eastAsia="en-GB"/>
        </w:rPr>
        <w:t xml:space="preserve"> membership trends, Tribunal findings)</w:t>
      </w:r>
      <w:r w:rsidRPr="004254B7">
        <w:rPr>
          <w:rFonts w:eastAsia="Times New Roman" w:cs="Times New Roman"/>
          <w:szCs w:val="20"/>
          <w:lang w:val="en-GB" w:eastAsia="en-GB"/>
        </w:rPr>
        <w:t xml:space="preserve">. </w:t>
      </w:r>
      <w:r>
        <w:rPr>
          <w:rFonts w:eastAsia="Times New Roman" w:cs="Times New Roman"/>
          <w:szCs w:val="20"/>
          <w:lang w:val="en-GB" w:eastAsia="en-GB"/>
        </w:rPr>
        <w:t xml:space="preserve"> </w:t>
      </w:r>
      <w:r w:rsidR="0098614C">
        <w:rPr>
          <w:rFonts w:eastAsia="Times New Roman" w:cs="Times New Roman"/>
          <w:szCs w:val="20"/>
          <w:lang w:val="en-GB" w:eastAsia="en-GB"/>
        </w:rPr>
        <w:t xml:space="preserve">MSD will work with the Board to ensure that these </w:t>
      </w:r>
      <w:r w:rsidR="004254B7">
        <w:rPr>
          <w:rFonts w:eastAsia="Times New Roman" w:cs="Times New Roman"/>
          <w:szCs w:val="20"/>
          <w:lang w:val="en-GB" w:eastAsia="en-GB"/>
        </w:rPr>
        <w:t xml:space="preserve">reports </w:t>
      </w:r>
      <w:r w:rsidR="0098614C">
        <w:rPr>
          <w:rFonts w:eastAsia="Times New Roman" w:cs="Times New Roman"/>
          <w:szCs w:val="20"/>
          <w:lang w:val="en-GB" w:eastAsia="en-GB"/>
        </w:rPr>
        <w:t>are adapted, where necessary, to monitor the impact of the proposals on the public, social workers, and social work employers.</w:t>
      </w:r>
    </w:p>
    <w:p w:rsidR="007C36CA" w:rsidRDefault="00E01C6B" w:rsidP="00177E1D">
      <w:pPr>
        <w:numPr>
          <w:ilvl w:val="0"/>
          <w:numId w:val="8"/>
        </w:numPr>
        <w:spacing w:line="240" w:lineRule="auto"/>
        <w:ind w:left="567" w:hanging="567"/>
        <w:rPr>
          <w:rFonts w:eastAsia="Times New Roman" w:cs="Times New Roman"/>
          <w:szCs w:val="20"/>
          <w:lang w:val="en-GB" w:eastAsia="en-GB"/>
        </w:rPr>
      </w:pPr>
      <w:r>
        <w:rPr>
          <w:rFonts w:eastAsia="Times New Roman" w:cs="Times New Roman"/>
          <w:szCs w:val="20"/>
          <w:lang w:val="en-GB" w:eastAsia="en-GB"/>
        </w:rPr>
        <w:t xml:space="preserve">Section 104 of the SWR Act provides for regular reviews of </w:t>
      </w:r>
      <w:r w:rsidR="00CC7880">
        <w:rPr>
          <w:rFonts w:eastAsia="Times New Roman" w:cs="Times New Roman"/>
          <w:szCs w:val="20"/>
          <w:lang w:val="en-GB" w:eastAsia="en-GB"/>
        </w:rPr>
        <w:t>the SWR Act</w:t>
      </w:r>
      <w:r>
        <w:rPr>
          <w:rFonts w:eastAsia="Times New Roman" w:cs="Times New Roman"/>
          <w:szCs w:val="20"/>
          <w:lang w:val="en-GB" w:eastAsia="en-GB"/>
        </w:rPr>
        <w:t xml:space="preserve">. </w:t>
      </w:r>
      <w:r w:rsidR="00B4151C">
        <w:rPr>
          <w:rFonts w:eastAsia="Times New Roman" w:cs="Times New Roman"/>
          <w:szCs w:val="20"/>
          <w:lang w:val="en-GB" w:eastAsia="en-GB"/>
        </w:rPr>
        <w:t xml:space="preserve"> </w:t>
      </w:r>
      <w:r>
        <w:rPr>
          <w:rFonts w:eastAsia="Times New Roman" w:cs="Times New Roman"/>
          <w:szCs w:val="20"/>
          <w:lang w:val="en-GB" w:eastAsia="en-GB"/>
        </w:rPr>
        <w:t xml:space="preserve">At intervals of not more than 5 years, the Board must review the operation of </w:t>
      </w:r>
      <w:r w:rsidR="00CC7880">
        <w:rPr>
          <w:rFonts w:eastAsia="Times New Roman" w:cs="Times New Roman"/>
          <w:szCs w:val="20"/>
          <w:lang w:val="en-GB" w:eastAsia="en-GB"/>
        </w:rPr>
        <w:t>the SWR Act</w:t>
      </w:r>
      <w:r w:rsidR="007C36CA">
        <w:rPr>
          <w:rFonts w:eastAsia="Times New Roman" w:cs="Times New Roman"/>
          <w:szCs w:val="20"/>
          <w:lang w:val="en-GB" w:eastAsia="en-GB"/>
        </w:rPr>
        <w:t xml:space="preserve">, and its own operations. </w:t>
      </w:r>
      <w:r w:rsidR="00460C2A">
        <w:rPr>
          <w:rFonts w:eastAsia="Times New Roman" w:cs="Times New Roman"/>
          <w:szCs w:val="20"/>
          <w:lang w:val="en-GB" w:eastAsia="en-GB"/>
        </w:rPr>
        <w:t xml:space="preserve"> </w:t>
      </w:r>
      <w:r w:rsidR="007C36CA">
        <w:rPr>
          <w:rFonts w:eastAsia="Times New Roman" w:cs="Times New Roman"/>
          <w:szCs w:val="20"/>
          <w:lang w:val="en-GB" w:eastAsia="en-GB"/>
        </w:rPr>
        <w:t xml:space="preserve">Under the current review process the Board must </w:t>
      </w:r>
      <w:r>
        <w:rPr>
          <w:rFonts w:eastAsia="Times New Roman" w:cs="Times New Roman"/>
          <w:szCs w:val="20"/>
          <w:lang w:val="en-GB" w:eastAsia="en-GB"/>
        </w:rPr>
        <w:t>consider</w:t>
      </w:r>
      <w:r w:rsidR="007C36CA">
        <w:rPr>
          <w:rFonts w:eastAsia="Times New Roman" w:cs="Times New Roman"/>
          <w:szCs w:val="20"/>
          <w:lang w:val="en-GB" w:eastAsia="en-GB"/>
        </w:rPr>
        <w:t>:</w:t>
      </w:r>
    </w:p>
    <w:p w:rsidR="007C36CA" w:rsidRDefault="00E01C6B" w:rsidP="005B5FC6">
      <w:pPr>
        <w:numPr>
          <w:ilvl w:val="1"/>
          <w:numId w:val="17"/>
        </w:numPr>
        <w:spacing w:before="120" w:line="240" w:lineRule="auto"/>
        <w:ind w:left="1134" w:hanging="425"/>
        <w:rPr>
          <w:rFonts w:eastAsia="Times New Roman" w:cs="Times New Roman"/>
          <w:szCs w:val="20"/>
          <w:lang w:val="en-GB" w:eastAsia="en-GB"/>
        </w:rPr>
      </w:pPr>
      <w:r>
        <w:rPr>
          <w:rFonts w:eastAsia="Times New Roman" w:cs="Times New Roman"/>
          <w:szCs w:val="20"/>
          <w:lang w:val="en-GB" w:eastAsia="en-GB"/>
        </w:rPr>
        <w:t xml:space="preserve">the extent to which </w:t>
      </w:r>
      <w:r w:rsidR="00CC7880">
        <w:rPr>
          <w:rFonts w:eastAsia="Times New Roman" w:cs="Times New Roman"/>
          <w:szCs w:val="20"/>
          <w:lang w:val="en-GB" w:eastAsia="en-GB"/>
        </w:rPr>
        <w:t>the SWR Act</w:t>
      </w:r>
      <w:r>
        <w:rPr>
          <w:rFonts w:eastAsia="Times New Roman" w:cs="Times New Roman"/>
          <w:szCs w:val="20"/>
          <w:lang w:val="en-GB" w:eastAsia="en-GB"/>
        </w:rPr>
        <w:t xml:space="preserve"> (and the system of vo</w:t>
      </w:r>
      <w:r w:rsidR="007C36CA">
        <w:rPr>
          <w:rFonts w:eastAsia="Times New Roman" w:cs="Times New Roman"/>
          <w:szCs w:val="20"/>
          <w:lang w:val="en-GB" w:eastAsia="en-GB"/>
        </w:rPr>
        <w:t xml:space="preserve">luntary registration it provides for) </w:t>
      </w:r>
      <w:r>
        <w:rPr>
          <w:rFonts w:eastAsia="Times New Roman" w:cs="Times New Roman"/>
          <w:szCs w:val="20"/>
          <w:lang w:val="en-GB" w:eastAsia="en-GB"/>
        </w:rPr>
        <w:t xml:space="preserve">are achieving the purposes </w:t>
      </w:r>
      <w:r w:rsidR="007C36CA">
        <w:rPr>
          <w:rFonts w:eastAsia="Times New Roman" w:cs="Times New Roman"/>
          <w:szCs w:val="20"/>
          <w:lang w:val="en-GB" w:eastAsia="en-GB"/>
        </w:rPr>
        <w:t>of p</w:t>
      </w:r>
      <w:r w:rsidR="007C36CA" w:rsidRPr="007C36CA">
        <w:rPr>
          <w:rFonts w:eastAsia="Times New Roman" w:cs="Times New Roman"/>
          <w:szCs w:val="20"/>
          <w:lang w:val="en-GB" w:eastAsia="en-GB"/>
        </w:rPr>
        <w:t>rotecting public safety and enhancing the pr</w:t>
      </w:r>
      <w:r w:rsidR="007C36CA">
        <w:rPr>
          <w:rFonts w:eastAsia="Times New Roman" w:cs="Times New Roman"/>
          <w:szCs w:val="20"/>
          <w:lang w:val="en-GB" w:eastAsia="en-GB"/>
        </w:rPr>
        <w:t>ofessionalism of social workers</w:t>
      </w:r>
    </w:p>
    <w:p w:rsidR="007C36CA" w:rsidRDefault="007C36CA" w:rsidP="005B5FC6">
      <w:pPr>
        <w:numPr>
          <w:ilvl w:val="1"/>
          <w:numId w:val="17"/>
        </w:numPr>
        <w:spacing w:before="120" w:line="240" w:lineRule="auto"/>
        <w:ind w:left="1134" w:hanging="425"/>
        <w:rPr>
          <w:rFonts w:eastAsia="Times New Roman" w:cs="Times New Roman"/>
          <w:szCs w:val="20"/>
          <w:lang w:val="en-GB" w:eastAsia="en-GB"/>
        </w:rPr>
      </w:pPr>
      <w:proofErr w:type="gramStart"/>
      <w:r>
        <w:rPr>
          <w:rFonts w:eastAsia="Times New Roman" w:cs="Times New Roman"/>
          <w:szCs w:val="20"/>
          <w:lang w:val="en-GB" w:eastAsia="en-GB"/>
        </w:rPr>
        <w:t>whether</w:t>
      </w:r>
      <w:proofErr w:type="gramEnd"/>
      <w:r>
        <w:rPr>
          <w:rFonts w:eastAsia="Times New Roman" w:cs="Times New Roman"/>
          <w:szCs w:val="20"/>
          <w:lang w:val="en-GB" w:eastAsia="en-GB"/>
        </w:rPr>
        <w:t xml:space="preserve"> any amendments to </w:t>
      </w:r>
      <w:r w:rsidR="00CC7880">
        <w:rPr>
          <w:rFonts w:eastAsia="Times New Roman" w:cs="Times New Roman"/>
          <w:szCs w:val="20"/>
          <w:lang w:val="en-GB" w:eastAsia="en-GB"/>
        </w:rPr>
        <w:t>the SWR Act</w:t>
      </w:r>
      <w:r>
        <w:rPr>
          <w:rFonts w:eastAsia="Times New Roman" w:cs="Times New Roman"/>
          <w:szCs w:val="20"/>
          <w:lang w:val="en-GB" w:eastAsia="en-GB"/>
        </w:rPr>
        <w:t xml:space="preserve"> are necessary or desirable.</w:t>
      </w:r>
    </w:p>
    <w:p w:rsidR="007C36CA" w:rsidRDefault="007C36CA" w:rsidP="00177E1D">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The Board is required to report its findings to the responsible Minister, and the responsible Minister must also present a copy of the report to the House of Representatives.</w:t>
      </w:r>
    </w:p>
    <w:p w:rsidR="00294107" w:rsidRPr="00B73299" w:rsidRDefault="00353B00" w:rsidP="003D1DF6">
      <w:pPr>
        <w:numPr>
          <w:ilvl w:val="0"/>
          <w:numId w:val="8"/>
        </w:numPr>
        <w:spacing w:after="240" w:line="240" w:lineRule="auto"/>
        <w:ind w:left="567" w:hanging="567"/>
        <w:rPr>
          <w:rFonts w:eastAsia="Times New Roman" w:cs="Times New Roman"/>
          <w:szCs w:val="20"/>
          <w:lang w:val="en-GB" w:eastAsia="en-GB"/>
        </w:rPr>
      </w:pPr>
      <w:r>
        <w:rPr>
          <w:rFonts w:eastAsia="Times New Roman" w:cs="Times New Roman"/>
          <w:szCs w:val="20"/>
          <w:lang w:val="en-GB" w:eastAsia="en-GB"/>
        </w:rPr>
        <w:t>T</w:t>
      </w:r>
      <w:r w:rsidR="007C36CA">
        <w:rPr>
          <w:rFonts w:eastAsia="Times New Roman" w:cs="Times New Roman"/>
          <w:szCs w:val="20"/>
          <w:lang w:val="en-GB" w:eastAsia="en-GB"/>
        </w:rPr>
        <w:t xml:space="preserve">his </w:t>
      </w:r>
      <w:r>
        <w:rPr>
          <w:rFonts w:eastAsia="Times New Roman" w:cs="Times New Roman"/>
          <w:szCs w:val="20"/>
          <w:lang w:val="en-GB" w:eastAsia="en-GB"/>
        </w:rPr>
        <w:t xml:space="preserve">existing </w:t>
      </w:r>
      <w:r w:rsidR="007C36CA">
        <w:rPr>
          <w:rFonts w:eastAsia="Times New Roman" w:cs="Times New Roman"/>
          <w:szCs w:val="20"/>
          <w:lang w:val="en-GB" w:eastAsia="en-GB"/>
        </w:rPr>
        <w:t xml:space="preserve">review process </w:t>
      </w:r>
      <w:r>
        <w:rPr>
          <w:rFonts w:eastAsia="Times New Roman" w:cs="Times New Roman"/>
          <w:szCs w:val="20"/>
          <w:lang w:val="en-GB" w:eastAsia="en-GB"/>
        </w:rPr>
        <w:t xml:space="preserve">will </w:t>
      </w:r>
      <w:r w:rsidR="007C36CA">
        <w:rPr>
          <w:rFonts w:eastAsia="Times New Roman" w:cs="Times New Roman"/>
          <w:szCs w:val="20"/>
          <w:lang w:val="en-GB" w:eastAsia="en-GB"/>
        </w:rPr>
        <w:t xml:space="preserve">be used </w:t>
      </w:r>
      <w:r w:rsidR="0098614C">
        <w:rPr>
          <w:rFonts w:eastAsia="Times New Roman" w:cs="Times New Roman"/>
          <w:szCs w:val="20"/>
          <w:lang w:val="en-GB" w:eastAsia="en-GB"/>
        </w:rPr>
        <w:t xml:space="preserve">by the Board </w:t>
      </w:r>
      <w:r w:rsidR="007C36CA">
        <w:rPr>
          <w:rFonts w:eastAsia="Times New Roman" w:cs="Times New Roman"/>
          <w:szCs w:val="20"/>
          <w:lang w:val="en-GB" w:eastAsia="en-GB"/>
        </w:rPr>
        <w:t xml:space="preserve">to review the implementation of the recommended proposals.  </w:t>
      </w:r>
      <w:r w:rsidR="00460C2A">
        <w:rPr>
          <w:rFonts w:eastAsia="Times New Roman" w:cs="Times New Roman"/>
          <w:szCs w:val="20"/>
          <w:lang w:val="en-GB" w:eastAsia="en-GB"/>
        </w:rPr>
        <w:t>MSD will also monitor wider trends in the social workforce.</w:t>
      </w:r>
    </w:p>
    <w:sectPr w:rsidR="00294107" w:rsidRPr="00B73299" w:rsidSect="00C05771">
      <w:headerReference w:type="even" r:id="rId11"/>
      <w:headerReference w:type="default" r:id="rId12"/>
      <w:footerReference w:type="default" r:id="rId13"/>
      <w:headerReference w:type="first" r:id="rId14"/>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CF" w:rsidRDefault="00FA0ACF" w:rsidP="00C05771">
      <w:pPr>
        <w:spacing w:after="0" w:line="240" w:lineRule="auto"/>
      </w:pPr>
      <w:r>
        <w:separator/>
      </w:r>
    </w:p>
  </w:endnote>
  <w:endnote w:type="continuationSeparator" w:id="0">
    <w:p w:rsidR="00FA0ACF" w:rsidRDefault="00FA0ACF" w:rsidP="00C0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804299"/>
      <w:docPartObj>
        <w:docPartGallery w:val="Page Numbers (Bottom of Page)"/>
        <w:docPartUnique/>
      </w:docPartObj>
    </w:sdtPr>
    <w:sdtEndPr>
      <w:rPr>
        <w:noProof/>
      </w:rPr>
    </w:sdtEndPr>
    <w:sdtContent>
      <w:p w:rsidR="00B261BF" w:rsidRDefault="00B261BF">
        <w:pPr>
          <w:pStyle w:val="Footer"/>
          <w:jc w:val="right"/>
        </w:pPr>
        <w:r>
          <w:fldChar w:fldCharType="begin"/>
        </w:r>
        <w:r>
          <w:instrText xml:space="preserve"> PAGE   \* MERGEFORMAT </w:instrText>
        </w:r>
        <w:r>
          <w:fldChar w:fldCharType="separate"/>
        </w:r>
        <w:r w:rsidR="00BD555D">
          <w:rPr>
            <w:noProof/>
          </w:rPr>
          <w:t>32</w:t>
        </w:r>
        <w:r>
          <w:rPr>
            <w:noProof/>
          </w:rPr>
          <w:fldChar w:fldCharType="end"/>
        </w:r>
      </w:p>
    </w:sdtContent>
  </w:sdt>
  <w:p w:rsidR="00B261BF" w:rsidRPr="00C00FEF" w:rsidRDefault="00B261BF" w:rsidP="00C00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CF" w:rsidRDefault="00FA0ACF" w:rsidP="00C05771">
      <w:pPr>
        <w:spacing w:after="0" w:line="240" w:lineRule="auto"/>
      </w:pPr>
      <w:r>
        <w:separator/>
      </w:r>
    </w:p>
  </w:footnote>
  <w:footnote w:type="continuationSeparator" w:id="0">
    <w:p w:rsidR="00FA0ACF" w:rsidRDefault="00FA0ACF" w:rsidP="00C05771">
      <w:pPr>
        <w:spacing w:after="0" w:line="240" w:lineRule="auto"/>
      </w:pPr>
      <w:r>
        <w:continuationSeparator/>
      </w:r>
    </w:p>
  </w:footnote>
  <w:footnote w:id="1">
    <w:p w:rsidR="00B261BF" w:rsidRDefault="00B261BF">
      <w:pPr>
        <w:pStyle w:val="FootnoteText"/>
      </w:pPr>
      <w:r>
        <w:rPr>
          <w:rStyle w:val="FootnoteReference"/>
        </w:rPr>
        <w:footnoteRef/>
      </w:r>
      <w:r>
        <w:t xml:space="preserve"> </w:t>
      </w:r>
      <w:proofErr w:type="gramStart"/>
      <w:r>
        <w:t>Section 148(2).</w:t>
      </w:r>
      <w:proofErr w:type="gramEnd"/>
    </w:p>
  </w:footnote>
  <w:footnote w:id="2">
    <w:p w:rsidR="00B261BF" w:rsidRDefault="00B261BF">
      <w:pPr>
        <w:pStyle w:val="FootnoteText"/>
      </w:pPr>
      <w:r>
        <w:rPr>
          <w:rStyle w:val="FootnoteReference"/>
        </w:rPr>
        <w:footnoteRef/>
      </w:r>
      <w:r>
        <w:t xml:space="preserve"> </w:t>
      </w:r>
      <w:proofErr w:type="gramStart"/>
      <w:r>
        <w:t>Section 97.</w:t>
      </w:r>
      <w:proofErr w:type="gramEnd"/>
    </w:p>
  </w:footnote>
  <w:footnote w:id="3">
    <w:p w:rsidR="00B261BF" w:rsidRDefault="00B261BF">
      <w:pPr>
        <w:pStyle w:val="FootnoteText"/>
      </w:pPr>
      <w:r>
        <w:rPr>
          <w:rStyle w:val="FootnoteReference"/>
        </w:rPr>
        <w:footnoteRef/>
      </w:r>
      <w:r>
        <w:t xml:space="preserve"> </w:t>
      </w:r>
      <w:proofErr w:type="gramStart"/>
      <w:r>
        <w:t>Section 106.</w:t>
      </w:r>
      <w:proofErr w:type="gramEnd"/>
    </w:p>
  </w:footnote>
  <w:footnote w:id="4">
    <w:p w:rsidR="00B261BF" w:rsidRDefault="00B261BF">
      <w:pPr>
        <w:pStyle w:val="FootnoteText"/>
      </w:pPr>
      <w:r>
        <w:rPr>
          <w:rStyle w:val="FootnoteReference"/>
        </w:rPr>
        <w:footnoteRef/>
      </w:r>
      <w:r>
        <w:t xml:space="preserve"> </w:t>
      </w:r>
      <w:proofErr w:type="gramStart"/>
      <w:r>
        <w:t>Schedule 1, clause 2.</w:t>
      </w:r>
      <w:proofErr w:type="gramEnd"/>
      <w:r>
        <w:t xml:space="preserve"> Clause 2 also requires the Minister, in appointing members, to take all reasonable steps to ensure the Board will be representative of the social work profession, advocates for consumers of services provided by social workers, social work educators, Māori, and different ethnic and cultural groups in New Zealand.</w:t>
      </w:r>
    </w:p>
  </w:footnote>
  <w:footnote w:id="5">
    <w:p w:rsidR="00B261BF" w:rsidRDefault="00B261BF">
      <w:pPr>
        <w:pStyle w:val="FootnoteText"/>
      </w:pPr>
      <w:r>
        <w:rPr>
          <w:rStyle w:val="FootnoteReference"/>
        </w:rPr>
        <w:footnoteRef/>
      </w:r>
      <w:r>
        <w:t xml:space="preserve"> </w:t>
      </w:r>
      <w:proofErr w:type="gramStart"/>
      <w:r>
        <w:t>Section 99.</w:t>
      </w:r>
      <w:proofErr w:type="gramEnd"/>
    </w:p>
  </w:footnote>
  <w:footnote w:id="6">
    <w:p w:rsidR="00B261BF" w:rsidRDefault="00B261BF">
      <w:pPr>
        <w:pStyle w:val="FootnoteText"/>
      </w:pPr>
      <w:r>
        <w:rPr>
          <w:rStyle w:val="FootnoteReference"/>
        </w:rPr>
        <w:footnoteRef/>
      </w:r>
      <w:r>
        <w:t xml:space="preserve"> </w:t>
      </w:r>
      <w:proofErr w:type="gramStart"/>
      <w:r>
        <w:t>Section 114.</w:t>
      </w:r>
      <w:proofErr w:type="gramEnd"/>
    </w:p>
  </w:footnote>
  <w:footnote w:id="7">
    <w:p w:rsidR="00B261BF" w:rsidRDefault="00B261BF">
      <w:pPr>
        <w:pStyle w:val="FootnoteText"/>
      </w:pPr>
      <w:r>
        <w:rPr>
          <w:rStyle w:val="FootnoteReference"/>
        </w:rPr>
        <w:footnoteRef/>
      </w:r>
      <w:r>
        <w:t xml:space="preserve"> Section 99(1</w:t>
      </w:r>
      <w:proofErr w:type="gramStart"/>
      <w:r>
        <w:t>)(</w:t>
      </w:r>
      <w:proofErr w:type="gramEnd"/>
      <w:r>
        <w:t>m), section 116(1).</w:t>
      </w:r>
    </w:p>
  </w:footnote>
  <w:footnote w:id="8">
    <w:p w:rsidR="00B261BF" w:rsidRDefault="00B261BF">
      <w:pPr>
        <w:pStyle w:val="FootnoteText"/>
      </w:pPr>
      <w:r>
        <w:rPr>
          <w:rStyle w:val="FootnoteReference"/>
        </w:rPr>
        <w:footnoteRef/>
      </w:r>
      <w:r>
        <w:t xml:space="preserve"> </w:t>
      </w:r>
      <w:proofErr w:type="gramStart"/>
      <w:r>
        <w:t>Section 66.</w:t>
      </w:r>
      <w:proofErr w:type="gramEnd"/>
    </w:p>
  </w:footnote>
  <w:footnote w:id="9">
    <w:p w:rsidR="00B261BF" w:rsidRDefault="00B261BF" w:rsidP="001131B4">
      <w:pPr>
        <w:pStyle w:val="FootnoteText"/>
      </w:pPr>
      <w:r>
        <w:rPr>
          <w:rStyle w:val="FootnoteReference"/>
        </w:rPr>
        <w:footnoteRef/>
      </w:r>
      <w:r>
        <w:t xml:space="preserve"> </w:t>
      </w:r>
      <w:r w:rsidRPr="00937D41">
        <w:t xml:space="preserve">The Board’s estimate of 8,000 </w:t>
      </w:r>
      <w:r>
        <w:t xml:space="preserve">from census data </w:t>
      </w:r>
      <w:r w:rsidRPr="00937D41">
        <w:t>was made by counting the number of people with relevant job titles and tertiary level qualifications.  However it was not possible to confirm how many had social work qualifications.</w:t>
      </w:r>
    </w:p>
  </w:footnote>
  <w:footnote w:id="10">
    <w:p w:rsidR="00B261BF" w:rsidRDefault="00B261BF" w:rsidP="00CA7299">
      <w:pPr>
        <w:pStyle w:val="FootnoteText"/>
      </w:pPr>
      <w:r>
        <w:rPr>
          <w:rStyle w:val="FootnoteReference"/>
        </w:rPr>
        <w:footnoteRef/>
      </w:r>
      <w:r>
        <w:t xml:space="preserve"> Social Workers Registration Board –Third  Quarter Report 2016/17</w:t>
      </w:r>
    </w:p>
  </w:footnote>
  <w:footnote w:id="11">
    <w:p w:rsidR="00B261BF" w:rsidRDefault="00B261BF" w:rsidP="00CA7299">
      <w:pPr>
        <w:pStyle w:val="FootnoteText"/>
      </w:pPr>
      <w:r>
        <w:rPr>
          <w:rStyle w:val="FootnoteReference"/>
        </w:rPr>
        <w:footnoteRef/>
      </w:r>
      <w:r>
        <w:t xml:space="preserve"> </w:t>
      </w:r>
      <w:r w:rsidRPr="00937D41">
        <w:t xml:space="preserve">This has been </w:t>
      </w:r>
      <w:r>
        <w:t>calculated</w:t>
      </w:r>
      <w:r w:rsidRPr="00937D41">
        <w:t xml:space="preserve"> from the proportion of ANZASW members who have </w:t>
      </w:r>
      <w:r>
        <w:t>a tertiary qualification</w:t>
      </w:r>
      <w:r w:rsidRPr="00937D41">
        <w:t xml:space="preserve"> but are not registered.</w:t>
      </w:r>
    </w:p>
  </w:footnote>
  <w:footnote w:id="12">
    <w:p w:rsidR="00B261BF" w:rsidRDefault="00B261BF" w:rsidP="00CA7299">
      <w:pPr>
        <w:pStyle w:val="FootnoteText"/>
      </w:pPr>
      <w:r>
        <w:rPr>
          <w:rStyle w:val="FootnoteReference"/>
        </w:rPr>
        <w:footnoteRef/>
      </w:r>
      <w:r>
        <w:t xml:space="preserve"> Section 13 enables the Board to register a social worker who does not have a recognised social work qualification but does have the requisite degree of practical experience and meets the other registration criteria.</w:t>
      </w:r>
    </w:p>
  </w:footnote>
  <w:footnote w:id="13">
    <w:p w:rsidR="00B261BF" w:rsidRDefault="00B261BF" w:rsidP="00F4679C">
      <w:pPr>
        <w:pStyle w:val="FootnoteText"/>
      </w:pPr>
      <w:r>
        <w:rPr>
          <w:rStyle w:val="FootnoteReference"/>
        </w:rPr>
        <w:footnoteRef/>
      </w:r>
      <w:r>
        <w:t xml:space="preserve"> </w:t>
      </w:r>
      <w:proofErr w:type="gramStart"/>
      <w:r>
        <w:t>Section 104.</w:t>
      </w:r>
      <w:proofErr w:type="gramEnd"/>
    </w:p>
  </w:footnote>
  <w:footnote w:id="14">
    <w:p w:rsidR="00B261BF" w:rsidRDefault="00B261BF" w:rsidP="0094357E">
      <w:pPr>
        <w:pStyle w:val="FootnoteText"/>
        <w:tabs>
          <w:tab w:val="left" w:pos="1924"/>
        </w:tabs>
      </w:pPr>
      <w:r>
        <w:rPr>
          <w:rStyle w:val="FootnoteReference"/>
        </w:rPr>
        <w:footnoteRef/>
      </w:r>
      <w:r>
        <w:t xml:space="preserve"> See generally Gloria </w:t>
      </w:r>
      <w:proofErr w:type="spellStart"/>
      <w:r>
        <w:t>Kirwan</w:t>
      </w:r>
      <w:proofErr w:type="spellEnd"/>
      <w:r>
        <w:t xml:space="preserve"> and Brian </w:t>
      </w:r>
      <w:proofErr w:type="spellStart"/>
      <w:r>
        <w:t>Melaugh</w:t>
      </w:r>
      <w:proofErr w:type="spellEnd"/>
      <w:r>
        <w:t xml:space="preserve"> “Taking Care: Criticality and reflexivity in the context of social work registration” (2015) 45(3) British Journal of Social Work 1050.</w:t>
      </w:r>
    </w:p>
  </w:footnote>
  <w:footnote w:id="15">
    <w:p w:rsidR="00B261BF" w:rsidRDefault="00B261BF">
      <w:pPr>
        <w:pStyle w:val="FootnoteText"/>
      </w:pPr>
      <w:r>
        <w:rPr>
          <w:rStyle w:val="FootnoteReference"/>
        </w:rPr>
        <w:footnoteRef/>
      </w:r>
      <w:r>
        <w:t xml:space="preserve"> Policy Framework for Occupational Regulation, CO (99) 6 </w:t>
      </w:r>
      <w:hyperlink r:id="rId1" w:history="1">
        <w:r w:rsidRPr="00DA53A4">
          <w:rPr>
            <w:rStyle w:val="Hyperlink"/>
          </w:rPr>
          <w:t>https://www.dpmc.govt.nz/cabinet/circulars/co99/6</w:t>
        </w:r>
      </w:hyperlink>
    </w:p>
  </w:footnote>
  <w:footnote w:id="16">
    <w:p w:rsidR="00B261BF" w:rsidRDefault="00B261BF" w:rsidP="006638A8">
      <w:pPr>
        <w:pStyle w:val="FootnoteText"/>
      </w:pPr>
      <w:r>
        <w:rPr>
          <w:rStyle w:val="FootnoteReference"/>
        </w:rPr>
        <w:footnoteRef/>
      </w:r>
      <w:r>
        <w:t xml:space="preserve"> Social Workers Registration Board “Issues Paper: Proposed legislative reform of the Social Workers Registration Act 2003” (advice to the Social Services Committee Inquiry, June 2016).</w:t>
      </w:r>
    </w:p>
  </w:footnote>
  <w:footnote w:id="17">
    <w:p w:rsidR="00B261BF" w:rsidRDefault="00B261BF">
      <w:pPr>
        <w:pStyle w:val="FootnoteText"/>
      </w:pPr>
      <w:r>
        <w:rPr>
          <w:rStyle w:val="FootnoteReference"/>
        </w:rPr>
        <w:footnoteRef/>
      </w:r>
      <w:r>
        <w:t xml:space="preserve"> Social Workers Registration Board, </w:t>
      </w:r>
      <w:r w:rsidRPr="00404CC4">
        <w:rPr>
          <w:i/>
        </w:rPr>
        <w:t>2015 Review of the Social Workers Registration Act 2003</w:t>
      </w:r>
      <w:r>
        <w:t>, page 13</w:t>
      </w:r>
    </w:p>
  </w:footnote>
  <w:footnote w:id="18">
    <w:p w:rsidR="00B261BF" w:rsidRDefault="00B261BF" w:rsidP="006638A8">
      <w:r>
        <w:rPr>
          <w:rStyle w:val="FootnoteReference"/>
        </w:rPr>
        <w:footnoteRef/>
      </w:r>
      <w:r>
        <w:t xml:space="preserve"> </w:t>
      </w:r>
      <w:hyperlink r:id="rId2" w:history="1">
        <w:r w:rsidRPr="000F3A11">
          <w:rPr>
            <w:rStyle w:val="Hyperlink"/>
          </w:rPr>
          <w:t>http://www.swrb.govt.nz/doc-man/publications-1/346-annual-report</w:t>
        </w:r>
      </w:hyperlink>
      <w:r>
        <w:t xml:space="preserve"> (page 16)</w:t>
      </w:r>
    </w:p>
  </w:footnote>
  <w:footnote w:id="19">
    <w:p w:rsidR="00B261BF" w:rsidRDefault="00B261BF" w:rsidP="005970B3">
      <w:pPr>
        <w:pStyle w:val="FootnoteText"/>
        <w:jc w:val="both"/>
      </w:pPr>
      <w:r>
        <w:rPr>
          <w:rStyle w:val="FootnoteReference"/>
        </w:rPr>
        <w:footnoteRef/>
      </w:r>
      <w:r>
        <w:t xml:space="preserve"> </w:t>
      </w:r>
      <w:proofErr w:type="gramStart"/>
      <w:r>
        <w:t xml:space="preserve">Jo Moriarty, Mary </w:t>
      </w:r>
      <w:proofErr w:type="spellStart"/>
      <w:r>
        <w:t>Baginsky</w:t>
      </w:r>
      <w:proofErr w:type="spellEnd"/>
      <w:r>
        <w:t xml:space="preserve"> and Jill </w:t>
      </w:r>
      <w:proofErr w:type="spellStart"/>
      <w:r>
        <w:t>Manthorpe</w:t>
      </w:r>
      <w:proofErr w:type="spellEnd"/>
      <w:r>
        <w:t xml:space="preserve"> </w:t>
      </w:r>
      <w:r>
        <w:rPr>
          <w:i/>
        </w:rPr>
        <w:t xml:space="preserve">Literature Review of roles and issues within the social work profession in England </w:t>
      </w:r>
      <w:r>
        <w:t>(Professional Standards Authority UK, March 2015), page 4.</w:t>
      </w:r>
      <w:proofErr w:type="gramEnd"/>
    </w:p>
  </w:footnote>
  <w:footnote w:id="20">
    <w:p w:rsidR="00B261BF" w:rsidRDefault="00B261BF" w:rsidP="006638A8">
      <w:pPr>
        <w:pStyle w:val="FootnoteText"/>
      </w:pPr>
      <w:r>
        <w:rPr>
          <w:rStyle w:val="FootnoteReference"/>
        </w:rPr>
        <w:footnoteRef/>
      </w:r>
      <w:r>
        <w:t xml:space="preserve"> Ibid, page 3.</w:t>
      </w:r>
    </w:p>
  </w:footnote>
  <w:footnote w:id="21">
    <w:p w:rsidR="00B261BF" w:rsidRDefault="00B261BF" w:rsidP="00A00008">
      <w:pPr>
        <w:pStyle w:val="FootnoteText"/>
      </w:pPr>
      <w:r>
        <w:rPr>
          <w:rStyle w:val="FootnoteReference"/>
        </w:rPr>
        <w:footnoteRef/>
      </w:r>
      <w:r>
        <w:t xml:space="preserve"> “Enough” practical experience is defined in policy set by the Board and includes, for example, the length and quality of work experience; see Policy Statement: </w:t>
      </w:r>
      <w:r w:rsidRPr="008E26F9">
        <w:rPr>
          <w:i/>
        </w:rPr>
        <w:t>Criteria for section 13 registration- enough practical experience without a recognised social work qualification</w:t>
      </w:r>
      <w:r>
        <w:t>,</w:t>
      </w:r>
      <w:r w:rsidRPr="008E26F9">
        <w:t xml:space="preserve"> http://www.swrb.govt.nz/policy</w:t>
      </w:r>
      <w:r>
        <w:t>.</w:t>
      </w:r>
    </w:p>
  </w:footnote>
  <w:footnote w:id="22">
    <w:p w:rsidR="00B261BF" w:rsidRDefault="00B261BF" w:rsidP="005970B3">
      <w:pPr>
        <w:pStyle w:val="FootnoteText"/>
      </w:pPr>
      <w:r w:rsidRPr="00F51DD6">
        <w:rPr>
          <w:rStyle w:val="FootnoteReference"/>
        </w:rPr>
        <w:footnoteRef/>
      </w:r>
      <w:r w:rsidRPr="00F51DD6">
        <w:t xml:space="preserve"> Section 10 enables the Board to provisionally register a social worker who is working towards a recognised social work qualification and meets the other registration criteria.</w:t>
      </w:r>
      <w:r>
        <w:t xml:space="preserve"> </w:t>
      </w:r>
    </w:p>
  </w:footnote>
  <w:footnote w:id="23">
    <w:p w:rsidR="00B261BF" w:rsidRDefault="00B261BF" w:rsidP="005970B3">
      <w:pPr>
        <w:pStyle w:val="FootnoteText"/>
      </w:pPr>
      <w:r>
        <w:rPr>
          <w:rStyle w:val="FootnoteReference"/>
        </w:rPr>
        <w:footnoteRef/>
      </w:r>
      <w:r>
        <w:t xml:space="preserve"> The Ministry of Education confirmed the basis for the cost estimates.  There have recently been training capacity constraints because of a limit on the number of field placements across public and private sectors, but this is not expected to be such an issue for social work students who are already employed in the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BF" w:rsidRDefault="00B26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BF" w:rsidRDefault="00B26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BF" w:rsidRPr="00C00FEF" w:rsidRDefault="00B261BF" w:rsidP="00C00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174EA"/>
    <w:multiLevelType w:val="hybridMultilevel"/>
    <w:tmpl w:val="09F65ED2"/>
    <w:styleLink w:val="ImportedStyle30"/>
    <w:lvl w:ilvl="0" w:tplc="1FA2CE38">
      <w:start w:val="1"/>
      <w:numFmt w:val="bullet"/>
      <w:lvlText w:val="•"/>
      <w:lvlJc w:val="left"/>
      <w:pPr>
        <w:ind w:left="360"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878EB4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FA0282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21E69AE">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8FD460EA">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B0AD2D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018D3DC">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B467BB4">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0289F8">
      <w:start w:val="1"/>
      <w:numFmt w:val="bullet"/>
      <w:lvlText w:val="•"/>
      <w:lvlJc w:val="left"/>
      <w:pPr>
        <w:ind w:left="720"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4684902"/>
    <w:multiLevelType w:val="hybridMultilevel"/>
    <w:tmpl w:val="1C880EA8"/>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6CE44C8"/>
    <w:multiLevelType w:val="singleLevel"/>
    <w:tmpl w:val="14090011"/>
    <w:lvl w:ilvl="0">
      <w:start w:val="1"/>
      <w:numFmt w:val="decimal"/>
      <w:lvlText w:val="%1)"/>
      <w:lvlJc w:val="left"/>
      <w:pPr>
        <w:ind w:left="786" w:hanging="360"/>
      </w:pPr>
      <w:rPr>
        <w:rFonts w:hint="default"/>
        <w:b w:val="0"/>
        <w:color w:val="auto"/>
        <w:sz w:val="20"/>
        <w:szCs w:val="20"/>
      </w:rPr>
    </w:lvl>
  </w:abstractNum>
  <w:abstractNum w:abstractNumId="5">
    <w:nsid w:val="0D5648E8"/>
    <w:multiLevelType w:val="multilevel"/>
    <w:tmpl w:val="5450F33C"/>
    <w:lvl w:ilvl="0">
      <w:start w:val="1"/>
      <w:numFmt w:val="bullet"/>
      <w:lvlText w:val=""/>
      <w:lvlJc w:val="left"/>
      <w:pPr>
        <w:ind w:left="678" w:hanging="360"/>
      </w:pPr>
      <w:rPr>
        <w:rFonts w:ascii="Symbol" w:hAnsi="Symbol" w:hint="default"/>
        <w:b w:val="0"/>
        <w:color w:val="auto"/>
        <w:sz w:val="20"/>
        <w:szCs w:val="20"/>
      </w:rPr>
    </w:lvl>
    <w:lvl w:ilvl="1">
      <w:start w:val="1"/>
      <w:numFmt w:val="bullet"/>
      <w:lvlText w:val=""/>
      <w:lvlJc w:val="left"/>
      <w:pPr>
        <w:ind w:left="1332" w:hanging="360"/>
      </w:pPr>
      <w:rPr>
        <w:rFonts w:ascii="Symbol" w:hAnsi="Symbol" w:hint="default"/>
      </w:rPr>
    </w:lvl>
    <w:lvl w:ilvl="2">
      <w:start w:val="1"/>
      <w:numFmt w:val="lowerRoman"/>
      <w:lvlText w:val="%3."/>
      <w:lvlJc w:val="right"/>
      <w:pPr>
        <w:ind w:left="2052" w:hanging="180"/>
      </w:pPr>
    </w:lvl>
    <w:lvl w:ilvl="3" w:tentative="1">
      <w:start w:val="1"/>
      <w:numFmt w:val="decimal"/>
      <w:lvlText w:val="%4."/>
      <w:lvlJc w:val="left"/>
      <w:pPr>
        <w:ind w:left="2772" w:hanging="360"/>
      </w:pPr>
    </w:lvl>
    <w:lvl w:ilvl="4" w:tentative="1">
      <w:start w:val="1"/>
      <w:numFmt w:val="lowerLetter"/>
      <w:lvlText w:val="%5."/>
      <w:lvlJc w:val="left"/>
      <w:pPr>
        <w:ind w:left="3492" w:hanging="360"/>
      </w:pPr>
    </w:lvl>
    <w:lvl w:ilvl="5" w:tentative="1">
      <w:start w:val="1"/>
      <w:numFmt w:val="lowerRoman"/>
      <w:lvlText w:val="%6."/>
      <w:lvlJc w:val="right"/>
      <w:pPr>
        <w:ind w:left="4212" w:hanging="180"/>
      </w:pPr>
    </w:lvl>
    <w:lvl w:ilvl="6" w:tentative="1">
      <w:start w:val="1"/>
      <w:numFmt w:val="decimal"/>
      <w:lvlText w:val="%7."/>
      <w:lvlJc w:val="left"/>
      <w:pPr>
        <w:ind w:left="4932" w:hanging="360"/>
      </w:pPr>
    </w:lvl>
    <w:lvl w:ilvl="7" w:tentative="1">
      <w:start w:val="1"/>
      <w:numFmt w:val="lowerLetter"/>
      <w:lvlText w:val="%8."/>
      <w:lvlJc w:val="left"/>
      <w:pPr>
        <w:ind w:left="5652" w:hanging="360"/>
      </w:pPr>
    </w:lvl>
    <w:lvl w:ilvl="8" w:tentative="1">
      <w:start w:val="1"/>
      <w:numFmt w:val="lowerRoman"/>
      <w:lvlText w:val="%9."/>
      <w:lvlJc w:val="right"/>
      <w:pPr>
        <w:ind w:left="6372" w:hanging="180"/>
      </w:pPr>
    </w:lvl>
  </w:abstractNum>
  <w:abstractNum w:abstractNumId="6">
    <w:nsid w:val="0DAC1F94"/>
    <w:multiLevelType w:val="hybridMultilevel"/>
    <w:tmpl w:val="4D90E1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09150DD"/>
    <w:multiLevelType w:val="hybridMultilevel"/>
    <w:tmpl w:val="DF66DFC8"/>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nsid w:val="1E8E5BBA"/>
    <w:multiLevelType w:val="hybridMultilevel"/>
    <w:tmpl w:val="5290B120"/>
    <w:styleLink w:val="ImportedStyle3"/>
    <w:lvl w:ilvl="0" w:tplc="9D5AF072">
      <w:start w:val="1"/>
      <w:numFmt w:val="decimal"/>
      <w:lvlText w:val="%1."/>
      <w:lvlJc w:val="left"/>
      <w:pPr>
        <w:ind w:left="56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C91E0776">
      <w:start w:val="1"/>
      <w:numFmt w:val="decimal"/>
      <w:lvlText w:val="%2."/>
      <w:lvlJc w:val="left"/>
      <w:pPr>
        <w:ind w:left="1287" w:hanging="529"/>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7AEA79C">
      <w:start w:val="1"/>
      <w:numFmt w:val="lowerRoman"/>
      <w:lvlText w:val="%3."/>
      <w:lvlJc w:val="left"/>
      <w:pPr>
        <w:ind w:left="200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9F3AF2EE">
      <w:start w:val="1"/>
      <w:numFmt w:val="decimal"/>
      <w:lvlText w:val="%4."/>
      <w:lvlJc w:val="left"/>
      <w:pPr>
        <w:ind w:left="272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2A14C598">
      <w:start w:val="1"/>
      <w:numFmt w:val="lowerLetter"/>
      <w:lvlText w:val="%5."/>
      <w:lvlJc w:val="left"/>
      <w:pPr>
        <w:ind w:left="344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EB165E84">
      <w:start w:val="1"/>
      <w:numFmt w:val="lowerRoman"/>
      <w:lvlText w:val="%6."/>
      <w:lvlJc w:val="left"/>
      <w:pPr>
        <w:ind w:left="416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66C1D12">
      <w:start w:val="1"/>
      <w:numFmt w:val="decimal"/>
      <w:lvlText w:val="%7."/>
      <w:lvlJc w:val="left"/>
      <w:pPr>
        <w:ind w:left="488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C23E590C">
      <w:start w:val="1"/>
      <w:numFmt w:val="lowerLetter"/>
      <w:lvlText w:val="%8."/>
      <w:lvlJc w:val="left"/>
      <w:pPr>
        <w:ind w:left="5607" w:hanging="5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9C20EC26">
      <w:start w:val="1"/>
      <w:numFmt w:val="lowerRoman"/>
      <w:lvlText w:val="%9."/>
      <w:lvlJc w:val="left"/>
      <w:pPr>
        <w:ind w:left="6327" w:hanging="491"/>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2">
    <w:nsid w:val="257F2A3C"/>
    <w:multiLevelType w:val="hybridMultilevel"/>
    <w:tmpl w:val="11462FF2"/>
    <w:lvl w:ilvl="0" w:tplc="14090011">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282D138B"/>
    <w:multiLevelType w:val="hybridMultilevel"/>
    <w:tmpl w:val="F2D0B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31AC5BCC"/>
    <w:multiLevelType w:val="multilevel"/>
    <w:tmpl w:val="6FB2A3BA"/>
    <w:lvl w:ilvl="0">
      <w:start w:val="1"/>
      <w:numFmt w:val="decimal"/>
      <w:pStyle w:val="CabStandard"/>
      <w:lvlText w:val="%1"/>
      <w:lvlJc w:val="left"/>
      <w:pPr>
        <w:tabs>
          <w:tab w:val="num" w:pos="862"/>
        </w:tabs>
        <w:ind w:left="862" w:hanging="720"/>
      </w:pPr>
      <w:rPr>
        <w:rFonts w:ascii="Arial" w:hAnsi="Arial" w:cs="Arial" w:hint="default"/>
        <w:b w:val="0"/>
        <w:sz w:val="23"/>
        <w:szCs w:val="23"/>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6">
    <w:nsid w:val="38DE5A8D"/>
    <w:multiLevelType w:val="hybridMultilevel"/>
    <w:tmpl w:val="A342C94C"/>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EF240C"/>
    <w:multiLevelType w:val="multilevel"/>
    <w:tmpl w:val="D152F526"/>
    <w:lvl w:ilvl="0">
      <w:start w:val="1"/>
      <w:numFmt w:val="bullet"/>
      <w:lvlText w:val=""/>
      <w:lvlJc w:val="left"/>
      <w:pPr>
        <w:ind w:left="927" w:hanging="360"/>
      </w:pPr>
      <w:rPr>
        <w:rFonts w:ascii="Symbol" w:hAnsi="Symbol" w:hint="default"/>
        <w:b w:val="0"/>
        <w:color w:val="auto"/>
        <w:sz w:val="20"/>
        <w:szCs w:val="20"/>
      </w:rPr>
    </w:lvl>
    <w:lvl w:ilvl="1">
      <w:start w:val="1"/>
      <w:numFmt w:val="bullet"/>
      <w:lvlText w:val=""/>
      <w:lvlJc w:val="left"/>
      <w:pPr>
        <w:ind w:left="1581" w:hanging="360"/>
      </w:pPr>
      <w:rPr>
        <w:rFonts w:ascii="Symbol" w:hAnsi="Symbol" w:hint="default"/>
      </w:rPr>
    </w:lvl>
    <w:lvl w:ilvl="2">
      <w:start w:val="1"/>
      <w:numFmt w:val="lowerRoman"/>
      <w:lvlText w:val="%3."/>
      <w:lvlJc w:val="right"/>
      <w:pPr>
        <w:ind w:left="2301" w:hanging="180"/>
      </w:pPr>
    </w:lvl>
    <w:lvl w:ilvl="3" w:tentative="1">
      <w:start w:val="1"/>
      <w:numFmt w:val="decimal"/>
      <w:lvlText w:val="%4."/>
      <w:lvlJc w:val="left"/>
      <w:pPr>
        <w:ind w:left="3021" w:hanging="360"/>
      </w:pPr>
    </w:lvl>
    <w:lvl w:ilvl="4" w:tentative="1">
      <w:start w:val="1"/>
      <w:numFmt w:val="lowerLetter"/>
      <w:lvlText w:val="%5."/>
      <w:lvlJc w:val="left"/>
      <w:pPr>
        <w:ind w:left="3741" w:hanging="360"/>
      </w:pPr>
    </w:lvl>
    <w:lvl w:ilvl="5" w:tentative="1">
      <w:start w:val="1"/>
      <w:numFmt w:val="lowerRoman"/>
      <w:lvlText w:val="%6."/>
      <w:lvlJc w:val="right"/>
      <w:pPr>
        <w:ind w:left="4461" w:hanging="180"/>
      </w:pPr>
    </w:lvl>
    <w:lvl w:ilvl="6" w:tentative="1">
      <w:start w:val="1"/>
      <w:numFmt w:val="decimal"/>
      <w:lvlText w:val="%7."/>
      <w:lvlJc w:val="left"/>
      <w:pPr>
        <w:ind w:left="5181" w:hanging="360"/>
      </w:pPr>
    </w:lvl>
    <w:lvl w:ilvl="7" w:tentative="1">
      <w:start w:val="1"/>
      <w:numFmt w:val="lowerLetter"/>
      <w:lvlText w:val="%8."/>
      <w:lvlJc w:val="left"/>
      <w:pPr>
        <w:ind w:left="5901" w:hanging="360"/>
      </w:pPr>
    </w:lvl>
    <w:lvl w:ilvl="8" w:tentative="1">
      <w:start w:val="1"/>
      <w:numFmt w:val="lowerRoman"/>
      <w:lvlText w:val="%9."/>
      <w:lvlJc w:val="right"/>
      <w:pPr>
        <w:ind w:left="6621" w:hanging="180"/>
      </w:pPr>
    </w:lvl>
  </w:abstractNum>
  <w:abstractNum w:abstractNumId="18">
    <w:nsid w:val="3D8736D6"/>
    <w:multiLevelType w:val="hybridMultilevel"/>
    <w:tmpl w:val="D8A013C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180"/>
      </w:pPr>
      <w:rPr>
        <w:rFonts w:ascii="Courier New" w:hAnsi="Courier New" w:cs="Courier New"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E1023BD"/>
    <w:multiLevelType w:val="hybridMultilevel"/>
    <w:tmpl w:val="8948FE5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3850732"/>
    <w:multiLevelType w:val="hybridMultilevel"/>
    <w:tmpl w:val="814A6888"/>
    <w:styleLink w:val="ImportedStyle5"/>
    <w:lvl w:ilvl="0" w:tplc="7F1A9B42">
      <w:start w:val="1"/>
      <w:numFmt w:val="decimal"/>
      <w:lvlText w:val="%1."/>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0CE0636">
      <w:start w:val="1"/>
      <w:numFmt w:val="decimal"/>
      <w:lvlText w:val="%2."/>
      <w:lvlJc w:val="left"/>
      <w:pPr>
        <w:ind w:left="7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BF98A102">
      <w:start w:val="1"/>
      <w:numFmt w:val="decimal"/>
      <w:lvlText w:val="%3."/>
      <w:lvlJc w:val="left"/>
      <w:pPr>
        <w:tabs>
          <w:tab w:val="left" w:pos="720"/>
        </w:tabs>
        <w:ind w:left="14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49801DB4">
      <w:start w:val="1"/>
      <w:numFmt w:val="decimal"/>
      <w:lvlText w:val="%4."/>
      <w:lvlJc w:val="left"/>
      <w:pPr>
        <w:tabs>
          <w:tab w:val="left" w:pos="720"/>
        </w:tabs>
        <w:ind w:left="21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FFD4F224">
      <w:start w:val="1"/>
      <w:numFmt w:val="decimal"/>
      <w:lvlText w:val="%5."/>
      <w:lvlJc w:val="left"/>
      <w:pPr>
        <w:tabs>
          <w:tab w:val="left" w:pos="720"/>
        </w:tabs>
        <w:ind w:left="288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488FB46">
      <w:start w:val="1"/>
      <w:numFmt w:val="decimal"/>
      <w:lvlText w:val="%6."/>
      <w:lvlJc w:val="left"/>
      <w:pPr>
        <w:tabs>
          <w:tab w:val="left" w:pos="720"/>
        </w:tabs>
        <w:ind w:left="360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57782B2E">
      <w:start w:val="1"/>
      <w:numFmt w:val="decimal"/>
      <w:lvlText w:val="%7."/>
      <w:lvlJc w:val="left"/>
      <w:pPr>
        <w:tabs>
          <w:tab w:val="left" w:pos="720"/>
        </w:tabs>
        <w:ind w:left="432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0002C3C0">
      <w:start w:val="1"/>
      <w:numFmt w:val="decimal"/>
      <w:lvlText w:val="%8."/>
      <w:lvlJc w:val="left"/>
      <w:pPr>
        <w:tabs>
          <w:tab w:val="left" w:pos="720"/>
        </w:tabs>
        <w:ind w:left="504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5FE456C">
      <w:start w:val="1"/>
      <w:numFmt w:val="decimal"/>
      <w:lvlText w:val="%9."/>
      <w:lvlJc w:val="left"/>
      <w:pPr>
        <w:tabs>
          <w:tab w:val="left" w:pos="720"/>
        </w:tabs>
        <w:ind w:left="5760" w:hanging="72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nsid w:val="4AB42C2C"/>
    <w:multiLevelType w:val="multilevel"/>
    <w:tmpl w:val="201C5098"/>
    <w:styleLink w:val="BodyList1"/>
    <w:lvl w:ilvl="0">
      <w:start w:val="1"/>
      <w:numFmt w:val="decimal"/>
      <w:lvlText w:val="%1"/>
      <w:lvlJc w:val="left"/>
      <w:pPr>
        <w:ind w:left="786" w:hanging="360"/>
      </w:pPr>
      <w:rPr>
        <w:rFonts w:ascii="Verdana" w:hAnsi="Verdana" w:cs="Aria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CE649D"/>
    <w:multiLevelType w:val="multilevel"/>
    <w:tmpl w:val="562A06A6"/>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nsid w:val="50650345"/>
    <w:multiLevelType w:val="hybridMultilevel"/>
    <w:tmpl w:val="3A148814"/>
    <w:lvl w:ilvl="0" w:tplc="75C0CE34">
      <w:start w:val="1"/>
      <w:numFmt w:val="bullet"/>
      <w:pStyle w:val="Bullet1"/>
      <w:lvlText w:val=""/>
      <w:lvlJc w:val="left"/>
      <w:pPr>
        <w:ind w:left="2082" w:hanging="360"/>
      </w:pPr>
      <w:rPr>
        <w:rFonts w:ascii="Symbol" w:hAnsi="Symbol" w:hint="default"/>
      </w:rPr>
    </w:lvl>
    <w:lvl w:ilvl="1" w:tplc="32705A00" w:tentative="1">
      <w:start w:val="1"/>
      <w:numFmt w:val="bullet"/>
      <w:lvlText w:val="o"/>
      <w:lvlJc w:val="left"/>
      <w:pPr>
        <w:ind w:left="2802" w:hanging="360"/>
      </w:pPr>
      <w:rPr>
        <w:rFonts w:ascii="Courier New" w:hAnsi="Courier New" w:cs="Courier New" w:hint="default"/>
      </w:rPr>
    </w:lvl>
    <w:lvl w:ilvl="2" w:tplc="2026CF70" w:tentative="1">
      <w:start w:val="1"/>
      <w:numFmt w:val="bullet"/>
      <w:lvlText w:val=""/>
      <w:lvlJc w:val="left"/>
      <w:pPr>
        <w:ind w:left="3522" w:hanging="360"/>
      </w:pPr>
      <w:rPr>
        <w:rFonts w:ascii="Wingdings" w:hAnsi="Wingdings" w:hint="default"/>
      </w:rPr>
    </w:lvl>
    <w:lvl w:ilvl="3" w:tplc="A20AEF96" w:tentative="1">
      <w:start w:val="1"/>
      <w:numFmt w:val="bullet"/>
      <w:lvlText w:val=""/>
      <w:lvlJc w:val="left"/>
      <w:pPr>
        <w:ind w:left="4242" w:hanging="360"/>
      </w:pPr>
      <w:rPr>
        <w:rFonts w:ascii="Symbol" w:hAnsi="Symbol" w:hint="default"/>
      </w:rPr>
    </w:lvl>
    <w:lvl w:ilvl="4" w:tplc="11F8A418" w:tentative="1">
      <w:start w:val="1"/>
      <w:numFmt w:val="bullet"/>
      <w:lvlText w:val="o"/>
      <w:lvlJc w:val="left"/>
      <w:pPr>
        <w:ind w:left="4962" w:hanging="360"/>
      </w:pPr>
      <w:rPr>
        <w:rFonts w:ascii="Courier New" w:hAnsi="Courier New" w:cs="Courier New" w:hint="default"/>
      </w:rPr>
    </w:lvl>
    <w:lvl w:ilvl="5" w:tplc="A0E86CC4" w:tentative="1">
      <w:start w:val="1"/>
      <w:numFmt w:val="bullet"/>
      <w:lvlText w:val=""/>
      <w:lvlJc w:val="left"/>
      <w:pPr>
        <w:ind w:left="5682" w:hanging="360"/>
      </w:pPr>
      <w:rPr>
        <w:rFonts w:ascii="Wingdings" w:hAnsi="Wingdings" w:hint="default"/>
      </w:rPr>
    </w:lvl>
    <w:lvl w:ilvl="6" w:tplc="03286814" w:tentative="1">
      <w:start w:val="1"/>
      <w:numFmt w:val="bullet"/>
      <w:lvlText w:val=""/>
      <w:lvlJc w:val="left"/>
      <w:pPr>
        <w:ind w:left="6402" w:hanging="360"/>
      </w:pPr>
      <w:rPr>
        <w:rFonts w:ascii="Symbol" w:hAnsi="Symbol" w:hint="default"/>
      </w:rPr>
    </w:lvl>
    <w:lvl w:ilvl="7" w:tplc="25661F36" w:tentative="1">
      <w:start w:val="1"/>
      <w:numFmt w:val="bullet"/>
      <w:lvlText w:val="o"/>
      <w:lvlJc w:val="left"/>
      <w:pPr>
        <w:ind w:left="7122" w:hanging="360"/>
      </w:pPr>
      <w:rPr>
        <w:rFonts w:ascii="Courier New" w:hAnsi="Courier New" w:cs="Courier New" w:hint="default"/>
      </w:rPr>
    </w:lvl>
    <w:lvl w:ilvl="8" w:tplc="B518FE12" w:tentative="1">
      <w:start w:val="1"/>
      <w:numFmt w:val="bullet"/>
      <w:lvlText w:val=""/>
      <w:lvlJc w:val="left"/>
      <w:pPr>
        <w:ind w:left="7842" w:hanging="360"/>
      </w:pPr>
      <w:rPr>
        <w:rFonts w:ascii="Wingdings" w:hAnsi="Wingdings" w:hint="default"/>
      </w:rPr>
    </w:lvl>
  </w:abstractNum>
  <w:abstractNum w:abstractNumId="24">
    <w:nsid w:val="54227195"/>
    <w:multiLevelType w:val="multilevel"/>
    <w:tmpl w:val="576A0058"/>
    <w:lvl w:ilvl="0">
      <w:start w:val="1"/>
      <w:numFmt w:val="bullet"/>
      <w:lvlText w:val=""/>
      <w:lvlJc w:val="left"/>
      <w:pPr>
        <w:ind w:left="786" w:hanging="360"/>
      </w:pPr>
      <w:rPr>
        <w:rFonts w:ascii="Symbol" w:hAnsi="Symbo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C11496"/>
    <w:multiLevelType w:val="multilevel"/>
    <w:tmpl w:val="D5549296"/>
    <w:lvl w:ilvl="0">
      <w:start w:val="1"/>
      <w:numFmt w:val="bullet"/>
      <w:lvlText w:val=""/>
      <w:lvlJc w:val="left"/>
      <w:pPr>
        <w:tabs>
          <w:tab w:val="num" w:pos="995"/>
        </w:tabs>
        <w:ind w:left="995" w:hanging="493"/>
      </w:pPr>
      <w:rPr>
        <w:rFonts w:ascii="Symbol" w:hAnsi="Symbol" w:hint="default"/>
      </w:rPr>
    </w:lvl>
    <w:lvl w:ilvl="1">
      <w:start w:val="1"/>
      <w:numFmt w:val="bullet"/>
      <w:lvlText w:val=""/>
      <w:lvlJc w:val="left"/>
      <w:pPr>
        <w:tabs>
          <w:tab w:val="num" w:pos="995"/>
        </w:tabs>
        <w:ind w:left="1489" w:hanging="494"/>
      </w:pPr>
      <w:rPr>
        <w:rFonts w:ascii="Symbol" w:hAnsi="Symbol" w:hint="default"/>
      </w:rPr>
    </w:lvl>
    <w:lvl w:ilvl="2">
      <w:start w:val="1"/>
      <w:numFmt w:val="decimal"/>
      <w:lvlText w:val="%1.%2.%3"/>
      <w:lvlJc w:val="left"/>
      <w:pPr>
        <w:tabs>
          <w:tab w:val="num" w:pos="2056"/>
        </w:tabs>
        <w:ind w:left="2056" w:hanging="567"/>
      </w:pPr>
      <w:rPr>
        <w:rFonts w:hint="default"/>
      </w:rPr>
    </w:lvl>
    <w:lvl w:ilvl="3">
      <w:start w:val="1"/>
      <w:numFmt w:val="decimal"/>
      <w:lvlText w:val="%1.%2.%3.%4."/>
      <w:lvlJc w:val="left"/>
      <w:pPr>
        <w:tabs>
          <w:tab w:val="num" w:pos="2635"/>
        </w:tabs>
        <w:ind w:left="2203" w:hanging="648"/>
      </w:pPr>
      <w:rPr>
        <w:rFonts w:hint="default"/>
      </w:rPr>
    </w:lvl>
    <w:lvl w:ilvl="4">
      <w:start w:val="1"/>
      <w:numFmt w:val="decimal"/>
      <w:lvlText w:val="%1.%2.%3.%4.%5."/>
      <w:lvlJc w:val="left"/>
      <w:pPr>
        <w:tabs>
          <w:tab w:val="num" w:pos="2995"/>
        </w:tabs>
        <w:ind w:left="2707" w:hanging="792"/>
      </w:pPr>
      <w:rPr>
        <w:rFonts w:hint="default"/>
      </w:rPr>
    </w:lvl>
    <w:lvl w:ilvl="5">
      <w:start w:val="1"/>
      <w:numFmt w:val="decimal"/>
      <w:lvlText w:val="%1.%2.%3.%4.%5.%6."/>
      <w:lvlJc w:val="left"/>
      <w:pPr>
        <w:tabs>
          <w:tab w:val="num" w:pos="3715"/>
        </w:tabs>
        <w:ind w:left="3211" w:hanging="936"/>
      </w:pPr>
      <w:rPr>
        <w:rFonts w:hint="default"/>
      </w:rPr>
    </w:lvl>
    <w:lvl w:ilvl="6">
      <w:start w:val="1"/>
      <w:numFmt w:val="decimal"/>
      <w:lvlText w:val="%1.%2.%3.%4.%5.%6.%7."/>
      <w:lvlJc w:val="left"/>
      <w:pPr>
        <w:tabs>
          <w:tab w:val="num" w:pos="4075"/>
        </w:tabs>
        <w:ind w:left="3715" w:hanging="1080"/>
      </w:pPr>
      <w:rPr>
        <w:rFonts w:hint="default"/>
      </w:rPr>
    </w:lvl>
    <w:lvl w:ilvl="7">
      <w:start w:val="1"/>
      <w:numFmt w:val="decimal"/>
      <w:lvlText w:val="%1.%2.%3.%4.%5.%6.%7.%8."/>
      <w:lvlJc w:val="left"/>
      <w:pPr>
        <w:tabs>
          <w:tab w:val="num" w:pos="4795"/>
        </w:tabs>
        <w:ind w:left="4219" w:hanging="1224"/>
      </w:pPr>
      <w:rPr>
        <w:rFonts w:hint="default"/>
      </w:rPr>
    </w:lvl>
    <w:lvl w:ilvl="8">
      <w:start w:val="1"/>
      <w:numFmt w:val="decimal"/>
      <w:lvlText w:val="%1.%2.%3.%4.%5.%6.%7.%8.%9."/>
      <w:lvlJc w:val="left"/>
      <w:pPr>
        <w:tabs>
          <w:tab w:val="num" w:pos="5155"/>
        </w:tabs>
        <w:ind w:left="4795" w:hanging="1440"/>
      </w:pPr>
      <w:rPr>
        <w:rFonts w:hint="default"/>
      </w:rPr>
    </w:lvl>
  </w:abstractNum>
  <w:abstractNum w:abstractNumId="26">
    <w:nsid w:val="59F54BCE"/>
    <w:multiLevelType w:val="multilevel"/>
    <w:tmpl w:val="C890E1A6"/>
    <w:styleLink w:val="BodyList"/>
    <w:lvl w:ilvl="0">
      <w:start w:val="1"/>
      <w:numFmt w:val="decimal"/>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num w:numId="1">
    <w:abstractNumId w:val="10"/>
  </w:num>
  <w:num w:numId="2">
    <w:abstractNumId w:val="1"/>
  </w:num>
  <w:num w:numId="3">
    <w:abstractNumId w:val="0"/>
  </w:num>
  <w:num w:numId="4">
    <w:abstractNumId w:val="8"/>
  </w:num>
  <w:num w:numId="5">
    <w:abstractNumId w:val="9"/>
  </w:num>
  <w:num w:numId="6">
    <w:abstractNumId w:val="23"/>
  </w:num>
  <w:num w:numId="7">
    <w:abstractNumId w:val="16"/>
  </w:num>
  <w:num w:numId="8">
    <w:abstractNumId w:val="21"/>
  </w:num>
  <w:num w:numId="9">
    <w:abstractNumId w:val="26"/>
  </w:num>
  <w:num w:numId="10">
    <w:abstractNumId w:val="2"/>
  </w:num>
  <w:num w:numId="11">
    <w:abstractNumId w:val="11"/>
  </w:num>
  <w:num w:numId="12">
    <w:abstractNumId w:val="20"/>
  </w:num>
  <w:num w:numId="13">
    <w:abstractNumId w:val="15"/>
  </w:num>
  <w:num w:numId="14">
    <w:abstractNumId w:val="14"/>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5">
    <w:abstractNumId w:val="22"/>
  </w:num>
  <w:num w:numId="16">
    <w:abstractNumId w:val="17"/>
  </w:num>
  <w:num w:numId="17">
    <w:abstractNumId w:val="3"/>
  </w:num>
  <w:num w:numId="18">
    <w:abstractNumId w:val="25"/>
  </w:num>
  <w:num w:numId="19">
    <w:abstractNumId w:val="12"/>
  </w:num>
  <w:num w:numId="20">
    <w:abstractNumId w:val="6"/>
  </w:num>
  <w:num w:numId="21">
    <w:abstractNumId w:val="19"/>
  </w:num>
  <w:num w:numId="22">
    <w:abstractNumId w:val="18"/>
  </w:num>
  <w:num w:numId="23">
    <w:abstractNumId w:val="21"/>
    <w:lvlOverride w:ilvl="0">
      <w:lvl w:ilvl="0">
        <w:start w:val="1"/>
        <w:numFmt w:val="decimal"/>
        <w:lvlText w:val="%1"/>
        <w:lvlJc w:val="left"/>
        <w:pPr>
          <w:ind w:left="360" w:hanging="360"/>
        </w:pPr>
        <w:rPr>
          <w:rFonts w:ascii="Verdana" w:hAnsi="Verdana" w:cs="Arial" w:hint="default"/>
          <w:b w:val="0"/>
          <w:i w:val="0"/>
          <w:color w:val="auto"/>
          <w:sz w:val="20"/>
          <w:szCs w:val="20"/>
        </w:rPr>
      </w:lvl>
    </w:lvlOverride>
  </w:num>
  <w:num w:numId="24">
    <w:abstractNumId w:val="4"/>
  </w:num>
  <w:num w:numId="25">
    <w:abstractNumId w:val="21"/>
    <w:lvlOverride w:ilvl="0">
      <w:lvl w:ilvl="0">
        <w:start w:val="1"/>
        <w:numFmt w:val="decimal"/>
        <w:lvlText w:val="%1"/>
        <w:lvlJc w:val="left"/>
        <w:pPr>
          <w:ind w:left="786" w:hanging="360"/>
        </w:pPr>
        <w:rPr>
          <w:rFonts w:ascii="Verdana" w:hAnsi="Verdana" w:cs="Arial" w:hint="default"/>
          <w:b w:val="0"/>
          <w:i w:val="0"/>
          <w:color w:val="auto"/>
          <w:sz w:val="20"/>
          <w:szCs w:val="20"/>
        </w:rPr>
      </w:lvl>
    </w:lvlOverride>
  </w:num>
  <w:num w:numId="26">
    <w:abstractNumId w:val="24"/>
  </w:num>
  <w:num w:numId="27">
    <w:abstractNumId w:val="5"/>
  </w:num>
  <w:num w:numId="28">
    <w:abstractNumId w:val="13"/>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71"/>
    <w:rsid w:val="00000B4C"/>
    <w:rsid w:val="000032C2"/>
    <w:rsid w:val="000035B3"/>
    <w:rsid w:val="00005BBE"/>
    <w:rsid w:val="00007D2C"/>
    <w:rsid w:val="000106D0"/>
    <w:rsid w:val="00011196"/>
    <w:rsid w:val="00011393"/>
    <w:rsid w:val="00014DC6"/>
    <w:rsid w:val="000233B0"/>
    <w:rsid w:val="00034336"/>
    <w:rsid w:val="00035E3B"/>
    <w:rsid w:val="00036AFB"/>
    <w:rsid w:val="00037A51"/>
    <w:rsid w:val="00037CB0"/>
    <w:rsid w:val="00044B7B"/>
    <w:rsid w:val="000473EF"/>
    <w:rsid w:val="00051246"/>
    <w:rsid w:val="00051B77"/>
    <w:rsid w:val="000533B0"/>
    <w:rsid w:val="00062271"/>
    <w:rsid w:val="00071FC4"/>
    <w:rsid w:val="00072290"/>
    <w:rsid w:val="0007367C"/>
    <w:rsid w:val="00080600"/>
    <w:rsid w:val="00083A5C"/>
    <w:rsid w:val="0008538C"/>
    <w:rsid w:val="00092866"/>
    <w:rsid w:val="000A576B"/>
    <w:rsid w:val="000A6221"/>
    <w:rsid w:val="000B09D5"/>
    <w:rsid w:val="000B1E7C"/>
    <w:rsid w:val="000B2837"/>
    <w:rsid w:val="000B4A73"/>
    <w:rsid w:val="000B5EC5"/>
    <w:rsid w:val="000B6B6F"/>
    <w:rsid w:val="000C0035"/>
    <w:rsid w:val="000C69AC"/>
    <w:rsid w:val="000D016C"/>
    <w:rsid w:val="000E3BB9"/>
    <w:rsid w:val="000E6B19"/>
    <w:rsid w:val="000F0DB4"/>
    <w:rsid w:val="000F1702"/>
    <w:rsid w:val="000F2AE7"/>
    <w:rsid w:val="00100192"/>
    <w:rsid w:val="001015BB"/>
    <w:rsid w:val="00101F12"/>
    <w:rsid w:val="001049B5"/>
    <w:rsid w:val="001067CC"/>
    <w:rsid w:val="00106AED"/>
    <w:rsid w:val="001105B7"/>
    <w:rsid w:val="0011220C"/>
    <w:rsid w:val="00112962"/>
    <w:rsid w:val="001131B4"/>
    <w:rsid w:val="00114E55"/>
    <w:rsid w:val="00121D3C"/>
    <w:rsid w:val="00123E1A"/>
    <w:rsid w:val="00124118"/>
    <w:rsid w:val="00124508"/>
    <w:rsid w:val="00141656"/>
    <w:rsid w:val="00150D5D"/>
    <w:rsid w:val="001555DF"/>
    <w:rsid w:val="00162AF3"/>
    <w:rsid w:val="00163A28"/>
    <w:rsid w:val="00163DAB"/>
    <w:rsid w:val="0017058F"/>
    <w:rsid w:val="00171244"/>
    <w:rsid w:val="00172037"/>
    <w:rsid w:val="0017342F"/>
    <w:rsid w:val="00177DB9"/>
    <w:rsid w:val="00177E1D"/>
    <w:rsid w:val="00180EA0"/>
    <w:rsid w:val="00184E48"/>
    <w:rsid w:val="00187F1E"/>
    <w:rsid w:val="00190B75"/>
    <w:rsid w:val="001913C7"/>
    <w:rsid w:val="00191E07"/>
    <w:rsid w:val="00193FB8"/>
    <w:rsid w:val="00195FD7"/>
    <w:rsid w:val="00196B99"/>
    <w:rsid w:val="001972F9"/>
    <w:rsid w:val="001A111D"/>
    <w:rsid w:val="001A27DF"/>
    <w:rsid w:val="001A57FF"/>
    <w:rsid w:val="001B0CAD"/>
    <w:rsid w:val="001B2480"/>
    <w:rsid w:val="001B6B7B"/>
    <w:rsid w:val="001B72D0"/>
    <w:rsid w:val="001C2B79"/>
    <w:rsid w:val="001C354D"/>
    <w:rsid w:val="001C477F"/>
    <w:rsid w:val="001D0C25"/>
    <w:rsid w:val="001D221F"/>
    <w:rsid w:val="001D27E6"/>
    <w:rsid w:val="001D2D52"/>
    <w:rsid w:val="001D3744"/>
    <w:rsid w:val="001E65F0"/>
    <w:rsid w:val="001F1F33"/>
    <w:rsid w:val="001F255B"/>
    <w:rsid w:val="001F2715"/>
    <w:rsid w:val="001F3BF2"/>
    <w:rsid w:val="00201FC0"/>
    <w:rsid w:val="0020415B"/>
    <w:rsid w:val="002135C7"/>
    <w:rsid w:val="00213DA6"/>
    <w:rsid w:val="00215573"/>
    <w:rsid w:val="00216302"/>
    <w:rsid w:val="00222ED8"/>
    <w:rsid w:val="00236D2D"/>
    <w:rsid w:val="002378CC"/>
    <w:rsid w:val="00241751"/>
    <w:rsid w:val="00242F7A"/>
    <w:rsid w:val="00245A2B"/>
    <w:rsid w:val="00245E4F"/>
    <w:rsid w:val="00252861"/>
    <w:rsid w:val="00256CD0"/>
    <w:rsid w:val="00260815"/>
    <w:rsid w:val="00260EE2"/>
    <w:rsid w:val="002628DD"/>
    <w:rsid w:val="00265D5C"/>
    <w:rsid w:val="002703CE"/>
    <w:rsid w:val="002719FE"/>
    <w:rsid w:val="00271EF5"/>
    <w:rsid w:val="002722E6"/>
    <w:rsid w:val="002736FC"/>
    <w:rsid w:val="002747DC"/>
    <w:rsid w:val="00280E2B"/>
    <w:rsid w:val="0028132C"/>
    <w:rsid w:val="00282577"/>
    <w:rsid w:val="00284D85"/>
    <w:rsid w:val="002876A5"/>
    <w:rsid w:val="00293A51"/>
    <w:rsid w:val="00294107"/>
    <w:rsid w:val="0029459F"/>
    <w:rsid w:val="002A1508"/>
    <w:rsid w:val="002A5D5B"/>
    <w:rsid w:val="002A67DA"/>
    <w:rsid w:val="002B051B"/>
    <w:rsid w:val="002B0635"/>
    <w:rsid w:val="002B0E23"/>
    <w:rsid w:val="002B178F"/>
    <w:rsid w:val="002B2E82"/>
    <w:rsid w:val="002C312C"/>
    <w:rsid w:val="002C47B6"/>
    <w:rsid w:val="002D1C62"/>
    <w:rsid w:val="002D367B"/>
    <w:rsid w:val="002E302B"/>
    <w:rsid w:val="002E3B96"/>
    <w:rsid w:val="002E4C8F"/>
    <w:rsid w:val="002F201B"/>
    <w:rsid w:val="002F3F6A"/>
    <w:rsid w:val="002F5C4D"/>
    <w:rsid w:val="002F638D"/>
    <w:rsid w:val="00300EDC"/>
    <w:rsid w:val="00301317"/>
    <w:rsid w:val="00306465"/>
    <w:rsid w:val="0030766C"/>
    <w:rsid w:val="00310CD2"/>
    <w:rsid w:val="003115A2"/>
    <w:rsid w:val="00312825"/>
    <w:rsid w:val="00317811"/>
    <w:rsid w:val="00320542"/>
    <w:rsid w:val="00323193"/>
    <w:rsid w:val="0032380E"/>
    <w:rsid w:val="003251D0"/>
    <w:rsid w:val="00325216"/>
    <w:rsid w:val="00325752"/>
    <w:rsid w:val="00327F3D"/>
    <w:rsid w:val="003339AB"/>
    <w:rsid w:val="003408A4"/>
    <w:rsid w:val="00340B40"/>
    <w:rsid w:val="00342F3A"/>
    <w:rsid w:val="00343B99"/>
    <w:rsid w:val="00346707"/>
    <w:rsid w:val="00351786"/>
    <w:rsid w:val="00353B00"/>
    <w:rsid w:val="00353CAC"/>
    <w:rsid w:val="0035450C"/>
    <w:rsid w:val="00354EC2"/>
    <w:rsid w:val="00355A40"/>
    <w:rsid w:val="003560CF"/>
    <w:rsid w:val="003612A7"/>
    <w:rsid w:val="00361702"/>
    <w:rsid w:val="00364A54"/>
    <w:rsid w:val="003700B0"/>
    <w:rsid w:val="00370308"/>
    <w:rsid w:val="00373653"/>
    <w:rsid w:val="00376033"/>
    <w:rsid w:val="0038674C"/>
    <w:rsid w:val="0039059B"/>
    <w:rsid w:val="00391E3C"/>
    <w:rsid w:val="00393A19"/>
    <w:rsid w:val="00394D03"/>
    <w:rsid w:val="0039662A"/>
    <w:rsid w:val="00397220"/>
    <w:rsid w:val="003979A3"/>
    <w:rsid w:val="003A10B6"/>
    <w:rsid w:val="003A44AE"/>
    <w:rsid w:val="003B0745"/>
    <w:rsid w:val="003B0A38"/>
    <w:rsid w:val="003B0ACB"/>
    <w:rsid w:val="003B3CBB"/>
    <w:rsid w:val="003B49B7"/>
    <w:rsid w:val="003B680A"/>
    <w:rsid w:val="003C1BD2"/>
    <w:rsid w:val="003C785E"/>
    <w:rsid w:val="003C7A28"/>
    <w:rsid w:val="003D1DF6"/>
    <w:rsid w:val="003D774A"/>
    <w:rsid w:val="003D7CA0"/>
    <w:rsid w:val="003E05A4"/>
    <w:rsid w:val="003E1183"/>
    <w:rsid w:val="003E3527"/>
    <w:rsid w:val="003E3722"/>
    <w:rsid w:val="003E4391"/>
    <w:rsid w:val="003E4FCB"/>
    <w:rsid w:val="003E5DA5"/>
    <w:rsid w:val="003E79E5"/>
    <w:rsid w:val="003F074D"/>
    <w:rsid w:val="003F2401"/>
    <w:rsid w:val="003F356B"/>
    <w:rsid w:val="003F58CA"/>
    <w:rsid w:val="003F70A0"/>
    <w:rsid w:val="004015E8"/>
    <w:rsid w:val="004038C2"/>
    <w:rsid w:val="00404CC4"/>
    <w:rsid w:val="00407E76"/>
    <w:rsid w:val="00412377"/>
    <w:rsid w:val="0041303B"/>
    <w:rsid w:val="00413DE7"/>
    <w:rsid w:val="00413F8C"/>
    <w:rsid w:val="004218BF"/>
    <w:rsid w:val="00421BD3"/>
    <w:rsid w:val="0042278B"/>
    <w:rsid w:val="004227ED"/>
    <w:rsid w:val="004254B7"/>
    <w:rsid w:val="004276FB"/>
    <w:rsid w:val="00435B67"/>
    <w:rsid w:val="00436602"/>
    <w:rsid w:val="004402C1"/>
    <w:rsid w:val="00443C4E"/>
    <w:rsid w:val="00445B02"/>
    <w:rsid w:val="00445BCE"/>
    <w:rsid w:val="0045404F"/>
    <w:rsid w:val="00454F25"/>
    <w:rsid w:val="00457DBB"/>
    <w:rsid w:val="00460C2A"/>
    <w:rsid w:val="004664EB"/>
    <w:rsid w:val="00467084"/>
    <w:rsid w:val="004710B8"/>
    <w:rsid w:val="00471974"/>
    <w:rsid w:val="00476D5A"/>
    <w:rsid w:val="00477E04"/>
    <w:rsid w:val="00481F3D"/>
    <w:rsid w:val="004855EE"/>
    <w:rsid w:val="004875B5"/>
    <w:rsid w:val="00490AFD"/>
    <w:rsid w:val="00490EDF"/>
    <w:rsid w:val="004A1894"/>
    <w:rsid w:val="004A1A9F"/>
    <w:rsid w:val="004A2C39"/>
    <w:rsid w:val="004A379B"/>
    <w:rsid w:val="004A5265"/>
    <w:rsid w:val="004A5EF7"/>
    <w:rsid w:val="004B1D2F"/>
    <w:rsid w:val="004B31AE"/>
    <w:rsid w:val="004B74CF"/>
    <w:rsid w:val="004C03F7"/>
    <w:rsid w:val="004C0B14"/>
    <w:rsid w:val="004C0F67"/>
    <w:rsid w:val="004C2BC9"/>
    <w:rsid w:val="004C3D24"/>
    <w:rsid w:val="004D0451"/>
    <w:rsid w:val="004D0D2C"/>
    <w:rsid w:val="004E24BA"/>
    <w:rsid w:val="004E2FF1"/>
    <w:rsid w:val="004F498D"/>
    <w:rsid w:val="0050024D"/>
    <w:rsid w:val="005004F3"/>
    <w:rsid w:val="00502AE9"/>
    <w:rsid w:val="0050314F"/>
    <w:rsid w:val="0051098E"/>
    <w:rsid w:val="0051508A"/>
    <w:rsid w:val="005151F6"/>
    <w:rsid w:val="00516758"/>
    <w:rsid w:val="00520DD6"/>
    <w:rsid w:val="00524E7D"/>
    <w:rsid w:val="00533E65"/>
    <w:rsid w:val="005415F4"/>
    <w:rsid w:val="005517FA"/>
    <w:rsid w:val="005609A6"/>
    <w:rsid w:val="0056681E"/>
    <w:rsid w:val="0057278E"/>
    <w:rsid w:val="00572AA9"/>
    <w:rsid w:val="00574B12"/>
    <w:rsid w:val="0058021D"/>
    <w:rsid w:val="0058048E"/>
    <w:rsid w:val="0058285F"/>
    <w:rsid w:val="005911E5"/>
    <w:rsid w:val="00595906"/>
    <w:rsid w:val="00596374"/>
    <w:rsid w:val="00597042"/>
    <w:rsid w:val="005970B3"/>
    <w:rsid w:val="005975B2"/>
    <w:rsid w:val="005A7A80"/>
    <w:rsid w:val="005B11F9"/>
    <w:rsid w:val="005B4412"/>
    <w:rsid w:val="005B46F7"/>
    <w:rsid w:val="005B5FC6"/>
    <w:rsid w:val="005B68AC"/>
    <w:rsid w:val="005C2FCE"/>
    <w:rsid w:val="005C347E"/>
    <w:rsid w:val="005C431E"/>
    <w:rsid w:val="005D4DEC"/>
    <w:rsid w:val="005E03D1"/>
    <w:rsid w:val="005E0E0B"/>
    <w:rsid w:val="005E4FFF"/>
    <w:rsid w:val="005E562D"/>
    <w:rsid w:val="005E6548"/>
    <w:rsid w:val="005E7ED4"/>
    <w:rsid w:val="005F11AA"/>
    <w:rsid w:val="005F195E"/>
    <w:rsid w:val="005F4B34"/>
    <w:rsid w:val="005F7536"/>
    <w:rsid w:val="0060330E"/>
    <w:rsid w:val="0060403D"/>
    <w:rsid w:val="00606C25"/>
    <w:rsid w:val="00610BF3"/>
    <w:rsid w:val="00612224"/>
    <w:rsid w:val="00612A00"/>
    <w:rsid w:val="00617D20"/>
    <w:rsid w:val="006206BC"/>
    <w:rsid w:val="00622F62"/>
    <w:rsid w:val="00623F72"/>
    <w:rsid w:val="0062535B"/>
    <w:rsid w:val="0062656E"/>
    <w:rsid w:val="00631D73"/>
    <w:rsid w:val="00633F21"/>
    <w:rsid w:val="0063682F"/>
    <w:rsid w:val="006371A0"/>
    <w:rsid w:val="006378E8"/>
    <w:rsid w:val="00643129"/>
    <w:rsid w:val="0064484F"/>
    <w:rsid w:val="00650DE0"/>
    <w:rsid w:val="00652262"/>
    <w:rsid w:val="0065362E"/>
    <w:rsid w:val="00657406"/>
    <w:rsid w:val="00657865"/>
    <w:rsid w:val="006638A8"/>
    <w:rsid w:val="00663DA5"/>
    <w:rsid w:val="00665116"/>
    <w:rsid w:val="00671B03"/>
    <w:rsid w:val="00673116"/>
    <w:rsid w:val="00674435"/>
    <w:rsid w:val="0067525D"/>
    <w:rsid w:val="00685EA4"/>
    <w:rsid w:val="00686450"/>
    <w:rsid w:val="0069633E"/>
    <w:rsid w:val="006A3C2F"/>
    <w:rsid w:val="006A55B4"/>
    <w:rsid w:val="006A62CC"/>
    <w:rsid w:val="006A6975"/>
    <w:rsid w:val="006B00AF"/>
    <w:rsid w:val="006B19BD"/>
    <w:rsid w:val="006B1A36"/>
    <w:rsid w:val="006B345A"/>
    <w:rsid w:val="006B40EA"/>
    <w:rsid w:val="006B560D"/>
    <w:rsid w:val="006B6BBC"/>
    <w:rsid w:val="006C04AC"/>
    <w:rsid w:val="006C0DEE"/>
    <w:rsid w:val="006C1ABA"/>
    <w:rsid w:val="006C6A65"/>
    <w:rsid w:val="006D085A"/>
    <w:rsid w:val="006D268D"/>
    <w:rsid w:val="006D44F9"/>
    <w:rsid w:val="006D77E7"/>
    <w:rsid w:val="006E489F"/>
    <w:rsid w:val="006E48AE"/>
    <w:rsid w:val="006F072A"/>
    <w:rsid w:val="006F1A09"/>
    <w:rsid w:val="007019D9"/>
    <w:rsid w:val="00702FEB"/>
    <w:rsid w:val="00703612"/>
    <w:rsid w:val="00703B28"/>
    <w:rsid w:val="00710C92"/>
    <w:rsid w:val="0071256C"/>
    <w:rsid w:val="007162B1"/>
    <w:rsid w:val="007165B2"/>
    <w:rsid w:val="0072002D"/>
    <w:rsid w:val="007231FB"/>
    <w:rsid w:val="00723506"/>
    <w:rsid w:val="007250CA"/>
    <w:rsid w:val="00727831"/>
    <w:rsid w:val="0073154E"/>
    <w:rsid w:val="00734AF1"/>
    <w:rsid w:val="00734ED0"/>
    <w:rsid w:val="0074088D"/>
    <w:rsid w:val="0074575C"/>
    <w:rsid w:val="00746F5C"/>
    <w:rsid w:val="007505BA"/>
    <w:rsid w:val="00754124"/>
    <w:rsid w:val="007618D7"/>
    <w:rsid w:val="007621DB"/>
    <w:rsid w:val="00765A07"/>
    <w:rsid w:val="00775BF5"/>
    <w:rsid w:val="00781C75"/>
    <w:rsid w:val="00785034"/>
    <w:rsid w:val="00785B3E"/>
    <w:rsid w:val="00787C0B"/>
    <w:rsid w:val="007907B1"/>
    <w:rsid w:val="00791494"/>
    <w:rsid w:val="00792F57"/>
    <w:rsid w:val="0079316C"/>
    <w:rsid w:val="007A07C0"/>
    <w:rsid w:val="007B1456"/>
    <w:rsid w:val="007B201A"/>
    <w:rsid w:val="007B3B5D"/>
    <w:rsid w:val="007C2143"/>
    <w:rsid w:val="007C36CA"/>
    <w:rsid w:val="007C38ED"/>
    <w:rsid w:val="007C4074"/>
    <w:rsid w:val="007C6249"/>
    <w:rsid w:val="007D02C9"/>
    <w:rsid w:val="007D11A3"/>
    <w:rsid w:val="007D266E"/>
    <w:rsid w:val="007D315E"/>
    <w:rsid w:val="007D3908"/>
    <w:rsid w:val="007D3B94"/>
    <w:rsid w:val="007E247A"/>
    <w:rsid w:val="007E26D0"/>
    <w:rsid w:val="007E46CF"/>
    <w:rsid w:val="007F3ACD"/>
    <w:rsid w:val="007F58B0"/>
    <w:rsid w:val="007F6B8B"/>
    <w:rsid w:val="007F71E1"/>
    <w:rsid w:val="00800F6E"/>
    <w:rsid w:val="0080133F"/>
    <w:rsid w:val="00801A47"/>
    <w:rsid w:val="00802FE6"/>
    <w:rsid w:val="00803023"/>
    <w:rsid w:val="0080498F"/>
    <w:rsid w:val="0080671C"/>
    <w:rsid w:val="00806DB9"/>
    <w:rsid w:val="008114C5"/>
    <w:rsid w:val="00824574"/>
    <w:rsid w:val="008248CA"/>
    <w:rsid w:val="0083036D"/>
    <w:rsid w:val="00830C9A"/>
    <w:rsid w:val="008321B5"/>
    <w:rsid w:val="00833636"/>
    <w:rsid w:val="00835488"/>
    <w:rsid w:val="00836475"/>
    <w:rsid w:val="00837497"/>
    <w:rsid w:val="00841BBD"/>
    <w:rsid w:val="00843F43"/>
    <w:rsid w:val="0085323E"/>
    <w:rsid w:val="00854C6A"/>
    <w:rsid w:val="00856104"/>
    <w:rsid w:val="00856C62"/>
    <w:rsid w:val="00860654"/>
    <w:rsid w:val="008631CE"/>
    <w:rsid w:val="00863D78"/>
    <w:rsid w:val="00865323"/>
    <w:rsid w:val="00866FAE"/>
    <w:rsid w:val="0087564A"/>
    <w:rsid w:val="0087719F"/>
    <w:rsid w:val="00880438"/>
    <w:rsid w:val="00880C50"/>
    <w:rsid w:val="00881D62"/>
    <w:rsid w:val="008848EF"/>
    <w:rsid w:val="0088653B"/>
    <w:rsid w:val="0089068F"/>
    <w:rsid w:val="008911EF"/>
    <w:rsid w:val="00895C4E"/>
    <w:rsid w:val="008A193B"/>
    <w:rsid w:val="008A3B8B"/>
    <w:rsid w:val="008C03E6"/>
    <w:rsid w:val="008C4210"/>
    <w:rsid w:val="008C4F8E"/>
    <w:rsid w:val="008D1E9B"/>
    <w:rsid w:val="008E05E2"/>
    <w:rsid w:val="008E26F9"/>
    <w:rsid w:val="008E670C"/>
    <w:rsid w:val="008E696A"/>
    <w:rsid w:val="008E6A4B"/>
    <w:rsid w:val="008F1474"/>
    <w:rsid w:val="008F3073"/>
    <w:rsid w:val="008F33BA"/>
    <w:rsid w:val="00903467"/>
    <w:rsid w:val="00903D9D"/>
    <w:rsid w:val="009069BD"/>
    <w:rsid w:val="00906EAA"/>
    <w:rsid w:val="009107AE"/>
    <w:rsid w:val="009227F1"/>
    <w:rsid w:val="00924A19"/>
    <w:rsid w:val="009264E6"/>
    <w:rsid w:val="00930B68"/>
    <w:rsid w:val="00932DC5"/>
    <w:rsid w:val="009336D7"/>
    <w:rsid w:val="00937D41"/>
    <w:rsid w:val="0094357E"/>
    <w:rsid w:val="00943CF6"/>
    <w:rsid w:val="009445E6"/>
    <w:rsid w:val="0094573F"/>
    <w:rsid w:val="009476DF"/>
    <w:rsid w:val="009511F5"/>
    <w:rsid w:val="00951294"/>
    <w:rsid w:val="0095698A"/>
    <w:rsid w:val="00957FE0"/>
    <w:rsid w:val="00963630"/>
    <w:rsid w:val="009637B6"/>
    <w:rsid w:val="00964BA0"/>
    <w:rsid w:val="00966A1D"/>
    <w:rsid w:val="00970DD2"/>
    <w:rsid w:val="00971B3C"/>
    <w:rsid w:val="00974FE4"/>
    <w:rsid w:val="0098120D"/>
    <w:rsid w:val="00986114"/>
    <w:rsid w:val="0098614C"/>
    <w:rsid w:val="009873C6"/>
    <w:rsid w:val="00990518"/>
    <w:rsid w:val="009949EC"/>
    <w:rsid w:val="00996E8F"/>
    <w:rsid w:val="009971DE"/>
    <w:rsid w:val="00997D2E"/>
    <w:rsid w:val="009A1C49"/>
    <w:rsid w:val="009A5AF8"/>
    <w:rsid w:val="009A5EF7"/>
    <w:rsid w:val="009A77E0"/>
    <w:rsid w:val="009A7F0D"/>
    <w:rsid w:val="009B0E64"/>
    <w:rsid w:val="009B1BF0"/>
    <w:rsid w:val="009C0497"/>
    <w:rsid w:val="009C19F9"/>
    <w:rsid w:val="009C24D3"/>
    <w:rsid w:val="009C40B9"/>
    <w:rsid w:val="009C6D2E"/>
    <w:rsid w:val="009C75D0"/>
    <w:rsid w:val="009D15F1"/>
    <w:rsid w:val="009D1E11"/>
    <w:rsid w:val="009D1EAF"/>
    <w:rsid w:val="009D2B10"/>
    <w:rsid w:val="009D4A62"/>
    <w:rsid w:val="009D6F0C"/>
    <w:rsid w:val="009D740D"/>
    <w:rsid w:val="009E0107"/>
    <w:rsid w:val="009E392B"/>
    <w:rsid w:val="009F7B2F"/>
    <w:rsid w:val="00A00008"/>
    <w:rsid w:val="00A003A8"/>
    <w:rsid w:val="00A011AC"/>
    <w:rsid w:val="00A05E59"/>
    <w:rsid w:val="00A06976"/>
    <w:rsid w:val="00A15169"/>
    <w:rsid w:val="00A15C19"/>
    <w:rsid w:val="00A2060C"/>
    <w:rsid w:val="00A2199C"/>
    <w:rsid w:val="00A244D4"/>
    <w:rsid w:val="00A250D5"/>
    <w:rsid w:val="00A25228"/>
    <w:rsid w:val="00A30CAF"/>
    <w:rsid w:val="00A40DCA"/>
    <w:rsid w:val="00A42C6C"/>
    <w:rsid w:val="00A43896"/>
    <w:rsid w:val="00A47F60"/>
    <w:rsid w:val="00A513F9"/>
    <w:rsid w:val="00A52BDB"/>
    <w:rsid w:val="00A5636E"/>
    <w:rsid w:val="00A60116"/>
    <w:rsid w:val="00A6244E"/>
    <w:rsid w:val="00A73BE4"/>
    <w:rsid w:val="00A81450"/>
    <w:rsid w:val="00A83878"/>
    <w:rsid w:val="00A87A60"/>
    <w:rsid w:val="00A914A1"/>
    <w:rsid w:val="00A93A8A"/>
    <w:rsid w:val="00A97C6A"/>
    <w:rsid w:val="00AA124D"/>
    <w:rsid w:val="00AA1E16"/>
    <w:rsid w:val="00AA5BA4"/>
    <w:rsid w:val="00AB0800"/>
    <w:rsid w:val="00AB2EFB"/>
    <w:rsid w:val="00AB3C41"/>
    <w:rsid w:val="00AB6011"/>
    <w:rsid w:val="00AC1FE2"/>
    <w:rsid w:val="00AC27C0"/>
    <w:rsid w:val="00AC6D13"/>
    <w:rsid w:val="00AC7960"/>
    <w:rsid w:val="00AD1C1A"/>
    <w:rsid w:val="00AD1C2E"/>
    <w:rsid w:val="00AD1CDA"/>
    <w:rsid w:val="00AD30A2"/>
    <w:rsid w:val="00AD5C9F"/>
    <w:rsid w:val="00AE736C"/>
    <w:rsid w:val="00AF34B6"/>
    <w:rsid w:val="00AF38F9"/>
    <w:rsid w:val="00AF4C07"/>
    <w:rsid w:val="00AF64E8"/>
    <w:rsid w:val="00AF6AB4"/>
    <w:rsid w:val="00B013F7"/>
    <w:rsid w:val="00B01F91"/>
    <w:rsid w:val="00B028EC"/>
    <w:rsid w:val="00B045B3"/>
    <w:rsid w:val="00B12B65"/>
    <w:rsid w:val="00B1514B"/>
    <w:rsid w:val="00B209FF"/>
    <w:rsid w:val="00B24AD8"/>
    <w:rsid w:val="00B261BF"/>
    <w:rsid w:val="00B27068"/>
    <w:rsid w:val="00B4151C"/>
    <w:rsid w:val="00B41635"/>
    <w:rsid w:val="00B41788"/>
    <w:rsid w:val="00B466C6"/>
    <w:rsid w:val="00B5357A"/>
    <w:rsid w:val="00B57AFA"/>
    <w:rsid w:val="00B62580"/>
    <w:rsid w:val="00B64972"/>
    <w:rsid w:val="00B704B0"/>
    <w:rsid w:val="00B717E8"/>
    <w:rsid w:val="00B73299"/>
    <w:rsid w:val="00B76A38"/>
    <w:rsid w:val="00B7784C"/>
    <w:rsid w:val="00B80F91"/>
    <w:rsid w:val="00B84E05"/>
    <w:rsid w:val="00B902D9"/>
    <w:rsid w:val="00B90393"/>
    <w:rsid w:val="00B91833"/>
    <w:rsid w:val="00B9283C"/>
    <w:rsid w:val="00BA0C63"/>
    <w:rsid w:val="00BA2BED"/>
    <w:rsid w:val="00BA55D7"/>
    <w:rsid w:val="00BB4377"/>
    <w:rsid w:val="00BB7CBD"/>
    <w:rsid w:val="00BC0491"/>
    <w:rsid w:val="00BC5637"/>
    <w:rsid w:val="00BD21A6"/>
    <w:rsid w:val="00BD555D"/>
    <w:rsid w:val="00BE0940"/>
    <w:rsid w:val="00BE1A5E"/>
    <w:rsid w:val="00BE40CD"/>
    <w:rsid w:val="00BE4F6E"/>
    <w:rsid w:val="00BE531D"/>
    <w:rsid w:val="00BF33E7"/>
    <w:rsid w:val="00BF4013"/>
    <w:rsid w:val="00BF4A39"/>
    <w:rsid w:val="00C00702"/>
    <w:rsid w:val="00C00FEF"/>
    <w:rsid w:val="00C03D83"/>
    <w:rsid w:val="00C046BB"/>
    <w:rsid w:val="00C04C50"/>
    <w:rsid w:val="00C05771"/>
    <w:rsid w:val="00C05A0B"/>
    <w:rsid w:val="00C05D49"/>
    <w:rsid w:val="00C10DED"/>
    <w:rsid w:val="00C1110F"/>
    <w:rsid w:val="00C12D91"/>
    <w:rsid w:val="00C15335"/>
    <w:rsid w:val="00C22DD0"/>
    <w:rsid w:val="00C24671"/>
    <w:rsid w:val="00C24DDE"/>
    <w:rsid w:val="00C36A9B"/>
    <w:rsid w:val="00C36E35"/>
    <w:rsid w:val="00C41C86"/>
    <w:rsid w:val="00C503A7"/>
    <w:rsid w:val="00C5215F"/>
    <w:rsid w:val="00C53110"/>
    <w:rsid w:val="00C5378F"/>
    <w:rsid w:val="00C579F0"/>
    <w:rsid w:val="00C65365"/>
    <w:rsid w:val="00C66A09"/>
    <w:rsid w:val="00C679F0"/>
    <w:rsid w:val="00C703A4"/>
    <w:rsid w:val="00C70B90"/>
    <w:rsid w:val="00C722FD"/>
    <w:rsid w:val="00C81B0E"/>
    <w:rsid w:val="00C82B1A"/>
    <w:rsid w:val="00C842DD"/>
    <w:rsid w:val="00C849D4"/>
    <w:rsid w:val="00C90B27"/>
    <w:rsid w:val="00C9103E"/>
    <w:rsid w:val="00C92689"/>
    <w:rsid w:val="00C92F88"/>
    <w:rsid w:val="00C936CA"/>
    <w:rsid w:val="00C9581F"/>
    <w:rsid w:val="00C95C7B"/>
    <w:rsid w:val="00C960A1"/>
    <w:rsid w:val="00C96773"/>
    <w:rsid w:val="00CA35AA"/>
    <w:rsid w:val="00CA4875"/>
    <w:rsid w:val="00CA5661"/>
    <w:rsid w:val="00CA6DA7"/>
    <w:rsid w:val="00CA7299"/>
    <w:rsid w:val="00CA7C20"/>
    <w:rsid w:val="00CB02A1"/>
    <w:rsid w:val="00CB1E54"/>
    <w:rsid w:val="00CB2909"/>
    <w:rsid w:val="00CB2AAB"/>
    <w:rsid w:val="00CB3726"/>
    <w:rsid w:val="00CB4A28"/>
    <w:rsid w:val="00CB6D8F"/>
    <w:rsid w:val="00CC013B"/>
    <w:rsid w:val="00CC2CEE"/>
    <w:rsid w:val="00CC48C5"/>
    <w:rsid w:val="00CC7880"/>
    <w:rsid w:val="00CD0915"/>
    <w:rsid w:val="00CD0FDB"/>
    <w:rsid w:val="00CD2F3E"/>
    <w:rsid w:val="00CD6F15"/>
    <w:rsid w:val="00CE0CB0"/>
    <w:rsid w:val="00CE171B"/>
    <w:rsid w:val="00CE1DAF"/>
    <w:rsid w:val="00CE262C"/>
    <w:rsid w:val="00CE3BBB"/>
    <w:rsid w:val="00CF2F69"/>
    <w:rsid w:val="00CF51A1"/>
    <w:rsid w:val="00CF5FEF"/>
    <w:rsid w:val="00CF603E"/>
    <w:rsid w:val="00CF7258"/>
    <w:rsid w:val="00CF7296"/>
    <w:rsid w:val="00D014A3"/>
    <w:rsid w:val="00D04B6C"/>
    <w:rsid w:val="00D062D0"/>
    <w:rsid w:val="00D12F9A"/>
    <w:rsid w:val="00D13570"/>
    <w:rsid w:val="00D17A08"/>
    <w:rsid w:val="00D20D75"/>
    <w:rsid w:val="00D2386C"/>
    <w:rsid w:val="00D255A3"/>
    <w:rsid w:val="00D32071"/>
    <w:rsid w:val="00D321A2"/>
    <w:rsid w:val="00D34B13"/>
    <w:rsid w:val="00D34EA0"/>
    <w:rsid w:val="00D376EC"/>
    <w:rsid w:val="00D37E6D"/>
    <w:rsid w:val="00D40FD8"/>
    <w:rsid w:val="00D4794A"/>
    <w:rsid w:val="00D513A8"/>
    <w:rsid w:val="00D520D0"/>
    <w:rsid w:val="00D55378"/>
    <w:rsid w:val="00D56AC4"/>
    <w:rsid w:val="00D575A0"/>
    <w:rsid w:val="00D6103E"/>
    <w:rsid w:val="00D65D14"/>
    <w:rsid w:val="00D72B0F"/>
    <w:rsid w:val="00D76064"/>
    <w:rsid w:val="00D80A24"/>
    <w:rsid w:val="00D822A6"/>
    <w:rsid w:val="00D846AC"/>
    <w:rsid w:val="00D87687"/>
    <w:rsid w:val="00D9009E"/>
    <w:rsid w:val="00D91798"/>
    <w:rsid w:val="00D97D37"/>
    <w:rsid w:val="00DA34E5"/>
    <w:rsid w:val="00DA3546"/>
    <w:rsid w:val="00DA7B66"/>
    <w:rsid w:val="00DB04FA"/>
    <w:rsid w:val="00DB0C2C"/>
    <w:rsid w:val="00DB29FD"/>
    <w:rsid w:val="00DB39BE"/>
    <w:rsid w:val="00DB4824"/>
    <w:rsid w:val="00DB5809"/>
    <w:rsid w:val="00DC2521"/>
    <w:rsid w:val="00DC2ABB"/>
    <w:rsid w:val="00DC7E50"/>
    <w:rsid w:val="00DD12CE"/>
    <w:rsid w:val="00DD28D4"/>
    <w:rsid w:val="00DD2AA0"/>
    <w:rsid w:val="00DD6907"/>
    <w:rsid w:val="00DD7526"/>
    <w:rsid w:val="00DD79BD"/>
    <w:rsid w:val="00DE5E7C"/>
    <w:rsid w:val="00DE76C2"/>
    <w:rsid w:val="00DF25CC"/>
    <w:rsid w:val="00DF4203"/>
    <w:rsid w:val="00DF68B6"/>
    <w:rsid w:val="00DF6DA2"/>
    <w:rsid w:val="00E0126A"/>
    <w:rsid w:val="00E01C6B"/>
    <w:rsid w:val="00E02794"/>
    <w:rsid w:val="00E03811"/>
    <w:rsid w:val="00E1019B"/>
    <w:rsid w:val="00E12FED"/>
    <w:rsid w:val="00E16271"/>
    <w:rsid w:val="00E16FCD"/>
    <w:rsid w:val="00E23C5B"/>
    <w:rsid w:val="00E249D0"/>
    <w:rsid w:val="00E256DF"/>
    <w:rsid w:val="00E25CC6"/>
    <w:rsid w:val="00E31F12"/>
    <w:rsid w:val="00E35A49"/>
    <w:rsid w:val="00E41DFF"/>
    <w:rsid w:val="00E45A41"/>
    <w:rsid w:val="00E50E5D"/>
    <w:rsid w:val="00E5586E"/>
    <w:rsid w:val="00E60C33"/>
    <w:rsid w:val="00E60D69"/>
    <w:rsid w:val="00E64A62"/>
    <w:rsid w:val="00E64BBC"/>
    <w:rsid w:val="00E65425"/>
    <w:rsid w:val="00E671C3"/>
    <w:rsid w:val="00E67471"/>
    <w:rsid w:val="00E70B72"/>
    <w:rsid w:val="00E7388A"/>
    <w:rsid w:val="00E74DE7"/>
    <w:rsid w:val="00E7544A"/>
    <w:rsid w:val="00E77FD9"/>
    <w:rsid w:val="00E81C43"/>
    <w:rsid w:val="00E84781"/>
    <w:rsid w:val="00E86202"/>
    <w:rsid w:val="00E90142"/>
    <w:rsid w:val="00E91426"/>
    <w:rsid w:val="00E91AF0"/>
    <w:rsid w:val="00E9269E"/>
    <w:rsid w:val="00E93189"/>
    <w:rsid w:val="00EA0C0F"/>
    <w:rsid w:val="00EA49D2"/>
    <w:rsid w:val="00EA5221"/>
    <w:rsid w:val="00EA6778"/>
    <w:rsid w:val="00EA7B27"/>
    <w:rsid w:val="00EB1C32"/>
    <w:rsid w:val="00EB387F"/>
    <w:rsid w:val="00EB7BA9"/>
    <w:rsid w:val="00EC23D3"/>
    <w:rsid w:val="00EC248E"/>
    <w:rsid w:val="00EC5708"/>
    <w:rsid w:val="00EC79D0"/>
    <w:rsid w:val="00ED0469"/>
    <w:rsid w:val="00ED14CF"/>
    <w:rsid w:val="00ED6EB6"/>
    <w:rsid w:val="00EE01F1"/>
    <w:rsid w:val="00EE7C49"/>
    <w:rsid w:val="00EF1FBA"/>
    <w:rsid w:val="00EF2FC6"/>
    <w:rsid w:val="00EF3C04"/>
    <w:rsid w:val="00F0036D"/>
    <w:rsid w:val="00F00ED0"/>
    <w:rsid w:val="00F013D0"/>
    <w:rsid w:val="00F046AF"/>
    <w:rsid w:val="00F0501C"/>
    <w:rsid w:val="00F06EE8"/>
    <w:rsid w:val="00F07349"/>
    <w:rsid w:val="00F10D87"/>
    <w:rsid w:val="00F113EF"/>
    <w:rsid w:val="00F126F3"/>
    <w:rsid w:val="00F150C2"/>
    <w:rsid w:val="00F156F1"/>
    <w:rsid w:val="00F161C5"/>
    <w:rsid w:val="00F16C7F"/>
    <w:rsid w:val="00F21948"/>
    <w:rsid w:val="00F21AB6"/>
    <w:rsid w:val="00F22AE5"/>
    <w:rsid w:val="00F25833"/>
    <w:rsid w:val="00F25E0A"/>
    <w:rsid w:val="00F27DBA"/>
    <w:rsid w:val="00F31506"/>
    <w:rsid w:val="00F3501F"/>
    <w:rsid w:val="00F3588D"/>
    <w:rsid w:val="00F35D5E"/>
    <w:rsid w:val="00F421B0"/>
    <w:rsid w:val="00F43ED7"/>
    <w:rsid w:val="00F4679C"/>
    <w:rsid w:val="00F51D63"/>
    <w:rsid w:val="00F51DD6"/>
    <w:rsid w:val="00F53C11"/>
    <w:rsid w:val="00F65A66"/>
    <w:rsid w:val="00F66E5D"/>
    <w:rsid w:val="00F74626"/>
    <w:rsid w:val="00F76438"/>
    <w:rsid w:val="00F817E0"/>
    <w:rsid w:val="00F829C0"/>
    <w:rsid w:val="00F829F6"/>
    <w:rsid w:val="00F830C8"/>
    <w:rsid w:val="00F87BA3"/>
    <w:rsid w:val="00F93675"/>
    <w:rsid w:val="00F965D6"/>
    <w:rsid w:val="00F97158"/>
    <w:rsid w:val="00FA0ACF"/>
    <w:rsid w:val="00FA2882"/>
    <w:rsid w:val="00FA37E6"/>
    <w:rsid w:val="00FA3AB7"/>
    <w:rsid w:val="00FA5DA5"/>
    <w:rsid w:val="00FB013E"/>
    <w:rsid w:val="00FB07A4"/>
    <w:rsid w:val="00FB7C2A"/>
    <w:rsid w:val="00FC1A5E"/>
    <w:rsid w:val="00FC32D3"/>
    <w:rsid w:val="00FD00D1"/>
    <w:rsid w:val="00FD0856"/>
    <w:rsid w:val="00FE1031"/>
    <w:rsid w:val="00FE7BB6"/>
    <w:rsid w:val="00FF2EF5"/>
    <w:rsid w:val="00FF4D23"/>
    <w:rsid w:val="00FF514B"/>
    <w:rsid w:val="00FF7D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unhideWhenUsed="1" w:qFormat="1"/>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uiPriority w:val="99"/>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qFormat/>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9"/>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0"/>
      </w:numPr>
    </w:pPr>
  </w:style>
  <w:style w:type="numbering" w:customStyle="1" w:styleId="ImportedStyle3">
    <w:name w:val="Imported Style 3"/>
    <w:rsid w:val="00C05771"/>
    <w:pPr>
      <w:numPr>
        <w:numId w:val="11"/>
      </w:numPr>
    </w:pPr>
  </w:style>
  <w:style w:type="numbering" w:customStyle="1" w:styleId="ImportedStyle5">
    <w:name w:val="Imported Style 5"/>
    <w:rsid w:val="00C05771"/>
    <w:pPr>
      <w:numPr>
        <w:numId w:val="12"/>
      </w:numPr>
    </w:pPr>
  </w:style>
  <w:style w:type="paragraph" w:customStyle="1" w:styleId="CabStandard">
    <w:name w:val="CabStandard"/>
    <w:basedOn w:val="Normal"/>
    <w:uiPriority w:val="99"/>
    <w:rsid w:val="00C05771"/>
    <w:pPr>
      <w:numPr>
        <w:numId w:val="13"/>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1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8"/>
      </w:numPr>
    </w:pPr>
  </w:style>
  <w:style w:type="paragraph" w:customStyle="1" w:styleId="Boxtext">
    <w:name w:val="Box text"/>
    <w:basedOn w:val="Normal"/>
    <w:rsid w:val="00CE3BBB"/>
    <w:pPr>
      <w:pBdr>
        <w:top w:val="single" w:sz="4" w:space="10" w:color="DDDDDD"/>
        <w:left w:val="single" w:sz="4" w:space="4" w:color="DDDDDD"/>
        <w:bottom w:val="single" w:sz="4" w:space="10" w:color="DDDDDD"/>
        <w:right w:val="single" w:sz="4" w:space="4" w:color="DDDDDD"/>
      </w:pBdr>
      <w:shd w:val="clear" w:color="auto" w:fill="E5E9F0"/>
      <w:spacing w:after="80" w:line="280" w:lineRule="atLeast"/>
      <w:ind w:left="142" w:right="142"/>
    </w:pPr>
    <w:rPr>
      <w:rFonts w:ascii="Arial" w:eastAsia="Times New Roman" w:hAnsi="Arial" w:cs="Times New Roman"/>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unhideWhenUsed="1" w:qFormat="1"/>
    <w:lsdException w:name="List" w:semiHidden="0"/>
    <w:lsdException w:name="List Bullet" w:semiHidden="0" w:uiPriority="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Body Text" w:uiPriority="0"/>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4875B5"/>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numbering" w:customStyle="1" w:styleId="NoList1">
    <w:name w:val="No List1"/>
    <w:next w:val="NoList"/>
    <w:uiPriority w:val="99"/>
    <w:semiHidden/>
    <w:unhideWhenUsed/>
    <w:rsid w:val="00C05771"/>
  </w:style>
  <w:style w:type="character" w:styleId="FootnoteReference">
    <w:name w:val="footnote reference"/>
    <w:uiPriority w:val="99"/>
    <w:rsid w:val="00C05771"/>
    <w:rPr>
      <w:rFonts w:ascii="Arial" w:hAnsi="Arial"/>
      <w:color w:val="auto"/>
      <w:position w:val="8"/>
      <w:sz w:val="16"/>
    </w:rPr>
  </w:style>
  <w:style w:type="paragraph" w:customStyle="1" w:styleId="Bullet-list">
    <w:name w:val="Bullet-list"/>
    <w:qFormat/>
    <w:rsid w:val="00C05771"/>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C05771"/>
    <w:pPr>
      <w:tabs>
        <w:tab w:val="clear" w:pos="4513"/>
        <w:tab w:val="clear" w:pos="9026"/>
        <w:tab w:val="right" w:pos="9072"/>
      </w:tabs>
    </w:pPr>
    <w:rPr>
      <w:rFonts w:ascii="Arial" w:eastAsia="Times New Roman" w:hAnsi="Arial" w:cs="Times New Roman"/>
      <w:noProof/>
      <w:color w:val="002469"/>
      <w:spacing w:val="6"/>
      <w:sz w:val="16"/>
      <w:szCs w:val="16"/>
      <w:lang w:val="en-GB" w:eastAsia="en-GB"/>
    </w:rPr>
  </w:style>
  <w:style w:type="paragraph" w:customStyle="1" w:styleId="Text">
    <w:name w:val="Text"/>
    <w:basedOn w:val="Normal"/>
    <w:link w:val="TextChar"/>
    <w:rsid w:val="00C05771"/>
    <w:pPr>
      <w:spacing w:before="120" w:line="300" w:lineRule="exact"/>
      <w:jc w:val="both"/>
    </w:pPr>
    <w:rPr>
      <w:rFonts w:ascii="Arial" w:eastAsia="Times New Roman" w:hAnsi="Arial" w:cs="Times New Roman"/>
      <w:sz w:val="22"/>
      <w:szCs w:val="20"/>
      <w:lang w:val="en-GB"/>
    </w:rPr>
  </w:style>
  <w:style w:type="character" w:customStyle="1" w:styleId="TextChar">
    <w:name w:val="Text Char"/>
    <w:link w:val="Text"/>
    <w:rsid w:val="00C05771"/>
    <w:rPr>
      <w:rFonts w:ascii="Arial" w:eastAsia="Times New Roman" w:hAnsi="Arial"/>
      <w:sz w:val="22"/>
      <w:lang w:val="en-GB"/>
    </w:rPr>
  </w:style>
  <w:style w:type="character" w:customStyle="1" w:styleId="ListParagraphChar">
    <w:name w:val="List Paragraph Char"/>
    <w:link w:val="ListParagraph"/>
    <w:uiPriority w:val="34"/>
    <w:rsid w:val="00C05771"/>
    <w:rPr>
      <w:rFonts w:ascii="Verdana" w:hAnsi="Verdana" w:cs="Arial"/>
      <w:szCs w:val="22"/>
    </w:rPr>
  </w:style>
  <w:style w:type="paragraph" w:customStyle="1" w:styleId="SignatureText">
    <w:name w:val="Signature Text"/>
    <w:basedOn w:val="BodyText"/>
    <w:semiHidden/>
    <w:rsid w:val="00C05771"/>
    <w:pPr>
      <w:suppressAutoHyphens/>
      <w:autoSpaceDE w:val="0"/>
      <w:autoSpaceDN w:val="0"/>
      <w:adjustRightInd w:val="0"/>
      <w:spacing w:before="120" w:after="0" w:line="240" w:lineRule="auto"/>
      <w:textAlignment w:val="center"/>
    </w:pPr>
    <w:rPr>
      <w:rFonts w:ascii="Arial" w:eastAsia="Times New Roman" w:hAnsi="Arial" w:cs="Times New Roman"/>
      <w:sz w:val="22"/>
      <w:szCs w:val="20"/>
      <w:lang w:val="en-GB" w:eastAsia="en-NZ"/>
    </w:rPr>
  </w:style>
  <w:style w:type="paragraph" w:styleId="EndnoteText">
    <w:name w:val="endnote text"/>
    <w:basedOn w:val="Normal"/>
    <w:link w:val="EndnoteTextChar"/>
    <w:uiPriority w:val="99"/>
    <w:rsid w:val="00C05771"/>
    <w:pPr>
      <w:spacing w:after="0" w:line="240" w:lineRule="auto"/>
    </w:pPr>
    <w:rPr>
      <w:rFonts w:ascii="Arial" w:eastAsia="Times New Roman" w:hAnsi="Arial" w:cs="Times New Roman"/>
      <w:szCs w:val="20"/>
      <w:lang w:val="en-GB" w:eastAsia="en-GB"/>
    </w:rPr>
  </w:style>
  <w:style w:type="character" w:customStyle="1" w:styleId="EndnoteTextChar">
    <w:name w:val="Endnote Text Char"/>
    <w:basedOn w:val="DefaultParagraphFont"/>
    <w:link w:val="EndnoteText"/>
    <w:uiPriority w:val="99"/>
    <w:rsid w:val="00C05771"/>
    <w:rPr>
      <w:rFonts w:ascii="Arial" w:eastAsia="Times New Roman" w:hAnsi="Arial"/>
      <w:lang w:val="en-GB" w:eastAsia="en-GB"/>
    </w:rPr>
  </w:style>
  <w:style w:type="paragraph" w:customStyle="1" w:styleId="BodyTextlevel2">
    <w:name w:val="Body Text level 2"/>
    <w:basedOn w:val="Normal"/>
    <w:qFormat/>
    <w:rsid w:val="00C05771"/>
    <w:pPr>
      <w:tabs>
        <w:tab w:val="num" w:pos="493"/>
      </w:tabs>
      <w:spacing w:before="240" w:after="0" w:line="240" w:lineRule="auto"/>
      <w:ind w:left="987" w:hanging="493"/>
    </w:pPr>
    <w:rPr>
      <w:rFonts w:ascii="Arial" w:eastAsia="SimSun" w:hAnsi="Arial"/>
      <w:sz w:val="22"/>
    </w:rPr>
  </w:style>
  <w:style w:type="numbering" w:customStyle="1" w:styleId="BodyList">
    <w:name w:val="Body List"/>
    <w:rsid w:val="00C05771"/>
    <w:pPr>
      <w:numPr>
        <w:numId w:val="9"/>
      </w:numPr>
    </w:pPr>
  </w:style>
  <w:style w:type="paragraph" w:styleId="Header">
    <w:name w:val="header"/>
    <w:basedOn w:val="Normal"/>
    <w:link w:val="HeaderChar"/>
    <w:uiPriority w:val="99"/>
    <w:rsid w:val="00C05771"/>
    <w:pPr>
      <w:tabs>
        <w:tab w:val="center" w:pos="4513"/>
        <w:tab w:val="right" w:pos="9026"/>
      </w:tabs>
      <w:spacing w:after="0" w:line="240" w:lineRule="auto"/>
    </w:pPr>
    <w:rPr>
      <w:rFonts w:ascii="Arial" w:eastAsia="Times New Roman" w:hAnsi="Arial" w:cs="Times New Roman"/>
      <w:sz w:val="22"/>
      <w:szCs w:val="20"/>
      <w:lang w:val="en-GB" w:eastAsia="en-GB"/>
    </w:rPr>
  </w:style>
  <w:style w:type="character" w:customStyle="1" w:styleId="HeaderChar">
    <w:name w:val="Header Char"/>
    <w:basedOn w:val="DefaultParagraphFont"/>
    <w:link w:val="Header"/>
    <w:uiPriority w:val="99"/>
    <w:rsid w:val="00C05771"/>
    <w:rPr>
      <w:rFonts w:ascii="Arial" w:eastAsia="Times New Roman" w:hAnsi="Arial"/>
      <w:sz w:val="22"/>
      <w:lang w:val="en-GB" w:eastAsia="en-GB"/>
    </w:rPr>
  </w:style>
  <w:style w:type="character" w:styleId="Hyperlink">
    <w:name w:val="Hyperlink"/>
    <w:basedOn w:val="DefaultParagraphFont"/>
    <w:uiPriority w:val="99"/>
    <w:unhideWhenUsed/>
    <w:rsid w:val="00C05771"/>
    <w:rPr>
      <w:color w:val="0000FF" w:themeColor="hyperlink"/>
      <w:u w:val="single"/>
    </w:rPr>
  </w:style>
  <w:style w:type="paragraph" w:styleId="CommentSubject">
    <w:name w:val="annotation subject"/>
    <w:basedOn w:val="CommentText"/>
    <w:next w:val="CommentText"/>
    <w:link w:val="CommentSubjectChar"/>
    <w:uiPriority w:val="99"/>
    <w:semiHidden/>
    <w:rsid w:val="00C05771"/>
    <w:pPr>
      <w:spacing w:after="240"/>
    </w:pPr>
    <w:rPr>
      <w:rFonts w:ascii="Arial" w:eastAsia="Times New Roman" w:hAnsi="Arial" w:cs="Times New Roman"/>
      <w:b/>
      <w:bCs/>
      <w:lang w:val="en-GB" w:eastAsia="en-GB"/>
    </w:rPr>
  </w:style>
  <w:style w:type="character" w:customStyle="1" w:styleId="CommentSubjectChar">
    <w:name w:val="Comment Subject Char"/>
    <w:basedOn w:val="CommentTextChar"/>
    <w:link w:val="CommentSubject"/>
    <w:uiPriority w:val="99"/>
    <w:semiHidden/>
    <w:rsid w:val="00C05771"/>
    <w:rPr>
      <w:rFonts w:ascii="Arial" w:eastAsia="Times New Roman" w:hAnsi="Arial" w:cs="Arial"/>
      <w:b/>
      <w:bCs/>
      <w:lang w:val="en-GB" w:eastAsia="en-GB"/>
    </w:rPr>
  </w:style>
  <w:style w:type="paragraph" w:styleId="Revision">
    <w:name w:val="Revision"/>
    <w:hidden/>
    <w:uiPriority w:val="99"/>
    <w:semiHidden/>
    <w:rsid w:val="00C05771"/>
    <w:rPr>
      <w:rFonts w:ascii="Arial" w:eastAsia="Times New Roman" w:hAnsi="Arial"/>
      <w:sz w:val="22"/>
      <w:lang w:val="en-GB" w:eastAsia="en-GB"/>
    </w:rPr>
  </w:style>
  <w:style w:type="paragraph" w:customStyle="1" w:styleId="Body">
    <w:name w:val="Body"/>
    <w:rsid w:val="00C05771"/>
    <w:pPr>
      <w:spacing w:after="240" w:line="280" w:lineRule="atLeast"/>
    </w:pPr>
    <w:rPr>
      <w:rFonts w:ascii="Arial" w:eastAsia="Arial" w:hAnsi="Arial" w:cs="Arial"/>
      <w:color w:val="000000"/>
      <w:sz w:val="22"/>
      <w:szCs w:val="22"/>
      <w:u w:color="000000"/>
      <w:lang w:eastAsia="en-NZ"/>
    </w:rPr>
  </w:style>
  <w:style w:type="numbering" w:customStyle="1" w:styleId="ImportedStyle30">
    <w:name w:val="Imported Style 3.0"/>
    <w:rsid w:val="00C05771"/>
    <w:pPr>
      <w:numPr>
        <w:numId w:val="10"/>
      </w:numPr>
    </w:pPr>
  </w:style>
  <w:style w:type="numbering" w:customStyle="1" w:styleId="ImportedStyle3">
    <w:name w:val="Imported Style 3"/>
    <w:rsid w:val="00C05771"/>
    <w:pPr>
      <w:numPr>
        <w:numId w:val="11"/>
      </w:numPr>
    </w:pPr>
  </w:style>
  <w:style w:type="numbering" w:customStyle="1" w:styleId="ImportedStyle5">
    <w:name w:val="Imported Style 5"/>
    <w:rsid w:val="00C05771"/>
    <w:pPr>
      <w:numPr>
        <w:numId w:val="12"/>
      </w:numPr>
    </w:pPr>
  </w:style>
  <w:style w:type="paragraph" w:customStyle="1" w:styleId="CabStandard">
    <w:name w:val="CabStandard"/>
    <w:basedOn w:val="Normal"/>
    <w:uiPriority w:val="99"/>
    <w:rsid w:val="00C05771"/>
    <w:pPr>
      <w:numPr>
        <w:numId w:val="13"/>
      </w:numPr>
      <w:spacing w:after="240" w:line="240" w:lineRule="auto"/>
    </w:pPr>
    <w:rPr>
      <w:rFonts w:ascii="Times New Roman" w:eastAsia="Times New Roman" w:hAnsi="Times New Roman" w:cs="Times New Roman"/>
      <w:sz w:val="24"/>
      <w:szCs w:val="20"/>
      <w:lang w:val="en-GB" w:eastAsia="ja-JP"/>
    </w:rPr>
  </w:style>
  <w:style w:type="paragraph" w:customStyle="1" w:styleId="ReportBody">
    <w:name w:val="Report Body"/>
    <w:basedOn w:val="Normal"/>
    <w:link w:val="ReportBodyChar"/>
    <w:qFormat/>
    <w:rsid w:val="00C05771"/>
    <w:pPr>
      <w:numPr>
        <w:numId w:val="14"/>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C05771"/>
    <w:pPr>
      <w:numPr>
        <w:ilvl w:val="1"/>
      </w:numPr>
      <w:tabs>
        <w:tab w:val="clear" w:pos="493"/>
        <w:tab w:val="num" w:pos="1492"/>
      </w:tabs>
      <w:ind w:left="1492" w:hanging="360"/>
    </w:pPr>
  </w:style>
  <w:style w:type="character" w:customStyle="1" w:styleId="ReportBodyChar">
    <w:name w:val="Report Body Char"/>
    <w:basedOn w:val="DefaultParagraphFont"/>
    <w:link w:val="ReportBody"/>
    <w:rsid w:val="00C05771"/>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C05771"/>
    <w:rPr>
      <w:color w:val="800080" w:themeColor="followedHyperlink"/>
      <w:u w:val="single"/>
    </w:rPr>
  </w:style>
  <w:style w:type="numbering" w:customStyle="1" w:styleId="BodyList1">
    <w:name w:val="Body List1"/>
    <w:rsid w:val="00C05771"/>
    <w:pPr>
      <w:numPr>
        <w:numId w:val="8"/>
      </w:numPr>
    </w:pPr>
  </w:style>
  <w:style w:type="paragraph" w:customStyle="1" w:styleId="Boxtext">
    <w:name w:val="Box text"/>
    <w:basedOn w:val="Normal"/>
    <w:rsid w:val="00CE3BBB"/>
    <w:pPr>
      <w:pBdr>
        <w:top w:val="single" w:sz="4" w:space="10" w:color="DDDDDD"/>
        <w:left w:val="single" w:sz="4" w:space="4" w:color="DDDDDD"/>
        <w:bottom w:val="single" w:sz="4" w:space="10" w:color="DDDDDD"/>
        <w:right w:val="single" w:sz="4" w:space="4" w:color="DDDDDD"/>
      </w:pBdr>
      <w:shd w:val="clear" w:color="auto" w:fill="E5E9F0"/>
      <w:spacing w:after="80" w:line="280" w:lineRule="atLeast"/>
      <w:ind w:left="142" w:right="142"/>
    </w:pPr>
    <w:rPr>
      <w:rFonts w:ascii="Arial" w:eastAsia="Times New Roman" w:hAnsi="Arial"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424">
      <w:bodyDiv w:val="1"/>
      <w:marLeft w:val="0"/>
      <w:marRight w:val="0"/>
      <w:marTop w:val="0"/>
      <w:marBottom w:val="0"/>
      <w:divBdr>
        <w:top w:val="none" w:sz="0" w:space="0" w:color="auto"/>
        <w:left w:val="none" w:sz="0" w:space="0" w:color="auto"/>
        <w:bottom w:val="none" w:sz="0" w:space="0" w:color="auto"/>
        <w:right w:val="none" w:sz="0" w:space="0" w:color="auto"/>
      </w:divBdr>
    </w:div>
    <w:div w:id="36200330">
      <w:bodyDiv w:val="1"/>
      <w:marLeft w:val="0"/>
      <w:marRight w:val="0"/>
      <w:marTop w:val="0"/>
      <w:marBottom w:val="0"/>
      <w:divBdr>
        <w:top w:val="none" w:sz="0" w:space="0" w:color="auto"/>
        <w:left w:val="none" w:sz="0" w:space="0" w:color="auto"/>
        <w:bottom w:val="none" w:sz="0" w:space="0" w:color="auto"/>
        <w:right w:val="none" w:sz="0" w:space="0" w:color="auto"/>
      </w:divBdr>
    </w:div>
    <w:div w:id="411777681">
      <w:bodyDiv w:val="1"/>
      <w:marLeft w:val="0"/>
      <w:marRight w:val="0"/>
      <w:marTop w:val="0"/>
      <w:marBottom w:val="0"/>
      <w:divBdr>
        <w:top w:val="none" w:sz="0" w:space="0" w:color="auto"/>
        <w:left w:val="none" w:sz="0" w:space="0" w:color="auto"/>
        <w:bottom w:val="none" w:sz="0" w:space="0" w:color="auto"/>
        <w:right w:val="none" w:sz="0" w:space="0" w:color="auto"/>
      </w:divBdr>
    </w:div>
    <w:div w:id="509560891">
      <w:bodyDiv w:val="1"/>
      <w:marLeft w:val="0"/>
      <w:marRight w:val="0"/>
      <w:marTop w:val="0"/>
      <w:marBottom w:val="0"/>
      <w:divBdr>
        <w:top w:val="none" w:sz="0" w:space="0" w:color="auto"/>
        <w:left w:val="none" w:sz="0" w:space="0" w:color="auto"/>
        <w:bottom w:val="none" w:sz="0" w:space="0" w:color="auto"/>
        <w:right w:val="none" w:sz="0" w:space="0" w:color="auto"/>
      </w:divBdr>
    </w:div>
    <w:div w:id="670765870">
      <w:bodyDiv w:val="1"/>
      <w:marLeft w:val="0"/>
      <w:marRight w:val="0"/>
      <w:marTop w:val="0"/>
      <w:marBottom w:val="0"/>
      <w:divBdr>
        <w:top w:val="none" w:sz="0" w:space="0" w:color="auto"/>
        <w:left w:val="none" w:sz="0" w:space="0" w:color="auto"/>
        <w:bottom w:val="none" w:sz="0" w:space="0" w:color="auto"/>
        <w:right w:val="none" w:sz="0" w:space="0" w:color="auto"/>
      </w:divBdr>
    </w:div>
    <w:div w:id="693575971">
      <w:bodyDiv w:val="1"/>
      <w:marLeft w:val="0"/>
      <w:marRight w:val="0"/>
      <w:marTop w:val="0"/>
      <w:marBottom w:val="0"/>
      <w:divBdr>
        <w:top w:val="none" w:sz="0" w:space="0" w:color="auto"/>
        <w:left w:val="none" w:sz="0" w:space="0" w:color="auto"/>
        <w:bottom w:val="none" w:sz="0" w:space="0" w:color="auto"/>
        <w:right w:val="none" w:sz="0" w:space="0" w:color="auto"/>
      </w:divBdr>
    </w:div>
    <w:div w:id="716316623">
      <w:bodyDiv w:val="1"/>
      <w:marLeft w:val="0"/>
      <w:marRight w:val="0"/>
      <w:marTop w:val="0"/>
      <w:marBottom w:val="0"/>
      <w:divBdr>
        <w:top w:val="none" w:sz="0" w:space="0" w:color="auto"/>
        <w:left w:val="none" w:sz="0" w:space="0" w:color="auto"/>
        <w:bottom w:val="none" w:sz="0" w:space="0" w:color="auto"/>
        <w:right w:val="none" w:sz="0" w:space="0" w:color="auto"/>
      </w:divBdr>
    </w:div>
    <w:div w:id="763722996">
      <w:bodyDiv w:val="1"/>
      <w:marLeft w:val="0"/>
      <w:marRight w:val="0"/>
      <w:marTop w:val="0"/>
      <w:marBottom w:val="0"/>
      <w:divBdr>
        <w:top w:val="none" w:sz="0" w:space="0" w:color="auto"/>
        <w:left w:val="none" w:sz="0" w:space="0" w:color="auto"/>
        <w:bottom w:val="none" w:sz="0" w:space="0" w:color="auto"/>
        <w:right w:val="none" w:sz="0" w:space="0" w:color="auto"/>
      </w:divBdr>
    </w:div>
    <w:div w:id="800345172">
      <w:bodyDiv w:val="1"/>
      <w:marLeft w:val="0"/>
      <w:marRight w:val="0"/>
      <w:marTop w:val="0"/>
      <w:marBottom w:val="0"/>
      <w:divBdr>
        <w:top w:val="none" w:sz="0" w:space="0" w:color="auto"/>
        <w:left w:val="none" w:sz="0" w:space="0" w:color="auto"/>
        <w:bottom w:val="none" w:sz="0" w:space="0" w:color="auto"/>
        <w:right w:val="none" w:sz="0" w:space="0" w:color="auto"/>
      </w:divBdr>
    </w:div>
    <w:div w:id="817651810">
      <w:bodyDiv w:val="1"/>
      <w:marLeft w:val="0"/>
      <w:marRight w:val="0"/>
      <w:marTop w:val="0"/>
      <w:marBottom w:val="0"/>
      <w:divBdr>
        <w:top w:val="none" w:sz="0" w:space="0" w:color="auto"/>
        <w:left w:val="none" w:sz="0" w:space="0" w:color="auto"/>
        <w:bottom w:val="none" w:sz="0" w:space="0" w:color="auto"/>
        <w:right w:val="none" w:sz="0" w:space="0" w:color="auto"/>
      </w:divBdr>
    </w:div>
    <w:div w:id="885027577">
      <w:bodyDiv w:val="1"/>
      <w:marLeft w:val="0"/>
      <w:marRight w:val="0"/>
      <w:marTop w:val="0"/>
      <w:marBottom w:val="0"/>
      <w:divBdr>
        <w:top w:val="none" w:sz="0" w:space="0" w:color="auto"/>
        <w:left w:val="none" w:sz="0" w:space="0" w:color="auto"/>
        <w:bottom w:val="none" w:sz="0" w:space="0" w:color="auto"/>
        <w:right w:val="none" w:sz="0" w:space="0" w:color="auto"/>
      </w:divBdr>
    </w:div>
    <w:div w:id="915818561">
      <w:bodyDiv w:val="1"/>
      <w:marLeft w:val="0"/>
      <w:marRight w:val="0"/>
      <w:marTop w:val="0"/>
      <w:marBottom w:val="0"/>
      <w:divBdr>
        <w:top w:val="none" w:sz="0" w:space="0" w:color="auto"/>
        <w:left w:val="none" w:sz="0" w:space="0" w:color="auto"/>
        <w:bottom w:val="none" w:sz="0" w:space="0" w:color="auto"/>
        <w:right w:val="none" w:sz="0" w:space="0" w:color="auto"/>
      </w:divBdr>
    </w:div>
    <w:div w:id="1174371285">
      <w:bodyDiv w:val="1"/>
      <w:marLeft w:val="0"/>
      <w:marRight w:val="0"/>
      <w:marTop w:val="0"/>
      <w:marBottom w:val="0"/>
      <w:divBdr>
        <w:top w:val="none" w:sz="0" w:space="0" w:color="auto"/>
        <w:left w:val="none" w:sz="0" w:space="0" w:color="auto"/>
        <w:bottom w:val="none" w:sz="0" w:space="0" w:color="auto"/>
        <w:right w:val="none" w:sz="0" w:space="0" w:color="auto"/>
      </w:divBdr>
    </w:div>
    <w:div w:id="1236475454">
      <w:bodyDiv w:val="1"/>
      <w:marLeft w:val="0"/>
      <w:marRight w:val="0"/>
      <w:marTop w:val="0"/>
      <w:marBottom w:val="0"/>
      <w:divBdr>
        <w:top w:val="none" w:sz="0" w:space="0" w:color="auto"/>
        <w:left w:val="none" w:sz="0" w:space="0" w:color="auto"/>
        <w:bottom w:val="none" w:sz="0" w:space="0" w:color="auto"/>
        <w:right w:val="none" w:sz="0" w:space="0" w:color="auto"/>
      </w:divBdr>
    </w:div>
    <w:div w:id="1290356896">
      <w:bodyDiv w:val="1"/>
      <w:marLeft w:val="0"/>
      <w:marRight w:val="0"/>
      <w:marTop w:val="0"/>
      <w:marBottom w:val="0"/>
      <w:divBdr>
        <w:top w:val="none" w:sz="0" w:space="0" w:color="auto"/>
        <w:left w:val="none" w:sz="0" w:space="0" w:color="auto"/>
        <w:bottom w:val="none" w:sz="0" w:space="0" w:color="auto"/>
        <w:right w:val="none" w:sz="0" w:space="0" w:color="auto"/>
      </w:divBdr>
    </w:div>
    <w:div w:id="1353611814">
      <w:bodyDiv w:val="1"/>
      <w:marLeft w:val="0"/>
      <w:marRight w:val="0"/>
      <w:marTop w:val="0"/>
      <w:marBottom w:val="0"/>
      <w:divBdr>
        <w:top w:val="none" w:sz="0" w:space="0" w:color="auto"/>
        <w:left w:val="none" w:sz="0" w:space="0" w:color="auto"/>
        <w:bottom w:val="none" w:sz="0" w:space="0" w:color="auto"/>
        <w:right w:val="none" w:sz="0" w:space="0" w:color="auto"/>
      </w:divBdr>
    </w:div>
    <w:div w:id="1400787352">
      <w:bodyDiv w:val="1"/>
      <w:marLeft w:val="0"/>
      <w:marRight w:val="0"/>
      <w:marTop w:val="0"/>
      <w:marBottom w:val="0"/>
      <w:divBdr>
        <w:top w:val="none" w:sz="0" w:space="0" w:color="auto"/>
        <w:left w:val="none" w:sz="0" w:space="0" w:color="auto"/>
        <w:bottom w:val="none" w:sz="0" w:space="0" w:color="auto"/>
        <w:right w:val="none" w:sz="0" w:space="0" w:color="auto"/>
      </w:divBdr>
    </w:div>
    <w:div w:id="1415709801">
      <w:bodyDiv w:val="1"/>
      <w:marLeft w:val="0"/>
      <w:marRight w:val="0"/>
      <w:marTop w:val="0"/>
      <w:marBottom w:val="0"/>
      <w:divBdr>
        <w:top w:val="none" w:sz="0" w:space="0" w:color="auto"/>
        <w:left w:val="none" w:sz="0" w:space="0" w:color="auto"/>
        <w:bottom w:val="none" w:sz="0" w:space="0" w:color="auto"/>
        <w:right w:val="none" w:sz="0" w:space="0" w:color="auto"/>
      </w:divBdr>
      <w:divsChild>
        <w:div w:id="206576063">
          <w:marLeft w:val="0"/>
          <w:marRight w:val="0"/>
          <w:marTop w:val="0"/>
          <w:marBottom w:val="0"/>
          <w:divBdr>
            <w:top w:val="none" w:sz="0" w:space="0" w:color="auto"/>
            <w:left w:val="none" w:sz="0" w:space="0" w:color="auto"/>
            <w:bottom w:val="none" w:sz="0" w:space="0" w:color="auto"/>
            <w:right w:val="none" w:sz="0" w:space="0" w:color="auto"/>
          </w:divBdr>
          <w:divsChild>
            <w:div w:id="178814308">
              <w:marLeft w:val="0"/>
              <w:marRight w:val="0"/>
              <w:marTop w:val="0"/>
              <w:marBottom w:val="0"/>
              <w:divBdr>
                <w:top w:val="none" w:sz="0" w:space="0" w:color="auto"/>
                <w:left w:val="none" w:sz="0" w:space="0" w:color="auto"/>
                <w:bottom w:val="none" w:sz="0" w:space="0" w:color="auto"/>
                <w:right w:val="none" w:sz="0" w:space="0" w:color="auto"/>
              </w:divBdr>
              <w:divsChild>
                <w:div w:id="571816400">
                  <w:marLeft w:val="0"/>
                  <w:marRight w:val="0"/>
                  <w:marTop w:val="0"/>
                  <w:marBottom w:val="0"/>
                  <w:divBdr>
                    <w:top w:val="none" w:sz="0" w:space="0" w:color="auto"/>
                    <w:left w:val="none" w:sz="0" w:space="0" w:color="auto"/>
                    <w:bottom w:val="none" w:sz="0" w:space="0" w:color="auto"/>
                    <w:right w:val="none" w:sz="0" w:space="0" w:color="auto"/>
                  </w:divBdr>
                  <w:divsChild>
                    <w:div w:id="1212574291">
                      <w:marLeft w:val="0"/>
                      <w:marRight w:val="0"/>
                      <w:marTop w:val="0"/>
                      <w:marBottom w:val="0"/>
                      <w:divBdr>
                        <w:top w:val="none" w:sz="0" w:space="0" w:color="auto"/>
                        <w:left w:val="none" w:sz="0" w:space="0" w:color="auto"/>
                        <w:bottom w:val="none" w:sz="0" w:space="0" w:color="auto"/>
                        <w:right w:val="none" w:sz="0" w:space="0" w:color="auto"/>
                      </w:divBdr>
                      <w:divsChild>
                        <w:div w:id="1371299672">
                          <w:marLeft w:val="0"/>
                          <w:marRight w:val="0"/>
                          <w:marTop w:val="0"/>
                          <w:marBottom w:val="0"/>
                          <w:divBdr>
                            <w:top w:val="none" w:sz="0" w:space="0" w:color="auto"/>
                            <w:left w:val="none" w:sz="0" w:space="0" w:color="auto"/>
                            <w:bottom w:val="none" w:sz="0" w:space="0" w:color="auto"/>
                            <w:right w:val="none" w:sz="0" w:space="0" w:color="auto"/>
                          </w:divBdr>
                          <w:divsChild>
                            <w:div w:id="941885518">
                              <w:marLeft w:val="0"/>
                              <w:marRight w:val="0"/>
                              <w:marTop w:val="0"/>
                              <w:marBottom w:val="0"/>
                              <w:divBdr>
                                <w:top w:val="none" w:sz="0" w:space="0" w:color="auto"/>
                                <w:left w:val="none" w:sz="0" w:space="0" w:color="auto"/>
                                <w:bottom w:val="none" w:sz="0" w:space="0" w:color="auto"/>
                                <w:right w:val="none" w:sz="0" w:space="0" w:color="auto"/>
                              </w:divBdr>
                            </w:div>
                            <w:div w:id="347803448">
                              <w:marLeft w:val="0"/>
                              <w:marRight w:val="0"/>
                              <w:marTop w:val="0"/>
                              <w:marBottom w:val="0"/>
                              <w:divBdr>
                                <w:top w:val="none" w:sz="0" w:space="0" w:color="auto"/>
                                <w:left w:val="none" w:sz="0" w:space="0" w:color="auto"/>
                                <w:bottom w:val="none" w:sz="0" w:space="0" w:color="auto"/>
                                <w:right w:val="none" w:sz="0" w:space="0" w:color="auto"/>
                              </w:divBdr>
                              <w:divsChild>
                                <w:div w:id="441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20882">
      <w:bodyDiv w:val="1"/>
      <w:marLeft w:val="0"/>
      <w:marRight w:val="0"/>
      <w:marTop w:val="0"/>
      <w:marBottom w:val="0"/>
      <w:divBdr>
        <w:top w:val="none" w:sz="0" w:space="0" w:color="auto"/>
        <w:left w:val="none" w:sz="0" w:space="0" w:color="auto"/>
        <w:bottom w:val="none" w:sz="0" w:space="0" w:color="auto"/>
        <w:right w:val="none" w:sz="0" w:space="0" w:color="auto"/>
      </w:divBdr>
    </w:div>
    <w:div w:id="1924609702">
      <w:bodyDiv w:val="1"/>
      <w:marLeft w:val="0"/>
      <w:marRight w:val="0"/>
      <w:marTop w:val="0"/>
      <w:marBottom w:val="0"/>
      <w:divBdr>
        <w:top w:val="none" w:sz="0" w:space="0" w:color="auto"/>
        <w:left w:val="none" w:sz="0" w:space="0" w:color="auto"/>
        <w:bottom w:val="none" w:sz="0" w:space="0" w:color="auto"/>
        <w:right w:val="none" w:sz="0" w:space="0" w:color="auto"/>
      </w:divBdr>
    </w:div>
    <w:div w:id="1952735546">
      <w:bodyDiv w:val="1"/>
      <w:marLeft w:val="0"/>
      <w:marRight w:val="0"/>
      <w:marTop w:val="0"/>
      <w:marBottom w:val="0"/>
      <w:divBdr>
        <w:top w:val="none" w:sz="0" w:space="0" w:color="auto"/>
        <w:left w:val="none" w:sz="0" w:space="0" w:color="auto"/>
        <w:bottom w:val="none" w:sz="0" w:space="0" w:color="auto"/>
        <w:right w:val="none" w:sz="0" w:space="0" w:color="auto"/>
      </w:divBdr>
    </w:div>
    <w:div w:id="2108187369">
      <w:bodyDiv w:val="1"/>
      <w:marLeft w:val="0"/>
      <w:marRight w:val="0"/>
      <w:marTop w:val="0"/>
      <w:marBottom w:val="0"/>
      <w:divBdr>
        <w:top w:val="none" w:sz="0" w:space="0" w:color="auto"/>
        <w:left w:val="none" w:sz="0" w:space="0" w:color="auto"/>
        <w:bottom w:val="none" w:sz="0" w:space="0" w:color="auto"/>
        <w:right w:val="none" w:sz="0" w:space="0" w:color="auto"/>
      </w:divBdr>
    </w:div>
    <w:div w:id="2110736497">
      <w:bodyDiv w:val="1"/>
      <w:marLeft w:val="0"/>
      <w:marRight w:val="0"/>
      <w:marTop w:val="0"/>
      <w:marBottom w:val="0"/>
      <w:divBdr>
        <w:top w:val="none" w:sz="0" w:space="0" w:color="auto"/>
        <w:left w:val="none" w:sz="0" w:space="0" w:color="auto"/>
        <w:bottom w:val="none" w:sz="0" w:space="0" w:color="auto"/>
        <w:right w:val="none" w:sz="0" w:space="0" w:color="auto"/>
      </w:divBdr>
    </w:div>
    <w:div w:id="2139645216">
      <w:bodyDiv w:val="1"/>
      <w:marLeft w:val="0"/>
      <w:marRight w:val="0"/>
      <w:marTop w:val="0"/>
      <w:marBottom w:val="0"/>
      <w:divBdr>
        <w:top w:val="none" w:sz="0" w:space="0" w:color="auto"/>
        <w:left w:val="none" w:sz="0" w:space="0" w:color="auto"/>
        <w:bottom w:val="none" w:sz="0" w:space="0" w:color="auto"/>
        <w:right w:val="none" w:sz="0" w:space="0" w:color="auto"/>
      </w:divBdr>
    </w:div>
    <w:div w:id="21441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th.govt.nz/our-work/regulation-health-and-disability-system/health-practitioners-competence-assurance-act/restricted-activities-under-act"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swrb.govt.nz/doc-man/publications-1/346-annual-report" TargetMode="External"/><Relationship Id="rId1" Type="http://schemas.openxmlformats.org/officeDocument/2006/relationships/hyperlink" Target="https://www.dpmc.govt.nz/cabinet/circulars/co99/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1200"/>
              <a:t>Number of</a:t>
            </a:r>
            <a:r>
              <a:rPr lang="en-NZ" sz="1200" baseline="0"/>
              <a:t> Registered Social Workers by Employer with Percentage of 6260 Total Registered Social Workers</a:t>
            </a:r>
            <a:endParaRPr lang="en-NZ" sz="1200"/>
          </a:p>
        </c:rich>
      </c:tx>
      <c:layout>
        <c:manualLayout>
          <c:xMode val="edge"/>
          <c:yMode val="edge"/>
          <c:x val="9.495180674571875E-2"/>
          <c:y val="1.7977528089887642E-2"/>
        </c:manualLayout>
      </c:layout>
      <c:overlay val="0"/>
    </c:title>
    <c:autoTitleDeleted val="0"/>
    <c:plotArea>
      <c:layout/>
      <c:pieChart>
        <c:varyColors val="1"/>
        <c:ser>
          <c:idx val="0"/>
          <c:order val="0"/>
          <c:dLbls>
            <c:dLbl>
              <c:idx val="0"/>
              <c:layout>
                <c:manualLayout>
                  <c:x val="2.036472713638068E-2"/>
                  <c:y val="-0.10234427438143266"/>
                </c:manualLayout>
              </c:layout>
              <c:dLblPos val="bestFit"/>
              <c:showLegendKey val="1"/>
              <c:showVal val="1"/>
              <c:showCatName val="1"/>
              <c:showSerName val="0"/>
              <c:showPercent val="1"/>
              <c:showBubbleSize val="0"/>
            </c:dLbl>
            <c:dLbl>
              <c:idx val="1"/>
              <c:layout>
                <c:manualLayout>
                  <c:x val="7.4790975803349256E-3"/>
                  <c:y val="0.11274741219145359"/>
                </c:manualLayout>
              </c:layout>
              <c:dLblPos val="bestFit"/>
              <c:showLegendKey val="1"/>
              <c:showVal val="1"/>
              <c:showCatName val="1"/>
              <c:showSerName val="0"/>
              <c:showPercent val="1"/>
              <c:showBubbleSize val="0"/>
            </c:dLbl>
            <c:dLbl>
              <c:idx val="2"/>
              <c:layout>
                <c:manualLayout>
                  <c:x val="-6.2516763326662089E-2"/>
                  <c:y val="3.6828688548762867E-2"/>
                </c:manualLayout>
              </c:layout>
              <c:dLblPos val="bestFit"/>
              <c:showLegendKey val="1"/>
              <c:showVal val="1"/>
              <c:showCatName val="1"/>
              <c:showSerName val="0"/>
              <c:showPercent val="1"/>
              <c:showBubbleSize val="0"/>
            </c:dLbl>
            <c:dLbl>
              <c:idx val="3"/>
              <c:layout>
                <c:manualLayout>
                  <c:x val="-0.20927595089574841"/>
                  <c:y val="2.9962546816479401E-5"/>
                </c:manualLayout>
              </c:layout>
              <c:dLblPos val="bestFit"/>
              <c:showLegendKey val="1"/>
              <c:showVal val="1"/>
              <c:showCatName val="1"/>
              <c:showSerName val="0"/>
              <c:showPercent val="1"/>
              <c:showBubbleSize val="0"/>
            </c:dLbl>
            <c:dLbl>
              <c:idx val="4"/>
              <c:layout>
                <c:manualLayout>
                  <c:x val="-1.3247337589294845E-2"/>
                  <c:y val="-3.7085139638444072E-3"/>
                </c:manualLayout>
              </c:layout>
              <c:tx>
                <c:rich>
                  <a:bodyPr/>
                  <a:lstStyle/>
                  <a:p>
                    <a:r>
                      <a:rPr lang="en-US"/>
                      <a:t>Other GOVT*, 108, 2%</a:t>
                    </a:r>
                  </a:p>
                </c:rich>
              </c:tx>
              <c:dLblPos val="bestFit"/>
              <c:showLegendKey val="1"/>
              <c:showVal val="1"/>
              <c:showCatName val="1"/>
              <c:showSerName val="0"/>
              <c:showPercent val="1"/>
              <c:showBubbleSize val="0"/>
            </c:dLbl>
            <c:dLbl>
              <c:idx val="5"/>
              <c:layout>
                <c:manualLayout>
                  <c:x val="-3.1660227530981376E-2"/>
                  <c:y val="2.2032144858297152E-2"/>
                </c:manualLayout>
              </c:layout>
              <c:dLblPos val="bestFit"/>
              <c:showLegendKey val="1"/>
              <c:showVal val="1"/>
              <c:showCatName val="1"/>
              <c:showSerName val="0"/>
              <c:showPercent val="1"/>
              <c:showBubbleSize val="0"/>
            </c:dLbl>
            <c:dLbl>
              <c:idx val="6"/>
              <c:layout>
                <c:manualLayout>
                  <c:x val="-0.24276851757166718"/>
                  <c:y val="-4.5965377923265207E-3"/>
                </c:manualLayout>
              </c:layout>
              <c:dLblPos val="bestFit"/>
              <c:showLegendKey val="1"/>
              <c:showVal val="1"/>
              <c:showCatName val="1"/>
              <c:showSerName val="0"/>
              <c:showPercent val="1"/>
              <c:showBubbleSize val="0"/>
            </c:dLbl>
            <c:dLbl>
              <c:idx val="7"/>
              <c:layout>
                <c:manualLayout>
                  <c:x val="-0.15076372727528509"/>
                  <c:y val="-1.6620956088354125E-2"/>
                </c:manualLayout>
              </c:layout>
              <c:dLblPos val="bestFit"/>
              <c:showLegendKey val="1"/>
              <c:showVal val="1"/>
              <c:showCatName val="1"/>
              <c:showSerName val="0"/>
              <c:showPercent val="1"/>
              <c:showBubbleSize val="0"/>
            </c:dLbl>
            <c:dLblPos val="bestFit"/>
            <c:showLegendKey val="1"/>
            <c:showVal val="1"/>
            <c:showCatName val="1"/>
            <c:showSerName val="0"/>
            <c:showPercent val="1"/>
            <c:showBubbleSize val="0"/>
            <c:showLeaderLines val="1"/>
          </c:dLbls>
          <c:cat>
            <c:strRef>
              <c:f>Sheet1!$B$4:$G$4</c:f>
              <c:strCache>
                <c:ptCount val="6"/>
                <c:pt idx="0">
                  <c:v>NGO</c:v>
                </c:pt>
                <c:pt idx="1">
                  <c:v>MVCOT</c:v>
                </c:pt>
                <c:pt idx="2">
                  <c:v>DHB</c:v>
                </c:pt>
                <c:pt idx="3">
                  <c:v>Self Employed</c:v>
                </c:pt>
                <c:pt idx="4">
                  <c:v>Other GOVT</c:v>
                </c:pt>
                <c:pt idx="5">
                  <c:v>Not practising </c:v>
                </c:pt>
              </c:strCache>
            </c:strRef>
          </c:cat>
          <c:val>
            <c:numRef>
              <c:f>Sheet1!$B$5:$G$5</c:f>
              <c:numCache>
                <c:formatCode>General</c:formatCode>
                <c:ptCount val="6"/>
                <c:pt idx="0">
                  <c:v>1919</c:v>
                </c:pt>
                <c:pt idx="1">
                  <c:v>1441</c:v>
                </c:pt>
                <c:pt idx="2">
                  <c:v>1425</c:v>
                </c:pt>
                <c:pt idx="3">
                  <c:v>239</c:v>
                </c:pt>
                <c:pt idx="4">
                  <c:v>108</c:v>
                </c:pt>
                <c:pt idx="5">
                  <c:v>1128</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B932-725B-4BE8-9507-90FC2D08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18471</Words>
  <Characters>105288</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Lane</dc:creator>
  <cp:lastModifiedBy>Leon Mitchell</cp:lastModifiedBy>
  <cp:revision>3</cp:revision>
  <cp:lastPrinted>2017-05-11T00:38:00Z</cp:lastPrinted>
  <dcterms:created xsi:type="dcterms:W3CDTF">2017-06-09T01:34:00Z</dcterms:created>
  <dcterms:modified xsi:type="dcterms:W3CDTF">2017-07-17T01:28:00Z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A9634477</vt:lpwstr>
  </property>
  <property fmtid="{D5CDD505-2E9C-101B-9397-08002B2CF9AE}" pid="4" name="Objective-Title">
    <vt:lpwstr>2017.05.01 -  SWRA RIS</vt:lpwstr>
  </property>
  <property fmtid="{D5CDD505-2E9C-101B-9397-08002B2CF9AE}" pid="5" name="Objective-Comment">
    <vt:lpwstr/>
  </property>
  <property fmtid="{D5CDD505-2E9C-101B-9397-08002B2CF9AE}" pid="6" name="Objective-CreationStamp">
    <vt:filetime>2017-05-10T23:56:50Z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2017-05-30T03:07:38Z</vt:filetime>
  </property>
  <property fmtid="{D5CDD505-2E9C-101B-9397-08002B2CF9AE}" pid="11" name="Objective-Owner">
    <vt:lpwstr>Leon Mitchell</vt:lpwstr>
  </property>
  <property fmtid="{D5CDD505-2E9C-101B-9397-08002B2CF9AE}" pid="12" name="Objective-Path">
    <vt:lpwstr>Global Folder:MSD INFORMATION REPOSITORY:Social Services Policy:Children:Policy Issues:Children's Action Plan:Legislation Programme:Policy workstreams:Social Worker Registration:2016/17 work on Social Workers Registration - Inquiry, Govt Response, RIS, Ca</vt:lpwstr>
  </property>
  <property fmtid="{D5CDD505-2E9C-101B-9397-08002B2CF9AE}" pid="13" name="Objective-Parent">
    <vt:lpwstr>2017.05.15 - for Cabinet</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ies>
</file>