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123EDA" w:rsidRDefault="00FC600D" w:rsidP="00FC600D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0165A3">
        <w:rPr>
          <w:rFonts w:ascii="Arial" w:hAnsi="Arial" w:cs="Arial"/>
        </w:rPr>
        <w:t>2014</w:t>
      </w:r>
    </w:p>
    <w:p w:rsidR="00FC600D" w:rsidRPr="00123EDA" w:rsidRDefault="0054251F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Au rere a </w:t>
      </w:r>
      <w:r w:rsidR="0020292A">
        <w:rPr>
          <w:rFonts w:ascii="Arial" w:hAnsi="Arial" w:cs="Arial"/>
        </w:rPr>
        <w:t>t</w:t>
      </w:r>
      <w:r>
        <w:rPr>
          <w:rFonts w:ascii="Arial" w:hAnsi="Arial" w:cs="Arial"/>
        </w:rPr>
        <w:t>e Tonga</w:t>
      </w:r>
      <w:r w:rsidR="00130494">
        <w:rPr>
          <w:rStyle w:val="FootnoteReference"/>
          <w:rFonts w:ascii="Arial" w:hAnsi="Arial" w:cs="Arial"/>
        </w:rPr>
        <w:footnoteReference w:id="1"/>
      </w:r>
      <w:r w:rsidR="007968BC">
        <w:rPr>
          <w:rFonts w:ascii="Arial" w:hAnsi="Arial" w:cs="Arial"/>
        </w:rPr>
        <w:t xml:space="preserve"> Residence</w:t>
      </w: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</w:t>
      </w:r>
      <w:r w:rsidRPr="000075F7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Au r</w:t>
      </w:r>
      <w:r w:rsidR="0020292A">
        <w:rPr>
          <w:rFonts w:cs="Arial"/>
          <w:szCs w:val="22"/>
          <w:lang w:val="en-GB"/>
        </w:rPr>
        <w:t>ere a t</w:t>
      </w:r>
      <w:r>
        <w:rPr>
          <w:rFonts w:cs="Arial"/>
          <w:szCs w:val="22"/>
          <w:lang w:val="en-GB"/>
        </w:rPr>
        <w:t>e</w:t>
      </w:r>
      <w:r w:rsidRPr="000075F7">
        <w:rPr>
          <w:rFonts w:cs="Arial"/>
          <w:szCs w:val="22"/>
          <w:lang w:val="en-GB"/>
        </w:rPr>
        <w:t xml:space="preserve"> T</w:t>
      </w:r>
      <w:r>
        <w:rPr>
          <w:rFonts w:cs="Arial"/>
          <w:szCs w:val="22"/>
          <w:lang w:val="en-GB"/>
        </w:rPr>
        <w:t xml:space="preserve">onga is a youth justice residence located in Palmerston North which provides safe and secure care for up to 30 young people aged </w:t>
      </w:r>
      <w:r w:rsidR="00376C76">
        <w:rPr>
          <w:rFonts w:cs="Arial"/>
          <w:szCs w:val="22"/>
          <w:lang w:val="en-GB"/>
        </w:rPr>
        <w:t>from 14–</w:t>
      </w:r>
      <w:r>
        <w:rPr>
          <w:rFonts w:cs="Arial"/>
          <w:szCs w:val="22"/>
          <w:lang w:val="en-GB"/>
        </w:rPr>
        <w:t>17 years</w:t>
      </w:r>
      <w:r w:rsidRPr="000075F7">
        <w:rPr>
          <w:rFonts w:cs="Arial"/>
          <w:szCs w:val="22"/>
          <w:lang w:val="en-GB"/>
        </w:rPr>
        <w:t xml:space="preserve">. </w:t>
      </w: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  <w:r w:rsidRPr="000075F7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Turitea unit enables</w:t>
      </w:r>
      <w:r w:rsidRPr="000075F7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up to </w:t>
      </w:r>
      <w:r w:rsidR="00733CFD">
        <w:rPr>
          <w:rFonts w:cs="Arial"/>
          <w:szCs w:val="22"/>
          <w:lang w:val="en-GB"/>
        </w:rPr>
        <w:t>six</w:t>
      </w:r>
      <w:r w:rsidR="00733CFD" w:rsidRPr="000075F7">
        <w:rPr>
          <w:rFonts w:cs="Arial"/>
          <w:szCs w:val="22"/>
          <w:lang w:val="en-GB"/>
        </w:rPr>
        <w:t xml:space="preserve"> </w:t>
      </w:r>
      <w:r w:rsidRPr="000075F7">
        <w:rPr>
          <w:rFonts w:cs="Arial"/>
          <w:szCs w:val="22"/>
          <w:lang w:val="en-GB"/>
        </w:rPr>
        <w:t xml:space="preserve">young people </w:t>
      </w:r>
      <w:r>
        <w:rPr>
          <w:rFonts w:cs="Arial"/>
          <w:szCs w:val="22"/>
          <w:lang w:val="en-GB"/>
        </w:rPr>
        <w:t>at any one time to further develop their independent living skills.</w:t>
      </w:r>
    </w:p>
    <w:p w:rsidR="00B85EB3" w:rsidRPr="000075F7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</w:p>
    <w:p w:rsidR="00B85EB3" w:rsidRDefault="00B85EB3" w:rsidP="00B85EB3">
      <w:pPr>
        <w:spacing w:before="0" w:after="0"/>
        <w:jc w:val="both"/>
        <w:rPr>
          <w:rFonts w:ascii="Arial Mäori" w:hAnsi="Arial Mäori"/>
          <w:szCs w:val="22"/>
          <w:lang w:val="en" w:eastAsia="en-NZ"/>
        </w:rPr>
      </w:pPr>
      <w:r>
        <w:rPr>
          <w:rFonts w:ascii="Arial Mäori" w:hAnsi="Arial Mäori"/>
          <w:szCs w:val="22"/>
          <w:lang w:val="en" w:eastAsia="en-NZ"/>
        </w:rPr>
        <w:t>Staff at the residence aim to provide young people with the best possible opportunitie</w:t>
      </w:r>
      <w:r w:rsidR="00376C76">
        <w:rPr>
          <w:rFonts w:ascii="Arial Mäori" w:hAnsi="Arial Mäori"/>
          <w:szCs w:val="22"/>
          <w:lang w:val="en" w:eastAsia="en-NZ"/>
        </w:rPr>
        <w:t>s to turn their lives around. T</w:t>
      </w:r>
      <w:r>
        <w:rPr>
          <w:rFonts w:ascii="Arial Mäori" w:hAnsi="Arial Mäori"/>
          <w:szCs w:val="22"/>
          <w:lang w:val="en" w:eastAsia="en-NZ"/>
        </w:rPr>
        <w:t xml:space="preserve">o help achieve this, </w:t>
      </w:r>
      <w:r w:rsidR="0042749A">
        <w:rPr>
          <w:rFonts w:ascii="Arial Mäori" w:hAnsi="Arial Mäori"/>
          <w:szCs w:val="22"/>
          <w:lang w:val="en" w:eastAsia="en-NZ"/>
        </w:rPr>
        <w:t xml:space="preserve">Child, Youth and Family </w:t>
      </w:r>
      <w:r>
        <w:rPr>
          <w:rFonts w:ascii="Arial Mäori" w:hAnsi="Arial Mäori"/>
          <w:szCs w:val="22"/>
          <w:lang w:val="en" w:eastAsia="en-NZ"/>
        </w:rPr>
        <w:t>provide</w:t>
      </w:r>
      <w:r w:rsidR="0042749A">
        <w:rPr>
          <w:rFonts w:ascii="Arial Mäori" w:hAnsi="Arial Mäori"/>
          <w:szCs w:val="22"/>
          <w:lang w:val="en" w:eastAsia="en-NZ"/>
        </w:rPr>
        <w:t>s</w:t>
      </w:r>
      <w:r>
        <w:rPr>
          <w:rFonts w:ascii="Arial Mäori" w:hAnsi="Arial Mäori"/>
          <w:szCs w:val="22"/>
          <w:lang w:val="en" w:eastAsia="en-NZ"/>
        </w:rPr>
        <w:t>: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a safe, structured environment which maximises learning opportunities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evidence</w:t>
      </w:r>
      <w:r w:rsidR="00733CFD">
        <w:rPr>
          <w:rFonts w:cs="Arial"/>
          <w:lang w:val="en-GB"/>
        </w:rPr>
        <w:t>-</w:t>
      </w:r>
      <w:r w:rsidRPr="00C251F3">
        <w:rPr>
          <w:rFonts w:cs="Arial"/>
          <w:lang w:val="en-GB"/>
        </w:rPr>
        <w:t>based programmes to stabilise and address behaviour including programmes focused on reducing re-offending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interventions that engage children and young people in a supportive</w:t>
      </w:r>
      <w:r w:rsidR="0020292A">
        <w:rPr>
          <w:rFonts w:cs="Arial"/>
          <w:lang w:val="en-GB"/>
        </w:rPr>
        <w:t>,</w:t>
      </w:r>
      <w:r w:rsidRPr="00C251F3">
        <w:rPr>
          <w:rFonts w:cs="Arial"/>
          <w:lang w:val="en-GB"/>
        </w:rPr>
        <w:t xml:space="preserve"> constructive process of change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 xml:space="preserve">a comprehensive plan to transition children and young people successfully back </w:t>
      </w:r>
      <w:r w:rsidR="00733CFD">
        <w:rPr>
          <w:rFonts w:cs="Arial"/>
          <w:lang w:val="en-GB"/>
        </w:rPr>
        <w:t>in</w:t>
      </w:r>
      <w:r w:rsidRPr="00C251F3">
        <w:rPr>
          <w:rFonts w:cs="Arial"/>
          <w:lang w:val="en-GB"/>
        </w:rPr>
        <w:t>to education, training or employment opportunities and to permanent and stable care.</w:t>
      </w:r>
    </w:p>
    <w:p w:rsidR="00B85EB3" w:rsidRPr="000075F7" w:rsidRDefault="00B85EB3" w:rsidP="00B85EB3">
      <w:pPr>
        <w:spacing w:after="0"/>
        <w:jc w:val="both"/>
        <w:rPr>
          <w:szCs w:val="20"/>
          <w:lang w:val="en-NZ"/>
        </w:rPr>
      </w:pPr>
      <w:r>
        <w:rPr>
          <w:rFonts w:cs="Arial"/>
          <w:szCs w:val="22"/>
          <w:lang w:val="en-GB"/>
        </w:rPr>
        <w:t xml:space="preserve">Over </w:t>
      </w:r>
      <w:r w:rsidR="00362EF1">
        <w:rPr>
          <w:rFonts w:cs="Arial"/>
          <w:szCs w:val="22"/>
          <w:lang w:val="en-GB"/>
        </w:rPr>
        <w:t xml:space="preserve">90 </w:t>
      </w:r>
      <w:r w:rsidR="0020292A">
        <w:rPr>
          <w:rFonts w:cs="Arial"/>
          <w:szCs w:val="22"/>
          <w:lang w:val="en-GB"/>
        </w:rPr>
        <w:t>full-</w:t>
      </w:r>
      <w:r>
        <w:rPr>
          <w:rFonts w:cs="Arial"/>
          <w:szCs w:val="22"/>
          <w:lang w:val="en-GB"/>
        </w:rPr>
        <w:t>time perman</w:t>
      </w:r>
      <w:r w:rsidR="0020292A">
        <w:rPr>
          <w:rFonts w:cs="Arial"/>
          <w:szCs w:val="22"/>
          <w:lang w:val="en-GB"/>
        </w:rPr>
        <w:t>ent staff work at Te Au rere a t</w:t>
      </w:r>
      <w:r>
        <w:rPr>
          <w:rFonts w:cs="Arial"/>
          <w:szCs w:val="22"/>
          <w:lang w:val="en-GB"/>
        </w:rPr>
        <w:t xml:space="preserve">e Tonga and the residence is one of </w:t>
      </w:r>
      <w:r w:rsidRPr="000075F7">
        <w:rPr>
          <w:szCs w:val="20"/>
          <w:lang w:val="en-NZ"/>
        </w:rPr>
        <w:t xml:space="preserve">four </w:t>
      </w:r>
      <w:r>
        <w:rPr>
          <w:szCs w:val="20"/>
          <w:lang w:val="en-NZ"/>
        </w:rPr>
        <w:t>youth j</w:t>
      </w:r>
      <w:r w:rsidRPr="000075F7">
        <w:rPr>
          <w:szCs w:val="20"/>
          <w:lang w:val="en-NZ"/>
        </w:rPr>
        <w:t xml:space="preserve">ustice </w:t>
      </w:r>
      <w:r>
        <w:rPr>
          <w:szCs w:val="20"/>
          <w:lang w:val="en-NZ"/>
        </w:rPr>
        <w:t>r</w:t>
      </w:r>
      <w:r w:rsidRPr="000075F7">
        <w:rPr>
          <w:szCs w:val="20"/>
          <w:lang w:val="en-NZ"/>
        </w:rPr>
        <w:t>esidence</w:t>
      </w:r>
      <w:r>
        <w:rPr>
          <w:szCs w:val="20"/>
          <w:lang w:val="en-NZ"/>
        </w:rPr>
        <w:t>s</w:t>
      </w:r>
      <w:r w:rsidR="00376C76">
        <w:rPr>
          <w:szCs w:val="20"/>
          <w:lang w:val="en-NZ"/>
        </w:rPr>
        <w:t xml:space="preserve"> operating in New Zealand. </w:t>
      </w:r>
      <w:r w:rsidRPr="000075F7">
        <w:rPr>
          <w:szCs w:val="20"/>
          <w:lang w:val="en-NZ"/>
        </w:rPr>
        <w:t>The other three are Korowai Manaaki in Auckland</w:t>
      </w:r>
      <w:r>
        <w:rPr>
          <w:szCs w:val="20"/>
          <w:lang w:val="en-NZ"/>
        </w:rPr>
        <w:t>, Te Maioha o Parekarangi</w:t>
      </w:r>
      <w:r w:rsidR="0020292A">
        <w:rPr>
          <w:szCs w:val="20"/>
          <w:lang w:val="en-NZ"/>
        </w:rPr>
        <w:t xml:space="preserve"> in Rotorua and Te</w:t>
      </w:r>
      <w:r w:rsidRPr="000075F7">
        <w:rPr>
          <w:szCs w:val="20"/>
          <w:lang w:val="en-NZ"/>
        </w:rPr>
        <w:t xml:space="preserve"> Puna Wai </w:t>
      </w:r>
      <w:r w:rsidR="0020292A">
        <w:rPr>
          <w:lang w:val="en"/>
        </w:rPr>
        <w:t>ō</w:t>
      </w:r>
      <w:r w:rsidRPr="000075F7">
        <w:rPr>
          <w:szCs w:val="20"/>
          <w:lang w:val="en-NZ"/>
        </w:rPr>
        <w:t xml:space="preserve"> Tuhinapo in Christchurch.</w:t>
      </w:r>
    </w:p>
    <w:p w:rsidR="00B85EB3" w:rsidRPr="00123EDA" w:rsidRDefault="00B85EB3" w:rsidP="00B85EB3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B85EB3" w:rsidRDefault="00B85EB3" w:rsidP="00B85EB3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2B6B8B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B85EB3" w:rsidRPr="00894BD4" w:rsidRDefault="00B85EB3" w:rsidP="00B85EB3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 w:rsidR="0020292A">
        <w:rPr>
          <w:rFonts w:ascii="Arial Mäori" w:hAnsi="Arial Mäori" w:cs="WunderlichMaori"/>
          <w:lang w:eastAsia="en-NZ"/>
        </w:rPr>
        <w:t xml:space="preserve">. </w:t>
      </w:r>
      <w:r>
        <w:rPr>
          <w:rFonts w:ascii="Arial Mäori" w:hAnsi="Arial Mäori" w:cs="WunderlichMaori"/>
          <w:lang w:eastAsia="en-NZ"/>
        </w:rPr>
        <w:t xml:space="preserve">Youth justice residences </w:t>
      </w:r>
      <w:r w:rsidRPr="00032523">
        <w:rPr>
          <w:rFonts w:cs="Arial"/>
          <w:lang w:val="en-GB"/>
        </w:rPr>
        <w:t xml:space="preserve">provide services for children and young people whose offending behaviour is </w:t>
      </w:r>
      <w:r w:rsidRPr="00B552DD">
        <w:rPr>
          <w:rFonts w:cs="Arial"/>
          <w:lang w:val="en-GB"/>
        </w:rPr>
        <w:t>such that they pose a</w:t>
      </w:r>
      <w:r>
        <w:rPr>
          <w:rFonts w:cs="Arial"/>
          <w:lang w:val="en-GB"/>
        </w:rPr>
        <w:t xml:space="preserve"> significant </w:t>
      </w:r>
      <w:r w:rsidRPr="00B552DD">
        <w:rPr>
          <w:rFonts w:cs="Arial"/>
          <w:lang w:val="en-GB"/>
        </w:rPr>
        <w:t>risk to themselves or others</w:t>
      </w:r>
      <w:r>
        <w:rPr>
          <w:rFonts w:cs="Arial"/>
          <w:lang w:val="en-GB"/>
        </w:rPr>
        <w:t>.</w:t>
      </w:r>
    </w:p>
    <w:p w:rsidR="00B85EB3" w:rsidRPr="00123EDA" w:rsidRDefault="00D92D4F" w:rsidP="00C251F3">
      <w:pPr>
        <w:pStyle w:val="Heading3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B85EB3" w:rsidRPr="00123EDA">
        <w:rPr>
          <w:rFonts w:cs="Arial"/>
          <w:sz w:val="24"/>
          <w:szCs w:val="24"/>
        </w:rPr>
        <w:t>Inspection Reports</w:t>
      </w:r>
    </w:p>
    <w:p w:rsidR="00B85EB3" w:rsidRDefault="00B85EB3" w:rsidP="00B85EB3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>Each residence is assesse</w:t>
      </w:r>
      <w:r>
        <w:rPr>
          <w:rFonts w:cs="Arial"/>
        </w:rPr>
        <w:t xml:space="preserve">d every calendar year </w:t>
      </w:r>
      <w:r w:rsidR="00D92D4F">
        <w:rPr>
          <w:rFonts w:cs="Arial"/>
        </w:rPr>
        <w:t xml:space="preserve">by the Office of the Chief Social Worker </w:t>
      </w:r>
      <w:r>
        <w:rPr>
          <w:rFonts w:cs="Arial"/>
        </w:rPr>
        <w:t>to ensure</w:t>
      </w:r>
      <w:r w:rsidRPr="00123EDA">
        <w:rPr>
          <w:rFonts w:cs="Arial"/>
        </w:rPr>
        <w:t xml:space="preserve">: </w:t>
      </w:r>
    </w:p>
    <w:p w:rsidR="00B85EB3" w:rsidRPr="00D651C8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D651C8">
        <w:rPr>
          <w:rFonts w:cs="Arial"/>
          <w:lang w:val="en-GB"/>
        </w:rPr>
        <w:t>compliance with the regulations as specified in the Children, Young Persons, and Their Families (Residential Care) Regulations 1996 (the Regulations)</w:t>
      </w:r>
    </w:p>
    <w:p w:rsidR="00B85EB3" w:rsidRPr="00123EDA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6519F8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B85EB3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DC5B56" w:rsidRPr="006916D6" w:rsidRDefault="00DC5B56" w:rsidP="00C251F3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D92D4F" w:rsidRPr="00123EDA" w:rsidRDefault="00D92D4F" w:rsidP="00D92D4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</w:t>
      </w:r>
      <w:r w:rsidR="004606F5">
        <w:rPr>
          <w:rFonts w:ascii="Arial" w:hAnsi="Arial" w:cs="Arial"/>
        </w:rPr>
        <w:t>pection summary as at March 2014</w:t>
      </w:r>
    </w:p>
    <w:p w:rsidR="00B85EB3" w:rsidRPr="00123EDA" w:rsidRDefault="00B85EB3" w:rsidP="00B85EB3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B85EB3" w:rsidRPr="00123EDA" w:rsidRDefault="00B85EB3" w:rsidP="00B85EB3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2B6B8B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0A055B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20292A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B85EB3" w:rsidRDefault="00B85EB3" w:rsidP="00B85EB3">
      <w:pPr>
        <w:jc w:val="both"/>
      </w:pPr>
      <w:r>
        <w:t xml:space="preserve">Each inspection covers the six parts of the regulations, namely: 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7968BC" w:rsidRPr="007968BC" w:rsidRDefault="00B85EB3" w:rsidP="007968BC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t>Part 6: Records</w:t>
      </w:r>
      <w:r w:rsidR="00733CFD">
        <w:t>.</w:t>
      </w:r>
    </w:p>
    <w:p w:rsidR="007968BC" w:rsidRPr="007968BC" w:rsidRDefault="004606F5" w:rsidP="00C251F3">
      <w:pPr>
        <w:jc w:val="both"/>
      </w:pPr>
      <w:r>
        <w:t>In 2014</w:t>
      </w:r>
      <w:r w:rsidR="007968BC">
        <w:t xml:space="preserve"> </w:t>
      </w:r>
      <w:r w:rsidR="0020292A">
        <w:t>Te Au rere a t</w:t>
      </w:r>
      <w:r>
        <w:t>e Tonga achieved</w:t>
      </w:r>
      <w:r w:rsidR="007968BC">
        <w:t xml:space="preserve"> </w:t>
      </w:r>
      <w:r>
        <w:t>99.6</w:t>
      </w:r>
      <w:r w:rsidR="0020292A">
        <w:t xml:space="preserve"> per</w:t>
      </w:r>
      <w:r w:rsidR="00733CFD">
        <w:t>cent</w:t>
      </w:r>
      <w:r w:rsidR="007968BC" w:rsidRPr="00B6687A">
        <w:t xml:space="preserve"> rate</w:t>
      </w:r>
      <w:r w:rsidR="007968BC">
        <w:t xml:space="preserve"> of</w:t>
      </w:r>
      <w:r w:rsidR="007968BC" w:rsidRPr="00B6687A">
        <w:t xml:space="preserve"> compliance </w:t>
      </w:r>
      <w:r w:rsidR="007968BC">
        <w:t xml:space="preserve">across the six parts of the </w:t>
      </w:r>
      <w:r w:rsidR="007968BC" w:rsidRPr="00B6687A">
        <w:t>regulations</w:t>
      </w:r>
      <w:r w:rsidR="007968BC">
        <w:t xml:space="preserve">, for those provisions </w:t>
      </w:r>
      <w:r w:rsidR="007968BC" w:rsidRPr="00B6687A">
        <w:t>tested on th</w:t>
      </w:r>
      <w:r w:rsidR="002B6B8B">
        <w:t>e</w:t>
      </w:r>
      <w:r w:rsidR="007968BC" w:rsidRPr="00B6687A">
        <w:t xml:space="preserve"> inspection.</w:t>
      </w:r>
      <w:r w:rsidR="001938C2">
        <w:t xml:space="preserve"> </w:t>
      </w:r>
    </w:p>
    <w:p w:rsidR="00DE5DBD" w:rsidRDefault="00DE5DBD" w:rsidP="00DE5DB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</w:t>
      </w:r>
      <w:r w:rsidRPr="00123EDA">
        <w:rPr>
          <w:rFonts w:cs="Arial"/>
          <w:sz w:val="24"/>
          <w:szCs w:val="24"/>
        </w:rPr>
        <w:t xml:space="preserve"> </w:t>
      </w:r>
    </w:p>
    <w:p w:rsidR="00B85EB3" w:rsidRDefault="00B85EB3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6519F8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733CFD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B85EB3" w:rsidRDefault="00B85EB3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B85EB3" w:rsidRDefault="002B6B8B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B85EB3" w:rsidRPr="004879B7">
        <w:rPr>
          <w:rFonts w:cs="Arial"/>
        </w:rPr>
        <w:t xml:space="preserve"> identified areas of strength as well as areas for improvement for </w:t>
      </w:r>
      <w:r w:rsidR="0020292A">
        <w:rPr>
          <w:rFonts w:cs="Arial"/>
        </w:rPr>
        <w:t>Te Au rere a t</w:t>
      </w:r>
      <w:r w:rsidR="00B85EB3">
        <w:rPr>
          <w:rFonts w:cs="Arial"/>
        </w:rPr>
        <w:t>e Tonga</w:t>
      </w:r>
      <w:r w:rsidR="00B85EB3" w:rsidRPr="004879B7">
        <w:rPr>
          <w:rFonts w:cs="Arial"/>
        </w:rPr>
        <w:t>.</w:t>
      </w:r>
    </w:p>
    <w:p w:rsidR="00FC600D" w:rsidRPr="00123EDA" w:rsidRDefault="00E63F40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C600D" w:rsidRPr="00123EDA">
        <w:rPr>
          <w:rFonts w:cs="Arial"/>
          <w:sz w:val="24"/>
          <w:szCs w:val="24"/>
        </w:rPr>
        <w:t>Areas of strength</w:t>
      </w:r>
    </w:p>
    <w:p w:rsidR="004606F5" w:rsidRDefault="004606F5" w:rsidP="004606F5">
      <w:pPr>
        <w:pStyle w:val="BodyTextIndent"/>
        <w:ind w:left="0"/>
        <w:rPr>
          <w:rFonts w:cs="Arial"/>
        </w:rPr>
      </w:pPr>
      <w:r w:rsidRPr="008C6E4E">
        <w:rPr>
          <w:rFonts w:cs="Arial"/>
        </w:rPr>
        <w:t xml:space="preserve">Areas where we found evidence of good practices and processes that are promoting the well-being and safety of </w:t>
      </w:r>
      <w:r>
        <w:rPr>
          <w:rFonts w:cs="Arial"/>
        </w:rPr>
        <w:t xml:space="preserve">young people </w:t>
      </w:r>
      <w:r w:rsidRPr="008C6E4E">
        <w:rPr>
          <w:rFonts w:cs="Arial"/>
        </w:rPr>
        <w:t>were:</w:t>
      </w:r>
    </w:p>
    <w:p w:rsidR="004606F5" w:rsidRDefault="004606F5" w:rsidP="004606F5">
      <w:pPr>
        <w:pStyle w:val="BodyTextIndent"/>
        <w:ind w:left="0"/>
      </w:pP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A senior management team that provides leadership and clear direction to staff;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Involvement of families and whanau in care planning and delivery;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Vocational opportunities for young people including working on projects with the Department of Conservation;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The contribution of education services in the case management of young people;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The management of young people in secure care that ensures they spend the least amount of time possible in the unit;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An effective compliance monitoring programme and a commitment by senior management to the development of staff skills in this area;</w:t>
      </w:r>
    </w:p>
    <w:p w:rsidR="004606F5" w:rsidRDefault="004606F5" w:rsidP="004606F5">
      <w:pPr>
        <w:pStyle w:val="BodyTextIndent"/>
        <w:numPr>
          <w:ilvl w:val="0"/>
          <w:numId w:val="32"/>
        </w:numPr>
        <w:spacing w:line="360" w:lineRule="auto"/>
        <w:ind w:left="714" w:hanging="357"/>
      </w:pPr>
      <w:r>
        <w:t>A behaviour management system that is effective in encouraging young people to behave in a positive manner.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4606F5" w:rsidRDefault="006739E2" w:rsidP="006739E2">
      <w:pPr>
        <w:pStyle w:val="BodyTextIndent"/>
        <w:ind w:left="0"/>
        <w:rPr>
          <w:rFonts w:cs="Arial"/>
        </w:rPr>
      </w:pPr>
      <w:r>
        <w:rPr>
          <w:rFonts w:cs="Arial"/>
        </w:rPr>
        <w:t>The a</w:t>
      </w:r>
      <w:r w:rsidRPr="00123EDA">
        <w:rPr>
          <w:rFonts w:cs="Arial"/>
        </w:rPr>
        <w:t xml:space="preserve">rea where improvement </w:t>
      </w:r>
      <w:r>
        <w:rPr>
          <w:rFonts w:cs="Arial"/>
        </w:rPr>
        <w:t>was</w:t>
      </w:r>
      <w:r w:rsidRPr="00123EDA">
        <w:rPr>
          <w:rFonts w:cs="Arial"/>
        </w:rPr>
        <w:t xml:space="preserve"> required include</w:t>
      </w:r>
      <w:r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6739E2" w:rsidRDefault="006739E2" w:rsidP="006739E2">
      <w:pPr>
        <w:pStyle w:val="BodyTextIndent"/>
        <w:ind w:left="0"/>
      </w:pPr>
    </w:p>
    <w:p w:rsidR="004606F5" w:rsidRDefault="006739E2" w:rsidP="004606F5">
      <w:pPr>
        <w:pStyle w:val="BodyTextIndent"/>
        <w:numPr>
          <w:ilvl w:val="0"/>
          <w:numId w:val="34"/>
        </w:numPr>
        <w:spacing w:line="360" w:lineRule="auto"/>
        <w:rPr>
          <w:rFonts w:cs="Arial"/>
        </w:rPr>
      </w:pPr>
      <w:r>
        <w:rPr>
          <w:rFonts w:cs="Arial"/>
        </w:rPr>
        <w:t>Differing views on information sharing between h</w:t>
      </w:r>
      <w:r w:rsidR="004606F5">
        <w:rPr>
          <w:rFonts w:cs="Arial"/>
        </w:rPr>
        <w:t xml:space="preserve">ealth service staff </w:t>
      </w:r>
      <w:r>
        <w:rPr>
          <w:rFonts w:cs="Arial"/>
        </w:rPr>
        <w:t>and residential staff have</w:t>
      </w:r>
      <w:r w:rsidR="004606F5">
        <w:rPr>
          <w:rFonts w:cs="Arial"/>
        </w:rPr>
        <w:t xml:space="preserve"> </w:t>
      </w:r>
      <w:r>
        <w:rPr>
          <w:rFonts w:cs="Arial"/>
        </w:rPr>
        <w:t>impacted</w:t>
      </w:r>
      <w:r w:rsidR="004606F5">
        <w:rPr>
          <w:rFonts w:cs="Arial"/>
        </w:rPr>
        <w:t xml:space="preserve"> on the effectiveness of </w:t>
      </w:r>
      <w:r>
        <w:rPr>
          <w:rFonts w:cs="Arial"/>
        </w:rPr>
        <w:t xml:space="preserve">the </w:t>
      </w:r>
      <w:r w:rsidR="004606F5">
        <w:rPr>
          <w:rFonts w:cs="Arial"/>
        </w:rPr>
        <w:t xml:space="preserve">multi-agency approach to case management and </w:t>
      </w:r>
      <w:r>
        <w:rPr>
          <w:rFonts w:cs="Arial"/>
        </w:rPr>
        <w:t xml:space="preserve">the </w:t>
      </w:r>
      <w:r w:rsidR="004606F5">
        <w:rPr>
          <w:rFonts w:cs="Arial"/>
        </w:rPr>
        <w:t xml:space="preserve">operational care of young </w:t>
      </w:r>
      <w:r>
        <w:rPr>
          <w:rFonts w:cs="Arial"/>
        </w:rPr>
        <w:t>people.</w:t>
      </w:r>
      <w:r w:rsidR="004606F5">
        <w:rPr>
          <w:rFonts w:cs="Arial"/>
        </w:rPr>
        <w:t xml:space="preserve"> </w:t>
      </w:r>
    </w:p>
    <w:p w:rsidR="00FC600D" w:rsidRPr="00123EDA" w:rsidRDefault="0042749A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FC600D" w:rsidRPr="00123EDA">
        <w:rPr>
          <w:rFonts w:cs="Arial"/>
          <w:sz w:val="24"/>
          <w:szCs w:val="24"/>
        </w:rPr>
        <w:t>response</w:t>
      </w:r>
    </w:p>
    <w:p w:rsidR="004606F5" w:rsidRPr="004606F5" w:rsidRDefault="004606F5" w:rsidP="004606F5">
      <w:pPr>
        <w:spacing w:before="0" w:after="0"/>
        <w:rPr>
          <w:rFonts w:cs="Arial"/>
          <w:sz w:val="23"/>
          <w:szCs w:val="23"/>
          <w:lang w:val="en-NZ"/>
        </w:rPr>
      </w:pPr>
      <w:r>
        <w:rPr>
          <w:rFonts w:cs="Arial"/>
          <w:sz w:val="23"/>
          <w:szCs w:val="23"/>
          <w:lang w:val="en-NZ"/>
        </w:rPr>
        <w:t>Since the inspection, t</w:t>
      </w:r>
      <w:r w:rsidRPr="004606F5">
        <w:rPr>
          <w:rFonts w:cs="Arial"/>
          <w:sz w:val="23"/>
          <w:szCs w:val="23"/>
          <w:lang w:val="en-NZ"/>
        </w:rPr>
        <w:t xml:space="preserve">he </w:t>
      </w:r>
      <w:r>
        <w:rPr>
          <w:rFonts w:cs="Arial"/>
          <w:sz w:val="23"/>
          <w:szCs w:val="23"/>
          <w:lang w:val="en-NZ"/>
        </w:rPr>
        <w:t xml:space="preserve">Mid Central Health </w:t>
      </w:r>
      <w:r w:rsidRPr="004606F5">
        <w:rPr>
          <w:rFonts w:cs="Arial"/>
          <w:sz w:val="23"/>
          <w:szCs w:val="23"/>
          <w:lang w:val="en-NZ"/>
        </w:rPr>
        <w:t xml:space="preserve">PHO </w:t>
      </w:r>
      <w:r>
        <w:rPr>
          <w:rFonts w:cs="Arial"/>
          <w:sz w:val="23"/>
          <w:szCs w:val="23"/>
          <w:lang w:val="en-NZ"/>
        </w:rPr>
        <w:t>has</w:t>
      </w:r>
      <w:r w:rsidRPr="004606F5">
        <w:rPr>
          <w:rFonts w:cs="Arial"/>
          <w:sz w:val="23"/>
          <w:szCs w:val="23"/>
          <w:lang w:val="en-NZ"/>
        </w:rPr>
        <w:t xml:space="preserve"> </w:t>
      </w:r>
      <w:r w:rsidR="006739E2">
        <w:rPr>
          <w:rFonts w:cs="Arial"/>
          <w:sz w:val="23"/>
          <w:szCs w:val="23"/>
          <w:lang w:val="en-NZ"/>
        </w:rPr>
        <w:t xml:space="preserve">arranged for a different provider to provide </w:t>
      </w:r>
      <w:r>
        <w:rPr>
          <w:rFonts w:cs="Arial"/>
          <w:sz w:val="23"/>
          <w:szCs w:val="23"/>
          <w:lang w:val="en-NZ"/>
        </w:rPr>
        <w:t>health services at the residence</w:t>
      </w:r>
      <w:r w:rsidR="006739E2">
        <w:rPr>
          <w:rFonts w:cs="Arial"/>
          <w:sz w:val="23"/>
          <w:szCs w:val="23"/>
          <w:lang w:val="en-NZ"/>
        </w:rPr>
        <w:t>.</w:t>
      </w:r>
      <w:r w:rsidRPr="004606F5">
        <w:rPr>
          <w:rFonts w:cs="Arial"/>
          <w:sz w:val="23"/>
          <w:szCs w:val="23"/>
          <w:lang w:val="en-NZ"/>
        </w:rPr>
        <w:t xml:space="preserve">  </w:t>
      </w:r>
    </w:p>
    <w:p w:rsidR="004606F5" w:rsidRPr="004606F5" w:rsidRDefault="004606F5" w:rsidP="004606F5">
      <w:pPr>
        <w:spacing w:before="0" w:after="0"/>
        <w:rPr>
          <w:rFonts w:cs="Arial"/>
          <w:sz w:val="23"/>
          <w:szCs w:val="23"/>
          <w:lang w:val="en-NZ"/>
        </w:rPr>
      </w:pPr>
    </w:p>
    <w:p w:rsidR="0093652C" w:rsidRDefault="004606F5" w:rsidP="004606F5">
      <w:pPr>
        <w:spacing w:before="0" w:after="0"/>
        <w:rPr>
          <w:rFonts w:cs="Arial"/>
          <w:sz w:val="23"/>
          <w:szCs w:val="23"/>
          <w:lang w:val="en-NZ"/>
        </w:rPr>
      </w:pPr>
      <w:r>
        <w:rPr>
          <w:rFonts w:cs="Arial"/>
          <w:sz w:val="23"/>
          <w:szCs w:val="23"/>
          <w:lang w:val="en-NZ"/>
        </w:rPr>
        <w:t xml:space="preserve">Since this has occurred, </w:t>
      </w:r>
      <w:r w:rsidRPr="004606F5">
        <w:rPr>
          <w:rFonts w:cs="Arial"/>
          <w:sz w:val="23"/>
          <w:szCs w:val="23"/>
          <w:lang w:val="en-NZ"/>
        </w:rPr>
        <w:t xml:space="preserve">significant </w:t>
      </w:r>
      <w:r w:rsidR="0093652C">
        <w:rPr>
          <w:rFonts w:cs="Arial"/>
          <w:sz w:val="23"/>
          <w:szCs w:val="23"/>
          <w:lang w:val="en-NZ"/>
        </w:rPr>
        <w:t>progress has</w:t>
      </w:r>
      <w:r>
        <w:rPr>
          <w:rFonts w:cs="Arial"/>
          <w:sz w:val="23"/>
          <w:szCs w:val="23"/>
          <w:lang w:val="en-NZ"/>
        </w:rPr>
        <w:t xml:space="preserve"> been made in re-</w:t>
      </w:r>
      <w:r w:rsidRPr="004606F5">
        <w:rPr>
          <w:rFonts w:cs="Arial"/>
          <w:sz w:val="23"/>
          <w:szCs w:val="23"/>
          <w:lang w:val="en-NZ"/>
        </w:rPr>
        <w:t xml:space="preserve">building relationships </w:t>
      </w:r>
      <w:r>
        <w:rPr>
          <w:rFonts w:cs="Arial"/>
          <w:sz w:val="23"/>
          <w:szCs w:val="23"/>
          <w:lang w:val="en-NZ"/>
        </w:rPr>
        <w:t>between health and residential services</w:t>
      </w:r>
      <w:r w:rsidR="0093652C">
        <w:rPr>
          <w:rFonts w:cs="Arial"/>
          <w:sz w:val="23"/>
          <w:szCs w:val="23"/>
          <w:lang w:val="en-NZ"/>
        </w:rPr>
        <w:t>.  C</w:t>
      </w:r>
      <w:r w:rsidRPr="004606F5">
        <w:rPr>
          <w:rFonts w:cs="Arial"/>
          <w:sz w:val="23"/>
          <w:szCs w:val="23"/>
          <w:lang w:val="en-NZ"/>
        </w:rPr>
        <w:t>lear expectations</w:t>
      </w:r>
      <w:r>
        <w:rPr>
          <w:rFonts w:cs="Arial"/>
          <w:sz w:val="23"/>
          <w:szCs w:val="23"/>
          <w:lang w:val="en-NZ"/>
        </w:rPr>
        <w:t xml:space="preserve"> </w:t>
      </w:r>
      <w:r w:rsidR="0093652C">
        <w:rPr>
          <w:rFonts w:cs="Arial"/>
          <w:sz w:val="23"/>
          <w:szCs w:val="23"/>
          <w:lang w:val="en-NZ"/>
        </w:rPr>
        <w:t>and understanding now exists between both residence and health staff regarding the sharing of information, and the expectation that both services will contribute to the multi-agency approach to case management and care of young people.</w:t>
      </w:r>
    </w:p>
    <w:p w:rsidR="0093652C" w:rsidRDefault="004606F5" w:rsidP="004606F5">
      <w:pPr>
        <w:spacing w:before="0" w:after="0"/>
        <w:rPr>
          <w:rFonts w:cs="Arial"/>
          <w:sz w:val="23"/>
          <w:szCs w:val="23"/>
          <w:lang w:val="en-NZ"/>
        </w:rPr>
      </w:pPr>
      <w:r w:rsidRPr="004606F5">
        <w:rPr>
          <w:rFonts w:cs="Arial"/>
          <w:sz w:val="23"/>
          <w:szCs w:val="23"/>
          <w:lang w:val="en-NZ"/>
        </w:rPr>
        <w:t xml:space="preserve">  </w:t>
      </w:r>
    </w:p>
    <w:p w:rsidR="00F114D8" w:rsidRPr="00FC600D" w:rsidRDefault="00F114D8" w:rsidP="004606F5">
      <w:pPr>
        <w:pStyle w:val="BodyTextIndent"/>
        <w:ind w:left="0"/>
      </w:pPr>
    </w:p>
    <w:sectPr w:rsidR="00F114D8" w:rsidRPr="00FC600D" w:rsidSect="00C251F3">
      <w:footerReference w:type="default" r:id="rId9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E2" w:rsidRDefault="007C49E2">
      <w:r>
        <w:separator/>
      </w:r>
    </w:p>
  </w:endnote>
  <w:endnote w:type="continuationSeparator" w:id="0">
    <w:p w:rsidR="007C49E2" w:rsidRDefault="007C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F114D8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8752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E2" w:rsidRDefault="007C49E2">
      <w:r>
        <w:separator/>
      </w:r>
    </w:p>
  </w:footnote>
  <w:footnote w:type="continuationSeparator" w:id="0">
    <w:p w:rsidR="007C49E2" w:rsidRDefault="007C49E2">
      <w:r>
        <w:continuationSeparator/>
      </w:r>
    </w:p>
  </w:footnote>
  <w:footnote w:id="1">
    <w:p w:rsidR="00D92D4F" w:rsidRDefault="00D92D4F" w:rsidP="00D92D4F">
      <w:pPr>
        <w:pStyle w:val="BodyTextIndent"/>
        <w:ind w:left="0"/>
        <w:jc w:val="both"/>
        <w:rPr>
          <w:sz w:val="16"/>
          <w:szCs w:val="16"/>
        </w:rPr>
      </w:pPr>
      <w:r w:rsidRPr="00B85EB3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Prior to November 2012 was k</w:t>
      </w:r>
      <w:r w:rsidRPr="00B85EB3">
        <w:rPr>
          <w:sz w:val="16"/>
          <w:szCs w:val="16"/>
        </w:rPr>
        <w:t>nown as</w:t>
      </w:r>
      <w:r>
        <w:rPr>
          <w:sz w:val="16"/>
          <w:szCs w:val="16"/>
        </w:rPr>
        <w:t xml:space="preserve"> Lower North Youth </w:t>
      </w:r>
    </w:p>
    <w:p w:rsidR="00D92D4F" w:rsidRDefault="00D92D4F" w:rsidP="00D92D4F">
      <w:pPr>
        <w:pStyle w:val="BodyTextIndent"/>
        <w:ind w:left="0"/>
        <w:jc w:val="both"/>
        <w:rPr>
          <w:rFonts w:cs="Arial"/>
        </w:rPr>
      </w:pPr>
      <w:r>
        <w:rPr>
          <w:sz w:val="16"/>
          <w:szCs w:val="16"/>
        </w:rPr>
        <w:t xml:space="preserve">  Justice Residence</w:t>
      </w:r>
    </w:p>
    <w:p w:rsidR="00130494" w:rsidRPr="0054251F" w:rsidRDefault="00130494" w:rsidP="0054251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D90ABC"/>
    <w:multiLevelType w:val="multilevel"/>
    <w:tmpl w:val="0409001D"/>
    <w:numStyleLink w:val="bulletlist"/>
  </w:abstractNum>
  <w:abstractNum w:abstractNumId="7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8">
    <w:nsid w:val="220430CC"/>
    <w:multiLevelType w:val="hybridMultilevel"/>
    <w:tmpl w:val="D348E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4">
    <w:nsid w:val="32F774C8"/>
    <w:multiLevelType w:val="hybridMultilevel"/>
    <w:tmpl w:val="E008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04F43"/>
    <w:multiLevelType w:val="hybridMultilevel"/>
    <w:tmpl w:val="1BE8D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C952CE4"/>
    <w:multiLevelType w:val="hybridMultilevel"/>
    <w:tmpl w:val="BD36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B67BA"/>
    <w:multiLevelType w:val="hybridMultilevel"/>
    <w:tmpl w:val="A0AC5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E2C63E4"/>
    <w:multiLevelType w:val="hybridMultilevel"/>
    <w:tmpl w:val="29F876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47CF1"/>
    <w:multiLevelType w:val="hybridMultilevel"/>
    <w:tmpl w:val="E236D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A15BC"/>
    <w:multiLevelType w:val="hybridMultilevel"/>
    <w:tmpl w:val="A8066F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7"/>
  </w:num>
  <w:num w:numId="5">
    <w:abstractNumId w:val="20"/>
  </w:num>
  <w:num w:numId="6">
    <w:abstractNumId w:val="10"/>
  </w:num>
  <w:num w:numId="7">
    <w:abstractNumId w:val="18"/>
  </w:num>
  <w:num w:numId="8">
    <w:abstractNumId w:val="24"/>
  </w:num>
  <w:num w:numId="9">
    <w:abstractNumId w:val="30"/>
  </w:num>
  <w:num w:numId="10">
    <w:abstractNumId w:val="11"/>
  </w:num>
  <w:num w:numId="11">
    <w:abstractNumId w:val="5"/>
  </w:num>
  <w:num w:numId="12">
    <w:abstractNumId w:val="15"/>
  </w:num>
  <w:num w:numId="13">
    <w:abstractNumId w:val="33"/>
  </w:num>
  <w:num w:numId="14">
    <w:abstractNumId w:val="0"/>
  </w:num>
  <w:num w:numId="15">
    <w:abstractNumId w:val="26"/>
  </w:num>
  <w:num w:numId="16">
    <w:abstractNumId w:val="1"/>
  </w:num>
  <w:num w:numId="17">
    <w:abstractNumId w:val="13"/>
  </w:num>
  <w:num w:numId="18">
    <w:abstractNumId w:val="4"/>
  </w:num>
  <w:num w:numId="19">
    <w:abstractNumId w:val="2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9"/>
  </w:num>
  <w:num w:numId="24">
    <w:abstractNumId w:val="23"/>
  </w:num>
  <w:num w:numId="25">
    <w:abstractNumId w:val="16"/>
  </w:num>
  <w:num w:numId="26">
    <w:abstractNumId w:val="32"/>
  </w:num>
  <w:num w:numId="27">
    <w:abstractNumId w:val="27"/>
  </w:num>
  <w:num w:numId="28">
    <w:abstractNumId w:val="31"/>
  </w:num>
  <w:num w:numId="29">
    <w:abstractNumId w:val="22"/>
  </w:num>
  <w:num w:numId="30">
    <w:abstractNumId w:val="8"/>
  </w:num>
  <w:num w:numId="31">
    <w:abstractNumId w:val="17"/>
  </w:num>
  <w:num w:numId="32">
    <w:abstractNumId w:val="21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165A3"/>
    <w:rsid w:val="00087FD4"/>
    <w:rsid w:val="000A055B"/>
    <w:rsid w:val="000A4181"/>
    <w:rsid w:val="00123EDA"/>
    <w:rsid w:val="00130494"/>
    <w:rsid w:val="00134325"/>
    <w:rsid w:val="001938C2"/>
    <w:rsid w:val="0020292A"/>
    <w:rsid w:val="002072F2"/>
    <w:rsid w:val="002564D4"/>
    <w:rsid w:val="002A1EAE"/>
    <w:rsid w:val="002B6B8B"/>
    <w:rsid w:val="00333F2F"/>
    <w:rsid w:val="00362EF1"/>
    <w:rsid w:val="00376C76"/>
    <w:rsid w:val="00384C1D"/>
    <w:rsid w:val="00411CF6"/>
    <w:rsid w:val="0042749A"/>
    <w:rsid w:val="004606F5"/>
    <w:rsid w:val="004B7B36"/>
    <w:rsid w:val="004F76B6"/>
    <w:rsid w:val="005102E0"/>
    <w:rsid w:val="0054251F"/>
    <w:rsid w:val="00563A3E"/>
    <w:rsid w:val="00582B91"/>
    <w:rsid w:val="005C4F42"/>
    <w:rsid w:val="005E1060"/>
    <w:rsid w:val="005F3071"/>
    <w:rsid w:val="006339BE"/>
    <w:rsid w:val="006519F8"/>
    <w:rsid w:val="006739E2"/>
    <w:rsid w:val="00686146"/>
    <w:rsid w:val="00733CFD"/>
    <w:rsid w:val="00786FD6"/>
    <w:rsid w:val="007968BC"/>
    <w:rsid w:val="007B2C2F"/>
    <w:rsid w:val="007C49E2"/>
    <w:rsid w:val="007C5500"/>
    <w:rsid w:val="00815EF8"/>
    <w:rsid w:val="00832020"/>
    <w:rsid w:val="00834BF2"/>
    <w:rsid w:val="008E1771"/>
    <w:rsid w:val="00913EF2"/>
    <w:rsid w:val="0093652C"/>
    <w:rsid w:val="00952561"/>
    <w:rsid w:val="00970295"/>
    <w:rsid w:val="00984EDA"/>
    <w:rsid w:val="00987E32"/>
    <w:rsid w:val="009A1216"/>
    <w:rsid w:val="00A03116"/>
    <w:rsid w:val="00A74509"/>
    <w:rsid w:val="00AB5215"/>
    <w:rsid w:val="00AC083B"/>
    <w:rsid w:val="00AD3956"/>
    <w:rsid w:val="00B13AE3"/>
    <w:rsid w:val="00B3497C"/>
    <w:rsid w:val="00B50282"/>
    <w:rsid w:val="00B8468D"/>
    <w:rsid w:val="00B85EB3"/>
    <w:rsid w:val="00C200B4"/>
    <w:rsid w:val="00C236C2"/>
    <w:rsid w:val="00C251F3"/>
    <w:rsid w:val="00C609BB"/>
    <w:rsid w:val="00CA3261"/>
    <w:rsid w:val="00CC0E6D"/>
    <w:rsid w:val="00CE7207"/>
    <w:rsid w:val="00D204E5"/>
    <w:rsid w:val="00D92D4F"/>
    <w:rsid w:val="00DA19B0"/>
    <w:rsid w:val="00DA5CA4"/>
    <w:rsid w:val="00DC5B56"/>
    <w:rsid w:val="00DE5DBD"/>
    <w:rsid w:val="00E2139E"/>
    <w:rsid w:val="00E44100"/>
    <w:rsid w:val="00E63F40"/>
    <w:rsid w:val="00E652B1"/>
    <w:rsid w:val="00E86078"/>
    <w:rsid w:val="00EC0477"/>
    <w:rsid w:val="00EC10CC"/>
    <w:rsid w:val="00EC59CB"/>
    <w:rsid w:val="00F0764D"/>
    <w:rsid w:val="00F114D8"/>
    <w:rsid w:val="00F16682"/>
    <w:rsid w:val="00F667F6"/>
    <w:rsid w:val="00F979A4"/>
    <w:rsid w:val="00FC600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130494"/>
    <w:rPr>
      <w:sz w:val="20"/>
      <w:szCs w:val="20"/>
    </w:rPr>
  </w:style>
  <w:style w:type="character" w:customStyle="1" w:styleId="EndnoteTextChar">
    <w:name w:val="Endnote Text Char"/>
    <w:link w:val="EndnoteText"/>
    <w:rsid w:val="00130494"/>
    <w:rPr>
      <w:rFonts w:ascii="Arial" w:hAnsi="Arial"/>
      <w:lang w:val="en-AU" w:eastAsia="en-US"/>
    </w:rPr>
  </w:style>
  <w:style w:type="character" w:styleId="EndnoteReference">
    <w:name w:val="endnote reference"/>
    <w:rsid w:val="00130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130494"/>
    <w:rPr>
      <w:sz w:val="20"/>
      <w:szCs w:val="20"/>
    </w:rPr>
  </w:style>
  <w:style w:type="character" w:customStyle="1" w:styleId="EndnoteTextChar">
    <w:name w:val="Endnote Text Char"/>
    <w:link w:val="EndnoteText"/>
    <w:rsid w:val="00130494"/>
    <w:rPr>
      <w:rFonts w:ascii="Arial" w:hAnsi="Arial"/>
      <w:lang w:val="en-AU" w:eastAsia="en-US"/>
    </w:rPr>
  </w:style>
  <w:style w:type="character" w:styleId="EndnoteReference">
    <w:name w:val="endnote reference"/>
    <w:rsid w:val="0013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FCF4-99C9-4AF2-BF60-4941E6C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5406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Andrew Beattie</cp:lastModifiedBy>
  <cp:revision>4</cp:revision>
  <cp:lastPrinted>2015-02-25T03:29:00Z</cp:lastPrinted>
  <dcterms:created xsi:type="dcterms:W3CDTF">2015-02-25T03:36:00Z</dcterms:created>
  <dcterms:modified xsi:type="dcterms:W3CDTF">2015-07-31T03:01:00Z</dcterms:modified>
</cp:coreProperties>
</file>