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5508D" w14:textId="61AF3D93" w:rsidR="00712A21" w:rsidRPr="00A60862" w:rsidRDefault="00712A21" w:rsidP="00A60862">
      <w:pPr>
        <w:pStyle w:val="Title"/>
        <w:jc w:val="both"/>
        <w:rPr>
          <w:rFonts w:ascii="Corbel" w:eastAsia="+mn-ea" w:hAnsi="Corbel"/>
          <w:lang w:eastAsia="en-NZ"/>
        </w:rPr>
      </w:pPr>
    </w:p>
    <w:p w14:paraId="4CC1C39B" w14:textId="103A0ABA" w:rsidR="00712A21" w:rsidRPr="00A60862" w:rsidRDefault="00712A21" w:rsidP="0024204C">
      <w:pPr>
        <w:pStyle w:val="Title"/>
        <w:jc w:val="center"/>
        <w:rPr>
          <w:rFonts w:ascii="Corbel" w:eastAsia="+mn-ea" w:hAnsi="Corbel"/>
          <w:lang w:eastAsia="en-NZ"/>
        </w:rPr>
      </w:pPr>
    </w:p>
    <w:p w14:paraId="5F95BD33" w14:textId="77777777" w:rsidR="007F74CE" w:rsidRPr="00A60862" w:rsidRDefault="007F74CE" w:rsidP="00A60862">
      <w:pPr>
        <w:jc w:val="both"/>
        <w:rPr>
          <w:rFonts w:ascii="Corbel" w:hAnsi="Corbel"/>
          <w:lang w:eastAsia="en-NZ"/>
        </w:rPr>
      </w:pPr>
    </w:p>
    <w:p w14:paraId="1B718F42" w14:textId="391CE7A7" w:rsidR="007F74CE" w:rsidRPr="00A60862" w:rsidRDefault="007F74CE" w:rsidP="0EF1A652">
      <w:pPr>
        <w:rPr>
          <w:rFonts w:ascii="Corbel" w:hAnsi="Corbel"/>
          <w:lang w:eastAsia="en-NZ"/>
        </w:rPr>
      </w:pPr>
    </w:p>
    <w:p w14:paraId="04C8BFD2" w14:textId="494C5E35" w:rsidR="00B75A7B" w:rsidRPr="001D6F3C" w:rsidRDefault="00C54167" w:rsidP="00A60862">
      <w:pPr>
        <w:pStyle w:val="Title"/>
        <w:rPr>
          <w:rFonts w:asciiTheme="minorHAnsi" w:eastAsia="+mn-ea" w:hAnsiTheme="minorHAnsi" w:cstheme="minorHAnsi"/>
          <w:b/>
          <w:bCs/>
          <w:caps w:val="0"/>
          <w:lang w:eastAsia="en-NZ"/>
        </w:rPr>
      </w:pPr>
      <w:r w:rsidRPr="001D6F3C">
        <w:rPr>
          <w:rFonts w:asciiTheme="minorHAnsi" w:eastAsia="+mn-ea" w:hAnsiTheme="minorHAnsi" w:cstheme="minorHAnsi"/>
          <w:b/>
          <w:bCs/>
          <w:caps w:val="0"/>
          <w:lang w:eastAsia="en-NZ"/>
        </w:rPr>
        <w:t>Meeting the future needs of</w:t>
      </w:r>
      <w:r w:rsidR="007F74CE" w:rsidRPr="001D6F3C">
        <w:rPr>
          <w:rFonts w:asciiTheme="minorHAnsi" w:eastAsia="+mn-ea" w:hAnsiTheme="minorHAnsi" w:cstheme="minorHAnsi"/>
          <w:b/>
          <w:bCs/>
          <w:caps w:val="0"/>
          <w:lang w:eastAsia="en-NZ"/>
        </w:rPr>
        <w:t xml:space="preserve"> </w:t>
      </w:r>
      <w:r w:rsidR="00796F3E" w:rsidRPr="001D6F3C">
        <w:rPr>
          <w:rFonts w:asciiTheme="minorHAnsi" w:eastAsia="+mn-ea" w:hAnsiTheme="minorHAnsi" w:cstheme="minorHAnsi"/>
          <w:b/>
          <w:bCs/>
          <w:caps w:val="0"/>
          <w:lang w:eastAsia="en-NZ"/>
        </w:rPr>
        <w:t>o</w:t>
      </w:r>
      <w:r w:rsidR="007F74CE" w:rsidRPr="001D6F3C">
        <w:rPr>
          <w:rFonts w:asciiTheme="minorHAnsi" w:eastAsia="+mn-ea" w:hAnsiTheme="minorHAnsi" w:cstheme="minorHAnsi"/>
          <w:b/>
          <w:bCs/>
          <w:caps w:val="0"/>
          <w:lang w:eastAsia="en-NZ"/>
        </w:rPr>
        <w:t>lder New Zealanders</w:t>
      </w:r>
    </w:p>
    <w:p w14:paraId="04F8117D" w14:textId="6D7D8E4B" w:rsidR="0093111A" w:rsidRPr="001D6F3C" w:rsidRDefault="00FC049E" w:rsidP="00A60862">
      <w:pPr>
        <w:pStyle w:val="Title"/>
        <w:rPr>
          <w:rFonts w:asciiTheme="minorHAnsi" w:eastAsia="+mn-ea" w:hAnsiTheme="minorHAnsi" w:cstheme="minorHAnsi"/>
          <w:caps w:val="0"/>
          <w:sz w:val="56"/>
          <w:szCs w:val="56"/>
          <w:lang w:eastAsia="en-NZ"/>
        </w:rPr>
      </w:pPr>
      <w:r w:rsidRPr="001D6F3C">
        <w:rPr>
          <w:rFonts w:asciiTheme="minorHAnsi" w:eastAsia="+mn-ea" w:hAnsiTheme="minorHAnsi" w:cstheme="minorHAnsi"/>
          <w:caps w:val="0"/>
          <w:lang w:eastAsia="en-NZ"/>
        </w:rPr>
        <w:t xml:space="preserve">- </w:t>
      </w:r>
      <w:r w:rsidR="007F74CE" w:rsidRPr="001D6F3C">
        <w:rPr>
          <w:rFonts w:asciiTheme="minorHAnsi" w:eastAsia="+mn-ea" w:hAnsiTheme="minorHAnsi" w:cstheme="minorHAnsi"/>
          <w:caps w:val="0"/>
          <w:sz w:val="56"/>
          <w:szCs w:val="56"/>
          <w:lang w:eastAsia="en-NZ"/>
        </w:rPr>
        <w:t>Trends, risks and opportunities</w:t>
      </w:r>
    </w:p>
    <w:p w14:paraId="5C26A2E9" w14:textId="77777777" w:rsidR="007F74CE" w:rsidRPr="001D6F3C" w:rsidRDefault="007F74CE" w:rsidP="00A60862">
      <w:pPr>
        <w:rPr>
          <w:rFonts w:cstheme="minorHAnsi"/>
          <w:lang w:eastAsia="en-NZ"/>
        </w:rPr>
      </w:pPr>
    </w:p>
    <w:p w14:paraId="2819AF73" w14:textId="77777777" w:rsidR="007F74CE" w:rsidRPr="001D6F3C" w:rsidRDefault="007F74CE" w:rsidP="00A60862">
      <w:pPr>
        <w:pStyle w:val="Title"/>
        <w:rPr>
          <w:rFonts w:asciiTheme="minorHAnsi" w:eastAsia="+mn-ea" w:hAnsiTheme="minorHAnsi" w:cstheme="minorHAnsi"/>
          <w:caps w:val="0"/>
          <w:sz w:val="56"/>
          <w:szCs w:val="56"/>
          <w:lang w:eastAsia="en-NZ"/>
        </w:rPr>
      </w:pPr>
    </w:p>
    <w:p w14:paraId="6EBBB082" w14:textId="0B04159E" w:rsidR="007F74CE" w:rsidRPr="001D6F3C" w:rsidRDefault="00FC049E" w:rsidP="00A60862">
      <w:pPr>
        <w:pStyle w:val="Title"/>
        <w:rPr>
          <w:rFonts w:asciiTheme="minorHAnsi" w:eastAsia="+mn-ea" w:hAnsiTheme="minorHAnsi" w:cstheme="minorBidi"/>
          <w:caps w:val="0"/>
          <w:sz w:val="48"/>
          <w:szCs w:val="48"/>
          <w:lang w:eastAsia="en-NZ"/>
        </w:rPr>
      </w:pPr>
      <w:r w:rsidRPr="001D6F3C">
        <w:rPr>
          <w:rFonts w:asciiTheme="minorHAnsi" w:eastAsia="+mn-ea" w:hAnsiTheme="minorHAnsi" w:cstheme="minorBidi"/>
          <w:caps w:val="0"/>
          <w:sz w:val="48"/>
          <w:szCs w:val="48"/>
          <w:lang w:eastAsia="en-NZ"/>
        </w:rPr>
        <w:t>Long</w:t>
      </w:r>
      <w:r w:rsidR="41CA537E" w:rsidRPr="001D6F3C">
        <w:rPr>
          <w:rFonts w:asciiTheme="minorHAnsi" w:eastAsia="+mn-ea" w:hAnsiTheme="minorHAnsi" w:cstheme="minorBidi"/>
          <w:caps w:val="0"/>
          <w:sz w:val="48"/>
          <w:szCs w:val="48"/>
          <w:lang w:eastAsia="en-NZ"/>
        </w:rPr>
        <w:t>-</w:t>
      </w:r>
      <w:r w:rsidRPr="001D6F3C">
        <w:rPr>
          <w:rFonts w:asciiTheme="minorHAnsi" w:eastAsia="+mn-ea" w:hAnsiTheme="minorHAnsi" w:cstheme="minorBidi"/>
          <w:caps w:val="0"/>
          <w:sz w:val="48"/>
          <w:szCs w:val="48"/>
          <w:lang w:eastAsia="en-NZ"/>
        </w:rPr>
        <w:t>Term Insights Briefing</w:t>
      </w:r>
    </w:p>
    <w:p w14:paraId="65929771" w14:textId="77777777" w:rsidR="00FC049E" w:rsidRPr="001D6F3C" w:rsidRDefault="00FC049E" w:rsidP="00A60862">
      <w:pPr>
        <w:pStyle w:val="Title"/>
        <w:jc w:val="both"/>
        <w:rPr>
          <w:rFonts w:asciiTheme="minorHAnsi" w:eastAsia="+mn-ea" w:hAnsiTheme="minorHAnsi" w:cstheme="minorHAnsi"/>
          <w:caps w:val="0"/>
          <w:sz w:val="36"/>
          <w:szCs w:val="36"/>
          <w:lang w:eastAsia="en-NZ"/>
        </w:rPr>
      </w:pPr>
    </w:p>
    <w:p w14:paraId="3BC3A135" w14:textId="533ED961" w:rsidR="0093111A" w:rsidRPr="001D6F3C" w:rsidRDefault="007F74CE" w:rsidP="00A60862">
      <w:pPr>
        <w:pStyle w:val="Title"/>
        <w:jc w:val="both"/>
        <w:rPr>
          <w:rFonts w:asciiTheme="minorHAnsi" w:eastAsia="+mn-ea" w:hAnsiTheme="minorHAnsi" w:cstheme="minorBidi"/>
          <w:caps w:val="0"/>
          <w:sz w:val="36"/>
          <w:szCs w:val="36"/>
          <w:lang w:eastAsia="en-NZ"/>
        </w:rPr>
      </w:pPr>
      <w:r w:rsidRPr="001D6F3C">
        <w:rPr>
          <w:rFonts w:asciiTheme="minorHAnsi" w:eastAsia="+mn-ea" w:hAnsiTheme="minorHAnsi" w:cstheme="minorBidi"/>
          <w:caps w:val="0"/>
          <w:sz w:val="36"/>
          <w:szCs w:val="36"/>
          <w:lang w:eastAsia="en-NZ"/>
        </w:rPr>
        <w:t xml:space="preserve">Draft for consultation – </w:t>
      </w:r>
      <w:r w:rsidR="004F5D02">
        <w:rPr>
          <w:rFonts w:asciiTheme="minorHAnsi" w:eastAsia="+mn-ea" w:hAnsiTheme="minorHAnsi" w:cstheme="minorBidi"/>
          <w:caps w:val="0"/>
          <w:sz w:val="36"/>
          <w:szCs w:val="36"/>
          <w:lang w:eastAsia="en-NZ"/>
        </w:rPr>
        <w:t>October</w:t>
      </w:r>
      <w:r w:rsidRPr="001D6F3C">
        <w:rPr>
          <w:rFonts w:asciiTheme="minorHAnsi" w:eastAsia="+mn-ea" w:hAnsiTheme="minorHAnsi" w:cstheme="minorBidi"/>
          <w:caps w:val="0"/>
          <w:sz w:val="36"/>
          <w:szCs w:val="36"/>
          <w:lang w:eastAsia="en-NZ"/>
        </w:rPr>
        <w:t xml:space="preserve"> 2025</w:t>
      </w:r>
    </w:p>
    <w:p w14:paraId="73AF4D9A" w14:textId="77777777" w:rsidR="00F829F6" w:rsidRPr="001D6F3C" w:rsidRDefault="00F829F6" w:rsidP="00A60862">
      <w:pPr>
        <w:pStyle w:val="Heading2"/>
        <w:jc w:val="both"/>
        <w:rPr>
          <w:rFonts w:ascii="Corbel" w:hAnsi="Corbel"/>
        </w:rPr>
      </w:pPr>
    </w:p>
    <w:p w14:paraId="564F0B6A" w14:textId="50A7E717" w:rsidR="00FC049E" w:rsidRPr="001D6F3C" w:rsidRDefault="00FC049E" w:rsidP="00A60862">
      <w:pPr>
        <w:jc w:val="both"/>
        <w:rPr>
          <w:rFonts w:ascii="Corbel" w:hAnsi="Corbel"/>
        </w:rPr>
      </w:pPr>
      <w:r w:rsidRPr="001D6F3C">
        <w:rPr>
          <w:rFonts w:ascii="Corbel" w:hAnsi="Corbel"/>
          <w:noProof/>
        </w:rPr>
        <w:drawing>
          <wp:inline distT="0" distB="0" distL="0" distR="0" wp14:anchorId="79EE33EF" wp14:editId="3C3AA86B">
            <wp:extent cx="2696535" cy="1047750"/>
            <wp:effectExtent l="0" t="0" r="8890" b="0"/>
            <wp:docPr id="1184221926" name="Picture 4">
              <a:extLst xmlns:a="http://schemas.openxmlformats.org/drawingml/2006/main">
                <a:ext uri="{FF2B5EF4-FFF2-40B4-BE49-F238E27FC236}">
                  <a16:creationId xmlns:a16="http://schemas.microsoft.com/office/drawing/2014/main" id="{1B0F5F2C-59CB-9ABE-07EF-E70F0CA63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0F5F2C-59CB-9ABE-07EF-E70F0CA63FBB}"/>
                        </a:ext>
                      </a:extLst>
                    </pic:cNvPr>
                    <pic:cNvPicPr>
                      <a:picLocks noChangeAspect="1"/>
                    </pic:cNvPicPr>
                  </pic:nvPicPr>
                  <pic:blipFill rotWithShape="1">
                    <a:blip r:embed="rId11"/>
                    <a:srcRect r="44826"/>
                    <a:stretch/>
                  </pic:blipFill>
                  <pic:spPr bwMode="auto">
                    <a:xfrm>
                      <a:off x="0" y="0"/>
                      <a:ext cx="2700676" cy="1049359"/>
                    </a:xfrm>
                    <a:prstGeom prst="rect">
                      <a:avLst/>
                    </a:prstGeom>
                    <a:ln>
                      <a:noFill/>
                    </a:ln>
                    <a:extLst>
                      <a:ext uri="{53640926-AAD7-44D8-BBD7-CCE9431645EC}">
                        <a14:shadowObscured xmlns:a14="http://schemas.microsoft.com/office/drawing/2010/main"/>
                      </a:ext>
                    </a:extLst>
                  </pic:spPr>
                </pic:pic>
              </a:graphicData>
            </a:graphic>
          </wp:inline>
        </w:drawing>
      </w:r>
      <w:r w:rsidRPr="001D6F3C">
        <w:rPr>
          <w:rFonts w:ascii="Corbel" w:hAnsi="Corbel"/>
          <w:noProof/>
        </w:rPr>
        <w:drawing>
          <wp:inline distT="0" distB="0" distL="0" distR="0" wp14:anchorId="6EA663AE" wp14:editId="3B61940F">
            <wp:extent cx="2800350" cy="784098"/>
            <wp:effectExtent l="0" t="0" r="0" b="0"/>
            <wp:docPr id="63716824" name="Picture 2" descr="A black background with a black square&#10;&#10;AI-generated content may be incorrect.">
              <a:extLst xmlns:a="http://schemas.openxmlformats.org/drawingml/2006/main">
                <a:ext uri="{FF2B5EF4-FFF2-40B4-BE49-F238E27FC236}">
                  <a16:creationId xmlns:a16="http://schemas.microsoft.com/office/drawing/2014/main" id="{A94E818F-469C-9CCB-0D44-550DEC4B7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background with a black square&#10;&#10;AI-generated content may be incorrect.">
                      <a:extLst>
                        <a:ext uri="{FF2B5EF4-FFF2-40B4-BE49-F238E27FC236}">
                          <a16:creationId xmlns:a16="http://schemas.microsoft.com/office/drawing/2014/main" id="{A94E818F-469C-9CCB-0D44-550DEC4B7D8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528" cy="785548"/>
                    </a:xfrm>
                    <a:prstGeom prst="rect">
                      <a:avLst/>
                    </a:prstGeom>
                  </pic:spPr>
                </pic:pic>
              </a:graphicData>
            </a:graphic>
          </wp:inline>
        </w:drawing>
      </w:r>
    </w:p>
    <w:p w14:paraId="25EEC945" w14:textId="77777777" w:rsidR="001476A1" w:rsidRPr="001D6F3C" w:rsidRDefault="001476A1" w:rsidP="00A60862">
      <w:pPr>
        <w:pStyle w:val="Heading2"/>
        <w:jc w:val="both"/>
        <w:rPr>
          <w:rFonts w:ascii="Corbel" w:hAnsi="Corbel"/>
          <w:b/>
          <w:bCs/>
        </w:rPr>
      </w:pPr>
      <w:r w:rsidRPr="001D6F3C">
        <w:rPr>
          <w:rFonts w:ascii="Corbel" w:hAnsi="Corbel"/>
          <w:b/>
          <w:bCs/>
        </w:rPr>
        <w:br w:type="page"/>
      </w:r>
    </w:p>
    <w:p w14:paraId="7A7F5EAD" w14:textId="15E5FB8E" w:rsidR="0093111A" w:rsidRPr="001D6F3C" w:rsidRDefault="005C3E1D" w:rsidP="00A60862">
      <w:pPr>
        <w:pStyle w:val="Heading2"/>
        <w:jc w:val="both"/>
        <w:rPr>
          <w:rFonts w:ascii="Corbel" w:hAnsi="Corbel"/>
          <w:b/>
          <w:bCs/>
        </w:rPr>
      </w:pPr>
      <w:bookmarkStart w:id="0" w:name="_Toc207782976"/>
      <w:r w:rsidRPr="001D6F3C">
        <w:rPr>
          <w:rFonts w:ascii="Corbel" w:hAnsi="Corbel"/>
          <w:b/>
          <w:bCs/>
        </w:rPr>
        <w:lastRenderedPageBreak/>
        <w:t xml:space="preserve">Executive </w:t>
      </w:r>
      <w:r w:rsidR="00796F3E" w:rsidRPr="001D6F3C">
        <w:rPr>
          <w:rFonts w:ascii="Corbel" w:hAnsi="Corbel"/>
          <w:b/>
          <w:bCs/>
        </w:rPr>
        <w:t>s</w:t>
      </w:r>
      <w:r w:rsidRPr="001D6F3C">
        <w:rPr>
          <w:rFonts w:ascii="Corbel" w:hAnsi="Corbel"/>
          <w:b/>
          <w:bCs/>
        </w:rPr>
        <w:t>ummary</w:t>
      </w:r>
      <w:bookmarkEnd w:id="0"/>
    </w:p>
    <w:p w14:paraId="6C99080C" w14:textId="20E8326A" w:rsidR="005C3E1D" w:rsidRPr="001D6F3C" w:rsidRDefault="005C3E1D" w:rsidP="00A60862">
      <w:pPr>
        <w:jc w:val="both"/>
        <w:rPr>
          <w:rFonts w:ascii="Corbel" w:hAnsi="Corbel"/>
        </w:rPr>
      </w:pPr>
      <w:r w:rsidRPr="001D6F3C">
        <w:rPr>
          <w:rFonts w:ascii="Corbel" w:hAnsi="Corbel"/>
        </w:rPr>
        <w:t xml:space="preserve">The New Zealand population is rapidly ageing. </w:t>
      </w:r>
      <w:r w:rsidR="21C06745" w:rsidRPr="001D6F3C">
        <w:rPr>
          <w:rFonts w:ascii="Corbel" w:hAnsi="Corbel"/>
        </w:rPr>
        <w:t>T</w:t>
      </w:r>
      <w:r w:rsidR="6FFFD508" w:rsidRPr="001D6F3C">
        <w:rPr>
          <w:rFonts w:ascii="Corbel" w:hAnsi="Corbel"/>
        </w:rPr>
        <w:t>he</w:t>
      </w:r>
      <w:r w:rsidRPr="001D6F3C">
        <w:rPr>
          <w:rFonts w:ascii="Corbel" w:hAnsi="Corbel"/>
        </w:rPr>
        <w:t xml:space="preserve"> number of people aged 65+ is expected to grow from around 900,000 now (17% of the total population) to 1,400,000 (24% of the total population)</w:t>
      </w:r>
      <w:r w:rsidR="00534B71" w:rsidRPr="001D6F3C">
        <w:rPr>
          <w:rFonts w:ascii="Corbel" w:hAnsi="Corbel"/>
        </w:rPr>
        <w:t xml:space="preserve"> in 2050</w:t>
      </w:r>
      <w:r w:rsidRPr="001D6F3C">
        <w:rPr>
          <w:rFonts w:ascii="Corbel" w:hAnsi="Corbel"/>
        </w:rPr>
        <w:t xml:space="preserve">. </w:t>
      </w:r>
      <w:r w:rsidR="003B2B7F" w:rsidRPr="001D6F3C">
        <w:rPr>
          <w:rFonts w:ascii="Corbel" w:hAnsi="Corbel"/>
        </w:rPr>
        <w:t>Over the same period, t</w:t>
      </w:r>
      <w:r w:rsidRPr="001D6F3C">
        <w:rPr>
          <w:rFonts w:ascii="Corbel" w:hAnsi="Corbel"/>
        </w:rPr>
        <w:t xml:space="preserve">hose aged 85+ are expected to grow from around 100,000 (2% of total) to almost 300,000 (5% of total). </w:t>
      </w:r>
    </w:p>
    <w:p w14:paraId="45D698B0" w14:textId="7FDF0149" w:rsidR="005C3E1D" w:rsidRPr="001D6F3C" w:rsidRDefault="00C54167" w:rsidP="00A60862">
      <w:pPr>
        <w:jc w:val="both"/>
        <w:rPr>
          <w:rFonts w:ascii="Corbel" w:hAnsi="Corbel"/>
        </w:rPr>
      </w:pPr>
      <w:r w:rsidRPr="001D6F3C">
        <w:rPr>
          <w:rFonts w:ascii="Corbel" w:hAnsi="Corbel"/>
        </w:rPr>
        <w:t>In many ways, this is a positive change</w:t>
      </w:r>
      <w:r w:rsidR="005C3E1D" w:rsidRPr="001D6F3C">
        <w:rPr>
          <w:rFonts w:ascii="Corbel" w:hAnsi="Corbel"/>
        </w:rPr>
        <w:t xml:space="preserve">. </w:t>
      </w:r>
      <w:r w:rsidR="00796F3E" w:rsidRPr="001D6F3C">
        <w:rPr>
          <w:rFonts w:ascii="Corbel" w:hAnsi="Corbel"/>
        </w:rPr>
        <w:t>P</w:t>
      </w:r>
      <w:r w:rsidR="005C3E1D" w:rsidRPr="001D6F3C">
        <w:rPr>
          <w:rFonts w:ascii="Corbel" w:hAnsi="Corbel"/>
        </w:rPr>
        <w:t>eople are</w:t>
      </w:r>
      <w:r w:rsidR="00796F3E" w:rsidRPr="001D6F3C">
        <w:rPr>
          <w:rFonts w:ascii="Corbel" w:hAnsi="Corbel"/>
        </w:rPr>
        <w:t xml:space="preserve"> </w:t>
      </w:r>
      <w:r w:rsidR="005C3E1D" w:rsidRPr="001D6F3C">
        <w:rPr>
          <w:rFonts w:ascii="Corbel" w:hAnsi="Corbel"/>
        </w:rPr>
        <w:t xml:space="preserve">living longer and are in better health. Older people contribute to their whānau and community as carers, workers, consumers, volunteers and in many other ways. </w:t>
      </w:r>
      <w:r w:rsidR="003B2B7F" w:rsidRPr="001D6F3C">
        <w:rPr>
          <w:rFonts w:ascii="Corbel" w:hAnsi="Corbel"/>
        </w:rPr>
        <w:t xml:space="preserve">With an increase in the number of older people, </w:t>
      </w:r>
      <w:r w:rsidR="005C3E1D" w:rsidRPr="001D6F3C">
        <w:rPr>
          <w:rFonts w:ascii="Corbel" w:hAnsi="Corbel"/>
        </w:rPr>
        <w:t xml:space="preserve">New Zealand stands to benefit even more from this range of contributions. </w:t>
      </w:r>
    </w:p>
    <w:p w14:paraId="54AC7A2B" w14:textId="0A314FCC" w:rsidR="005C3E1D" w:rsidRPr="001D6F3C" w:rsidRDefault="00796F3E" w:rsidP="00A60862">
      <w:pPr>
        <w:jc w:val="both"/>
        <w:rPr>
          <w:rFonts w:ascii="Corbel" w:hAnsi="Corbel"/>
        </w:rPr>
      </w:pPr>
      <w:r w:rsidRPr="001D6F3C">
        <w:rPr>
          <w:rFonts w:ascii="Corbel" w:hAnsi="Corbel"/>
        </w:rPr>
        <w:t>However, t</w:t>
      </w:r>
      <w:r w:rsidR="005C3E1D" w:rsidRPr="001D6F3C">
        <w:rPr>
          <w:rFonts w:ascii="Corbel" w:hAnsi="Corbel"/>
        </w:rPr>
        <w:t>he ageing population also</w:t>
      </w:r>
      <w:r w:rsidRPr="001D6F3C">
        <w:rPr>
          <w:rFonts w:ascii="Corbel" w:hAnsi="Corbel"/>
        </w:rPr>
        <w:t xml:space="preserve"> </w:t>
      </w:r>
      <w:r w:rsidR="005C3E1D" w:rsidRPr="001D6F3C">
        <w:rPr>
          <w:rFonts w:ascii="Corbel" w:hAnsi="Corbel"/>
        </w:rPr>
        <w:t xml:space="preserve">creates significant challenges for Government. </w:t>
      </w:r>
      <w:r w:rsidR="003B2B7F" w:rsidRPr="001D6F3C">
        <w:rPr>
          <w:rFonts w:ascii="Corbel" w:hAnsi="Corbel"/>
        </w:rPr>
        <w:t>As the population ages</w:t>
      </w:r>
      <w:r w:rsidR="00693CC0" w:rsidRPr="001D6F3C">
        <w:rPr>
          <w:rFonts w:ascii="Corbel" w:hAnsi="Corbel"/>
        </w:rPr>
        <w:t>,</w:t>
      </w:r>
      <w:r w:rsidR="003B2B7F" w:rsidRPr="001D6F3C">
        <w:rPr>
          <w:rFonts w:ascii="Corbel" w:hAnsi="Corbel"/>
        </w:rPr>
        <w:t xml:space="preserve"> the cost of providing existing supports such as New Zealand Superannuation (NZS) and health services will rise substantially</w:t>
      </w:r>
      <w:r w:rsidR="0013070D" w:rsidRPr="001D6F3C">
        <w:rPr>
          <w:rFonts w:ascii="Corbel" w:hAnsi="Corbel"/>
        </w:rPr>
        <w:t>,</w:t>
      </w:r>
      <w:r w:rsidR="003B2B7F" w:rsidRPr="001D6F3C">
        <w:rPr>
          <w:rFonts w:ascii="Corbel" w:hAnsi="Corbel"/>
        </w:rPr>
        <w:t xml:space="preserve"> placing ongoing pressure on public finances. As the main provider of financial support to those over 65, </w:t>
      </w:r>
      <w:r w:rsidR="00F3559A" w:rsidRPr="001D6F3C">
        <w:rPr>
          <w:rFonts w:ascii="Corbel" w:hAnsi="Corbel"/>
        </w:rPr>
        <w:t>the Ministry of Social Development (</w:t>
      </w:r>
      <w:r w:rsidR="003B2B7F" w:rsidRPr="001D6F3C">
        <w:rPr>
          <w:rFonts w:ascii="Corbel" w:hAnsi="Corbel"/>
        </w:rPr>
        <w:t>MSD</w:t>
      </w:r>
      <w:r w:rsidR="00F3559A" w:rsidRPr="001D6F3C">
        <w:rPr>
          <w:rFonts w:ascii="Corbel" w:hAnsi="Corbel"/>
        </w:rPr>
        <w:t>)</w:t>
      </w:r>
      <w:r w:rsidR="003B2B7F" w:rsidRPr="001D6F3C">
        <w:rPr>
          <w:rFonts w:ascii="Corbel" w:hAnsi="Corbel"/>
        </w:rPr>
        <w:t xml:space="preserve"> will face</w:t>
      </w:r>
      <w:r w:rsidR="005C3E1D" w:rsidRPr="001D6F3C">
        <w:rPr>
          <w:rFonts w:ascii="Corbel" w:hAnsi="Corbel"/>
        </w:rPr>
        <w:t xml:space="preserve"> a significant increase in </w:t>
      </w:r>
      <w:r w:rsidR="003B2B7F" w:rsidRPr="001D6F3C">
        <w:rPr>
          <w:rFonts w:ascii="Corbel" w:hAnsi="Corbel"/>
        </w:rPr>
        <w:t>demand</w:t>
      </w:r>
      <w:r w:rsidR="005C3E1D" w:rsidRPr="001D6F3C">
        <w:rPr>
          <w:rFonts w:ascii="Corbel" w:hAnsi="Corbel"/>
        </w:rPr>
        <w:t xml:space="preserve"> </w:t>
      </w:r>
      <w:r w:rsidR="003B2B7F" w:rsidRPr="001D6F3C">
        <w:rPr>
          <w:rFonts w:ascii="Corbel" w:hAnsi="Corbel"/>
        </w:rPr>
        <w:t>for</w:t>
      </w:r>
      <w:r w:rsidR="005C3E1D" w:rsidRPr="001D6F3C">
        <w:rPr>
          <w:rFonts w:ascii="Corbel" w:hAnsi="Corbel"/>
        </w:rPr>
        <w:t xml:space="preserve"> services and support: nearly all the additional 500,000 people over 65 by 2050 will be receiving NZS</w:t>
      </w:r>
      <w:r w:rsidR="003B2B7F" w:rsidRPr="001D6F3C">
        <w:rPr>
          <w:rFonts w:ascii="Corbel" w:hAnsi="Corbel"/>
        </w:rPr>
        <w:t xml:space="preserve">. </w:t>
      </w:r>
      <w:r w:rsidR="0013070D" w:rsidRPr="001D6F3C">
        <w:rPr>
          <w:rFonts w:ascii="Corbel" w:hAnsi="Corbel"/>
        </w:rPr>
        <w:t>Furthermore, s</w:t>
      </w:r>
      <w:r w:rsidR="003B2B7F" w:rsidRPr="001D6F3C">
        <w:rPr>
          <w:rFonts w:ascii="Corbel" w:hAnsi="Corbel"/>
        </w:rPr>
        <w:t>everal intersecting social and economic trends suggest disadvantage among older people could increase in the future</w:t>
      </w:r>
      <w:r w:rsidR="00FA1631" w:rsidRPr="001D6F3C">
        <w:rPr>
          <w:rFonts w:ascii="Corbel" w:hAnsi="Corbel"/>
        </w:rPr>
        <w:t xml:space="preserve">. If this happens, it is likely that </w:t>
      </w:r>
      <w:r w:rsidR="003B2B7F" w:rsidRPr="001D6F3C">
        <w:rPr>
          <w:rFonts w:ascii="Corbel" w:hAnsi="Corbel"/>
        </w:rPr>
        <w:t>an increasing proportion of NZS recipients will apply for supplementary assistance of some kind and may also require other forms of support service</w:t>
      </w:r>
      <w:r w:rsidR="00693CC0" w:rsidRPr="001D6F3C">
        <w:rPr>
          <w:rFonts w:ascii="Corbel" w:hAnsi="Corbel"/>
        </w:rPr>
        <w:t>s.</w:t>
      </w:r>
    </w:p>
    <w:p w14:paraId="77D7A27A" w14:textId="77777777" w:rsidR="005C3E1D" w:rsidRPr="001D6F3C" w:rsidRDefault="005C3E1D" w:rsidP="00A60862">
      <w:pPr>
        <w:pStyle w:val="Heading4"/>
        <w:jc w:val="both"/>
        <w:rPr>
          <w:rFonts w:ascii="Corbel" w:hAnsi="Corbel"/>
          <w:sz w:val="22"/>
          <w:szCs w:val="22"/>
        </w:rPr>
      </w:pPr>
      <w:r w:rsidRPr="001D6F3C">
        <w:rPr>
          <w:rFonts w:ascii="Corbel" w:hAnsi="Corbel"/>
          <w:sz w:val="22"/>
          <w:szCs w:val="22"/>
        </w:rPr>
        <w:t>Current levels of hardship and disadvantage</w:t>
      </w:r>
    </w:p>
    <w:p w14:paraId="268120E0" w14:textId="50D14823" w:rsidR="005C3E1D" w:rsidRPr="001D6F3C" w:rsidRDefault="005C3E1D" w:rsidP="00A60862">
      <w:pPr>
        <w:jc w:val="both"/>
        <w:rPr>
          <w:rFonts w:ascii="Corbel" w:hAnsi="Corbel"/>
        </w:rPr>
      </w:pPr>
      <w:r w:rsidRPr="001D6F3C">
        <w:rPr>
          <w:rFonts w:ascii="Corbel" w:hAnsi="Corbel"/>
        </w:rPr>
        <w:t>While the proportion of the older population facing hardship and disadvantage in New Zealand is currently much lower than for other age groups, there are groups of older people who face significant challenges:</w:t>
      </w:r>
    </w:p>
    <w:p w14:paraId="42D70346" w14:textId="371C5E41" w:rsidR="005C3E1D" w:rsidRPr="001D6F3C" w:rsidRDefault="005C3E1D" w:rsidP="00D404C5">
      <w:pPr>
        <w:pStyle w:val="ListParagraph"/>
        <w:numPr>
          <w:ilvl w:val="0"/>
          <w:numId w:val="36"/>
        </w:numPr>
        <w:jc w:val="both"/>
        <w:rPr>
          <w:rFonts w:ascii="Corbel" w:hAnsi="Corbel"/>
        </w:rPr>
      </w:pPr>
      <w:r w:rsidRPr="001D6F3C">
        <w:rPr>
          <w:rFonts w:ascii="Corbel" w:hAnsi="Corbel"/>
        </w:rPr>
        <w:t>2</w:t>
      </w:r>
      <w:r w:rsidR="002B4CEC" w:rsidRPr="001D6F3C">
        <w:rPr>
          <w:rFonts w:ascii="Corbel" w:hAnsi="Corbel"/>
        </w:rPr>
        <w:t>5</w:t>
      </w:r>
      <w:r w:rsidRPr="001D6F3C">
        <w:rPr>
          <w:rFonts w:ascii="Corbel" w:hAnsi="Corbel"/>
        </w:rPr>
        <w:t xml:space="preserve">,000 older </w:t>
      </w:r>
      <w:r w:rsidR="25902AE5" w:rsidRPr="001D6F3C">
        <w:rPr>
          <w:rFonts w:ascii="Corbel" w:hAnsi="Corbel"/>
        </w:rPr>
        <w:t>people</w:t>
      </w:r>
      <w:r w:rsidRPr="001D6F3C">
        <w:rPr>
          <w:rFonts w:ascii="Corbel" w:hAnsi="Corbel"/>
        </w:rPr>
        <w:t xml:space="preserve"> </w:t>
      </w:r>
      <w:r w:rsidR="002B4CEC" w:rsidRPr="001D6F3C">
        <w:rPr>
          <w:rFonts w:ascii="Corbel" w:hAnsi="Corbel"/>
        </w:rPr>
        <w:t xml:space="preserve">(~3%) </w:t>
      </w:r>
      <w:r w:rsidRPr="001D6F3C">
        <w:rPr>
          <w:rFonts w:ascii="Corbel" w:hAnsi="Corbel"/>
        </w:rPr>
        <w:t xml:space="preserve">are in material hardship, which means they are going without many </w:t>
      </w:r>
      <w:proofErr w:type="gramStart"/>
      <w:r w:rsidRPr="001D6F3C">
        <w:rPr>
          <w:rFonts w:ascii="Corbel" w:hAnsi="Corbel"/>
        </w:rPr>
        <w:t>basic essentials</w:t>
      </w:r>
      <w:proofErr w:type="gramEnd"/>
      <w:r w:rsidRPr="001D6F3C">
        <w:rPr>
          <w:rFonts w:ascii="Corbel" w:hAnsi="Corbel"/>
        </w:rPr>
        <w:t>, with a further 30,000 in ‘near hardship’.</w:t>
      </w:r>
    </w:p>
    <w:p w14:paraId="4DA55C5C" w14:textId="77777777" w:rsidR="005C3E1D" w:rsidRPr="001D6F3C" w:rsidRDefault="005C3E1D" w:rsidP="00D404C5">
      <w:pPr>
        <w:pStyle w:val="ListParagraph"/>
        <w:numPr>
          <w:ilvl w:val="0"/>
          <w:numId w:val="36"/>
        </w:numPr>
        <w:jc w:val="both"/>
        <w:rPr>
          <w:rFonts w:ascii="Corbel" w:hAnsi="Corbel"/>
        </w:rPr>
      </w:pPr>
      <w:r w:rsidRPr="001D6F3C">
        <w:rPr>
          <w:rFonts w:ascii="Corbel" w:hAnsi="Corbel"/>
        </w:rPr>
        <w:t xml:space="preserve">90,000 older people experience disadvantage across two or more areas of life, including financial, health, housing, social connection, and access, and 20,000 experience this across three or more areas of life. </w:t>
      </w:r>
    </w:p>
    <w:p w14:paraId="5BD51DA5" w14:textId="0EB76FEC" w:rsidR="005C3E1D" w:rsidRPr="001D6F3C" w:rsidRDefault="005C3E1D" w:rsidP="00A60862">
      <w:pPr>
        <w:jc w:val="both"/>
        <w:rPr>
          <w:rFonts w:ascii="Corbel" w:hAnsi="Corbel"/>
        </w:rPr>
      </w:pPr>
      <w:r w:rsidRPr="001D6F3C">
        <w:rPr>
          <w:rFonts w:ascii="Corbel" w:hAnsi="Corbel"/>
        </w:rPr>
        <w:t xml:space="preserve">Living standards in older age are driven by </w:t>
      </w:r>
      <w:r w:rsidR="00C54167" w:rsidRPr="001D6F3C">
        <w:rPr>
          <w:rFonts w:ascii="Corbel" w:hAnsi="Corbel"/>
        </w:rPr>
        <w:t>multiple factors</w:t>
      </w:r>
      <w:r w:rsidR="00CA6013" w:rsidRPr="001D6F3C">
        <w:rPr>
          <w:rFonts w:ascii="Corbel" w:hAnsi="Corbel"/>
        </w:rPr>
        <w:t xml:space="preserve">, many of which </w:t>
      </w:r>
      <w:r w:rsidR="00796F3E" w:rsidRPr="001D6F3C">
        <w:rPr>
          <w:rFonts w:ascii="Corbel" w:hAnsi="Corbel"/>
        </w:rPr>
        <w:t>accrue across the life course</w:t>
      </w:r>
      <w:r w:rsidR="00C54167" w:rsidRPr="001D6F3C">
        <w:rPr>
          <w:rFonts w:ascii="Corbel" w:hAnsi="Corbel"/>
        </w:rPr>
        <w:t xml:space="preserve">. </w:t>
      </w:r>
      <w:r w:rsidRPr="001D6F3C">
        <w:rPr>
          <w:rFonts w:ascii="Corbel" w:hAnsi="Corbel"/>
        </w:rPr>
        <w:t>These include</w:t>
      </w:r>
      <w:r w:rsidR="00796F3E" w:rsidRPr="001D6F3C">
        <w:rPr>
          <w:rFonts w:ascii="Corbel" w:hAnsi="Corbel"/>
        </w:rPr>
        <w:t xml:space="preserve"> income,</w:t>
      </w:r>
      <w:r w:rsidRPr="001D6F3C">
        <w:rPr>
          <w:rFonts w:ascii="Corbel" w:hAnsi="Corbel"/>
        </w:rPr>
        <w:t xml:space="preserve"> levels of savings and wealth, employment, housing, physical and mental health</w:t>
      </w:r>
      <w:r w:rsidR="00E22281" w:rsidRPr="001D6F3C">
        <w:rPr>
          <w:rFonts w:ascii="Corbel" w:hAnsi="Corbel"/>
        </w:rPr>
        <w:t xml:space="preserve"> and disability</w:t>
      </w:r>
      <w:r w:rsidRPr="001D6F3C">
        <w:rPr>
          <w:rFonts w:ascii="Corbel" w:hAnsi="Corbel"/>
        </w:rPr>
        <w:t xml:space="preserve">, </w:t>
      </w:r>
      <w:r w:rsidR="002B4CEC" w:rsidRPr="001D6F3C">
        <w:rPr>
          <w:rFonts w:ascii="Corbel" w:hAnsi="Corbel"/>
        </w:rPr>
        <w:t xml:space="preserve">relationship status, </w:t>
      </w:r>
      <w:r w:rsidRPr="001D6F3C">
        <w:rPr>
          <w:rFonts w:ascii="Corbel" w:hAnsi="Corbel"/>
        </w:rPr>
        <w:t>and family</w:t>
      </w:r>
      <w:r w:rsidR="00796F3E" w:rsidRPr="001D6F3C">
        <w:rPr>
          <w:rFonts w:ascii="Corbel" w:hAnsi="Corbel"/>
        </w:rPr>
        <w:t xml:space="preserve">, </w:t>
      </w:r>
      <w:r w:rsidRPr="001D6F3C">
        <w:rPr>
          <w:rFonts w:ascii="Corbel" w:hAnsi="Corbel"/>
        </w:rPr>
        <w:t>wh</w:t>
      </w:r>
      <w:r w:rsidR="00796F3E" w:rsidRPr="001D6F3C">
        <w:rPr>
          <w:rFonts w:ascii="Calibri" w:hAnsi="Calibri" w:cs="Calibri"/>
        </w:rPr>
        <w:t>ā</w:t>
      </w:r>
      <w:r w:rsidRPr="001D6F3C">
        <w:rPr>
          <w:rFonts w:ascii="Corbel" w:hAnsi="Corbel"/>
        </w:rPr>
        <w:t xml:space="preserve">nau and wider support networks. Understanding how hardship and disadvantage is set to change in the future requires understanding recent and future trends in a range of these areas. </w:t>
      </w:r>
    </w:p>
    <w:p w14:paraId="19DF362F" w14:textId="77777777" w:rsidR="005C3E1D" w:rsidRPr="001D6F3C" w:rsidRDefault="005C3E1D" w:rsidP="00A60862">
      <w:pPr>
        <w:pStyle w:val="Heading4"/>
        <w:jc w:val="both"/>
        <w:rPr>
          <w:rFonts w:ascii="Corbel" w:hAnsi="Corbel"/>
          <w:sz w:val="22"/>
          <w:szCs w:val="22"/>
        </w:rPr>
      </w:pPr>
      <w:r w:rsidRPr="001D6F3C">
        <w:rPr>
          <w:rFonts w:ascii="Corbel" w:hAnsi="Corbel"/>
          <w:sz w:val="22"/>
          <w:szCs w:val="22"/>
        </w:rPr>
        <w:t>Trends in hardship and disadvantage</w:t>
      </w:r>
    </w:p>
    <w:p w14:paraId="232E6A7D" w14:textId="080F010E" w:rsidR="005C3E1D" w:rsidRPr="001D6F3C" w:rsidRDefault="005C3E1D" w:rsidP="00A60862">
      <w:pPr>
        <w:jc w:val="both"/>
        <w:rPr>
          <w:rFonts w:ascii="Corbel" w:hAnsi="Corbel"/>
        </w:rPr>
      </w:pPr>
      <w:r w:rsidRPr="001D6F3C">
        <w:rPr>
          <w:rFonts w:ascii="Corbel" w:hAnsi="Corbel"/>
        </w:rPr>
        <w:t>Recent decades have seen significant growth in the number of people working alongside receiving N</w:t>
      </w:r>
      <w:r w:rsidR="004B16F2" w:rsidRPr="001D6F3C">
        <w:rPr>
          <w:rFonts w:ascii="Corbel" w:hAnsi="Corbel"/>
        </w:rPr>
        <w:t>ZS</w:t>
      </w:r>
      <w:r w:rsidRPr="001D6F3C">
        <w:rPr>
          <w:rFonts w:ascii="Corbel" w:hAnsi="Corbel"/>
        </w:rPr>
        <w:t xml:space="preserve">. This has significantly improved the later life living standards of some. At the same time, </w:t>
      </w:r>
      <w:r w:rsidR="0013070D" w:rsidRPr="001D6F3C">
        <w:rPr>
          <w:rFonts w:ascii="Corbel" w:hAnsi="Corbel"/>
        </w:rPr>
        <w:t xml:space="preserve">there remains </w:t>
      </w:r>
      <w:r w:rsidRPr="001D6F3C">
        <w:rPr>
          <w:rFonts w:ascii="Corbel" w:hAnsi="Corbel"/>
        </w:rPr>
        <w:t>a significant proportion</w:t>
      </w:r>
      <w:r w:rsidR="00796F3E" w:rsidRPr="001D6F3C">
        <w:rPr>
          <w:rFonts w:ascii="Corbel" w:hAnsi="Corbel"/>
        </w:rPr>
        <w:t xml:space="preserve"> who</w:t>
      </w:r>
      <w:r w:rsidRPr="001D6F3C">
        <w:rPr>
          <w:rFonts w:ascii="Corbel" w:hAnsi="Corbel"/>
        </w:rPr>
        <w:t xml:space="preserve"> </w:t>
      </w:r>
      <w:r w:rsidR="00693CC0" w:rsidRPr="001D6F3C">
        <w:rPr>
          <w:rFonts w:ascii="Corbel" w:hAnsi="Corbel"/>
        </w:rPr>
        <w:t>rely</w:t>
      </w:r>
      <w:r w:rsidRPr="001D6F3C">
        <w:rPr>
          <w:rFonts w:ascii="Corbel" w:hAnsi="Corbel"/>
        </w:rPr>
        <w:t xml:space="preserve"> mostly or entirely on NZS as their source of income, and a growing number are renting or still paying a mortgage in later life. These trends mean there has likely been a divergence in living standards among older people in recent years. </w:t>
      </w:r>
    </w:p>
    <w:p w14:paraId="18A4B8C7" w14:textId="613109C3" w:rsidR="00022CD5" w:rsidRPr="001D6F3C" w:rsidRDefault="005C3E1D" w:rsidP="00022CD5">
      <w:pPr>
        <w:jc w:val="both"/>
        <w:rPr>
          <w:rFonts w:ascii="Corbel" w:hAnsi="Corbel"/>
        </w:rPr>
      </w:pPr>
      <w:r w:rsidRPr="001D6F3C">
        <w:rPr>
          <w:rFonts w:ascii="Corbel" w:hAnsi="Corbel"/>
        </w:rPr>
        <w:t xml:space="preserve">We expect these trends to continue. The life-course trajectory of home ownership is likely </w:t>
      </w:r>
      <w:proofErr w:type="gramStart"/>
      <w:r w:rsidRPr="001D6F3C">
        <w:rPr>
          <w:rFonts w:ascii="Corbel" w:hAnsi="Corbel"/>
        </w:rPr>
        <w:t>set:</w:t>
      </w:r>
      <w:proofErr w:type="gramEnd"/>
      <w:r w:rsidRPr="001D6F3C">
        <w:rPr>
          <w:rFonts w:ascii="Corbel" w:hAnsi="Corbel"/>
        </w:rPr>
        <w:t xml:space="preserve"> absent drastic change, lower home ownership rates of those currently aged 40 – 64 will persist as this cohort enters later life over the next 25 years. Other factors driving widening differences in older age will </w:t>
      </w:r>
      <w:r w:rsidR="00256982" w:rsidRPr="001D6F3C">
        <w:rPr>
          <w:rFonts w:ascii="Corbel" w:hAnsi="Corbel"/>
        </w:rPr>
        <w:t xml:space="preserve">likely </w:t>
      </w:r>
      <w:proofErr w:type="gramStart"/>
      <w:r w:rsidRPr="001D6F3C">
        <w:rPr>
          <w:rFonts w:ascii="Corbel" w:hAnsi="Corbel"/>
        </w:rPr>
        <w:t>remain:</w:t>
      </w:r>
      <w:proofErr w:type="gramEnd"/>
      <w:r w:rsidRPr="001D6F3C">
        <w:rPr>
          <w:rFonts w:ascii="Corbel" w:hAnsi="Corbel"/>
        </w:rPr>
        <w:t xml:space="preserve"> variation in life-course and later life employment outcomes, </w:t>
      </w:r>
      <w:r w:rsidR="00022CD5" w:rsidRPr="001D6F3C">
        <w:rPr>
          <w:rFonts w:ascii="Corbel" w:hAnsi="Corbel"/>
        </w:rPr>
        <w:t xml:space="preserve">and wealth accumulation, </w:t>
      </w:r>
      <w:r w:rsidR="00022CD5" w:rsidRPr="001D6F3C">
        <w:rPr>
          <w:rFonts w:ascii="Corbel" w:hAnsi="Corbel"/>
        </w:rPr>
        <w:lastRenderedPageBreak/>
        <w:t xml:space="preserve">particularly </w:t>
      </w:r>
      <w:r w:rsidRPr="001D6F3C">
        <w:rPr>
          <w:rFonts w:ascii="Corbel" w:hAnsi="Corbel"/>
        </w:rPr>
        <w:t xml:space="preserve">KiwiSaver growth among middle-higher income earners, and </w:t>
      </w:r>
      <w:r w:rsidR="000532A0" w:rsidRPr="001D6F3C">
        <w:rPr>
          <w:rFonts w:ascii="Corbel" w:hAnsi="Corbel"/>
        </w:rPr>
        <w:t xml:space="preserve">unequal </w:t>
      </w:r>
      <w:r w:rsidRPr="001D6F3C">
        <w:rPr>
          <w:rFonts w:ascii="Corbel" w:hAnsi="Corbel"/>
        </w:rPr>
        <w:t>wealth transfer</w:t>
      </w:r>
      <w:r w:rsidR="000532A0" w:rsidRPr="001D6F3C">
        <w:rPr>
          <w:rFonts w:ascii="Corbel" w:hAnsi="Corbel"/>
        </w:rPr>
        <w:t xml:space="preserve"> across generations</w:t>
      </w:r>
      <w:r w:rsidRPr="001D6F3C">
        <w:rPr>
          <w:rFonts w:ascii="Corbel" w:hAnsi="Corbel"/>
        </w:rPr>
        <w:t xml:space="preserve">. </w:t>
      </w:r>
      <w:r w:rsidR="00022CD5" w:rsidRPr="001D6F3C">
        <w:rPr>
          <w:rFonts w:ascii="Corbel" w:hAnsi="Corbel"/>
        </w:rPr>
        <w:t>Further trends, including increasing health needs among older people, particularly those with lower socio-economic status, and continuing challenges with social isolation and elder abuse will likely intersect with these financial factors.</w:t>
      </w:r>
    </w:p>
    <w:p w14:paraId="0D50FF00" w14:textId="1D5ED923" w:rsidR="001476A1" w:rsidRPr="001D6F3C" w:rsidRDefault="005C3E1D" w:rsidP="00A60862">
      <w:pPr>
        <w:jc w:val="both"/>
        <w:rPr>
          <w:rFonts w:ascii="Corbel" w:hAnsi="Corbel"/>
        </w:rPr>
      </w:pPr>
      <w:bookmarkStart w:id="1" w:name="_Hlk201052287"/>
      <w:r w:rsidRPr="001D6F3C">
        <w:rPr>
          <w:rFonts w:ascii="Corbel" w:hAnsi="Corbel"/>
        </w:rPr>
        <w:t>Th</w:t>
      </w:r>
      <w:r w:rsidR="00022CD5" w:rsidRPr="001D6F3C">
        <w:rPr>
          <w:rFonts w:ascii="Corbel" w:hAnsi="Corbel"/>
        </w:rPr>
        <w:t>ese trends</w:t>
      </w:r>
      <w:r w:rsidRPr="001D6F3C">
        <w:rPr>
          <w:rFonts w:ascii="Corbel" w:hAnsi="Corbel"/>
        </w:rPr>
        <w:t xml:space="preserve"> will likely further increase </w:t>
      </w:r>
      <w:r w:rsidR="00D556AA" w:rsidRPr="001D6F3C">
        <w:rPr>
          <w:rFonts w:ascii="Corbel" w:hAnsi="Corbel"/>
        </w:rPr>
        <w:t xml:space="preserve">existing </w:t>
      </w:r>
      <w:r w:rsidRPr="001D6F3C">
        <w:rPr>
          <w:rFonts w:ascii="Corbel" w:hAnsi="Corbel"/>
        </w:rPr>
        <w:t xml:space="preserve">disparities </w:t>
      </w:r>
      <w:r w:rsidR="007A3470" w:rsidRPr="001D6F3C">
        <w:rPr>
          <w:rFonts w:ascii="Corbel" w:hAnsi="Corbel"/>
        </w:rPr>
        <w:t>between</w:t>
      </w:r>
      <w:r w:rsidRPr="001D6F3C">
        <w:rPr>
          <w:rFonts w:ascii="Corbel" w:hAnsi="Corbel"/>
        </w:rPr>
        <w:t xml:space="preserve"> </w:t>
      </w:r>
      <w:r w:rsidR="00D556AA" w:rsidRPr="001D6F3C">
        <w:rPr>
          <w:rFonts w:ascii="Corbel" w:hAnsi="Corbel"/>
        </w:rPr>
        <w:t>ethnic</w:t>
      </w:r>
      <w:r w:rsidR="00D37402" w:rsidRPr="001D6F3C">
        <w:rPr>
          <w:rFonts w:ascii="Corbel" w:hAnsi="Corbel"/>
        </w:rPr>
        <w:t xml:space="preserve"> groups</w:t>
      </w:r>
      <w:r w:rsidRPr="001D6F3C">
        <w:rPr>
          <w:rFonts w:ascii="Corbel" w:hAnsi="Corbel"/>
        </w:rPr>
        <w:t xml:space="preserve">. On average, Māori and Pacific households have lower levels of savings and wealth, are more likely to have ongoing housing costs, are less likely to be employed, and are more likely to have ongoing health issues. </w:t>
      </w:r>
    </w:p>
    <w:bookmarkEnd w:id="1"/>
    <w:p w14:paraId="080C7813" w14:textId="2512A0B2" w:rsidR="005C3E1D" w:rsidRPr="001D6F3C" w:rsidRDefault="005C3E1D" w:rsidP="00A60862">
      <w:pPr>
        <w:jc w:val="both"/>
        <w:rPr>
          <w:rFonts w:ascii="Corbel" w:hAnsi="Corbel"/>
        </w:rPr>
      </w:pPr>
      <w:r w:rsidRPr="001D6F3C">
        <w:rPr>
          <w:rFonts w:ascii="Corbel" w:hAnsi="Corbel"/>
        </w:rPr>
        <w:t xml:space="preserve">An important question is whether these trends of widening inequality and the tenure transition for older people also pose risks to income adequacy in older age and will translate to a rise in </w:t>
      </w:r>
      <w:r w:rsidR="005279A8" w:rsidRPr="001D6F3C">
        <w:rPr>
          <w:rFonts w:ascii="Corbel" w:hAnsi="Corbel"/>
        </w:rPr>
        <w:t xml:space="preserve">the </w:t>
      </w:r>
      <w:r w:rsidR="002B4CEC" w:rsidRPr="001D6F3C">
        <w:rPr>
          <w:rFonts w:ascii="Corbel" w:hAnsi="Corbel"/>
        </w:rPr>
        <w:t xml:space="preserve">proportion </w:t>
      </w:r>
      <w:r w:rsidR="005279A8" w:rsidRPr="001D6F3C">
        <w:rPr>
          <w:rFonts w:ascii="Corbel" w:hAnsi="Corbel"/>
        </w:rPr>
        <w:t xml:space="preserve">of older people </w:t>
      </w:r>
      <w:r w:rsidRPr="001D6F3C">
        <w:rPr>
          <w:rFonts w:ascii="Corbel" w:hAnsi="Corbel"/>
        </w:rPr>
        <w:t>struggling to meet their basic material needs. So far, they have not</w:t>
      </w:r>
      <w:r w:rsidR="002B4CEC" w:rsidRPr="001D6F3C">
        <w:rPr>
          <w:rFonts w:ascii="Corbel" w:hAnsi="Corbel"/>
        </w:rPr>
        <w:t xml:space="preserve"> </w:t>
      </w:r>
      <w:r w:rsidR="00F74E92" w:rsidRPr="001D6F3C">
        <w:rPr>
          <w:rFonts w:ascii="Corbel" w:hAnsi="Corbel"/>
        </w:rPr>
        <w:t>to any great extent</w:t>
      </w:r>
      <w:r w:rsidRPr="001D6F3C">
        <w:rPr>
          <w:rFonts w:ascii="Corbel" w:hAnsi="Corbel"/>
        </w:rPr>
        <w:t>. This is likely in part due to the relative generosity of NZ</w:t>
      </w:r>
      <w:r w:rsidR="004B16F2" w:rsidRPr="001D6F3C">
        <w:rPr>
          <w:rFonts w:ascii="Corbel" w:hAnsi="Corbel"/>
        </w:rPr>
        <w:t>S</w:t>
      </w:r>
      <w:r w:rsidRPr="001D6F3C">
        <w:rPr>
          <w:rFonts w:ascii="Corbel" w:hAnsi="Corbel"/>
        </w:rPr>
        <w:t xml:space="preserve"> - the highest basic pension in the world - and the design of</w:t>
      </w:r>
      <w:r w:rsidR="000532A0" w:rsidRPr="001D6F3C">
        <w:rPr>
          <w:rFonts w:ascii="Corbel" w:hAnsi="Corbel"/>
        </w:rPr>
        <w:t xml:space="preserve"> its</w:t>
      </w:r>
      <w:r w:rsidRPr="001D6F3C">
        <w:rPr>
          <w:rFonts w:ascii="Corbel" w:hAnsi="Corbel"/>
        </w:rPr>
        <w:t xml:space="preserve"> annual indexation arrangements, which have ensured rates have generally increased each year in real terms alongside wages. </w:t>
      </w:r>
    </w:p>
    <w:p w14:paraId="61671371" w14:textId="40986074" w:rsidR="005C3E1D" w:rsidRPr="001D6F3C" w:rsidRDefault="005C3E1D" w:rsidP="00A60862">
      <w:pPr>
        <w:jc w:val="both"/>
        <w:rPr>
          <w:rFonts w:ascii="Corbel" w:hAnsi="Corbel"/>
        </w:rPr>
      </w:pPr>
      <w:r w:rsidRPr="001D6F3C">
        <w:rPr>
          <w:rFonts w:ascii="Corbel" w:hAnsi="Corbel"/>
        </w:rPr>
        <w:t xml:space="preserve">The extent to which hardship rates for older people increase in the future in part depends on the nature of the housing market, including whether rents continue to rise in line with recent trends. It also depends on </w:t>
      </w:r>
      <w:r w:rsidR="00E11F40" w:rsidRPr="001D6F3C">
        <w:rPr>
          <w:rFonts w:ascii="Corbel" w:hAnsi="Corbel"/>
        </w:rPr>
        <w:t>how</w:t>
      </w:r>
      <w:r w:rsidRPr="001D6F3C">
        <w:rPr>
          <w:rFonts w:ascii="Corbel" w:hAnsi="Corbel"/>
        </w:rPr>
        <w:t xml:space="preserve"> Governments</w:t>
      </w:r>
      <w:r w:rsidR="00E11F40" w:rsidRPr="001D6F3C">
        <w:rPr>
          <w:rFonts w:ascii="Corbel" w:hAnsi="Corbel"/>
        </w:rPr>
        <w:t xml:space="preserve"> might respond to the increasing costs associated with population ageing</w:t>
      </w:r>
      <w:r w:rsidRPr="001D6F3C">
        <w:rPr>
          <w:rFonts w:ascii="Corbel" w:hAnsi="Corbel"/>
        </w:rPr>
        <w:t xml:space="preserve"> – including whether they continue to maintain existing NZS and other income support settings. If Governments look to reduce expenditure through</w:t>
      </w:r>
      <w:r w:rsidR="002B4CEC" w:rsidRPr="001D6F3C">
        <w:rPr>
          <w:rFonts w:ascii="Corbel" w:hAnsi="Corbel"/>
        </w:rPr>
        <w:t xml:space="preserve"> changes to</w:t>
      </w:r>
      <w:r w:rsidRPr="001D6F3C">
        <w:rPr>
          <w:rFonts w:ascii="Corbel" w:hAnsi="Corbel"/>
        </w:rPr>
        <w:t xml:space="preserve"> NZS, and wish to ensure hardship and disadvantage is minimised, then ensuring support is maintained to those on the lowest incomes is critical.  </w:t>
      </w:r>
    </w:p>
    <w:p w14:paraId="4A61CC23" w14:textId="3E4817DC" w:rsidR="005C3E1D" w:rsidRPr="001D6F3C" w:rsidRDefault="00D0415F" w:rsidP="00A60862">
      <w:pPr>
        <w:pStyle w:val="Heading4"/>
        <w:jc w:val="both"/>
        <w:rPr>
          <w:rFonts w:ascii="Corbel" w:hAnsi="Corbel"/>
          <w:sz w:val="22"/>
          <w:szCs w:val="22"/>
        </w:rPr>
      </w:pPr>
      <w:r>
        <w:rPr>
          <w:rFonts w:ascii="Corbel" w:hAnsi="Corbel"/>
          <w:sz w:val="22"/>
          <w:szCs w:val="22"/>
        </w:rPr>
        <w:t>P</w:t>
      </w:r>
      <w:r w:rsidR="000726C6" w:rsidRPr="001D6F3C">
        <w:rPr>
          <w:rFonts w:ascii="Corbel" w:hAnsi="Corbel"/>
          <w:sz w:val="22"/>
          <w:szCs w:val="22"/>
        </w:rPr>
        <w:t>revent</w:t>
      </w:r>
      <w:r>
        <w:rPr>
          <w:rFonts w:ascii="Corbel" w:hAnsi="Corbel"/>
          <w:sz w:val="22"/>
          <w:szCs w:val="22"/>
        </w:rPr>
        <w:t xml:space="preserve">ing and responding to hardship and disadvantage  </w:t>
      </w:r>
    </w:p>
    <w:p w14:paraId="1A3066D3" w14:textId="7E44362A" w:rsidR="00025D84" w:rsidRDefault="00025D84" w:rsidP="00025D84">
      <w:pPr>
        <w:rPr>
          <w:rFonts w:ascii="Corbel" w:hAnsi="Corbel"/>
        </w:rPr>
      </w:pPr>
      <w:r>
        <w:rPr>
          <w:rFonts w:ascii="Corbel" w:hAnsi="Corbel"/>
        </w:rPr>
        <w:t>There are a range of ways that hardship in later life could be addressed. Considerations include:</w:t>
      </w:r>
    </w:p>
    <w:p w14:paraId="198F3018" w14:textId="531577B2" w:rsidR="00025D84" w:rsidRDefault="00025D84" w:rsidP="00025D84">
      <w:pPr>
        <w:numPr>
          <w:ilvl w:val="0"/>
          <w:numId w:val="6"/>
        </w:numPr>
        <w:jc w:val="both"/>
        <w:rPr>
          <w:rFonts w:ascii="Corbel" w:hAnsi="Corbel"/>
        </w:rPr>
      </w:pPr>
      <w:r w:rsidRPr="00025D84">
        <w:rPr>
          <w:rFonts w:ascii="Corbel" w:hAnsi="Corbel"/>
        </w:rPr>
        <w:t xml:space="preserve">preventing further </w:t>
      </w:r>
      <w:r w:rsidR="00A65171">
        <w:rPr>
          <w:rFonts w:ascii="Corbel" w:hAnsi="Corbel"/>
        </w:rPr>
        <w:t xml:space="preserve">hardship and </w:t>
      </w:r>
      <w:r w:rsidRPr="00025D84">
        <w:rPr>
          <w:rFonts w:ascii="Corbel" w:hAnsi="Corbel"/>
        </w:rPr>
        <w:t xml:space="preserve">disadvantage </w:t>
      </w:r>
      <w:r>
        <w:rPr>
          <w:rFonts w:ascii="Corbel" w:hAnsi="Corbel"/>
        </w:rPr>
        <w:t>by addressing life course factors such as employment, housing and savings/wealth and by mitigating disparities in health outcomes</w:t>
      </w:r>
    </w:p>
    <w:p w14:paraId="196B8DD1" w14:textId="406A1F05" w:rsidR="004C1EEA" w:rsidRDefault="004C1EEA" w:rsidP="00025D84">
      <w:pPr>
        <w:numPr>
          <w:ilvl w:val="0"/>
          <w:numId w:val="6"/>
        </w:numPr>
        <w:jc w:val="both"/>
        <w:rPr>
          <w:rFonts w:ascii="Corbel" w:hAnsi="Corbel"/>
        </w:rPr>
      </w:pPr>
      <w:r>
        <w:rPr>
          <w:rFonts w:ascii="Corbel" w:hAnsi="Corbel"/>
        </w:rPr>
        <w:t>looking at the supports available to older people who experience hardship and the extent to which these meet people’s housing, health and disability and caring needs</w:t>
      </w:r>
    </w:p>
    <w:p w14:paraId="42AAD499" w14:textId="35AAD658" w:rsidR="00712A21" w:rsidRPr="00A65171" w:rsidRDefault="00A65171" w:rsidP="00A60862">
      <w:pPr>
        <w:numPr>
          <w:ilvl w:val="0"/>
          <w:numId w:val="6"/>
        </w:numPr>
        <w:jc w:val="both"/>
        <w:rPr>
          <w:rStyle w:val="Heading2Char"/>
          <w:rFonts w:ascii="Corbel" w:eastAsiaTheme="minorEastAsia" w:hAnsi="Corbel" w:cstheme="minorBidi"/>
          <w:color w:val="auto"/>
          <w:sz w:val="22"/>
          <w:szCs w:val="22"/>
        </w:rPr>
      </w:pPr>
      <w:r>
        <w:rPr>
          <w:rFonts w:ascii="Corbel" w:hAnsi="Corbel"/>
        </w:rPr>
        <w:t>meeting the needs of a growing client base, particularly those presenting with complex needs.</w:t>
      </w:r>
    </w:p>
    <w:sdt>
      <w:sdtPr>
        <w:rPr>
          <w:rFonts w:ascii="Corbel" w:eastAsiaTheme="minorEastAsia" w:hAnsi="Corbel" w:cstheme="minorBidi"/>
          <w:color w:val="auto"/>
          <w:sz w:val="22"/>
          <w:szCs w:val="22"/>
        </w:rPr>
        <w:id w:val="-88394673"/>
        <w:docPartObj>
          <w:docPartGallery w:val="Table of Contents"/>
          <w:docPartUnique/>
        </w:docPartObj>
      </w:sdtPr>
      <w:sdtEndPr>
        <w:rPr>
          <w:b/>
          <w:bCs/>
          <w:noProof/>
        </w:rPr>
      </w:sdtEndPr>
      <w:sdtContent>
        <w:p w14:paraId="23891F26" w14:textId="77777777" w:rsidR="00025D84" w:rsidRDefault="00025D84" w:rsidP="00A60862">
          <w:pPr>
            <w:pStyle w:val="TOCHeading"/>
            <w:jc w:val="both"/>
            <w:rPr>
              <w:rFonts w:ascii="Corbel" w:eastAsiaTheme="minorEastAsia" w:hAnsi="Corbel" w:cstheme="minorBidi"/>
              <w:color w:val="auto"/>
              <w:sz w:val="22"/>
              <w:szCs w:val="22"/>
            </w:rPr>
          </w:pPr>
        </w:p>
        <w:p w14:paraId="6FA9BFD1" w14:textId="77777777" w:rsidR="00025D84" w:rsidRDefault="00025D84">
          <w:pPr>
            <w:spacing w:before="0"/>
            <w:rPr>
              <w:rFonts w:ascii="Corbel" w:hAnsi="Corbel"/>
            </w:rPr>
          </w:pPr>
          <w:r>
            <w:rPr>
              <w:rFonts w:ascii="Corbel" w:hAnsi="Corbel"/>
            </w:rPr>
            <w:br w:type="page"/>
          </w:r>
        </w:p>
        <w:p w14:paraId="4DFC4400" w14:textId="5E7CAA9A" w:rsidR="000A0865" w:rsidRPr="001D6F3C" w:rsidRDefault="000A0865" w:rsidP="00A60862">
          <w:pPr>
            <w:pStyle w:val="TOCHeading"/>
            <w:jc w:val="both"/>
            <w:rPr>
              <w:rFonts w:ascii="Corbel" w:hAnsi="Corbel"/>
            </w:rPr>
          </w:pPr>
          <w:r w:rsidRPr="001D6F3C">
            <w:rPr>
              <w:rFonts w:ascii="Corbel" w:hAnsi="Corbel"/>
            </w:rPr>
            <w:lastRenderedPageBreak/>
            <w:t>Table of Contents</w:t>
          </w:r>
        </w:p>
        <w:p w14:paraId="7B1CCA84" w14:textId="4BC2C2E1" w:rsidR="00D0415F" w:rsidRPr="004F5D02" w:rsidRDefault="000A0865" w:rsidP="004F5D02">
          <w:pPr>
            <w:pStyle w:val="TOC2"/>
            <w:rPr>
              <w:kern w:val="2"/>
              <w:lang w:eastAsia="en-NZ"/>
              <w14:ligatures w14:val="standardContextual"/>
            </w:rPr>
          </w:pPr>
          <w:r w:rsidRPr="001D6F3C">
            <w:rPr>
              <w:noProof w:val="0"/>
            </w:rPr>
            <w:fldChar w:fldCharType="begin"/>
          </w:r>
          <w:r w:rsidRPr="001D6F3C">
            <w:instrText xml:space="preserve"> TOC \o "1-3" \h \z \u </w:instrText>
          </w:r>
          <w:r w:rsidRPr="001D6F3C">
            <w:rPr>
              <w:noProof w:val="0"/>
            </w:rPr>
            <w:fldChar w:fldCharType="separate"/>
          </w:r>
          <w:hyperlink w:anchor="_Toc207782976" w:history="1">
            <w:r w:rsidR="00D0415F" w:rsidRPr="004F5D02">
              <w:rPr>
                <w:rStyle w:val="Hyperlink"/>
              </w:rPr>
              <w:t>Executive summary</w:t>
            </w:r>
            <w:r w:rsidR="00D0415F" w:rsidRPr="004F5D02">
              <w:rPr>
                <w:webHidden/>
              </w:rPr>
              <w:tab/>
            </w:r>
            <w:r w:rsidR="00D0415F" w:rsidRPr="004F5D02">
              <w:rPr>
                <w:webHidden/>
              </w:rPr>
              <w:fldChar w:fldCharType="begin"/>
            </w:r>
            <w:r w:rsidR="00D0415F" w:rsidRPr="004F5D02">
              <w:rPr>
                <w:webHidden/>
              </w:rPr>
              <w:instrText xml:space="preserve"> PAGEREF _Toc207782976 \h </w:instrText>
            </w:r>
            <w:r w:rsidR="00D0415F" w:rsidRPr="004F5D02">
              <w:rPr>
                <w:webHidden/>
              </w:rPr>
            </w:r>
            <w:r w:rsidR="00D0415F" w:rsidRPr="004F5D02">
              <w:rPr>
                <w:webHidden/>
              </w:rPr>
              <w:fldChar w:fldCharType="separate"/>
            </w:r>
            <w:r w:rsidR="00D0415F" w:rsidRPr="004F5D02">
              <w:rPr>
                <w:webHidden/>
              </w:rPr>
              <w:t>2</w:t>
            </w:r>
            <w:r w:rsidR="00D0415F" w:rsidRPr="004F5D02">
              <w:rPr>
                <w:webHidden/>
              </w:rPr>
              <w:fldChar w:fldCharType="end"/>
            </w:r>
          </w:hyperlink>
        </w:p>
        <w:p w14:paraId="1A92110F" w14:textId="149CE5BD" w:rsidR="00D0415F" w:rsidRDefault="00D0415F" w:rsidP="004F5D02">
          <w:pPr>
            <w:pStyle w:val="TOC2"/>
            <w:rPr>
              <w:kern w:val="2"/>
              <w:lang w:eastAsia="en-NZ"/>
              <w14:ligatures w14:val="standardContextual"/>
            </w:rPr>
          </w:pPr>
          <w:hyperlink w:anchor="_Toc207782977" w:history="1">
            <w:r w:rsidRPr="009A0E2E">
              <w:rPr>
                <w:rStyle w:val="Hyperlink"/>
              </w:rPr>
              <w:t>Introduction</w:t>
            </w:r>
            <w:r>
              <w:rPr>
                <w:webHidden/>
              </w:rPr>
              <w:tab/>
            </w:r>
            <w:r>
              <w:rPr>
                <w:webHidden/>
              </w:rPr>
              <w:fldChar w:fldCharType="begin"/>
            </w:r>
            <w:r>
              <w:rPr>
                <w:webHidden/>
              </w:rPr>
              <w:instrText xml:space="preserve"> PAGEREF _Toc207782977 \h </w:instrText>
            </w:r>
            <w:r>
              <w:rPr>
                <w:webHidden/>
              </w:rPr>
            </w:r>
            <w:r>
              <w:rPr>
                <w:webHidden/>
              </w:rPr>
              <w:fldChar w:fldCharType="separate"/>
            </w:r>
            <w:r>
              <w:rPr>
                <w:webHidden/>
              </w:rPr>
              <w:t>6</w:t>
            </w:r>
            <w:r>
              <w:rPr>
                <w:webHidden/>
              </w:rPr>
              <w:fldChar w:fldCharType="end"/>
            </w:r>
          </w:hyperlink>
        </w:p>
        <w:p w14:paraId="70A51D86" w14:textId="15C98599" w:rsidR="00D0415F" w:rsidRDefault="00D0415F" w:rsidP="004F5D02">
          <w:pPr>
            <w:pStyle w:val="TOC2"/>
            <w:rPr>
              <w:kern w:val="2"/>
              <w:lang w:eastAsia="en-NZ"/>
              <w14:ligatures w14:val="standardContextual"/>
            </w:rPr>
          </w:pPr>
          <w:hyperlink w:anchor="_Toc207782978" w:history="1">
            <w:r w:rsidRPr="009A0E2E">
              <w:rPr>
                <w:rStyle w:val="Hyperlink"/>
              </w:rPr>
              <w:t>Structure of this draft</w:t>
            </w:r>
            <w:r>
              <w:rPr>
                <w:webHidden/>
              </w:rPr>
              <w:tab/>
            </w:r>
            <w:r>
              <w:rPr>
                <w:webHidden/>
              </w:rPr>
              <w:fldChar w:fldCharType="begin"/>
            </w:r>
            <w:r>
              <w:rPr>
                <w:webHidden/>
              </w:rPr>
              <w:instrText xml:space="preserve"> PAGEREF _Toc207782978 \h </w:instrText>
            </w:r>
            <w:r>
              <w:rPr>
                <w:webHidden/>
              </w:rPr>
            </w:r>
            <w:r>
              <w:rPr>
                <w:webHidden/>
              </w:rPr>
              <w:fldChar w:fldCharType="separate"/>
            </w:r>
            <w:r>
              <w:rPr>
                <w:webHidden/>
              </w:rPr>
              <w:t>6</w:t>
            </w:r>
            <w:r>
              <w:rPr>
                <w:webHidden/>
              </w:rPr>
              <w:fldChar w:fldCharType="end"/>
            </w:r>
          </w:hyperlink>
        </w:p>
        <w:p w14:paraId="096A9CE9" w14:textId="55F1FCED" w:rsidR="00D0415F" w:rsidRDefault="00D0415F" w:rsidP="004F5D02">
          <w:pPr>
            <w:pStyle w:val="TOC2"/>
            <w:rPr>
              <w:kern w:val="2"/>
              <w:lang w:eastAsia="en-NZ"/>
              <w14:ligatures w14:val="standardContextual"/>
            </w:rPr>
          </w:pPr>
          <w:hyperlink w:anchor="_Toc207782979" w:history="1">
            <w:r w:rsidRPr="009A0E2E">
              <w:rPr>
                <w:rStyle w:val="Hyperlink"/>
              </w:rPr>
              <w:t>Companion papers</w:t>
            </w:r>
            <w:r>
              <w:rPr>
                <w:webHidden/>
              </w:rPr>
              <w:tab/>
            </w:r>
            <w:r>
              <w:rPr>
                <w:webHidden/>
              </w:rPr>
              <w:fldChar w:fldCharType="begin"/>
            </w:r>
            <w:r>
              <w:rPr>
                <w:webHidden/>
              </w:rPr>
              <w:instrText xml:space="preserve"> PAGEREF _Toc207782979 \h </w:instrText>
            </w:r>
            <w:r>
              <w:rPr>
                <w:webHidden/>
              </w:rPr>
            </w:r>
            <w:r>
              <w:rPr>
                <w:webHidden/>
              </w:rPr>
              <w:fldChar w:fldCharType="separate"/>
            </w:r>
            <w:r>
              <w:rPr>
                <w:webHidden/>
              </w:rPr>
              <w:t>7</w:t>
            </w:r>
            <w:r>
              <w:rPr>
                <w:webHidden/>
              </w:rPr>
              <w:fldChar w:fldCharType="end"/>
            </w:r>
          </w:hyperlink>
        </w:p>
        <w:p w14:paraId="5A125A9A" w14:textId="2E59C88D" w:rsidR="00D0415F" w:rsidRDefault="00D0415F" w:rsidP="004F5D02">
          <w:pPr>
            <w:pStyle w:val="TOC2"/>
            <w:rPr>
              <w:kern w:val="2"/>
              <w:lang w:eastAsia="en-NZ"/>
              <w14:ligatures w14:val="standardContextual"/>
            </w:rPr>
          </w:pPr>
          <w:hyperlink w:anchor="_Toc207782980" w:history="1">
            <w:r w:rsidRPr="009A0E2E">
              <w:rPr>
                <w:rStyle w:val="Hyperlink"/>
              </w:rPr>
              <w:t>Consultation – what we heard through the first phase</w:t>
            </w:r>
            <w:r>
              <w:rPr>
                <w:webHidden/>
              </w:rPr>
              <w:tab/>
            </w:r>
            <w:r>
              <w:rPr>
                <w:webHidden/>
              </w:rPr>
              <w:fldChar w:fldCharType="begin"/>
            </w:r>
            <w:r>
              <w:rPr>
                <w:webHidden/>
              </w:rPr>
              <w:instrText xml:space="preserve"> PAGEREF _Toc207782980 \h </w:instrText>
            </w:r>
            <w:r>
              <w:rPr>
                <w:webHidden/>
              </w:rPr>
            </w:r>
            <w:r>
              <w:rPr>
                <w:webHidden/>
              </w:rPr>
              <w:fldChar w:fldCharType="separate"/>
            </w:r>
            <w:r>
              <w:rPr>
                <w:webHidden/>
              </w:rPr>
              <w:t>7</w:t>
            </w:r>
            <w:r>
              <w:rPr>
                <w:webHidden/>
              </w:rPr>
              <w:fldChar w:fldCharType="end"/>
            </w:r>
          </w:hyperlink>
        </w:p>
        <w:p w14:paraId="0D2ABC7C" w14:textId="58FD568C" w:rsidR="00D0415F" w:rsidRDefault="00D0415F" w:rsidP="004F5D02">
          <w:pPr>
            <w:pStyle w:val="TOC2"/>
            <w:rPr>
              <w:kern w:val="2"/>
              <w:lang w:eastAsia="en-NZ"/>
              <w14:ligatures w14:val="standardContextual"/>
            </w:rPr>
          </w:pPr>
          <w:hyperlink w:anchor="_Toc207782981" w:history="1">
            <w:r w:rsidRPr="009A0E2E">
              <w:rPr>
                <w:rStyle w:val="Hyperlink"/>
              </w:rPr>
              <w:t>Principles of Te Tiriti o Waitangi / the Treaty of Waitangi</w:t>
            </w:r>
            <w:r>
              <w:rPr>
                <w:webHidden/>
              </w:rPr>
              <w:tab/>
            </w:r>
            <w:r>
              <w:rPr>
                <w:webHidden/>
              </w:rPr>
              <w:fldChar w:fldCharType="begin"/>
            </w:r>
            <w:r>
              <w:rPr>
                <w:webHidden/>
              </w:rPr>
              <w:instrText xml:space="preserve"> PAGEREF _Toc207782981 \h </w:instrText>
            </w:r>
            <w:r>
              <w:rPr>
                <w:webHidden/>
              </w:rPr>
            </w:r>
            <w:r>
              <w:rPr>
                <w:webHidden/>
              </w:rPr>
              <w:fldChar w:fldCharType="separate"/>
            </w:r>
            <w:r>
              <w:rPr>
                <w:webHidden/>
              </w:rPr>
              <w:t>8</w:t>
            </w:r>
            <w:r>
              <w:rPr>
                <w:webHidden/>
              </w:rPr>
              <w:fldChar w:fldCharType="end"/>
            </w:r>
          </w:hyperlink>
        </w:p>
        <w:p w14:paraId="3B8DA229" w14:textId="49B42002" w:rsidR="00D0415F" w:rsidRDefault="00D0415F">
          <w:pPr>
            <w:pStyle w:val="TOC1"/>
            <w:tabs>
              <w:tab w:val="right" w:leader="dot" w:pos="9016"/>
            </w:tabs>
            <w:rPr>
              <w:noProof/>
              <w:kern w:val="2"/>
              <w:lang w:eastAsia="en-NZ"/>
              <w14:ligatures w14:val="standardContextual"/>
            </w:rPr>
          </w:pPr>
          <w:hyperlink w:anchor="_Toc207782982" w:history="1">
            <w:r w:rsidRPr="009A0E2E">
              <w:rPr>
                <w:rStyle w:val="Hyperlink"/>
                <w:rFonts w:cstheme="minorHAnsi"/>
                <w:noProof/>
              </w:rPr>
              <w:t>Part one: older people in New Zealand</w:t>
            </w:r>
            <w:r>
              <w:rPr>
                <w:noProof/>
                <w:webHidden/>
              </w:rPr>
              <w:tab/>
            </w:r>
            <w:r>
              <w:rPr>
                <w:noProof/>
                <w:webHidden/>
              </w:rPr>
              <w:fldChar w:fldCharType="begin"/>
            </w:r>
            <w:r>
              <w:rPr>
                <w:noProof/>
                <w:webHidden/>
              </w:rPr>
              <w:instrText xml:space="preserve"> PAGEREF _Toc207782982 \h </w:instrText>
            </w:r>
            <w:r>
              <w:rPr>
                <w:noProof/>
                <w:webHidden/>
              </w:rPr>
            </w:r>
            <w:r>
              <w:rPr>
                <w:noProof/>
                <w:webHidden/>
              </w:rPr>
              <w:fldChar w:fldCharType="separate"/>
            </w:r>
            <w:r>
              <w:rPr>
                <w:noProof/>
                <w:webHidden/>
              </w:rPr>
              <w:t>10</w:t>
            </w:r>
            <w:r>
              <w:rPr>
                <w:noProof/>
                <w:webHidden/>
              </w:rPr>
              <w:fldChar w:fldCharType="end"/>
            </w:r>
          </w:hyperlink>
        </w:p>
        <w:p w14:paraId="4392D2D0" w14:textId="3A2DC091" w:rsidR="00D0415F" w:rsidRDefault="00D0415F" w:rsidP="004F5D02">
          <w:pPr>
            <w:pStyle w:val="TOC2"/>
            <w:rPr>
              <w:kern w:val="2"/>
              <w:lang w:eastAsia="en-NZ"/>
              <w14:ligatures w14:val="standardContextual"/>
            </w:rPr>
          </w:pPr>
          <w:hyperlink w:anchor="_Toc207782983" w:history="1">
            <w:r w:rsidRPr="009A0E2E">
              <w:rPr>
                <w:rStyle w:val="Hyperlink"/>
              </w:rPr>
              <w:t>1.1 Different experiences and expectations of later life</w:t>
            </w:r>
            <w:r>
              <w:rPr>
                <w:webHidden/>
              </w:rPr>
              <w:tab/>
            </w:r>
            <w:r>
              <w:rPr>
                <w:webHidden/>
              </w:rPr>
              <w:fldChar w:fldCharType="begin"/>
            </w:r>
            <w:r>
              <w:rPr>
                <w:webHidden/>
              </w:rPr>
              <w:instrText xml:space="preserve"> PAGEREF _Toc207782983 \h </w:instrText>
            </w:r>
            <w:r>
              <w:rPr>
                <w:webHidden/>
              </w:rPr>
            </w:r>
            <w:r>
              <w:rPr>
                <w:webHidden/>
              </w:rPr>
              <w:fldChar w:fldCharType="separate"/>
            </w:r>
            <w:r>
              <w:rPr>
                <w:webHidden/>
              </w:rPr>
              <w:t>11</w:t>
            </w:r>
            <w:r>
              <w:rPr>
                <w:webHidden/>
              </w:rPr>
              <w:fldChar w:fldCharType="end"/>
            </w:r>
          </w:hyperlink>
        </w:p>
        <w:p w14:paraId="72AE602F" w14:textId="6A9D79AC" w:rsidR="00D0415F" w:rsidRDefault="00D0415F" w:rsidP="004F5D02">
          <w:pPr>
            <w:pStyle w:val="TOC2"/>
            <w:rPr>
              <w:kern w:val="2"/>
              <w:lang w:eastAsia="en-NZ"/>
              <w14:ligatures w14:val="standardContextual"/>
            </w:rPr>
          </w:pPr>
          <w:hyperlink w:anchor="_Toc207782984" w:history="1">
            <w:r w:rsidRPr="009A0E2E">
              <w:rPr>
                <w:rStyle w:val="Hyperlink"/>
              </w:rPr>
              <w:t>1.2 Considering specific population groups</w:t>
            </w:r>
            <w:r>
              <w:rPr>
                <w:webHidden/>
              </w:rPr>
              <w:tab/>
            </w:r>
            <w:r>
              <w:rPr>
                <w:webHidden/>
              </w:rPr>
              <w:fldChar w:fldCharType="begin"/>
            </w:r>
            <w:r>
              <w:rPr>
                <w:webHidden/>
              </w:rPr>
              <w:instrText xml:space="preserve"> PAGEREF _Toc207782984 \h </w:instrText>
            </w:r>
            <w:r>
              <w:rPr>
                <w:webHidden/>
              </w:rPr>
            </w:r>
            <w:r>
              <w:rPr>
                <w:webHidden/>
              </w:rPr>
              <w:fldChar w:fldCharType="separate"/>
            </w:r>
            <w:r>
              <w:rPr>
                <w:webHidden/>
              </w:rPr>
              <w:t>12</w:t>
            </w:r>
            <w:r>
              <w:rPr>
                <w:webHidden/>
              </w:rPr>
              <w:fldChar w:fldCharType="end"/>
            </w:r>
          </w:hyperlink>
        </w:p>
        <w:p w14:paraId="26ACD71F" w14:textId="57C7A6DF" w:rsidR="00D0415F" w:rsidRDefault="00D0415F" w:rsidP="004F5D02">
          <w:pPr>
            <w:pStyle w:val="TOC2"/>
            <w:rPr>
              <w:kern w:val="2"/>
              <w:lang w:eastAsia="en-NZ"/>
              <w14:ligatures w14:val="standardContextual"/>
            </w:rPr>
          </w:pPr>
          <w:hyperlink w:anchor="_Toc207782985" w:history="1">
            <w:r w:rsidRPr="009A0E2E">
              <w:rPr>
                <w:rStyle w:val="Hyperlink"/>
              </w:rPr>
              <w:t>1.3 Population ageing – national projections</w:t>
            </w:r>
            <w:r>
              <w:rPr>
                <w:webHidden/>
              </w:rPr>
              <w:tab/>
            </w:r>
            <w:r>
              <w:rPr>
                <w:webHidden/>
              </w:rPr>
              <w:fldChar w:fldCharType="begin"/>
            </w:r>
            <w:r>
              <w:rPr>
                <w:webHidden/>
              </w:rPr>
              <w:instrText xml:space="preserve"> PAGEREF _Toc207782985 \h </w:instrText>
            </w:r>
            <w:r>
              <w:rPr>
                <w:webHidden/>
              </w:rPr>
            </w:r>
            <w:r>
              <w:rPr>
                <w:webHidden/>
              </w:rPr>
              <w:fldChar w:fldCharType="separate"/>
            </w:r>
            <w:r>
              <w:rPr>
                <w:webHidden/>
              </w:rPr>
              <w:t>14</w:t>
            </w:r>
            <w:r>
              <w:rPr>
                <w:webHidden/>
              </w:rPr>
              <w:fldChar w:fldCharType="end"/>
            </w:r>
          </w:hyperlink>
        </w:p>
        <w:p w14:paraId="4FC59767" w14:textId="6B2EE0F2" w:rsidR="00D0415F" w:rsidRDefault="00D0415F" w:rsidP="004F5D02">
          <w:pPr>
            <w:pStyle w:val="TOC2"/>
            <w:rPr>
              <w:kern w:val="2"/>
              <w:lang w:eastAsia="en-NZ"/>
              <w14:ligatures w14:val="standardContextual"/>
            </w:rPr>
          </w:pPr>
          <w:hyperlink w:anchor="_Toc207782986" w:history="1">
            <w:r w:rsidRPr="009A0E2E">
              <w:rPr>
                <w:rStyle w:val="Hyperlink"/>
              </w:rPr>
              <w:t>1.4 Population ageing – regional considerations</w:t>
            </w:r>
            <w:r>
              <w:rPr>
                <w:webHidden/>
              </w:rPr>
              <w:tab/>
            </w:r>
            <w:r>
              <w:rPr>
                <w:webHidden/>
              </w:rPr>
              <w:fldChar w:fldCharType="begin"/>
            </w:r>
            <w:r>
              <w:rPr>
                <w:webHidden/>
              </w:rPr>
              <w:instrText xml:space="preserve"> PAGEREF _Toc207782986 \h </w:instrText>
            </w:r>
            <w:r>
              <w:rPr>
                <w:webHidden/>
              </w:rPr>
            </w:r>
            <w:r>
              <w:rPr>
                <w:webHidden/>
              </w:rPr>
              <w:fldChar w:fldCharType="separate"/>
            </w:r>
            <w:r>
              <w:rPr>
                <w:webHidden/>
              </w:rPr>
              <w:t>16</w:t>
            </w:r>
            <w:r>
              <w:rPr>
                <w:webHidden/>
              </w:rPr>
              <w:fldChar w:fldCharType="end"/>
            </w:r>
          </w:hyperlink>
        </w:p>
        <w:p w14:paraId="6A4E2DC5" w14:textId="3672D1A8" w:rsidR="00D0415F" w:rsidRDefault="00D0415F">
          <w:pPr>
            <w:pStyle w:val="TOC1"/>
            <w:tabs>
              <w:tab w:val="right" w:leader="dot" w:pos="9016"/>
            </w:tabs>
            <w:rPr>
              <w:noProof/>
              <w:kern w:val="2"/>
              <w:lang w:eastAsia="en-NZ"/>
              <w14:ligatures w14:val="standardContextual"/>
            </w:rPr>
          </w:pPr>
          <w:hyperlink w:anchor="_Toc207782987" w:history="1">
            <w:r w:rsidRPr="009A0E2E">
              <w:rPr>
                <w:rStyle w:val="Hyperlink"/>
                <w:rFonts w:cstheme="minorHAnsi"/>
                <w:noProof/>
              </w:rPr>
              <w:t>Part two: poverty, hardship and disadvantage</w:t>
            </w:r>
            <w:r>
              <w:rPr>
                <w:noProof/>
                <w:webHidden/>
              </w:rPr>
              <w:tab/>
            </w:r>
            <w:r>
              <w:rPr>
                <w:noProof/>
                <w:webHidden/>
              </w:rPr>
              <w:fldChar w:fldCharType="begin"/>
            </w:r>
            <w:r>
              <w:rPr>
                <w:noProof/>
                <w:webHidden/>
              </w:rPr>
              <w:instrText xml:space="preserve"> PAGEREF _Toc207782987 \h </w:instrText>
            </w:r>
            <w:r>
              <w:rPr>
                <w:noProof/>
                <w:webHidden/>
              </w:rPr>
            </w:r>
            <w:r>
              <w:rPr>
                <w:noProof/>
                <w:webHidden/>
              </w:rPr>
              <w:fldChar w:fldCharType="separate"/>
            </w:r>
            <w:r>
              <w:rPr>
                <w:noProof/>
                <w:webHidden/>
              </w:rPr>
              <w:t>20</w:t>
            </w:r>
            <w:r>
              <w:rPr>
                <w:noProof/>
                <w:webHidden/>
              </w:rPr>
              <w:fldChar w:fldCharType="end"/>
            </w:r>
          </w:hyperlink>
        </w:p>
        <w:p w14:paraId="543ED939" w14:textId="3DA18C84" w:rsidR="00D0415F" w:rsidRDefault="00D0415F" w:rsidP="004F5D02">
          <w:pPr>
            <w:pStyle w:val="TOC2"/>
            <w:rPr>
              <w:kern w:val="2"/>
              <w:lang w:eastAsia="en-NZ"/>
              <w14:ligatures w14:val="standardContextual"/>
            </w:rPr>
          </w:pPr>
          <w:hyperlink w:anchor="_Toc207782988" w:history="1">
            <w:r w:rsidRPr="009A0E2E">
              <w:rPr>
                <w:rStyle w:val="Hyperlink"/>
              </w:rPr>
              <w:t>2.1 Key concepts: wellbeing, poverty, hardship and (multiple) disadvantage</w:t>
            </w:r>
            <w:r>
              <w:rPr>
                <w:webHidden/>
              </w:rPr>
              <w:tab/>
            </w:r>
            <w:r>
              <w:rPr>
                <w:webHidden/>
              </w:rPr>
              <w:fldChar w:fldCharType="begin"/>
            </w:r>
            <w:r>
              <w:rPr>
                <w:webHidden/>
              </w:rPr>
              <w:instrText xml:space="preserve"> PAGEREF _Toc207782988 \h </w:instrText>
            </w:r>
            <w:r>
              <w:rPr>
                <w:webHidden/>
              </w:rPr>
            </w:r>
            <w:r>
              <w:rPr>
                <w:webHidden/>
              </w:rPr>
              <w:fldChar w:fldCharType="separate"/>
            </w:r>
            <w:r>
              <w:rPr>
                <w:webHidden/>
              </w:rPr>
              <w:t>21</w:t>
            </w:r>
            <w:r>
              <w:rPr>
                <w:webHidden/>
              </w:rPr>
              <w:fldChar w:fldCharType="end"/>
            </w:r>
          </w:hyperlink>
        </w:p>
        <w:p w14:paraId="0A2046D0" w14:textId="67EAD462" w:rsidR="00D0415F" w:rsidRDefault="00D0415F" w:rsidP="004F5D02">
          <w:pPr>
            <w:pStyle w:val="TOC2"/>
            <w:rPr>
              <w:kern w:val="2"/>
              <w:lang w:eastAsia="en-NZ"/>
              <w14:ligatures w14:val="standardContextual"/>
            </w:rPr>
          </w:pPr>
          <w:hyperlink w:anchor="_Toc207782989" w:history="1">
            <w:r w:rsidRPr="009A0E2E">
              <w:rPr>
                <w:rStyle w:val="Hyperlink"/>
              </w:rPr>
              <w:t>2.2 Income poverty</w:t>
            </w:r>
            <w:r>
              <w:rPr>
                <w:webHidden/>
              </w:rPr>
              <w:tab/>
            </w:r>
            <w:r>
              <w:rPr>
                <w:webHidden/>
              </w:rPr>
              <w:fldChar w:fldCharType="begin"/>
            </w:r>
            <w:r>
              <w:rPr>
                <w:webHidden/>
              </w:rPr>
              <w:instrText xml:space="preserve"> PAGEREF _Toc207782989 \h </w:instrText>
            </w:r>
            <w:r>
              <w:rPr>
                <w:webHidden/>
              </w:rPr>
            </w:r>
            <w:r>
              <w:rPr>
                <w:webHidden/>
              </w:rPr>
              <w:fldChar w:fldCharType="separate"/>
            </w:r>
            <w:r>
              <w:rPr>
                <w:webHidden/>
              </w:rPr>
              <w:t>22</w:t>
            </w:r>
            <w:r>
              <w:rPr>
                <w:webHidden/>
              </w:rPr>
              <w:fldChar w:fldCharType="end"/>
            </w:r>
          </w:hyperlink>
        </w:p>
        <w:p w14:paraId="13494AA5" w14:textId="24D00085" w:rsidR="00D0415F" w:rsidRDefault="00D0415F" w:rsidP="004F5D02">
          <w:pPr>
            <w:pStyle w:val="TOC2"/>
            <w:rPr>
              <w:kern w:val="2"/>
              <w:lang w:eastAsia="en-NZ"/>
              <w14:ligatures w14:val="standardContextual"/>
            </w:rPr>
          </w:pPr>
          <w:hyperlink w:anchor="_Toc207782990" w:history="1">
            <w:r w:rsidRPr="009A0E2E">
              <w:rPr>
                <w:rStyle w:val="Hyperlink"/>
              </w:rPr>
              <w:t>2.3 Material hardship</w:t>
            </w:r>
            <w:r>
              <w:rPr>
                <w:webHidden/>
              </w:rPr>
              <w:tab/>
            </w:r>
            <w:r>
              <w:rPr>
                <w:webHidden/>
              </w:rPr>
              <w:fldChar w:fldCharType="begin"/>
            </w:r>
            <w:r>
              <w:rPr>
                <w:webHidden/>
              </w:rPr>
              <w:instrText xml:space="preserve"> PAGEREF _Toc207782990 \h </w:instrText>
            </w:r>
            <w:r>
              <w:rPr>
                <w:webHidden/>
              </w:rPr>
            </w:r>
            <w:r>
              <w:rPr>
                <w:webHidden/>
              </w:rPr>
              <w:fldChar w:fldCharType="separate"/>
            </w:r>
            <w:r>
              <w:rPr>
                <w:webHidden/>
              </w:rPr>
              <w:t>23</w:t>
            </w:r>
            <w:r>
              <w:rPr>
                <w:webHidden/>
              </w:rPr>
              <w:fldChar w:fldCharType="end"/>
            </w:r>
          </w:hyperlink>
        </w:p>
        <w:p w14:paraId="7DC14E71" w14:textId="4E28DBC1" w:rsidR="00D0415F" w:rsidRDefault="00D0415F" w:rsidP="004F5D02">
          <w:pPr>
            <w:pStyle w:val="TOC2"/>
            <w:rPr>
              <w:kern w:val="2"/>
              <w:lang w:eastAsia="en-NZ"/>
              <w14:ligatures w14:val="standardContextual"/>
            </w:rPr>
          </w:pPr>
          <w:hyperlink w:anchor="_Toc207782991" w:history="1">
            <w:r w:rsidRPr="009A0E2E">
              <w:rPr>
                <w:rStyle w:val="Hyperlink"/>
              </w:rPr>
              <w:t>2.4 Social wellbeing and health</w:t>
            </w:r>
            <w:r>
              <w:rPr>
                <w:webHidden/>
              </w:rPr>
              <w:tab/>
            </w:r>
            <w:r>
              <w:rPr>
                <w:webHidden/>
              </w:rPr>
              <w:fldChar w:fldCharType="begin"/>
            </w:r>
            <w:r>
              <w:rPr>
                <w:webHidden/>
              </w:rPr>
              <w:instrText xml:space="preserve"> PAGEREF _Toc207782991 \h </w:instrText>
            </w:r>
            <w:r>
              <w:rPr>
                <w:webHidden/>
              </w:rPr>
            </w:r>
            <w:r>
              <w:rPr>
                <w:webHidden/>
              </w:rPr>
              <w:fldChar w:fldCharType="separate"/>
            </w:r>
            <w:r>
              <w:rPr>
                <w:webHidden/>
              </w:rPr>
              <w:t>26</w:t>
            </w:r>
            <w:r>
              <w:rPr>
                <w:webHidden/>
              </w:rPr>
              <w:fldChar w:fldCharType="end"/>
            </w:r>
          </w:hyperlink>
        </w:p>
        <w:p w14:paraId="7BEB2F39" w14:textId="741FBCD5" w:rsidR="00D0415F" w:rsidRDefault="00D0415F" w:rsidP="004F5D02">
          <w:pPr>
            <w:pStyle w:val="TOC2"/>
            <w:rPr>
              <w:kern w:val="2"/>
              <w:lang w:eastAsia="en-NZ"/>
              <w14:ligatures w14:val="standardContextual"/>
            </w:rPr>
          </w:pPr>
          <w:hyperlink w:anchor="_Toc207782992" w:history="1">
            <w:r w:rsidRPr="009A0E2E">
              <w:rPr>
                <w:rStyle w:val="Hyperlink"/>
              </w:rPr>
              <w:t>2.5 Multiple disadvantage</w:t>
            </w:r>
            <w:r>
              <w:rPr>
                <w:webHidden/>
              </w:rPr>
              <w:tab/>
            </w:r>
            <w:r>
              <w:rPr>
                <w:webHidden/>
              </w:rPr>
              <w:fldChar w:fldCharType="begin"/>
            </w:r>
            <w:r>
              <w:rPr>
                <w:webHidden/>
              </w:rPr>
              <w:instrText xml:space="preserve"> PAGEREF _Toc207782992 \h </w:instrText>
            </w:r>
            <w:r>
              <w:rPr>
                <w:webHidden/>
              </w:rPr>
            </w:r>
            <w:r>
              <w:rPr>
                <w:webHidden/>
              </w:rPr>
              <w:fldChar w:fldCharType="separate"/>
            </w:r>
            <w:r>
              <w:rPr>
                <w:webHidden/>
              </w:rPr>
              <w:t>27</w:t>
            </w:r>
            <w:r>
              <w:rPr>
                <w:webHidden/>
              </w:rPr>
              <w:fldChar w:fldCharType="end"/>
            </w:r>
          </w:hyperlink>
        </w:p>
        <w:p w14:paraId="087F8663" w14:textId="61753EB0" w:rsidR="00D0415F" w:rsidRDefault="00D0415F" w:rsidP="004F5D02">
          <w:pPr>
            <w:pStyle w:val="TOC2"/>
            <w:rPr>
              <w:kern w:val="2"/>
              <w:lang w:eastAsia="en-NZ"/>
              <w14:ligatures w14:val="standardContextual"/>
            </w:rPr>
          </w:pPr>
          <w:hyperlink w:anchor="_Toc207782993" w:history="1">
            <w:r w:rsidRPr="009A0E2E">
              <w:rPr>
                <w:rStyle w:val="Hyperlink"/>
              </w:rPr>
              <w:t>2.6 Multiple disadvantage – life trajectories</w:t>
            </w:r>
            <w:r>
              <w:rPr>
                <w:webHidden/>
              </w:rPr>
              <w:tab/>
            </w:r>
            <w:r>
              <w:rPr>
                <w:webHidden/>
              </w:rPr>
              <w:fldChar w:fldCharType="begin"/>
            </w:r>
            <w:r>
              <w:rPr>
                <w:webHidden/>
              </w:rPr>
              <w:instrText xml:space="preserve"> PAGEREF _Toc207782993 \h </w:instrText>
            </w:r>
            <w:r>
              <w:rPr>
                <w:webHidden/>
              </w:rPr>
            </w:r>
            <w:r>
              <w:rPr>
                <w:webHidden/>
              </w:rPr>
              <w:fldChar w:fldCharType="separate"/>
            </w:r>
            <w:r>
              <w:rPr>
                <w:webHidden/>
              </w:rPr>
              <w:t>31</w:t>
            </w:r>
            <w:r>
              <w:rPr>
                <w:webHidden/>
              </w:rPr>
              <w:fldChar w:fldCharType="end"/>
            </w:r>
          </w:hyperlink>
        </w:p>
        <w:p w14:paraId="1F532E00" w14:textId="5F4E6C10" w:rsidR="00D0415F" w:rsidRDefault="00D0415F">
          <w:pPr>
            <w:pStyle w:val="TOC1"/>
            <w:tabs>
              <w:tab w:val="right" w:leader="dot" w:pos="9016"/>
            </w:tabs>
            <w:rPr>
              <w:noProof/>
              <w:kern w:val="2"/>
              <w:lang w:eastAsia="en-NZ"/>
              <w14:ligatures w14:val="standardContextual"/>
            </w:rPr>
          </w:pPr>
          <w:hyperlink w:anchor="_Toc207782994" w:history="1">
            <w:r w:rsidRPr="009A0E2E">
              <w:rPr>
                <w:rStyle w:val="Hyperlink"/>
                <w:rFonts w:cstheme="minorHAnsi"/>
                <w:noProof/>
              </w:rPr>
              <w:t>Part three: Trends in key drivers of disadvantage</w:t>
            </w:r>
            <w:r>
              <w:rPr>
                <w:noProof/>
                <w:webHidden/>
              </w:rPr>
              <w:tab/>
            </w:r>
            <w:r>
              <w:rPr>
                <w:noProof/>
                <w:webHidden/>
              </w:rPr>
              <w:fldChar w:fldCharType="begin"/>
            </w:r>
            <w:r>
              <w:rPr>
                <w:noProof/>
                <w:webHidden/>
              </w:rPr>
              <w:instrText xml:space="preserve"> PAGEREF _Toc207782994 \h </w:instrText>
            </w:r>
            <w:r>
              <w:rPr>
                <w:noProof/>
                <w:webHidden/>
              </w:rPr>
            </w:r>
            <w:r>
              <w:rPr>
                <w:noProof/>
                <w:webHidden/>
              </w:rPr>
              <w:fldChar w:fldCharType="separate"/>
            </w:r>
            <w:r>
              <w:rPr>
                <w:noProof/>
                <w:webHidden/>
              </w:rPr>
              <w:t>32</w:t>
            </w:r>
            <w:r>
              <w:rPr>
                <w:noProof/>
                <w:webHidden/>
              </w:rPr>
              <w:fldChar w:fldCharType="end"/>
            </w:r>
          </w:hyperlink>
        </w:p>
        <w:p w14:paraId="55188C04" w14:textId="0ACED6B1" w:rsidR="00D0415F" w:rsidRDefault="00D0415F" w:rsidP="004F5D02">
          <w:pPr>
            <w:pStyle w:val="TOC2"/>
            <w:rPr>
              <w:kern w:val="2"/>
              <w:lang w:eastAsia="en-NZ"/>
              <w14:ligatures w14:val="standardContextual"/>
            </w:rPr>
          </w:pPr>
          <w:hyperlink w:anchor="_Toc207782995" w:history="1">
            <w:r w:rsidRPr="009A0E2E">
              <w:rPr>
                <w:rStyle w:val="Hyperlink"/>
              </w:rPr>
              <w:t>3.1 Drivers of material wellbeing and hardship</w:t>
            </w:r>
            <w:r>
              <w:rPr>
                <w:webHidden/>
              </w:rPr>
              <w:tab/>
            </w:r>
            <w:r>
              <w:rPr>
                <w:webHidden/>
              </w:rPr>
              <w:fldChar w:fldCharType="begin"/>
            </w:r>
            <w:r>
              <w:rPr>
                <w:webHidden/>
              </w:rPr>
              <w:instrText xml:space="preserve"> PAGEREF _Toc207782995 \h </w:instrText>
            </w:r>
            <w:r>
              <w:rPr>
                <w:webHidden/>
              </w:rPr>
            </w:r>
            <w:r>
              <w:rPr>
                <w:webHidden/>
              </w:rPr>
              <w:fldChar w:fldCharType="separate"/>
            </w:r>
            <w:r>
              <w:rPr>
                <w:webHidden/>
              </w:rPr>
              <w:t>33</w:t>
            </w:r>
            <w:r>
              <w:rPr>
                <w:webHidden/>
              </w:rPr>
              <w:fldChar w:fldCharType="end"/>
            </w:r>
          </w:hyperlink>
        </w:p>
        <w:p w14:paraId="29C06360" w14:textId="0581C5CD" w:rsidR="00D0415F" w:rsidRDefault="00D0415F" w:rsidP="004F5D02">
          <w:pPr>
            <w:pStyle w:val="TOC2"/>
            <w:rPr>
              <w:kern w:val="2"/>
              <w:lang w:eastAsia="en-NZ"/>
              <w14:ligatures w14:val="standardContextual"/>
            </w:rPr>
          </w:pPr>
          <w:hyperlink w:anchor="_Toc207782996" w:history="1">
            <w:r w:rsidRPr="009A0E2E">
              <w:rPr>
                <w:rStyle w:val="Hyperlink"/>
              </w:rPr>
              <w:t xml:space="preserve">3.2 </w:t>
            </w:r>
            <w:r w:rsidRPr="004F5D02">
              <w:rPr>
                <w:rStyle w:val="Hyperlink"/>
              </w:rPr>
              <w:t>Employment</w:t>
            </w:r>
            <w:r w:rsidRPr="009A0E2E">
              <w:rPr>
                <w:rStyle w:val="Hyperlink"/>
                <w:b/>
                <w:bCs/>
              </w:rPr>
              <w:t xml:space="preserve"> </w:t>
            </w:r>
            <w:r w:rsidRPr="009A0E2E">
              <w:rPr>
                <w:rStyle w:val="Hyperlink"/>
              </w:rPr>
              <w:t>- recent trends and future possibilities</w:t>
            </w:r>
            <w:r>
              <w:rPr>
                <w:webHidden/>
              </w:rPr>
              <w:tab/>
            </w:r>
            <w:r>
              <w:rPr>
                <w:webHidden/>
              </w:rPr>
              <w:fldChar w:fldCharType="begin"/>
            </w:r>
            <w:r>
              <w:rPr>
                <w:webHidden/>
              </w:rPr>
              <w:instrText xml:space="preserve"> PAGEREF _Toc207782996 \h </w:instrText>
            </w:r>
            <w:r>
              <w:rPr>
                <w:webHidden/>
              </w:rPr>
            </w:r>
            <w:r>
              <w:rPr>
                <w:webHidden/>
              </w:rPr>
              <w:fldChar w:fldCharType="separate"/>
            </w:r>
            <w:r>
              <w:rPr>
                <w:webHidden/>
              </w:rPr>
              <w:t>36</w:t>
            </w:r>
            <w:r>
              <w:rPr>
                <w:webHidden/>
              </w:rPr>
              <w:fldChar w:fldCharType="end"/>
            </w:r>
          </w:hyperlink>
        </w:p>
        <w:p w14:paraId="54B11F42" w14:textId="5B6FA96E" w:rsidR="00D0415F" w:rsidRDefault="00D0415F" w:rsidP="004F5D02">
          <w:pPr>
            <w:pStyle w:val="TOC2"/>
            <w:rPr>
              <w:kern w:val="2"/>
              <w:lang w:eastAsia="en-NZ"/>
              <w14:ligatures w14:val="standardContextual"/>
            </w:rPr>
          </w:pPr>
          <w:hyperlink w:anchor="_Toc207782997" w:history="1">
            <w:r w:rsidRPr="009A0E2E">
              <w:rPr>
                <w:rStyle w:val="Hyperlink"/>
              </w:rPr>
              <w:t xml:space="preserve">3.3 </w:t>
            </w:r>
            <w:r w:rsidRPr="004F5D02">
              <w:rPr>
                <w:rStyle w:val="Hyperlink"/>
              </w:rPr>
              <w:t>Employment</w:t>
            </w:r>
            <w:r w:rsidRPr="009A0E2E">
              <w:rPr>
                <w:rStyle w:val="Hyperlink"/>
                <w:b/>
                <w:bCs/>
              </w:rPr>
              <w:t xml:space="preserve"> </w:t>
            </w:r>
            <w:r w:rsidRPr="009A0E2E">
              <w:rPr>
                <w:rStyle w:val="Hyperlink"/>
              </w:rPr>
              <w:t>- benefit receipt and employment support</w:t>
            </w:r>
            <w:r>
              <w:rPr>
                <w:webHidden/>
              </w:rPr>
              <w:tab/>
            </w:r>
            <w:r>
              <w:rPr>
                <w:webHidden/>
              </w:rPr>
              <w:fldChar w:fldCharType="begin"/>
            </w:r>
            <w:r>
              <w:rPr>
                <w:webHidden/>
              </w:rPr>
              <w:instrText xml:space="preserve"> PAGEREF _Toc207782997 \h </w:instrText>
            </w:r>
            <w:r>
              <w:rPr>
                <w:webHidden/>
              </w:rPr>
            </w:r>
            <w:r>
              <w:rPr>
                <w:webHidden/>
              </w:rPr>
              <w:fldChar w:fldCharType="separate"/>
            </w:r>
            <w:r>
              <w:rPr>
                <w:webHidden/>
              </w:rPr>
              <w:t>38</w:t>
            </w:r>
            <w:r>
              <w:rPr>
                <w:webHidden/>
              </w:rPr>
              <w:fldChar w:fldCharType="end"/>
            </w:r>
          </w:hyperlink>
        </w:p>
        <w:p w14:paraId="2A090876" w14:textId="51EFC1A0" w:rsidR="00D0415F" w:rsidRDefault="00D0415F" w:rsidP="004F5D02">
          <w:pPr>
            <w:pStyle w:val="TOC2"/>
            <w:rPr>
              <w:kern w:val="2"/>
              <w:lang w:eastAsia="en-NZ"/>
              <w14:ligatures w14:val="standardContextual"/>
            </w:rPr>
          </w:pPr>
          <w:hyperlink w:anchor="_Toc207782998" w:history="1">
            <w:r w:rsidRPr="009A0E2E">
              <w:rPr>
                <w:rStyle w:val="Hyperlink"/>
              </w:rPr>
              <w:t xml:space="preserve">3.4 </w:t>
            </w:r>
            <w:r w:rsidRPr="004F5D02">
              <w:rPr>
                <w:rStyle w:val="Hyperlink"/>
              </w:rPr>
              <w:t>Income</w:t>
            </w:r>
            <w:r w:rsidRPr="009A0E2E">
              <w:rPr>
                <w:rStyle w:val="Hyperlink"/>
                <w:b/>
                <w:bCs/>
              </w:rPr>
              <w:t xml:space="preserve"> </w:t>
            </w:r>
            <w:r w:rsidRPr="004F5D02">
              <w:rPr>
                <w:rStyle w:val="Hyperlink"/>
              </w:rPr>
              <w:t>support</w:t>
            </w:r>
            <w:r w:rsidRPr="009A0E2E">
              <w:rPr>
                <w:rStyle w:val="Hyperlink"/>
                <w:b/>
                <w:bCs/>
              </w:rPr>
              <w:t xml:space="preserve"> </w:t>
            </w:r>
            <w:r w:rsidRPr="009A0E2E">
              <w:rPr>
                <w:rStyle w:val="Hyperlink"/>
              </w:rPr>
              <w:t>- NZS settings</w:t>
            </w:r>
            <w:r>
              <w:rPr>
                <w:webHidden/>
              </w:rPr>
              <w:tab/>
            </w:r>
            <w:r>
              <w:rPr>
                <w:webHidden/>
              </w:rPr>
              <w:fldChar w:fldCharType="begin"/>
            </w:r>
            <w:r>
              <w:rPr>
                <w:webHidden/>
              </w:rPr>
              <w:instrText xml:space="preserve"> PAGEREF _Toc207782998 \h </w:instrText>
            </w:r>
            <w:r>
              <w:rPr>
                <w:webHidden/>
              </w:rPr>
            </w:r>
            <w:r>
              <w:rPr>
                <w:webHidden/>
              </w:rPr>
              <w:fldChar w:fldCharType="separate"/>
            </w:r>
            <w:r>
              <w:rPr>
                <w:webHidden/>
              </w:rPr>
              <w:t>40</w:t>
            </w:r>
            <w:r>
              <w:rPr>
                <w:webHidden/>
              </w:rPr>
              <w:fldChar w:fldCharType="end"/>
            </w:r>
          </w:hyperlink>
        </w:p>
        <w:p w14:paraId="37965668" w14:textId="65B498BD" w:rsidR="00D0415F" w:rsidRDefault="00D0415F" w:rsidP="004F5D02">
          <w:pPr>
            <w:pStyle w:val="TOC2"/>
            <w:rPr>
              <w:kern w:val="2"/>
              <w:lang w:eastAsia="en-NZ"/>
              <w14:ligatures w14:val="standardContextual"/>
            </w:rPr>
          </w:pPr>
          <w:hyperlink w:anchor="_Toc207782999" w:history="1">
            <w:r w:rsidRPr="009A0E2E">
              <w:rPr>
                <w:rStyle w:val="Hyperlink"/>
              </w:rPr>
              <w:t xml:space="preserve">3.5 </w:t>
            </w:r>
            <w:r w:rsidRPr="004F5D02">
              <w:rPr>
                <w:rStyle w:val="Hyperlink"/>
              </w:rPr>
              <w:t>Income</w:t>
            </w:r>
            <w:r w:rsidRPr="009A0E2E">
              <w:rPr>
                <w:rStyle w:val="Hyperlink"/>
                <w:b/>
                <w:bCs/>
              </w:rPr>
              <w:t xml:space="preserve"> </w:t>
            </w:r>
            <w:r w:rsidRPr="004F5D02">
              <w:rPr>
                <w:rStyle w:val="Hyperlink"/>
              </w:rPr>
              <w:t>support</w:t>
            </w:r>
            <w:r w:rsidRPr="009A0E2E">
              <w:rPr>
                <w:rStyle w:val="Hyperlink"/>
                <w:b/>
                <w:bCs/>
              </w:rPr>
              <w:t xml:space="preserve"> </w:t>
            </w:r>
            <w:r w:rsidRPr="009A0E2E">
              <w:rPr>
                <w:rStyle w:val="Hyperlink"/>
              </w:rPr>
              <w:t>- trends in receipt</w:t>
            </w:r>
            <w:r>
              <w:rPr>
                <w:webHidden/>
              </w:rPr>
              <w:tab/>
            </w:r>
            <w:r>
              <w:rPr>
                <w:webHidden/>
              </w:rPr>
              <w:fldChar w:fldCharType="begin"/>
            </w:r>
            <w:r>
              <w:rPr>
                <w:webHidden/>
              </w:rPr>
              <w:instrText xml:space="preserve"> PAGEREF _Toc207782999 \h </w:instrText>
            </w:r>
            <w:r>
              <w:rPr>
                <w:webHidden/>
              </w:rPr>
            </w:r>
            <w:r>
              <w:rPr>
                <w:webHidden/>
              </w:rPr>
              <w:fldChar w:fldCharType="separate"/>
            </w:r>
            <w:r>
              <w:rPr>
                <w:webHidden/>
              </w:rPr>
              <w:t>41</w:t>
            </w:r>
            <w:r>
              <w:rPr>
                <w:webHidden/>
              </w:rPr>
              <w:fldChar w:fldCharType="end"/>
            </w:r>
          </w:hyperlink>
        </w:p>
        <w:p w14:paraId="1D7DAED2" w14:textId="002A9275" w:rsidR="00D0415F" w:rsidRDefault="00D0415F" w:rsidP="004F5D02">
          <w:pPr>
            <w:pStyle w:val="TOC2"/>
            <w:rPr>
              <w:kern w:val="2"/>
              <w:lang w:eastAsia="en-NZ"/>
              <w14:ligatures w14:val="standardContextual"/>
            </w:rPr>
          </w:pPr>
          <w:hyperlink w:anchor="_Toc207783000" w:history="1">
            <w:r w:rsidRPr="009A0E2E">
              <w:rPr>
                <w:rStyle w:val="Hyperlink"/>
              </w:rPr>
              <w:t xml:space="preserve">3.6 </w:t>
            </w:r>
            <w:r w:rsidRPr="004F5D02">
              <w:rPr>
                <w:rStyle w:val="Hyperlink"/>
              </w:rPr>
              <w:t>Income</w:t>
            </w:r>
            <w:r w:rsidRPr="009A0E2E">
              <w:rPr>
                <w:rStyle w:val="Hyperlink"/>
                <w:b/>
                <w:bCs/>
              </w:rPr>
              <w:t xml:space="preserve"> </w:t>
            </w:r>
            <w:r w:rsidRPr="004F5D02">
              <w:rPr>
                <w:rStyle w:val="Hyperlink"/>
              </w:rPr>
              <w:t>support</w:t>
            </w:r>
            <w:r w:rsidRPr="009A0E2E">
              <w:rPr>
                <w:rStyle w:val="Hyperlink"/>
              </w:rPr>
              <w:t xml:space="preserve"> – future possibilities</w:t>
            </w:r>
            <w:r>
              <w:rPr>
                <w:webHidden/>
              </w:rPr>
              <w:tab/>
            </w:r>
            <w:r>
              <w:rPr>
                <w:webHidden/>
              </w:rPr>
              <w:fldChar w:fldCharType="begin"/>
            </w:r>
            <w:r>
              <w:rPr>
                <w:webHidden/>
              </w:rPr>
              <w:instrText xml:space="preserve"> PAGEREF _Toc207783000 \h </w:instrText>
            </w:r>
            <w:r>
              <w:rPr>
                <w:webHidden/>
              </w:rPr>
            </w:r>
            <w:r>
              <w:rPr>
                <w:webHidden/>
              </w:rPr>
              <w:fldChar w:fldCharType="separate"/>
            </w:r>
            <w:r>
              <w:rPr>
                <w:webHidden/>
              </w:rPr>
              <w:t>43</w:t>
            </w:r>
            <w:r>
              <w:rPr>
                <w:webHidden/>
              </w:rPr>
              <w:fldChar w:fldCharType="end"/>
            </w:r>
          </w:hyperlink>
        </w:p>
        <w:p w14:paraId="79A87C5C" w14:textId="5A44D0AE" w:rsidR="00D0415F" w:rsidRDefault="00D0415F" w:rsidP="004F5D02">
          <w:pPr>
            <w:pStyle w:val="TOC2"/>
            <w:rPr>
              <w:kern w:val="2"/>
              <w:lang w:eastAsia="en-NZ"/>
              <w14:ligatures w14:val="standardContextual"/>
            </w:rPr>
          </w:pPr>
          <w:hyperlink w:anchor="_Toc207783001" w:history="1">
            <w:r w:rsidRPr="009A0E2E">
              <w:rPr>
                <w:rStyle w:val="Hyperlink"/>
              </w:rPr>
              <w:t xml:space="preserve">3.7 </w:t>
            </w:r>
            <w:r w:rsidRPr="004F5D02">
              <w:rPr>
                <w:rStyle w:val="Hyperlink"/>
              </w:rPr>
              <w:t>Housing</w:t>
            </w:r>
            <w:r w:rsidRPr="009A0E2E">
              <w:rPr>
                <w:rStyle w:val="Hyperlink"/>
                <w:b/>
                <w:bCs/>
              </w:rPr>
              <w:t xml:space="preserve"> </w:t>
            </w:r>
            <w:r w:rsidRPr="009A0E2E">
              <w:rPr>
                <w:rStyle w:val="Hyperlink"/>
              </w:rPr>
              <w:t>- recent trends</w:t>
            </w:r>
            <w:r>
              <w:rPr>
                <w:webHidden/>
              </w:rPr>
              <w:tab/>
            </w:r>
            <w:r>
              <w:rPr>
                <w:webHidden/>
              </w:rPr>
              <w:fldChar w:fldCharType="begin"/>
            </w:r>
            <w:r>
              <w:rPr>
                <w:webHidden/>
              </w:rPr>
              <w:instrText xml:space="preserve"> PAGEREF _Toc207783001 \h </w:instrText>
            </w:r>
            <w:r>
              <w:rPr>
                <w:webHidden/>
              </w:rPr>
            </w:r>
            <w:r>
              <w:rPr>
                <w:webHidden/>
              </w:rPr>
              <w:fldChar w:fldCharType="separate"/>
            </w:r>
            <w:r>
              <w:rPr>
                <w:webHidden/>
              </w:rPr>
              <w:t>45</w:t>
            </w:r>
            <w:r>
              <w:rPr>
                <w:webHidden/>
              </w:rPr>
              <w:fldChar w:fldCharType="end"/>
            </w:r>
          </w:hyperlink>
        </w:p>
        <w:p w14:paraId="4FB7DFF7" w14:textId="5440EEA6" w:rsidR="00D0415F" w:rsidRDefault="00D0415F" w:rsidP="004F5D02">
          <w:pPr>
            <w:pStyle w:val="TOC2"/>
            <w:rPr>
              <w:kern w:val="2"/>
              <w:lang w:eastAsia="en-NZ"/>
              <w14:ligatures w14:val="standardContextual"/>
            </w:rPr>
          </w:pPr>
          <w:hyperlink w:anchor="_Toc207783002" w:history="1">
            <w:r w:rsidRPr="009A0E2E">
              <w:rPr>
                <w:rStyle w:val="Hyperlink"/>
              </w:rPr>
              <w:t xml:space="preserve">3.8 </w:t>
            </w:r>
            <w:r w:rsidRPr="004F5D02">
              <w:rPr>
                <w:rStyle w:val="Hyperlink"/>
              </w:rPr>
              <w:t>Housing</w:t>
            </w:r>
            <w:r w:rsidRPr="009A0E2E">
              <w:rPr>
                <w:rStyle w:val="Hyperlink"/>
                <w:b/>
                <w:bCs/>
              </w:rPr>
              <w:t xml:space="preserve"> </w:t>
            </w:r>
            <w:r w:rsidRPr="009A0E2E">
              <w:rPr>
                <w:rStyle w:val="Hyperlink"/>
                <w:b/>
                <w:bCs/>
                <w:i/>
                <w:iCs/>
              </w:rPr>
              <w:t xml:space="preserve">- </w:t>
            </w:r>
            <w:r w:rsidRPr="009A0E2E">
              <w:rPr>
                <w:rStyle w:val="Hyperlink"/>
                <w:iCs/>
              </w:rPr>
              <w:t>future possibilities</w:t>
            </w:r>
            <w:r>
              <w:rPr>
                <w:webHidden/>
              </w:rPr>
              <w:tab/>
            </w:r>
            <w:r>
              <w:rPr>
                <w:webHidden/>
              </w:rPr>
              <w:fldChar w:fldCharType="begin"/>
            </w:r>
            <w:r>
              <w:rPr>
                <w:webHidden/>
              </w:rPr>
              <w:instrText xml:space="preserve"> PAGEREF _Toc207783002 \h </w:instrText>
            </w:r>
            <w:r>
              <w:rPr>
                <w:webHidden/>
              </w:rPr>
            </w:r>
            <w:r>
              <w:rPr>
                <w:webHidden/>
              </w:rPr>
              <w:fldChar w:fldCharType="separate"/>
            </w:r>
            <w:r>
              <w:rPr>
                <w:webHidden/>
              </w:rPr>
              <w:t>47</w:t>
            </w:r>
            <w:r>
              <w:rPr>
                <w:webHidden/>
              </w:rPr>
              <w:fldChar w:fldCharType="end"/>
            </w:r>
          </w:hyperlink>
        </w:p>
        <w:p w14:paraId="5C17DB06" w14:textId="20C3C5B1" w:rsidR="00D0415F" w:rsidRDefault="00D0415F" w:rsidP="004F5D02">
          <w:pPr>
            <w:pStyle w:val="TOC2"/>
            <w:rPr>
              <w:kern w:val="2"/>
              <w:lang w:eastAsia="en-NZ"/>
              <w14:ligatures w14:val="standardContextual"/>
            </w:rPr>
          </w:pPr>
          <w:hyperlink w:anchor="_Toc207783003" w:history="1">
            <w:r w:rsidRPr="009A0E2E">
              <w:rPr>
                <w:rStyle w:val="Hyperlink"/>
              </w:rPr>
              <w:t xml:space="preserve">3.9 </w:t>
            </w:r>
            <w:r w:rsidRPr="004F5D02">
              <w:rPr>
                <w:rStyle w:val="Hyperlink"/>
              </w:rPr>
              <w:t>Wealth</w:t>
            </w:r>
            <w:r w:rsidRPr="009A0E2E">
              <w:rPr>
                <w:rStyle w:val="Hyperlink"/>
                <w:b/>
                <w:bCs/>
              </w:rPr>
              <w:t xml:space="preserve"> </w:t>
            </w:r>
            <w:r w:rsidRPr="009A0E2E">
              <w:rPr>
                <w:rStyle w:val="Hyperlink"/>
                <w:b/>
                <w:bCs/>
                <w:i/>
                <w:iCs/>
              </w:rPr>
              <w:t xml:space="preserve">- </w:t>
            </w:r>
            <w:r w:rsidRPr="009A0E2E">
              <w:rPr>
                <w:rStyle w:val="Hyperlink"/>
                <w:iCs/>
              </w:rPr>
              <w:t>net worth and inheritances</w:t>
            </w:r>
            <w:r>
              <w:rPr>
                <w:webHidden/>
              </w:rPr>
              <w:tab/>
            </w:r>
            <w:r>
              <w:rPr>
                <w:webHidden/>
              </w:rPr>
              <w:fldChar w:fldCharType="begin"/>
            </w:r>
            <w:r>
              <w:rPr>
                <w:webHidden/>
              </w:rPr>
              <w:instrText xml:space="preserve"> PAGEREF _Toc207783003 \h </w:instrText>
            </w:r>
            <w:r>
              <w:rPr>
                <w:webHidden/>
              </w:rPr>
            </w:r>
            <w:r>
              <w:rPr>
                <w:webHidden/>
              </w:rPr>
              <w:fldChar w:fldCharType="separate"/>
            </w:r>
            <w:r>
              <w:rPr>
                <w:webHidden/>
              </w:rPr>
              <w:t>49</w:t>
            </w:r>
            <w:r>
              <w:rPr>
                <w:webHidden/>
              </w:rPr>
              <w:fldChar w:fldCharType="end"/>
            </w:r>
          </w:hyperlink>
        </w:p>
        <w:p w14:paraId="1A3A5C49" w14:textId="450DDEEA" w:rsidR="00D0415F" w:rsidRDefault="00D0415F" w:rsidP="004F5D02">
          <w:pPr>
            <w:pStyle w:val="TOC2"/>
            <w:rPr>
              <w:kern w:val="2"/>
              <w:lang w:eastAsia="en-NZ"/>
              <w14:ligatures w14:val="standardContextual"/>
            </w:rPr>
          </w:pPr>
          <w:hyperlink w:anchor="_Toc207783004" w:history="1">
            <w:r w:rsidRPr="009A0E2E">
              <w:rPr>
                <w:rStyle w:val="Hyperlink"/>
              </w:rPr>
              <w:t xml:space="preserve">3.10 </w:t>
            </w:r>
            <w:r w:rsidRPr="004F5D02">
              <w:rPr>
                <w:rStyle w:val="Hyperlink"/>
              </w:rPr>
              <w:t>Wealth</w:t>
            </w:r>
            <w:r w:rsidRPr="009A0E2E">
              <w:rPr>
                <w:rStyle w:val="Hyperlink"/>
                <w:b/>
                <w:bCs/>
              </w:rPr>
              <w:t xml:space="preserve"> </w:t>
            </w:r>
            <w:r w:rsidRPr="004F5D02">
              <w:rPr>
                <w:rStyle w:val="Hyperlink"/>
                <w:i/>
                <w:iCs/>
              </w:rPr>
              <w:t>–</w:t>
            </w:r>
            <w:r w:rsidRPr="009A0E2E">
              <w:rPr>
                <w:rStyle w:val="Hyperlink"/>
                <w:b/>
                <w:bCs/>
                <w:i/>
                <w:iCs/>
              </w:rPr>
              <w:t xml:space="preserve"> </w:t>
            </w:r>
            <w:r w:rsidRPr="009A0E2E">
              <w:rPr>
                <w:rStyle w:val="Hyperlink"/>
                <w:iCs/>
              </w:rPr>
              <w:t>KiwiSaver</w:t>
            </w:r>
            <w:r>
              <w:rPr>
                <w:webHidden/>
              </w:rPr>
              <w:tab/>
            </w:r>
            <w:r>
              <w:rPr>
                <w:webHidden/>
              </w:rPr>
              <w:fldChar w:fldCharType="begin"/>
            </w:r>
            <w:r>
              <w:rPr>
                <w:webHidden/>
              </w:rPr>
              <w:instrText xml:space="preserve"> PAGEREF _Toc207783004 \h </w:instrText>
            </w:r>
            <w:r>
              <w:rPr>
                <w:webHidden/>
              </w:rPr>
            </w:r>
            <w:r>
              <w:rPr>
                <w:webHidden/>
              </w:rPr>
              <w:fldChar w:fldCharType="separate"/>
            </w:r>
            <w:r>
              <w:rPr>
                <w:webHidden/>
              </w:rPr>
              <w:t>51</w:t>
            </w:r>
            <w:r>
              <w:rPr>
                <w:webHidden/>
              </w:rPr>
              <w:fldChar w:fldCharType="end"/>
            </w:r>
          </w:hyperlink>
        </w:p>
        <w:p w14:paraId="4BF30D99" w14:textId="482AFB1C" w:rsidR="00D0415F" w:rsidRDefault="00D0415F" w:rsidP="004F5D02">
          <w:pPr>
            <w:pStyle w:val="TOC2"/>
            <w:rPr>
              <w:kern w:val="2"/>
              <w:lang w:eastAsia="en-NZ"/>
              <w14:ligatures w14:val="standardContextual"/>
            </w:rPr>
          </w:pPr>
          <w:hyperlink w:anchor="_Toc207783005" w:history="1">
            <w:r w:rsidRPr="009A0E2E">
              <w:rPr>
                <w:rStyle w:val="Hyperlink"/>
              </w:rPr>
              <w:t xml:space="preserve">3.11 </w:t>
            </w:r>
            <w:r w:rsidRPr="004F5D02">
              <w:rPr>
                <w:rStyle w:val="Hyperlink"/>
              </w:rPr>
              <w:t xml:space="preserve">Health, disability and care </w:t>
            </w:r>
            <w:r w:rsidRPr="004F5D02">
              <w:rPr>
                <w:rStyle w:val="Hyperlink"/>
                <w:i/>
                <w:iCs/>
              </w:rPr>
              <w:t>-</w:t>
            </w:r>
            <w:r w:rsidRPr="009A0E2E">
              <w:rPr>
                <w:rStyle w:val="Hyperlink"/>
                <w:b/>
                <w:bCs/>
                <w:i/>
                <w:iCs/>
              </w:rPr>
              <w:t xml:space="preserve"> </w:t>
            </w:r>
            <w:r w:rsidRPr="009A0E2E">
              <w:rPr>
                <w:rStyle w:val="Hyperlink"/>
                <w:iCs/>
              </w:rPr>
              <w:t>recent trends</w:t>
            </w:r>
            <w:r>
              <w:rPr>
                <w:webHidden/>
              </w:rPr>
              <w:tab/>
            </w:r>
            <w:r>
              <w:rPr>
                <w:webHidden/>
              </w:rPr>
              <w:fldChar w:fldCharType="begin"/>
            </w:r>
            <w:r>
              <w:rPr>
                <w:webHidden/>
              </w:rPr>
              <w:instrText xml:space="preserve"> PAGEREF _Toc207783005 \h </w:instrText>
            </w:r>
            <w:r>
              <w:rPr>
                <w:webHidden/>
              </w:rPr>
            </w:r>
            <w:r>
              <w:rPr>
                <w:webHidden/>
              </w:rPr>
              <w:fldChar w:fldCharType="separate"/>
            </w:r>
            <w:r>
              <w:rPr>
                <w:webHidden/>
              </w:rPr>
              <w:t>53</w:t>
            </w:r>
            <w:r>
              <w:rPr>
                <w:webHidden/>
              </w:rPr>
              <w:fldChar w:fldCharType="end"/>
            </w:r>
          </w:hyperlink>
        </w:p>
        <w:p w14:paraId="465D7F72" w14:textId="1BBCB9D9" w:rsidR="00D0415F" w:rsidRDefault="004F5D02" w:rsidP="004F5D02">
          <w:pPr>
            <w:pStyle w:val="TOC2"/>
            <w:rPr>
              <w:kern w:val="2"/>
              <w:lang w:eastAsia="en-NZ"/>
              <w14:ligatures w14:val="standardContextual"/>
            </w:rPr>
          </w:pPr>
          <w:hyperlink w:anchor="_Toc207783006" w:history="1">
            <w:r>
              <w:rPr>
                <w:rStyle w:val="Hyperlink"/>
              </w:rPr>
              <w:t>3</w:t>
            </w:r>
            <w:r w:rsidR="00D0415F" w:rsidRPr="004F5D02">
              <w:rPr>
                <w:rStyle w:val="Hyperlink"/>
              </w:rPr>
              <w:t>.12</w:t>
            </w:r>
            <w:r w:rsidR="00D0415F" w:rsidRPr="009A0E2E">
              <w:rPr>
                <w:rStyle w:val="Hyperlink"/>
                <w:b/>
                <w:bCs/>
              </w:rPr>
              <w:t xml:space="preserve"> </w:t>
            </w:r>
            <w:r w:rsidR="00D0415F" w:rsidRPr="004F5D02">
              <w:rPr>
                <w:rStyle w:val="Hyperlink"/>
              </w:rPr>
              <w:t>Health, disability and care</w:t>
            </w:r>
            <w:r w:rsidR="00D0415F" w:rsidRPr="009A0E2E">
              <w:rPr>
                <w:rStyle w:val="Hyperlink"/>
              </w:rPr>
              <w:t xml:space="preserve"> - future possibilities</w:t>
            </w:r>
            <w:r w:rsidR="00D0415F">
              <w:rPr>
                <w:webHidden/>
              </w:rPr>
              <w:tab/>
            </w:r>
            <w:r w:rsidR="00D0415F">
              <w:rPr>
                <w:webHidden/>
              </w:rPr>
              <w:fldChar w:fldCharType="begin"/>
            </w:r>
            <w:r w:rsidR="00D0415F">
              <w:rPr>
                <w:webHidden/>
              </w:rPr>
              <w:instrText xml:space="preserve"> PAGEREF _Toc207783006 \h </w:instrText>
            </w:r>
            <w:r w:rsidR="00D0415F">
              <w:rPr>
                <w:webHidden/>
              </w:rPr>
            </w:r>
            <w:r w:rsidR="00D0415F">
              <w:rPr>
                <w:webHidden/>
              </w:rPr>
              <w:fldChar w:fldCharType="separate"/>
            </w:r>
            <w:r w:rsidR="00D0415F">
              <w:rPr>
                <w:webHidden/>
              </w:rPr>
              <w:t>54</w:t>
            </w:r>
            <w:r w:rsidR="00D0415F">
              <w:rPr>
                <w:webHidden/>
              </w:rPr>
              <w:fldChar w:fldCharType="end"/>
            </w:r>
          </w:hyperlink>
        </w:p>
        <w:p w14:paraId="0BEF2297" w14:textId="29F63F46" w:rsidR="00D0415F" w:rsidRDefault="00D0415F" w:rsidP="004F5D02">
          <w:pPr>
            <w:pStyle w:val="TOC2"/>
            <w:rPr>
              <w:kern w:val="2"/>
              <w:lang w:eastAsia="en-NZ"/>
              <w14:ligatures w14:val="standardContextual"/>
            </w:rPr>
          </w:pPr>
          <w:hyperlink w:anchor="_Toc207783007" w:history="1">
            <w:r w:rsidRPr="009A0E2E">
              <w:rPr>
                <w:rStyle w:val="Hyperlink"/>
              </w:rPr>
              <w:t xml:space="preserve">3.13 </w:t>
            </w:r>
            <w:r w:rsidRPr="004F5D02">
              <w:rPr>
                <w:rStyle w:val="Hyperlink"/>
              </w:rPr>
              <w:t>Communities - s</w:t>
            </w:r>
            <w:r w:rsidRPr="009A0E2E">
              <w:rPr>
                <w:rStyle w:val="Hyperlink"/>
              </w:rPr>
              <w:t>ocial connection and isolation</w:t>
            </w:r>
            <w:r>
              <w:rPr>
                <w:webHidden/>
              </w:rPr>
              <w:tab/>
            </w:r>
            <w:r>
              <w:rPr>
                <w:webHidden/>
              </w:rPr>
              <w:fldChar w:fldCharType="begin"/>
            </w:r>
            <w:r>
              <w:rPr>
                <w:webHidden/>
              </w:rPr>
              <w:instrText xml:space="preserve"> PAGEREF _Toc207783007 \h </w:instrText>
            </w:r>
            <w:r>
              <w:rPr>
                <w:webHidden/>
              </w:rPr>
            </w:r>
            <w:r>
              <w:rPr>
                <w:webHidden/>
              </w:rPr>
              <w:fldChar w:fldCharType="separate"/>
            </w:r>
            <w:r>
              <w:rPr>
                <w:webHidden/>
              </w:rPr>
              <w:t>55</w:t>
            </w:r>
            <w:r>
              <w:rPr>
                <w:webHidden/>
              </w:rPr>
              <w:fldChar w:fldCharType="end"/>
            </w:r>
          </w:hyperlink>
        </w:p>
        <w:p w14:paraId="700EBD17" w14:textId="198A5305" w:rsidR="00D0415F" w:rsidRDefault="00D0415F" w:rsidP="004F5D02">
          <w:pPr>
            <w:pStyle w:val="TOC2"/>
            <w:rPr>
              <w:kern w:val="2"/>
              <w:lang w:eastAsia="en-NZ"/>
              <w14:ligatures w14:val="standardContextual"/>
            </w:rPr>
          </w:pPr>
          <w:hyperlink w:anchor="_Toc207783008" w:history="1">
            <w:r w:rsidRPr="009A0E2E">
              <w:rPr>
                <w:rStyle w:val="Hyperlink"/>
              </w:rPr>
              <w:t>3.14</w:t>
            </w:r>
            <w:r w:rsidRPr="009A0E2E">
              <w:rPr>
                <w:rStyle w:val="Hyperlink"/>
                <w:b/>
                <w:bCs/>
              </w:rPr>
              <w:t xml:space="preserve"> </w:t>
            </w:r>
            <w:r w:rsidRPr="004F5D02">
              <w:rPr>
                <w:rStyle w:val="Hyperlink"/>
              </w:rPr>
              <w:t>Communities</w:t>
            </w:r>
            <w:r w:rsidRPr="004F5D02">
              <w:rPr>
                <w:rStyle w:val="Hyperlink"/>
                <w:i/>
                <w:iCs/>
              </w:rPr>
              <w:t xml:space="preserve"> </w:t>
            </w:r>
            <w:r w:rsidRPr="009A0E2E">
              <w:rPr>
                <w:rStyle w:val="Hyperlink"/>
                <w:i/>
                <w:iCs/>
              </w:rPr>
              <w:t xml:space="preserve">- </w:t>
            </w:r>
            <w:r w:rsidRPr="009A0E2E">
              <w:rPr>
                <w:rStyle w:val="Hyperlink"/>
              </w:rPr>
              <w:t>elder abuse</w:t>
            </w:r>
            <w:r>
              <w:rPr>
                <w:webHidden/>
              </w:rPr>
              <w:tab/>
            </w:r>
            <w:r>
              <w:rPr>
                <w:webHidden/>
              </w:rPr>
              <w:fldChar w:fldCharType="begin"/>
            </w:r>
            <w:r>
              <w:rPr>
                <w:webHidden/>
              </w:rPr>
              <w:instrText xml:space="preserve"> PAGEREF _Toc207783008 \h </w:instrText>
            </w:r>
            <w:r>
              <w:rPr>
                <w:webHidden/>
              </w:rPr>
            </w:r>
            <w:r>
              <w:rPr>
                <w:webHidden/>
              </w:rPr>
              <w:fldChar w:fldCharType="separate"/>
            </w:r>
            <w:r>
              <w:rPr>
                <w:webHidden/>
              </w:rPr>
              <w:t>57</w:t>
            </w:r>
            <w:r>
              <w:rPr>
                <w:webHidden/>
              </w:rPr>
              <w:fldChar w:fldCharType="end"/>
            </w:r>
          </w:hyperlink>
        </w:p>
        <w:p w14:paraId="00790B14" w14:textId="226F248F" w:rsidR="00D0415F" w:rsidRDefault="00D0415F">
          <w:pPr>
            <w:pStyle w:val="TOC1"/>
            <w:tabs>
              <w:tab w:val="right" w:leader="dot" w:pos="9016"/>
            </w:tabs>
            <w:rPr>
              <w:noProof/>
              <w:kern w:val="2"/>
              <w:lang w:eastAsia="en-NZ"/>
              <w14:ligatures w14:val="standardContextual"/>
            </w:rPr>
          </w:pPr>
          <w:hyperlink w:anchor="_Toc207783009" w:history="1">
            <w:r w:rsidRPr="009A0E2E">
              <w:rPr>
                <w:rStyle w:val="Hyperlink"/>
                <w:noProof/>
              </w:rPr>
              <w:t>Part four: preventing and/or responding to hardship and disadvantage</w:t>
            </w:r>
            <w:r>
              <w:rPr>
                <w:noProof/>
                <w:webHidden/>
              </w:rPr>
              <w:tab/>
            </w:r>
            <w:r>
              <w:rPr>
                <w:noProof/>
                <w:webHidden/>
              </w:rPr>
              <w:fldChar w:fldCharType="begin"/>
            </w:r>
            <w:r>
              <w:rPr>
                <w:noProof/>
                <w:webHidden/>
              </w:rPr>
              <w:instrText xml:space="preserve"> PAGEREF _Toc207783009 \h </w:instrText>
            </w:r>
            <w:r>
              <w:rPr>
                <w:noProof/>
                <w:webHidden/>
              </w:rPr>
            </w:r>
            <w:r>
              <w:rPr>
                <w:noProof/>
                <w:webHidden/>
              </w:rPr>
              <w:fldChar w:fldCharType="separate"/>
            </w:r>
            <w:r>
              <w:rPr>
                <w:noProof/>
                <w:webHidden/>
              </w:rPr>
              <w:t>58</w:t>
            </w:r>
            <w:r>
              <w:rPr>
                <w:noProof/>
                <w:webHidden/>
              </w:rPr>
              <w:fldChar w:fldCharType="end"/>
            </w:r>
          </w:hyperlink>
        </w:p>
        <w:p w14:paraId="3EAAAB26" w14:textId="353B0666" w:rsidR="00D0415F" w:rsidRDefault="00D0415F" w:rsidP="004F5D02">
          <w:pPr>
            <w:pStyle w:val="TOC2"/>
            <w:rPr>
              <w:kern w:val="2"/>
              <w:lang w:eastAsia="en-NZ"/>
              <w14:ligatures w14:val="standardContextual"/>
            </w:rPr>
          </w:pPr>
          <w:hyperlink w:anchor="_Toc207783010" w:history="1">
            <w:r w:rsidRPr="009A0E2E">
              <w:rPr>
                <w:rStyle w:val="Hyperlink"/>
              </w:rPr>
              <w:t>4.1 Preventing hardship and disadvantage</w:t>
            </w:r>
            <w:r>
              <w:rPr>
                <w:webHidden/>
              </w:rPr>
              <w:tab/>
            </w:r>
            <w:r>
              <w:rPr>
                <w:webHidden/>
              </w:rPr>
              <w:fldChar w:fldCharType="begin"/>
            </w:r>
            <w:r>
              <w:rPr>
                <w:webHidden/>
              </w:rPr>
              <w:instrText xml:space="preserve"> PAGEREF _Toc207783010 \h </w:instrText>
            </w:r>
            <w:r>
              <w:rPr>
                <w:webHidden/>
              </w:rPr>
            </w:r>
            <w:r>
              <w:rPr>
                <w:webHidden/>
              </w:rPr>
              <w:fldChar w:fldCharType="separate"/>
            </w:r>
            <w:r>
              <w:rPr>
                <w:webHidden/>
              </w:rPr>
              <w:t>59</w:t>
            </w:r>
            <w:r>
              <w:rPr>
                <w:webHidden/>
              </w:rPr>
              <w:fldChar w:fldCharType="end"/>
            </w:r>
          </w:hyperlink>
        </w:p>
        <w:p w14:paraId="3474A314" w14:textId="42B7EC33" w:rsidR="00D0415F" w:rsidRDefault="00D0415F" w:rsidP="004F5D02">
          <w:pPr>
            <w:pStyle w:val="TOC2"/>
            <w:rPr>
              <w:kern w:val="2"/>
              <w:lang w:eastAsia="en-NZ"/>
              <w14:ligatures w14:val="standardContextual"/>
            </w:rPr>
          </w:pPr>
          <w:hyperlink w:anchor="_Toc207783011" w:history="1">
            <w:r w:rsidRPr="009A0E2E">
              <w:rPr>
                <w:rStyle w:val="Hyperlink"/>
              </w:rPr>
              <w:t>4.2 Responding through income support</w:t>
            </w:r>
            <w:r>
              <w:rPr>
                <w:webHidden/>
              </w:rPr>
              <w:tab/>
            </w:r>
            <w:r>
              <w:rPr>
                <w:webHidden/>
              </w:rPr>
              <w:fldChar w:fldCharType="begin"/>
            </w:r>
            <w:r>
              <w:rPr>
                <w:webHidden/>
              </w:rPr>
              <w:instrText xml:space="preserve"> PAGEREF _Toc207783011 \h </w:instrText>
            </w:r>
            <w:r>
              <w:rPr>
                <w:webHidden/>
              </w:rPr>
            </w:r>
            <w:r>
              <w:rPr>
                <w:webHidden/>
              </w:rPr>
              <w:fldChar w:fldCharType="separate"/>
            </w:r>
            <w:r>
              <w:rPr>
                <w:webHidden/>
              </w:rPr>
              <w:t>60</w:t>
            </w:r>
            <w:r>
              <w:rPr>
                <w:webHidden/>
              </w:rPr>
              <w:fldChar w:fldCharType="end"/>
            </w:r>
          </w:hyperlink>
        </w:p>
        <w:p w14:paraId="79A10623" w14:textId="6E4E982B" w:rsidR="00D0415F" w:rsidRDefault="00D0415F" w:rsidP="004F5D02">
          <w:pPr>
            <w:pStyle w:val="TOC2"/>
            <w:rPr>
              <w:kern w:val="2"/>
              <w:lang w:eastAsia="en-NZ"/>
              <w14:ligatures w14:val="standardContextual"/>
            </w:rPr>
          </w:pPr>
          <w:hyperlink w:anchor="_Toc207783012" w:history="1">
            <w:r w:rsidRPr="009A0E2E">
              <w:rPr>
                <w:rStyle w:val="Hyperlink"/>
              </w:rPr>
              <w:t>4.3 Responding through service delivery</w:t>
            </w:r>
            <w:r>
              <w:rPr>
                <w:webHidden/>
              </w:rPr>
              <w:tab/>
            </w:r>
            <w:r>
              <w:rPr>
                <w:webHidden/>
              </w:rPr>
              <w:fldChar w:fldCharType="begin"/>
            </w:r>
            <w:r>
              <w:rPr>
                <w:webHidden/>
              </w:rPr>
              <w:instrText xml:space="preserve"> PAGEREF _Toc207783012 \h </w:instrText>
            </w:r>
            <w:r>
              <w:rPr>
                <w:webHidden/>
              </w:rPr>
            </w:r>
            <w:r>
              <w:rPr>
                <w:webHidden/>
              </w:rPr>
              <w:fldChar w:fldCharType="separate"/>
            </w:r>
            <w:r>
              <w:rPr>
                <w:webHidden/>
              </w:rPr>
              <w:t>60</w:t>
            </w:r>
            <w:r>
              <w:rPr>
                <w:webHidden/>
              </w:rPr>
              <w:fldChar w:fldCharType="end"/>
            </w:r>
          </w:hyperlink>
        </w:p>
        <w:p w14:paraId="31755EAF" w14:textId="0DD23500" w:rsidR="00D0415F" w:rsidRDefault="00D0415F">
          <w:pPr>
            <w:pStyle w:val="TOC1"/>
            <w:tabs>
              <w:tab w:val="right" w:leader="dot" w:pos="9016"/>
            </w:tabs>
            <w:rPr>
              <w:noProof/>
              <w:kern w:val="2"/>
              <w:lang w:eastAsia="en-NZ"/>
              <w14:ligatures w14:val="standardContextual"/>
            </w:rPr>
          </w:pPr>
          <w:hyperlink w:anchor="_Toc207783013" w:history="1">
            <w:r w:rsidRPr="009A0E2E">
              <w:rPr>
                <w:rStyle w:val="Hyperlink"/>
                <w:rFonts w:cstheme="minorHAnsi"/>
                <w:noProof/>
              </w:rPr>
              <w:t>Appendices</w:t>
            </w:r>
            <w:r>
              <w:rPr>
                <w:noProof/>
                <w:webHidden/>
              </w:rPr>
              <w:tab/>
            </w:r>
            <w:r>
              <w:rPr>
                <w:noProof/>
                <w:webHidden/>
              </w:rPr>
              <w:fldChar w:fldCharType="begin"/>
            </w:r>
            <w:r>
              <w:rPr>
                <w:noProof/>
                <w:webHidden/>
              </w:rPr>
              <w:instrText xml:space="preserve"> PAGEREF _Toc207783013 \h </w:instrText>
            </w:r>
            <w:r>
              <w:rPr>
                <w:noProof/>
                <w:webHidden/>
              </w:rPr>
            </w:r>
            <w:r>
              <w:rPr>
                <w:noProof/>
                <w:webHidden/>
              </w:rPr>
              <w:fldChar w:fldCharType="separate"/>
            </w:r>
            <w:r>
              <w:rPr>
                <w:noProof/>
                <w:webHidden/>
              </w:rPr>
              <w:t>61</w:t>
            </w:r>
            <w:r>
              <w:rPr>
                <w:noProof/>
                <w:webHidden/>
              </w:rPr>
              <w:fldChar w:fldCharType="end"/>
            </w:r>
          </w:hyperlink>
        </w:p>
        <w:p w14:paraId="7EBE1DB0" w14:textId="431A29E4" w:rsidR="00D0415F" w:rsidRDefault="00D0415F" w:rsidP="004F5D02">
          <w:pPr>
            <w:pStyle w:val="TOC2"/>
            <w:rPr>
              <w:kern w:val="2"/>
              <w:lang w:eastAsia="en-NZ"/>
              <w14:ligatures w14:val="standardContextual"/>
            </w:rPr>
          </w:pPr>
          <w:hyperlink w:anchor="_Toc207783014" w:history="1">
            <w:r w:rsidRPr="009A0E2E">
              <w:rPr>
                <w:rStyle w:val="Hyperlink"/>
              </w:rPr>
              <w:t>List of tables and figures</w:t>
            </w:r>
            <w:r>
              <w:rPr>
                <w:webHidden/>
              </w:rPr>
              <w:tab/>
            </w:r>
            <w:r>
              <w:rPr>
                <w:webHidden/>
              </w:rPr>
              <w:fldChar w:fldCharType="begin"/>
            </w:r>
            <w:r>
              <w:rPr>
                <w:webHidden/>
              </w:rPr>
              <w:instrText xml:space="preserve"> PAGEREF _Toc207783014 \h </w:instrText>
            </w:r>
            <w:r>
              <w:rPr>
                <w:webHidden/>
              </w:rPr>
            </w:r>
            <w:r>
              <w:rPr>
                <w:webHidden/>
              </w:rPr>
              <w:fldChar w:fldCharType="separate"/>
            </w:r>
            <w:r>
              <w:rPr>
                <w:webHidden/>
              </w:rPr>
              <w:t>61</w:t>
            </w:r>
            <w:r>
              <w:rPr>
                <w:webHidden/>
              </w:rPr>
              <w:fldChar w:fldCharType="end"/>
            </w:r>
          </w:hyperlink>
        </w:p>
        <w:p w14:paraId="5E85D907" w14:textId="1C548A2D" w:rsidR="00D0415F" w:rsidRDefault="00D0415F" w:rsidP="004F5D02">
          <w:pPr>
            <w:pStyle w:val="TOC2"/>
            <w:rPr>
              <w:kern w:val="2"/>
              <w:lang w:eastAsia="en-NZ"/>
              <w14:ligatures w14:val="standardContextual"/>
            </w:rPr>
          </w:pPr>
          <w:hyperlink w:anchor="_Toc207783015" w:history="1">
            <w:r w:rsidRPr="009A0E2E">
              <w:rPr>
                <w:rStyle w:val="Hyperlink"/>
              </w:rPr>
              <w:t>Glossary of key terms and acronyms</w:t>
            </w:r>
            <w:r>
              <w:rPr>
                <w:webHidden/>
              </w:rPr>
              <w:tab/>
            </w:r>
            <w:r>
              <w:rPr>
                <w:webHidden/>
              </w:rPr>
              <w:fldChar w:fldCharType="begin"/>
            </w:r>
            <w:r>
              <w:rPr>
                <w:webHidden/>
              </w:rPr>
              <w:instrText xml:space="preserve"> PAGEREF _Toc207783015 \h </w:instrText>
            </w:r>
            <w:r>
              <w:rPr>
                <w:webHidden/>
              </w:rPr>
            </w:r>
            <w:r>
              <w:rPr>
                <w:webHidden/>
              </w:rPr>
              <w:fldChar w:fldCharType="separate"/>
            </w:r>
            <w:r>
              <w:rPr>
                <w:webHidden/>
              </w:rPr>
              <w:t>63</w:t>
            </w:r>
            <w:r>
              <w:rPr>
                <w:webHidden/>
              </w:rPr>
              <w:fldChar w:fldCharType="end"/>
            </w:r>
          </w:hyperlink>
        </w:p>
        <w:p w14:paraId="4FE3D78E" w14:textId="7EEF02E2" w:rsidR="00D0415F" w:rsidRDefault="00D0415F" w:rsidP="004F5D02">
          <w:pPr>
            <w:pStyle w:val="TOC2"/>
            <w:rPr>
              <w:kern w:val="2"/>
              <w:lang w:eastAsia="en-NZ"/>
              <w14:ligatures w14:val="standardContextual"/>
            </w:rPr>
          </w:pPr>
          <w:hyperlink w:anchor="_Toc207783016" w:history="1">
            <w:r w:rsidRPr="009A0E2E">
              <w:rPr>
                <w:rStyle w:val="Hyperlink"/>
              </w:rPr>
              <w:t>Bibliography</w:t>
            </w:r>
            <w:r>
              <w:rPr>
                <w:webHidden/>
              </w:rPr>
              <w:tab/>
            </w:r>
            <w:r>
              <w:rPr>
                <w:webHidden/>
              </w:rPr>
              <w:fldChar w:fldCharType="begin"/>
            </w:r>
            <w:r>
              <w:rPr>
                <w:webHidden/>
              </w:rPr>
              <w:instrText xml:space="preserve"> PAGEREF _Toc207783016 \h </w:instrText>
            </w:r>
            <w:r>
              <w:rPr>
                <w:webHidden/>
              </w:rPr>
            </w:r>
            <w:r>
              <w:rPr>
                <w:webHidden/>
              </w:rPr>
              <w:fldChar w:fldCharType="separate"/>
            </w:r>
            <w:r>
              <w:rPr>
                <w:webHidden/>
              </w:rPr>
              <w:t>64</w:t>
            </w:r>
            <w:r>
              <w:rPr>
                <w:webHidden/>
              </w:rPr>
              <w:fldChar w:fldCharType="end"/>
            </w:r>
          </w:hyperlink>
        </w:p>
        <w:p w14:paraId="661FDE98" w14:textId="72D13FA5" w:rsidR="00BD6A0C" w:rsidRPr="001D6F3C" w:rsidRDefault="000A0865" w:rsidP="00A60862">
          <w:pPr>
            <w:jc w:val="both"/>
            <w:rPr>
              <w:rFonts w:ascii="Corbel" w:hAnsi="Corbel"/>
              <w:b/>
              <w:bCs/>
              <w:noProof/>
            </w:rPr>
          </w:pPr>
          <w:r w:rsidRPr="001D6F3C">
            <w:rPr>
              <w:rFonts w:ascii="Corbel" w:hAnsi="Corbel"/>
              <w:b/>
              <w:bCs/>
              <w:noProof/>
            </w:rPr>
            <w:fldChar w:fldCharType="end"/>
          </w:r>
        </w:p>
      </w:sdtContent>
    </w:sdt>
    <w:p w14:paraId="1D6CE8FA" w14:textId="79CCAAB4" w:rsidR="00CF204C" w:rsidRPr="001D6F3C" w:rsidRDefault="00CF204C" w:rsidP="00A60862">
      <w:pPr>
        <w:pStyle w:val="TOCHeading"/>
        <w:jc w:val="both"/>
        <w:rPr>
          <w:rStyle w:val="Heading2Char"/>
          <w:rFonts w:ascii="Corbel" w:hAnsi="Corbel"/>
        </w:rPr>
      </w:pPr>
      <w:r w:rsidRPr="001D6F3C">
        <w:rPr>
          <w:rStyle w:val="Heading2Char"/>
          <w:rFonts w:ascii="Corbel" w:hAnsi="Corbel"/>
        </w:rPr>
        <w:t xml:space="preserve"> </w:t>
      </w:r>
    </w:p>
    <w:p w14:paraId="524375DC" w14:textId="3BB8B784" w:rsidR="00BD6A0C" w:rsidRPr="001D6F3C" w:rsidRDefault="00BD6A0C" w:rsidP="00A60862">
      <w:pPr>
        <w:spacing w:before="0"/>
        <w:jc w:val="both"/>
        <w:rPr>
          <w:rStyle w:val="Heading2Char"/>
          <w:rFonts w:ascii="Corbel" w:hAnsi="Corbel"/>
        </w:rPr>
      </w:pPr>
    </w:p>
    <w:p w14:paraId="7FEF0E01" w14:textId="77777777" w:rsidR="00DD0A11" w:rsidRPr="001D6F3C" w:rsidRDefault="00DD0A11" w:rsidP="00A60862">
      <w:pPr>
        <w:spacing w:before="0"/>
        <w:jc w:val="both"/>
        <w:rPr>
          <w:rStyle w:val="Heading2Char"/>
          <w:rFonts w:ascii="Corbel" w:hAnsi="Corbel"/>
        </w:rPr>
      </w:pPr>
      <w:r w:rsidRPr="001D6F3C">
        <w:rPr>
          <w:rStyle w:val="Heading2Char"/>
          <w:rFonts w:ascii="Corbel" w:hAnsi="Corbel"/>
        </w:rPr>
        <w:br w:type="page"/>
      </w:r>
    </w:p>
    <w:p w14:paraId="06C940F6" w14:textId="4A67DDE3" w:rsidR="005C3E1D" w:rsidRPr="001D6F3C" w:rsidRDefault="005C3E1D" w:rsidP="00A60862">
      <w:pPr>
        <w:jc w:val="both"/>
        <w:rPr>
          <w:rFonts w:ascii="Corbel" w:hAnsi="Corbel"/>
        </w:rPr>
      </w:pPr>
      <w:bookmarkStart w:id="2" w:name="_Toc207782977"/>
      <w:r w:rsidRPr="001D6F3C">
        <w:rPr>
          <w:rStyle w:val="Heading2Char"/>
          <w:rFonts w:ascii="Corbel" w:hAnsi="Corbel"/>
        </w:rPr>
        <w:lastRenderedPageBreak/>
        <w:t>Introduction</w:t>
      </w:r>
      <w:bookmarkEnd w:id="2"/>
      <w:r w:rsidRPr="001D6F3C">
        <w:rPr>
          <w:rFonts w:ascii="Corbel" w:hAnsi="Corbel"/>
        </w:rPr>
        <w:br/>
        <w:t>Under the Public Service Act 2020, government departments are required to produce a Long-</w:t>
      </w:r>
      <w:r w:rsidR="00D556AA" w:rsidRPr="001D6F3C">
        <w:rPr>
          <w:rFonts w:ascii="Corbel" w:hAnsi="Corbel"/>
        </w:rPr>
        <w:t>T</w:t>
      </w:r>
      <w:r w:rsidRPr="001D6F3C">
        <w:rPr>
          <w:rFonts w:ascii="Corbel" w:hAnsi="Corbel"/>
        </w:rPr>
        <w:t xml:space="preserve">erm Insights Briefing (LTIB) at least every three years. These provide the public with information about medium and long-term trends, risks, and opportunities affecting New Zealand at least 10 years in the future, and options for how we might respond. </w:t>
      </w:r>
    </w:p>
    <w:p w14:paraId="71CDD14A" w14:textId="04642CFF" w:rsidR="005C3E1D" w:rsidRPr="001D6F3C" w:rsidRDefault="00F3559A" w:rsidP="00A60862">
      <w:pPr>
        <w:jc w:val="both"/>
        <w:rPr>
          <w:rFonts w:ascii="Corbel" w:hAnsi="Corbel"/>
        </w:rPr>
      </w:pPr>
      <w:r w:rsidRPr="001D6F3C">
        <w:rPr>
          <w:rFonts w:ascii="Corbel" w:hAnsi="Corbel"/>
        </w:rPr>
        <w:t>LTIBs</w:t>
      </w:r>
      <w:r w:rsidR="005C3E1D" w:rsidRPr="001D6F3C">
        <w:rPr>
          <w:rFonts w:ascii="Corbel" w:hAnsi="Corbel"/>
        </w:rPr>
        <w:t xml:space="preserve"> are not government policy and are prepared independently from Ministers. They provide the opportunity to identify and explore the issues that matter for the future wellbeing </w:t>
      </w:r>
      <w:r w:rsidR="000C3D0A" w:rsidRPr="001D6F3C">
        <w:rPr>
          <w:rFonts w:ascii="Corbel" w:hAnsi="Corbel"/>
        </w:rPr>
        <w:t xml:space="preserve">of </w:t>
      </w:r>
      <w:r w:rsidR="005C3E1D" w:rsidRPr="001D6F3C">
        <w:rPr>
          <w:rFonts w:ascii="Corbel" w:hAnsi="Corbel"/>
        </w:rPr>
        <w:t>New Zealand</w:t>
      </w:r>
      <w:r w:rsidR="00A20D93" w:rsidRPr="001D6F3C">
        <w:rPr>
          <w:rFonts w:ascii="Corbel" w:hAnsi="Corbel"/>
        </w:rPr>
        <w:t>ers</w:t>
      </w:r>
      <w:r w:rsidR="005C3E1D" w:rsidRPr="001D6F3C">
        <w:rPr>
          <w:rFonts w:ascii="Corbel" w:hAnsi="Corbel"/>
        </w:rPr>
        <w:t>. This briefing is intended to be a resource and evidence-base for public use, as well as a knowledge source to help Government and agencies respond more effectively to the challenges of population ag</w:t>
      </w:r>
      <w:r w:rsidR="00A20D93" w:rsidRPr="001D6F3C">
        <w:rPr>
          <w:rFonts w:ascii="Corbel" w:hAnsi="Corbel"/>
        </w:rPr>
        <w:t>e</w:t>
      </w:r>
      <w:r w:rsidR="005C3E1D" w:rsidRPr="001D6F3C">
        <w:rPr>
          <w:rFonts w:ascii="Corbel" w:hAnsi="Corbel"/>
        </w:rPr>
        <w:t>ing and disadvantage.</w:t>
      </w:r>
    </w:p>
    <w:p w14:paraId="7FE2FF5C" w14:textId="5111FAC5" w:rsidR="005C3E1D" w:rsidRPr="001D6F3C" w:rsidRDefault="005C3E1D" w:rsidP="00A60862">
      <w:pPr>
        <w:jc w:val="both"/>
        <w:rPr>
          <w:rFonts w:ascii="Corbel" w:hAnsi="Corbel"/>
        </w:rPr>
      </w:pPr>
      <w:r w:rsidRPr="001D6F3C">
        <w:rPr>
          <w:rFonts w:ascii="Corbel" w:hAnsi="Corbel"/>
        </w:rPr>
        <w:t xml:space="preserve">The topic of </w:t>
      </w:r>
      <w:r w:rsidR="00F3559A" w:rsidRPr="001D6F3C">
        <w:rPr>
          <w:rFonts w:ascii="Corbel" w:hAnsi="Corbel"/>
        </w:rPr>
        <w:t>MSD’s</w:t>
      </w:r>
      <w:r w:rsidRPr="001D6F3C">
        <w:rPr>
          <w:rFonts w:ascii="Corbel" w:hAnsi="Corbel"/>
        </w:rPr>
        <w:t xml:space="preserve"> current LTIB is ‘current and future disadvantage for older New Zealanders’. MSD chose the topic </w:t>
      </w:r>
      <w:r w:rsidR="00A20D93" w:rsidRPr="001D6F3C">
        <w:rPr>
          <w:rFonts w:ascii="Corbel" w:hAnsi="Corbel"/>
        </w:rPr>
        <w:t xml:space="preserve">because some evidence suggests </w:t>
      </w:r>
      <w:r w:rsidRPr="001D6F3C">
        <w:rPr>
          <w:rFonts w:ascii="Corbel" w:hAnsi="Corbel"/>
        </w:rPr>
        <w:t xml:space="preserve">disadvantage for older people </w:t>
      </w:r>
      <w:r w:rsidR="00A20D93" w:rsidRPr="001D6F3C">
        <w:rPr>
          <w:rFonts w:ascii="Corbel" w:hAnsi="Corbel"/>
        </w:rPr>
        <w:t>could</w:t>
      </w:r>
      <w:r w:rsidRPr="001D6F3C">
        <w:rPr>
          <w:rFonts w:ascii="Corbel" w:hAnsi="Corbel"/>
        </w:rPr>
        <w:t xml:space="preserve"> become an issue of increasing scale and significance</w:t>
      </w:r>
      <w:r w:rsidR="00A20D93" w:rsidRPr="001D6F3C">
        <w:rPr>
          <w:rFonts w:ascii="Corbel" w:hAnsi="Corbel"/>
        </w:rPr>
        <w:t>. This is due to</w:t>
      </w:r>
      <w:r w:rsidRPr="001D6F3C">
        <w:rPr>
          <w:rFonts w:ascii="Corbel" w:hAnsi="Corbel"/>
        </w:rPr>
        <w:t xml:space="preserve"> demographic changes, social and economic trends, and public finance constraints. MSD consulted with the public on this topic, and a summary of what we heard is on page </w:t>
      </w:r>
      <w:r w:rsidR="00F3559A" w:rsidRPr="001D6F3C">
        <w:rPr>
          <w:rFonts w:ascii="Corbel" w:hAnsi="Corbel"/>
        </w:rPr>
        <w:t>7</w:t>
      </w:r>
      <w:r w:rsidRPr="001D6F3C">
        <w:rPr>
          <w:rFonts w:ascii="Corbel" w:hAnsi="Corbel"/>
        </w:rPr>
        <w:t xml:space="preserve">. </w:t>
      </w:r>
    </w:p>
    <w:p w14:paraId="426B79D0" w14:textId="545FB7F7" w:rsidR="005C3E1D" w:rsidRPr="001D6F3C" w:rsidRDefault="005C3E1D" w:rsidP="00A60862">
      <w:pPr>
        <w:jc w:val="both"/>
        <w:rPr>
          <w:rFonts w:ascii="Corbel" w:hAnsi="Corbel"/>
        </w:rPr>
      </w:pPr>
      <w:r w:rsidRPr="001D6F3C">
        <w:rPr>
          <w:rFonts w:ascii="Corbel" w:hAnsi="Corbel"/>
        </w:rPr>
        <w:t>Within this broad topic, the emphasis is on areas most relevant to MSD’s responsibilities. MSD is responsible for providing income support, employment services, and funding community services</w:t>
      </w:r>
      <w:r w:rsidR="00A20D93" w:rsidRPr="001D6F3C">
        <w:rPr>
          <w:rFonts w:ascii="Corbel" w:hAnsi="Corbel"/>
        </w:rPr>
        <w:t>. It is also t</w:t>
      </w:r>
      <w:r w:rsidRPr="001D6F3C">
        <w:rPr>
          <w:rFonts w:ascii="Corbel" w:hAnsi="Corbel"/>
        </w:rPr>
        <w:t xml:space="preserve">he primary provider of social policy advice to </w:t>
      </w:r>
      <w:r w:rsidR="00A20D93" w:rsidRPr="001D6F3C">
        <w:rPr>
          <w:rFonts w:ascii="Corbel" w:hAnsi="Corbel"/>
        </w:rPr>
        <w:t>G</w:t>
      </w:r>
      <w:r w:rsidRPr="001D6F3C">
        <w:rPr>
          <w:rFonts w:ascii="Corbel" w:hAnsi="Corbel"/>
        </w:rPr>
        <w:t xml:space="preserve">overnment. </w:t>
      </w:r>
      <w:r w:rsidR="00C601E7" w:rsidRPr="001D6F3C">
        <w:rPr>
          <w:rFonts w:ascii="Corbel" w:hAnsi="Corbel"/>
        </w:rPr>
        <w:t xml:space="preserve">The LTIB has been </w:t>
      </w:r>
      <w:r w:rsidR="009219BD" w:rsidRPr="001D6F3C">
        <w:rPr>
          <w:rFonts w:ascii="Corbel" w:hAnsi="Corbel"/>
        </w:rPr>
        <w:t>developed</w:t>
      </w:r>
      <w:r w:rsidR="00C601E7" w:rsidRPr="001D6F3C">
        <w:rPr>
          <w:rFonts w:ascii="Corbel" w:hAnsi="Corbel"/>
        </w:rPr>
        <w:t xml:space="preserve"> jointly by MSD </w:t>
      </w:r>
      <w:r w:rsidR="59FA924A" w:rsidRPr="001D6F3C">
        <w:rPr>
          <w:rFonts w:ascii="Corbel" w:hAnsi="Corbel"/>
        </w:rPr>
        <w:t>and</w:t>
      </w:r>
      <w:r w:rsidR="00C601E7" w:rsidRPr="001D6F3C">
        <w:rPr>
          <w:rFonts w:ascii="Corbel" w:hAnsi="Corbel"/>
        </w:rPr>
        <w:t xml:space="preserve"> the Office for Seniors. The Office</w:t>
      </w:r>
      <w:r w:rsidR="04A120AC" w:rsidRPr="001D6F3C">
        <w:rPr>
          <w:rFonts w:ascii="Corbel" w:hAnsi="Corbel"/>
        </w:rPr>
        <w:t xml:space="preserve"> for Seniors</w:t>
      </w:r>
      <w:r w:rsidR="00C601E7" w:rsidRPr="001D6F3C">
        <w:rPr>
          <w:rFonts w:ascii="Corbel" w:hAnsi="Corbel"/>
        </w:rPr>
        <w:t xml:space="preserve"> is a branded business unit in MSD that advocates for the interests of older people across the full range of government policy. </w:t>
      </w:r>
      <w:r w:rsidR="00EC4D48" w:rsidRPr="001D6F3C">
        <w:rPr>
          <w:rFonts w:ascii="Corbel" w:hAnsi="Corbel"/>
        </w:rPr>
        <w:t>It is responsible for administering Better Later Life – He Oranga Kaum</w:t>
      </w:r>
      <w:proofErr w:type="spellStart"/>
      <w:r w:rsidR="00EC4D48" w:rsidRPr="001D6F3C">
        <w:rPr>
          <w:rFonts w:ascii="Corbel" w:hAnsi="Corbel"/>
          <w:lang w:val="mi-NZ"/>
        </w:rPr>
        <w:t>ātua</w:t>
      </w:r>
      <w:proofErr w:type="spellEnd"/>
      <w:r w:rsidR="00EC4D48" w:rsidRPr="001D6F3C">
        <w:rPr>
          <w:rFonts w:ascii="Corbel" w:hAnsi="Corbel"/>
          <w:lang w:val="mi-NZ"/>
        </w:rPr>
        <w:t xml:space="preserve"> 2019 </w:t>
      </w:r>
      <w:proofErr w:type="spellStart"/>
      <w:r w:rsidR="00EC4D48" w:rsidRPr="001D6F3C">
        <w:rPr>
          <w:rFonts w:ascii="Corbel" w:hAnsi="Corbel"/>
          <w:lang w:val="mi-NZ"/>
        </w:rPr>
        <w:t>to</w:t>
      </w:r>
      <w:proofErr w:type="spellEnd"/>
      <w:r w:rsidR="00EC4D48" w:rsidRPr="001D6F3C">
        <w:rPr>
          <w:rFonts w:ascii="Corbel" w:hAnsi="Corbel"/>
          <w:lang w:val="mi-NZ"/>
        </w:rPr>
        <w:t xml:space="preserve"> 2034, </w:t>
      </w:r>
      <w:r w:rsidR="00F66219" w:rsidRPr="001D6F3C">
        <w:rPr>
          <w:rFonts w:ascii="Corbel" w:hAnsi="Corbel"/>
          <w:lang w:val="mi-NZ"/>
        </w:rPr>
        <w:t>New Zealand’s</w:t>
      </w:r>
      <w:r w:rsidR="00EC4D48" w:rsidRPr="001D6F3C">
        <w:rPr>
          <w:rFonts w:ascii="Corbel" w:hAnsi="Corbel"/>
          <w:lang w:val="mi-NZ"/>
        </w:rPr>
        <w:t xml:space="preserve"> strategy for responding to our ageing population. </w:t>
      </w:r>
      <w:r w:rsidR="00C601E7" w:rsidRPr="001D6F3C">
        <w:rPr>
          <w:rFonts w:ascii="Corbel" w:hAnsi="Corbel"/>
        </w:rPr>
        <w:t xml:space="preserve"> </w:t>
      </w:r>
    </w:p>
    <w:p w14:paraId="302CF11D" w14:textId="77777777" w:rsidR="005C3E1D" w:rsidRPr="001D6F3C" w:rsidRDefault="005C3E1D" w:rsidP="00A60862">
      <w:pPr>
        <w:jc w:val="both"/>
        <w:rPr>
          <w:rFonts w:ascii="Corbel" w:hAnsi="Corbel"/>
        </w:rPr>
      </w:pPr>
      <w:r w:rsidRPr="001D6F3C">
        <w:rPr>
          <w:rFonts w:ascii="Corbel" w:hAnsi="Corbel"/>
        </w:rPr>
        <w:t xml:space="preserve">The following chapters provide a first draft for public feedback. You are welcome to provide comment on the draft by getting in touch with us. You can email any feedback to ofs@msd.govt.nz, or you can mail your submission to: </w:t>
      </w:r>
    </w:p>
    <w:p w14:paraId="472AA320" w14:textId="28FE5571" w:rsidR="005C3E1D" w:rsidRPr="001D6F3C" w:rsidRDefault="005C3E1D" w:rsidP="00527724">
      <w:pPr>
        <w:spacing w:after="0" w:line="240" w:lineRule="auto"/>
        <w:ind w:left="720"/>
        <w:jc w:val="both"/>
        <w:rPr>
          <w:rFonts w:ascii="Corbel" w:hAnsi="Corbel"/>
        </w:rPr>
      </w:pPr>
      <w:r w:rsidRPr="001D6F3C">
        <w:rPr>
          <w:rFonts w:ascii="Corbel" w:hAnsi="Corbel"/>
        </w:rPr>
        <w:t>Long</w:t>
      </w:r>
      <w:r w:rsidR="0BE30A4D" w:rsidRPr="001D6F3C">
        <w:rPr>
          <w:rFonts w:ascii="Corbel" w:hAnsi="Corbel"/>
        </w:rPr>
        <w:t>-</w:t>
      </w:r>
      <w:r w:rsidRPr="001D6F3C">
        <w:rPr>
          <w:rFonts w:ascii="Corbel" w:hAnsi="Corbel"/>
        </w:rPr>
        <w:t xml:space="preserve">Term Insights Briefing Consultation, </w:t>
      </w:r>
    </w:p>
    <w:p w14:paraId="49C0E84D" w14:textId="77777777" w:rsidR="005C3E1D" w:rsidRPr="001D6F3C" w:rsidRDefault="005C3E1D" w:rsidP="00527724">
      <w:pPr>
        <w:spacing w:after="0" w:line="240" w:lineRule="auto"/>
        <w:ind w:left="720"/>
        <w:jc w:val="both"/>
        <w:rPr>
          <w:rFonts w:ascii="Corbel" w:hAnsi="Corbel"/>
        </w:rPr>
      </w:pPr>
      <w:r w:rsidRPr="001D6F3C">
        <w:rPr>
          <w:rFonts w:ascii="Corbel" w:hAnsi="Corbel"/>
        </w:rPr>
        <w:t xml:space="preserve">PO Box 1556. </w:t>
      </w:r>
    </w:p>
    <w:p w14:paraId="089CBE79" w14:textId="77777777" w:rsidR="005C3E1D" w:rsidRPr="001D6F3C" w:rsidRDefault="005C3E1D" w:rsidP="00527724">
      <w:pPr>
        <w:spacing w:after="0" w:line="240" w:lineRule="auto"/>
        <w:ind w:left="720"/>
        <w:jc w:val="both"/>
        <w:rPr>
          <w:rFonts w:ascii="Corbel" w:hAnsi="Corbel"/>
        </w:rPr>
      </w:pPr>
      <w:r w:rsidRPr="001D6F3C">
        <w:rPr>
          <w:rFonts w:ascii="Corbel" w:hAnsi="Corbel"/>
        </w:rPr>
        <w:t>Wellington 6140.</w:t>
      </w:r>
    </w:p>
    <w:p w14:paraId="0043DC09" w14:textId="577D519F" w:rsidR="005C3E1D" w:rsidRPr="001D6F3C" w:rsidRDefault="005C3E1D" w:rsidP="00A44200">
      <w:pPr>
        <w:spacing w:after="0"/>
        <w:jc w:val="both"/>
        <w:rPr>
          <w:rFonts w:ascii="Corbel" w:hAnsi="Corbel"/>
        </w:rPr>
      </w:pPr>
      <w:r w:rsidRPr="001D6F3C">
        <w:rPr>
          <w:rFonts w:ascii="Corbel" w:hAnsi="Corbel"/>
        </w:rPr>
        <w:t xml:space="preserve">Once feedback has been considered, MSD will finalise the report and is aiming to publish a final version </w:t>
      </w:r>
      <w:r w:rsidR="009D4A78" w:rsidRPr="001D6F3C">
        <w:rPr>
          <w:rFonts w:ascii="Corbel" w:hAnsi="Corbel"/>
        </w:rPr>
        <w:t xml:space="preserve">by </w:t>
      </w:r>
      <w:r w:rsidR="00437A22" w:rsidRPr="001D6F3C">
        <w:rPr>
          <w:rFonts w:ascii="Corbel" w:hAnsi="Corbel"/>
        </w:rPr>
        <w:t>early 2026</w:t>
      </w:r>
      <w:r w:rsidRPr="001D6F3C">
        <w:rPr>
          <w:rFonts w:ascii="Corbel" w:hAnsi="Corbel"/>
        </w:rPr>
        <w:t>.</w:t>
      </w:r>
    </w:p>
    <w:p w14:paraId="465D01F6" w14:textId="07CA8865" w:rsidR="005C3E1D" w:rsidRPr="001D6F3C" w:rsidRDefault="005C3E1D" w:rsidP="00A60862">
      <w:pPr>
        <w:pStyle w:val="Heading4"/>
        <w:jc w:val="both"/>
        <w:rPr>
          <w:rStyle w:val="Heading2Char"/>
          <w:rFonts w:ascii="Corbel" w:hAnsi="Corbel"/>
        </w:rPr>
      </w:pPr>
      <w:bookmarkStart w:id="3" w:name="_Toc207782978"/>
      <w:r w:rsidRPr="001D6F3C">
        <w:rPr>
          <w:rStyle w:val="Heading2Char"/>
          <w:rFonts w:ascii="Corbel" w:hAnsi="Corbel"/>
        </w:rPr>
        <w:t>Structure of this draft</w:t>
      </w:r>
      <w:bookmarkEnd w:id="3"/>
      <w:r w:rsidRPr="001D6F3C">
        <w:rPr>
          <w:rStyle w:val="Heading2Char"/>
          <w:rFonts w:ascii="Corbel" w:hAnsi="Corbel"/>
        </w:rPr>
        <w:t xml:space="preserve"> </w:t>
      </w:r>
    </w:p>
    <w:p w14:paraId="79211926" w14:textId="77777777" w:rsidR="005C3E1D" w:rsidRPr="001D6F3C" w:rsidRDefault="005C3E1D" w:rsidP="00A60862">
      <w:pPr>
        <w:jc w:val="both"/>
        <w:rPr>
          <w:rFonts w:ascii="Corbel" w:hAnsi="Corbel"/>
        </w:rPr>
      </w:pPr>
      <w:r w:rsidRPr="001D6F3C">
        <w:rPr>
          <w:rFonts w:ascii="Corbel" w:hAnsi="Corbel"/>
        </w:rPr>
        <w:t>The draft report is divided into four parts:</w:t>
      </w:r>
    </w:p>
    <w:p w14:paraId="05CECCC8" w14:textId="77777777" w:rsidR="005C3E1D" w:rsidRPr="001D6F3C" w:rsidRDefault="005C3E1D" w:rsidP="00D404C5">
      <w:pPr>
        <w:numPr>
          <w:ilvl w:val="0"/>
          <w:numId w:val="7"/>
        </w:numPr>
        <w:jc w:val="both"/>
        <w:rPr>
          <w:rFonts w:ascii="Corbel" w:hAnsi="Corbel"/>
        </w:rPr>
      </w:pPr>
      <w:r w:rsidRPr="001D6F3C">
        <w:rPr>
          <w:rFonts w:ascii="Corbel" w:hAnsi="Corbel"/>
        </w:rPr>
        <w:t>Part One provides contextual information about the roles of older people in New Zealand, and likely trends related to population ageing</w:t>
      </w:r>
    </w:p>
    <w:p w14:paraId="6992BF70" w14:textId="77777777" w:rsidR="005C3E1D" w:rsidRPr="001D6F3C" w:rsidRDefault="005C3E1D" w:rsidP="00D404C5">
      <w:pPr>
        <w:numPr>
          <w:ilvl w:val="0"/>
          <w:numId w:val="7"/>
        </w:numPr>
        <w:jc w:val="both"/>
        <w:rPr>
          <w:rFonts w:ascii="Corbel" w:hAnsi="Corbel"/>
        </w:rPr>
      </w:pPr>
      <w:r w:rsidRPr="001D6F3C">
        <w:rPr>
          <w:rFonts w:ascii="Corbel" w:hAnsi="Corbel"/>
        </w:rPr>
        <w:t>Part Two provides information about poverty, hardship and disadvantage for older people, including concepts, current levels and trends</w:t>
      </w:r>
    </w:p>
    <w:p w14:paraId="3DC72107" w14:textId="6BA3E2A5" w:rsidR="005C3E1D" w:rsidRPr="001D6F3C" w:rsidRDefault="005C3E1D" w:rsidP="00D404C5">
      <w:pPr>
        <w:numPr>
          <w:ilvl w:val="0"/>
          <w:numId w:val="7"/>
        </w:numPr>
        <w:jc w:val="both"/>
        <w:rPr>
          <w:rFonts w:ascii="Corbel" w:hAnsi="Corbel"/>
        </w:rPr>
      </w:pPr>
      <w:r w:rsidRPr="001D6F3C">
        <w:rPr>
          <w:rFonts w:ascii="Corbel" w:hAnsi="Corbel"/>
        </w:rPr>
        <w:t xml:space="preserve">Part Three considers the drivers of material wellbeing, and likely trends in areas related to employment, income support, housing, wealth, and health </w:t>
      </w:r>
    </w:p>
    <w:p w14:paraId="1B4ACE41" w14:textId="77777777" w:rsidR="005C3E1D" w:rsidRPr="001D6F3C" w:rsidRDefault="005C3E1D" w:rsidP="00D404C5">
      <w:pPr>
        <w:numPr>
          <w:ilvl w:val="0"/>
          <w:numId w:val="7"/>
        </w:numPr>
        <w:jc w:val="both"/>
        <w:rPr>
          <w:rFonts w:ascii="Corbel" w:hAnsi="Corbel"/>
        </w:rPr>
      </w:pPr>
      <w:r w:rsidRPr="001D6F3C">
        <w:rPr>
          <w:rFonts w:ascii="Corbel" w:hAnsi="Corbel"/>
        </w:rPr>
        <w:t xml:space="preserve">Part Four considers possible policy and service responses to the issues identified. </w:t>
      </w:r>
    </w:p>
    <w:p w14:paraId="1FD75CBF" w14:textId="58462BC6" w:rsidR="005C3E1D" w:rsidRPr="001D6F3C" w:rsidRDefault="00937950" w:rsidP="00A60862">
      <w:pPr>
        <w:pStyle w:val="Heading4"/>
        <w:jc w:val="both"/>
        <w:rPr>
          <w:rStyle w:val="Heading2Char"/>
          <w:rFonts w:ascii="Corbel" w:hAnsi="Corbel"/>
        </w:rPr>
      </w:pPr>
      <w:bookmarkStart w:id="4" w:name="_Toc207782979"/>
      <w:r w:rsidRPr="001D6F3C">
        <w:rPr>
          <w:rStyle w:val="Heading2Char"/>
          <w:rFonts w:ascii="Corbel" w:hAnsi="Corbel"/>
        </w:rPr>
        <w:lastRenderedPageBreak/>
        <w:t>Companion papers</w:t>
      </w:r>
      <w:bookmarkEnd w:id="4"/>
    </w:p>
    <w:p w14:paraId="240DC9A7" w14:textId="3BB355BB" w:rsidR="005C3E1D" w:rsidRPr="001D6F3C" w:rsidRDefault="005C3E1D" w:rsidP="00A60862">
      <w:pPr>
        <w:spacing w:before="0"/>
        <w:jc w:val="both"/>
        <w:rPr>
          <w:rFonts w:ascii="Corbel" w:hAnsi="Corbel"/>
        </w:rPr>
      </w:pPr>
      <w:r w:rsidRPr="001D6F3C">
        <w:rPr>
          <w:rFonts w:ascii="Corbel" w:hAnsi="Corbel"/>
        </w:rPr>
        <w:t xml:space="preserve">We have published a range of supporting material alongside this report. </w:t>
      </w:r>
      <w:r w:rsidR="005A0A84" w:rsidRPr="001D6F3C">
        <w:rPr>
          <w:rFonts w:ascii="Corbel" w:hAnsi="Corbel"/>
        </w:rPr>
        <w:t>It</w:t>
      </w:r>
      <w:r w:rsidRPr="001D6F3C">
        <w:rPr>
          <w:rFonts w:ascii="Corbel" w:hAnsi="Corbel"/>
        </w:rPr>
        <w:t xml:space="preserve"> is available</w:t>
      </w:r>
      <w:hyperlink r:id="rId13" w:history="1">
        <w:r w:rsidRPr="001D6F3C">
          <w:rPr>
            <w:rStyle w:val="Hyperlink"/>
            <w:rFonts w:ascii="Corbel" w:hAnsi="Corbel"/>
          </w:rPr>
          <w:t xml:space="preserve"> here</w:t>
        </w:r>
      </w:hyperlink>
      <w:r w:rsidRPr="001D6F3C">
        <w:rPr>
          <w:rFonts w:ascii="Corbel" w:hAnsi="Corbel"/>
        </w:rPr>
        <w:t>, and provides</w:t>
      </w:r>
      <w:r w:rsidR="001476A1" w:rsidRPr="001D6F3C">
        <w:rPr>
          <w:rFonts w:ascii="Corbel" w:hAnsi="Corbel"/>
        </w:rPr>
        <w:t xml:space="preserve"> </w:t>
      </w:r>
      <w:r w:rsidRPr="001D6F3C">
        <w:rPr>
          <w:rFonts w:ascii="Corbel" w:hAnsi="Corbel"/>
        </w:rPr>
        <w:t>further detail, analysis and evidence that underpin some of the key points made in this overarching document. This includes:</w:t>
      </w:r>
    </w:p>
    <w:p w14:paraId="3FFDE356" w14:textId="77777777" w:rsidR="005C3E1D" w:rsidRPr="001D6F3C" w:rsidRDefault="005C3E1D" w:rsidP="00D404C5">
      <w:pPr>
        <w:numPr>
          <w:ilvl w:val="0"/>
          <w:numId w:val="8"/>
        </w:numPr>
        <w:jc w:val="both"/>
        <w:rPr>
          <w:rFonts w:ascii="Corbel" w:hAnsi="Corbel"/>
        </w:rPr>
      </w:pPr>
      <w:r w:rsidRPr="001D6F3C">
        <w:rPr>
          <w:rFonts w:ascii="Corbel" w:hAnsi="Corbel"/>
        </w:rPr>
        <w:t xml:space="preserve">A summary of the feedback heard through the first round of engagement. </w:t>
      </w:r>
    </w:p>
    <w:p w14:paraId="0A0721A7" w14:textId="7DB1204B" w:rsidR="005C3E1D" w:rsidRPr="001D6F3C" w:rsidRDefault="00BA27DB" w:rsidP="00D404C5">
      <w:pPr>
        <w:numPr>
          <w:ilvl w:val="0"/>
          <w:numId w:val="8"/>
        </w:numPr>
        <w:jc w:val="both"/>
        <w:rPr>
          <w:rFonts w:ascii="Corbel" w:hAnsi="Corbel"/>
        </w:rPr>
      </w:pPr>
      <w:r w:rsidRPr="001D6F3C">
        <w:rPr>
          <w:rFonts w:ascii="Corbel" w:hAnsi="Corbel"/>
        </w:rPr>
        <w:t>Two</w:t>
      </w:r>
      <w:r w:rsidR="005C3E1D" w:rsidRPr="001D6F3C">
        <w:rPr>
          <w:rFonts w:ascii="Corbel" w:hAnsi="Corbel"/>
        </w:rPr>
        <w:t xml:space="preserve"> short papers that provide </w:t>
      </w:r>
      <w:r w:rsidR="002B5887" w:rsidRPr="001D6F3C">
        <w:rPr>
          <w:rFonts w:ascii="Corbel" w:hAnsi="Corbel"/>
        </w:rPr>
        <w:t>more consideration</w:t>
      </w:r>
      <w:r w:rsidR="005C3E1D" w:rsidRPr="001D6F3C">
        <w:rPr>
          <w:rFonts w:ascii="Corbel" w:hAnsi="Corbel"/>
        </w:rPr>
        <w:t xml:space="preserve"> of specific topics relevant to </w:t>
      </w:r>
      <w:r w:rsidR="002B5887" w:rsidRPr="001D6F3C">
        <w:rPr>
          <w:rFonts w:ascii="Corbel" w:hAnsi="Corbel"/>
        </w:rPr>
        <w:t>Māori and Pacific older people</w:t>
      </w:r>
      <w:r w:rsidR="005A0A84" w:rsidRPr="001D6F3C">
        <w:rPr>
          <w:rFonts w:ascii="Corbel" w:hAnsi="Corbel"/>
        </w:rPr>
        <w:t>.</w:t>
      </w:r>
    </w:p>
    <w:p w14:paraId="2C09C30C" w14:textId="0406F8B3" w:rsidR="005C3E1D" w:rsidRPr="001D6F3C" w:rsidRDefault="005C3E1D" w:rsidP="00D404C5">
      <w:pPr>
        <w:numPr>
          <w:ilvl w:val="0"/>
          <w:numId w:val="8"/>
        </w:numPr>
        <w:jc w:val="both"/>
        <w:rPr>
          <w:rFonts w:ascii="Corbel" w:hAnsi="Corbel"/>
        </w:rPr>
      </w:pPr>
      <w:r w:rsidRPr="001D6F3C">
        <w:rPr>
          <w:rFonts w:ascii="Corbel" w:hAnsi="Corbel"/>
        </w:rPr>
        <w:t xml:space="preserve">An analytical note produced by Bryan Perry, which explores the material wellbeing of older New Zealanders in detail. </w:t>
      </w:r>
    </w:p>
    <w:p w14:paraId="0D8C6B5E" w14:textId="47A57CB8" w:rsidR="005C3E1D" w:rsidRPr="001D6F3C" w:rsidRDefault="005C3E1D" w:rsidP="00D404C5">
      <w:pPr>
        <w:numPr>
          <w:ilvl w:val="0"/>
          <w:numId w:val="8"/>
        </w:numPr>
        <w:jc w:val="both"/>
        <w:rPr>
          <w:rFonts w:ascii="Corbel" w:hAnsi="Corbel"/>
        </w:rPr>
      </w:pPr>
      <w:r w:rsidRPr="001D6F3C">
        <w:rPr>
          <w:rFonts w:ascii="Corbel" w:hAnsi="Corbel"/>
        </w:rPr>
        <w:t>An update of earlier analysis produced by MSD,</w:t>
      </w:r>
      <w:r w:rsidR="00C94074" w:rsidRPr="001D6F3C">
        <w:rPr>
          <w:rFonts w:ascii="Corbel" w:hAnsi="Corbel"/>
        </w:rPr>
        <w:t xml:space="preserve"> the Social Wellbeing Agency and the Ministry of Health </w:t>
      </w:r>
      <w:r w:rsidRPr="001D6F3C">
        <w:rPr>
          <w:rFonts w:ascii="Corbel" w:hAnsi="Corbel"/>
        </w:rPr>
        <w:t xml:space="preserve">focused on multiple disadvantage experienced by older people, drawing from data held in the Integrated Data Infrastructure. </w:t>
      </w:r>
      <w:r w:rsidR="00BA27DB" w:rsidRPr="001D6F3C">
        <w:rPr>
          <w:rFonts w:ascii="Corbel" w:hAnsi="Corbel"/>
        </w:rPr>
        <w:t>The</w:t>
      </w:r>
      <w:hyperlink r:id="rId14" w:history="1">
        <w:r w:rsidR="00BA27DB" w:rsidRPr="00B34E65">
          <w:rPr>
            <w:rStyle w:val="Hyperlink"/>
            <w:rFonts w:ascii="Corbel" w:hAnsi="Corbel"/>
          </w:rPr>
          <w:t xml:space="preserve"> </w:t>
        </w:r>
        <w:r w:rsidRPr="00B34E65">
          <w:rPr>
            <w:rStyle w:val="Hyperlink"/>
            <w:rFonts w:ascii="Corbel" w:hAnsi="Corbel"/>
          </w:rPr>
          <w:t>original analysis</w:t>
        </w:r>
      </w:hyperlink>
      <w:r w:rsidRPr="001D6F3C">
        <w:rPr>
          <w:rFonts w:ascii="Corbel" w:hAnsi="Corbel"/>
        </w:rPr>
        <w:t xml:space="preserve"> is and the updated findings are available</w:t>
      </w:r>
      <w:r w:rsidR="00B34E65">
        <w:rPr>
          <w:rFonts w:ascii="Corbel" w:hAnsi="Corbel"/>
        </w:rPr>
        <w:t xml:space="preserve"> on </w:t>
      </w:r>
      <w:hyperlink r:id="rId15" w:history="1">
        <w:r w:rsidR="00B34E65" w:rsidRPr="00B34E65">
          <w:rPr>
            <w:rStyle w:val="Hyperlink"/>
            <w:rFonts w:ascii="Corbel" w:hAnsi="Corbel"/>
          </w:rPr>
          <w:t>MSD’s website</w:t>
        </w:r>
      </w:hyperlink>
      <w:r w:rsidRPr="001D6F3C">
        <w:rPr>
          <w:rFonts w:ascii="Corbel" w:hAnsi="Corbel"/>
        </w:rPr>
        <w:t>.</w:t>
      </w:r>
    </w:p>
    <w:p w14:paraId="5EFFBDFA" w14:textId="4F3FF186" w:rsidR="005C3E1D" w:rsidRPr="001D6F3C" w:rsidRDefault="005C3E1D" w:rsidP="00D404C5">
      <w:pPr>
        <w:numPr>
          <w:ilvl w:val="0"/>
          <w:numId w:val="8"/>
        </w:numPr>
        <w:spacing w:after="0"/>
        <w:jc w:val="both"/>
        <w:rPr>
          <w:rFonts w:ascii="Corbel" w:hAnsi="Corbel"/>
        </w:rPr>
      </w:pPr>
      <w:r w:rsidRPr="001D6F3C">
        <w:rPr>
          <w:rFonts w:ascii="Corbel" w:hAnsi="Corbel"/>
        </w:rPr>
        <w:t>Analysis conducted by Massey University’s Health and Ageing Research Team for the Office for Seniors on the impact of mid-life trajectories on later life wellbeing.</w:t>
      </w:r>
      <w:r w:rsidR="00110020" w:rsidRPr="001D6F3C">
        <w:rPr>
          <w:rFonts w:ascii="Corbel" w:hAnsi="Corbel"/>
        </w:rPr>
        <w:t xml:space="preserve"> This can be found </w:t>
      </w:r>
      <w:r w:rsidR="00B34E65">
        <w:rPr>
          <w:rFonts w:ascii="Corbel" w:hAnsi="Corbel"/>
        </w:rPr>
        <w:t xml:space="preserve">on the </w:t>
      </w:r>
      <w:hyperlink r:id="rId16" w:history="1">
        <w:r w:rsidR="00B34E65" w:rsidRPr="00B34E65">
          <w:rPr>
            <w:rStyle w:val="Hyperlink"/>
            <w:rFonts w:ascii="Corbel" w:hAnsi="Corbel"/>
          </w:rPr>
          <w:t>Office for Seniors website</w:t>
        </w:r>
      </w:hyperlink>
      <w:r w:rsidR="00B34E65">
        <w:rPr>
          <w:rFonts w:ascii="Corbel" w:hAnsi="Corbel"/>
        </w:rPr>
        <w:t>.</w:t>
      </w:r>
    </w:p>
    <w:p w14:paraId="06F4AE74" w14:textId="1029BDA1" w:rsidR="005C3E1D" w:rsidRPr="001D6F3C" w:rsidRDefault="005C3E1D" w:rsidP="00F863E9">
      <w:pPr>
        <w:rPr>
          <w:rFonts w:ascii="Corbel" w:hAnsi="Corbel"/>
        </w:rPr>
      </w:pPr>
      <w:bookmarkStart w:id="5" w:name="_Toc207782980"/>
      <w:r w:rsidRPr="001D6F3C">
        <w:rPr>
          <w:rStyle w:val="Heading2Char"/>
          <w:rFonts w:ascii="Corbel" w:hAnsi="Corbel"/>
        </w:rPr>
        <w:t>Consultation</w:t>
      </w:r>
      <w:r w:rsidR="007F74CE" w:rsidRPr="001D6F3C">
        <w:rPr>
          <w:rStyle w:val="Heading2Char"/>
          <w:rFonts w:ascii="Corbel" w:hAnsi="Corbel"/>
        </w:rPr>
        <w:t xml:space="preserve"> – what we heard through the first phase</w:t>
      </w:r>
      <w:bookmarkEnd w:id="5"/>
      <w:r w:rsidRPr="001D6F3C">
        <w:rPr>
          <w:rFonts w:ascii="Corbel" w:hAnsi="Corbel"/>
        </w:rPr>
        <w:br/>
      </w:r>
      <w:r w:rsidR="005A0A84" w:rsidRPr="001D6F3C">
        <w:rPr>
          <w:rFonts w:ascii="Corbel" w:hAnsi="Corbel"/>
        </w:rPr>
        <w:t xml:space="preserve">Agencies need to run two rounds of public consultation when developing an LTIB. </w:t>
      </w:r>
      <w:r w:rsidRPr="001D6F3C">
        <w:rPr>
          <w:rFonts w:ascii="Corbel" w:hAnsi="Corbel"/>
        </w:rPr>
        <w:t xml:space="preserve">The first round of consultation </w:t>
      </w:r>
      <w:r w:rsidR="00476A08" w:rsidRPr="001D6F3C">
        <w:rPr>
          <w:rFonts w:ascii="Corbel" w:hAnsi="Corbel"/>
        </w:rPr>
        <w:t>was in</w:t>
      </w:r>
      <w:r w:rsidRPr="001D6F3C">
        <w:rPr>
          <w:rFonts w:ascii="Corbel" w:hAnsi="Corbel"/>
        </w:rPr>
        <w:t xml:space="preserve"> October</w:t>
      </w:r>
      <w:r w:rsidR="00476A08" w:rsidRPr="001D6F3C">
        <w:rPr>
          <w:rFonts w:ascii="Corbel" w:hAnsi="Corbel"/>
        </w:rPr>
        <w:t xml:space="preserve"> 2024</w:t>
      </w:r>
      <w:r w:rsidRPr="001D6F3C">
        <w:rPr>
          <w:rFonts w:ascii="Corbel" w:hAnsi="Corbel"/>
        </w:rPr>
        <w:t xml:space="preserve">, </w:t>
      </w:r>
      <w:r w:rsidR="00476A08" w:rsidRPr="001D6F3C">
        <w:rPr>
          <w:rFonts w:ascii="Corbel" w:hAnsi="Corbel"/>
        </w:rPr>
        <w:t xml:space="preserve">and </w:t>
      </w:r>
      <w:r w:rsidRPr="001D6F3C">
        <w:rPr>
          <w:rFonts w:ascii="Corbel" w:hAnsi="Corbel"/>
        </w:rPr>
        <w:t xml:space="preserve">focused on the proposed topic, as required by legislation. We also </w:t>
      </w:r>
      <w:r w:rsidR="00476A08" w:rsidRPr="001D6F3C">
        <w:rPr>
          <w:rFonts w:ascii="Corbel" w:hAnsi="Corbel"/>
        </w:rPr>
        <w:t>asked about the key issues and what we should focus on during our analysis.</w:t>
      </w:r>
      <w:r w:rsidRPr="001D6F3C">
        <w:rPr>
          <w:rFonts w:ascii="Corbel" w:hAnsi="Corbel"/>
        </w:rPr>
        <w:t xml:space="preserve"> </w:t>
      </w:r>
    </w:p>
    <w:p w14:paraId="73D55774" w14:textId="7F7B9035" w:rsidR="005C3E1D" w:rsidRPr="001D6F3C" w:rsidRDefault="005C3E1D" w:rsidP="00A60862">
      <w:pPr>
        <w:jc w:val="both"/>
        <w:rPr>
          <w:rFonts w:ascii="Corbel" w:hAnsi="Corbel"/>
        </w:rPr>
      </w:pPr>
      <w:r w:rsidRPr="001D6F3C">
        <w:rPr>
          <w:rFonts w:ascii="Corbel" w:hAnsi="Corbel"/>
        </w:rPr>
        <w:t>As part of the consultation, MSD produced a discussion document</w:t>
      </w:r>
      <w:r w:rsidR="005A0A84" w:rsidRPr="001D6F3C">
        <w:rPr>
          <w:rFonts w:ascii="Corbel" w:hAnsi="Corbel"/>
        </w:rPr>
        <w:t>. People could provide feedback by:</w:t>
      </w:r>
      <w:r w:rsidRPr="001D6F3C">
        <w:rPr>
          <w:rFonts w:ascii="Corbel" w:hAnsi="Corbel"/>
        </w:rPr>
        <w:t xml:space="preserve"> </w:t>
      </w:r>
    </w:p>
    <w:p w14:paraId="5A88E9A3" w14:textId="4C1696CE" w:rsidR="005C3E1D" w:rsidRPr="001D6F3C" w:rsidRDefault="005C3E1D" w:rsidP="00D404C5">
      <w:pPr>
        <w:numPr>
          <w:ilvl w:val="0"/>
          <w:numId w:val="9"/>
        </w:numPr>
        <w:jc w:val="both"/>
        <w:rPr>
          <w:rFonts w:ascii="Corbel" w:hAnsi="Corbel"/>
        </w:rPr>
      </w:pPr>
      <w:r w:rsidRPr="001D6F3C">
        <w:rPr>
          <w:rFonts w:ascii="Corbel" w:hAnsi="Corbel"/>
        </w:rPr>
        <w:t>fill</w:t>
      </w:r>
      <w:r w:rsidR="005A0A84" w:rsidRPr="001D6F3C">
        <w:rPr>
          <w:rFonts w:ascii="Corbel" w:hAnsi="Corbel"/>
        </w:rPr>
        <w:t>ing</w:t>
      </w:r>
      <w:r w:rsidRPr="001D6F3C">
        <w:rPr>
          <w:rFonts w:ascii="Corbel" w:hAnsi="Corbel"/>
        </w:rPr>
        <w:t xml:space="preserve"> out a short online survey </w:t>
      </w:r>
    </w:p>
    <w:p w14:paraId="6947B9AE" w14:textId="38CC7C35" w:rsidR="005A0A84" w:rsidRPr="001D6F3C" w:rsidRDefault="005A0A84" w:rsidP="00D404C5">
      <w:pPr>
        <w:numPr>
          <w:ilvl w:val="0"/>
          <w:numId w:val="9"/>
        </w:numPr>
        <w:jc w:val="both"/>
        <w:rPr>
          <w:rFonts w:ascii="Corbel" w:hAnsi="Corbel"/>
        </w:rPr>
      </w:pPr>
      <w:r w:rsidRPr="001D6F3C">
        <w:rPr>
          <w:rFonts w:ascii="Corbel" w:hAnsi="Corbel"/>
        </w:rPr>
        <w:t xml:space="preserve">writing a submission </w:t>
      </w:r>
    </w:p>
    <w:p w14:paraId="178C61FE" w14:textId="39CE2A23" w:rsidR="005A0A84" w:rsidRPr="001D6F3C" w:rsidRDefault="005A0A84" w:rsidP="00D404C5">
      <w:pPr>
        <w:numPr>
          <w:ilvl w:val="0"/>
          <w:numId w:val="9"/>
        </w:numPr>
        <w:jc w:val="both"/>
        <w:rPr>
          <w:rFonts w:ascii="Corbel" w:hAnsi="Corbel"/>
        </w:rPr>
      </w:pPr>
      <w:r w:rsidRPr="001D6F3C">
        <w:rPr>
          <w:rFonts w:ascii="Corbel" w:hAnsi="Corbel"/>
        </w:rPr>
        <w:t>participating in a workshop (these were held with subject matter experts)</w:t>
      </w:r>
      <w:r w:rsidR="00F3559A" w:rsidRPr="001D6F3C">
        <w:rPr>
          <w:rFonts w:ascii="Corbel" w:hAnsi="Corbel"/>
        </w:rPr>
        <w:t>.</w:t>
      </w:r>
    </w:p>
    <w:p w14:paraId="00BEA5BA" w14:textId="36A3455D" w:rsidR="005C3E1D" w:rsidRPr="001D6F3C" w:rsidRDefault="005C3E1D" w:rsidP="00F863E9">
      <w:pPr>
        <w:spacing w:after="0"/>
        <w:jc w:val="both"/>
        <w:rPr>
          <w:rFonts w:ascii="Corbel" w:hAnsi="Corbel"/>
        </w:rPr>
      </w:pPr>
      <w:r w:rsidRPr="001D6F3C">
        <w:rPr>
          <w:rFonts w:ascii="Corbel" w:hAnsi="Corbel"/>
        </w:rPr>
        <w:t>MSD also engaged with its Māori Reference Group</w:t>
      </w:r>
      <w:r w:rsidR="0073710D">
        <w:rPr>
          <w:rFonts w:ascii="Corbel" w:hAnsi="Corbel"/>
        </w:rPr>
        <w:t xml:space="preserve"> </w:t>
      </w:r>
      <w:r w:rsidR="00AB187B">
        <w:rPr>
          <w:rFonts w:ascii="Corbel" w:hAnsi="Corbel"/>
        </w:rPr>
        <w:t xml:space="preserve">and </w:t>
      </w:r>
      <w:r w:rsidR="00AB187B" w:rsidRPr="001D6F3C">
        <w:rPr>
          <w:rFonts w:ascii="Corbel" w:hAnsi="Corbel"/>
        </w:rPr>
        <w:t>Pacific</w:t>
      </w:r>
      <w:r w:rsidRPr="001D6F3C">
        <w:rPr>
          <w:rFonts w:ascii="Corbel" w:hAnsi="Corbel"/>
        </w:rPr>
        <w:t xml:space="preserve"> Reference Group</w:t>
      </w:r>
      <w:r w:rsidR="0073710D">
        <w:rPr>
          <w:rFonts w:ascii="Corbel" w:hAnsi="Corbel"/>
        </w:rPr>
        <w:t>.</w:t>
      </w:r>
    </w:p>
    <w:p w14:paraId="2CE888FE" w14:textId="59B8C49A" w:rsidR="005C3E1D" w:rsidRPr="001D6F3C" w:rsidRDefault="005C3E1D" w:rsidP="00A60862">
      <w:pPr>
        <w:jc w:val="both"/>
        <w:rPr>
          <w:rFonts w:ascii="Corbel" w:hAnsi="Corbel"/>
        </w:rPr>
      </w:pPr>
      <w:r w:rsidRPr="001D6F3C">
        <w:rPr>
          <w:rFonts w:ascii="Corbel" w:hAnsi="Corbel"/>
        </w:rPr>
        <w:t>A summary of the engagement is available at the link below. Throughout the engagement process, we heard near-universal support for the proposed topic. However</w:t>
      </w:r>
      <w:r w:rsidR="005A0A84" w:rsidRPr="001D6F3C">
        <w:rPr>
          <w:rFonts w:ascii="Corbel" w:hAnsi="Corbel"/>
        </w:rPr>
        <w:t>,</w:t>
      </w:r>
      <w:r w:rsidRPr="001D6F3C">
        <w:rPr>
          <w:rFonts w:ascii="Corbel" w:hAnsi="Corbel"/>
        </w:rPr>
        <w:t xml:space="preserve"> we heard a broader range of views on how the topic had been framed - some emphasising the need to draw attention to serious risks to future wellbeing for older New Zealanders, whereas others were concerned about the negative and ‘deficit-focused’ nature of the way the topic was articulated. </w:t>
      </w:r>
    </w:p>
    <w:p w14:paraId="6FDC497F" w14:textId="77777777" w:rsidR="005C3E1D" w:rsidRPr="001D6F3C" w:rsidRDefault="005C3E1D" w:rsidP="00A60862">
      <w:pPr>
        <w:jc w:val="both"/>
        <w:rPr>
          <w:rFonts w:ascii="Corbel" w:hAnsi="Corbel"/>
        </w:rPr>
      </w:pPr>
      <w:r w:rsidRPr="001D6F3C">
        <w:rPr>
          <w:rFonts w:ascii="Corbel" w:hAnsi="Corbel"/>
        </w:rPr>
        <w:t xml:space="preserve">Other comments on the overall approach, included: </w:t>
      </w:r>
    </w:p>
    <w:p w14:paraId="70FC6E94" w14:textId="598585DA" w:rsidR="005C3E1D" w:rsidRPr="001D6F3C" w:rsidRDefault="005C3E1D" w:rsidP="00D404C5">
      <w:pPr>
        <w:numPr>
          <w:ilvl w:val="0"/>
          <w:numId w:val="10"/>
        </w:numPr>
        <w:jc w:val="both"/>
        <w:rPr>
          <w:rFonts w:ascii="Corbel" w:hAnsi="Corbel"/>
        </w:rPr>
      </w:pPr>
      <w:r w:rsidRPr="001D6F3C">
        <w:rPr>
          <w:rFonts w:ascii="Corbel" w:hAnsi="Corbel"/>
        </w:rPr>
        <w:t>the need to consider the wellbeing of older people within the context of their wider families and whānau</w:t>
      </w:r>
    </w:p>
    <w:p w14:paraId="1F2B197B" w14:textId="77777777" w:rsidR="005C3E1D" w:rsidRPr="001D6F3C" w:rsidRDefault="005C3E1D" w:rsidP="00D404C5">
      <w:pPr>
        <w:numPr>
          <w:ilvl w:val="0"/>
          <w:numId w:val="10"/>
        </w:numPr>
        <w:jc w:val="both"/>
        <w:rPr>
          <w:rFonts w:ascii="Corbel" w:hAnsi="Corbel"/>
        </w:rPr>
      </w:pPr>
      <w:r w:rsidRPr="001D6F3C">
        <w:rPr>
          <w:rFonts w:ascii="Corbel" w:hAnsi="Corbel"/>
        </w:rPr>
        <w:t xml:space="preserve">not treating people across 30+ years of life span, and in a variety of different circumstances, as a single homogenous group. </w:t>
      </w:r>
    </w:p>
    <w:p w14:paraId="537D44F2" w14:textId="77777777" w:rsidR="005C3E1D" w:rsidRPr="001D6F3C" w:rsidRDefault="005C3E1D" w:rsidP="00D404C5">
      <w:pPr>
        <w:numPr>
          <w:ilvl w:val="0"/>
          <w:numId w:val="10"/>
        </w:numPr>
        <w:jc w:val="both"/>
        <w:rPr>
          <w:rFonts w:ascii="Corbel" w:hAnsi="Corbel"/>
        </w:rPr>
      </w:pPr>
      <w:r w:rsidRPr="001D6F3C">
        <w:rPr>
          <w:rFonts w:ascii="Corbel" w:hAnsi="Corbel"/>
        </w:rPr>
        <w:t>cautioning against using 65+, older age, and ‘retirement’ as synonymous</w:t>
      </w:r>
    </w:p>
    <w:p w14:paraId="07CAD9C6" w14:textId="77777777" w:rsidR="005C3E1D" w:rsidRPr="001D6F3C" w:rsidRDefault="005C3E1D" w:rsidP="00D404C5">
      <w:pPr>
        <w:numPr>
          <w:ilvl w:val="0"/>
          <w:numId w:val="10"/>
        </w:numPr>
        <w:spacing w:after="0"/>
        <w:jc w:val="both"/>
        <w:rPr>
          <w:rFonts w:ascii="Corbel" w:hAnsi="Corbel"/>
        </w:rPr>
      </w:pPr>
      <w:r w:rsidRPr="001D6F3C">
        <w:rPr>
          <w:rFonts w:ascii="Corbel" w:hAnsi="Corbel"/>
        </w:rPr>
        <w:lastRenderedPageBreak/>
        <w:t>the need to take a geographical lens, and look at differences across urban, rural, and provincial areas.</w:t>
      </w:r>
    </w:p>
    <w:p w14:paraId="0C113CF3" w14:textId="6794C439" w:rsidR="005C3E1D" w:rsidRPr="001D6F3C" w:rsidRDefault="005C3E1D" w:rsidP="00A60862">
      <w:pPr>
        <w:jc w:val="both"/>
        <w:rPr>
          <w:rFonts w:ascii="Corbel" w:hAnsi="Corbel"/>
        </w:rPr>
      </w:pPr>
      <w:r w:rsidRPr="001D6F3C">
        <w:rPr>
          <w:rFonts w:ascii="Corbel" w:hAnsi="Corbel"/>
        </w:rPr>
        <w:t xml:space="preserve">We received feedback on how to consider issues related to specific groups of older people, including ethnic groups. For example, Māori and Pacific representatives emphasised the need to recognise that many older people were very active in their communities; and </w:t>
      </w:r>
      <w:proofErr w:type="gramStart"/>
      <w:r w:rsidRPr="001D6F3C">
        <w:rPr>
          <w:rFonts w:ascii="Corbel" w:hAnsi="Corbel"/>
        </w:rPr>
        <w:t>also</w:t>
      </w:r>
      <w:proofErr w:type="gramEnd"/>
      <w:r w:rsidRPr="001D6F3C">
        <w:rPr>
          <w:rFonts w:ascii="Corbel" w:hAnsi="Corbel"/>
        </w:rPr>
        <w:t xml:space="preserve"> the importance of considering the impact of lifetime disadvantage, structural inequities, and various issues faced by Māori and Pacific people</w:t>
      </w:r>
      <w:r w:rsidR="004D47B1" w:rsidRPr="001D6F3C">
        <w:rPr>
          <w:rFonts w:ascii="Corbel" w:hAnsi="Corbel"/>
        </w:rPr>
        <w:t>.</w:t>
      </w:r>
    </w:p>
    <w:p w14:paraId="0C5BFCB7" w14:textId="5138A13D" w:rsidR="005C3E1D" w:rsidRPr="001D6F3C" w:rsidRDefault="005C3E1D" w:rsidP="00A60862">
      <w:pPr>
        <w:jc w:val="both"/>
        <w:rPr>
          <w:rFonts w:ascii="Corbel" w:hAnsi="Corbel"/>
        </w:rPr>
      </w:pPr>
      <w:r w:rsidRPr="001D6F3C">
        <w:rPr>
          <w:rFonts w:ascii="Corbel" w:hAnsi="Corbel"/>
        </w:rPr>
        <w:t xml:space="preserve">Consultees raised a broad range of issues that they thought the LTIB should cover, including issues related </w:t>
      </w:r>
      <w:proofErr w:type="gramStart"/>
      <w:r w:rsidRPr="001D6F3C">
        <w:rPr>
          <w:rFonts w:ascii="Corbel" w:hAnsi="Corbel"/>
        </w:rPr>
        <w:t>to:</w:t>
      </w:r>
      <w:proofErr w:type="gramEnd"/>
      <w:r w:rsidRPr="001D6F3C">
        <w:rPr>
          <w:rFonts w:ascii="Corbel" w:hAnsi="Corbel"/>
        </w:rPr>
        <w:t xml:space="preserve"> societal attitudes, ageism and discrimination; supporting employment for older people; physical and mental health issues; the cost of living; issues related to functional ability, accessibility and transport; and social isolation/connection and social support.</w:t>
      </w:r>
    </w:p>
    <w:p w14:paraId="3FFAA211" w14:textId="72DF7161" w:rsidR="005C3E1D" w:rsidRPr="001D6F3C" w:rsidRDefault="005C3E1D" w:rsidP="00A60862">
      <w:pPr>
        <w:jc w:val="both"/>
        <w:rPr>
          <w:rFonts w:ascii="Corbel" w:hAnsi="Corbel"/>
        </w:rPr>
      </w:pPr>
      <w:r w:rsidRPr="001D6F3C">
        <w:rPr>
          <w:rFonts w:ascii="Corbel" w:hAnsi="Corbel"/>
        </w:rPr>
        <w:t>Consultees also stressed the need to consider future trends that were not covered in the consultation document, including: wider impacts of changes in housing tenure; future pressure on care and on the health system; risks associated with technological change, and the impact of climate change.</w:t>
      </w:r>
    </w:p>
    <w:p w14:paraId="23852A45" w14:textId="6D6DEDDA" w:rsidR="00974CB4" w:rsidRPr="001D6F3C" w:rsidRDefault="005C3E1D" w:rsidP="00A60862">
      <w:pPr>
        <w:jc w:val="both"/>
        <w:rPr>
          <w:rFonts w:ascii="Corbel" w:hAnsi="Corbel"/>
        </w:rPr>
      </w:pPr>
      <w:r w:rsidRPr="001D6F3C">
        <w:rPr>
          <w:rFonts w:ascii="Corbel" w:hAnsi="Corbel"/>
        </w:rPr>
        <w:t>We have respond</w:t>
      </w:r>
      <w:r w:rsidR="005A0A84" w:rsidRPr="001D6F3C">
        <w:rPr>
          <w:rFonts w:ascii="Corbel" w:hAnsi="Corbel"/>
        </w:rPr>
        <w:t>ed</w:t>
      </w:r>
      <w:r w:rsidRPr="001D6F3C">
        <w:rPr>
          <w:rFonts w:ascii="Corbel" w:hAnsi="Corbel"/>
        </w:rPr>
        <w:t xml:space="preserve"> to this feedback in various ways in this draft, including ensuring that we </w:t>
      </w:r>
      <w:r w:rsidR="0099155C" w:rsidRPr="001D6F3C">
        <w:rPr>
          <w:rFonts w:ascii="Corbel" w:hAnsi="Corbel"/>
        </w:rPr>
        <w:t xml:space="preserve">emphasise </w:t>
      </w:r>
      <w:r w:rsidRPr="001D6F3C">
        <w:rPr>
          <w:rFonts w:ascii="Corbel" w:hAnsi="Corbel"/>
        </w:rPr>
        <w:t>the positive roles older people play, and the importance of strengths and resilience factors in supporting wellbeing in older age. However, we are also of the view that it is important to keep a focus on risks to future wellbeing, and to draw attention to</w:t>
      </w:r>
      <w:r w:rsidR="00A44200" w:rsidRPr="001D6F3C">
        <w:rPr>
          <w:rFonts w:ascii="Corbel" w:hAnsi="Corbel"/>
        </w:rPr>
        <w:t xml:space="preserve"> the situation of</w:t>
      </w:r>
      <w:r w:rsidRPr="001D6F3C">
        <w:rPr>
          <w:rFonts w:ascii="Corbel" w:hAnsi="Corbel"/>
        </w:rPr>
        <w:t xml:space="preserve"> those groups whose wellbeing is already significantly compromised. </w:t>
      </w:r>
    </w:p>
    <w:p w14:paraId="0D2838C0" w14:textId="5FB4789E" w:rsidR="005C3E1D" w:rsidRPr="001D6F3C" w:rsidRDefault="008A336C" w:rsidP="00A60862">
      <w:pPr>
        <w:jc w:val="both"/>
        <w:rPr>
          <w:rFonts w:ascii="Corbel" w:hAnsi="Corbel"/>
        </w:rPr>
      </w:pPr>
      <w:r w:rsidRPr="001D6F3C">
        <w:rPr>
          <w:rFonts w:ascii="Corbel" w:hAnsi="Corbel"/>
        </w:rPr>
        <w:t>M</w:t>
      </w:r>
      <w:r w:rsidR="00A44200" w:rsidRPr="001D6F3C">
        <w:rPr>
          <w:rFonts w:ascii="Corbel" w:hAnsi="Corbel"/>
        </w:rPr>
        <w:t>any</w:t>
      </w:r>
      <w:r w:rsidR="00F73CCD" w:rsidRPr="001D6F3C">
        <w:rPr>
          <w:rFonts w:ascii="Corbel" w:hAnsi="Corbel"/>
        </w:rPr>
        <w:t xml:space="preserve"> of the </w:t>
      </w:r>
      <w:r w:rsidR="00A44200" w:rsidRPr="001D6F3C">
        <w:rPr>
          <w:rFonts w:ascii="Corbel" w:hAnsi="Corbel"/>
        </w:rPr>
        <w:t xml:space="preserve">topics that </w:t>
      </w:r>
      <w:r w:rsidR="000B5C62" w:rsidRPr="001D6F3C">
        <w:rPr>
          <w:rFonts w:ascii="Corbel" w:hAnsi="Corbel"/>
        </w:rPr>
        <w:t>submitters</w:t>
      </w:r>
      <w:r w:rsidR="00A44200" w:rsidRPr="001D6F3C">
        <w:rPr>
          <w:rFonts w:ascii="Corbel" w:hAnsi="Corbel"/>
        </w:rPr>
        <w:t xml:space="preserve"> suggested we cove</w:t>
      </w:r>
      <w:r w:rsidR="009B5D2F" w:rsidRPr="001D6F3C">
        <w:rPr>
          <w:rFonts w:ascii="Corbel" w:hAnsi="Corbel"/>
        </w:rPr>
        <w:t>r</w:t>
      </w:r>
      <w:r w:rsidR="00A44200" w:rsidRPr="001D6F3C">
        <w:rPr>
          <w:rFonts w:ascii="Corbel" w:hAnsi="Corbel"/>
        </w:rPr>
        <w:t xml:space="preserve"> were</w:t>
      </w:r>
      <w:r w:rsidR="00F73CCD" w:rsidRPr="001D6F3C">
        <w:rPr>
          <w:rFonts w:ascii="Corbel" w:hAnsi="Corbel"/>
        </w:rPr>
        <w:t xml:space="preserve"> </w:t>
      </w:r>
      <w:r w:rsidR="00A44200" w:rsidRPr="001D6F3C">
        <w:rPr>
          <w:rFonts w:ascii="Corbel" w:hAnsi="Corbel"/>
        </w:rPr>
        <w:t>relevant and important, but we were unable to cover them due to space and the breadth of the topic</w:t>
      </w:r>
      <w:r w:rsidR="0003315C" w:rsidRPr="001D6F3C">
        <w:rPr>
          <w:rFonts w:ascii="Corbel" w:hAnsi="Corbel"/>
        </w:rPr>
        <w:t xml:space="preserve"> (</w:t>
      </w:r>
      <w:r w:rsidR="00E6506D" w:rsidRPr="001D6F3C">
        <w:rPr>
          <w:rFonts w:ascii="Corbel" w:hAnsi="Corbel"/>
        </w:rPr>
        <w:t>and in some cases</w:t>
      </w:r>
      <w:r w:rsidR="009A3261" w:rsidRPr="001D6F3C">
        <w:rPr>
          <w:rFonts w:ascii="Corbel" w:hAnsi="Corbel"/>
        </w:rPr>
        <w:t xml:space="preserve"> because they were the </w:t>
      </w:r>
      <w:r w:rsidR="00BB1212" w:rsidRPr="001D6F3C">
        <w:rPr>
          <w:rFonts w:ascii="Corbel" w:hAnsi="Corbel"/>
        </w:rPr>
        <w:t xml:space="preserve">responsibility of </w:t>
      </w:r>
      <w:r w:rsidR="00A054F5" w:rsidRPr="001D6F3C">
        <w:rPr>
          <w:rFonts w:ascii="Corbel" w:hAnsi="Corbel"/>
        </w:rPr>
        <w:t>other agencies</w:t>
      </w:r>
      <w:r w:rsidR="0085625A" w:rsidRPr="001D6F3C">
        <w:rPr>
          <w:rFonts w:ascii="Corbel" w:hAnsi="Corbel"/>
        </w:rPr>
        <w:t>)</w:t>
      </w:r>
      <w:r w:rsidR="00A44200" w:rsidRPr="001D6F3C">
        <w:rPr>
          <w:rFonts w:ascii="Corbel" w:hAnsi="Corbel"/>
        </w:rPr>
        <w:t xml:space="preserve">. </w:t>
      </w:r>
      <w:r w:rsidR="0099155C" w:rsidRPr="001D6F3C">
        <w:rPr>
          <w:rFonts w:ascii="Corbel" w:hAnsi="Corbel"/>
        </w:rPr>
        <w:t>At time</w:t>
      </w:r>
      <w:r w:rsidR="008427C4" w:rsidRPr="001D6F3C">
        <w:rPr>
          <w:rFonts w:ascii="Corbel" w:hAnsi="Corbel"/>
        </w:rPr>
        <w:t>s</w:t>
      </w:r>
      <w:r w:rsidR="0099155C" w:rsidRPr="001D6F3C">
        <w:rPr>
          <w:rFonts w:ascii="Corbel" w:hAnsi="Corbel"/>
        </w:rPr>
        <w:t xml:space="preserve"> w</w:t>
      </w:r>
      <w:r w:rsidR="00257B9C" w:rsidRPr="001D6F3C">
        <w:rPr>
          <w:rFonts w:ascii="Corbel" w:hAnsi="Corbel"/>
        </w:rPr>
        <w:t>e have</w:t>
      </w:r>
      <w:r w:rsidR="00560FBB" w:rsidRPr="001D6F3C">
        <w:rPr>
          <w:rFonts w:ascii="Corbel" w:hAnsi="Corbel"/>
        </w:rPr>
        <w:t xml:space="preserve"> </w:t>
      </w:r>
      <w:r w:rsidR="00A871D9" w:rsidRPr="001D6F3C">
        <w:rPr>
          <w:rFonts w:ascii="Corbel" w:hAnsi="Corbel"/>
        </w:rPr>
        <w:t>had to</w:t>
      </w:r>
      <w:r w:rsidR="00560FBB" w:rsidRPr="001D6F3C">
        <w:rPr>
          <w:rFonts w:ascii="Corbel" w:hAnsi="Corbel"/>
        </w:rPr>
        <w:t xml:space="preserve"> </w:t>
      </w:r>
      <w:r w:rsidR="00A871D9" w:rsidRPr="001D6F3C">
        <w:rPr>
          <w:rFonts w:ascii="Corbel" w:hAnsi="Corbel"/>
        </w:rPr>
        <w:t>rely on</w:t>
      </w:r>
      <w:r w:rsidR="00432367" w:rsidRPr="001D6F3C">
        <w:rPr>
          <w:rFonts w:ascii="Corbel" w:hAnsi="Corbel"/>
        </w:rPr>
        <w:t xml:space="preserve"> analysis of</w:t>
      </w:r>
      <w:r w:rsidR="00D4471F" w:rsidRPr="001D6F3C">
        <w:rPr>
          <w:rFonts w:ascii="Corbel" w:hAnsi="Corbel"/>
        </w:rPr>
        <w:t xml:space="preserve"> </w:t>
      </w:r>
      <w:r w:rsidR="00E375C7" w:rsidRPr="001D6F3C">
        <w:rPr>
          <w:rFonts w:ascii="Corbel" w:hAnsi="Corbel"/>
        </w:rPr>
        <w:t xml:space="preserve">data </w:t>
      </w:r>
      <w:r w:rsidR="00D4471F" w:rsidRPr="001D6F3C">
        <w:rPr>
          <w:rFonts w:ascii="Corbel" w:hAnsi="Corbel"/>
        </w:rPr>
        <w:t>for</w:t>
      </w:r>
      <w:r w:rsidR="00E375C7" w:rsidRPr="001D6F3C">
        <w:rPr>
          <w:rFonts w:ascii="Corbel" w:hAnsi="Corbel"/>
        </w:rPr>
        <w:t xml:space="preserve"> the ‘65+ population’</w:t>
      </w:r>
      <w:r w:rsidR="00D4471F" w:rsidRPr="001D6F3C">
        <w:rPr>
          <w:rFonts w:ascii="Corbel" w:hAnsi="Corbel"/>
        </w:rPr>
        <w:t xml:space="preserve"> </w:t>
      </w:r>
      <w:r w:rsidR="00D10FC9" w:rsidRPr="001D6F3C">
        <w:rPr>
          <w:rFonts w:ascii="Corbel" w:hAnsi="Corbel"/>
        </w:rPr>
        <w:t>for practical reasons</w:t>
      </w:r>
      <w:r w:rsidR="00560FBB" w:rsidRPr="001D6F3C">
        <w:rPr>
          <w:rFonts w:ascii="Corbel" w:hAnsi="Corbel"/>
        </w:rPr>
        <w:t xml:space="preserve"> – </w:t>
      </w:r>
      <w:r w:rsidR="008A24BF" w:rsidRPr="001D6F3C">
        <w:rPr>
          <w:rFonts w:ascii="Corbel" w:hAnsi="Corbel"/>
        </w:rPr>
        <w:t xml:space="preserve">either </w:t>
      </w:r>
      <w:r w:rsidR="00560FBB" w:rsidRPr="001D6F3C">
        <w:rPr>
          <w:rFonts w:ascii="Corbel" w:hAnsi="Corbel"/>
        </w:rPr>
        <w:t xml:space="preserve">we </w:t>
      </w:r>
      <w:r w:rsidR="00A72E5D" w:rsidRPr="001D6F3C">
        <w:rPr>
          <w:rFonts w:ascii="Corbel" w:hAnsi="Corbel"/>
        </w:rPr>
        <w:t xml:space="preserve">didn’t have </w:t>
      </w:r>
      <w:r w:rsidR="00E174E2" w:rsidRPr="001D6F3C">
        <w:rPr>
          <w:rFonts w:ascii="Corbel" w:hAnsi="Corbel"/>
        </w:rPr>
        <w:t>more granular data,</w:t>
      </w:r>
      <w:r w:rsidR="00A72E5D" w:rsidRPr="001D6F3C">
        <w:rPr>
          <w:rFonts w:ascii="Corbel" w:hAnsi="Corbel"/>
        </w:rPr>
        <w:t xml:space="preserve"> or because </w:t>
      </w:r>
      <w:r w:rsidR="00EC03FC" w:rsidRPr="001D6F3C">
        <w:rPr>
          <w:rFonts w:ascii="Corbel" w:hAnsi="Corbel"/>
        </w:rPr>
        <w:t xml:space="preserve">including finer age breakdowns </w:t>
      </w:r>
      <w:r w:rsidR="008B5520" w:rsidRPr="001D6F3C">
        <w:rPr>
          <w:rFonts w:ascii="Corbel" w:hAnsi="Corbel"/>
        </w:rPr>
        <w:t xml:space="preserve">would </w:t>
      </w:r>
      <w:r w:rsidR="00C568D0" w:rsidRPr="001D6F3C">
        <w:rPr>
          <w:rFonts w:ascii="Corbel" w:hAnsi="Corbel"/>
        </w:rPr>
        <w:t xml:space="preserve">have lengthened an already long document. </w:t>
      </w:r>
      <w:r w:rsidR="00A72E5D" w:rsidRPr="001D6F3C">
        <w:rPr>
          <w:rFonts w:ascii="Corbel" w:hAnsi="Corbel"/>
        </w:rPr>
        <w:t xml:space="preserve"> </w:t>
      </w:r>
    </w:p>
    <w:p w14:paraId="5B15D7AB" w14:textId="0F1D0024" w:rsidR="005C3E1D" w:rsidRPr="001D6F3C" w:rsidRDefault="005C3E1D" w:rsidP="00A60862">
      <w:pPr>
        <w:jc w:val="both"/>
        <w:rPr>
          <w:rFonts w:ascii="Corbel" w:hAnsi="Corbel"/>
        </w:rPr>
      </w:pPr>
      <w:r w:rsidRPr="001D6F3C">
        <w:rPr>
          <w:rFonts w:ascii="Corbel" w:hAnsi="Corbel"/>
        </w:rPr>
        <w:t xml:space="preserve">We are now seeking further public feedback on the analysis and options that we have provided in this draft </w:t>
      </w:r>
      <w:proofErr w:type="gramStart"/>
      <w:r w:rsidRPr="001D6F3C">
        <w:rPr>
          <w:rFonts w:ascii="Corbel" w:hAnsi="Corbel"/>
        </w:rPr>
        <w:t>report, and</w:t>
      </w:r>
      <w:proofErr w:type="gramEnd"/>
      <w:r w:rsidRPr="001D6F3C">
        <w:rPr>
          <w:rFonts w:ascii="Corbel" w:hAnsi="Corbel"/>
        </w:rPr>
        <w:t xml:space="preserve"> encourage readers to make a submission via the channels set out on page </w:t>
      </w:r>
      <w:r w:rsidR="00F3559A" w:rsidRPr="001D6F3C">
        <w:rPr>
          <w:rFonts w:ascii="Corbel" w:hAnsi="Corbel"/>
        </w:rPr>
        <w:t>6</w:t>
      </w:r>
      <w:r w:rsidRPr="001D6F3C">
        <w:rPr>
          <w:rFonts w:ascii="Corbel" w:hAnsi="Corbel"/>
        </w:rPr>
        <w:t xml:space="preserve">. </w:t>
      </w:r>
    </w:p>
    <w:p w14:paraId="57399BC1" w14:textId="741A5F30" w:rsidR="00712A21" w:rsidRPr="001D6F3C" w:rsidRDefault="005C3E1D" w:rsidP="00A60862">
      <w:pPr>
        <w:jc w:val="both"/>
        <w:rPr>
          <w:rFonts w:ascii="Corbel" w:hAnsi="Corbel"/>
        </w:rPr>
      </w:pPr>
      <w:r w:rsidRPr="001D6F3C">
        <w:rPr>
          <w:rFonts w:ascii="Corbel" w:hAnsi="Corbel"/>
        </w:rPr>
        <w:t xml:space="preserve">The discussion document used to inform the first phase of public consultation is available </w:t>
      </w:r>
      <w:hyperlink r:id="rId17">
        <w:r w:rsidR="3B8892C0" w:rsidRPr="001D6F3C">
          <w:rPr>
            <w:rStyle w:val="Hyperlink"/>
            <w:rFonts w:ascii="Corbel" w:hAnsi="Corbel"/>
          </w:rPr>
          <w:t>here</w:t>
        </w:r>
      </w:hyperlink>
      <w:r w:rsidR="3B8892C0" w:rsidRPr="001D6F3C">
        <w:rPr>
          <w:rFonts w:ascii="Corbel" w:hAnsi="Corbel"/>
        </w:rPr>
        <w:t>.</w:t>
      </w:r>
      <w:r w:rsidRPr="001D6F3C">
        <w:rPr>
          <w:rFonts w:ascii="Corbel" w:hAnsi="Corbel"/>
        </w:rPr>
        <w:t xml:space="preserve"> A full summary of what we heard through the first phase can be found </w:t>
      </w:r>
      <w:hyperlink r:id="rId18">
        <w:r w:rsidR="3B8892C0" w:rsidRPr="001D6F3C">
          <w:rPr>
            <w:rStyle w:val="Hyperlink"/>
            <w:rFonts w:ascii="Corbel" w:hAnsi="Corbel"/>
          </w:rPr>
          <w:t>here</w:t>
        </w:r>
      </w:hyperlink>
      <w:r w:rsidR="3B8892C0" w:rsidRPr="001D6F3C">
        <w:rPr>
          <w:rFonts w:ascii="Corbel" w:hAnsi="Corbel"/>
        </w:rPr>
        <w:t>.</w:t>
      </w:r>
    </w:p>
    <w:p w14:paraId="007DED12" w14:textId="3AA77DA1" w:rsidR="00826D99" w:rsidRPr="001D6F3C" w:rsidRDefault="00825B5C" w:rsidP="004C41A0">
      <w:bookmarkStart w:id="6" w:name="_Toc207782981"/>
      <w:r w:rsidRPr="001D6F3C">
        <w:rPr>
          <w:rStyle w:val="Heading2Char"/>
          <w:rFonts w:ascii="Corbel" w:hAnsi="Corbel"/>
        </w:rPr>
        <w:t>Principles of</w:t>
      </w:r>
      <w:r w:rsidR="00D66506" w:rsidRPr="001D6F3C">
        <w:rPr>
          <w:rStyle w:val="Heading2Char"/>
          <w:rFonts w:ascii="Corbel" w:hAnsi="Corbel"/>
        </w:rPr>
        <w:t xml:space="preserve"> Te Tiriti o Waitangi /</w:t>
      </w:r>
      <w:r w:rsidRPr="001D6F3C">
        <w:rPr>
          <w:rStyle w:val="Heading2Char"/>
          <w:rFonts w:ascii="Corbel" w:hAnsi="Corbel"/>
        </w:rPr>
        <w:t xml:space="preserve"> the Treaty of Waitangi</w:t>
      </w:r>
      <w:bookmarkEnd w:id="6"/>
    </w:p>
    <w:p w14:paraId="1377545D" w14:textId="2428CD66" w:rsidR="00825B5C" w:rsidRPr="001D6F3C" w:rsidRDefault="00825B5C" w:rsidP="00825B5C">
      <w:pPr>
        <w:jc w:val="both"/>
        <w:rPr>
          <w:rFonts w:ascii="Corbel" w:hAnsi="Corbel"/>
        </w:rPr>
      </w:pPr>
      <w:r w:rsidRPr="001D6F3C">
        <w:rPr>
          <w:rFonts w:ascii="Corbel" w:hAnsi="Corbel"/>
        </w:rPr>
        <w:t xml:space="preserve">The principles of the Treaty of Waitangi have been considered in relation to the topic of this </w:t>
      </w:r>
      <w:r w:rsidR="00F3559A" w:rsidRPr="001D6F3C">
        <w:rPr>
          <w:rFonts w:ascii="Corbel" w:hAnsi="Corbel"/>
        </w:rPr>
        <w:t>LTIB</w:t>
      </w:r>
      <w:r w:rsidRPr="001D6F3C">
        <w:rPr>
          <w:rFonts w:ascii="Corbel" w:hAnsi="Corbel"/>
        </w:rPr>
        <w:t>, informed by DPMC guidance on the application of Treaty principles in policy development and implementation</w:t>
      </w:r>
      <w:r w:rsidR="00FD59CF" w:rsidRPr="001D6F3C">
        <w:rPr>
          <w:rFonts w:ascii="Corbel" w:hAnsi="Corbel"/>
        </w:rPr>
        <w:t xml:space="preserve"> (DPMC, 2019)</w:t>
      </w:r>
      <w:r w:rsidRPr="001D6F3C">
        <w:rPr>
          <w:rFonts w:ascii="Corbel" w:hAnsi="Corbel"/>
        </w:rPr>
        <w:t xml:space="preserve">. Two principles are of </w:t>
      </w:r>
      <w:proofErr w:type="gramStart"/>
      <w:r w:rsidRPr="001D6F3C">
        <w:rPr>
          <w:rFonts w:ascii="Corbel" w:hAnsi="Corbel"/>
        </w:rPr>
        <w:t>particular relevance</w:t>
      </w:r>
      <w:proofErr w:type="gramEnd"/>
      <w:r w:rsidRPr="001D6F3C">
        <w:rPr>
          <w:rFonts w:ascii="Corbel" w:hAnsi="Corbel"/>
        </w:rPr>
        <w:t xml:space="preserve"> in this context:</w:t>
      </w:r>
    </w:p>
    <w:p w14:paraId="63EC3E90" w14:textId="77777777" w:rsidR="00825B5C" w:rsidRPr="001D6F3C" w:rsidRDefault="00825B5C" w:rsidP="00D404C5">
      <w:pPr>
        <w:pStyle w:val="ListParagraph"/>
        <w:numPr>
          <w:ilvl w:val="0"/>
          <w:numId w:val="38"/>
        </w:numPr>
        <w:jc w:val="both"/>
        <w:rPr>
          <w:rFonts w:ascii="Corbel" w:hAnsi="Corbel"/>
        </w:rPr>
      </w:pPr>
      <w:r w:rsidRPr="001D6F3C">
        <w:rPr>
          <w:rFonts w:ascii="Corbel" w:hAnsi="Corbel"/>
        </w:rPr>
        <w:t xml:space="preserve">the principle of active protection requires the Crown to actively protect Māori </w:t>
      </w:r>
      <w:proofErr w:type="gramStart"/>
      <w:r w:rsidRPr="001D6F3C">
        <w:rPr>
          <w:rFonts w:ascii="Corbel" w:hAnsi="Corbel"/>
        </w:rPr>
        <w:t>interests;</w:t>
      </w:r>
      <w:proofErr w:type="gramEnd"/>
      <w:r w:rsidRPr="001D6F3C">
        <w:rPr>
          <w:rFonts w:ascii="Corbel" w:hAnsi="Corbel"/>
        </w:rPr>
        <w:t xml:space="preserve"> </w:t>
      </w:r>
    </w:p>
    <w:p w14:paraId="7928FECA" w14:textId="042D5AB9" w:rsidR="00825B5C" w:rsidRPr="001D6F3C" w:rsidRDefault="00825B5C" w:rsidP="00D404C5">
      <w:pPr>
        <w:pStyle w:val="ListParagraph"/>
        <w:numPr>
          <w:ilvl w:val="0"/>
          <w:numId w:val="38"/>
        </w:numPr>
        <w:jc w:val="both"/>
        <w:rPr>
          <w:rFonts w:ascii="Corbel" w:hAnsi="Corbel"/>
        </w:rPr>
      </w:pPr>
      <w:r w:rsidRPr="001D6F3C">
        <w:rPr>
          <w:rFonts w:ascii="Corbel" w:hAnsi="Corbel"/>
        </w:rPr>
        <w:t>the principle of partnership requires the Crown to act reasonably and with the utmost good faith towards Māori. Inherent in this duty is a requirement to make informed decisions on matters that affect Māori interests.</w:t>
      </w:r>
    </w:p>
    <w:p w14:paraId="34C37B7A" w14:textId="30328335" w:rsidR="00825B5C" w:rsidRPr="001D6F3C" w:rsidRDefault="0099155C" w:rsidP="00825B5C">
      <w:pPr>
        <w:jc w:val="both"/>
        <w:rPr>
          <w:rFonts w:ascii="Corbel" w:hAnsi="Corbel"/>
        </w:rPr>
      </w:pPr>
      <w:r w:rsidRPr="001D6F3C">
        <w:rPr>
          <w:rFonts w:ascii="Corbel" w:hAnsi="Corbel"/>
        </w:rPr>
        <w:t xml:space="preserve">During consultation </w:t>
      </w:r>
      <w:r w:rsidR="00825B5C" w:rsidRPr="001D6F3C">
        <w:rPr>
          <w:rFonts w:ascii="Corbel" w:hAnsi="Corbel"/>
        </w:rPr>
        <w:t>we engaged with experts, stakeholders and other Māori representatives. We have also explicitly consider</w:t>
      </w:r>
      <w:r w:rsidRPr="001D6F3C">
        <w:rPr>
          <w:rFonts w:ascii="Corbel" w:hAnsi="Corbel"/>
        </w:rPr>
        <w:t>ed</w:t>
      </w:r>
      <w:r w:rsidR="00825B5C" w:rsidRPr="001D6F3C">
        <w:rPr>
          <w:rFonts w:ascii="Corbel" w:hAnsi="Corbel"/>
        </w:rPr>
        <w:t xml:space="preserve"> the position of older Māori as we have conducted the analysis in this briefing</w:t>
      </w:r>
      <w:r w:rsidRPr="001D6F3C">
        <w:rPr>
          <w:rFonts w:ascii="Corbel" w:hAnsi="Corbel"/>
        </w:rPr>
        <w:t>.</w:t>
      </w:r>
    </w:p>
    <w:p w14:paraId="4A64C6F8" w14:textId="5E5391A0" w:rsidR="00825B5C" w:rsidRPr="001D6F3C" w:rsidRDefault="00825B5C" w:rsidP="00825B5C">
      <w:pPr>
        <w:jc w:val="both"/>
        <w:rPr>
          <w:rFonts w:ascii="Corbel" w:hAnsi="Corbel"/>
        </w:rPr>
      </w:pPr>
      <w:r w:rsidRPr="001D6F3C">
        <w:rPr>
          <w:rFonts w:ascii="Corbel" w:hAnsi="Corbel"/>
        </w:rPr>
        <w:lastRenderedPageBreak/>
        <w:t>Through our engagement, stakeholders emphasised the important cultural roles that older Māori play, particularly as kaum</w:t>
      </w:r>
      <w:r w:rsidR="00DD3862" w:rsidRPr="001D6F3C">
        <w:rPr>
          <w:rFonts w:ascii="Corbel" w:hAnsi="Corbel"/>
        </w:rPr>
        <w:t>ā</w:t>
      </w:r>
      <w:r w:rsidRPr="001D6F3C">
        <w:rPr>
          <w:rFonts w:ascii="Corbel" w:hAnsi="Corbel"/>
        </w:rPr>
        <w:t xml:space="preserve">tua, in the preservation and transmission of tikanga, and their key roles in marae life. These roles are important context </w:t>
      </w:r>
      <w:r w:rsidR="004F5FC1" w:rsidRPr="001D6F3C">
        <w:rPr>
          <w:rFonts w:ascii="Corbel" w:hAnsi="Corbel"/>
        </w:rPr>
        <w:t>for</w:t>
      </w:r>
      <w:r w:rsidRPr="001D6F3C">
        <w:rPr>
          <w:rFonts w:ascii="Corbel" w:hAnsi="Corbel"/>
        </w:rPr>
        <w:t xml:space="preserve"> considering policy options. </w:t>
      </w:r>
    </w:p>
    <w:p w14:paraId="68DAB484" w14:textId="7D7B2ADE" w:rsidR="00826D99" w:rsidRPr="001D6F3C" w:rsidRDefault="004F5FC1" w:rsidP="00825B5C">
      <w:pPr>
        <w:jc w:val="both"/>
        <w:rPr>
          <w:rFonts w:ascii="Corbel" w:hAnsi="Corbel"/>
        </w:rPr>
      </w:pPr>
      <w:r w:rsidRPr="001D6F3C">
        <w:rPr>
          <w:rFonts w:ascii="Corbel" w:hAnsi="Corbel"/>
        </w:rPr>
        <w:t>O</w:t>
      </w:r>
      <w:r w:rsidR="00825B5C" w:rsidRPr="001D6F3C">
        <w:rPr>
          <w:rFonts w:ascii="Corbel" w:hAnsi="Corbel"/>
        </w:rPr>
        <w:t>lder Māori are over-represented amongst statistics for poverty, hardship and wider disadvantage, and are also disproportionately impacted by many of the specific risks and issues we cover</w:t>
      </w:r>
      <w:r w:rsidR="1801ABCD" w:rsidRPr="001D6F3C">
        <w:rPr>
          <w:rFonts w:ascii="Corbel" w:hAnsi="Corbel"/>
        </w:rPr>
        <w:t>.</w:t>
      </w:r>
      <w:r w:rsidR="00825B5C" w:rsidRPr="001D6F3C">
        <w:rPr>
          <w:rFonts w:ascii="Corbel" w:hAnsi="Corbel"/>
        </w:rPr>
        <w:t xml:space="preserve"> </w:t>
      </w:r>
      <w:r w:rsidRPr="001D6F3C">
        <w:rPr>
          <w:rFonts w:ascii="Corbel" w:hAnsi="Corbel"/>
        </w:rPr>
        <w:t>A</w:t>
      </w:r>
      <w:r w:rsidR="00825B5C" w:rsidRPr="001D6F3C">
        <w:rPr>
          <w:rFonts w:ascii="Corbel" w:hAnsi="Corbel"/>
        </w:rPr>
        <w:t>ctions to address this disadvantage are likely to be consistent with the principle of active protection, provided these actions are effective for Māori, and that specific consideration is given to what will be effective and culturally appropriate for whānau.</w:t>
      </w:r>
    </w:p>
    <w:p w14:paraId="6A638AE8" w14:textId="77777777" w:rsidR="00826D99" w:rsidRPr="001D6F3C" w:rsidRDefault="00826D99" w:rsidP="004C41A0"/>
    <w:p w14:paraId="4AB88829" w14:textId="43DB8E35" w:rsidR="00527724" w:rsidRPr="001D6F3C" w:rsidRDefault="00527724">
      <w:pPr>
        <w:spacing w:before="0"/>
        <w:rPr>
          <w:rFonts w:ascii="Corbel" w:eastAsiaTheme="majorEastAsia" w:hAnsi="Corbel" w:cstheme="majorBidi"/>
          <w:color w:val="244061" w:themeColor="accent1" w:themeShade="80"/>
          <w:sz w:val="52"/>
          <w:szCs w:val="36"/>
        </w:rPr>
      </w:pPr>
      <w:r w:rsidRPr="001D6F3C">
        <w:rPr>
          <w:rFonts w:ascii="Corbel" w:hAnsi="Corbel"/>
        </w:rPr>
        <w:br w:type="page"/>
      </w:r>
    </w:p>
    <w:p w14:paraId="58EB5122" w14:textId="77777777" w:rsidR="00712A21" w:rsidRPr="001D6F3C" w:rsidRDefault="00712A21" w:rsidP="00A60862">
      <w:pPr>
        <w:pStyle w:val="Heading1"/>
        <w:jc w:val="both"/>
        <w:rPr>
          <w:rFonts w:ascii="Corbel" w:hAnsi="Corbel"/>
        </w:rPr>
      </w:pPr>
    </w:p>
    <w:p w14:paraId="0AEC782B" w14:textId="01342B5F" w:rsidR="005C3E1D" w:rsidRPr="001D6F3C" w:rsidRDefault="005C3E1D" w:rsidP="00A60862">
      <w:pPr>
        <w:pStyle w:val="Heading1"/>
        <w:jc w:val="both"/>
        <w:rPr>
          <w:rFonts w:asciiTheme="minorHAnsi" w:hAnsiTheme="minorHAnsi" w:cstheme="minorHAnsi"/>
        </w:rPr>
      </w:pPr>
      <w:bookmarkStart w:id="7" w:name="_Toc207782982"/>
      <w:r w:rsidRPr="001D6F3C">
        <w:rPr>
          <w:rFonts w:asciiTheme="minorHAnsi" w:hAnsiTheme="minorHAnsi" w:cstheme="minorHAnsi"/>
        </w:rPr>
        <w:t>Part one: older people in New Zealand</w:t>
      </w:r>
      <w:bookmarkEnd w:id="7"/>
    </w:p>
    <w:p w14:paraId="2CCAC544" w14:textId="458B5225" w:rsidR="005C3E1D" w:rsidRPr="001D6F3C" w:rsidRDefault="005C3E1D" w:rsidP="00A60862">
      <w:pPr>
        <w:pStyle w:val="Subtitle"/>
        <w:jc w:val="both"/>
        <w:rPr>
          <w:rFonts w:ascii="Corbel" w:hAnsi="Corbel"/>
        </w:rPr>
      </w:pPr>
      <w:r w:rsidRPr="001D6F3C">
        <w:rPr>
          <w:rFonts w:ascii="Corbel" w:hAnsi="Corbel"/>
        </w:rPr>
        <w:t xml:space="preserve">Roles, attitudes and other key context, including population </w:t>
      </w:r>
      <w:r w:rsidR="00B75A7B" w:rsidRPr="001D6F3C">
        <w:rPr>
          <w:rFonts w:ascii="Corbel" w:hAnsi="Corbel"/>
        </w:rPr>
        <w:t>ageing</w:t>
      </w:r>
    </w:p>
    <w:p w14:paraId="75BFF37A" w14:textId="79287BC2" w:rsidR="00712A21" w:rsidRPr="001D6F3C" w:rsidRDefault="00712A21" w:rsidP="6E816A7D">
      <w:pPr>
        <w:jc w:val="both"/>
        <w:rPr>
          <w:rFonts w:ascii="Corbel" w:hAnsi="Corbel"/>
        </w:rPr>
      </w:pPr>
      <w:r w:rsidRPr="001D6F3C">
        <w:rPr>
          <w:rFonts w:ascii="Corbel" w:hAnsi="Corbel"/>
        </w:rPr>
        <w:br w:type="page"/>
      </w:r>
      <w:r w:rsidR="512F1788" w:rsidRPr="001D6F3C">
        <w:rPr>
          <w:rFonts w:ascii="Corbel" w:hAnsi="Corbel"/>
        </w:rPr>
        <w:lastRenderedPageBreak/>
        <w:t xml:space="preserve">In this section we </w:t>
      </w:r>
      <w:r w:rsidR="4DB30308" w:rsidRPr="001D6F3C">
        <w:rPr>
          <w:rFonts w:ascii="Corbel" w:hAnsi="Corbel"/>
        </w:rPr>
        <w:t>outline the diversity of ex</w:t>
      </w:r>
      <w:r w:rsidR="15DEA0CF" w:rsidRPr="001D6F3C">
        <w:rPr>
          <w:rFonts w:ascii="Corbel" w:hAnsi="Corbel"/>
        </w:rPr>
        <w:t xml:space="preserve">periences in later life, </w:t>
      </w:r>
      <w:r w:rsidR="4145D038" w:rsidRPr="001D6F3C">
        <w:rPr>
          <w:rFonts w:ascii="Corbel" w:hAnsi="Corbel"/>
        </w:rPr>
        <w:t>describe</w:t>
      </w:r>
      <w:r w:rsidR="15DEA0CF" w:rsidRPr="001D6F3C">
        <w:rPr>
          <w:rFonts w:ascii="Corbel" w:hAnsi="Corbel"/>
        </w:rPr>
        <w:t xml:space="preserve"> cultural conceptions of age and ageing and step through population projections. </w:t>
      </w:r>
      <w:r w:rsidR="32BA4024" w:rsidRPr="001D6F3C">
        <w:rPr>
          <w:rFonts w:ascii="Corbel" w:hAnsi="Corbel"/>
        </w:rPr>
        <w:t xml:space="preserve">We also discuss how </w:t>
      </w:r>
      <w:r w:rsidR="6A980445" w:rsidRPr="001D6F3C">
        <w:rPr>
          <w:rFonts w:ascii="Corbel" w:hAnsi="Corbel"/>
        </w:rPr>
        <w:t xml:space="preserve">age </w:t>
      </w:r>
      <w:r w:rsidR="2384B873" w:rsidRPr="001D6F3C">
        <w:rPr>
          <w:rFonts w:ascii="Corbel" w:hAnsi="Corbel"/>
        </w:rPr>
        <w:t xml:space="preserve">and later life interact and </w:t>
      </w:r>
      <w:r w:rsidR="2361C49B" w:rsidRPr="001D6F3C">
        <w:rPr>
          <w:rFonts w:ascii="Corbel" w:hAnsi="Corbel"/>
        </w:rPr>
        <w:t>what this means for our analysis</w:t>
      </w:r>
      <w:r w:rsidR="6A980445" w:rsidRPr="001D6F3C">
        <w:rPr>
          <w:rFonts w:ascii="Corbel" w:hAnsi="Corbel"/>
        </w:rPr>
        <w:t>. This section sets out the key context for the rest of the issues explored in this LTIB.</w:t>
      </w:r>
    </w:p>
    <w:p w14:paraId="77201E23" w14:textId="45160EA3" w:rsidR="0013070D" w:rsidRPr="001D6F3C" w:rsidRDefault="0013070D" w:rsidP="0013070D">
      <w:pPr>
        <w:pStyle w:val="Heading2"/>
        <w:jc w:val="both"/>
        <w:rPr>
          <w:rFonts w:ascii="Corbel" w:hAnsi="Corbel"/>
        </w:rPr>
      </w:pPr>
      <w:bookmarkStart w:id="8" w:name="_Toc207782983"/>
      <w:r w:rsidRPr="001D6F3C">
        <w:rPr>
          <w:rFonts w:ascii="Corbel" w:hAnsi="Corbel"/>
        </w:rPr>
        <w:t>1.</w:t>
      </w:r>
      <w:r w:rsidR="00527724" w:rsidRPr="001D6F3C">
        <w:rPr>
          <w:rFonts w:ascii="Corbel" w:hAnsi="Corbel"/>
        </w:rPr>
        <w:t>1</w:t>
      </w:r>
      <w:r w:rsidRPr="001D6F3C">
        <w:rPr>
          <w:rFonts w:ascii="Corbel" w:hAnsi="Corbel"/>
        </w:rPr>
        <w:t xml:space="preserve"> Different experiences </w:t>
      </w:r>
      <w:r w:rsidR="00125F2F" w:rsidRPr="001D6F3C">
        <w:rPr>
          <w:rFonts w:ascii="Corbel" w:hAnsi="Corbel"/>
        </w:rPr>
        <w:t>and</w:t>
      </w:r>
      <w:r w:rsidRPr="001D6F3C">
        <w:rPr>
          <w:rFonts w:ascii="Corbel" w:hAnsi="Corbel"/>
        </w:rPr>
        <w:t xml:space="preserve"> expectations of later life</w:t>
      </w:r>
      <w:bookmarkEnd w:id="8"/>
    </w:p>
    <w:p w14:paraId="705A66C8" w14:textId="133DB847" w:rsidR="00315EE9" w:rsidRPr="001D6F3C" w:rsidRDefault="0013070D" w:rsidP="0013070D">
      <w:pPr>
        <w:jc w:val="both"/>
        <w:rPr>
          <w:rFonts w:ascii="Corbel" w:hAnsi="Corbel"/>
        </w:rPr>
      </w:pPr>
      <w:r w:rsidRPr="001D6F3C">
        <w:rPr>
          <w:rFonts w:ascii="Corbel" w:hAnsi="Corbel"/>
        </w:rPr>
        <w:t xml:space="preserve">The older population is not a homogenous group and covers a range of people in diverse circumstances. People over 65 vary widely in their living arrangements, health, socioeconomic status, cultural backgrounds, personal experiences, and lifestyle choices. Some are in good health, highly active, still working, are financially secure, have supportive relationships, and/or are very engaged in their communities. Others may face physical or mental health limitations, financial insecurity, family or relationship difficulties, or social isolation. </w:t>
      </w:r>
    </w:p>
    <w:p w14:paraId="430983A8" w14:textId="2120BE16" w:rsidR="0013070D" w:rsidRPr="001D6F3C" w:rsidRDefault="0063492F" w:rsidP="0013070D">
      <w:pPr>
        <w:jc w:val="both"/>
        <w:rPr>
          <w:rFonts w:ascii="Corbel" w:hAnsi="Corbel"/>
        </w:rPr>
      </w:pPr>
      <w:r w:rsidRPr="001D6F3C">
        <w:rPr>
          <w:rFonts w:ascii="Corbel" w:hAnsi="Corbel"/>
        </w:rPr>
        <w:t>The use of 65 as the defining</w:t>
      </w:r>
      <w:r w:rsidR="00E13366" w:rsidRPr="001D6F3C">
        <w:rPr>
          <w:rFonts w:ascii="Corbel" w:hAnsi="Corbel"/>
        </w:rPr>
        <w:t xml:space="preserve"> point at which older age or later life begins is itself arbitrary and largely based on the</w:t>
      </w:r>
      <w:r w:rsidR="00A10DEF" w:rsidRPr="001D6F3C">
        <w:rPr>
          <w:rFonts w:ascii="Corbel" w:hAnsi="Corbel"/>
        </w:rPr>
        <w:t xml:space="preserve"> age of eligibility for NZS. </w:t>
      </w:r>
      <w:proofErr w:type="gramStart"/>
      <w:r w:rsidR="00A10DEF" w:rsidRPr="001D6F3C">
        <w:rPr>
          <w:rFonts w:ascii="Corbel" w:hAnsi="Corbel"/>
        </w:rPr>
        <w:t>In reality the</w:t>
      </w:r>
      <w:proofErr w:type="gramEnd"/>
      <w:r w:rsidR="00A10DEF" w:rsidRPr="001D6F3C">
        <w:rPr>
          <w:rFonts w:ascii="Corbel" w:hAnsi="Corbel"/>
        </w:rPr>
        <w:t xml:space="preserve"> biological and social processes of ageing vary widely and </w:t>
      </w:r>
      <w:r w:rsidR="00315EE9" w:rsidRPr="001D6F3C">
        <w:rPr>
          <w:rFonts w:ascii="Corbel" w:hAnsi="Corbel"/>
        </w:rPr>
        <w:t>do not necessarily correlate with chronological age. M</w:t>
      </w:r>
      <w:r w:rsidR="00A10DEF" w:rsidRPr="001D6F3C">
        <w:rPr>
          <w:rFonts w:ascii="Corbel" w:hAnsi="Corbel"/>
        </w:rPr>
        <w:t xml:space="preserve">any of the characteristics this paper discusses </w:t>
      </w:r>
      <w:r w:rsidR="00CC3D84" w:rsidRPr="001D6F3C">
        <w:rPr>
          <w:rFonts w:ascii="Corbel" w:hAnsi="Corbel"/>
        </w:rPr>
        <w:t>will</w:t>
      </w:r>
      <w:r w:rsidR="00D14988" w:rsidRPr="001D6F3C">
        <w:rPr>
          <w:rFonts w:ascii="Corbel" w:hAnsi="Corbel"/>
        </w:rPr>
        <w:t xml:space="preserve"> affect </w:t>
      </w:r>
      <w:r w:rsidR="00CC3D84" w:rsidRPr="001D6F3C">
        <w:rPr>
          <w:rFonts w:ascii="Corbel" w:hAnsi="Corbel"/>
        </w:rPr>
        <w:t>individuals</w:t>
      </w:r>
      <w:r w:rsidR="00D14988" w:rsidRPr="001D6F3C">
        <w:rPr>
          <w:rFonts w:ascii="Corbel" w:hAnsi="Corbel"/>
        </w:rPr>
        <w:t xml:space="preserve"> at earlier </w:t>
      </w:r>
      <w:r w:rsidR="00CC3D84" w:rsidRPr="001D6F3C">
        <w:rPr>
          <w:rFonts w:ascii="Corbel" w:hAnsi="Corbel"/>
        </w:rPr>
        <w:t xml:space="preserve">or later </w:t>
      </w:r>
      <w:r w:rsidR="00D14988" w:rsidRPr="001D6F3C">
        <w:rPr>
          <w:rFonts w:ascii="Corbel" w:hAnsi="Corbel"/>
        </w:rPr>
        <w:t>ages than 65.</w:t>
      </w:r>
      <w:r w:rsidR="00CC3D84" w:rsidRPr="001D6F3C">
        <w:rPr>
          <w:rFonts w:ascii="Corbel" w:hAnsi="Corbel"/>
        </w:rPr>
        <w:t xml:space="preserve"> This includes systemic variation </w:t>
      </w:r>
      <w:proofErr w:type="gramStart"/>
      <w:r w:rsidR="00CC3D84" w:rsidRPr="001D6F3C">
        <w:rPr>
          <w:rFonts w:ascii="Corbel" w:hAnsi="Corbel"/>
        </w:rPr>
        <w:t>on the basis of</w:t>
      </w:r>
      <w:proofErr w:type="gramEnd"/>
      <w:r w:rsidR="00CC3D84" w:rsidRPr="001D6F3C">
        <w:rPr>
          <w:rFonts w:ascii="Corbel" w:hAnsi="Corbel"/>
        </w:rPr>
        <w:t xml:space="preserve"> characteristics such as gender and ethnicity. </w:t>
      </w:r>
      <w:r w:rsidR="0013070D" w:rsidRPr="001D6F3C">
        <w:rPr>
          <w:rFonts w:ascii="Corbel" w:hAnsi="Corbel"/>
        </w:rPr>
        <w:t xml:space="preserve">The ‘65+’ group also covers a very wide age range - there are </w:t>
      </w:r>
      <w:r w:rsidR="00963A63" w:rsidRPr="001D6F3C">
        <w:rPr>
          <w:rFonts w:ascii="Corbel" w:hAnsi="Corbel"/>
        </w:rPr>
        <w:t xml:space="preserve">likely to be </w:t>
      </w:r>
      <w:r w:rsidR="0013070D" w:rsidRPr="001D6F3C">
        <w:rPr>
          <w:rFonts w:ascii="Corbel" w:hAnsi="Corbel"/>
        </w:rPr>
        <w:t xml:space="preserve">significant differences in the life experiences of those in their 60s and 70s (‘younger older’ people) and those in their 80s and 90s (‘older </w:t>
      </w:r>
      <w:proofErr w:type="spellStart"/>
      <w:r w:rsidR="0013070D" w:rsidRPr="001D6F3C">
        <w:rPr>
          <w:rFonts w:ascii="Corbel" w:hAnsi="Corbel"/>
        </w:rPr>
        <w:t>older</w:t>
      </w:r>
      <w:proofErr w:type="spellEnd"/>
      <w:r w:rsidR="0013070D" w:rsidRPr="001D6F3C">
        <w:rPr>
          <w:rFonts w:ascii="Corbel" w:hAnsi="Corbel"/>
        </w:rPr>
        <w:t xml:space="preserve">’ people). </w:t>
      </w:r>
    </w:p>
    <w:p w14:paraId="5F0CA4D6" w14:textId="0029082B" w:rsidR="0013070D" w:rsidRPr="001D6F3C" w:rsidRDefault="0013070D" w:rsidP="0013070D">
      <w:pPr>
        <w:jc w:val="both"/>
        <w:rPr>
          <w:rFonts w:ascii="Corbel" w:hAnsi="Corbel"/>
        </w:rPr>
      </w:pPr>
      <w:r w:rsidRPr="001D6F3C">
        <w:rPr>
          <w:rFonts w:ascii="Corbel" w:hAnsi="Corbel"/>
        </w:rPr>
        <w:t>The terms ‘65+’, ‘older age’, ‘</w:t>
      </w:r>
      <w:proofErr w:type="spellStart"/>
      <w:r w:rsidRPr="001D6F3C">
        <w:rPr>
          <w:rFonts w:ascii="Corbel" w:hAnsi="Corbel"/>
        </w:rPr>
        <w:t>superannuitant</w:t>
      </w:r>
      <w:proofErr w:type="spellEnd"/>
      <w:r w:rsidRPr="001D6F3C">
        <w:rPr>
          <w:rFonts w:ascii="Corbel" w:hAnsi="Corbel"/>
        </w:rPr>
        <w:t>’ and ‘retirement age’ are often used interchangeably. However</w:t>
      </w:r>
      <w:r w:rsidR="00315EE9" w:rsidRPr="001D6F3C">
        <w:rPr>
          <w:rFonts w:ascii="Corbel" w:hAnsi="Corbel"/>
        </w:rPr>
        <w:t>,</w:t>
      </w:r>
      <w:r w:rsidRPr="001D6F3C">
        <w:rPr>
          <w:rFonts w:ascii="Corbel" w:hAnsi="Corbel"/>
        </w:rPr>
        <w:t xml:space="preserve"> many continue to work after reaching the age of 65</w:t>
      </w:r>
      <w:r w:rsidR="00315EE9" w:rsidRPr="001D6F3C">
        <w:rPr>
          <w:rFonts w:ascii="Corbel" w:hAnsi="Corbel"/>
        </w:rPr>
        <w:t>. M</w:t>
      </w:r>
      <w:r w:rsidRPr="001D6F3C">
        <w:rPr>
          <w:rFonts w:ascii="Corbel" w:hAnsi="Corbel"/>
        </w:rPr>
        <w:t xml:space="preserve">any </w:t>
      </w:r>
      <w:proofErr w:type="gramStart"/>
      <w:r w:rsidRPr="001D6F3C">
        <w:rPr>
          <w:rFonts w:ascii="Corbel" w:hAnsi="Corbel"/>
        </w:rPr>
        <w:t>lead</w:t>
      </w:r>
      <w:proofErr w:type="gramEnd"/>
      <w:r w:rsidRPr="001D6F3C">
        <w:rPr>
          <w:rFonts w:ascii="Corbel" w:hAnsi="Corbel"/>
        </w:rPr>
        <w:t xml:space="preserve"> active lives</w:t>
      </w:r>
      <w:r w:rsidR="00315EE9" w:rsidRPr="001D6F3C">
        <w:rPr>
          <w:rFonts w:ascii="Corbel" w:hAnsi="Corbel"/>
        </w:rPr>
        <w:t xml:space="preserve"> and contribute </w:t>
      </w:r>
      <w:r w:rsidRPr="001D6F3C">
        <w:rPr>
          <w:rFonts w:ascii="Corbel" w:hAnsi="Corbel"/>
        </w:rPr>
        <w:t xml:space="preserve">significantly within their community. There are also cultural dimensions around the roles that people assume as they age (see box </w:t>
      </w:r>
      <w:r w:rsidR="00963A63" w:rsidRPr="001D6F3C">
        <w:rPr>
          <w:rFonts w:ascii="Corbel" w:hAnsi="Corbel"/>
        </w:rPr>
        <w:t>below</w:t>
      </w:r>
      <w:r w:rsidRPr="001D6F3C">
        <w:rPr>
          <w:rFonts w:ascii="Corbel" w:hAnsi="Corbel"/>
        </w:rPr>
        <w:t>).</w:t>
      </w:r>
      <w:r w:rsidR="0063492F" w:rsidRPr="001D6F3C">
        <w:rPr>
          <w:rFonts w:ascii="Corbel" w:hAnsi="Corbel"/>
        </w:rPr>
        <w:t xml:space="preserve"> </w:t>
      </w:r>
    </w:p>
    <w:p w14:paraId="031C99A9" w14:textId="2D825429" w:rsidR="0013070D" w:rsidRPr="001D6F3C" w:rsidRDefault="0013070D" w:rsidP="0013070D">
      <w:pPr>
        <w:jc w:val="both"/>
        <w:rPr>
          <w:rFonts w:ascii="Corbel" w:hAnsi="Corbel"/>
        </w:rPr>
      </w:pPr>
      <w:r w:rsidRPr="001D6F3C">
        <w:rPr>
          <w:rFonts w:ascii="Corbel" w:hAnsi="Corbel"/>
        </w:rPr>
        <w:t>There are also generational differences between the oldest older people and the incoming cohort of older people. The</w:t>
      </w:r>
      <w:r w:rsidR="360F62FE" w:rsidRPr="001D6F3C">
        <w:rPr>
          <w:rFonts w:ascii="Corbel" w:hAnsi="Corbel"/>
        </w:rPr>
        <w:t>se differences include</w:t>
      </w:r>
      <w:r w:rsidRPr="001D6F3C">
        <w:rPr>
          <w:rFonts w:ascii="Corbel" w:hAnsi="Corbel"/>
        </w:rPr>
        <w:t xml:space="preserve"> education levels, age at first marriage, age of birth of first child, expectations of working and measures of mobility (changes in location of one’s home, changes of job, and changes in occupation). These factors contribute to life experiences and needs in older age. There will similarly be differences in the experiences of those who will come into older age in coming decades. The cohort of people </w:t>
      </w:r>
      <w:r w:rsidR="00963A63" w:rsidRPr="001D6F3C">
        <w:rPr>
          <w:rFonts w:ascii="Corbel" w:hAnsi="Corbel"/>
        </w:rPr>
        <w:t xml:space="preserve">currently </w:t>
      </w:r>
      <w:r w:rsidRPr="001D6F3C">
        <w:rPr>
          <w:rFonts w:ascii="Corbel" w:hAnsi="Corbel"/>
        </w:rPr>
        <w:t xml:space="preserve">aged 50-64 have different contexts for their lives and will not experience older age in the same ways. </w:t>
      </w:r>
    </w:p>
    <w:tbl>
      <w:tblPr>
        <w:tblStyle w:val="TableGrid"/>
        <w:tblW w:w="9351" w:type="dxa"/>
        <w:tblLook w:val="04A0" w:firstRow="1" w:lastRow="0" w:firstColumn="1" w:lastColumn="0" w:noHBand="0" w:noVBand="1"/>
      </w:tblPr>
      <w:tblGrid>
        <w:gridCol w:w="9351"/>
      </w:tblGrid>
      <w:tr w:rsidR="0013070D" w:rsidRPr="001D6F3C" w14:paraId="73C269CE" w14:textId="77777777" w:rsidTr="0067684E">
        <w:trPr>
          <w:trHeight w:val="9913"/>
        </w:trPr>
        <w:tc>
          <w:tcPr>
            <w:tcW w:w="9351" w:type="dxa"/>
            <w:shd w:val="clear" w:color="auto" w:fill="DAEEF3" w:themeFill="accent5" w:themeFillTint="33"/>
          </w:tcPr>
          <w:p w14:paraId="7B3F9BCB" w14:textId="033EE49F" w:rsidR="0013070D" w:rsidRPr="001D6F3C" w:rsidRDefault="0013070D" w:rsidP="2009C0B2">
            <w:pPr>
              <w:jc w:val="both"/>
              <w:rPr>
                <w:rFonts w:ascii="Corbel" w:hAnsi="Corbel"/>
                <w:b/>
                <w:bCs/>
                <w:sz w:val="20"/>
                <w:szCs w:val="20"/>
              </w:rPr>
            </w:pPr>
            <w:r w:rsidRPr="001D6F3C">
              <w:rPr>
                <w:rFonts w:ascii="Corbel" w:hAnsi="Corbel"/>
                <w:b/>
                <w:bCs/>
                <w:sz w:val="20"/>
                <w:szCs w:val="20"/>
              </w:rPr>
              <w:lastRenderedPageBreak/>
              <w:t xml:space="preserve">Cultural </w:t>
            </w:r>
            <w:r w:rsidR="00315EE9" w:rsidRPr="001D6F3C">
              <w:rPr>
                <w:rFonts w:ascii="Corbel" w:hAnsi="Corbel"/>
                <w:b/>
                <w:bCs/>
                <w:sz w:val="20"/>
                <w:szCs w:val="20"/>
              </w:rPr>
              <w:t>c</w:t>
            </w:r>
            <w:r w:rsidRPr="001D6F3C">
              <w:rPr>
                <w:rFonts w:ascii="Corbel" w:hAnsi="Corbel"/>
                <w:b/>
                <w:bCs/>
                <w:sz w:val="20"/>
                <w:szCs w:val="20"/>
              </w:rPr>
              <w:t xml:space="preserve">onceptions of </w:t>
            </w:r>
            <w:r w:rsidR="00315EE9" w:rsidRPr="001D6F3C">
              <w:rPr>
                <w:rFonts w:ascii="Corbel" w:hAnsi="Corbel"/>
                <w:b/>
                <w:bCs/>
                <w:sz w:val="20"/>
                <w:szCs w:val="20"/>
              </w:rPr>
              <w:t>a</w:t>
            </w:r>
            <w:r w:rsidRPr="001D6F3C">
              <w:rPr>
                <w:rFonts w:ascii="Corbel" w:hAnsi="Corbel"/>
                <w:b/>
                <w:bCs/>
                <w:sz w:val="20"/>
                <w:szCs w:val="20"/>
              </w:rPr>
              <w:t xml:space="preserve">ge and </w:t>
            </w:r>
            <w:r w:rsidR="00315EE9" w:rsidRPr="001D6F3C">
              <w:rPr>
                <w:rFonts w:ascii="Corbel" w:hAnsi="Corbel"/>
                <w:b/>
                <w:bCs/>
                <w:sz w:val="20"/>
                <w:szCs w:val="20"/>
              </w:rPr>
              <w:t>a</w:t>
            </w:r>
            <w:r w:rsidRPr="001D6F3C">
              <w:rPr>
                <w:rFonts w:ascii="Corbel" w:hAnsi="Corbel"/>
                <w:b/>
                <w:bCs/>
                <w:sz w:val="20"/>
                <w:szCs w:val="20"/>
              </w:rPr>
              <w:t>geing</w:t>
            </w:r>
          </w:p>
          <w:p w14:paraId="5248ABD0" w14:textId="1ED55CBD" w:rsidR="0013070D" w:rsidRPr="001D6F3C" w:rsidRDefault="0013070D" w:rsidP="004836FE">
            <w:pPr>
              <w:jc w:val="both"/>
              <w:rPr>
                <w:rFonts w:ascii="Corbel" w:hAnsi="Corbel" w:cstheme="minorHAnsi"/>
                <w:sz w:val="20"/>
                <w:szCs w:val="20"/>
              </w:rPr>
            </w:pPr>
            <w:r w:rsidRPr="001D6F3C">
              <w:rPr>
                <w:rFonts w:ascii="Corbel" w:hAnsi="Corbel" w:cstheme="minorHAnsi"/>
                <w:sz w:val="20"/>
                <w:szCs w:val="20"/>
              </w:rPr>
              <w:t>Attitudes towards later life differ widely, particularly across cultures. Although ageing is formally a biological process, the meaning it has for older people is culturally informed. It is not possible to examine the wide range of approaches to ageing across cultures here, but some themes include:</w:t>
            </w:r>
          </w:p>
          <w:p w14:paraId="48F43F13" w14:textId="72C2BE05" w:rsidR="0013070D" w:rsidRPr="001D6F3C" w:rsidRDefault="0013070D" w:rsidP="00D404C5">
            <w:pPr>
              <w:pStyle w:val="ListParagraph"/>
              <w:numPr>
                <w:ilvl w:val="0"/>
                <w:numId w:val="37"/>
              </w:numPr>
              <w:jc w:val="both"/>
              <w:rPr>
                <w:rFonts w:ascii="Corbel" w:hAnsi="Corbel" w:cstheme="minorHAnsi"/>
                <w:sz w:val="20"/>
                <w:szCs w:val="20"/>
              </w:rPr>
            </w:pPr>
            <w:r w:rsidRPr="001D6F3C">
              <w:rPr>
                <w:rFonts w:ascii="Corbel" w:hAnsi="Corbel" w:cstheme="minorHAnsi"/>
                <w:sz w:val="20"/>
                <w:szCs w:val="20"/>
              </w:rPr>
              <w:t>Conceptions of ageing as primarily an individual process or as concerning one’s role within a family or community group</w:t>
            </w:r>
          </w:p>
          <w:p w14:paraId="5D24A70C" w14:textId="77777777" w:rsidR="0013070D" w:rsidRPr="001D6F3C" w:rsidRDefault="0013070D" w:rsidP="00D404C5">
            <w:pPr>
              <w:pStyle w:val="ListParagraph"/>
              <w:numPr>
                <w:ilvl w:val="0"/>
                <w:numId w:val="37"/>
              </w:numPr>
              <w:jc w:val="both"/>
              <w:rPr>
                <w:rFonts w:ascii="Corbel" w:hAnsi="Corbel" w:cstheme="minorHAnsi"/>
                <w:sz w:val="20"/>
                <w:szCs w:val="20"/>
              </w:rPr>
            </w:pPr>
            <w:r w:rsidRPr="001D6F3C">
              <w:rPr>
                <w:rFonts w:ascii="Corbel" w:hAnsi="Corbel" w:cstheme="minorHAnsi"/>
                <w:sz w:val="20"/>
                <w:szCs w:val="20"/>
              </w:rPr>
              <w:t>Emphasis on the physical aspects of ageing vs. the mental or emotional</w:t>
            </w:r>
          </w:p>
          <w:p w14:paraId="62296DD2" w14:textId="77777777" w:rsidR="0013070D" w:rsidRPr="001D6F3C" w:rsidRDefault="0013070D" w:rsidP="00D404C5">
            <w:pPr>
              <w:pStyle w:val="ListParagraph"/>
              <w:numPr>
                <w:ilvl w:val="0"/>
                <w:numId w:val="37"/>
              </w:numPr>
              <w:jc w:val="both"/>
              <w:rPr>
                <w:rFonts w:ascii="Corbel" w:hAnsi="Corbel" w:cstheme="minorHAnsi"/>
                <w:sz w:val="20"/>
                <w:szCs w:val="20"/>
              </w:rPr>
            </w:pPr>
            <w:r w:rsidRPr="001D6F3C">
              <w:rPr>
                <w:rFonts w:ascii="Corbel" w:hAnsi="Corbel" w:cstheme="minorHAnsi"/>
                <w:sz w:val="20"/>
                <w:szCs w:val="20"/>
              </w:rPr>
              <w:t>Framing of older people as primarily vulnerable or dependent vs. as fulfilling a range of culturally defined roles</w:t>
            </w:r>
          </w:p>
          <w:p w14:paraId="6A66F1CB" w14:textId="77777777" w:rsidR="0013070D" w:rsidRPr="001D6F3C" w:rsidRDefault="0013070D" w:rsidP="00D404C5">
            <w:pPr>
              <w:pStyle w:val="ListParagraph"/>
              <w:numPr>
                <w:ilvl w:val="0"/>
                <w:numId w:val="37"/>
              </w:numPr>
              <w:jc w:val="both"/>
              <w:rPr>
                <w:rFonts w:ascii="Corbel" w:hAnsi="Corbel" w:cstheme="minorHAnsi"/>
                <w:sz w:val="20"/>
                <w:szCs w:val="20"/>
              </w:rPr>
            </w:pPr>
            <w:r w:rsidRPr="001D6F3C">
              <w:rPr>
                <w:rFonts w:ascii="Corbel" w:hAnsi="Corbel" w:cstheme="minorHAnsi"/>
                <w:sz w:val="20"/>
                <w:szCs w:val="20"/>
              </w:rPr>
              <w:t>Different focuses for ideas about “successful” ageing such as: physical or mental health, social roles, safety and security, financial wellbeing and prosperity</w:t>
            </w:r>
          </w:p>
          <w:p w14:paraId="0A56F727" w14:textId="77777777" w:rsidR="0013070D" w:rsidRPr="001D6F3C" w:rsidRDefault="0013070D" w:rsidP="00D404C5">
            <w:pPr>
              <w:pStyle w:val="ListParagraph"/>
              <w:numPr>
                <w:ilvl w:val="0"/>
                <w:numId w:val="37"/>
              </w:numPr>
              <w:jc w:val="both"/>
              <w:rPr>
                <w:rFonts w:ascii="Corbel" w:hAnsi="Corbel" w:cstheme="minorHAnsi"/>
                <w:sz w:val="20"/>
                <w:szCs w:val="20"/>
              </w:rPr>
            </w:pPr>
            <w:r w:rsidRPr="001D6F3C">
              <w:rPr>
                <w:rFonts w:ascii="Corbel" w:hAnsi="Corbel" w:cstheme="minorHAnsi"/>
                <w:sz w:val="20"/>
                <w:szCs w:val="20"/>
              </w:rPr>
              <w:t>The role of spirituality, particularly in the context of age-related health conditions and end-of-life.</w:t>
            </w:r>
          </w:p>
          <w:p w14:paraId="4554570E" w14:textId="77777777" w:rsidR="0013070D" w:rsidRPr="001D6F3C" w:rsidRDefault="0013070D" w:rsidP="004836FE">
            <w:pPr>
              <w:spacing w:after="80" w:line="240" w:lineRule="auto"/>
              <w:jc w:val="both"/>
              <w:rPr>
                <w:rFonts w:ascii="Corbel" w:hAnsi="Corbel" w:cstheme="minorHAnsi"/>
                <w:b/>
                <w:bCs/>
                <w:sz w:val="20"/>
                <w:szCs w:val="20"/>
              </w:rPr>
            </w:pPr>
            <w:r w:rsidRPr="001D6F3C">
              <w:rPr>
                <w:rFonts w:ascii="Corbel" w:hAnsi="Corbel" w:cstheme="minorHAnsi"/>
                <w:b/>
                <w:bCs/>
                <w:sz w:val="20"/>
                <w:szCs w:val="20"/>
              </w:rPr>
              <w:t xml:space="preserve">Māori and </w:t>
            </w:r>
            <w:proofErr w:type="spellStart"/>
            <w:r w:rsidRPr="001D6F3C">
              <w:rPr>
                <w:rFonts w:ascii="Corbel" w:hAnsi="Corbel" w:cstheme="minorHAnsi"/>
                <w:b/>
                <w:bCs/>
                <w:sz w:val="20"/>
                <w:szCs w:val="20"/>
              </w:rPr>
              <w:t>kaumātuatanga</w:t>
            </w:r>
            <w:proofErr w:type="spellEnd"/>
            <w:r w:rsidRPr="001D6F3C">
              <w:rPr>
                <w:rFonts w:ascii="Corbel" w:hAnsi="Corbel" w:cstheme="minorHAnsi"/>
                <w:b/>
                <w:bCs/>
                <w:sz w:val="20"/>
                <w:szCs w:val="20"/>
              </w:rPr>
              <w:t xml:space="preserve"> </w:t>
            </w:r>
          </w:p>
          <w:p w14:paraId="4F9C7D4A" w14:textId="1FF8EC64" w:rsidR="0013070D" w:rsidRPr="001D6F3C" w:rsidRDefault="00BE665E" w:rsidP="004836FE">
            <w:pPr>
              <w:spacing w:after="80" w:line="240" w:lineRule="auto"/>
              <w:jc w:val="both"/>
              <w:rPr>
                <w:rFonts w:ascii="Corbel" w:hAnsi="Corbel" w:cstheme="minorHAnsi"/>
                <w:sz w:val="20"/>
                <w:szCs w:val="20"/>
              </w:rPr>
            </w:pPr>
            <w:r w:rsidRPr="001D6F3C">
              <w:rPr>
                <w:rFonts w:ascii="Corbel" w:hAnsi="Corbel" w:cstheme="minorHAnsi"/>
                <w:sz w:val="20"/>
                <w:szCs w:val="20"/>
              </w:rPr>
              <w:t>G</w:t>
            </w:r>
            <w:r w:rsidR="0013070D" w:rsidRPr="001D6F3C">
              <w:rPr>
                <w:rFonts w:ascii="Corbel" w:hAnsi="Corbel" w:cstheme="minorHAnsi"/>
                <w:sz w:val="20"/>
                <w:szCs w:val="20"/>
              </w:rPr>
              <w:t xml:space="preserve">rowing older for Māori </w:t>
            </w:r>
            <w:r w:rsidRPr="001D6F3C">
              <w:rPr>
                <w:rFonts w:ascii="Corbel" w:hAnsi="Corbel" w:cstheme="minorHAnsi"/>
                <w:sz w:val="20"/>
                <w:szCs w:val="20"/>
              </w:rPr>
              <w:t xml:space="preserve">is </w:t>
            </w:r>
            <w:r w:rsidR="0013070D" w:rsidRPr="001D6F3C">
              <w:rPr>
                <w:rFonts w:ascii="Corbel" w:hAnsi="Corbel" w:cstheme="minorHAnsi"/>
                <w:sz w:val="20"/>
                <w:szCs w:val="20"/>
              </w:rPr>
              <w:t xml:space="preserve">associated with increased mana and respect, increased responsibility through </w:t>
            </w:r>
            <w:proofErr w:type="spellStart"/>
            <w:r w:rsidR="0013070D" w:rsidRPr="001D6F3C">
              <w:rPr>
                <w:rFonts w:ascii="Corbel" w:hAnsi="Corbel" w:cstheme="minorHAnsi"/>
                <w:sz w:val="20"/>
                <w:szCs w:val="20"/>
              </w:rPr>
              <w:t>kaumātuatanga</w:t>
            </w:r>
            <w:proofErr w:type="spellEnd"/>
            <w:r w:rsidR="0013070D" w:rsidRPr="001D6F3C">
              <w:rPr>
                <w:rFonts w:ascii="Corbel" w:hAnsi="Corbel" w:cstheme="minorHAnsi"/>
                <w:sz w:val="20"/>
                <w:szCs w:val="20"/>
              </w:rPr>
              <w:t>, and high levels of activity.</w:t>
            </w:r>
          </w:p>
          <w:p w14:paraId="417F6B7B" w14:textId="77777777" w:rsidR="0013070D" w:rsidRPr="001D6F3C" w:rsidRDefault="0013070D" w:rsidP="0067684E">
            <w:pPr>
              <w:spacing w:after="80" w:line="240" w:lineRule="auto"/>
              <w:ind w:left="457"/>
              <w:jc w:val="both"/>
              <w:rPr>
                <w:rFonts w:ascii="Corbel" w:hAnsi="Corbel" w:cstheme="minorHAnsi"/>
                <w:i/>
                <w:iCs/>
                <w:sz w:val="20"/>
                <w:szCs w:val="20"/>
              </w:rPr>
            </w:pPr>
            <w:r w:rsidRPr="001D6F3C">
              <w:rPr>
                <w:rFonts w:ascii="Corbel" w:hAnsi="Corbel" w:cstheme="minorHAnsi"/>
                <w:i/>
                <w:iCs/>
                <w:sz w:val="20"/>
                <w:szCs w:val="20"/>
              </w:rPr>
              <w:t>I think ageing and old age is about the roles, responsibilities and expectations that come with it for kaumātua – it’s never about retirement or pensioning them off, they still have mahi to do.” (Te Pou Matakana, 2018; p20).</w:t>
            </w:r>
          </w:p>
          <w:p w14:paraId="504B213A" w14:textId="7BE36CA0" w:rsidR="0013070D" w:rsidRPr="001D6F3C" w:rsidRDefault="0013070D" w:rsidP="004836FE">
            <w:pPr>
              <w:spacing w:after="80" w:line="240" w:lineRule="auto"/>
              <w:jc w:val="both"/>
              <w:rPr>
                <w:rFonts w:ascii="Corbel" w:hAnsi="Corbel" w:cstheme="minorHAnsi"/>
                <w:sz w:val="20"/>
                <w:szCs w:val="20"/>
                <w:lang w:val="mi-NZ"/>
              </w:rPr>
            </w:pPr>
            <w:r w:rsidRPr="001D6F3C">
              <w:rPr>
                <w:rFonts w:ascii="Corbel" w:hAnsi="Corbel" w:cstheme="minorHAnsi"/>
                <w:sz w:val="20"/>
                <w:szCs w:val="20"/>
              </w:rPr>
              <w:t xml:space="preserve">Māori value elders as an important part of the community who play roles in sustaining tikanga and cultural values and play a particularly significant role at marae. </w:t>
            </w:r>
            <w:r w:rsidR="00584578" w:rsidRPr="001D6F3C">
              <w:rPr>
                <w:rFonts w:ascii="Corbel" w:hAnsi="Corbel" w:cstheme="minorHAnsi"/>
                <w:sz w:val="20"/>
                <w:szCs w:val="20"/>
              </w:rPr>
              <w:t>Kaum</w:t>
            </w:r>
            <w:r w:rsidR="00584578" w:rsidRPr="001D6F3C">
              <w:rPr>
                <w:rFonts w:ascii="Corbel" w:hAnsi="Corbel" w:cstheme="minorHAnsi"/>
                <w:sz w:val="20"/>
                <w:szCs w:val="20"/>
                <w:lang w:val="mi-NZ"/>
              </w:rPr>
              <w:t xml:space="preserve">ātua </w:t>
            </w:r>
            <w:r w:rsidR="005E4ADC" w:rsidRPr="001D6F3C">
              <w:rPr>
                <w:rFonts w:ascii="Corbel" w:hAnsi="Corbel" w:cstheme="minorHAnsi"/>
                <w:sz w:val="20"/>
                <w:szCs w:val="20"/>
                <w:lang w:val="mi-NZ"/>
              </w:rPr>
              <w:t xml:space="preserve">are seen as </w:t>
            </w:r>
            <w:r w:rsidR="007E7548" w:rsidRPr="001D6F3C">
              <w:rPr>
                <w:rFonts w:ascii="Corbel" w:hAnsi="Corbel" w:cstheme="minorHAnsi"/>
                <w:sz w:val="20"/>
                <w:szCs w:val="20"/>
                <w:lang w:val="mi-NZ"/>
              </w:rPr>
              <w:t>linkin</w:t>
            </w:r>
            <w:r w:rsidR="00315EE9" w:rsidRPr="001D6F3C">
              <w:rPr>
                <w:rFonts w:ascii="Corbel" w:hAnsi="Corbel" w:cstheme="minorHAnsi"/>
                <w:sz w:val="20"/>
                <w:szCs w:val="20"/>
                <w:lang w:val="mi-NZ"/>
              </w:rPr>
              <w:t>g</w:t>
            </w:r>
            <w:r w:rsidR="007E7548" w:rsidRPr="001D6F3C">
              <w:rPr>
                <w:rFonts w:ascii="Corbel" w:hAnsi="Corbel" w:cstheme="minorHAnsi"/>
                <w:sz w:val="20"/>
                <w:szCs w:val="20"/>
                <w:lang w:val="mi-NZ"/>
              </w:rPr>
              <w:t xml:space="preserve"> whānau across generations, with a particular responsibility for transmitting cultural knowledge to </w:t>
            </w:r>
            <w:r w:rsidR="00C34888" w:rsidRPr="001D6F3C">
              <w:rPr>
                <w:rFonts w:ascii="Corbel" w:hAnsi="Corbel" w:cstheme="minorHAnsi"/>
                <w:sz w:val="20"/>
                <w:szCs w:val="20"/>
                <w:lang w:val="mi-NZ"/>
              </w:rPr>
              <w:t>mokopuna</w:t>
            </w:r>
            <w:r w:rsidR="007E7548" w:rsidRPr="001D6F3C">
              <w:rPr>
                <w:rFonts w:ascii="Corbel" w:hAnsi="Corbel" w:cstheme="minorHAnsi"/>
                <w:sz w:val="20"/>
                <w:szCs w:val="20"/>
                <w:lang w:val="mi-NZ"/>
              </w:rPr>
              <w:t xml:space="preserve">. </w:t>
            </w:r>
          </w:p>
          <w:p w14:paraId="6D469C36" w14:textId="07CFCDC2" w:rsidR="0013070D" w:rsidRPr="001D6F3C" w:rsidRDefault="0013070D" w:rsidP="004836FE">
            <w:pPr>
              <w:spacing w:after="80" w:line="240" w:lineRule="auto"/>
              <w:jc w:val="both"/>
              <w:rPr>
                <w:rFonts w:ascii="Corbel" w:hAnsi="Corbel" w:cstheme="minorHAnsi"/>
                <w:sz w:val="20"/>
                <w:szCs w:val="20"/>
              </w:rPr>
            </w:pPr>
            <w:r w:rsidRPr="001D6F3C">
              <w:rPr>
                <w:rFonts w:ascii="Corbel" w:hAnsi="Corbel" w:cstheme="minorHAnsi"/>
                <w:sz w:val="20"/>
                <w:szCs w:val="20"/>
              </w:rPr>
              <w:t>Responsibility for supporting elders traditionally sat with whānau</w:t>
            </w:r>
            <w:r w:rsidR="001B16F2" w:rsidRPr="001D6F3C">
              <w:rPr>
                <w:rFonts w:ascii="Corbel" w:hAnsi="Corbel" w:cstheme="minorHAnsi"/>
                <w:sz w:val="20"/>
                <w:szCs w:val="20"/>
              </w:rPr>
              <w:t xml:space="preserve"> in a rel</w:t>
            </w:r>
            <w:r w:rsidR="002462A5" w:rsidRPr="001D6F3C">
              <w:rPr>
                <w:rFonts w:ascii="Corbel" w:hAnsi="Corbel" w:cstheme="minorHAnsi"/>
                <w:sz w:val="20"/>
                <w:szCs w:val="20"/>
              </w:rPr>
              <w:t>ationship of reciprocity tied to the position of respect described above. P</w:t>
            </w:r>
            <w:r w:rsidRPr="001D6F3C">
              <w:rPr>
                <w:rFonts w:ascii="Corbel" w:hAnsi="Corbel" w:cstheme="minorHAnsi"/>
                <w:sz w:val="20"/>
                <w:szCs w:val="20"/>
              </w:rPr>
              <w:t xml:space="preserve">rotective factors for older Māori include whānau, language and cultural connections, </w:t>
            </w:r>
            <w:proofErr w:type="spellStart"/>
            <w:r w:rsidRPr="001D6F3C">
              <w:rPr>
                <w:rFonts w:ascii="Corbel" w:hAnsi="Corbel" w:cstheme="minorHAnsi"/>
                <w:sz w:val="20"/>
                <w:szCs w:val="20"/>
              </w:rPr>
              <w:t>turangawaewae</w:t>
            </w:r>
            <w:proofErr w:type="spellEnd"/>
            <w:r w:rsidRPr="001D6F3C">
              <w:rPr>
                <w:rFonts w:ascii="Corbel" w:hAnsi="Corbel" w:cstheme="minorHAnsi"/>
                <w:sz w:val="20"/>
                <w:szCs w:val="20"/>
              </w:rPr>
              <w:t xml:space="preserve">, and the support of services imbued in Māori values. </w:t>
            </w:r>
          </w:p>
          <w:p w14:paraId="48E3C445" w14:textId="77777777" w:rsidR="0013070D" w:rsidRPr="001D6F3C" w:rsidRDefault="0013070D" w:rsidP="004836FE">
            <w:pPr>
              <w:spacing w:after="80" w:line="240" w:lineRule="auto"/>
              <w:jc w:val="both"/>
              <w:rPr>
                <w:rFonts w:ascii="Corbel" w:hAnsi="Corbel" w:cstheme="minorHAnsi"/>
                <w:b/>
                <w:bCs/>
                <w:sz w:val="20"/>
                <w:szCs w:val="20"/>
              </w:rPr>
            </w:pPr>
            <w:r w:rsidRPr="001D6F3C">
              <w:rPr>
                <w:rFonts w:ascii="Corbel" w:hAnsi="Corbel" w:cstheme="minorHAnsi"/>
                <w:b/>
                <w:bCs/>
                <w:sz w:val="20"/>
                <w:szCs w:val="20"/>
              </w:rPr>
              <w:t xml:space="preserve">Pacific eldership  </w:t>
            </w:r>
          </w:p>
          <w:p w14:paraId="64ED6042" w14:textId="4955738F" w:rsidR="0013070D" w:rsidRPr="001D6F3C" w:rsidRDefault="00FD1138" w:rsidP="004836FE">
            <w:pPr>
              <w:spacing w:after="80" w:line="240" w:lineRule="auto"/>
              <w:jc w:val="both"/>
              <w:rPr>
                <w:rFonts w:ascii="Corbel" w:hAnsi="Corbel" w:cstheme="minorHAnsi"/>
                <w:sz w:val="20"/>
                <w:szCs w:val="20"/>
              </w:rPr>
            </w:pPr>
            <w:r w:rsidRPr="001D6F3C">
              <w:rPr>
                <w:rFonts w:ascii="Corbel" w:hAnsi="Corbel" w:cstheme="minorHAnsi"/>
                <w:sz w:val="20"/>
                <w:szCs w:val="20"/>
              </w:rPr>
              <w:t xml:space="preserve">Pacific older people in New Zealand come from various Pacific nations, each with its own language, traditions, and cultural values. </w:t>
            </w:r>
            <w:r w:rsidR="0013070D" w:rsidRPr="001D6F3C">
              <w:rPr>
                <w:rFonts w:ascii="Corbel" w:hAnsi="Corbel" w:cstheme="minorHAnsi"/>
                <w:sz w:val="20"/>
                <w:szCs w:val="20"/>
              </w:rPr>
              <w:t>As for Māori, ag</w:t>
            </w:r>
            <w:r w:rsidR="00315EE9" w:rsidRPr="001D6F3C">
              <w:rPr>
                <w:rFonts w:ascii="Corbel" w:hAnsi="Corbel" w:cstheme="minorHAnsi"/>
                <w:sz w:val="20"/>
                <w:szCs w:val="20"/>
              </w:rPr>
              <w:t>e</w:t>
            </w:r>
            <w:r w:rsidR="0013070D" w:rsidRPr="001D6F3C">
              <w:rPr>
                <w:rFonts w:ascii="Corbel" w:hAnsi="Corbel" w:cstheme="minorHAnsi"/>
                <w:sz w:val="20"/>
                <w:szCs w:val="20"/>
              </w:rPr>
              <w:t>ing for</w:t>
            </w:r>
            <w:r w:rsidR="00BC3332" w:rsidRPr="001D6F3C">
              <w:rPr>
                <w:rFonts w:ascii="Corbel" w:hAnsi="Corbel" w:cstheme="minorHAnsi"/>
                <w:sz w:val="20"/>
                <w:szCs w:val="20"/>
              </w:rPr>
              <w:t xml:space="preserve"> many</w:t>
            </w:r>
            <w:r w:rsidR="0013070D" w:rsidRPr="001D6F3C">
              <w:rPr>
                <w:rFonts w:ascii="Corbel" w:hAnsi="Corbel" w:cstheme="minorHAnsi"/>
                <w:sz w:val="20"/>
                <w:szCs w:val="20"/>
              </w:rPr>
              <w:t xml:space="preserve"> Pacific people is more about ‘eldership’ (Tamasese 2014) </w:t>
            </w:r>
            <w:r w:rsidR="000D6774" w:rsidRPr="001D6F3C">
              <w:rPr>
                <w:rFonts w:ascii="Corbel" w:hAnsi="Corbel" w:cstheme="minorHAnsi"/>
                <w:sz w:val="20"/>
                <w:szCs w:val="20"/>
              </w:rPr>
              <w:t xml:space="preserve">rather </w:t>
            </w:r>
            <w:r w:rsidR="0013070D" w:rsidRPr="001D6F3C">
              <w:rPr>
                <w:rFonts w:ascii="Corbel" w:hAnsi="Corbel" w:cstheme="minorHAnsi"/>
                <w:sz w:val="20"/>
                <w:szCs w:val="20"/>
              </w:rPr>
              <w:t xml:space="preserve">than retirement. Pacific matua commonly play a significant role in their communities and churches, are fundamental to the transmission of culture and values and lead full, busy lives. </w:t>
            </w:r>
          </w:p>
          <w:p w14:paraId="0192B1FA" w14:textId="790BBD87" w:rsidR="0013070D" w:rsidRPr="001D6F3C" w:rsidRDefault="0013070D" w:rsidP="004836FE">
            <w:pPr>
              <w:spacing w:after="80" w:line="240" w:lineRule="auto"/>
              <w:jc w:val="both"/>
              <w:rPr>
                <w:rFonts w:ascii="Corbel" w:hAnsi="Corbel" w:cstheme="minorHAnsi"/>
                <w:sz w:val="22"/>
              </w:rPr>
            </w:pPr>
            <w:r w:rsidRPr="001D6F3C">
              <w:rPr>
                <w:rFonts w:ascii="Corbel" w:hAnsi="Corbel" w:cstheme="minorHAnsi"/>
                <w:sz w:val="20"/>
                <w:szCs w:val="20"/>
              </w:rPr>
              <w:t>Health and wellbeing are rooted in family, community and church connections, and in cultural values and practices. These provide physical, emotional and spiritual support. Intergenerational living is common and there are expectations around caring for elders and sharing of assets ahead of individual retirement savings (</w:t>
            </w:r>
            <w:r w:rsidR="0090700B" w:rsidRPr="001D6F3C">
              <w:rPr>
                <w:rFonts w:ascii="Corbel" w:hAnsi="Corbel" w:cstheme="minorHAnsi"/>
                <w:sz w:val="20"/>
                <w:szCs w:val="20"/>
              </w:rPr>
              <w:t xml:space="preserve">including </w:t>
            </w:r>
            <w:r w:rsidRPr="001D6F3C">
              <w:rPr>
                <w:rFonts w:ascii="Corbel" w:hAnsi="Corbel" w:cstheme="minorHAnsi"/>
                <w:sz w:val="20"/>
                <w:szCs w:val="20"/>
              </w:rPr>
              <w:t xml:space="preserve">remittances, </w:t>
            </w:r>
            <w:proofErr w:type="spellStart"/>
            <w:r w:rsidRPr="001D6F3C">
              <w:rPr>
                <w:rFonts w:ascii="Corbel" w:hAnsi="Corbel" w:cstheme="minorHAnsi"/>
                <w:sz w:val="20"/>
                <w:szCs w:val="20"/>
              </w:rPr>
              <w:t>Fa’alavelave</w:t>
            </w:r>
            <w:proofErr w:type="spellEnd"/>
            <w:r w:rsidRPr="001D6F3C">
              <w:rPr>
                <w:rFonts w:ascii="Corbel" w:hAnsi="Corbel" w:cstheme="minorHAnsi"/>
                <w:sz w:val="20"/>
                <w:szCs w:val="20"/>
              </w:rPr>
              <w:t xml:space="preserve"> and investing in education). These practices can place financial strain on families but enhance social cohesion. Practices of reciprocity mean the support is likely to be returned in future.</w:t>
            </w:r>
          </w:p>
        </w:tc>
      </w:tr>
    </w:tbl>
    <w:p w14:paraId="04620791" w14:textId="57BC09B2" w:rsidR="0013070D" w:rsidRPr="001D6F3C" w:rsidRDefault="0013070D" w:rsidP="00527724">
      <w:pPr>
        <w:pStyle w:val="Heading2"/>
        <w:spacing w:before="120"/>
        <w:jc w:val="both"/>
        <w:rPr>
          <w:rFonts w:ascii="Corbel" w:hAnsi="Corbel"/>
        </w:rPr>
      </w:pPr>
      <w:bookmarkStart w:id="9" w:name="_Toc207782984"/>
      <w:r w:rsidRPr="001D6F3C">
        <w:rPr>
          <w:rFonts w:ascii="Corbel" w:hAnsi="Corbel"/>
        </w:rPr>
        <w:t>1.</w:t>
      </w:r>
      <w:r w:rsidR="00527724" w:rsidRPr="001D6F3C">
        <w:rPr>
          <w:rFonts w:ascii="Corbel" w:hAnsi="Corbel"/>
        </w:rPr>
        <w:t>2</w:t>
      </w:r>
      <w:r w:rsidRPr="001D6F3C">
        <w:rPr>
          <w:rFonts w:ascii="Corbel" w:hAnsi="Corbel"/>
        </w:rPr>
        <w:t xml:space="preserve"> Considering specific population groups</w:t>
      </w:r>
      <w:bookmarkEnd w:id="9"/>
      <w:r w:rsidRPr="001D6F3C">
        <w:rPr>
          <w:rFonts w:ascii="Corbel" w:hAnsi="Corbel"/>
        </w:rPr>
        <w:t xml:space="preserve"> </w:t>
      </w:r>
    </w:p>
    <w:p w14:paraId="3FC8EAC4" w14:textId="34A92F76" w:rsidR="0013070D" w:rsidRPr="001D6F3C" w:rsidRDefault="00527724" w:rsidP="0013070D">
      <w:pPr>
        <w:jc w:val="both"/>
        <w:rPr>
          <w:rFonts w:ascii="Corbel" w:hAnsi="Corbel"/>
        </w:rPr>
      </w:pPr>
      <w:r w:rsidRPr="001D6F3C">
        <w:rPr>
          <w:rFonts w:ascii="Corbel" w:hAnsi="Corbel"/>
        </w:rPr>
        <w:t xml:space="preserve">The issues covered in this LTIB impact </w:t>
      </w:r>
      <w:r w:rsidR="005547B3" w:rsidRPr="001D6F3C">
        <w:rPr>
          <w:rFonts w:ascii="Corbel" w:hAnsi="Corbel"/>
        </w:rPr>
        <w:t>older people</w:t>
      </w:r>
      <w:r w:rsidRPr="001D6F3C">
        <w:rPr>
          <w:rFonts w:ascii="Corbel" w:hAnsi="Corbel"/>
        </w:rPr>
        <w:t xml:space="preserve"> in different ways. T</w:t>
      </w:r>
      <w:r w:rsidR="0013070D" w:rsidRPr="001D6F3C">
        <w:rPr>
          <w:rFonts w:ascii="Corbel" w:hAnsi="Corbel"/>
        </w:rPr>
        <w:t>here are</w:t>
      </w:r>
      <w:r w:rsidRPr="001D6F3C">
        <w:rPr>
          <w:rFonts w:ascii="Corbel" w:hAnsi="Corbel"/>
        </w:rPr>
        <w:t xml:space="preserve"> specific population</w:t>
      </w:r>
      <w:r w:rsidR="0013070D" w:rsidRPr="001D6F3C">
        <w:rPr>
          <w:rFonts w:ascii="Corbel" w:hAnsi="Corbel"/>
        </w:rPr>
        <w:t xml:space="preserve"> groups who</w:t>
      </w:r>
      <w:r w:rsidRPr="001D6F3C">
        <w:rPr>
          <w:rFonts w:ascii="Corbel" w:hAnsi="Corbel"/>
        </w:rPr>
        <w:t xml:space="preserve"> have </w:t>
      </w:r>
      <w:proofErr w:type="gramStart"/>
      <w:r w:rsidRPr="001D6F3C">
        <w:rPr>
          <w:rFonts w:ascii="Corbel" w:hAnsi="Corbel"/>
        </w:rPr>
        <w:t xml:space="preserve">particular </w:t>
      </w:r>
      <w:r w:rsidR="00CB6AC5" w:rsidRPr="001D6F3C">
        <w:rPr>
          <w:rFonts w:ascii="Corbel" w:hAnsi="Corbel"/>
        </w:rPr>
        <w:t>perspectives</w:t>
      </w:r>
      <w:proofErr w:type="gramEnd"/>
      <w:r w:rsidR="00CB6AC5" w:rsidRPr="001D6F3C">
        <w:rPr>
          <w:rFonts w:ascii="Corbel" w:hAnsi="Corbel"/>
        </w:rPr>
        <w:t xml:space="preserve"> and </w:t>
      </w:r>
      <w:r w:rsidRPr="001D6F3C">
        <w:rPr>
          <w:rFonts w:ascii="Corbel" w:hAnsi="Corbel"/>
        </w:rPr>
        <w:t>needs, and who also</w:t>
      </w:r>
      <w:r w:rsidR="0013070D" w:rsidRPr="001D6F3C">
        <w:rPr>
          <w:rFonts w:ascii="Corbel" w:hAnsi="Corbel"/>
        </w:rPr>
        <w:t xml:space="preserve"> are more likely to experience disadvantage</w:t>
      </w:r>
      <w:r w:rsidRPr="001D6F3C">
        <w:rPr>
          <w:rFonts w:ascii="Corbel" w:hAnsi="Corbel"/>
        </w:rPr>
        <w:t xml:space="preserve"> across multiple domains</w:t>
      </w:r>
      <w:r w:rsidR="0013070D" w:rsidRPr="001D6F3C">
        <w:rPr>
          <w:rFonts w:ascii="Corbel" w:hAnsi="Corbel"/>
        </w:rPr>
        <w:t>:</w:t>
      </w:r>
    </w:p>
    <w:p w14:paraId="19E337AC" w14:textId="503B43DB" w:rsidR="0013070D" w:rsidRPr="001D6F3C" w:rsidRDefault="0013070D" w:rsidP="005547B3">
      <w:pPr>
        <w:numPr>
          <w:ilvl w:val="0"/>
          <w:numId w:val="13"/>
        </w:numPr>
        <w:jc w:val="both"/>
        <w:rPr>
          <w:rStyle w:val="FootnoteReference"/>
          <w:rFonts w:ascii="Corbel" w:hAnsi="Corbel"/>
        </w:rPr>
      </w:pPr>
      <w:r w:rsidRPr="001D6F3C">
        <w:rPr>
          <w:rFonts w:ascii="Corbel" w:hAnsi="Corbel"/>
          <w:i/>
          <w:iCs/>
        </w:rPr>
        <w:t xml:space="preserve">Women </w:t>
      </w:r>
      <w:r w:rsidRPr="001D6F3C">
        <w:rPr>
          <w:rFonts w:ascii="Corbel" w:hAnsi="Corbel"/>
        </w:rPr>
        <w:t xml:space="preserve">– </w:t>
      </w:r>
      <w:r w:rsidR="008427C4" w:rsidRPr="001D6F3C">
        <w:rPr>
          <w:rFonts w:ascii="Corbel" w:hAnsi="Corbel"/>
        </w:rPr>
        <w:t>W</w:t>
      </w:r>
      <w:r w:rsidRPr="001D6F3C">
        <w:rPr>
          <w:rFonts w:ascii="Corbel" w:hAnsi="Corbel"/>
        </w:rPr>
        <w:t xml:space="preserve">omen </w:t>
      </w:r>
      <w:r w:rsidR="002001ED" w:rsidRPr="001D6F3C">
        <w:rPr>
          <w:rFonts w:ascii="Corbel" w:hAnsi="Corbel"/>
        </w:rPr>
        <w:t xml:space="preserve">currently </w:t>
      </w:r>
      <w:r w:rsidRPr="001D6F3C">
        <w:rPr>
          <w:rFonts w:ascii="Corbel" w:hAnsi="Corbel"/>
        </w:rPr>
        <w:t xml:space="preserve">make up 53% of those aged 65+, 60% of those aged 85+, and 65% of those aged 90+. </w:t>
      </w:r>
      <w:r w:rsidR="005547B3" w:rsidRPr="001D6F3C">
        <w:rPr>
          <w:rFonts w:ascii="Corbel" w:hAnsi="Corbel"/>
        </w:rPr>
        <w:t>Because women live for longer, they also</w:t>
      </w:r>
      <w:r w:rsidR="00D52434" w:rsidRPr="001D6F3C">
        <w:rPr>
          <w:rFonts w:ascii="Corbel" w:hAnsi="Corbel"/>
        </w:rPr>
        <w:t xml:space="preserve"> often</w:t>
      </w:r>
      <w:r w:rsidR="005547B3" w:rsidRPr="001D6F3C">
        <w:rPr>
          <w:rFonts w:ascii="Corbel" w:hAnsi="Corbel"/>
        </w:rPr>
        <w:t xml:space="preserve"> spend more time supporting themselves in retirement and living alone. Women are more reliant on NZS</w:t>
      </w:r>
      <w:r w:rsidRPr="001D6F3C">
        <w:rPr>
          <w:rFonts w:ascii="Corbel" w:hAnsi="Corbel"/>
        </w:rPr>
        <w:t xml:space="preserve">, as throughout their working lives they tend to have lower income and </w:t>
      </w:r>
      <w:r w:rsidR="002001ED" w:rsidRPr="001D6F3C">
        <w:rPr>
          <w:rFonts w:ascii="Corbel" w:hAnsi="Corbel"/>
        </w:rPr>
        <w:t xml:space="preserve">accrue </w:t>
      </w:r>
      <w:r w:rsidRPr="001D6F3C">
        <w:rPr>
          <w:rFonts w:ascii="Corbel" w:hAnsi="Corbel"/>
        </w:rPr>
        <w:t xml:space="preserve">fewer savings and investments. This is due to a combination of factors including gender pay gaps, occupational segregation, lower labour market participation over the life course, and the unequal division of unpaid work, particularly care work </w:t>
      </w:r>
      <w:r w:rsidR="004A0374" w:rsidRPr="001D6F3C">
        <w:rPr>
          <w:rFonts w:ascii="Corbel" w:hAnsi="Corbel"/>
        </w:rPr>
        <w:t>(</w:t>
      </w:r>
      <w:r w:rsidR="00FA1D07" w:rsidRPr="001D6F3C">
        <w:t>Retirement Commission</w:t>
      </w:r>
      <w:r w:rsidR="004A0374" w:rsidRPr="001D6F3C">
        <w:t xml:space="preserve">, </w:t>
      </w:r>
      <w:r w:rsidR="00FA1D07" w:rsidRPr="001D6F3C">
        <w:t>2022</w:t>
      </w:r>
      <w:r w:rsidR="2178B9C1" w:rsidRPr="001D6F3C">
        <w:t>)</w:t>
      </w:r>
      <w:r w:rsidR="0666EE48" w:rsidRPr="001D6F3C">
        <w:t>.</w:t>
      </w:r>
    </w:p>
    <w:p w14:paraId="3CDB8C7D" w14:textId="31DC130E" w:rsidR="0013070D" w:rsidRPr="001D6F3C" w:rsidRDefault="0013070D" w:rsidP="00D404C5">
      <w:pPr>
        <w:numPr>
          <w:ilvl w:val="0"/>
          <w:numId w:val="13"/>
        </w:numPr>
        <w:jc w:val="both"/>
        <w:rPr>
          <w:rFonts w:ascii="Corbel" w:hAnsi="Corbel"/>
        </w:rPr>
      </w:pPr>
      <w:r w:rsidRPr="001D6F3C">
        <w:rPr>
          <w:rFonts w:ascii="Corbel" w:hAnsi="Corbel"/>
          <w:i/>
          <w:iCs/>
        </w:rPr>
        <w:lastRenderedPageBreak/>
        <w:t xml:space="preserve">Māori older people - </w:t>
      </w:r>
      <w:r w:rsidRPr="001D6F3C">
        <w:rPr>
          <w:rFonts w:ascii="Corbel" w:hAnsi="Corbel"/>
        </w:rPr>
        <w:t xml:space="preserve">We have undertaken specific analysis of issues related to </w:t>
      </w:r>
      <w:r w:rsidR="0002480C" w:rsidRPr="001D6F3C">
        <w:rPr>
          <w:rFonts w:ascii="Corbel" w:hAnsi="Corbel"/>
        </w:rPr>
        <w:t>older Māori in</w:t>
      </w:r>
      <w:r w:rsidRPr="001D6F3C">
        <w:rPr>
          <w:rFonts w:ascii="Corbel" w:hAnsi="Corbel"/>
        </w:rPr>
        <w:t xml:space="preserve"> this LTIB, which is available as a </w:t>
      </w:r>
      <w:hyperlink r:id="rId19" w:history="1">
        <w:r w:rsidRPr="00B34E65">
          <w:rPr>
            <w:rStyle w:val="Hyperlink"/>
            <w:rFonts w:ascii="Corbel" w:hAnsi="Corbel"/>
          </w:rPr>
          <w:t>paper</w:t>
        </w:r>
      </w:hyperlink>
      <w:r w:rsidRPr="001D6F3C">
        <w:rPr>
          <w:rFonts w:ascii="Corbel" w:hAnsi="Corbel"/>
        </w:rPr>
        <w:t xml:space="preserve">. There are specific considerations that need to be </w:t>
      </w:r>
      <w:proofErr w:type="gramStart"/>
      <w:r w:rsidRPr="001D6F3C">
        <w:rPr>
          <w:rFonts w:ascii="Corbel" w:hAnsi="Corbel"/>
        </w:rPr>
        <w:t>taken into account</w:t>
      </w:r>
      <w:proofErr w:type="gramEnd"/>
      <w:r w:rsidRPr="001D6F3C">
        <w:rPr>
          <w:rFonts w:ascii="Corbel" w:hAnsi="Corbel"/>
        </w:rPr>
        <w:t xml:space="preserve">, including Māori perspectives on older age (see box </w:t>
      </w:r>
      <w:r w:rsidR="004A0374" w:rsidRPr="001D6F3C">
        <w:rPr>
          <w:rFonts w:ascii="Corbel" w:hAnsi="Corbel"/>
        </w:rPr>
        <w:t>1</w:t>
      </w:r>
      <w:r w:rsidRPr="001D6F3C">
        <w:rPr>
          <w:rFonts w:ascii="Corbel" w:hAnsi="Corbel"/>
        </w:rPr>
        <w:t xml:space="preserve"> above) and the </w:t>
      </w:r>
      <w:r w:rsidR="006E3784" w:rsidRPr="001D6F3C">
        <w:rPr>
          <w:rFonts w:ascii="Corbel" w:hAnsi="Corbel"/>
        </w:rPr>
        <w:t xml:space="preserve">principles of the </w:t>
      </w:r>
      <w:r w:rsidRPr="001D6F3C">
        <w:rPr>
          <w:rFonts w:ascii="Corbel" w:hAnsi="Corbel"/>
        </w:rPr>
        <w:t>Treaty of Waitangi (see</w:t>
      </w:r>
      <w:r w:rsidR="004A0374" w:rsidRPr="001D6F3C">
        <w:rPr>
          <w:rFonts w:ascii="Corbel" w:hAnsi="Corbel"/>
        </w:rPr>
        <w:t xml:space="preserve"> page 8 above</w:t>
      </w:r>
      <w:r w:rsidRPr="001D6F3C">
        <w:rPr>
          <w:rFonts w:ascii="Corbel" w:hAnsi="Corbel"/>
        </w:rPr>
        <w:t xml:space="preserve">). Māori </w:t>
      </w:r>
      <w:r w:rsidR="005547B3" w:rsidRPr="001D6F3C">
        <w:rPr>
          <w:rFonts w:ascii="Corbel" w:hAnsi="Corbel"/>
        </w:rPr>
        <w:t xml:space="preserve">disproportionately experience </w:t>
      </w:r>
      <w:r w:rsidRPr="001D6F3C">
        <w:rPr>
          <w:rFonts w:ascii="Corbel" w:hAnsi="Corbel"/>
        </w:rPr>
        <w:t>poverty, hardship and wider disadvantage</w:t>
      </w:r>
      <w:r w:rsidR="005547B3" w:rsidRPr="001D6F3C">
        <w:rPr>
          <w:rFonts w:ascii="Corbel" w:hAnsi="Corbel"/>
        </w:rPr>
        <w:t>.</w:t>
      </w:r>
      <w:r w:rsidRPr="001D6F3C">
        <w:rPr>
          <w:rFonts w:ascii="Corbel" w:hAnsi="Corbel"/>
        </w:rPr>
        <w:t xml:space="preserve"> </w:t>
      </w:r>
      <w:r w:rsidR="00D60E61" w:rsidRPr="001D6F3C">
        <w:rPr>
          <w:rFonts w:ascii="Corbel" w:hAnsi="Corbel"/>
        </w:rPr>
        <w:t xml:space="preserve">This </w:t>
      </w:r>
      <w:r w:rsidR="00097A1F" w:rsidRPr="001D6F3C">
        <w:rPr>
          <w:rFonts w:ascii="Corbel" w:hAnsi="Corbel"/>
        </w:rPr>
        <w:t>disadvantage has historical roots, including the legacy of colonialism</w:t>
      </w:r>
      <w:r w:rsidR="00FD096F" w:rsidRPr="001D6F3C">
        <w:rPr>
          <w:rFonts w:ascii="Corbel" w:hAnsi="Corbel"/>
        </w:rPr>
        <w:t xml:space="preserve"> and </w:t>
      </w:r>
      <w:r w:rsidR="000431AB" w:rsidRPr="001D6F3C">
        <w:rPr>
          <w:rFonts w:ascii="Corbel" w:hAnsi="Corbel"/>
        </w:rPr>
        <w:t>land</w:t>
      </w:r>
      <w:r w:rsidR="00DC53BE" w:rsidRPr="001D6F3C">
        <w:rPr>
          <w:rFonts w:ascii="Corbel" w:hAnsi="Corbel"/>
        </w:rPr>
        <w:t>-</w:t>
      </w:r>
      <w:r w:rsidR="000431AB" w:rsidRPr="001D6F3C">
        <w:rPr>
          <w:rFonts w:ascii="Corbel" w:hAnsi="Corbel"/>
        </w:rPr>
        <w:t>loss</w:t>
      </w:r>
      <w:r w:rsidR="007F297D" w:rsidRPr="001D6F3C">
        <w:rPr>
          <w:rFonts w:ascii="Corbel" w:hAnsi="Corbel"/>
        </w:rPr>
        <w:t xml:space="preserve">, </w:t>
      </w:r>
      <w:r w:rsidR="00DC53BE" w:rsidRPr="001D6F3C">
        <w:rPr>
          <w:rFonts w:ascii="Corbel" w:hAnsi="Corbel"/>
        </w:rPr>
        <w:t xml:space="preserve">and </w:t>
      </w:r>
      <w:r w:rsidR="00D610FF" w:rsidRPr="001D6F3C">
        <w:rPr>
          <w:rFonts w:ascii="Corbel" w:hAnsi="Corbel"/>
        </w:rPr>
        <w:t>the restructuring of the economy in the late 20</w:t>
      </w:r>
      <w:r w:rsidR="00D610FF" w:rsidRPr="001D6F3C">
        <w:rPr>
          <w:rFonts w:ascii="Corbel" w:hAnsi="Corbel"/>
          <w:vertAlign w:val="superscript"/>
        </w:rPr>
        <w:t>th</w:t>
      </w:r>
      <w:r w:rsidR="00D610FF" w:rsidRPr="001D6F3C">
        <w:rPr>
          <w:rFonts w:ascii="Corbel" w:hAnsi="Corbel"/>
        </w:rPr>
        <w:t xml:space="preserve"> century that disproportionately impacted </w:t>
      </w:r>
      <w:r w:rsidR="00834BD3" w:rsidRPr="001D6F3C">
        <w:rPr>
          <w:rFonts w:ascii="Corbel" w:hAnsi="Corbel"/>
        </w:rPr>
        <w:t>Māori</w:t>
      </w:r>
      <w:r w:rsidR="00D610FF" w:rsidRPr="001D6F3C">
        <w:rPr>
          <w:rFonts w:ascii="Corbel" w:hAnsi="Corbel"/>
        </w:rPr>
        <w:t xml:space="preserve">. </w:t>
      </w:r>
    </w:p>
    <w:p w14:paraId="742383AA" w14:textId="46E8897A" w:rsidR="009A5A66" w:rsidRPr="001D6F3C" w:rsidRDefault="0013070D" w:rsidP="002E3E2C">
      <w:pPr>
        <w:numPr>
          <w:ilvl w:val="0"/>
          <w:numId w:val="13"/>
        </w:numPr>
        <w:jc w:val="both"/>
        <w:rPr>
          <w:rFonts w:ascii="Corbel" w:hAnsi="Corbel"/>
        </w:rPr>
      </w:pPr>
      <w:r w:rsidRPr="001D6F3C">
        <w:rPr>
          <w:rFonts w:ascii="Corbel" w:hAnsi="Corbel"/>
          <w:i/>
          <w:iCs/>
        </w:rPr>
        <w:t>Pacific older people –</w:t>
      </w:r>
      <w:r w:rsidRPr="001D6F3C">
        <w:rPr>
          <w:rFonts w:ascii="Corbel" w:hAnsi="Corbel"/>
        </w:rPr>
        <w:t xml:space="preserve"> We have also undertaken </w:t>
      </w:r>
      <w:hyperlink r:id="rId20" w:history="1">
        <w:r w:rsidRPr="00B34E65">
          <w:rPr>
            <w:rStyle w:val="Hyperlink"/>
            <w:rFonts w:ascii="Corbel" w:hAnsi="Corbel"/>
          </w:rPr>
          <w:t>specific analysis</w:t>
        </w:r>
      </w:hyperlink>
      <w:r w:rsidRPr="001D6F3C">
        <w:rPr>
          <w:rFonts w:ascii="Corbel" w:hAnsi="Corbel"/>
        </w:rPr>
        <w:t xml:space="preserve"> of issues related to Pacific older people. Pacific older people have specific needs and </w:t>
      </w:r>
      <w:r w:rsidR="00D90BF6" w:rsidRPr="001D6F3C">
        <w:rPr>
          <w:rFonts w:ascii="Corbel" w:hAnsi="Corbel"/>
        </w:rPr>
        <w:t>issues</w:t>
      </w:r>
      <w:r w:rsidRPr="001D6F3C">
        <w:rPr>
          <w:rFonts w:ascii="Corbel" w:hAnsi="Corbel"/>
        </w:rPr>
        <w:t xml:space="preserve"> of disadvantage impact particularly on Pacific older people</w:t>
      </w:r>
      <w:r w:rsidR="005547B3" w:rsidRPr="001D6F3C">
        <w:rPr>
          <w:rFonts w:ascii="Corbel" w:hAnsi="Corbel"/>
        </w:rPr>
        <w:t>. O</w:t>
      </w:r>
      <w:r w:rsidRPr="001D6F3C">
        <w:rPr>
          <w:rFonts w:ascii="Corbel" w:hAnsi="Corbel"/>
        </w:rPr>
        <w:t>n most comparisons, Pacific older people are faring worse than any other ethnic group, with lower rates of home ownership, less savings and wealth, and higher rates of hardship.</w:t>
      </w:r>
      <w:r w:rsidR="002E3E2C" w:rsidRPr="001D6F3C">
        <w:rPr>
          <w:rFonts w:ascii="Corbel" w:hAnsi="Corbel"/>
        </w:rPr>
        <w:t xml:space="preserve"> </w:t>
      </w:r>
      <w:r w:rsidR="00851E9A" w:rsidRPr="001D6F3C">
        <w:rPr>
          <w:rFonts w:ascii="Corbel" w:hAnsi="Corbel"/>
        </w:rPr>
        <w:t xml:space="preserve">As with </w:t>
      </w:r>
      <w:r w:rsidR="00BE0765" w:rsidRPr="001D6F3C">
        <w:rPr>
          <w:rFonts w:ascii="Corbel" w:hAnsi="Corbel"/>
        </w:rPr>
        <w:t>Māori</w:t>
      </w:r>
      <w:r w:rsidR="00851E9A" w:rsidRPr="001D6F3C">
        <w:rPr>
          <w:rFonts w:ascii="Corbel" w:hAnsi="Corbel"/>
        </w:rPr>
        <w:t xml:space="preserve">, </w:t>
      </w:r>
      <w:r w:rsidR="005547B3" w:rsidRPr="001D6F3C">
        <w:rPr>
          <w:rFonts w:ascii="Corbel" w:hAnsi="Corbel"/>
        </w:rPr>
        <w:t>P</w:t>
      </w:r>
      <w:r w:rsidR="004A5A89" w:rsidRPr="001D6F3C">
        <w:rPr>
          <w:rFonts w:ascii="Corbel" w:hAnsi="Corbel"/>
        </w:rPr>
        <w:t>acific people</w:t>
      </w:r>
      <w:r w:rsidR="009A5A66" w:rsidRPr="001D6F3C">
        <w:rPr>
          <w:rFonts w:ascii="Corbel" w:hAnsi="Corbel"/>
        </w:rPr>
        <w:t xml:space="preserve">’s disadvantage </w:t>
      </w:r>
      <w:r w:rsidR="00FF599D" w:rsidRPr="001D6F3C">
        <w:rPr>
          <w:rFonts w:ascii="Corbel" w:hAnsi="Corbel"/>
        </w:rPr>
        <w:t xml:space="preserve">is driven by historical </w:t>
      </w:r>
      <w:r w:rsidR="00773A84" w:rsidRPr="001D6F3C">
        <w:rPr>
          <w:rFonts w:ascii="Corbel" w:hAnsi="Corbel"/>
        </w:rPr>
        <w:t xml:space="preserve">and systemic factors, </w:t>
      </w:r>
      <w:r w:rsidR="00FF599D" w:rsidRPr="001D6F3C">
        <w:rPr>
          <w:rFonts w:ascii="Corbel" w:hAnsi="Corbel"/>
        </w:rPr>
        <w:t xml:space="preserve">including </w:t>
      </w:r>
      <w:r w:rsidR="00BB772A" w:rsidRPr="001D6F3C">
        <w:rPr>
          <w:rFonts w:ascii="Corbel" w:hAnsi="Corbel"/>
        </w:rPr>
        <w:t>20</w:t>
      </w:r>
      <w:r w:rsidR="00BB772A" w:rsidRPr="001D6F3C">
        <w:rPr>
          <w:rFonts w:ascii="Corbel" w:hAnsi="Corbel"/>
          <w:vertAlign w:val="superscript"/>
        </w:rPr>
        <w:t>th</w:t>
      </w:r>
      <w:r w:rsidR="00BB772A" w:rsidRPr="001D6F3C">
        <w:rPr>
          <w:rFonts w:ascii="Corbel" w:hAnsi="Corbel"/>
        </w:rPr>
        <w:t xml:space="preserve"> century </w:t>
      </w:r>
      <w:r w:rsidR="00FF599D" w:rsidRPr="001D6F3C">
        <w:rPr>
          <w:rFonts w:ascii="Corbel" w:hAnsi="Corbel"/>
        </w:rPr>
        <w:t>migration patterns</w:t>
      </w:r>
      <w:r w:rsidR="00BB772A" w:rsidRPr="001D6F3C">
        <w:rPr>
          <w:rFonts w:ascii="Corbel" w:hAnsi="Corbel"/>
        </w:rPr>
        <w:t xml:space="preserve"> that saw </w:t>
      </w:r>
      <w:r w:rsidR="002E3E2C" w:rsidRPr="001D6F3C">
        <w:rPr>
          <w:rFonts w:ascii="Corbel" w:hAnsi="Corbel"/>
        </w:rPr>
        <w:t xml:space="preserve">many </w:t>
      </w:r>
      <w:r w:rsidR="00BB772A" w:rsidRPr="001D6F3C">
        <w:rPr>
          <w:rFonts w:ascii="Corbel" w:hAnsi="Corbel"/>
        </w:rPr>
        <w:t xml:space="preserve">Pacific people </w:t>
      </w:r>
      <w:r w:rsidR="00753634" w:rsidRPr="001D6F3C">
        <w:rPr>
          <w:rFonts w:ascii="Corbel" w:hAnsi="Corbel"/>
        </w:rPr>
        <w:t>move</w:t>
      </w:r>
      <w:r w:rsidR="00BB772A" w:rsidRPr="001D6F3C">
        <w:rPr>
          <w:rFonts w:ascii="Corbel" w:hAnsi="Corbel"/>
        </w:rPr>
        <w:t xml:space="preserve"> to New Zealand and </w:t>
      </w:r>
      <w:r w:rsidR="00753634" w:rsidRPr="001D6F3C">
        <w:rPr>
          <w:rFonts w:ascii="Corbel" w:hAnsi="Corbel"/>
        </w:rPr>
        <w:t xml:space="preserve">be </w:t>
      </w:r>
      <w:r w:rsidR="007D00BB" w:rsidRPr="001D6F3C">
        <w:rPr>
          <w:rFonts w:ascii="Corbel" w:hAnsi="Corbel"/>
        </w:rPr>
        <w:t>recruited for low-paying labour-intensive employment</w:t>
      </w:r>
      <w:r w:rsidR="00D171C5" w:rsidRPr="001D6F3C">
        <w:rPr>
          <w:rFonts w:ascii="Corbel" w:hAnsi="Corbel"/>
        </w:rPr>
        <w:t>.</w:t>
      </w:r>
    </w:p>
    <w:p w14:paraId="39BE237A" w14:textId="1BE06F08" w:rsidR="001F62A8" w:rsidRPr="001D6F3C" w:rsidRDefault="005547B3" w:rsidP="00D404C5">
      <w:pPr>
        <w:pStyle w:val="ListParagraph"/>
        <w:numPr>
          <w:ilvl w:val="0"/>
          <w:numId w:val="13"/>
        </w:numPr>
        <w:rPr>
          <w:rFonts w:ascii="Corbel" w:hAnsi="Corbel"/>
        </w:rPr>
      </w:pPr>
      <w:r w:rsidRPr="001D6F3C">
        <w:rPr>
          <w:rFonts w:ascii="Corbel" w:hAnsi="Corbel"/>
          <w:i/>
          <w:iCs/>
        </w:rPr>
        <w:t>E</w:t>
      </w:r>
      <w:r w:rsidR="0013070D" w:rsidRPr="001D6F3C">
        <w:rPr>
          <w:rFonts w:ascii="Corbel" w:hAnsi="Corbel"/>
          <w:i/>
          <w:iCs/>
        </w:rPr>
        <w:t xml:space="preserve">thnic communities </w:t>
      </w:r>
      <w:r w:rsidR="00527724" w:rsidRPr="001D6F3C">
        <w:rPr>
          <w:rFonts w:ascii="Corbel" w:hAnsi="Corbel"/>
          <w:i/>
          <w:iCs/>
        </w:rPr>
        <w:t xml:space="preserve">– </w:t>
      </w:r>
      <w:r w:rsidR="008427C4" w:rsidRPr="001D6F3C">
        <w:rPr>
          <w:rFonts w:ascii="Corbel" w:hAnsi="Corbel"/>
        </w:rPr>
        <w:t xml:space="preserve">This is a large subset of older New Zealanders and experiences vary considerably between older people born in New Zealand, recent migrants and refugees. Some </w:t>
      </w:r>
      <w:r w:rsidR="008E4CBA" w:rsidRPr="001D6F3C">
        <w:rPr>
          <w:rFonts w:ascii="Corbel" w:hAnsi="Corbel"/>
        </w:rPr>
        <w:t>olde</w:t>
      </w:r>
      <w:r w:rsidR="004549D6" w:rsidRPr="001D6F3C">
        <w:rPr>
          <w:rFonts w:ascii="Corbel" w:hAnsi="Corbel"/>
        </w:rPr>
        <w:t>r people from diverse ethnic communities</w:t>
      </w:r>
      <w:r w:rsidR="00527724" w:rsidRPr="001D6F3C">
        <w:rPr>
          <w:rFonts w:ascii="Corbel" w:hAnsi="Corbel"/>
          <w:i/>
          <w:iCs/>
        </w:rPr>
        <w:t xml:space="preserve"> </w:t>
      </w:r>
      <w:r w:rsidR="0013070D" w:rsidRPr="001D6F3C">
        <w:rPr>
          <w:rFonts w:ascii="Corbel" w:hAnsi="Corbel"/>
        </w:rPr>
        <w:t>can face language and cultural barriers, have difficulties accessing support, and</w:t>
      </w:r>
      <w:r w:rsidR="00D1640D" w:rsidRPr="001D6F3C">
        <w:rPr>
          <w:rFonts w:ascii="Corbel" w:hAnsi="Corbel"/>
        </w:rPr>
        <w:t xml:space="preserve"> be </w:t>
      </w:r>
      <w:r w:rsidR="0013070D" w:rsidRPr="001D6F3C">
        <w:rPr>
          <w:rFonts w:ascii="Corbel" w:hAnsi="Corbel"/>
        </w:rPr>
        <w:t xml:space="preserve">at high risk of social isolation. Some recent migrants do not qualify for NZS on residency grounds, which means </w:t>
      </w:r>
      <w:r w:rsidR="003B6DAF" w:rsidRPr="001D6F3C">
        <w:rPr>
          <w:rFonts w:ascii="Corbel" w:hAnsi="Corbel"/>
        </w:rPr>
        <w:t xml:space="preserve">they </w:t>
      </w:r>
      <w:r w:rsidR="0013070D" w:rsidRPr="001D6F3C">
        <w:rPr>
          <w:rFonts w:ascii="Corbel" w:hAnsi="Corbel"/>
        </w:rPr>
        <w:t>receive less support through the benefit system.</w:t>
      </w:r>
      <w:r w:rsidR="006E6D8D" w:rsidRPr="001D6F3C">
        <w:rPr>
          <w:rFonts w:ascii="Corbel" w:hAnsi="Corbel"/>
        </w:rPr>
        <w:t xml:space="preserve"> </w:t>
      </w:r>
      <w:r w:rsidR="00FF0A23" w:rsidRPr="001D6F3C">
        <w:rPr>
          <w:rFonts w:ascii="Corbel" w:hAnsi="Corbel"/>
        </w:rPr>
        <w:t xml:space="preserve">Faith and religious affiliation often play an important role for </w:t>
      </w:r>
      <w:r w:rsidR="001F62A8" w:rsidRPr="001D6F3C">
        <w:rPr>
          <w:rFonts w:ascii="Corbel" w:hAnsi="Corbel"/>
        </w:rPr>
        <w:t xml:space="preserve">older people in ethnic communities. Many </w:t>
      </w:r>
      <w:proofErr w:type="gramStart"/>
      <w:r w:rsidR="001F62A8" w:rsidRPr="001D6F3C">
        <w:rPr>
          <w:rFonts w:ascii="Corbel" w:hAnsi="Corbel"/>
        </w:rPr>
        <w:t>volunteer</w:t>
      </w:r>
      <w:proofErr w:type="gramEnd"/>
      <w:r w:rsidR="001F62A8" w:rsidRPr="001D6F3C">
        <w:rPr>
          <w:rFonts w:ascii="Corbel" w:hAnsi="Corbel"/>
        </w:rPr>
        <w:t xml:space="preserve"> through faith-based organisations and receive support through these communities.</w:t>
      </w:r>
    </w:p>
    <w:p w14:paraId="74331412" w14:textId="6BE4147B" w:rsidR="0013070D" w:rsidRPr="001D6F3C" w:rsidRDefault="0013070D" w:rsidP="00D404C5">
      <w:pPr>
        <w:numPr>
          <w:ilvl w:val="0"/>
          <w:numId w:val="13"/>
        </w:numPr>
        <w:jc w:val="both"/>
        <w:rPr>
          <w:rFonts w:ascii="Corbel" w:hAnsi="Corbel"/>
        </w:rPr>
      </w:pPr>
      <w:r w:rsidRPr="001D6F3C">
        <w:rPr>
          <w:rFonts w:ascii="Corbel" w:hAnsi="Corbel"/>
          <w:i/>
          <w:iCs/>
        </w:rPr>
        <w:t xml:space="preserve">People with long-term health conditions and </w:t>
      </w:r>
      <w:r w:rsidR="00B40C95" w:rsidRPr="001D6F3C">
        <w:rPr>
          <w:rFonts w:ascii="Corbel" w:hAnsi="Corbel"/>
          <w:i/>
          <w:iCs/>
        </w:rPr>
        <w:t>disabled people</w:t>
      </w:r>
      <w:r w:rsidRPr="001D6F3C">
        <w:rPr>
          <w:rFonts w:ascii="Corbel" w:hAnsi="Corbel"/>
        </w:rPr>
        <w:t xml:space="preserve"> – </w:t>
      </w:r>
      <w:r w:rsidR="002C0078" w:rsidRPr="001D6F3C">
        <w:rPr>
          <w:rFonts w:ascii="Corbel" w:hAnsi="Corbel"/>
        </w:rPr>
        <w:t>Recent data from the Household Disability Survey shows that 35</w:t>
      </w:r>
      <w:r w:rsidR="206719E4" w:rsidRPr="001D6F3C">
        <w:rPr>
          <w:rFonts w:ascii="Corbel" w:hAnsi="Corbel"/>
        </w:rPr>
        <w:t>%</w:t>
      </w:r>
      <w:r w:rsidR="002C0078" w:rsidRPr="001D6F3C">
        <w:rPr>
          <w:rFonts w:ascii="Corbel" w:hAnsi="Corbel"/>
        </w:rPr>
        <w:t xml:space="preserve"> of people </w:t>
      </w:r>
      <w:r w:rsidR="6B69C417" w:rsidRPr="001D6F3C">
        <w:rPr>
          <w:rFonts w:ascii="Corbel" w:hAnsi="Corbel"/>
        </w:rPr>
        <w:t xml:space="preserve">aged </w:t>
      </w:r>
      <w:r w:rsidR="002C0078" w:rsidRPr="001D6F3C">
        <w:rPr>
          <w:rFonts w:ascii="Corbel" w:hAnsi="Corbel"/>
        </w:rPr>
        <w:t>65</w:t>
      </w:r>
      <w:r w:rsidR="6B69C417" w:rsidRPr="001D6F3C">
        <w:rPr>
          <w:rFonts w:ascii="Corbel" w:hAnsi="Corbel"/>
        </w:rPr>
        <w:t>+</w:t>
      </w:r>
      <w:r w:rsidR="002C0078" w:rsidRPr="001D6F3C">
        <w:rPr>
          <w:rFonts w:ascii="Corbel" w:hAnsi="Corbel"/>
        </w:rPr>
        <w:t xml:space="preserve"> are disabled. </w:t>
      </w:r>
      <w:r w:rsidR="002A43B5" w:rsidRPr="001D6F3C">
        <w:rPr>
          <w:rFonts w:ascii="Corbel" w:hAnsi="Corbel"/>
        </w:rPr>
        <w:t>This includes both</w:t>
      </w:r>
      <w:r w:rsidRPr="001D6F3C">
        <w:rPr>
          <w:rFonts w:ascii="Corbel" w:hAnsi="Corbel"/>
        </w:rPr>
        <w:t xml:space="preserve"> those who have been disabled throughout their lives, and those who have become disabled in later life</w:t>
      </w:r>
      <w:r w:rsidR="00697874" w:rsidRPr="001D6F3C">
        <w:rPr>
          <w:rFonts w:ascii="Corbel" w:hAnsi="Corbel"/>
        </w:rPr>
        <w:t xml:space="preserve"> (</w:t>
      </w:r>
      <w:r w:rsidRPr="001D6F3C">
        <w:rPr>
          <w:rFonts w:ascii="Corbel" w:hAnsi="Corbel"/>
        </w:rPr>
        <w:t>as people live longer, they are more are likely to spend a portion of their later years with some form of functional limitation or disability</w:t>
      </w:r>
      <w:r w:rsidR="00697874" w:rsidRPr="001D6F3C">
        <w:rPr>
          <w:rFonts w:ascii="Corbel" w:hAnsi="Corbel"/>
        </w:rPr>
        <w:t>)</w:t>
      </w:r>
      <w:r w:rsidRPr="001D6F3C">
        <w:rPr>
          <w:rFonts w:ascii="Corbel" w:hAnsi="Corbel"/>
        </w:rPr>
        <w:t>. Both are more likely to experienc</w:t>
      </w:r>
      <w:r w:rsidR="005547B3" w:rsidRPr="001D6F3C">
        <w:rPr>
          <w:rFonts w:ascii="Corbel" w:hAnsi="Corbel"/>
        </w:rPr>
        <w:t>e</w:t>
      </w:r>
      <w:r w:rsidRPr="001D6F3C">
        <w:rPr>
          <w:rFonts w:ascii="Corbel" w:hAnsi="Corbel"/>
        </w:rPr>
        <w:t xml:space="preserve"> hardship, but in different ways. Those who have experienced life-long disability are at higher risk of poverty and disadvantage in later life, and some </w:t>
      </w:r>
      <w:r w:rsidR="0047356B" w:rsidRPr="001D6F3C">
        <w:rPr>
          <w:rFonts w:ascii="Corbel" w:hAnsi="Corbel"/>
        </w:rPr>
        <w:t xml:space="preserve">groups of </w:t>
      </w:r>
      <w:r w:rsidRPr="001D6F3C">
        <w:rPr>
          <w:rFonts w:ascii="Corbel" w:hAnsi="Corbel"/>
        </w:rPr>
        <w:t xml:space="preserve">disabled people are known to have lower </w:t>
      </w:r>
      <w:r w:rsidR="03785E9A" w:rsidRPr="001D6F3C">
        <w:rPr>
          <w:rFonts w:ascii="Corbel" w:hAnsi="Corbel"/>
        </w:rPr>
        <w:t>health</w:t>
      </w:r>
      <w:r w:rsidRPr="001D6F3C">
        <w:rPr>
          <w:rFonts w:ascii="Corbel" w:hAnsi="Corbel"/>
        </w:rPr>
        <w:t xml:space="preserve"> expectancy. </w:t>
      </w:r>
    </w:p>
    <w:p w14:paraId="6695EF8C" w14:textId="2AB4FA04" w:rsidR="0013070D" w:rsidRPr="001D6F3C" w:rsidRDefault="00D90BF6" w:rsidP="00D404C5">
      <w:pPr>
        <w:numPr>
          <w:ilvl w:val="0"/>
          <w:numId w:val="13"/>
        </w:numPr>
        <w:jc w:val="both"/>
        <w:rPr>
          <w:rFonts w:ascii="Corbel" w:hAnsi="Corbel"/>
        </w:rPr>
      </w:pPr>
      <w:proofErr w:type="gramStart"/>
      <w:r w:rsidRPr="001D6F3C">
        <w:rPr>
          <w:rFonts w:ascii="Corbel" w:hAnsi="Corbel"/>
          <w:i/>
          <w:iCs/>
        </w:rPr>
        <w:t xml:space="preserve">Rainbow </w:t>
      </w:r>
      <w:r w:rsidR="0013070D" w:rsidRPr="001D6F3C">
        <w:rPr>
          <w:rFonts w:ascii="Corbel" w:hAnsi="Corbel"/>
        </w:rPr>
        <w:t xml:space="preserve"> older</w:t>
      </w:r>
      <w:proofErr w:type="gramEnd"/>
      <w:r w:rsidR="0013070D" w:rsidRPr="001D6F3C">
        <w:rPr>
          <w:rFonts w:ascii="Corbel" w:hAnsi="Corbel"/>
        </w:rPr>
        <w:t xml:space="preserve"> people have often had lifetime experiences of social exclusion, discrimination, victimi</w:t>
      </w:r>
      <w:r w:rsidR="008427C4" w:rsidRPr="001D6F3C">
        <w:rPr>
          <w:rFonts w:ascii="Corbel" w:hAnsi="Corbel"/>
        </w:rPr>
        <w:t>s</w:t>
      </w:r>
      <w:r w:rsidR="0013070D" w:rsidRPr="001D6F3C">
        <w:rPr>
          <w:rFonts w:ascii="Corbel" w:hAnsi="Corbel"/>
        </w:rPr>
        <w:t xml:space="preserve">ation, stigma, and identity concealment. These experiences can have a range of impacts, including diminished health, social isolation and/or incomes that are not commensurate with their education. </w:t>
      </w:r>
      <w:r w:rsidR="006E71F2" w:rsidRPr="001D6F3C">
        <w:rPr>
          <w:rFonts w:ascii="Corbel" w:hAnsi="Corbel"/>
        </w:rPr>
        <w:t>T</w:t>
      </w:r>
      <w:r w:rsidR="0013070D" w:rsidRPr="001D6F3C">
        <w:rPr>
          <w:rFonts w:ascii="Corbel" w:hAnsi="Corbel"/>
        </w:rPr>
        <w:t xml:space="preserve">hey may feel reluctant to engage with services, particularly those with narrow heteronormative and cisgendered expectations. </w:t>
      </w:r>
    </w:p>
    <w:p w14:paraId="14173E7B" w14:textId="1321D834" w:rsidR="0024518C" w:rsidRPr="001D6F3C" w:rsidRDefault="00193E28" w:rsidP="005B4D8D">
      <w:pPr>
        <w:ind w:left="360"/>
        <w:jc w:val="both"/>
        <w:rPr>
          <w:rFonts w:ascii="Corbel" w:hAnsi="Corbel"/>
        </w:rPr>
      </w:pPr>
      <w:r w:rsidRPr="001D6F3C">
        <w:rPr>
          <w:rFonts w:ascii="Corbel" w:hAnsi="Corbel"/>
        </w:rPr>
        <w:t>The groups above are no</w:t>
      </w:r>
      <w:r w:rsidR="003B6DAF" w:rsidRPr="001D6F3C">
        <w:rPr>
          <w:rFonts w:ascii="Corbel" w:hAnsi="Corbel"/>
        </w:rPr>
        <w:t>t</w:t>
      </w:r>
      <w:r w:rsidRPr="001D6F3C">
        <w:rPr>
          <w:rFonts w:ascii="Corbel" w:hAnsi="Corbel"/>
        </w:rPr>
        <w:t xml:space="preserve"> mutually exclusive. </w:t>
      </w:r>
      <w:r w:rsidR="00640116" w:rsidRPr="001D6F3C">
        <w:rPr>
          <w:rFonts w:ascii="Corbel" w:hAnsi="Corbel"/>
        </w:rPr>
        <w:t>F</w:t>
      </w:r>
      <w:r w:rsidR="00502329" w:rsidRPr="001D6F3C">
        <w:rPr>
          <w:rFonts w:ascii="Corbel" w:hAnsi="Corbel"/>
        </w:rPr>
        <w:t>requently</w:t>
      </w:r>
      <w:r w:rsidR="005B4D8D" w:rsidRPr="001D6F3C">
        <w:rPr>
          <w:rFonts w:ascii="Corbel" w:hAnsi="Corbel"/>
        </w:rPr>
        <w:t xml:space="preserve"> </w:t>
      </w:r>
      <w:r w:rsidR="00640116" w:rsidRPr="001D6F3C">
        <w:rPr>
          <w:rFonts w:ascii="Corbel" w:hAnsi="Corbel"/>
        </w:rPr>
        <w:t xml:space="preserve">older </w:t>
      </w:r>
      <w:r w:rsidR="00962075" w:rsidRPr="001D6F3C">
        <w:rPr>
          <w:rFonts w:ascii="Corbel" w:hAnsi="Corbel"/>
        </w:rPr>
        <w:t>people belong to m</w:t>
      </w:r>
      <w:r w:rsidR="003B3E2F" w:rsidRPr="001D6F3C">
        <w:rPr>
          <w:rFonts w:ascii="Corbel" w:hAnsi="Corbel"/>
        </w:rPr>
        <w:t xml:space="preserve">ore than one </w:t>
      </w:r>
      <w:r w:rsidR="005B4D8D" w:rsidRPr="001D6F3C">
        <w:rPr>
          <w:rFonts w:ascii="Corbel" w:hAnsi="Corbel"/>
        </w:rPr>
        <w:t xml:space="preserve">group </w:t>
      </w:r>
      <w:r w:rsidR="00640116" w:rsidRPr="001D6F3C">
        <w:rPr>
          <w:rFonts w:ascii="Corbel" w:hAnsi="Corbel"/>
        </w:rPr>
        <w:t>that experiences disadvantage</w:t>
      </w:r>
      <w:r w:rsidR="005B4D8D" w:rsidRPr="001D6F3C">
        <w:rPr>
          <w:rFonts w:ascii="Corbel" w:hAnsi="Corbel"/>
        </w:rPr>
        <w:t xml:space="preserve">, and </w:t>
      </w:r>
      <w:r w:rsidR="00BE4E43" w:rsidRPr="001D6F3C">
        <w:rPr>
          <w:rFonts w:ascii="Corbel" w:hAnsi="Corbel"/>
        </w:rPr>
        <w:t xml:space="preserve">the issues </w:t>
      </w:r>
      <w:r w:rsidR="00502329" w:rsidRPr="001D6F3C">
        <w:rPr>
          <w:rFonts w:ascii="Corbel" w:hAnsi="Corbel"/>
        </w:rPr>
        <w:t>they</w:t>
      </w:r>
      <w:r w:rsidR="00BE4E43" w:rsidRPr="001D6F3C">
        <w:rPr>
          <w:rFonts w:ascii="Corbel" w:hAnsi="Corbel"/>
        </w:rPr>
        <w:t xml:space="preserve"> </w:t>
      </w:r>
      <w:r w:rsidR="004679B6" w:rsidRPr="001D6F3C">
        <w:rPr>
          <w:rFonts w:ascii="Corbel" w:hAnsi="Corbel"/>
        </w:rPr>
        <w:t>experience</w:t>
      </w:r>
      <w:r w:rsidR="00502329" w:rsidRPr="001D6F3C">
        <w:rPr>
          <w:rFonts w:ascii="Corbel" w:hAnsi="Corbel"/>
        </w:rPr>
        <w:t xml:space="preserve"> </w:t>
      </w:r>
      <w:r w:rsidR="00640116" w:rsidRPr="001D6F3C">
        <w:rPr>
          <w:rFonts w:ascii="Corbel" w:hAnsi="Corbel"/>
        </w:rPr>
        <w:t xml:space="preserve">can </w:t>
      </w:r>
      <w:r w:rsidR="00502329" w:rsidRPr="001D6F3C">
        <w:rPr>
          <w:rFonts w:ascii="Corbel" w:hAnsi="Corbel"/>
        </w:rPr>
        <w:t>intersect</w:t>
      </w:r>
      <w:r w:rsidR="00FD69E8" w:rsidRPr="001D6F3C">
        <w:rPr>
          <w:rFonts w:ascii="Corbel" w:hAnsi="Corbel"/>
        </w:rPr>
        <w:t xml:space="preserve"> and </w:t>
      </w:r>
      <w:r w:rsidR="006B06BC" w:rsidRPr="001D6F3C">
        <w:rPr>
          <w:rFonts w:ascii="Corbel" w:hAnsi="Corbel"/>
        </w:rPr>
        <w:t>compound the disadvantage they experience</w:t>
      </w:r>
      <w:r w:rsidR="00502329" w:rsidRPr="001D6F3C">
        <w:rPr>
          <w:rFonts w:ascii="Corbel" w:hAnsi="Corbel"/>
        </w:rPr>
        <w:t>.</w:t>
      </w:r>
    </w:p>
    <w:tbl>
      <w:tblPr>
        <w:tblStyle w:val="TableGrid"/>
        <w:tblW w:w="8931" w:type="dxa"/>
        <w:tblInd w:w="-5" w:type="dxa"/>
        <w:tblLook w:val="04A0" w:firstRow="1" w:lastRow="0" w:firstColumn="1" w:lastColumn="0" w:noHBand="0" w:noVBand="1"/>
      </w:tblPr>
      <w:tblGrid>
        <w:gridCol w:w="8931"/>
      </w:tblGrid>
      <w:tr w:rsidR="0013070D" w:rsidRPr="001D6F3C" w14:paraId="7821D3BC" w14:textId="77777777" w:rsidTr="15F71043">
        <w:tc>
          <w:tcPr>
            <w:tcW w:w="8931" w:type="dxa"/>
            <w:shd w:val="clear" w:color="auto" w:fill="E5DFEC" w:themeFill="accent4" w:themeFillTint="33"/>
          </w:tcPr>
          <w:p w14:paraId="19068817" w14:textId="75574A16" w:rsidR="00E1790F" w:rsidRPr="001D6F3C" w:rsidRDefault="003635FB" w:rsidP="004836FE">
            <w:pPr>
              <w:spacing w:after="80" w:line="240" w:lineRule="auto"/>
              <w:jc w:val="both"/>
              <w:rPr>
                <w:rFonts w:ascii="Corbel" w:hAnsi="Corbel" w:cstheme="minorHAnsi"/>
                <w:b/>
                <w:bCs/>
                <w:sz w:val="20"/>
                <w:szCs w:val="20"/>
              </w:rPr>
            </w:pPr>
            <w:r w:rsidRPr="001D6F3C">
              <w:rPr>
                <w:rFonts w:ascii="Corbel" w:hAnsi="Corbel" w:cstheme="minorHAnsi"/>
                <w:b/>
                <w:bCs/>
                <w:sz w:val="20"/>
                <w:szCs w:val="20"/>
              </w:rPr>
              <w:t>Older carers</w:t>
            </w:r>
          </w:p>
          <w:p w14:paraId="08BF1591" w14:textId="3FD967A6" w:rsidR="00742B03" w:rsidRPr="001D6F3C" w:rsidRDefault="003635FB" w:rsidP="00742B03">
            <w:pPr>
              <w:spacing w:after="80" w:line="240" w:lineRule="auto"/>
              <w:jc w:val="both"/>
              <w:rPr>
                <w:rFonts w:ascii="Corbel" w:hAnsi="Corbel"/>
                <w:sz w:val="20"/>
                <w:szCs w:val="20"/>
              </w:rPr>
            </w:pPr>
            <w:r w:rsidRPr="001D6F3C">
              <w:rPr>
                <w:rFonts w:ascii="Corbel" w:hAnsi="Corbel"/>
                <w:sz w:val="20"/>
                <w:szCs w:val="20"/>
              </w:rPr>
              <w:t xml:space="preserve">A </w:t>
            </w:r>
            <w:r w:rsidR="00E72A02" w:rsidRPr="001D6F3C">
              <w:rPr>
                <w:rFonts w:ascii="Corbel" w:hAnsi="Corbel"/>
                <w:sz w:val="20"/>
                <w:szCs w:val="20"/>
              </w:rPr>
              <w:t>significant</w:t>
            </w:r>
            <w:r w:rsidRPr="001D6F3C">
              <w:rPr>
                <w:rFonts w:ascii="Corbel" w:hAnsi="Corbel"/>
                <w:sz w:val="20"/>
                <w:szCs w:val="20"/>
              </w:rPr>
              <w:t xml:space="preserve"> </w:t>
            </w:r>
            <w:r w:rsidR="00EF64C5" w:rsidRPr="001D6F3C">
              <w:rPr>
                <w:rFonts w:ascii="Corbel" w:hAnsi="Corbel"/>
                <w:sz w:val="20"/>
                <w:szCs w:val="20"/>
              </w:rPr>
              <w:t>number</w:t>
            </w:r>
            <w:r w:rsidRPr="001D6F3C">
              <w:rPr>
                <w:rFonts w:ascii="Corbel" w:hAnsi="Corbel"/>
                <w:sz w:val="20"/>
                <w:szCs w:val="20"/>
              </w:rPr>
              <w:t xml:space="preserve"> of older </w:t>
            </w:r>
            <w:r w:rsidR="006A5C29" w:rsidRPr="001D6F3C">
              <w:rPr>
                <w:rFonts w:ascii="Corbel" w:hAnsi="Corbel"/>
                <w:sz w:val="20"/>
                <w:szCs w:val="20"/>
              </w:rPr>
              <w:t xml:space="preserve">people are </w:t>
            </w:r>
            <w:r w:rsidR="00EC3B26" w:rsidRPr="001D6F3C">
              <w:rPr>
                <w:rFonts w:ascii="Corbel" w:hAnsi="Corbel"/>
                <w:sz w:val="20"/>
                <w:szCs w:val="20"/>
              </w:rPr>
              <w:t>looking after a family member, most often</w:t>
            </w:r>
            <w:r w:rsidR="00E1790F" w:rsidRPr="001D6F3C">
              <w:rPr>
                <w:rFonts w:ascii="Corbel" w:hAnsi="Corbel"/>
                <w:sz w:val="20"/>
                <w:szCs w:val="20"/>
              </w:rPr>
              <w:t xml:space="preserve"> a partner or spouse. </w:t>
            </w:r>
            <w:r w:rsidR="00742B03" w:rsidRPr="001D6F3C">
              <w:rPr>
                <w:rFonts w:ascii="Corbel" w:hAnsi="Corbel"/>
                <w:sz w:val="20"/>
                <w:szCs w:val="20"/>
              </w:rPr>
              <w:t xml:space="preserve">Census 2023 data showed that there are more than 500,000 informal and unpaid carers living in New Zealand, </w:t>
            </w:r>
            <w:r w:rsidR="00986400" w:rsidRPr="001D6F3C">
              <w:rPr>
                <w:rFonts w:ascii="Corbel" w:hAnsi="Corbel"/>
                <w:sz w:val="20"/>
                <w:szCs w:val="20"/>
              </w:rPr>
              <w:t xml:space="preserve">around </w:t>
            </w:r>
            <w:r w:rsidR="00742B03" w:rsidRPr="001D6F3C">
              <w:rPr>
                <w:rFonts w:ascii="Corbel" w:hAnsi="Corbel"/>
                <w:sz w:val="20"/>
                <w:szCs w:val="20"/>
              </w:rPr>
              <w:t>20 percent of whom are aged 65</w:t>
            </w:r>
            <w:r w:rsidR="006E4FCD" w:rsidRPr="001D6F3C">
              <w:rPr>
                <w:rFonts w:ascii="Corbel" w:hAnsi="Corbel"/>
                <w:sz w:val="20"/>
                <w:szCs w:val="20"/>
              </w:rPr>
              <w:t>+</w:t>
            </w:r>
            <w:r w:rsidR="00742B03" w:rsidRPr="001D6F3C">
              <w:rPr>
                <w:rFonts w:ascii="Corbel" w:hAnsi="Corbel"/>
                <w:sz w:val="20"/>
                <w:szCs w:val="20"/>
              </w:rPr>
              <w:t xml:space="preserve">. </w:t>
            </w:r>
          </w:p>
          <w:p w14:paraId="61498E20" w14:textId="45AD7CF2" w:rsidR="327187B1" w:rsidRPr="001D6F3C" w:rsidRDefault="327187B1" w:rsidP="0B6023DE">
            <w:pPr>
              <w:jc w:val="both"/>
              <w:rPr>
                <w:rFonts w:ascii="Corbel" w:hAnsi="Corbel"/>
                <w:sz w:val="20"/>
                <w:szCs w:val="20"/>
              </w:rPr>
            </w:pPr>
            <w:r w:rsidRPr="001D6F3C">
              <w:rPr>
                <w:rFonts w:ascii="Corbel" w:hAnsi="Corbel"/>
                <w:sz w:val="20"/>
                <w:szCs w:val="20"/>
              </w:rPr>
              <w:lastRenderedPageBreak/>
              <w:t>The New Zealand Longitudinal Study of Ageing found that women and Māori provide higher levels of care. This study suggests that women provide the most care due to gendered role expectations and, in later life, their longevity and the fact that their spouses or partners tend to be older. This study also explored how caregiving for whānau can be perceived as a cultural activity for Māori and can be supported among the wider whānau.</w:t>
            </w:r>
          </w:p>
          <w:p w14:paraId="485E3B8A" w14:textId="6F6F8E2A" w:rsidR="00E1790F" w:rsidRPr="001D6F3C" w:rsidRDefault="008A38B1" w:rsidP="004836FE">
            <w:pPr>
              <w:spacing w:after="80" w:line="240" w:lineRule="auto"/>
              <w:jc w:val="both"/>
              <w:rPr>
                <w:rFonts w:ascii="Corbel" w:hAnsi="Corbel"/>
                <w:sz w:val="20"/>
                <w:szCs w:val="20"/>
              </w:rPr>
            </w:pPr>
            <w:r w:rsidRPr="001D6F3C">
              <w:rPr>
                <w:rFonts w:ascii="Corbel" w:hAnsi="Corbel"/>
                <w:sz w:val="20"/>
                <w:szCs w:val="20"/>
              </w:rPr>
              <w:t>The wellbeing of carers is critical to the wellbeing of the older people they care for. Carers are often</w:t>
            </w:r>
            <w:r w:rsidR="00665D63" w:rsidRPr="001D6F3C">
              <w:rPr>
                <w:rFonts w:ascii="Corbel" w:hAnsi="Corbel"/>
                <w:sz w:val="20"/>
                <w:szCs w:val="20"/>
              </w:rPr>
              <w:t xml:space="preserve"> managing their own health conditions and require support themselves, alongside dealing with the demands of being a </w:t>
            </w:r>
            <w:proofErr w:type="spellStart"/>
            <w:r w:rsidR="00665D63" w:rsidRPr="001D6F3C">
              <w:rPr>
                <w:rFonts w:ascii="Corbel" w:hAnsi="Corbel"/>
                <w:sz w:val="20"/>
                <w:szCs w:val="20"/>
              </w:rPr>
              <w:t>carer</w:t>
            </w:r>
            <w:proofErr w:type="spellEnd"/>
            <w:r w:rsidR="00665D63" w:rsidRPr="001D6F3C">
              <w:rPr>
                <w:rFonts w:ascii="Corbel" w:hAnsi="Corbel"/>
                <w:sz w:val="20"/>
                <w:szCs w:val="20"/>
              </w:rPr>
              <w:t>.</w:t>
            </w:r>
            <w:r w:rsidR="00E1790F" w:rsidRPr="001D6F3C">
              <w:rPr>
                <w:rFonts w:ascii="Corbel" w:hAnsi="Corbel"/>
                <w:sz w:val="20"/>
                <w:szCs w:val="20"/>
              </w:rPr>
              <w:t xml:space="preserve"> </w:t>
            </w:r>
            <w:r w:rsidR="004950D8" w:rsidRPr="001D6F3C">
              <w:rPr>
                <w:rFonts w:ascii="Corbel" w:hAnsi="Corbel"/>
                <w:sz w:val="20"/>
                <w:szCs w:val="20"/>
              </w:rPr>
              <w:t>Older carers are particularly vulnerable</w:t>
            </w:r>
            <w:r w:rsidR="00E1790F" w:rsidRPr="001D6F3C">
              <w:rPr>
                <w:rFonts w:ascii="Corbel" w:hAnsi="Corbel"/>
                <w:sz w:val="20"/>
                <w:szCs w:val="20"/>
              </w:rPr>
              <w:t xml:space="preserve"> to </w:t>
            </w:r>
            <w:r w:rsidR="004950D8" w:rsidRPr="001D6F3C">
              <w:rPr>
                <w:rFonts w:ascii="Corbel" w:hAnsi="Corbel"/>
                <w:sz w:val="20"/>
                <w:szCs w:val="20"/>
              </w:rPr>
              <w:t>social isolation.</w:t>
            </w:r>
            <w:r w:rsidR="00E1790F" w:rsidRPr="001D6F3C">
              <w:rPr>
                <w:rFonts w:ascii="Corbel" w:hAnsi="Corbel"/>
                <w:sz w:val="20"/>
                <w:szCs w:val="20"/>
              </w:rPr>
              <w:t xml:space="preserve"> The demands of older carers reduce their ability to take part in social activities, which can result in a lack of social connectedness. </w:t>
            </w:r>
          </w:p>
          <w:p w14:paraId="4CEEE7DA" w14:textId="2CFDEDF2" w:rsidR="5191E58B" w:rsidRPr="001D6F3C" w:rsidRDefault="5191E58B" w:rsidP="0B6023DE">
            <w:pPr>
              <w:jc w:val="both"/>
              <w:rPr>
                <w:rFonts w:ascii="Corbel" w:hAnsi="Corbel" w:cstheme="minorHAnsi"/>
                <w:sz w:val="20"/>
                <w:szCs w:val="20"/>
              </w:rPr>
            </w:pPr>
            <w:r w:rsidRPr="001D6F3C">
              <w:rPr>
                <w:rFonts w:ascii="Corbel" w:hAnsi="Corbel" w:cstheme="minorHAnsi"/>
                <w:sz w:val="20"/>
                <w:szCs w:val="20"/>
              </w:rPr>
              <w:t>Carers reported having higher rates of depression and/or anxiety compared to people who are not carers in the State of Caring Aotearoa 2022 Survey. Much of the anxiety and depression was linked with financial stress, higher levels of loneliness, and very low life satisfaction compared to those who are not carers.</w:t>
            </w:r>
          </w:p>
          <w:p w14:paraId="081FC21E" w14:textId="44B0DD15" w:rsidR="002A4CE7" w:rsidRPr="001D6F3C" w:rsidRDefault="002A4CE7" w:rsidP="002A4CE7">
            <w:pPr>
              <w:spacing w:after="80" w:line="240" w:lineRule="auto"/>
              <w:jc w:val="both"/>
              <w:rPr>
                <w:rFonts w:ascii="Corbel" w:hAnsi="Corbel" w:cstheme="minorHAnsi"/>
                <w:sz w:val="20"/>
                <w:szCs w:val="20"/>
              </w:rPr>
            </w:pPr>
            <w:r w:rsidRPr="001D6F3C">
              <w:rPr>
                <w:rFonts w:ascii="Corbel" w:hAnsi="Corbel" w:cstheme="minorHAnsi"/>
                <w:sz w:val="20"/>
                <w:szCs w:val="20"/>
              </w:rPr>
              <w:t xml:space="preserve">Data from the 2023 Household Disability Survey (HDS) found more than half of all disabled people were aged 50 or over, and a third were 65 or over. </w:t>
            </w:r>
            <w:r w:rsidR="008C2163" w:rsidRPr="001D6F3C">
              <w:rPr>
                <w:rFonts w:ascii="Corbel" w:hAnsi="Corbel" w:cstheme="minorHAnsi"/>
                <w:sz w:val="20"/>
                <w:szCs w:val="20"/>
              </w:rPr>
              <w:t>A</w:t>
            </w:r>
            <w:r w:rsidRPr="001D6F3C">
              <w:rPr>
                <w:rFonts w:ascii="Corbel" w:hAnsi="Corbel" w:cstheme="minorHAnsi"/>
                <w:sz w:val="20"/>
                <w:szCs w:val="20"/>
              </w:rPr>
              <w:t xml:space="preserve">n ageing population </w:t>
            </w:r>
            <w:r w:rsidR="008C2163" w:rsidRPr="001D6F3C">
              <w:rPr>
                <w:rFonts w:ascii="Corbel" w:hAnsi="Corbel" w:cstheme="minorHAnsi"/>
                <w:sz w:val="20"/>
                <w:szCs w:val="20"/>
              </w:rPr>
              <w:t xml:space="preserve">means </w:t>
            </w:r>
            <w:r w:rsidRPr="001D6F3C">
              <w:rPr>
                <w:rFonts w:ascii="Corbel" w:hAnsi="Corbel" w:cstheme="minorHAnsi"/>
                <w:sz w:val="20"/>
                <w:szCs w:val="20"/>
              </w:rPr>
              <w:t>this number will continue to increase</w:t>
            </w:r>
            <w:r w:rsidR="008C2163" w:rsidRPr="001D6F3C">
              <w:rPr>
                <w:rFonts w:ascii="Corbel" w:hAnsi="Corbel" w:cstheme="minorHAnsi"/>
                <w:sz w:val="20"/>
                <w:szCs w:val="20"/>
              </w:rPr>
              <w:t xml:space="preserve"> </w:t>
            </w:r>
            <w:r w:rsidR="00C829E8" w:rsidRPr="001D6F3C">
              <w:rPr>
                <w:rFonts w:ascii="Corbel" w:hAnsi="Corbel" w:cstheme="minorHAnsi"/>
                <w:sz w:val="20"/>
                <w:szCs w:val="20"/>
              </w:rPr>
              <w:t>for two key reasons</w:t>
            </w:r>
            <w:r w:rsidR="00B65CA6" w:rsidRPr="001D6F3C">
              <w:rPr>
                <w:rFonts w:ascii="Corbel" w:hAnsi="Corbel" w:cstheme="minorHAnsi"/>
                <w:sz w:val="20"/>
                <w:szCs w:val="20"/>
              </w:rPr>
              <w:t xml:space="preserve">; a greater number of older people living longer will </w:t>
            </w:r>
            <w:r w:rsidR="00B76D4A" w:rsidRPr="001D6F3C">
              <w:rPr>
                <w:rFonts w:ascii="Corbel" w:hAnsi="Corbel" w:cstheme="minorHAnsi"/>
                <w:sz w:val="20"/>
                <w:szCs w:val="20"/>
              </w:rPr>
              <w:t xml:space="preserve">experience more age-related disability, and a growing cohort of those with lifelong disabilities are </w:t>
            </w:r>
            <w:r w:rsidR="000C7DD9" w:rsidRPr="001D6F3C">
              <w:rPr>
                <w:rFonts w:ascii="Corbel" w:hAnsi="Corbel" w:cstheme="minorHAnsi"/>
                <w:sz w:val="20"/>
                <w:szCs w:val="20"/>
              </w:rPr>
              <w:t xml:space="preserve">joining the older age </w:t>
            </w:r>
            <w:r w:rsidR="00AC1DAE" w:rsidRPr="001D6F3C">
              <w:rPr>
                <w:rFonts w:ascii="Corbel" w:hAnsi="Corbel" w:cstheme="minorHAnsi"/>
                <w:sz w:val="20"/>
                <w:szCs w:val="20"/>
              </w:rPr>
              <w:t xml:space="preserve">group. This is likely to contribute to increased need for </w:t>
            </w:r>
            <w:r w:rsidR="004B52CA" w:rsidRPr="001D6F3C">
              <w:rPr>
                <w:rFonts w:ascii="Corbel" w:hAnsi="Corbel" w:cstheme="minorHAnsi"/>
                <w:sz w:val="20"/>
                <w:szCs w:val="20"/>
              </w:rPr>
              <w:t>carer support.</w:t>
            </w:r>
          </w:p>
          <w:p w14:paraId="2113B530" w14:textId="2A9F9D31" w:rsidR="0013070D" w:rsidRPr="001D6F3C" w:rsidRDefault="0013070D" w:rsidP="004836FE">
            <w:pPr>
              <w:spacing w:after="80" w:line="240" w:lineRule="auto"/>
              <w:jc w:val="both"/>
              <w:rPr>
                <w:rFonts w:ascii="Corbel" w:hAnsi="Corbel" w:cstheme="minorHAnsi"/>
                <w:b/>
                <w:bCs/>
                <w:sz w:val="20"/>
                <w:szCs w:val="20"/>
              </w:rPr>
            </w:pPr>
            <w:r w:rsidRPr="001D6F3C">
              <w:rPr>
                <w:rFonts w:ascii="Corbel" w:hAnsi="Corbel" w:cstheme="minorHAnsi"/>
                <w:b/>
                <w:bCs/>
                <w:sz w:val="20"/>
                <w:szCs w:val="20"/>
              </w:rPr>
              <w:t>Grandparents raising grandchildren</w:t>
            </w:r>
          </w:p>
          <w:p w14:paraId="56ED8860" w14:textId="77AF3CD2" w:rsidR="00B860BA" w:rsidRPr="001D6F3C" w:rsidRDefault="0013070D" w:rsidP="004836FE">
            <w:pPr>
              <w:spacing w:after="80" w:line="240" w:lineRule="auto"/>
              <w:jc w:val="both"/>
              <w:rPr>
                <w:rFonts w:ascii="Corbel" w:hAnsi="Corbel"/>
                <w:sz w:val="20"/>
                <w:szCs w:val="20"/>
              </w:rPr>
            </w:pPr>
            <w:r w:rsidRPr="001D6F3C">
              <w:rPr>
                <w:rFonts w:ascii="Corbel" w:hAnsi="Corbel"/>
                <w:sz w:val="20"/>
                <w:szCs w:val="20"/>
              </w:rPr>
              <w:t xml:space="preserve">Grandparents </w:t>
            </w:r>
            <w:r w:rsidR="005D696D" w:rsidRPr="001D6F3C">
              <w:rPr>
                <w:rFonts w:ascii="Corbel" w:hAnsi="Corbel"/>
                <w:sz w:val="20"/>
                <w:szCs w:val="20"/>
              </w:rPr>
              <w:t xml:space="preserve">can </w:t>
            </w:r>
            <w:r w:rsidRPr="001D6F3C">
              <w:rPr>
                <w:rFonts w:ascii="Corbel" w:hAnsi="Corbel"/>
                <w:sz w:val="20"/>
                <w:szCs w:val="20"/>
              </w:rPr>
              <w:t xml:space="preserve">play a crucial role in allowing parents to balance work and childcare, as well as stepping in to raise their grandchildren. In the 2013 Census, nearly 10,000 grandparent families reported that they were raising grandchildren. </w:t>
            </w:r>
          </w:p>
          <w:p w14:paraId="0C1AB86D" w14:textId="054ED71C" w:rsidR="0013070D" w:rsidRPr="001D6F3C" w:rsidRDefault="0013070D" w:rsidP="004836FE">
            <w:pPr>
              <w:spacing w:after="80" w:line="240" w:lineRule="auto"/>
              <w:jc w:val="both"/>
              <w:rPr>
                <w:rFonts w:ascii="Corbel" w:hAnsi="Corbel" w:cstheme="minorHAnsi"/>
                <w:sz w:val="20"/>
                <w:szCs w:val="20"/>
              </w:rPr>
            </w:pPr>
            <w:r w:rsidRPr="001D6F3C">
              <w:rPr>
                <w:rFonts w:ascii="Corbel" w:hAnsi="Corbel" w:cstheme="minorHAnsi"/>
                <w:sz w:val="20"/>
                <w:szCs w:val="20"/>
              </w:rPr>
              <w:t xml:space="preserve">Grandparents caring for grandchildren or mokopuna </w:t>
            </w:r>
            <w:r w:rsidR="00EF76E4" w:rsidRPr="001D6F3C">
              <w:rPr>
                <w:rFonts w:ascii="Corbel" w:hAnsi="Corbel" w:cstheme="minorHAnsi"/>
                <w:sz w:val="20"/>
                <w:szCs w:val="20"/>
              </w:rPr>
              <w:t xml:space="preserve">often </w:t>
            </w:r>
            <w:r w:rsidRPr="001D6F3C">
              <w:rPr>
                <w:rFonts w:ascii="Corbel" w:hAnsi="Corbel" w:cstheme="minorHAnsi"/>
                <w:sz w:val="20"/>
                <w:szCs w:val="20"/>
              </w:rPr>
              <w:t>report great satisfaction but may also report greater stress due to the needs of the children, lack of community supports, lack of financial resources, housing need, health issues, family strain, and involvement of state agencies.</w:t>
            </w:r>
          </w:p>
        </w:tc>
      </w:tr>
    </w:tbl>
    <w:p w14:paraId="722E1E0F" w14:textId="77777777" w:rsidR="00214E38" w:rsidRPr="001D6F3C" w:rsidRDefault="00214E38" w:rsidP="00A60862">
      <w:pPr>
        <w:pStyle w:val="Heading2"/>
        <w:jc w:val="both"/>
        <w:rPr>
          <w:rFonts w:ascii="Corbel" w:hAnsi="Corbel"/>
        </w:rPr>
      </w:pPr>
    </w:p>
    <w:p w14:paraId="13E11A2C" w14:textId="5CB4616E" w:rsidR="005C3E1D" w:rsidRPr="001D6F3C" w:rsidRDefault="005C3E1D" w:rsidP="00A60862">
      <w:pPr>
        <w:pStyle w:val="Heading2"/>
        <w:jc w:val="both"/>
        <w:rPr>
          <w:rFonts w:ascii="Corbel" w:hAnsi="Corbel"/>
        </w:rPr>
      </w:pPr>
      <w:bookmarkStart w:id="10" w:name="_Toc207782985"/>
      <w:r w:rsidRPr="001D6F3C">
        <w:rPr>
          <w:rFonts w:ascii="Corbel" w:hAnsi="Corbel"/>
        </w:rPr>
        <w:t>1.</w:t>
      </w:r>
      <w:r w:rsidR="00527724" w:rsidRPr="001D6F3C">
        <w:rPr>
          <w:rFonts w:ascii="Corbel" w:hAnsi="Corbel"/>
        </w:rPr>
        <w:t>3</w:t>
      </w:r>
      <w:r w:rsidR="009B4CE1" w:rsidRPr="001D6F3C">
        <w:rPr>
          <w:rFonts w:ascii="Corbel" w:hAnsi="Corbel"/>
        </w:rPr>
        <w:t xml:space="preserve"> </w:t>
      </w:r>
      <w:r w:rsidRPr="001D6F3C">
        <w:rPr>
          <w:rFonts w:ascii="Corbel" w:hAnsi="Corbel"/>
        </w:rPr>
        <w:t>Population ageing</w:t>
      </w:r>
      <w:r w:rsidR="00AF00D9" w:rsidRPr="001D6F3C">
        <w:rPr>
          <w:rFonts w:ascii="Corbel" w:hAnsi="Corbel"/>
        </w:rPr>
        <w:t xml:space="preserve"> – </w:t>
      </w:r>
      <w:r w:rsidR="005547B3" w:rsidRPr="001D6F3C">
        <w:rPr>
          <w:rFonts w:ascii="Corbel" w:hAnsi="Corbel"/>
        </w:rPr>
        <w:t>n</w:t>
      </w:r>
      <w:r w:rsidR="00AF00D9" w:rsidRPr="001D6F3C">
        <w:rPr>
          <w:rFonts w:ascii="Corbel" w:hAnsi="Corbel"/>
        </w:rPr>
        <w:t>ational projections</w:t>
      </w:r>
      <w:bookmarkEnd w:id="10"/>
    </w:p>
    <w:p w14:paraId="2B4613EC" w14:textId="25ADC597" w:rsidR="005C3E1D" w:rsidRPr="001D6F3C" w:rsidRDefault="005C3E1D" w:rsidP="00A60862">
      <w:pPr>
        <w:jc w:val="both"/>
        <w:rPr>
          <w:rFonts w:ascii="Corbel" w:hAnsi="Corbel"/>
        </w:rPr>
      </w:pPr>
      <w:r w:rsidRPr="001D6F3C">
        <w:rPr>
          <w:rFonts w:ascii="Corbel" w:hAnsi="Corbel"/>
        </w:rPr>
        <w:t>The NZ population is rapidly ageing, due to life expectancy gains and declines in fertility rates. The share of the population aged 65+ is projected to grow from around 18</w:t>
      </w:r>
      <w:r w:rsidR="775FF39B" w:rsidRPr="001D6F3C">
        <w:rPr>
          <w:rFonts w:ascii="Corbel" w:hAnsi="Corbel"/>
        </w:rPr>
        <w:t>%</w:t>
      </w:r>
      <w:r w:rsidRPr="001D6F3C">
        <w:rPr>
          <w:rFonts w:ascii="Corbel" w:hAnsi="Corbel"/>
        </w:rPr>
        <w:t xml:space="preserve"> now to 23</w:t>
      </w:r>
      <w:r w:rsidR="4FDFE976" w:rsidRPr="001D6F3C">
        <w:rPr>
          <w:rFonts w:ascii="Corbel" w:hAnsi="Corbel"/>
        </w:rPr>
        <w:t>%</w:t>
      </w:r>
      <w:r w:rsidRPr="001D6F3C">
        <w:rPr>
          <w:rFonts w:ascii="Corbel" w:hAnsi="Corbel"/>
        </w:rPr>
        <w:t xml:space="preserve"> by 2050. The share aged 85+ is projected to grow from around 2</w:t>
      </w:r>
      <w:r w:rsidR="4C308437" w:rsidRPr="001D6F3C">
        <w:rPr>
          <w:rFonts w:ascii="Corbel" w:hAnsi="Corbel"/>
        </w:rPr>
        <w:t>%</w:t>
      </w:r>
      <w:r w:rsidRPr="001D6F3C">
        <w:rPr>
          <w:rFonts w:ascii="Corbel" w:hAnsi="Corbel"/>
        </w:rPr>
        <w:t xml:space="preserve"> to 5</w:t>
      </w:r>
      <w:r w:rsidR="10A3FD31" w:rsidRPr="001D6F3C">
        <w:rPr>
          <w:rFonts w:ascii="Corbel" w:hAnsi="Corbel"/>
        </w:rPr>
        <w:t>%</w:t>
      </w:r>
      <w:r w:rsidRPr="001D6F3C">
        <w:rPr>
          <w:rFonts w:ascii="Corbel" w:hAnsi="Corbel"/>
        </w:rPr>
        <w:t xml:space="preserve"> during the same period.</w:t>
      </w:r>
      <w:r w:rsidR="02479C62" w:rsidRPr="001D6F3C">
        <w:rPr>
          <w:rFonts w:ascii="Corbel" w:hAnsi="Corbel"/>
        </w:rPr>
        <w:t xml:space="preserve"> </w:t>
      </w:r>
      <w:r w:rsidRPr="001D6F3C">
        <w:rPr>
          <w:rFonts w:ascii="Corbel" w:hAnsi="Corbel"/>
        </w:rPr>
        <w:t xml:space="preserve">Factors such as migration and fertility trends introduce uncertainty in population projections but will not </w:t>
      </w:r>
      <w:r w:rsidR="0076056D" w:rsidRPr="001D6F3C">
        <w:rPr>
          <w:rFonts w:ascii="Corbel" w:hAnsi="Corbel"/>
        </w:rPr>
        <w:t xml:space="preserve">fundamentally </w:t>
      </w:r>
      <w:r w:rsidRPr="001D6F3C">
        <w:rPr>
          <w:rFonts w:ascii="Corbel" w:hAnsi="Corbel"/>
        </w:rPr>
        <w:t xml:space="preserve">alter the overall transition towards an older population. </w:t>
      </w:r>
    </w:p>
    <w:p w14:paraId="3A770087" w14:textId="4FEA170E" w:rsidR="005C3E1D" w:rsidRPr="001D6F3C" w:rsidRDefault="005C3E1D" w:rsidP="00A60862">
      <w:pPr>
        <w:jc w:val="both"/>
        <w:rPr>
          <w:rFonts w:ascii="Corbel" w:hAnsi="Corbel"/>
        </w:rPr>
      </w:pPr>
      <w:r w:rsidRPr="001D6F3C">
        <w:rPr>
          <w:rFonts w:ascii="Corbel" w:hAnsi="Corbel"/>
        </w:rPr>
        <w:t xml:space="preserve">The growth in the older population is even more stark and certain when looking at growth in numbers, rather than as a proportion of the overall population. By 2050, the total number of people aged 65+ is projected to grow by more than 150% (increasing by 501,100 people), and the number aged 85+ is projected to almost triple (increasing by 188,600). </w:t>
      </w:r>
    </w:p>
    <w:p w14:paraId="056ACFF9" w14:textId="3202B145" w:rsidR="000A0865" w:rsidRPr="001D6F3C" w:rsidRDefault="000A0865" w:rsidP="00A60862">
      <w:pPr>
        <w:pStyle w:val="Caption"/>
        <w:keepNext/>
        <w:jc w:val="both"/>
        <w:rPr>
          <w:rFonts w:ascii="Corbel" w:hAnsi="Corbel"/>
        </w:rPr>
      </w:pPr>
      <w:bookmarkStart w:id="11" w:name="_Toc203142261"/>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w:t>
      </w:r>
      <w:r w:rsidR="00585542" w:rsidRPr="001D6F3C">
        <w:rPr>
          <w:rFonts w:ascii="Corbel" w:hAnsi="Corbel"/>
        </w:rPr>
        <w:fldChar w:fldCharType="end"/>
      </w:r>
      <w:r w:rsidRPr="001D6F3C">
        <w:rPr>
          <w:rFonts w:ascii="Corbel" w:hAnsi="Corbel"/>
        </w:rPr>
        <w:t>: Stats NZ Population Projections</w:t>
      </w:r>
      <w:bookmarkEnd w:id="11"/>
    </w:p>
    <w:p w14:paraId="6403F933" w14:textId="79CCB279" w:rsidR="005C3E1D" w:rsidRPr="001D6F3C" w:rsidRDefault="005C3E1D" w:rsidP="00C61413">
      <w:pPr>
        <w:jc w:val="center"/>
        <w:rPr>
          <w:rFonts w:ascii="Corbel" w:hAnsi="Corbel"/>
        </w:rPr>
      </w:pPr>
      <w:r w:rsidRPr="001D6F3C">
        <w:rPr>
          <w:rFonts w:ascii="Corbel" w:hAnsi="Corbel"/>
          <w:noProof/>
        </w:rPr>
        <w:drawing>
          <wp:inline distT="0" distB="0" distL="0" distR="0" wp14:anchorId="7F6F7E90" wp14:editId="48D65189">
            <wp:extent cx="1919556" cy="3254222"/>
            <wp:effectExtent l="666750" t="0" r="652780" b="0"/>
            <wp:docPr id="10" name="Picture 9">
              <a:extLst xmlns:a="http://schemas.openxmlformats.org/drawingml/2006/main">
                <a:ext uri="{FF2B5EF4-FFF2-40B4-BE49-F238E27FC236}">
                  <a16:creationId xmlns:a16="http://schemas.microsoft.com/office/drawing/2014/main" id="{EA400158-62BF-A835-C3C6-1443E5F96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A400158-62BF-A835-C3C6-1443E5F964AE}"/>
                        </a:ext>
                      </a:extLst>
                    </pic:cNvPr>
                    <pic:cNvPicPr>
                      <a:picLocks noChangeAspect="1"/>
                    </pic:cNvPicPr>
                  </pic:nvPicPr>
                  <pic:blipFill rotWithShape="1">
                    <a:blip r:embed="rId21"/>
                    <a:srcRect l="5872"/>
                    <a:stretch/>
                  </pic:blipFill>
                  <pic:spPr>
                    <a:xfrm rot="5400000">
                      <a:off x="0" y="0"/>
                      <a:ext cx="1919556" cy="3254222"/>
                    </a:xfrm>
                    <a:prstGeom prst="rect">
                      <a:avLst/>
                    </a:prstGeom>
                  </pic:spPr>
                </pic:pic>
              </a:graphicData>
            </a:graphic>
          </wp:inline>
        </w:drawing>
      </w:r>
    </w:p>
    <w:p w14:paraId="6A75410C" w14:textId="196BC5BB" w:rsidR="00CF3847" w:rsidRPr="001D6F3C" w:rsidRDefault="005547B3" w:rsidP="00A60862">
      <w:pPr>
        <w:jc w:val="both"/>
        <w:rPr>
          <w:rFonts w:ascii="Corbel" w:hAnsi="Corbel"/>
        </w:rPr>
      </w:pPr>
      <w:r w:rsidRPr="001D6F3C">
        <w:rPr>
          <w:rFonts w:ascii="Corbel" w:hAnsi="Corbel"/>
        </w:rPr>
        <w:t xml:space="preserve">Population ageing has significant impacts for New Zealand. </w:t>
      </w:r>
      <w:r w:rsidR="005C3E1D" w:rsidRPr="001D6F3C">
        <w:rPr>
          <w:rFonts w:ascii="Corbel" w:hAnsi="Corbel"/>
        </w:rPr>
        <w:t>Stats NZ’s long term labour force projections show a declining labour force participation rate</w:t>
      </w:r>
      <w:r w:rsidR="3B8892C0" w:rsidRPr="001D6F3C">
        <w:rPr>
          <w:rFonts w:ascii="Corbel" w:hAnsi="Corbel"/>
        </w:rPr>
        <w:t xml:space="preserve"> </w:t>
      </w:r>
      <w:r w:rsidR="005C3E1D" w:rsidRPr="001D6F3C">
        <w:rPr>
          <w:rFonts w:ascii="Corbel" w:hAnsi="Corbel"/>
        </w:rPr>
        <w:t xml:space="preserve">for NZ overall, due to a greater proportion of the population at older ages where rates are lowest. </w:t>
      </w:r>
      <w:r w:rsidR="00FF4379" w:rsidRPr="001D6F3C">
        <w:rPr>
          <w:rFonts w:ascii="Corbel" w:hAnsi="Corbel"/>
        </w:rPr>
        <w:t>T</w:t>
      </w:r>
      <w:r w:rsidR="005C3E1D" w:rsidRPr="001D6F3C">
        <w:rPr>
          <w:rFonts w:ascii="Corbel" w:hAnsi="Corbel"/>
        </w:rPr>
        <w:t xml:space="preserve">he ratio of non-workers to those working is </w:t>
      </w:r>
      <w:r w:rsidR="00FF4379" w:rsidRPr="001D6F3C">
        <w:rPr>
          <w:rFonts w:ascii="Corbel" w:hAnsi="Corbel"/>
        </w:rPr>
        <w:t xml:space="preserve">therefore </w:t>
      </w:r>
      <w:r w:rsidR="005C3E1D" w:rsidRPr="001D6F3C">
        <w:rPr>
          <w:rFonts w:ascii="Corbel" w:hAnsi="Corbel"/>
        </w:rPr>
        <w:t xml:space="preserve">projected to increase. </w:t>
      </w:r>
    </w:p>
    <w:p w14:paraId="5B5C97BE" w14:textId="4D539D67" w:rsidR="00764453" w:rsidRPr="001D6F3C" w:rsidRDefault="00764453" w:rsidP="00764453">
      <w:pPr>
        <w:jc w:val="both"/>
        <w:rPr>
          <w:rFonts w:ascii="Corbel" w:hAnsi="Corbel"/>
        </w:rPr>
      </w:pPr>
      <w:r w:rsidRPr="001D6F3C">
        <w:rPr>
          <w:rFonts w:ascii="Corbel" w:hAnsi="Corbel"/>
        </w:rPr>
        <w:t xml:space="preserve">The Treasury’s 2021 Long Term Fiscal Statement indicated that net debt is likely to be on an unsustainable trajectory, if expenditure and revenue follow historical trends (and no additional policy adjustments are implemented). A significant contributor to this is the fiscal impact of an ageing population, which will see rising expenditure on NZS and healthcare, along with reduced GDP growth and tax revenue. Long-term care expenditure (including rest-home care and </w:t>
      </w:r>
      <w:r w:rsidR="00C57A5C" w:rsidRPr="001D6F3C">
        <w:rPr>
          <w:rFonts w:ascii="Corbel" w:hAnsi="Corbel"/>
        </w:rPr>
        <w:t>community</w:t>
      </w:r>
      <w:r w:rsidRPr="001D6F3C">
        <w:rPr>
          <w:rFonts w:ascii="Corbel" w:hAnsi="Corbel"/>
        </w:rPr>
        <w:t>-based services) are expected to face significant spending pressures.</w:t>
      </w:r>
    </w:p>
    <w:p w14:paraId="430D7862" w14:textId="70E9FB5A" w:rsidR="00CF3847" w:rsidRPr="001D6F3C" w:rsidRDefault="00CF3847" w:rsidP="00764453">
      <w:pPr>
        <w:jc w:val="both"/>
        <w:rPr>
          <w:rFonts w:ascii="Corbel" w:hAnsi="Corbel"/>
        </w:rPr>
      </w:pPr>
      <w:r w:rsidRPr="001D6F3C">
        <w:rPr>
          <w:rFonts w:ascii="Corbel" w:hAnsi="Corbel"/>
        </w:rPr>
        <w:br w:type="page"/>
      </w:r>
    </w:p>
    <w:p w14:paraId="43961C00" w14:textId="5B6FC8CC" w:rsidR="005C3E1D" w:rsidRPr="001D6F3C" w:rsidRDefault="006D5674" w:rsidP="00A60862">
      <w:pPr>
        <w:jc w:val="both"/>
        <w:rPr>
          <w:rFonts w:ascii="Corbel" w:hAnsi="Corbel"/>
        </w:rPr>
      </w:pPr>
      <w:r w:rsidRPr="001D6F3C">
        <w:rPr>
          <w:rFonts w:ascii="Corbel" w:hAnsi="Corbel"/>
          <w:noProof/>
        </w:rPr>
        <w:lastRenderedPageBreak/>
        <mc:AlternateContent>
          <mc:Choice Requires="wps">
            <w:drawing>
              <wp:anchor distT="0" distB="0" distL="114300" distR="114300" simplePos="0" relativeHeight="251658251" behindDoc="0" locked="0" layoutInCell="1" allowOverlap="1" wp14:anchorId="49202B60" wp14:editId="18EA8CC9">
                <wp:simplePos x="0" y="0"/>
                <wp:positionH relativeFrom="margin">
                  <wp:posOffset>4209927</wp:posOffset>
                </wp:positionH>
                <wp:positionV relativeFrom="paragraph">
                  <wp:posOffset>0</wp:posOffset>
                </wp:positionV>
                <wp:extent cx="2312035" cy="457200"/>
                <wp:effectExtent l="0" t="0" r="12065" b="0"/>
                <wp:wrapSquare wrapText="bothSides"/>
                <wp:docPr id="682625323" name="Text Box 1"/>
                <wp:cNvGraphicFramePr/>
                <a:graphic xmlns:a="http://schemas.openxmlformats.org/drawingml/2006/main">
                  <a:graphicData uri="http://schemas.microsoft.com/office/word/2010/wordprocessingShape">
                    <wps:wsp>
                      <wps:cNvSpPr txBox="1"/>
                      <wps:spPr>
                        <a:xfrm>
                          <a:off x="0" y="0"/>
                          <a:ext cx="2312035" cy="457200"/>
                        </a:xfrm>
                        <a:prstGeom prst="rect">
                          <a:avLst/>
                        </a:prstGeom>
                        <a:noFill/>
                        <a:ln>
                          <a:noFill/>
                        </a:ln>
                      </wps:spPr>
                      <wps:txbx>
                        <w:txbxContent>
                          <w:p w14:paraId="2B53324E" w14:textId="5EF0FD9D" w:rsidR="001A34C2" w:rsidRDefault="00DA7A5D" w:rsidP="001A34C2">
                            <w:pPr>
                              <w:pStyle w:val="Caption"/>
                              <w:spacing w:after="0"/>
                              <w:contextualSpacing/>
                              <w:jc w:val="center"/>
                            </w:pPr>
                            <w:bookmarkStart w:id="12" w:name="_Toc203142262"/>
                            <w:r>
                              <w:t xml:space="preserve">Figure </w:t>
                            </w:r>
                            <w:r w:rsidR="00585542">
                              <w:fldChar w:fldCharType="begin"/>
                            </w:r>
                            <w:r w:rsidR="00585542">
                              <w:instrText xml:space="preserve"> SEQ Figure \* ARABIC </w:instrText>
                            </w:r>
                            <w:r w:rsidR="00585542">
                              <w:fldChar w:fldCharType="separate"/>
                            </w:r>
                            <w:r w:rsidR="00AD2CCE">
                              <w:rPr>
                                <w:noProof/>
                              </w:rPr>
                              <w:t>2</w:t>
                            </w:r>
                            <w:r w:rsidR="00585542">
                              <w:fldChar w:fldCharType="end"/>
                            </w:r>
                            <w:r>
                              <w:t xml:space="preserve">: Population Projections </w:t>
                            </w:r>
                            <w:r w:rsidR="001A34C2">
                              <w:t>–</w:t>
                            </w:r>
                            <w:bookmarkEnd w:id="12"/>
                          </w:p>
                          <w:p w14:paraId="1C94FF7B" w14:textId="2EAC8410" w:rsidR="00DA7A5D" w:rsidRPr="009C33F5" w:rsidRDefault="00DA7A5D" w:rsidP="001A34C2">
                            <w:pPr>
                              <w:pStyle w:val="Caption"/>
                              <w:spacing w:after="0"/>
                              <w:contextualSpacing/>
                              <w:jc w:val="center"/>
                              <w:rPr>
                                <w:noProof/>
                              </w:rPr>
                            </w:pPr>
                            <w:r>
                              <w:t>65+ by ethnicity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202B60" id="_x0000_t202" coordsize="21600,21600" o:spt="202" path="m,l,21600r21600,l21600,xe">
                <v:stroke joinstyle="miter"/>
                <v:path gradientshapeok="t" o:connecttype="rect"/>
              </v:shapetype>
              <v:shape id="Text Box 1" o:spid="_x0000_s1026" type="#_x0000_t202" style="position:absolute;left:0;text-align:left;margin-left:331.5pt;margin-top:0;width:182.05pt;height:36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" filled="f" stroked="f">
                <v:textbox inset="0,0,0,0">
                  <w:txbxContent>
                    <w:p w14:paraId="2B53324E" w14:textId="5EF0FD9D" w:rsidR="001A34C2" w:rsidRDefault="00DA7A5D" w:rsidP="001A34C2">
                      <w:pPr>
                        <w:pStyle w:val="Caption"/>
                        <w:spacing w:after="0"/>
                        <w:contextualSpacing/>
                        <w:jc w:val="center"/>
                      </w:pPr>
                      <w:bookmarkStart w:id="13" w:name="_Toc203142262"/>
                      <w:r>
                        <w:t xml:space="preserve">Figure </w:t>
                      </w:r>
                      <w:r w:rsidR="00585542">
                        <w:fldChar w:fldCharType="begin"/>
                      </w:r>
                      <w:r w:rsidR="00585542">
                        <w:instrText xml:space="preserve"> SEQ Figure \* ARABIC </w:instrText>
                      </w:r>
                      <w:r w:rsidR="00585542">
                        <w:fldChar w:fldCharType="separate"/>
                      </w:r>
                      <w:r w:rsidR="00AD2CCE">
                        <w:rPr>
                          <w:noProof/>
                        </w:rPr>
                        <w:t>2</w:t>
                      </w:r>
                      <w:r w:rsidR="00585542">
                        <w:fldChar w:fldCharType="end"/>
                      </w:r>
                      <w:r>
                        <w:t xml:space="preserve">: Population Projections </w:t>
                      </w:r>
                      <w:r w:rsidR="001A34C2">
                        <w:t>–</w:t>
                      </w:r>
                      <w:bookmarkEnd w:id="13"/>
                    </w:p>
                    <w:p w14:paraId="1C94FF7B" w14:textId="2EAC8410" w:rsidR="00DA7A5D" w:rsidRPr="009C33F5" w:rsidRDefault="00DA7A5D" w:rsidP="001A34C2">
                      <w:pPr>
                        <w:pStyle w:val="Caption"/>
                        <w:spacing w:after="0"/>
                        <w:contextualSpacing/>
                        <w:jc w:val="center"/>
                        <w:rPr>
                          <w:noProof/>
                        </w:rPr>
                      </w:pPr>
                      <w:r>
                        <w:t>65+ by ethnicity</w:t>
                      </w:r>
                    </w:p>
                  </w:txbxContent>
                </v:textbox>
                <w10:wrap type="square" anchorx="margin"/>
              </v:shape>
            </w:pict>
          </mc:Fallback>
        </mc:AlternateContent>
      </w:r>
      <w:r w:rsidR="0029719D" w:rsidRPr="001D6F3C">
        <w:rPr>
          <w:rFonts w:ascii="Corbel" w:hAnsi="Corbel"/>
          <w:noProof/>
        </w:rPr>
        <w:drawing>
          <wp:anchor distT="0" distB="0" distL="114300" distR="114300" simplePos="0" relativeHeight="251658250" behindDoc="0" locked="0" layoutInCell="1" allowOverlap="1" wp14:anchorId="5627B185" wp14:editId="78AD9BFB">
            <wp:simplePos x="0" y="0"/>
            <wp:positionH relativeFrom="column">
              <wp:posOffset>4487545</wp:posOffset>
            </wp:positionH>
            <wp:positionV relativeFrom="paragraph">
              <wp:posOffset>408940</wp:posOffset>
            </wp:positionV>
            <wp:extent cx="1874520" cy="3957320"/>
            <wp:effectExtent l="0" t="0" r="0" b="5080"/>
            <wp:wrapSquare wrapText="bothSides"/>
            <wp:docPr id="95731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4520" cy="3957320"/>
                    </a:xfrm>
                    <a:prstGeom prst="rect">
                      <a:avLst/>
                    </a:prstGeom>
                    <a:noFill/>
                  </pic:spPr>
                </pic:pic>
              </a:graphicData>
            </a:graphic>
            <wp14:sizeRelH relativeFrom="margin">
              <wp14:pctWidth>0</wp14:pctWidth>
            </wp14:sizeRelH>
            <wp14:sizeRelV relativeFrom="margin">
              <wp14:pctHeight>0</wp14:pctHeight>
            </wp14:sizeRelV>
          </wp:anchor>
        </w:drawing>
      </w:r>
      <w:r w:rsidR="00022CD5" w:rsidRPr="001D6F3C">
        <w:rPr>
          <w:rFonts w:ascii="Corbel" w:hAnsi="Corbel"/>
        </w:rPr>
        <w:t xml:space="preserve">New Zealand’s </w:t>
      </w:r>
      <w:r w:rsidR="005C3E1D" w:rsidRPr="001D6F3C">
        <w:rPr>
          <w:rFonts w:ascii="Corbel" w:hAnsi="Corbel"/>
        </w:rPr>
        <w:t xml:space="preserve">older population is becoming more ethnically diverse. By 2043, Stats NZ projects that, of those who are over 65, the proportion who are NZ European will decrease from </w:t>
      </w:r>
      <w:r w:rsidR="00FA3BEF" w:rsidRPr="001D6F3C">
        <w:rPr>
          <w:rFonts w:ascii="Corbel" w:hAnsi="Corbel"/>
        </w:rPr>
        <w:t>8</w:t>
      </w:r>
      <w:r w:rsidR="005C3E1D" w:rsidRPr="001D6F3C">
        <w:rPr>
          <w:rFonts w:ascii="Corbel" w:hAnsi="Corbel"/>
        </w:rPr>
        <w:t xml:space="preserve">3% to </w:t>
      </w:r>
      <w:r w:rsidR="00C53C66" w:rsidRPr="001D6F3C">
        <w:rPr>
          <w:rFonts w:ascii="Corbel" w:hAnsi="Corbel"/>
        </w:rPr>
        <w:t>75</w:t>
      </w:r>
      <w:r w:rsidR="005C3E1D" w:rsidRPr="001D6F3C">
        <w:rPr>
          <w:rFonts w:ascii="Corbel" w:hAnsi="Corbel"/>
        </w:rPr>
        <w:t>%. All other ethnicities will increase as a proportion of the older population:</w:t>
      </w:r>
    </w:p>
    <w:p w14:paraId="70BCFA5F" w14:textId="34B5DAD1" w:rsidR="005C3E1D" w:rsidRPr="001D6F3C" w:rsidRDefault="005C3E1D" w:rsidP="00D404C5">
      <w:pPr>
        <w:numPr>
          <w:ilvl w:val="0"/>
          <w:numId w:val="11"/>
        </w:numPr>
        <w:jc w:val="both"/>
        <w:rPr>
          <w:rFonts w:ascii="Corbel" w:hAnsi="Corbel"/>
        </w:rPr>
      </w:pPr>
      <w:r w:rsidRPr="001D6F3C">
        <w:rPr>
          <w:rFonts w:ascii="Corbel" w:hAnsi="Corbel"/>
        </w:rPr>
        <w:t xml:space="preserve">Māori will increase from </w:t>
      </w:r>
      <w:r w:rsidR="006E697E" w:rsidRPr="001D6F3C">
        <w:rPr>
          <w:rFonts w:ascii="Corbel" w:hAnsi="Corbel"/>
        </w:rPr>
        <w:t>8</w:t>
      </w:r>
      <w:r w:rsidRPr="001D6F3C">
        <w:rPr>
          <w:rFonts w:ascii="Corbel" w:hAnsi="Corbel"/>
        </w:rPr>
        <w:t xml:space="preserve">% to </w:t>
      </w:r>
      <w:r w:rsidR="006E697E" w:rsidRPr="001D6F3C">
        <w:rPr>
          <w:rFonts w:ascii="Corbel" w:hAnsi="Corbel"/>
        </w:rPr>
        <w:t>11</w:t>
      </w:r>
      <w:r w:rsidRPr="001D6F3C">
        <w:rPr>
          <w:rFonts w:ascii="Corbel" w:hAnsi="Corbel"/>
        </w:rPr>
        <w:t>% of the older population</w:t>
      </w:r>
    </w:p>
    <w:p w14:paraId="1CDE0E91" w14:textId="3E41C875" w:rsidR="005C3E1D" w:rsidRPr="001D6F3C" w:rsidRDefault="005C3E1D" w:rsidP="00D404C5">
      <w:pPr>
        <w:numPr>
          <w:ilvl w:val="0"/>
          <w:numId w:val="11"/>
        </w:numPr>
        <w:jc w:val="both"/>
        <w:rPr>
          <w:rFonts w:ascii="Corbel" w:hAnsi="Corbel"/>
        </w:rPr>
      </w:pPr>
      <w:r w:rsidRPr="001D6F3C">
        <w:rPr>
          <w:rFonts w:ascii="Corbel" w:hAnsi="Corbel"/>
        </w:rPr>
        <w:t xml:space="preserve">Pacific will increase from 3% to </w:t>
      </w:r>
      <w:r w:rsidR="00751F77" w:rsidRPr="001D6F3C">
        <w:rPr>
          <w:rFonts w:ascii="Corbel" w:hAnsi="Corbel"/>
        </w:rPr>
        <w:t>5</w:t>
      </w:r>
      <w:r w:rsidRPr="001D6F3C">
        <w:rPr>
          <w:rFonts w:ascii="Corbel" w:hAnsi="Corbel"/>
        </w:rPr>
        <w:t>% of the older population</w:t>
      </w:r>
    </w:p>
    <w:p w14:paraId="16B741EE" w14:textId="77777777" w:rsidR="00C65281" w:rsidRPr="001D6F3C" w:rsidRDefault="005C3E1D" w:rsidP="00580DC0">
      <w:pPr>
        <w:numPr>
          <w:ilvl w:val="0"/>
          <w:numId w:val="11"/>
        </w:numPr>
        <w:jc w:val="both"/>
        <w:rPr>
          <w:rFonts w:ascii="Corbel" w:hAnsi="Corbel"/>
        </w:rPr>
      </w:pPr>
      <w:r w:rsidRPr="001D6F3C">
        <w:rPr>
          <w:rFonts w:ascii="Corbel" w:hAnsi="Corbel"/>
        </w:rPr>
        <w:t xml:space="preserve">Asian will increase from </w:t>
      </w:r>
      <w:r w:rsidR="00312434" w:rsidRPr="001D6F3C">
        <w:rPr>
          <w:rFonts w:ascii="Corbel" w:hAnsi="Corbel"/>
        </w:rPr>
        <w:t>9</w:t>
      </w:r>
      <w:r w:rsidRPr="001D6F3C">
        <w:rPr>
          <w:rFonts w:ascii="Corbel" w:hAnsi="Corbel"/>
        </w:rPr>
        <w:t>% to 1</w:t>
      </w:r>
      <w:r w:rsidR="00312434" w:rsidRPr="001D6F3C">
        <w:rPr>
          <w:rFonts w:ascii="Corbel" w:hAnsi="Corbel"/>
        </w:rPr>
        <w:t>5</w:t>
      </w:r>
      <w:r w:rsidRPr="001D6F3C">
        <w:rPr>
          <w:rFonts w:ascii="Corbel" w:hAnsi="Corbel"/>
        </w:rPr>
        <w:t>% of the older population</w:t>
      </w:r>
    </w:p>
    <w:p w14:paraId="5684C036" w14:textId="517AF3DF" w:rsidR="001A34C2" w:rsidRPr="001D6F3C" w:rsidRDefault="00C65281" w:rsidP="00580DC0">
      <w:pPr>
        <w:numPr>
          <w:ilvl w:val="0"/>
          <w:numId w:val="11"/>
        </w:numPr>
        <w:jc w:val="both"/>
        <w:rPr>
          <w:rFonts w:ascii="Corbel" w:hAnsi="Corbel"/>
        </w:rPr>
      </w:pPr>
      <w:r w:rsidRPr="001D6F3C">
        <w:rPr>
          <w:rFonts w:ascii="Corbel" w:hAnsi="Corbel"/>
        </w:rPr>
        <w:t>Middle Eastern, Latin American, and African</w:t>
      </w:r>
      <w:r w:rsidR="00396978" w:rsidRPr="001D6F3C">
        <w:rPr>
          <w:rFonts w:ascii="Corbel" w:hAnsi="Corbel"/>
        </w:rPr>
        <w:t xml:space="preserve"> will increase from 0.6% to 1.3% of the p</w:t>
      </w:r>
      <w:r w:rsidR="00FA70CE" w:rsidRPr="001D6F3C">
        <w:rPr>
          <w:rFonts w:ascii="Corbel" w:hAnsi="Corbel"/>
        </w:rPr>
        <w:t>opulation</w:t>
      </w:r>
      <w:r w:rsidR="001A34C2" w:rsidRPr="001D6F3C">
        <w:rPr>
          <w:rFonts w:ascii="Corbel" w:hAnsi="Corbel"/>
        </w:rPr>
        <w:t>.</w:t>
      </w:r>
    </w:p>
    <w:p w14:paraId="7DFDA095" w14:textId="03FFDEB7" w:rsidR="00A00EFD" w:rsidRPr="001D6F3C" w:rsidRDefault="00F123B1" w:rsidP="003D08E9">
      <w:pPr>
        <w:rPr>
          <w:rFonts w:ascii="Corbel" w:hAnsi="Corbel"/>
        </w:rPr>
      </w:pPr>
      <w:r w:rsidRPr="001D6F3C">
        <w:rPr>
          <w:rFonts w:ascii="Corbel" w:hAnsi="Corbel"/>
        </w:rPr>
        <w:t xml:space="preserve">The older population will </w:t>
      </w:r>
      <w:r w:rsidR="000414E8" w:rsidRPr="001D6F3C">
        <w:rPr>
          <w:rFonts w:ascii="Corbel" w:hAnsi="Corbel"/>
        </w:rPr>
        <w:t>remain less diverse than the total New Zealand population</w:t>
      </w:r>
      <w:r w:rsidR="00BE447A" w:rsidRPr="001D6F3C">
        <w:rPr>
          <w:rFonts w:ascii="Corbel" w:hAnsi="Corbel"/>
        </w:rPr>
        <w:t>, reflecting the</w:t>
      </w:r>
      <w:r w:rsidR="00955B05" w:rsidRPr="001D6F3C">
        <w:rPr>
          <w:rFonts w:ascii="Corbel" w:hAnsi="Corbel"/>
        </w:rPr>
        <w:t xml:space="preserve"> much</w:t>
      </w:r>
      <w:r w:rsidR="00BE447A" w:rsidRPr="001D6F3C">
        <w:rPr>
          <w:rFonts w:ascii="Corbel" w:hAnsi="Corbel"/>
        </w:rPr>
        <w:t xml:space="preserve"> younger age profile</w:t>
      </w:r>
      <w:r w:rsidR="006D7EAF" w:rsidRPr="001D6F3C">
        <w:rPr>
          <w:rFonts w:ascii="Corbel" w:hAnsi="Corbel"/>
        </w:rPr>
        <w:t xml:space="preserve"> and lower life expectancy for </w:t>
      </w:r>
      <w:r w:rsidR="009D3E21" w:rsidRPr="001D6F3C">
        <w:rPr>
          <w:rFonts w:ascii="Corbel" w:hAnsi="Corbel"/>
        </w:rPr>
        <w:t>Māori</w:t>
      </w:r>
      <w:r w:rsidR="00BE447A" w:rsidRPr="001D6F3C">
        <w:rPr>
          <w:rFonts w:ascii="Corbel" w:hAnsi="Corbel"/>
        </w:rPr>
        <w:t xml:space="preserve"> and Pacific</w:t>
      </w:r>
      <w:r w:rsidR="006D7EAF" w:rsidRPr="001D6F3C">
        <w:rPr>
          <w:rFonts w:ascii="Corbel" w:hAnsi="Corbel"/>
        </w:rPr>
        <w:t xml:space="preserve"> people</w:t>
      </w:r>
      <w:r w:rsidR="00BE447A" w:rsidRPr="001D6F3C">
        <w:rPr>
          <w:rFonts w:ascii="Corbel" w:hAnsi="Corbel"/>
        </w:rPr>
        <w:t xml:space="preserve"> </w:t>
      </w:r>
      <w:r w:rsidR="00955B05" w:rsidRPr="001D6F3C">
        <w:rPr>
          <w:rFonts w:ascii="Corbel" w:hAnsi="Corbel"/>
        </w:rPr>
        <w:t>in New Zealand</w:t>
      </w:r>
      <w:r w:rsidR="000414E8" w:rsidRPr="001D6F3C">
        <w:rPr>
          <w:rFonts w:ascii="Corbel" w:hAnsi="Corbel"/>
        </w:rPr>
        <w:t xml:space="preserve">. </w:t>
      </w:r>
      <w:r w:rsidR="005001B2" w:rsidRPr="001D6F3C">
        <w:rPr>
          <w:rFonts w:ascii="Corbel" w:hAnsi="Corbel"/>
        </w:rPr>
        <w:t>For</w:t>
      </w:r>
      <w:r w:rsidR="00C743BA" w:rsidRPr="001D6F3C">
        <w:rPr>
          <w:rFonts w:ascii="Corbel" w:hAnsi="Corbel"/>
        </w:rPr>
        <w:t xml:space="preserve"> the total population</w:t>
      </w:r>
      <w:r w:rsidR="00D31325" w:rsidRPr="001D6F3C">
        <w:rPr>
          <w:rFonts w:ascii="Corbel" w:hAnsi="Corbel"/>
        </w:rPr>
        <w:t xml:space="preserve"> in 2043</w:t>
      </w:r>
      <w:r w:rsidR="00C743BA" w:rsidRPr="001D6F3C">
        <w:rPr>
          <w:rFonts w:ascii="Corbel" w:hAnsi="Corbel"/>
        </w:rPr>
        <w:t>,</w:t>
      </w:r>
      <w:r w:rsidR="004B134C" w:rsidRPr="001D6F3C">
        <w:rPr>
          <w:rFonts w:ascii="Corbel" w:hAnsi="Corbel"/>
        </w:rPr>
        <w:t xml:space="preserve"> </w:t>
      </w:r>
      <w:r w:rsidR="00994CA8" w:rsidRPr="001D6F3C">
        <w:rPr>
          <w:rFonts w:ascii="Corbel" w:hAnsi="Corbel"/>
        </w:rPr>
        <w:t xml:space="preserve">Stats NZ projects that </w:t>
      </w:r>
      <w:r w:rsidR="004B134C" w:rsidRPr="001D6F3C">
        <w:rPr>
          <w:rFonts w:ascii="Corbel" w:hAnsi="Corbel"/>
        </w:rPr>
        <w:t xml:space="preserve">European will be </w:t>
      </w:r>
      <w:r w:rsidR="00E75640" w:rsidRPr="001D6F3C">
        <w:rPr>
          <w:rFonts w:ascii="Corbel" w:hAnsi="Corbel"/>
        </w:rPr>
        <w:t xml:space="preserve">65%, </w:t>
      </w:r>
      <w:r w:rsidR="002E68B9" w:rsidRPr="001D6F3C">
        <w:rPr>
          <w:rFonts w:ascii="Corbel" w:hAnsi="Corbel"/>
        </w:rPr>
        <w:t>Māori</w:t>
      </w:r>
      <w:r w:rsidR="00FD5CBC" w:rsidRPr="001D6F3C">
        <w:rPr>
          <w:rFonts w:ascii="Corbel" w:hAnsi="Corbel"/>
        </w:rPr>
        <w:t xml:space="preserve"> will be </w:t>
      </w:r>
      <w:r w:rsidR="004B134C" w:rsidRPr="001D6F3C">
        <w:rPr>
          <w:rFonts w:ascii="Corbel" w:hAnsi="Corbel"/>
        </w:rPr>
        <w:t>21%</w:t>
      </w:r>
      <w:r w:rsidR="00E75640" w:rsidRPr="001D6F3C">
        <w:rPr>
          <w:rFonts w:ascii="Corbel" w:hAnsi="Corbel"/>
        </w:rPr>
        <w:t>, Pacific will be</w:t>
      </w:r>
      <w:r w:rsidR="00EB2584" w:rsidRPr="001D6F3C">
        <w:rPr>
          <w:rFonts w:ascii="Corbel" w:hAnsi="Corbel"/>
        </w:rPr>
        <w:t xml:space="preserve"> 11%, and </w:t>
      </w:r>
      <w:r w:rsidR="004825A9" w:rsidRPr="001D6F3C">
        <w:rPr>
          <w:rFonts w:ascii="Corbel" w:hAnsi="Corbel"/>
        </w:rPr>
        <w:t xml:space="preserve">Asian </w:t>
      </w:r>
      <w:r w:rsidR="00D31325" w:rsidRPr="001D6F3C">
        <w:rPr>
          <w:rFonts w:ascii="Corbel" w:hAnsi="Corbel"/>
        </w:rPr>
        <w:t xml:space="preserve">will </w:t>
      </w:r>
      <w:r w:rsidR="00A56B27" w:rsidRPr="001D6F3C">
        <w:rPr>
          <w:rFonts w:ascii="Corbel" w:hAnsi="Corbel"/>
        </w:rPr>
        <w:t xml:space="preserve">be </w:t>
      </w:r>
      <w:r w:rsidR="009D3E21" w:rsidRPr="001D6F3C">
        <w:rPr>
          <w:rFonts w:ascii="Corbel" w:hAnsi="Corbel"/>
        </w:rPr>
        <w:t>24%</w:t>
      </w:r>
      <w:r w:rsidR="009B1E2F" w:rsidRPr="001D6F3C">
        <w:rPr>
          <w:rFonts w:ascii="Corbel" w:hAnsi="Corbel"/>
        </w:rPr>
        <w:t>.</w:t>
      </w:r>
    </w:p>
    <w:p w14:paraId="0F5478D6" w14:textId="2DBE70E4" w:rsidR="005C3E1D" w:rsidRPr="001D6F3C" w:rsidRDefault="005C3E1D" w:rsidP="00A60862">
      <w:pPr>
        <w:pStyle w:val="Heading2"/>
        <w:jc w:val="both"/>
        <w:rPr>
          <w:rFonts w:ascii="Corbel" w:hAnsi="Corbel"/>
        </w:rPr>
      </w:pPr>
      <w:bookmarkStart w:id="14" w:name="_Toc207782986"/>
      <w:r w:rsidRPr="001D6F3C">
        <w:rPr>
          <w:rFonts w:ascii="Corbel" w:hAnsi="Corbel"/>
        </w:rPr>
        <w:t>1.</w:t>
      </w:r>
      <w:r w:rsidR="00764453" w:rsidRPr="001D6F3C">
        <w:rPr>
          <w:rFonts w:ascii="Corbel" w:hAnsi="Corbel"/>
        </w:rPr>
        <w:t>4</w:t>
      </w:r>
      <w:r w:rsidR="009B4CE1" w:rsidRPr="001D6F3C">
        <w:rPr>
          <w:rFonts w:ascii="Corbel" w:hAnsi="Corbel"/>
        </w:rPr>
        <w:t xml:space="preserve"> </w:t>
      </w:r>
      <w:r w:rsidRPr="001D6F3C">
        <w:rPr>
          <w:rFonts w:ascii="Corbel" w:hAnsi="Corbel"/>
        </w:rPr>
        <w:t xml:space="preserve">Population ageing – regional </w:t>
      </w:r>
      <w:r w:rsidR="00F824EB" w:rsidRPr="001D6F3C">
        <w:rPr>
          <w:rFonts w:ascii="Corbel" w:hAnsi="Corbel"/>
        </w:rPr>
        <w:t>considerations</w:t>
      </w:r>
      <w:bookmarkEnd w:id="14"/>
    </w:p>
    <w:p w14:paraId="6371AC27" w14:textId="4CE63256" w:rsidR="00B82FA3" w:rsidRPr="001D6F3C" w:rsidRDefault="00580DC0" w:rsidP="00B82FA3">
      <w:pPr>
        <w:jc w:val="both"/>
        <w:rPr>
          <w:rFonts w:ascii="Corbel" w:hAnsi="Corbel"/>
        </w:rPr>
      </w:pPr>
      <w:r w:rsidRPr="001D6F3C">
        <w:rPr>
          <w:rFonts w:ascii="Corbel" w:hAnsi="Corbel"/>
          <w:noProof/>
        </w:rPr>
        <mc:AlternateContent>
          <mc:Choice Requires="wps">
            <w:drawing>
              <wp:anchor distT="0" distB="0" distL="114300" distR="114300" simplePos="0" relativeHeight="251658242" behindDoc="0" locked="0" layoutInCell="1" allowOverlap="1" wp14:anchorId="196009E3" wp14:editId="55BC2403">
                <wp:simplePos x="0" y="0"/>
                <wp:positionH relativeFrom="column">
                  <wp:posOffset>3157855</wp:posOffset>
                </wp:positionH>
                <wp:positionV relativeFrom="paragraph">
                  <wp:posOffset>1025687</wp:posOffset>
                </wp:positionV>
                <wp:extent cx="2346325" cy="457200"/>
                <wp:effectExtent l="0" t="0" r="0" b="0"/>
                <wp:wrapSquare wrapText="bothSides"/>
                <wp:docPr id="1456704575" name="Text Box 1"/>
                <wp:cNvGraphicFramePr/>
                <a:graphic xmlns:a="http://schemas.openxmlformats.org/drawingml/2006/main">
                  <a:graphicData uri="http://schemas.microsoft.com/office/word/2010/wordprocessingShape">
                    <wps:wsp>
                      <wps:cNvSpPr txBox="1"/>
                      <wps:spPr>
                        <a:xfrm>
                          <a:off x="0" y="0"/>
                          <a:ext cx="2346325" cy="457200"/>
                        </a:xfrm>
                        <a:prstGeom prst="rect">
                          <a:avLst/>
                        </a:prstGeom>
                        <a:solidFill>
                          <a:prstClr val="white"/>
                        </a:solidFill>
                        <a:ln>
                          <a:noFill/>
                        </a:ln>
                      </wps:spPr>
                      <wps:txbx>
                        <w:txbxContent>
                          <w:p w14:paraId="3688EE0D" w14:textId="216E6282" w:rsidR="00DA7A5D" w:rsidRPr="0033104F" w:rsidRDefault="00DA7A5D" w:rsidP="00DA7A5D">
                            <w:pPr>
                              <w:pStyle w:val="Caption"/>
                              <w:jc w:val="center"/>
                              <w:rPr>
                                <w:noProof/>
                              </w:rPr>
                            </w:pPr>
                            <w:bookmarkStart w:id="15" w:name="_Toc203142263"/>
                            <w:r>
                              <w:t xml:space="preserve">Figure </w:t>
                            </w:r>
                            <w:r w:rsidR="00585542">
                              <w:fldChar w:fldCharType="begin"/>
                            </w:r>
                            <w:r w:rsidR="00585542">
                              <w:instrText xml:space="preserve"> SEQ Figure \* ARABIC </w:instrText>
                            </w:r>
                            <w:r w:rsidR="00585542">
                              <w:fldChar w:fldCharType="separate"/>
                            </w:r>
                            <w:r w:rsidR="00AD2CCE">
                              <w:rPr>
                                <w:noProof/>
                              </w:rPr>
                              <w:t>3</w:t>
                            </w:r>
                            <w:r w:rsidR="00585542">
                              <w:fldChar w:fldCharType="end"/>
                            </w:r>
                            <w:r>
                              <w:t xml:space="preserve"> – increase in number of older people in  each TA (2023-2048)</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6009E3" id="_x0000_s1027" type="#_x0000_t202" style="position:absolute;left:0;text-align:left;margin-left:248.65pt;margin-top:80.75pt;width:184.7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" stroked="f">
                <v:textbox inset="0,0,0,0">
                  <w:txbxContent>
                    <w:p w14:paraId="3688EE0D" w14:textId="216E6282" w:rsidR="00DA7A5D" w:rsidRPr="0033104F" w:rsidRDefault="00DA7A5D" w:rsidP="00DA7A5D">
                      <w:pPr>
                        <w:pStyle w:val="Caption"/>
                        <w:jc w:val="center"/>
                        <w:rPr>
                          <w:noProof/>
                        </w:rPr>
                      </w:pPr>
                      <w:bookmarkStart w:id="16" w:name="_Toc203142263"/>
                      <w:r>
                        <w:t xml:space="preserve">Figure </w:t>
                      </w:r>
                      <w:r w:rsidR="00585542">
                        <w:fldChar w:fldCharType="begin"/>
                      </w:r>
                      <w:r w:rsidR="00585542">
                        <w:instrText xml:space="preserve"> SEQ Figure \* ARABIC </w:instrText>
                      </w:r>
                      <w:r w:rsidR="00585542">
                        <w:fldChar w:fldCharType="separate"/>
                      </w:r>
                      <w:r w:rsidR="00AD2CCE">
                        <w:rPr>
                          <w:noProof/>
                        </w:rPr>
                        <w:t>3</w:t>
                      </w:r>
                      <w:r w:rsidR="00585542">
                        <w:fldChar w:fldCharType="end"/>
                      </w:r>
                      <w:r>
                        <w:t xml:space="preserve"> – increase in number of older people in  each TA (2023-2048)</w:t>
                      </w:r>
                      <w:bookmarkEnd w:id="16"/>
                    </w:p>
                  </w:txbxContent>
                </v:textbox>
                <w10:wrap type="square"/>
              </v:shape>
            </w:pict>
          </mc:Fallback>
        </mc:AlternateContent>
      </w:r>
      <w:r w:rsidR="005C3E1D" w:rsidRPr="001D6F3C">
        <w:rPr>
          <w:rFonts w:ascii="Corbel" w:hAnsi="Corbel"/>
        </w:rPr>
        <w:t>There are differences in how the country will experience population ageing, according to Stats NZ projection</w:t>
      </w:r>
      <w:r w:rsidR="00022CD5" w:rsidRPr="001D6F3C">
        <w:rPr>
          <w:rFonts w:ascii="Corbel" w:hAnsi="Corbel"/>
        </w:rPr>
        <w:t xml:space="preserve">s, which will have implications for where and how MSD provides services for the older population. </w:t>
      </w:r>
      <w:r w:rsidR="00D529E7" w:rsidRPr="001D6F3C">
        <w:rPr>
          <w:rFonts w:ascii="Corbel" w:hAnsi="Corbel"/>
        </w:rPr>
        <w:t xml:space="preserve">For the most part, the areas of highest projected growth are also areas </w:t>
      </w:r>
      <w:r w:rsidR="00B40C95" w:rsidRPr="001D6F3C">
        <w:rPr>
          <w:rFonts w:ascii="Corbel" w:hAnsi="Corbel"/>
        </w:rPr>
        <w:t>where current disadvantage is more prevalent (</w:t>
      </w:r>
      <w:r w:rsidR="0089426A" w:rsidRPr="001D6F3C">
        <w:rPr>
          <w:rFonts w:ascii="Corbel" w:hAnsi="Corbel"/>
        </w:rPr>
        <w:t>e.g.</w:t>
      </w:r>
      <w:r w:rsidR="00B40C95" w:rsidRPr="001D6F3C">
        <w:rPr>
          <w:rFonts w:ascii="Corbel" w:hAnsi="Corbel"/>
        </w:rPr>
        <w:t xml:space="preserve"> see map </w:t>
      </w:r>
      <w:r w:rsidR="0089426A" w:rsidRPr="001D6F3C">
        <w:rPr>
          <w:rFonts w:ascii="Corbel" w:hAnsi="Corbel"/>
        </w:rPr>
        <w:t>i</w:t>
      </w:r>
      <w:r w:rsidR="00B40C95" w:rsidRPr="001D6F3C">
        <w:rPr>
          <w:rFonts w:ascii="Corbel" w:hAnsi="Corbel"/>
        </w:rPr>
        <w:t>n section 2.4)</w:t>
      </w:r>
      <w:r w:rsidR="004C5A0B" w:rsidRPr="001D6F3C">
        <w:rPr>
          <w:rFonts w:ascii="Corbel" w:hAnsi="Corbel"/>
        </w:rPr>
        <w:t>. In many cases these are areas with</w:t>
      </w:r>
      <w:r w:rsidR="004F00D3" w:rsidRPr="001D6F3C">
        <w:rPr>
          <w:rFonts w:ascii="Corbel" w:hAnsi="Corbel"/>
        </w:rPr>
        <w:t xml:space="preserve"> higher overall deprivation and limited access to health and other services.</w:t>
      </w:r>
      <w:r w:rsidR="00534273" w:rsidRPr="001D6F3C">
        <w:rPr>
          <w:rStyle w:val="FootnoteReference"/>
          <w:rFonts w:ascii="Corbel" w:hAnsi="Corbel"/>
        </w:rPr>
        <w:footnoteReference w:id="2"/>
      </w:r>
    </w:p>
    <w:p w14:paraId="72906E96" w14:textId="0A6344CF" w:rsidR="005C3E1D" w:rsidRPr="001D6F3C" w:rsidRDefault="001575E6" w:rsidP="00534273">
      <w:pPr>
        <w:spacing w:after="0" w:line="257" w:lineRule="auto"/>
        <w:jc w:val="both"/>
        <w:rPr>
          <w:rFonts w:ascii="Corbel" w:hAnsi="Corbel"/>
        </w:rPr>
      </w:pPr>
      <w:r w:rsidRPr="001D6F3C">
        <w:rPr>
          <w:rFonts w:ascii="Corbel" w:hAnsi="Corbel"/>
          <w:noProof/>
        </w:rPr>
        <w:drawing>
          <wp:anchor distT="0" distB="0" distL="114300" distR="114300" simplePos="0" relativeHeight="251658240" behindDoc="0" locked="0" layoutInCell="1" allowOverlap="1" wp14:anchorId="0B65DAE4" wp14:editId="3C82716F">
            <wp:simplePos x="0" y="0"/>
            <wp:positionH relativeFrom="margin">
              <wp:align>right</wp:align>
            </wp:positionH>
            <wp:positionV relativeFrom="paragraph">
              <wp:posOffset>255270</wp:posOffset>
            </wp:positionV>
            <wp:extent cx="2552700" cy="2735580"/>
            <wp:effectExtent l="0" t="0" r="0" b="0"/>
            <wp:wrapSquare wrapText="bothSides"/>
            <wp:docPr id="3" name="Picture 2">
              <a:extLst xmlns:a="http://schemas.openxmlformats.org/drawingml/2006/main">
                <a:ext uri="{FF2B5EF4-FFF2-40B4-BE49-F238E27FC236}">
                  <a16:creationId xmlns:a16="http://schemas.microsoft.com/office/drawing/2014/main" id="{9292AB11-EB8A-C8E5-8573-1054E32A3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292AB11-EB8A-C8E5-8573-1054E32A383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2735580"/>
                    </a:xfrm>
                    <a:prstGeom prst="rect">
                      <a:avLst/>
                    </a:prstGeom>
                  </pic:spPr>
                </pic:pic>
              </a:graphicData>
            </a:graphic>
            <wp14:sizeRelH relativeFrom="margin">
              <wp14:pctWidth>0</wp14:pctWidth>
            </wp14:sizeRelH>
            <wp14:sizeRelV relativeFrom="margin">
              <wp14:pctHeight>0</wp14:pctHeight>
            </wp14:sizeRelV>
          </wp:anchor>
        </w:drawing>
      </w:r>
      <w:r w:rsidR="005C3E1D" w:rsidRPr="001D6F3C">
        <w:rPr>
          <w:rFonts w:ascii="Corbel" w:hAnsi="Corbel"/>
        </w:rPr>
        <w:t xml:space="preserve">When planning for increased demand for services the increase in absolute numbers of older people is of primary interest. This is shown on the map </w:t>
      </w:r>
      <w:r w:rsidR="00DA7A5D" w:rsidRPr="001D6F3C">
        <w:rPr>
          <w:rFonts w:ascii="Corbel" w:hAnsi="Corbel"/>
        </w:rPr>
        <w:t>at right (figure 3)</w:t>
      </w:r>
      <w:r w:rsidR="005C3E1D" w:rsidRPr="001D6F3C">
        <w:rPr>
          <w:rFonts w:ascii="Corbel" w:hAnsi="Corbel"/>
        </w:rPr>
        <w:t xml:space="preserve">, which labels those </w:t>
      </w:r>
      <w:r w:rsidR="0089426A" w:rsidRPr="001D6F3C">
        <w:rPr>
          <w:rFonts w:ascii="Corbel" w:hAnsi="Corbel"/>
        </w:rPr>
        <w:t>Territorial Authorities (</w:t>
      </w:r>
      <w:r w:rsidR="005C3E1D" w:rsidRPr="001D6F3C">
        <w:rPr>
          <w:rFonts w:ascii="Corbel" w:hAnsi="Corbel"/>
        </w:rPr>
        <w:t>T</w:t>
      </w:r>
      <w:r w:rsidR="0089426A" w:rsidRPr="001D6F3C">
        <w:rPr>
          <w:rFonts w:ascii="Corbel" w:hAnsi="Corbel"/>
        </w:rPr>
        <w:t>a</w:t>
      </w:r>
      <w:r w:rsidR="005C3E1D" w:rsidRPr="001D6F3C">
        <w:rPr>
          <w:rFonts w:ascii="Corbel" w:hAnsi="Corbel"/>
        </w:rPr>
        <w:t>s</w:t>
      </w:r>
      <w:r w:rsidR="0089426A" w:rsidRPr="001D6F3C">
        <w:rPr>
          <w:rFonts w:ascii="Corbel" w:hAnsi="Corbel"/>
        </w:rPr>
        <w:t>)</w:t>
      </w:r>
      <w:r w:rsidR="005C3E1D" w:rsidRPr="001D6F3C">
        <w:rPr>
          <w:rFonts w:ascii="Corbel" w:hAnsi="Corbel"/>
        </w:rPr>
        <w:t xml:space="preserve"> that are projected to have an increase of more than 15,000 </w:t>
      </w:r>
      <w:r w:rsidR="00DA4C14" w:rsidRPr="001D6F3C">
        <w:rPr>
          <w:rFonts w:ascii="Corbel" w:hAnsi="Corbel"/>
        </w:rPr>
        <w:t xml:space="preserve">older </w:t>
      </w:r>
      <w:r w:rsidR="005C3E1D" w:rsidRPr="001D6F3C">
        <w:rPr>
          <w:rFonts w:ascii="Corbel" w:hAnsi="Corbel"/>
        </w:rPr>
        <w:t>people. Growth in absolute numbers</w:t>
      </w:r>
      <w:r w:rsidR="00B82FA3" w:rsidRPr="001D6F3C">
        <w:rPr>
          <w:rFonts w:ascii="Corbel" w:hAnsi="Corbel"/>
        </w:rPr>
        <w:t xml:space="preserve"> generally reflects where the overall NZ population is </w:t>
      </w:r>
      <w:r w:rsidR="00A00EFD" w:rsidRPr="001D6F3C">
        <w:rPr>
          <w:rFonts w:ascii="Corbel" w:hAnsi="Corbel"/>
        </w:rPr>
        <w:t>concentrated and</w:t>
      </w:r>
      <w:r w:rsidR="00B82FA3" w:rsidRPr="001D6F3C">
        <w:rPr>
          <w:rFonts w:ascii="Corbel" w:hAnsi="Corbel"/>
        </w:rPr>
        <w:t xml:space="preserve"> </w:t>
      </w:r>
      <w:r w:rsidR="005C3E1D" w:rsidRPr="001D6F3C">
        <w:rPr>
          <w:rFonts w:ascii="Corbel" w:hAnsi="Corbel"/>
        </w:rPr>
        <w:t>will mainly be in urban areas. Of the 530,000 additional older people by 2048:</w:t>
      </w:r>
    </w:p>
    <w:p w14:paraId="29EF5772" w14:textId="4015471D" w:rsidR="005C3E1D" w:rsidRPr="001D6F3C" w:rsidRDefault="005C3E1D" w:rsidP="00D404C5">
      <w:pPr>
        <w:numPr>
          <w:ilvl w:val="0"/>
          <w:numId w:val="12"/>
        </w:numPr>
        <w:jc w:val="both"/>
        <w:rPr>
          <w:rFonts w:ascii="Corbel" w:hAnsi="Corbel"/>
        </w:rPr>
      </w:pPr>
      <w:r w:rsidRPr="001D6F3C">
        <w:rPr>
          <w:rFonts w:ascii="Corbel" w:hAnsi="Corbel"/>
        </w:rPr>
        <w:t xml:space="preserve">More than a third (190,000) will be in </w:t>
      </w:r>
      <w:proofErr w:type="gramStart"/>
      <w:r w:rsidRPr="001D6F3C">
        <w:rPr>
          <w:rFonts w:ascii="Corbel" w:hAnsi="Corbel"/>
        </w:rPr>
        <w:t>Auckland</w:t>
      </w:r>
      <w:r w:rsidR="00A00EFD" w:rsidRPr="001D6F3C">
        <w:rPr>
          <w:rFonts w:ascii="Corbel" w:hAnsi="Corbel"/>
        </w:rPr>
        <w:t>;</w:t>
      </w:r>
      <w:proofErr w:type="gramEnd"/>
    </w:p>
    <w:p w14:paraId="5DFA7A11" w14:textId="0E7512C2" w:rsidR="005C3E1D" w:rsidRPr="001D6F3C" w:rsidRDefault="00B31C44" w:rsidP="00D404C5">
      <w:pPr>
        <w:numPr>
          <w:ilvl w:val="0"/>
          <w:numId w:val="12"/>
        </w:numPr>
        <w:jc w:val="both"/>
        <w:rPr>
          <w:rFonts w:ascii="Corbel" w:hAnsi="Corbel"/>
        </w:rPr>
      </w:pPr>
      <w:r w:rsidRPr="001D6F3C">
        <w:rPr>
          <w:noProof/>
        </w:rPr>
        <w:drawing>
          <wp:anchor distT="0" distB="0" distL="114300" distR="114300" simplePos="0" relativeHeight="251658246" behindDoc="0" locked="0" layoutInCell="1" allowOverlap="1" wp14:anchorId="62E395F7" wp14:editId="28BE211D">
            <wp:simplePos x="0" y="0"/>
            <wp:positionH relativeFrom="column">
              <wp:posOffset>3248660</wp:posOffset>
            </wp:positionH>
            <wp:positionV relativeFrom="paragraph">
              <wp:posOffset>621030</wp:posOffset>
            </wp:positionV>
            <wp:extent cx="2312670" cy="247650"/>
            <wp:effectExtent l="0" t="0" r="0" b="0"/>
            <wp:wrapSquare wrapText="bothSides"/>
            <wp:docPr id="1332015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267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E1D" w:rsidRPr="001D6F3C">
        <w:rPr>
          <w:rFonts w:ascii="Corbel" w:hAnsi="Corbel"/>
        </w:rPr>
        <w:t xml:space="preserve">More than half (280,000) will be in regions associated with major urban areas: Auckland, Hamilton, Lower Hutt, Wellington, Christchurch, and </w:t>
      </w:r>
      <w:proofErr w:type="gramStart"/>
      <w:r w:rsidR="005C3E1D" w:rsidRPr="001D6F3C">
        <w:rPr>
          <w:rFonts w:ascii="Corbel" w:hAnsi="Corbel"/>
        </w:rPr>
        <w:t>Dunedin</w:t>
      </w:r>
      <w:r w:rsidR="00A00EFD" w:rsidRPr="001D6F3C">
        <w:rPr>
          <w:rFonts w:ascii="Corbel" w:hAnsi="Corbel"/>
        </w:rPr>
        <w:t>;</w:t>
      </w:r>
      <w:proofErr w:type="gramEnd"/>
    </w:p>
    <w:p w14:paraId="1A5BDE8B" w14:textId="7723F56B" w:rsidR="005C3E1D" w:rsidRPr="001D6F3C" w:rsidRDefault="005C3E1D" w:rsidP="00D404C5">
      <w:pPr>
        <w:numPr>
          <w:ilvl w:val="0"/>
          <w:numId w:val="12"/>
        </w:numPr>
        <w:jc w:val="both"/>
        <w:rPr>
          <w:rFonts w:ascii="Corbel" w:hAnsi="Corbel"/>
        </w:rPr>
      </w:pPr>
      <w:r w:rsidRPr="001D6F3C">
        <w:rPr>
          <w:rFonts w:ascii="Corbel" w:hAnsi="Corbel"/>
        </w:rPr>
        <w:lastRenderedPageBreak/>
        <w:t xml:space="preserve">This increases to two thirds if </w:t>
      </w:r>
      <w:r w:rsidR="00580DC0" w:rsidRPr="001D6F3C">
        <w:rPr>
          <w:rFonts w:ascii="Corbel" w:hAnsi="Corbel"/>
        </w:rPr>
        <w:t>large</w:t>
      </w:r>
      <w:r w:rsidRPr="001D6F3C">
        <w:rPr>
          <w:rFonts w:ascii="Corbel" w:hAnsi="Corbel"/>
        </w:rPr>
        <w:t xml:space="preserve"> urban areas</w:t>
      </w:r>
      <w:r w:rsidR="00DA4C14" w:rsidRPr="001D6F3C">
        <w:rPr>
          <w:rFonts w:ascii="Corbel" w:hAnsi="Corbel"/>
        </w:rPr>
        <w:t xml:space="preserve"> are added</w:t>
      </w:r>
      <w:r w:rsidRPr="001D6F3C">
        <w:rPr>
          <w:rFonts w:ascii="Corbel" w:hAnsi="Corbel"/>
        </w:rPr>
        <w:t>: Whang</w:t>
      </w:r>
      <w:r w:rsidR="00D529E7" w:rsidRPr="001D6F3C">
        <w:rPr>
          <w:rFonts w:ascii="Calibri" w:hAnsi="Calibri" w:cs="Calibri"/>
        </w:rPr>
        <w:t>ā</w:t>
      </w:r>
      <w:r w:rsidRPr="001D6F3C">
        <w:rPr>
          <w:rFonts w:ascii="Corbel" w:hAnsi="Corbel"/>
        </w:rPr>
        <w:t>rei, Rotorua, Gisborne, Hastings, Napier, New Plymouth, Whanganui, Palmerston North, Porirua, Upper Hutt, Nelson</w:t>
      </w:r>
      <w:r w:rsidR="00226741" w:rsidRPr="001D6F3C">
        <w:rPr>
          <w:rFonts w:ascii="Corbel" w:hAnsi="Corbel"/>
        </w:rPr>
        <w:t xml:space="preserve"> and</w:t>
      </w:r>
      <w:r w:rsidRPr="001D6F3C">
        <w:rPr>
          <w:rFonts w:ascii="Corbel" w:hAnsi="Corbel"/>
        </w:rPr>
        <w:t xml:space="preserve"> Invercargill. </w:t>
      </w:r>
    </w:p>
    <w:p w14:paraId="7EE40602" w14:textId="2F04A548" w:rsidR="005C3E1D" w:rsidRPr="001D6F3C" w:rsidRDefault="00A00EFD" w:rsidP="00A60862">
      <w:pPr>
        <w:jc w:val="both"/>
        <w:rPr>
          <w:rFonts w:ascii="Corbel" w:hAnsi="Corbel"/>
        </w:rPr>
      </w:pPr>
      <w:r w:rsidRPr="001D6F3C">
        <w:rPr>
          <w:rFonts w:ascii="Corbel" w:hAnsi="Corbel"/>
          <w:noProof/>
        </w:rPr>
        <mc:AlternateContent>
          <mc:Choice Requires="wps">
            <w:drawing>
              <wp:anchor distT="0" distB="0" distL="114300" distR="114300" simplePos="0" relativeHeight="251658243" behindDoc="0" locked="0" layoutInCell="1" allowOverlap="1" wp14:anchorId="695ACF56" wp14:editId="558596C4">
                <wp:simplePos x="0" y="0"/>
                <wp:positionH relativeFrom="column">
                  <wp:posOffset>2875915</wp:posOffset>
                </wp:positionH>
                <wp:positionV relativeFrom="paragraph">
                  <wp:posOffset>8167</wp:posOffset>
                </wp:positionV>
                <wp:extent cx="2776220" cy="457200"/>
                <wp:effectExtent l="0" t="0" r="5080" b="0"/>
                <wp:wrapSquare wrapText="bothSides"/>
                <wp:docPr id="1045675406" name="Text Box 1"/>
                <wp:cNvGraphicFramePr/>
                <a:graphic xmlns:a="http://schemas.openxmlformats.org/drawingml/2006/main">
                  <a:graphicData uri="http://schemas.microsoft.com/office/word/2010/wordprocessingShape">
                    <wps:wsp>
                      <wps:cNvSpPr txBox="1"/>
                      <wps:spPr>
                        <a:xfrm>
                          <a:off x="0" y="0"/>
                          <a:ext cx="2776220" cy="457200"/>
                        </a:xfrm>
                        <a:prstGeom prst="rect">
                          <a:avLst/>
                        </a:prstGeom>
                        <a:solidFill>
                          <a:prstClr val="white"/>
                        </a:solidFill>
                        <a:ln>
                          <a:noFill/>
                        </a:ln>
                      </wps:spPr>
                      <wps:txbx>
                        <w:txbxContent>
                          <w:p w14:paraId="4D183253" w14:textId="0602B07C" w:rsidR="00DA7A5D" w:rsidRPr="00515678" w:rsidRDefault="00DA7A5D" w:rsidP="00DA7A5D">
                            <w:pPr>
                              <w:pStyle w:val="Caption"/>
                              <w:rPr>
                                <w:noProof/>
                              </w:rPr>
                            </w:pPr>
                            <w:bookmarkStart w:id="17" w:name="_Toc203142264"/>
                            <w:r>
                              <w:t xml:space="preserve">Figure </w:t>
                            </w:r>
                            <w:r w:rsidR="00585542">
                              <w:fldChar w:fldCharType="begin"/>
                            </w:r>
                            <w:r w:rsidR="00585542">
                              <w:instrText xml:space="preserve"> SEQ Figure \* ARABIC </w:instrText>
                            </w:r>
                            <w:r w:rsidR="00585542">
                              <w:fldChar w:fldCharType="separate"/>
                            </w:r>
                            <w:r w:rsidR="00AD2CCE">
                              <w:rPr>
                                <w:noProof/>
                              </w:rPr>
                              <w:t>4</w:t>
                            </w:r>
                            <w:r w:rsidR="00585542">
                              <w:fldChar w:fldCharType="end"/>
                            </w:r>
                            <w:r>
                              <w:t xml:space="preserve"> - Proportion of older people in each TA (2048)</w:t>
                            </w:r>
                            <w:bookmarkEnd w:id="17"/>
                            <w:r w:rsidR="002A0333" w:rsidRPr="002A0333">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5ACF56" id="_x0000_s1028" type="#_x0000_t202" style="position:absolute;left:0;text-align:left;margin-left:226.45pt;margin-top:.65pt;width:218.6pt;height:3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" stroked="f">
                <v:textbox inset="0,0,0,0">
                  <w:txbxContent>
                    <w:p w14:paraId="4D183253" w14:textId="0602B07C" w:rsidR="00DA7A5D" w:rsidRPr="00515678" w:rsidRDefault="00DA7A5D" w:rsidP="00DA7A5D">
                      <w:pPr>
                        <w:pStyle w:val="Caption"/>
                        <w:rPr>
                          <w:noProof/>
                        </w:rPr>
                      </w:pPr>
                      <w:bookmarkStart w:id="18" w:name="_Toc203142264"/>
                      <w:r>
                        <w:t xml:space="preserve">Figure </w:t>
                      </w:r>
                      <w:r w:rsidR="00585542">
                        <w:fldChar w:fldCharType="begin"/>
                      </w:r>
                      <w:r w:rsidR="00585542">
                        <w:instrText xml:space="preserve"> SEQ Figure \* ARABIC </w:instrText>
                      </w:r>
                      <w:r w:rsidR="00585542">
                        <w:fldChar w:fldCharType="separate"/>
                      </w:r>
                      <w:r w:rsidR="00AD2CCE">
                        <w:rPr>
                          <w:noProof/>
                        </w:rPr>
                        <w:t>4</w:t>
                      </w:r>
                      <w:r w:rsidR="00585542">
                        <w:fldChar w:fldCharType="end"/>
                      </w:r>
                      <w:r>
                        <w:t xml:space="preserve"> - Proportion of older people in each TA (2048)</w:t>
                      </w:r>
                      <w:bookmarkEnd w:id="18"/>
                      <w:r w:rsidR="002A0333" w:rsidRPr="002A0333">
                        <w:rPr>
                          <w:noProof/>
                        </w:rPr>
                        <w:t xml:space="preserve"> </w:t>
                      </w:r>
                    </w:p>
                  </w:txbxContent>
                </v:textbox>
                <w10:wrap type="square"/>
              </v:shape>
            </w:pict>
          </mc:Fallback>
        </mc:AlternateContent>
      </w:r>
      <w:r w:rsidR="00D32A28" w:rsidRPr="001D6F3C">
        <w:rPr>
          <w:rFonts w:ascii="Corbel" w:hAnsi="Corbel"/>
          <w:noProof/>
        </w:rPr>
        <w:drawing>
          <wp:anchor distT="0" distB="0" distL="114300" distR="114300" simplePos="0" relativeHeight="251658241" behindDoc="0" locked="0" layoutInCell="1" allowOverlap="1" wp14:anchorId="1507654C" wp14:editId="28E05F95">
            <wp:simplePos x="0" y="0"/>
            <wp:positionH relativeFrom="margin">
              <wp:posOffset>2849245</wp:posOffset>
            </wp:positionH>
            <wp:positionV relativeFrom="paragraph">
              <wp:posOffset>144780</wp:posOffset>
            </wp:positionV>
            <wp:extent cx="3325495" cy="3077845"/>
            <wp:effectExtent l="0" t="0" r="0" b="8255"/>
            <wp:wrapSquare wrapText="bothSides"/>
            <wp:docPr id="6" name="Picture 5">
              <a:extLst xmlns:a="http://schemas.openxmlformats.org/drawingml/2006/main">
                <a:ext uri="{FF2B5EF4-FFF2-40B4-BE49-F238E27FC236}">
                  <a16:creationId xmlns:a16="http://schemas.microsoft.com/office/drawing/2014/main" id="{A81F721E-C83E-7C48-5DEA-0093B63B9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81F721E-C83E-7C48-5DEA-0093B63B989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5495" cy="3077845"/>
                    </a:xfrm>
                    <a:prstGeom prst="rect">
                      <a:avLst/>
                    </a:prstGeom>
                  </pic:spPr>
                </pic:pic>
              </a:graphicData>
            </a:graphic>
            <wp14:sizeRelH relativeFrom="margin">
              <wp14:pctWidth>0</wp14:pctWidth>
            </wp14:sizeRelH>
            <wp14:sizeRelV relativeFrom="margin">
              <wp14:pctHeight>0</wp14:pctHeight>
            </wp14:sizeRelV>
          </wp:anchor>
        </w:drawing>
      </w:r>
      <w:r w:rsidR="005C3E1D" w:rsidRPr="001D6F3C">
        <w:rPr>
          <w:rFonts w:ascii="Corbel" w:hAnsi="Corbel"/>
        </w:rPr>
        <w:t xml:space="preserve">The second map </w:t>
      </w:r>
      <w:r w:rsidR="00DA7A5D" w:rsidRPr="001D6F3C">
        <w:rPr>
          <w:rFonts w:ascii="Corbel" w:hAnsi="Corbel"/>
        </w:rPr>
        <w:t xml:space="preserve">at right </w:t>
      </w:r>
      <w:r w:rsidR="005C3E1D" w:rsidRPr="001D6F3C">
        <w:rPr>
          <w:rFonts w:ascii="Corbel" w:hAnsi="Corbel"/>
        </w:rPr>
        <w:t xml:space="preserve">shows these same geographical areas in a different way – those with a proportion of older people as a percentage of the local population. </w:t>
      </w:r>
    </w:p>
    <w:p w14:paraId="0CC78892" w14:textId="23148EFF" w:rsidR="005C3E1D" w:rsidRPr="001D6F3C" w:rsidRDefault="005C3E1D" w:rsidP="00A60862">
      <w:pPr>
        <w:jc w:val="both"/>
        <w:rPr>
          <w:rFonts w:ascii="Corbel" w:hAnsi="Corbel"/>
        </w:rPr>
      </w:pPr>
      <w:r w:rsidRPr="001D6F3C">
        <w:rPr>
          <w:rFonts w:ascii="Corbel" w:hAnsi="Corbel"/>
        </w:rPr>
        <w:t xml:space="preserve">This gives a different picture - the areas with the highest </w:t>
      </w:r>
      <w:r w:rsidRPr="001D6F3C">
        <w:rPr>
          <w:rFonts w:ascii="Corbel" w:hAnsi="Corbel"/>
          <w:i/>
          <w:iCs/>
        </w:rPr>
        <w:t xml:space="preserve">proportion </w:t>
      </w:r>
      <w:r w:rsidRPr="001D6F3C">
        <w:rPr>
          <w:rFonts w:ascii="Corbel" w:hAnsi="Corbel"/>
        </w:rPr>
        <w:t>of older people will be smaller towns and rural areas</w:t>
      </w:r>
      <w:r w:rsidR="00226741" w:rsidRPr="001D6F3C">
        <w:rPr>
          <w:rFonts w:ascii="Corbel" w:hAnsi="Corbel"/>
        </w:rPr>
        <w:t>.</w:t>
      </w:r>
      <w:r w:rsidRPr="001D6F3C">
        <w:rPr>
          <w:rFonts w:ascii="Corbel" w:hAnsi="Corbel"/>
        </w:rPr>
        <w:t xml:space="preserve"> </w:t>
      </w:r>
      <w:r w:rsidR="00226741" w:rsidRPr="001D6F3C">
        <w:rPr>
          <w:rFonts w:ascii="Corbel" w:hAnsi="Corbel"/>
        </w:rPr>
        <w:t>T</w:t>
      </w:r>
      <w:r w:rsidRPr="001D6F3C">
        <w:rPr>
          <w:rFonts w:ascii="Corbel" w:hAnsi="Corbel"/>
        </w:rPr>
        <w:t xml:space="preserve">hese </w:t>
      </w:r>
      <w:r w:rsidR="00226741" w:rsidRPr="001D6F3C">
        <w:rPr>
          <w:rFonts w:ascii="Corbel" w:hAnsi="Corbel"/>
        </w:rPr>
        <w:t xml:space="preserve">areas </w:t>
      </w:r>
      <w:r w:rsidRPr="001D6F3C">
        <w:rPr>
          <w:rFonts w:ascii="Corbel" w:hAnsi="Corbel"/>
        </w:rPr>
        <w:t>already</w:t>
      </w:r>
      <w:r w:rsidR="00D529E7" w:rsidRPr="001D6F3C">
        <w:rPr>
          <w:rFonts w:ascii="Corbel" w:hAnsi="Corbel"/>
        </w:rPr>
        <w:t xml:space="preserve"> have an</w:t>
      </w:r>
      <w:r w:rsidRPr="001D6F3C">
        <w:rPr>
          <w:rFonts w:ascii="Corbel" w:hAnsi="Corbel"/>
        </w:rPr>
        <w:t xml:space="preserve"> older</w:t>
      </w:r>
      <w:r w:rsidR="00D529E7" w:rsidRPr="001D6F3C">
        <w:rPr>
          <w:rFonts w:ascii="Corbel" w:hAnsi="Corbel"/>
        </w:rPr>
        <w:t xml:space="preserve"> demographic</w:t>
      </w:r>
      <w:r w:rsidRPr="001D6F3C">
        <w:rPr>
          <w:rFonts w:ascii="Corbel" w:hAnsi="Corbel"/>
        </w:rPr>
        <w:t xml:space="preserve"> than cities </w:t>
      </w:r>
      <w:r w:rsidR="00D529E7" w:rsidRPr="001D6F3C">
        <w:rPr>
          <w:rFonts w:ascii="Corbel" w:hAnsi="Corbel"/>
        </w:rPr>
        <w:t>and</w:t>
      </w:r>
      <w:r w:rsidRPr="001D6F3C">
        <w:rPr>
          <w:rFonts w:ascii="Corbel" w:hAnsi="Corbel"/>
        </w:rPr>
        <w:t xml:space="preserve"> will become even more so by 2048. Urban TAs will see their </w:t>
      </w:r>
      <w:r w:rsidR="00AB1722" w:rsidRPr="001D6F3C">
        <w:rPr>
          <w:rFonts w:ascii="Corbel" w:hAnsi="Corbel"/>
        </w:rPr>
        <w:t xml:space="preserve">average </w:t>
      </w:r>
      <w:r w:rsidRPr="001D6F3C">
        <w:rPr>
          <w:rFonts w:ascii="Corbel" w:hAnsi="Corbel"/>
        </w:rPr>
        <w:t xml:space="preserve">share of </w:t>
      </w:r>
      <w:r w:rsidR="6E4DCEB0" w:rsidRPr="001D6F3C">
        <w:rPr>
          <w:rFonts w:ascii="Corbel" w:hAnsi="Corbel"/>
        </w:rPr>
        <w:t xml:space="preserve">people aged </w:t>
      </w:r>
      <w:r w:rsidRPr="001D6F3C">
        <w:rPr>
          <w:rFonts w:ascii="Corbel" w:hAnsi="Corbel"/>
        </w:rPr>
        <w:t xml:space="preserve">65+ increase from 15% to 21%, whereas non-urban TAs will increase from 21% to 28%. </w:t>
      </w:r>
    </w:p>
    <w:p w14:paraId="5DCEF6AB" w14:textId="6A3D32F1" w:rsidR="005C3E1D" w:rsidRPr="001D6F3C" w:rsidRDefault="00D32A28" w:rsidP="00A60862">
      <w:pPr>
        <w:jc w:val="both"/>
        <w:rPr>
          <w:rFonts w:ascii="Corbel" w:hAnsi="Corbel"/>
        </w:rPr>
      </w:pPr>
      <w:r w:rsidRPr="001D6F3C">
        <w:rPr>
          <w:noProof/>
        </w:rPr>
        <w:drawing>
          <wp:anchor distT="0" distB="0" distL="114300" distR="114300" simplePos="0" relativeHeight="251658247" behindDoc="0" locked="0" layoutInCell="1" allowOverlap="1" wp14:anchorId="75D99BFD" wp14:editId="3526F430">
            <wp:simplePos x="0" y="0"/>
            <wp:positionH relativeFrom="column">
              <wp:posOffset>3088640</wp:posOffset>
            </wp:positionH>
            <wp:positionV relativeFrom="paragraph">
              <wp:posOffset>986155</wp:posOffset>
            </wp:positionV>
            <wp:extent cx="2345055" cy="250825"/>
            <wp:effectExtent l="0" t="0" r="0" b="0"/>
            <wp:wrapSquare wrapText="bothSides"/>
            <wp:docPr id="1524638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45055" cy="250825"/>
                    </a:xfrm>
                    <a:prstGeom prst="rect">
                      <a:avLst/>
                    </a:prstGeom>
                    <a:noFill/>
                    <a:ln>
                      <a:noFill/>
                    </a:ln>
                  </pic:spPr>
                </pic:pic>
              </a:graphicData>
            </a:graphic>
          </wp:anchor>
        </w:drawing>
      </w:r>
      <w:r w:rsidR="005C3E1D" w:rsidRPr="001D6F3C">
        <w:rPr>
          <w:rFonts w:ascii="Corbel" w:hAnsi="Corbel"/>
        </w:rPr>
        <w:t>Some areas with a very high proportion of older people already will see their profile age further</w:t>
      </w:r>
      <w:r w:rsidR="00D529E7" w:rsidRPr="001D6F3C">
        <w:rPr>
          <w:rFonts w:ascii="Corbel" w:hAnsi="Corbel"/>
        </w:rPr>
        <w:t>.</w:t>
      </w:r>
      <w:r w:rsidR="005C3E1D" w:rsidRPr="001D6F3C">
        <w:rPr>
          <w:rFonts w:ascii="Corbel" w:hAnsi="Corbel"/>
        </w:rPr>
        <w:t xml:space="preserve"> </w:t>
      </w:r>
      <w:r w:rsidR="00D529E7" w:rsidRPr="001D6F3C">
        <w:rPr>
          <w:rFonts w:ascii="Corbel" w:hAnsi="Corbel"/>
        </w:rPr>
        <w:t>B</w:t>
      </w:r>
      <w:r w:rsidR="005C3E1D" w:rsidRPr="001D6F3C">
        <w:rPr>
          <w:rFonts w:ascii="Corbel" w:hAnsi="Corbel"/>
        </w:rPr>
        <w:t xml:space="preserve">y 2048, the share of </w:t>
      </w:r>
      <w:r w:rsidR="4FEB84AA" w:rsidRPr="001D6F3C">
        <w:rPr>
          <w:rFonts w:ascii="Corbel" w:hAnsi="Corbel"/>
        </w:rPr>
        <w:t xml:space="preserve">people aged </w:t>
      </w:r>
      <w:r w:rsidR="005C3E1D" w:rsidRPr="001D6F3C">
        <w:rPr>
          <w:rFonts w:ascii="Corbel" w:hAnsi="Corbel"/>
        </w:rPr>
        <w:t xml:space="preserve">65+ will increase from 34% to 42% in Thames-Coromandel, 29% to 37% in Buller, 26% to 36% in Hauraki, 25% to 36% in Waiheke, and 27% to 35% in </w:t>
      </w:r>
      <w:r w:rsidR="3B8892C0" w:rsidRPr="001D6F3C">
        <w:rPr>
          <w:rFonts w:ascii="Corbel" w:hAnsi="Corbel"/>
        </w:rPr>
        <w:t>K</w:t>
      </w:r>
      <w:r w:rsidR="0EEFD2A1" w:rsidRPr="001D6F3C">
        <w:rPr>
          <w:rFonts w:ascii="Corbel" w:hAnsi="Corbel"/>
        </w:rPr>
        <w:t>ā</w:t>
      </w:r>
      <w:r w:rsidR="3B8892C0" w:rsidRPr="001D6F3C">
        <w:rPr>
          <w:rFonts w:ascii="Corbel" w:hAnsi="Corbel"/>
        </w:rPr>
        <w:t>piti</w:t>
      </w:r>
      <w:r w:rsidR="005C3E1D" w:rsidRPr="001D6F3C">
        <w:rPr>
          <w:rFonts w:ascii="Corbel" w:hAnsi="Corbel"/>
        </w:rPr>
        <w:t xml:space="preserve"> Coast.</w:t>
      </w:r>
    </w:p>
    <w:p w14:paraId="01097501" w14:textId="49DEDCD5" w:rsidR="005C3E1D" w:rsidRPr="001D6F3C" w:rsidRDefault="32DFD7F0" w:rsidP="5807BB88">
      <w:pPr>
        <w:spacing w:after="0" w:line="257" w:lineRule="auto"/>
        <w:rPr>
          <w:rFonts w:ascii="Corbel" w:hAnsi="Corbel"/>
        </w:rPr>
      </w:pPr>
      <w:r w:rsidRPr="001D6F3C">
        <w:rPr>
          <w:rFonts w:ascii="Corbel" w:hAnsi="Corbel"/>
        </w:rPr>
        <w:t xml:space="preserve">The </w:t>
      </w:r>
      <w:r w:rsidR="007D370E" w:rsidRPr="001D6F3C">
        <w:rPr>
          <w:rFonts w:ascii="Corbel" w:hAnsi="Corbel"/>
        </w:rPr>
        <w:t>final</w:t>
      </w:r>
      <w:r w:rsidRPr="001D6F3C">
        <w:rPr>
          <w:rFonts w:ascii="Corbel" w:hAnsi="Corbel"/>
        </w:rPr>
        <w:t xml:space="preserve"> set of maps and the table show projections </w:t>
      </w:r>
      <w:r w:rsidR="244C97DA" w:rsidRPr="001D6F3C">
        <w:rPr>
          <w:rFonts w:ascii="Corbel" w:hAnsi="Corbel"/>
        </w:rPr>
        <w:t>of</w:t>
      </w:r>
      <w:r w:rsidR="005C3E1D" w:rsidRPr="001D6F3C">
        <w:rPr>
          <w:rFonts w:ascii="Corbel" w:hAnsi="Corbel"/>
        </w:rPr>
        <w:t xml:space="preserve"> older people in 2043 by </w:t>
      </w:r>
      <w:proofErr w:type="gramStart"/>
      <w:r w:rsidR="005C3E1D" w:rsidRPr="001D6F3C">
        <w:rPr>
          <w:rFonts w:ascii="Corbel" w:hAnsi="Corbel"/>
        </w:rPr>
        <w:t>ethnicity, and</w:t>
      </w:r>
      <w:proofErr w:type="gramEnd"/>
      <w:r w:rsidR="005C3E1D" w:rsidRPr="001D6F3C">
        <w:rPr>
          <w:rFonts w:ascii="Corbel" w:hAnsi="Corbel"/>
        </w:rPr>
        <w:t xml:space="preserve"> suggest important differences between ethnic groups in where older people will live</w:t>
      </w:r>
      <w:r w:rsidR="00EB1322" w:rsidRPr="001D6F3C">
        <w:rPr>
          <w:rFonts w:ascii="Corbel" w:hAnsi="Corbel"/>
        </w:rPr>
        <w:t>.</w:t>
      </w:r>
      <w:r w:rsidR="0057411D" w:rsidRPr="001D6F3C">
        <w:rPr>
          <w:rFonts w:ascii="Corbel" w:hAnsi="Corbel"/>
        </w:rPr>
        <w:t xml:space="preserve"> </w:t>
      </w:r>
      <w:r w:rsidR="00EB1322" w:rsidRPr="001D6F3C">
        <w:rPr>
          <w:rFonts w:ascii="Corbel" w:hAnsi="Corbel"/>
        </w:rPr>
        <w:t>T</w:t>
      </w:r>
      <w:r w:rsidR="005C3E1D" w:rsidRPr="001D6F3C">
        <w:rPr>
          <w:rFonts w:ascii="Corbel" w:hAnsi="Corbel"/>
        </w:rPr>
        <w:t xml:space="preserve">his </w:t>
      </w:r>
      <w:r w:rsidR="00712A21" w:rsidRPr="001D6F3C">
        <w:rPr>
          <w:rFonts w:ascii="Corbel" w:hAnsi="Corbel"/>
        </w:rPr>
        <w:t>is</w:t>
      </w:r>
      <w:r w:rsidR="005C3E1D" w:rsidRPr="001D6F3C">
        <w:rPr>
          <w:rFonts w:ascii="Corbel" w:hAnsi="Corbel"/>
        </w:rPr>
        <w:t xml:space="preserve"> broadly </w:t>
      </w:r>
      <w:proofErr w:type="gramStart"/>
      <w:r w:rsidR="005C3E1D" w:rsidRPr="001D6F3C">
        <w:rPr>
          <w:rFonts w:ascii="Corbel" w:hAnsi="Corbel"/>
        </w:rPr>
        <w:t>similar to</w:t>
      </w:r>
      <w:proofErr w:type="gramEnd"/>
      <w:r w:rsidR="005C3E1D" w:rsidRPr="001D6F3C">
        <w:rPr>
          <w:rFonts w:ascii="Corbel" w:hAnsi="Corbel"/>
        </w:rPr>
        <w:t xml:space="preserve"> the</w:t>
      </w:r>
      <w:r w:rsidR="005C3E1D" w:rsidRPr="001D6F3C">
        <w:rPr>
          <w:rFonts w:ascii="Corbel" w:hAnsi="Corbel"/>
          <w:i/>
          <w:iCs/>
        </w:rPr>
        <w:t xml:space="preserve"> current</w:t>
      </w:r>
      <w:r w:rsidR="005C3E1D" w:rsidRPr="001D6F3C">
        <w:rPr>
          <w:rFonts w:ascii="Corbel" w:hAnsi="Corbel"/>
        </w:rPr>
        <w:t xml:space="preserve"> geographic distribution</w:t>
      </w:r>
      <w:r w:rsidR="00F56AB8" w:rsidRPr="001D6F3C">
        <w:rPr>
          <w:rFonts w:ascii="Corbel" w:hAnsi="Corbel"/>
        </w:rPr>
        <w:t xml:space="preserve"> of different ethnic groups</w:t>
      </w:r>
      <w:r w:rsidR="005C3E1D" w:rsidRPr="001D6F3C">
        <w:rPr>
          <w:rFonts w:ascii="Corbel" w:hAnsi="Corbel"/>
        </w:rPr>
        <w:t>. Asian and Pacific older people are projected to continue to be much more highly concentrated in Auckland</w:t>
      </w:r>
      <w:r w:rsidR="00713EC2" w:rsidRPr="001D6F3C">
        <w:rPr>
          <w:rFonts w:ascii="Corbel" w:hAnsi="Corbel"/>
        </w:rPr>
        <w:t>.</w:t>
      </w:r>
      <w:r w:rsidR="005C3E1D" w:rsidRPr="001D6F3C">
        <w:rPr>
          <w:rFonts w:ascii="Corbel" w:hAnsi="Corbel"/>
        </w:rPr>
        <w:t xml:space="preserve"> A greater proportion of Māori will be in parts of the upper North Island outside Auckland. A greater proportion of older Europeans will live in the South Island than for other ethnic groups. </w:t>
      </w:r>
      <w:r w:rsidR="00690192" w:rsidRPr="001D6F3C">
        <w:rPr>
          <w:rFonts w:ascii="Corbel" w:hAnsi="Corbel"/>
        </w:rPr>
        <w:t xml:space="preserve">Given that different ethnic groups will have different needs and aspirations, this can inform </w:t>
      </w:r>
      <w:r w:rsidR="004D47B1" w:rsidRPr="001D6F3C">
        <w:rPr>
          <w:rFonts w:ascii="Corbel" w:hAnsi="Corbel"/>
        </w:rPr>
        <w:t>the provision of culturally appropriate services and supports.</w:t>
      </w:r>
    </w:p>
    <w:p w14:paraId="4671A70C" w14:textId="7948E271" w:rsidR="00B43BE7" w:rsidRPr="001D6F3C" w:rsidRDefault="00B43BE7" w:rsidP="5807BB88">
      <w:pPr>
        <w:spacing w:after="0" w:line="257" w:lineRule="auto"/>
        <w:rPr>
          <w:rFonts w:ascii="Corbel" w:hAnsi="Corbel"/>
        </w:rPr>
      </w:pPr>
    </w:p>
    <w:tbl>
      <w:tblPr>
        <w:tblStyle w:val="TableGrid"/>
        <w:tblW w:w="9214" w:type="dxa"/>
        <w:tblInd w:w="-5" w:type="dxa"/>
        <w:tblLook w:val="04A0" w:firstRow="1" w:lastRow="0" w:firstColumn="1" w:lastColumn="0" w:noHBand="0" w:noVBand="1"/>
      </w:tblPr>
      <w:tblGrid>
        <w:gridCol w:w="9214"/>
      </w:tblGrid>
      <w:tr w:rsidR="00D32A28" w:rsidRPr="001D6F3C" w14:paraId="116832E8" w14:textId="77777777" w:rsidTr="00C53022">
        <w:tc>
          <w:tcPr>
            <w:tcW w:w="9214" w:type="dxa"/>
            <w:shd w:val="clear" w:color="auto" w:fill="EAF1DD" w:themeFill="accent3" w:themeFillTint="33"/>
          </w:tcPr>
          <w:p w14:paraId="6E29A5C3" w14:textId="77777777" w:rsidR="00D32A28" w:rsidRPr="001D6F3C" w:rsidRDefault="00D32A28" w:rsidP="009A2088">
            <w:pPr>
              <w:pStyle w:val="Heading4"/>
              <w:jc w:val="both"/>
              <w:rPr>
                <w:rFonts w:ascii="Corbel" w:hAnsi="Corbel"/>
                <w:b/>
                <w:bCs/>
                <w:color w:val="000000" w:themeColor="text1"/>
              </w:rPr>
            </w:pPr>
            <w:r w:rsidRPr="001D6F3C">
              <w:rPr>
                <w:rFonts w:ascii="Corbel" w:hAnsi="Corbel"/>
                <w:b/>
                <w:bCs/>
                <w:color w:val="000000" w:themeColor="text1"/>
              </w:rPr>
              <w:lastRenderedPageBreak/>
              <w:t xml:space="preserve">Ageing in place </w:t>
            </w:r>
          </w:p>
          <w:p w14:paraId="4EC908EC" w14:textId="0EE99258" w:rsidR="00D32A28" w:rsidRPr="001D6F3C" w:rsidRDefault="00D32A28" w:rsidP="009A2088">
            <w:pPr>
              <w:spacing w:after="120" w:line="257" w:lineRule="auto"/>
              <w:rPr>
                <w:rFonts w:ascii="Corbel" w:hAnsi="Corbel"/>
                <w:sz w:val="20"/>
                <w:szCs w:val="20"/>
              </w:rPr>
            </w:pPr>
            <w:r w:rsidRPr="001D6F3C">
              <w:rPr>
                <w:rFonts w:ascii="Corbel" w:eastAsia="Corbel" w:hAnsi="Corbel" w:cs="Corbel"/>
                <w:sz w:val="20"/>
                <w:szCs w:val="20"/>
              </w:rPr>
              <w:t xml:space="preserve">Many Government strategies and policies are based on the principle of ‘ageing in place’ for older people, </w:t>
            </w:r>
            <w:r w:rsidRPr="001D6F3C">
              <w:rPr>
                <w:rFonts w:ascii="Corbel" w:hAnsi="Corbel"/>
                <w:sz w:val="20"/>
                <w:szCs w:val="20"/>
              </w:rPr>
              <w:t xml:space="preserve">as this enables older people to feel safe and secure in their choice of </w:t>
            </w:r>
            <w:proofErr w:type="gramStart"/>
            <w:r w:rsidRPr="001D6F3C">
              <w:rPr>
                <w:rFonts w:ascii="Corbel" w:hAnsi="Corbel"/>
                <w:sz w:val="20"/>
                <w:szCs w:val="20"/>
              </w:rPr>
              <w:t>home, and</w:t>
            </w:r>
            <w:proofErr w:type="gramEnd"/>
            <w:r w:rsidRPr="001D6F3C">
              <w:rPr>
                <w:rFonts w:ascii="Corbel" w:hAnsi="Corbel"/>
                <w:sz w:val="20"/>
                <w:szCs w:val="20"/>
              </w:rPr>
              <w:t xml:space="preserve"> also reduces the need to enter more costly residential care. </w:t>
            </w:r>
            <w:r w:rsidR="003B4894" w:rsidRPr="001D6F3C">
              <w:rPr>
                <w:rFonts w:ascii="Corbel" w:hAnsi="Corbel"/>
                <w:sz w:val="20"/>
                <w:szCs w:val="20"/>
              </w:rPr>
              <w:t>It is also in line with the expressed preference</w:t>
            </w:r>
            <w:r w:rsidR="00641F4A" w:rsidRPr="001D6F3C">
              <w:rPr>
                <w:rFonts w:ascii="Corbel" w:hAnsi="Corbel"/>
                <w:sz w:val="20"/>
                <w:szCs w:val="20"/>
              </w:rPr>
              <w:t xml:space="preserve"> of the overwhelming majority of New Zealanders of all ages. </w:t>
            </w:r>
            <w:r w:rsidRPr="001D6F3C">
              <w:rPr>
                <w:rFonts w:ascii="Corbel" w:eastAsia="Corbel" w:hAnsi="Corbel" w:cs="Corbel"/>
                <w:sz w:val="20"/>
                <w:szCs w:val="20"/>
              </w:rPr>
              <w:t>Adequate service provision, accessibility, safety, and affordability are all factors that impact whether older people can age in the right place for them.</w:t>
            </w:r>
            <w:r w:rsidRPr="001D6F3C">
              <w:rPr>
                <w:rFonts w:ascii="Corbel" w:hAnsi="Corbel"/>
                <w:sz w:val="20"/>
                <w:szCs w:val="20"/>
              </w:rPr>
              <w:t xml:space="preserve"> In rural areas, ageing in place depends on community support and access to services, which can be challenging due to limited healthcare and longer travel times. This can exacerbate age-related difficulties such as </w:t>
            </w:r>
            <w:r w:rsidRPr="001D6F3C">
              <w:rPr>
                <w:rFonts w:ascii="Corbel" w:eastAsia="Corbel" w:hAnsi="Corbel" w:cs="Corbel"/>
                <w:sz w:val="20"/>
                <w:szCs w:val="20"/>
              </w:rPr>
              <w:t>isolation, loneliness, transportation and limited mobility.</w:t>
            </w:r>
            <w:r w:rsidRPr="001D6F3C">
              <w:rPr>
                <w:rFonts w:ascii="Corbel" w:hAnsi="Corbel"/>
                <w:sz w:val="20"/>
                <w:szCs w:val="20"/>
              </w:rPr>
              <w:t xml:space="preserve"> Urban areas face different challenges, such as providing adequate housing, transport, and healthcare. Ensuring connected neighbourhoods with accessible amenities, </w:t>
            </w:r>
            <w:r w:rsidRPr="001D6F3C">
              <w:rPr>
                <w:rFonts w:ascii="Corbel" w:eastAsia="Corbel" w:hAnsi="Corbel" w:cs="Corbel"/>
                <w:sz w:val="20"/>
                <w:szCs w:val="20"/>
              </w:rPr>
              <w:t xml:space="preserve">and streets that people with mobility, sensory and cognitive issues can navigate independently and safely, </w:t>
            </w:r>
            <w:r w:rsidRPr="001D6F3C">
              <w:rPr>
                <w:rFonts w:ascii="Corbel" w:hAnsi="Corbel"/>
                <w:sz w:val="20"/>
                <w:szCs w:val="20"/>
              </w:rPr>
              <w:t>is key to supporting older adults in cities.</w:t>
            </w:r>
          </w:p>
        </w:tc>
      </w:tr>
    </w:tbl>
    <w:p w14:paraId="6575BAB5" w14:textId="77777777" w:rsidR="00D32A28" w:rsidRPr="001D6F3C" w:rsidRDefault="00D32A28" w:rsidP="00D32A28">
      <w:pPr>
        <w:pStyle w:val="Heading4"/>
        <w:jc w:val="both"/>
        <w:rPr>
          <w:rFonts w:ascii="Corbel" w:hAnsi="Corbel"/>
        </w:rPr>
      </w:pPr>
    </w:p>
    <w:p w14:paraId="70889615" w14:textId="77777777" w:rsidR="00D32A28" w:rsidRPr="001D6F3C" w:rsidRDefault="00D32A28" w:rsidP="00D32A28">
      <w:pPr>
        <w:pStyle w:val="Heading4"/>
        <w:jc w:val="both"/>
        <w:rPr>
          <w:rFonts w:ascii="Corbel" w:hAnsi="Corbel"/>
        </w:rPr>
      </w:pPr>
    </w:p>
    <w:p w14:paraId="10CE8B01" w14:textId="77777777" w:rsidR="00D32A28" w:rsidRPr="001D6F3C" w:rsidRDefault="00D32A28" w:rsidP="5807BB88">
      <w:pPr>
        <w:spacing w:after="0" w:line="257" w:lineRule="auto"/>
        <w:rPr>
          <w:rFonts w:ascii="Corbel" w:hAnsi="Corbel"/>
        </w:rPr>
      </w:pPr>
    </w:p>
    <w:tbl>
      <w:tblPr>
        <w:tblStyle w:val="TableGrid"/>
        <w:tblW w:w="9639" w:type="dxa"/>
        <w:tblLook w:val="04A0" w:firstRow="1" w:lastRow="0" w:firstColumn="1" w:lastColumn="0" w:noHBand="0" w:noVBand="1"/>
      </w:tblPr>
      <w:tblGrid>
        <w:gridCol w:w="4820"/>
        <w:gridCol w:w="4819"/>
      </w:tblGrid>
      <w:tr w:rsidR="00BF148A" w:rsidRPr="001D6F3C" w14:paraId="7BB5C079" w14:textId="77777777" w:rsidTr="0067684E">
        <w:tc>
          <w:tcPr>
            <w:tcW w:w="4820" w:type="dxa"/>
            <w:tcBorders>
              <w:top w:val="nil"/>
              <w:left w:val="nil"/>
              <w:bottom w:val="nil"/>
              <w:right w:val="nil"/>
            </w:tcBorders>
          </w:tcPr>
          <w:p w14:paraId="5B2D28B3" w14:textId="57AA2C35" w:rsidR="00DA7A5D" w:rsidRPr="001D6F3C" w:rsidRDefault="00DA7A5D" w:rsidP="00A60862">
            <w:pPr>
              <w:pStyle w:val="Caption"/>
              <w:keepNext/>
              <w:jc w:val="both"/>
              <w:rPr>
                <w:rFonts w:ascii="Corbel" w:hAnsi="Corbel"/>
              </w:rPr>
            </w:pPr>
            <w:bookmarkStart w:id="19" w:name="_Toc203142265"/>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5</w:t>
            </w:r>
            <w:r w:rsidR="00585542" w:rsidRPr="001D6F3C">
              <w:rPr>
                <w:rFonts w:ascii="Corbel" w:hAnsi="Corbel"/>
              </w:rPr>
              <w:fldChar w:fldCharType="end"/>
            </w:r>
            <w:r w:rsidRPr="001D6F3C">
              <w:rPr>
                <w:rFonts w:ascii="Corbel" w:hAnsi="Corbel"/>
              </w:rPr>
              <w:t xml:space="preserve"> – Projected Geographical distribution of Māori </w:t>
            </w:r>
            <w:r w:rsidR="00623C21" w:rsidRPr="001D6F3C">
              <w:rPr>
                <w:rFonts w:ascii="Corbel" w:hAnsi="Corbel"/>
              </w:rPr>
              <w:t xml:space="preserve">older people </w:t>
            </w:r>
            <w:r w:rsidRPr="001D6F3C">
              <w:rPr>
                <w:rFonts w:ascii="Corbel" w:hAnsi="Corbel"/>
              </w:rPr>
              <w:t>(65+) in 2048</w:t>
            </w:r>
            <w:bookmarkEnd w:id="19"/>
          </w:p>
          <w:p w14:paraId="0398DAAB" w14:textId="27A5D706" w:rsidR="001C221F" w:rsidRPr="001D6F3C" w:rsidRDefault="00DA7A5D" w:rsidP="002C41ED">
            <w:pPr>
              <w:jc w:val="center"/>
              <w:rPr>
                <w:rFonts w:ascii="Corbel" w:hAnsi="Corbel"/>
              </w:rPr>
            </w:pPr>
            <w:r w:rsidRPr="001D6F3C">
              <w:rPr>
                <w:rFonts w:ascii="Corbel" w:hAnsi="Corbel"/>
                <w:noProof/>
              </w:rPr>
              <w:drawing>
                <wp:inline distT="0" distB="0" distL="0" distR="0" wp14:anchorId="330AC182" wp14:editId="347BA4A7">
                  <wp:extent cx="1839998" cy="2543175"/>
                  <wp:effectExtent l="0" t="0" r="8255" b="0"/>
                  <wp:docPr id="9" name="Picture 8">
                    <a:extLst xmlns:a="http://schemas.openxmlformats.org/drawingml/2006/main">
                      <a:ext uri="{FF2B5EF4-FFF2-40B4-BE49-F238E27FC236}">
                        <a16:creationId xmlns:a16="http://schemas.microsoft.com/office/drawing/2014/main" id="{CB81D8DF-4F2A-477C-338C-77E193186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B81D8DF-4F2A-477C-338C-77E193186686}"/>
                              </a:ext>
                            </a:extLst>
                          </pic:cNvPr>
                          <pic:cNvPicPr>
                            <a:picLocks noChangeAspect="1"/>
                          </pic:cNvPicPr>
                        </pic:nvPicPr>
                        <pic:blipFill rotWithShape="1">
                          <a:blip r:embed="rId27"/>
                          <a:srcRect l="2966" t="3407" r="4780" b="5080"/>
                          <a:stretch/>
                        </pic:blipFill>
                        <pic:spPr>
                          <a:xfrm>
                            <a:off x="0" y="0"/>
                            <a:ext cx="1877490" cy="2594995"/>
                          </a:xfrm>
                          <a:prstGeom prst="rect">
                            <a:avLst/>
                          </a:prstGeom>
                        </pic:spPr>
                      </pic:pic>
                    </a:graphicData>
                  </a:graphic>
                </wp:inline>
              </w:drawing>
            </w:r>
            <w:r w:rsidR="0028317B" w:rsidRPr="001D6F3C">
              <w:rPr>
                <w:noProof/>
              </w:rPr>
              <w:drawing>
                <wp:inline distT="0" distB="0" distL="0" distR="0" wp14:anchorId="03ACA952" wp14:editId="2AA0A15B">
                  <wp:extent cx="2400300" cy="257918"/>
                  <wp:effectExtent l="0" t="0" r="0" b="8890"/>
                  <wp:docPr id="1860263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038" cy="262940"/>
                          </a:xfrm>
                          <a:prstGeom prst="rect">
                            <a:avLst/>
                          </a:prstGeom>
                          <a:noFill/>
                          <a:ln>
                            <a:noFill/>
                          </a:ln>
                        </pic:spPr>
                      </pic:pic>
                    </a:graphicData>
                  </a:graphic>
                </wp:inline>
              </w:drawing>
            </w:r>
          </w:p>
        </w:tc>
        <w:tc>
          <w:tcPr>
            <w:tcW w:w="4819" w:type="dxa"/>
            <w:tcBorders>
              <w:top w:val="nil"/>
              <w:left w:val="nil"/>
              <w:bottom w:val="nil"/>
              <w:right w:val="nil"/>
            </w:tcBorders>
          </w:tcPr>
          <w:p w14:paraId="16E4894D" w14:textId="11FCCC83" w:rsidR="00DA7A5D" w:rsidRPr="001D6F3C" w:rsidRDefault="00DA7A5D" w:rsidP="00A60862">
            <w:pPr>
              <w:pStyle w:val="Caption"/>
              <w:keepNext/>
              <w:jc w:val="both"/>
              <w:rPr>
                <w:rFonts w:ascii="Corbel" w:hAnsi="Corbel"/>
              </w:rPr>
            </w:pPr>
            <w:bookmarkStart w:id="20" w:name="_Toc203142266"/>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6</w:t>
            </w:r>
            <w:r w:rsidR="00585542" w:rsidRPr="001D6F3C">
              <w:rPr>
                <w:rFonts w:ascii="Corbel" w:hAnsi="Corbel"/>
              </w:rPr>
              <w:fldChar w:fldCharType="end"/>
            </w:r>
            <w:r w:rsidRPr="001D6F3C">
              <w:rPr>
                <w:rFonts w:ascii="Corbel" w:hAnsi="Corbel"/>
              </w:rPr>
              <w:t xml:space="preserve"> - Projected Geographical distribution of European</w:t>
            </w:r>
            <w:r w:rsidR="00623C21" w:rsidRPr="001D6F3C">
              <w:rPr>
                <w:rFonts w:ascii="Corbel" w:hAnsi="Corbel"/>
              </w:rPr>
              <w:t xml:space="preserve"> older people </w:t>
            </w:r>
            <w:r w:rsidRPr="001D6F3C">
              <w:rPr>
                <w:rFonts w:ascii="Corbel" w:hAnsi="Corbel"/>
              </w:rPr>
              <w:t>(65+) in 2048</w:t>
            </w:r>
            <w:bookmarkEnd w:id="20"/>
          </w:p>
          <w:p w14:paraId="1A098EBE" w14:textId="22106B7E" w:rsidR="009531F3" w:rsidRPr="001D6F3C" w:rsidRDefault="00DA7A5D" w:rsidP="002C41ED">
            <w:pPr>
              <w:jc w:val="center"/>
              <w:rPr>
                <w:rFonts w:ascii="Corbel" w:hAnsi="Corbel"/>
              </w:rPr>
            </w:pPr>
            <w:r w:rsidRPr="001D6F3C">
              <w:rPr>
                <w:rFonts w:ascii="Corbel" w:hAnsi="Corbel"/>
                <w:noProof/>
              </w:rPr>
              <w:drawing>
                <wp:inline distT="0" distB="0" distL="0" distR="0" wp14:anchorId="47570547" wp14:editId="368972CC">
                  <wp:extent cx="1822728" cy="2514600"/>
                  <wp:effectExtent l="0" t="0" r="0" b="0"/>
                  <wp:docPr id="1021" name="Picture 1020">
                    <a:extLst xmlns:a="http://schemas.openxmlformats.org/drawingml/2006/main">
                      <a:ext uri="{FF2B5EF4-FFF2-40B4-BE49-F238E27FC236}">
                        <a16:creationId xmlns:a16="http://schemas.microsoft.com/office/drawing/2014/main" id="{F0AAB584-8035-EDA6-5027-23ADCFE92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1020">
                            <a:extLst>
                              <a:ext uri="{FF2B5EF4-FFF2-40B4-BE49-F238E27FC236}">
                                <a16:creationId xmlns:a16="http://schemas.microsoft.com/office/drawing/2014/main" id="{F0AAB584-8035-EDA6-5027-23ADCFE928AB}"/>
                              </a:ext>
                            </a:extLst>
                          </pic:cNvPr>
                          <pic:cNvPicPr>
                            <a:picLocks noChangeAspect="1"/>
                          </pic:cNvPicPr>
                        </pic:nvPicPr>
                        <pic:blipFill rotWithShape="1">
                          <a:blip r:embed="rId29"/>
                          <a:srcRect l="3009" t="5306" r="4565" b="3181"/>
                          <a:stretch/>
                        </pic:blipFill>
                        <pic:spPr>
                          <a:xfrm>
                            <a:off x="0" y="0"/>
                            <a:ext cx="1853049" cy="2556430"/>
                          </a:xfrm>
                          <a:prstGeom prst="rect">
                            <a:avLst/>
                          </a:prstGeom>
                        </pic:spPr>
                      </pic:pic>
                    </a:graphicData>
                  </a:graphic>
                </wp:inline>
              </w:drawing>
            </w:r>
            <w:r w:rsidR="009531F3" w:rsidRPr="001D6F3C">
              <w:rPr>
                <w:rFonts w:ascii="Corbel" w:hAnsi="Corbel"/>
                <w:noProof/>
              </w:rPr>
              <w:drawing>
                <wp:inline distT="0" distB="0" distL="0" distR="0" wp14:anchorId="21FFC2E9" wp14:editId="2DAA1E83">
                  <wp:extent cx="2126392" cy="228600"/>
                  <wp:effectExtent l="0" t="0" r="7620" b="0"/>
                  <wp:docPr id="16413127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193" cy="237717"/>
                          </a:xfrm>
                          <a:prstGeom prst="rect">
                            <a:avLst/>
                          </a:prstGeom>
                          <a:noFill/>
                        </pic:spPr>
                      </pic:pic>
                    </a:graphicData>
                  </a:graphic>
                </wp:inline>
              </w:drawing>
            </w:r>
          </w:p>
        </w:tc>
      </w:tr>
      <w:tr w:rsidR="00BF148A" w:rsidRPr="001D6F3C" w14:paraId="3724727F" w14:textId="77777777" w:rsidTr="0067684E">
        <w:tc>
          <w:tcPr>
            <w:tcW w:w="4820" w:type="dxa"/>
            <w:tcBorders>
              <w:top w:val="nil"/>
              <w:left w:val="nil"/>
              <w:bottom w:val="nil"/>
              <w:right w:val="nil"/>
            </w:tcBorders>
          </w:tcPr>
          <w:p w14:paraId="74FC46BC" w14:textId="3C049613" w:rsidR="00DA7A5D" w:rsidRPr="001D6F3C" w:rsidRDefault="00DA7A5D" w:rsidP="00A60862">
            <w:pPr>
              <w:pStyle w:val="Caption"/>
              <w:keepNext/>
              <w:jc w:val="both"/>
              <w:rPr>
                <w:rFonts w:ascii="Corbel" w:hAnsi="Corbel"/>
              </w:rPr>
            </w:pPr>
            <w:bookmarkStart w:id="21" w:name="_Toc203142267"/>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7</w:t>
            </w:r>
            <w:r w:rsidR="00585542" w:rsidRPr="001D6F3C">
              <w:rPr>
                <w:rFonts w:ascii="Corbel" w:hAnsi="Corbel"/>
              </w:rPr>
              <w:fldChar w:fldCharType="end"/>
            </w:r>
            <w:r w:rsidRPr="001D6F3C">
              <w:rPr>
                <w:rFonts w:ascii="Corbel" w:hAnsi="Corbel"/>
              </w:rPr>
              <w:t xml:space="preserve"> - </w:t>
            </w:r>
            <w:r w:rsidR="00623C21" w:rsidRPr="001D6F3C">
              <w:rPr>
                <w:rFonts w:ascii="Corbel" w:hAnsi="Corbel"/>
              </w:rPr>
              <w:t>Projected Geographical distribution of Asian older people (65+) in 2048</w:t>
            </w:r>
            <w:bookmarkEnd w:id="21"/>
          </w:p>
          <w:p w14:paraId="06A5DDAB" w14:textId="3BBD141C" w:rsidR="00270783" w:rsidRPr="001D6F3C" w:rsidRDefault="00DA7A5D" w:rsidP="002C41ED">
            <w:pPr>
              <w:jc w:val="center"/>
              <w:rPr>
                <w:rFonts w:ascii="Corbel" w:hAnsi="Corbel"/>
              </w:rPr>
            </w:pPr>
            <w:r w:rsidRPr="001D6F3C">
              <w:rPr>
                <w:rFonts w:ascii="Corbel" w:hAnsi="Corbel"/>
                <w:noProof/>
              </w:rPr>
              <w:drawing>
                <wp:inline distT="0" distB="0" distL="0" distR="0" wp14:anchorId="5D84AF88" wp14:editId="42DF3E7C">
                  <wp:extent cx="1854254" cy="2552700"/>
                  <wp:effectExtent l="0" t="0" r="0" b="0"/>
                  <wp:docPr id="2670" name="Picture 2669">
                    <a:extLst xmlns:a="http://schemas.openxmlformats.org/drawingml/2006/main">
                      <a:ext uri="{FF2B5EF4-FFF2-40B4-BE49-F238E27FC236}">
                        <a16:creationId xmlns:a16="http://schemas.microsoft.com/office/drawing/2014/main" id="{66CD49A4-F5A2-504F-2479-CD14812E0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 name="Picture 2669">
                            <a:extLst>
                              <a:ext uri="{FF2B5EF4-FFF2-40B4-BE49-F238E27FC236}">
                                <a16:creationId xmlns:a16="http://schemas.microsoft.com/office/drawing/2014/main" id="{66CD49A4-F5A2-504F-2479-CD14812E0D05}"/>
                              </a:ext>
                            </a:extLst>
                          </pic:cNvPr>
                          <pic:cNvPicPr>
                            <a:picLocks noChangeAspect="1"/>
                          </pic:cNvPicPr>
                        </pic:nvPicPr>
                        <pic:blipFill rotWithShape="1">
                          <a:blip r:embed="rId31"/>
                          <a:srcRect l="2809" t="2119" r="6589" b="3835"/>
                          <a:stretch/>
                        </pic:blipFill>
                        <pic:spPr>
                          <a:xfrm>
                            <a:off x="0" y="0"/>
                            <a:ext cx="1885143" cy="2595224"/>
                          </a:xfrm>
                          <a:prstGeom prst="rect">
                            <a:avLst/>
                          </a:prstGeom>
                        </pic:spPr>
                      </pic:pic>
                    </a:graphicData>
                  </a:graphic>
                </wp:inline>
              </w:drawing>
            </w:r>
            <w:r w:rsidR="00270783" w:rsidRPr="001D6F3C">
              <w:rPr>
                <w:noProof/>
              </w:rPr>
              <w:drawing>
                <wp:inline distT="0" distB="0" distL="0" distR="0" wp14:anchorId="7F68F8CD" wp14:editId="791DBB8B">
                  <wp:extent cx="2167594" cy="232913"/>
                  <wp:effectExtent l="0" t="0" r="4445" b="0"/>
                  <wp:docPr id="1626712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4440" cy="233649"/>
                          </a:xfrm>
                          <a:prstGeom prst="rect">
                            <a:avLst/>
                          </a:prstGeom>
                          <a:noFill/>
                          <a:ln>
                            <a:noFill/>
                          </a:ln>
                        </pic:spPr>
                      </pic:pic>
                    </a:graphicData>
                  </a:graphic>
                </wp:inline>
              </w:drawing>
            </w:r>
          </w:p>
        </w:tc>
        <w:tc>
          <w:tcPr>
            <w:tcW w:w="4819" w:type="dxa"/>
            <w:tcBorders>
              <w:top w:val="nil"/>
              <w:left w:val="nil"/>
              <w:bottom w:val="nil"/>
              <w:right w:val="nil"/>
            </w:tcBorders>
          </w:tcPr>
          <w:p w14:paraId="0D1092BE" w14:textId="12C1E0F4" w:rsidR="00623C21" w:rsidRPr="001D6F3C" w:rsidRDefault="00DA7A5D" w:rsidP="00A60862">
            <w:pPr>
              <w:pStyle w:val="Caption"/>
              <w:keepNext/>
              <w:jc w:val="both"/>
              <w:rPr>
                <w:rFonts w:ascii="Corbel" w:hAnsi="Corbel"/>
              </w:rPr>
            </w:pPr>
            <w:bookmarkStart w:id="22" w:name="_Toc203142268"/>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8</w:t>
            </w:r>
            <w:r w:rsidR="00585542" w:rsidRPr="001D6F3C">
              <w:rPr>
                <w:rFonts w:ascii="Corbel" w:hAnsi="Corbel"/>
              </w:rPr>
              <w:fldChar w:fldCharType="end"/>
            </w:r>
            <w:r w:rsidRPr="001D6F3C">
              <w:rPr>
                <w:rFonts w:ascii="Corbel" w:hAnsi="Corbel"/>
              </w:rPr>
              <w:t xml:space="preserve"> - </w:t>
            </w:r>
            <w:r w:rsidR="00623C21" w:rsidRPr="001D6F3C">
              <w:rPr>
                <w:rFonts w:ascii="Corbel" w:hAnsi="Corbel"/>
              </w:rPr>
              <w:t>Projected Geographical distribution of Pacific older people (65+) in 2048</w:t>
            </w:r>
            <w:bookmarkEnd w:id="22"/>
          </w:p>
          <w:p w14:paraId="24359867" w14:textId="77B38D7F" w:rsidR="00DA7A5D" w:rsidRPr="001D6F3C" w:rsidRDefault="00DA7A5D" w:rsidP="002C41ED">
            <w:pPr>
              <w:jc w:val="center"/>
              <w:rPr>
                <w:rFonts w:ascii="Corbel" w:hAnsi="Corbel"/>
              </w:rPr>
            </w:pPr>
            <w:r w:rsidRPr="001D6F3C">
              <w:rPr>
                <w:rFonts w:ascii="Corbel" w:hAnsi="Corbel"/>
                <w:noProof/>
              </w:rPr>
              <w:drawing>
                <wp:inline distT="0" distB="0" distL="0" distR="0" wp14:anchorId="61BA6304" wp14:editId="3F5F5E25">
                  <wp:extent cx="1739685" cy="2486025"/>
                  <wp:effectExtent l="0" t="0" r="0" b="0"/>
                  <wp:docPr id="7" name="Picture 6">
                    <a:extLst xmlns:a="http://schemas.openxmlformats.org/drawingml/2006/main">
                      <a:ext uri="{FF2B5EF4-FFF2-40B4-BE49-F238E27FC236}">
                        <a16:creationId xmlns:a16="http://schemas.microsoft.com/office/drawing/2014/main" id="{4CBD2C55-E8D5-E709-9B5C-C8021AF03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BD2C55-E8D5-E709-9B5C-C8021AF03FFC}"/>
                              </a:ext>
                            </a:extLst>
                          </pic:cNvPr>
                          <pic:cNvPicPr>
                            <a:picLocks noChangeAspect="1"/>
                          </pic:cNvPicPr>
                        </pic:nvPicPr>
                        <pic:blipFill rotWithShape="1">
                          <a:blip r:embed="rId33"/>
                          <a:srcRect l="3142" t="4128" r="5396" b="3427"/>
                          <a:stretch/>
                        </pic:blipFill>
                        <pic:spPr>
                          <a:xfrm>
                            <a:off x="0" y="0"/>
                            <a:ext cx="1753252" cy="2505413"/>
                          </a:xfrm>
                          <a:prstGeom prst="rect">
                            <a:avLst/>
                          </a:prstGeom>
                        </pic:spPr>
                      </pic:pic>
                    </a:graphicData>
                  </a:graphic>
                </wp:inline>
              </w:drawing>
            </w:r>
            <w:r w:rsidR="003938AA" w:rsidRPr="001D6F3C">
              <w:rPr>
                <w:noProof/>
              </w:rPr>
              <w:drawing>
                <wp:inline distT="0" distB="0" distL="0" distR="0" wp14:anchorId="3E483B0C" wp14:editId="2F088F39">
                  <wp:extent cx="2409825" cy="258941"/>
                  <wp:effectExtent l="0" t="0" r="0" b="8255"/>
                  <wp:docPr id="1493304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9014" cy="272823"/>
                          </a:xfrm>
                          <a:prstGeom prst="rect">
                            <a:avLst/>
                          </a:prstGeom>
                          <a:noFill/>
                          <a:ln>
                            <a:noFill/>
                          </a:ln>
                        </pic:spPr>
                      </pic:pic>
                    </a:graphicData>
                  </a:graphic>
                </wp:inline>
              </w:drawing>
            </w:r>
          </w:p>
        </w:tc>
      </w:tr>
    </w:tbl>
    <w:p w14:paraId="1B7E9894" w14:textId="7E583B46" w:rsidR="00DA7A5D" w:rsidRPr="001D6F3C" w:rsidRDefault="00DA7A5D" w:rsidP="00A60862">
      <w:pPr>
        <w:pStyle w:val="Caption"/>
        <w:keepNext/>
        <w:jc w:val="both"/>
        <w:rPr>
          <w:rFonts w:ascii="Corbel" w:hAnsi="Corbel"/>
        </w:rPr>
      </w:pPr>
      <w:bookmarkStart w:id="23" w:name="_Toc203647398"/>
      <w:r w:rsidRPr="001D6F3C">
        <w:rPr>
          <w:rFonts w:ascii="Corbel" w:hAnsi="Corbel"/>
        </w:rPr>
        <w:t xml:space="preserve">Table </w:t>
      </w:r>
      <w:r w:rsidRPr="001D6F3C">
        <w:rPr>
          <w:rFonts w:ascii="Corbel" w:hAnsi="Corbel"/>
        </w:rPr>
        <w:fldChar w:fldCharType="begin"/>
      </w:r>
      <w:r w:rsidRPr="001D6F3C">
        <w:rPr>
          <w:rFonts w:ascii="Corbel" w:hAnsi="Corbel"/>
        </w:rPr>
        <w:instrText xml:space="preserve"> SEQ Table \* ARABIC </w:instrText>
      </w:r>
      <w:r w:rsidRPr="001D6F3C">
        <w:rPr>
          <w:rFonts w:ascii="Corbel" w:hAnsi="Corbel"/>
        </w:rPr>
        <w:fldChar w:fldCharType="separate"/>
      </w:r>
      <w:r w:rsidR="00D048DB" w:rsidRPr="001D6F3C">
        <w:rPr>
          <w:rFonts w:ascii="Corbel" w:hAnsi="Corbel"/>
          <w:noProof/>
        </w:rPr>
        <w:t>1</w:t>
      </w:r>
      <w:r w:rsidRPr="001D6F3C">
        <w:rPr>
          <w:rFonts w:ascii="Corbel" w:hAnsi="Corbel"/>
        </w:rPr>
        <w:fldChar w:fldCharType="end"/>
      </w:r>
      <w:r w:rsidRPr="001D6F3C">
        <w:rPr>
          <w:rFonts w:ascii="Corbel" w:hAnsi="Corbel"/>
        </w:rPr>
        <w:t>: Projected Distribution of Older people</w:t>
      </w:r>
      <w:r w:rsidR="00C4063F" w:rsidRPr="001D6F3C">
        <w:rPr>
          <w:rFonts w:ascii="Corbel" w:hAnsi="Corbel"/>
        </w:rPr>
        <w:t xml:space="preserve"> by ethnic group</w:t>
      </w:r>
      <w:r w:rsidRPr="001D6F3C">
        <w:rPr>
          <w:rFonts w:ascii="Corbel" w:hAnsi="Corbel"/>
        </w:rPr>
        <w:t xml:space="preserve"> in 2043</w:t>
      </w:r>
      <w:bookmarkEnd w:id="23"/>
    </w:p>
    <w:tbl>
      <w:tblPr>
        <w:tblStyle w:val="TableGrid"/>
        <w:tblW w:w="8700" w:type="dxa"/>
        <w:tblLook w:val="04A0" w:firstRow="1" w:lastRow="0" w:firstColumn="1" w:lastColumn="0" w:noHBand="0" w:noVBand="1"/>
      </w:tblPr>
      <w:tblGrid>
        <w:gridCol w:w="2156"/>
        <w:gridCol w:w="1636"/>
        <w:gridCol w:w="1636"/>
        <w:gridCol w:w="1636"/>
        <w:gridCol w:w="1636"/>
      </w:tblGrid>
      <w:tr w:rsidR="005C3E1D" w:rsidRPr="001D6F3C" w14:paraId="5A59647F" w14:textId="77777777" w:rsidTr="00D32A28">
        <w:trPr>
          <w:trHeight w:val="445"/>
        </w:trPr>
        <w:tc>
          <w:tcPr>
            <w:tcW w:w="2156" w:type="dxa"/>
            <w:hideMark/>
          </w:tcPr>
          <w:p w14:paraId="0BBBB6C4" w14:textId="77777777" w:rsidR="005C3E1D" w:rsidRPr="001D6F3C" w:rsidRDefault="005C3E1D" w:rsidP="00FC3318">
            <w:pPr>
              <w:spacing w:before="0" w:after="0" w:line="276" w:lineRule="auto"/>
              <w:jc w:val="both"/>
              <w:rPr>
                <w:rFonts w:ascii="Corbel" w:hAnsi="Corbel"/>
                <w:sz w:val="16"/>
                <w:szCs w:val="16"/>
              </w:rPr>
            </w:pPr>
          </w:p>
        </w:tc>
        <w:tc>
          <w:tcPr>
            <w:tcW w:w="1636" w:type="dxa"/>
            <w:hideMark/>
          </w:tcPr>
          <w:p w14:paraId="02118200" w14:textId="64639041" w:rsidR="00B3588E" w:rsidRPr="001D6F3C" w:rsidRDefault="00B3588E" w:rsidP="00B3588E">
            <w:pPr>
              <w:spacing w:before="0" w:after="0" w:line="276" w:lineRule="auto"/>
              <w:jc w:val="center"/>
              <w:rPr>
                <w:rFonts w:ascii="Corbel" w:hAnsi="Corbel"/>
                <w:b/>
                <w:bCs/>
                <w:sz w:val="16"/>
                <w:szCs w:val="16"/>
              </w:rPr>
            </w:pPr>
          </w:p>
          <w:p w14:paraId="2B2F5202" w14:textId="4B7B527C" w:rsidR="005C3E1D" w:rsidRPr="001D6F3C" w:rsidRDefault="005C3E1D" w:rsidP="00B3588E">
            <w:pPr>
              <w:spacing w:before="0" w:after="0" w:line="276" w:lineRule="auto"/>
              <w:jc w:val="center"/>
              <w:rPr>
                <w:rFonts w:ascii="Corbel" w:hAnsi="Corbel"/>
                <w:b/>
                <w:bCs/>
                <w:sz w:val="16"/>
                <w:szCs w:val="16"/>
              </w:rPr>
            </w:pPr>
            <w:r w:rsidRPr="001D6F3C">
              <w:rPr>
                <w:rFonts w:ascii="Corbel" w:hAnsi="Corbel"/>
                <w:b/>
                <w:bCs/>
                <w:sz w:val="16"/>
                <w:szCs w:val="16"/>
              </w:rPr>
              <w:t>Asian</w:t>
            </w:r>
          </w:p>
          <w:p w14:paraId="3B5F388C" w14:textId="73F20247" w:rsidR="00B3588E" w:rsidRPr="001D6F3C" w:rsidRDefault="00B3588E" w:rsidP="00B3588E">
            <w:pPr>
              <w:spacing w:before="0" w:after="0" w:line="276" w:lineRule="auto"/>
              <w:jc w:val="center"/>
              <w:rPr>
                <w:rFonts w:ascii="Corbel" w:hAnsi="Corbel"/>
                <w:sz w:val="16"/>
                <w:szCs w:val="16"/>
              </w:rPr>
            </w:pPr>
          </w:p>
        </w:tc>
        <w:tc>
          <w:tcPr>
            <w:tcW w:w="1636" w:type="dxa"/>
            <w:hideMark/>
          </w:tcPr>
          <w:p w14:paraId="6755E6D2" w14:textId="22452A94" w:rsidR="00B3588E" w:rsidRPr="001D6F3C" w:rsidRDefault="00B3588E" w:rsidP="00B3588E">
            <w:pPr>
              <w:spacing w:before="0" w:after="0" w:line="276" w:lineRule="auto"/>
              <w:jc w:val="center"/>
              <w:rPr>
                <w:rFonts w:ascii="Corbel" w:hAnsi="Corbel"/>
                <w:b/>
                <w:bCs/>
                <w:sz w:val="16"/>
                <w:szCs w:val="16"/>
              </w:rPr>
            </w:pPr>
          </w:p>
          <w:p w14:paraId="4F09274E" w14:textId="28C02262" w:rsidR="005C3E1D" w:rsidRPr="001D6F3C" w:rsidRDefault="005C3E1D" w:rsidP="00B3588E">
            <w:pPr>
              <w:spacing w:before="0" w:after="0" w:line="276" w:lineRule="auto"/>
              <w:jc w:val="center"/>
              <w:rPr>
                <w:rFonts w:ascii="Corbel" w:hAnsi="Corbel"/>
                <w:sz w:val="16"/>
                <w:szCs w:val="16"/>
              </w:rPr>
            </w:pPr>
            <w:r w:rsidRPr="001D6F3C">
              <w:rPr>
                <w:rFonts w:ascii="Corbel" w:hAnsi="Corbel"/>
                <w:b/>
                <w:bCs/>
                <w:sz w:val="16"/>
                <w:szCs w:val="16"/>
              </w:rPr>
              <w:t>European</w:t>
            </w:r>
          </w:p>
        </w:tc>
        <w:tc>
          <w:tcPr>
            <w:tcW w:w="1636" w:type="dxa"/>
            <w:hideMark/>
          </w:tcPr>
          <w:p w14:paraId="398DD602" w14:textId="357A37C5" w:rsidR="00B3588E" w:rsidRPr="001D6F3C" w:rsidRDefault="00B3588E" w:rsidP="00B3588E">
            <w:pPr>
              <w:spacing w:before="0" w:after="0" w:line="276" w:lineRule="auto"/>
              <w:jc w:val="center"/>
              <w:rPr>
                <w:rFonts w:ascii="Corbel" w:hAnsi="Corbel"/>
                <w:b/>
                <w:bCs/>
                <w:sz w:val="16"/>
                <w:szCs w:val="16"/>
              </w:rPr>
            </w:pPr>
          </w:p>
          <w:p w14:paraId="2D35AA03" w14:textId="4D3613B1" w:rsidR="005C3E1D" w:rsidRPr="001D6F3C" w:rsidRDefault="005C3E1D" w:rsidP="00B3588E">
            <w:pPr>
              <w:spacing w:before="0" w:after="0" w:line="276" w:lineRule="auto"/>
              <w:jc w:val="center"/>
              <w:rPr>
                <w:rFonts w:ascii="Corbel" w:hAnsi="Corbel"/>
                <w:sz w:val="16"/>
                <w:szCs w:val="16"/>
              </w:rPr>
            </w:pPr>
            <w:r w:rsidRPr="001D6F3C">
              <w:rPr>
                <w:rFonts w:ascii="Corbel" w:hAnsi="Corbel"/>
                <w:b/>
                <w:bCs/>
                <w:sz w:val="16"/>
                <w:szCs w:val="16"/>
              </w:rPr>
              <w:t>Māori</w:t>
            </w:r>
          </w:p>
        </w:tc>
        <w:tc>
          <w:tcPr>
            <w:tcW w:w="1636" w:type="dxa"/>
            <w:hideMark/>
          </w:tcPr>
          <w:p w14:paraId="744CFBD1" w14:textId="7DD7FCBE" w:rsidR="00B3588E" w:rsidRPr="001D6F3C" w:rsidRDefault="00B3588E" w:rsidP="00B3588E">
            <w:pPr>
              <w:spacing w:before="0" w:after="0" w:line="276" w:lineRule="auto"/>
              <w:jc w:val="center"/>
              <w:rPr>
                <w:rFonts w:ascii="Corbel" w:hAnsi="Corbel"/>
                <w:b/>
                <w:bCs/>
                <w:sz w:val="16"/>
                <w:szCs w:val="16"/>
              </w:rPr>
            </w:pPr>
          </w:p>
          <w:p w14:paraId="7EC80449" w14:textId="54467A3E" w:rsidR="005C3E1D" w:rsidRPr="001D6F3C" w:rsidRDefault="005C3E1D" w:rsidP="00B3588E">
            <w:pPr>
              <w:spacing w:before="0" w:after="0" w:line="276" w:lineRule="auto"/>
              <w:jc w:val="center"/>
              <w:rPr>
                <w:rFonts w:ascii="Corbel" w:hAnsi="Corbel"/>
                <w:sz w:val="16"/>
                <w:szCs w:val="16"/>
              </w:rPr>
            </w:pPr>
            <w:r w:rsidRPr="001D6F3C">
              <w:rPr>
                <w:rFonts w:ascii="Corbel" w:hAnsi="Corbel"/>
                <w:b/>
                <w:bCs/>
                <w:sz w:val="16"/>
                <w:szCs w:val="16"/>
              </w:rPr>
              <w:t>Pacific</w:t>
            </w:r>
          </w:p>
        </w:tc>
      </w:tr>
      <w:tr w:rsidR="005C3E1D" w:rsidRPr="001D6F3C" w14:paraId="6F42EDD9" w14:textId="77777777" w:rsidTr="00D32A28">
        <w:trPr>
          <w:trHeight w:val="160"/>
        </w:trPr>
        <w:tc>
          <w:tcPr>
            <w:tcW w:w="2156" w:type="dxa"/>
            <w:hideMark/>
          </w:tcPr>
          <w:p w14:paraId="79A43475" w14:textId="2CF6B7BA" w:rsidR="00017D5F" w:rsidRPr="001D6F3C" w:rsidRDefault="00017D5F" w:rsidP="00FC3318">
            <w:pPr>
              <w:spacing w:before="0" w:after="0" w:line="276" w:lineRule="auto"/>
              <w:jc w:val="both"/>
              <w:rPr>
                <w:rFonts w:ascii="Corbel" w:hAnsi="Corbel"/>
                <w:sz w:val="16"/>
                <w:szCs w:val="16"/>
              </w:rPr>
            </w:pPr>
          </w:p>
          <w:p w14:paraId="32713F45" w14:textId="6143B1B9" w:rsidR="005C3E1D" w:rsidRPr="001D6F3C" w:rsidRDefault="005C3E1D" w:rsidP="00FC3318">
            <w:pPr>
              <w:spacing w:before="0" w:after="0" w:line="276" w:lineRule="auto"/>
              <w:jc w:val="both"/>
              <w:rPr>
                <w:rFonts w:ascii="Corbel" w:hAnsi="Corbel"/>
                <w:sz w:val="16"/>
                <w:szCs w:val="16"/>
              </w:rPr>
            </w:pPr>
            <w:r w:rsidRPr="001D6F3C">
              <w:rPr>
                <w:rFonts w:ascii="Corbel" w:hAnsi="Corbel"/>
                <w:sz w:val="16"/>
                <w:szCs w:val="16"/>
              </w:rPr>
              <w:t>Auckland</w:t>
            </w:r>
          </w:p>
        </w:tc>
        <w:tc>
          <w:tcPr>
            <w:tcW w:w="1636" w:type="dxa"/>
            <w:hideMark/>
          </w:tcPr>
          <w:p w14:paraId="0BA6FA3F" w14:textId="60FE6591" w:rsidR="00A73561" w:rsidRPr="001D6F3C" w:rsidRDefault="00A73561" w:rsidP="00B3588E">
            <w:pPr>
              <w:spacing w:before="0" w:after="0" w:line="276" w:lineRule="auto"/>
              <w:jc w:val="center"/>
              <w:rPr>
                <w:rFonts w:ascii="Corbel" w:hAnsi="Corbel"/>
                <w:sz w:val="16"/>
                <w:szCs w:val="16"/>
              </w:rPr>
            </w:pPr>
          </w:p>
          <w:p w14:paraId="3D94F975" w14:textId="68AEE375"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63%</w:t>
            </w:r>
          </w:p>
        </w:tc>
        <w:tc>
          <w:tcPr>
            <w:tcW w:w="1636" w:type="dxa"/>
            <w:hideMark/>
          </w:tcPr>
          <w:p w14:paraId="3CCA7C0D" w14:textId="5D008215" w:rsidR="00116E85" w:rsidRPr="001D6F3C" w:rsidRDefault="00116E85" w:rsidP="00B3588E">
            <w:pPr>
              <w:spacing w:before="0" w:after="0" w:line="276" w:lineRule="auto"/>
              <w:jc w:val="center"/>
              <w:rPr>
                <w:rFonts w:ascii="Corbel" w:hAnsi="Corbel"/>
                <w:sz w:val="16"/>
                <w:szCs w:val="16"/>
              </w:rPr>
            </w:pPr>
          </w:p>
          <w:p w14:paraId="1732CA9C" w14:textId="5C70474F"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21%</w:t>
            </w:r>
          </w:p>
        </w:tc>
        <w:tc>
          <w:tcPr>
            <w:tcW w:w="1636" w:type="dxa"/>
            <w:hideMark/>
          </w:tcPr>
          <w:p w14:paraId="6077B579" w14:textId="6A277505" w:rsidR="00116E85" w:rsidRPr="001D6F3C" w:rsidRDefault="00116E85" w:rsidP="00B3588E">
            <w:pPr>
              <w:spacing w:before="0" w:after="0" w:line="276" w:lineRule="auto"/>
              <w:jc w:val="center"/>
              <w:rPr>
                <w:rFonts w:ascii="Corbel" w:hAnsi="Corbel"/>
                <w:sz w:val="16"/>
                <w:szCs w:val="16"/>
              </w:rPr>
            </w:pPr>
          </w:p>
          <w:p w14:paraId="129372A1" w14:textId="471A08D6"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18%</w:t>
            </w:r>
          </w:p>
        </w:tc>
        <w:tc>
          <w:tcPr>
            <w:tcW w:w="1636" w:type="dxa"/>
            <w:hideMark/>
          </w:tcPr>
          <w:p w14:paraId="66459C2A" w14:textId="5010ACFE" w:rsidR="00116E85" w:rsidRPr="001D6F3C" w:rsidRDefault="00116E85" w:rsidP="00B3588E">
            <w:pPr>
              <w:spacing w:before="0" w:after="0" w:line="276" w:lineRule="auto"/>
              <w:jc w:val="center"/>
              <w:rPr>
                <w:rFonts w:ascii="Corbel" w:hAnsi="Corbel"/>
                <w:sz w:val="16"/>
                <w:szCs w:val="16"/>
              </w:rPr>
            </w:pPr>
          </w:p>
          <w:p w14:paraId="5EE8EBA6" w14:textId="6C560EA8"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61%</w:t>
            </w:r>
          </w:p>
          <w:p w14:paraId="3DA1478E" w14:textId="1CD5FF54" w:rsidR="00116E85" w:rsidRPr="001D6F3C" w:rsidRDefault="00116E85" w:rsidP="00B3588E">
            <w:pPr>
              <w:spacing w:before="0" w:after="0" w:line="276" w:lineRule="auto"/>
              <w:jc w:val="center"/>
              <w:rPr>
                <w:rFonts w:ascii="Corbel" w:hAnsi="Corbel"/>
                <w:sz w:val="16"/>
                <w:szCs w:val="16"/>
              </w:rPr>
            </w:pPr>
          </w:p>
        </w:tc>
      </w:tr>
      <w:tr w:rsidR="005C3E1D" w:rsidRPr="001D6F3C" w14:paraId="468D1965" w14:textId="77777777" w:rsidTr="00D32A28">
        <w:trPr>
          <w:trHeight w:val="159"/>
        </w:trPr>
        <w:tc>
          <w:tcPr>
            <w:tcW w:w="2156" w:type="dxa"/>
            <w:hideMark/>
          </w:tcPr>
          <w:p w14:paraId="058F4FC7" w14:textId="3F781229" w:rsidR="00017D5F" w:rsidRPr="001D6F3C" w:rsidRDefault="00017D5F" w:rsidP="00FC3318">
            <w:pPr>
              <w:spacing w:before="0" w:after="0" w:line="276" w:lineRule="auto"/>
              <w:jc w:val="both"/>
              <w:rPr>
                <w:rFonts w:ascii="Corbel" w:hAnsi="Corbel"/>
                <w:sz w:val="16"/>
                <w:szCs w:val="16"/>
              </w:rPr>
            </w:pPr>
          </w:p>
          <w:p w14:paraId="75AB80CF" w14:textId="733A932D" w:rsidR="005C3E1D" w:rsidRPr="001D6F3C" w:rsidRDefault="005C3E1D" w:rsidP="00FC3318">
            <w:pPr>
              <w:spacing w:before="0" w:after="0" w:line="276" w:lineRule="auto"/>
              <w:jc w:val="both"/>
              <w:rPr>
                <w:rFonts w:ascii="Corbel" w:hAnsi="Corbel"/>
                <w:sz w:val="16"/>
                <w:szCs w:val="16"/>
              </w:rPr>
            </w:pPr>
            <w:r w:rsidRPr="001D6F3C">
              <w:rPr>
                <w:rFonts w:ascii="Corbel" w:hAnsi="Corbel"/>
                <w:sz w:val="16"/>
                <w:szCs w:val="16"/>
              </w:rPr>
              <w:t>Rest of North Island</w:t>
            </w:r>
          </w:p>
        </w:tc>
        <w:tc>
          <w:tcPr>
            <w:tcW w:w="1636" w:type="dxa"/>
            <w:hideMark/>
          </w:tcPr>
          <w:p w14:paraId="5385B2D3" w14:textId="02817AE3" w:rsidR="00A73561" w:rsidRPr="001D6F3C" w:rsidRDefault="00A73561" w:rsidP="00B3588E">
            <w:pPr>
              <w:spacing w:before="0" w:after="0" w:line="276" w:lineRule="auto"/>
              <w:jc w:val="center"/>
              <w:rPr>
                <w:rFonts w:ascii="Corbel" w:hAnsi="Corbel"/>
                <w:sz w:val="16"/>
                <w:szCs w:val="16"/>
              </w:rPr>
            </w:pPr>
          </w:p>
          <w:p w14:paraId="4F798374" w14:textId="3E2DE096"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24%</w:t>
            </w:r>
          </w:p>
        </w:tc>
        <w:tc>
          <w:tcPr>
            <w:tcW w:w="1636" w:type="dxa"/>
            <w:hideMark/>
          </w:tcPr>
          <w:p w14:paraId="29325C31" w14:textId="4900B524" w:rsidR="00A73561" w:rsidRPr="001D6F3C" w:rsidRDefault="00A73561" w:rsidP="00B3588E">
            <w:pPr>
              <w:spacing w:before="0" w:after="0" w:line="276" w:lineRule="auto"/>
              <w:jc w:val="center"/>
              <w:rPr>
                <w:rFonts w:ascii="Corbel" w:hAnsi="Corbel"/>
                <w:sz w:val="16"/>
                <w:szCs w:val="16"/>
              </w:rPr>
            </w:pPr>
          </w:p>
          <w:p w14:paraId="03B4D588" w14:textId="63178E93"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50%</w:t>
            </w:r>
          </w:p>
        </w:tc>
        <w:tc>
          <w:tcPr>
            <w:tcW w:w="1636" w:type="dxa"/>
            <w:hideMark/>
          </w:tcPr>
          <w:p w14:paraId="16D0A0F3" w14:textId="2112C841" w:rsidR="00A73561" w:rsidRPr="001D6F3C" w:rsidRDefault="00A73561" w:rsidP="00B3588E">
            <w:pPr>
              <w:spacing w:before="0" w:after="0" w:line="276" w:lineRule="auto"/>
              <w:jc w:val="center"/>
              <w:rPr>
                <w:rFonts w:ascii="Corbel" w:hAnsi="Corbel"/>
                <w:sz w:val="16"/>
                <w:szCs w:val="16"/>
              </w:rPr>
            </w:pPr>
          </w:p>
          <w:p w14:paraId="4B707475" w14:textId="2B838B22"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66%</w:t>
            </w:r>
          </w:p>
        </w:tc>
        <w:tc>
          <w:tcPr>
            <w:tcW w:w="1636" w:type="dxa"/>
            <w:hideMark/>
          </w:tcPr>
          <w:p w14:paraId="5B3C15D0" w14:textId="51FAC8EF" w:rsidR="00116E85" w:rsidRPr="001D6F3C" w:rsidRDefault="00116E85" w:rsidP="00B3588E">
            <w:pPr>
              <w:spacing w:before="0" w:after="0" w:line="276" w:lineRule="auto"/>
              <w:jc w:val="center"/>
              <w:rPr>
                <w:rFonts w:ascii="Corbel" w:hAnsi="Corbel"/>
                <w:sz w:val="16"/>
                <w:szCs w:val="16"/>
              </w:rPr>
            </w:pPr>
          </w:p>
          <w:p w14:paraId="2DC4753A" w14:textId="617F483B"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29%</w:t>
            </w:r>
          </w:p>
          <w:p w14:paraId="3430933B" w14:textId="57F6111C" w:rsidR="00116E85" w:rsidRPr="001D6F3C" w:rsidRDefault="00116E85" w:rsidP="00B3588E">
            <w:pPr>
              <w:spacing w:before="0" w:after="0" w:line="276" w:lineRule="auto"/>
              <w:jc w:val="center"/>
              <w:rPr>
                <w:rFonts w:ascii="Corbel" w:hAnsi="Corbel"/>
                <w:sz w:val="16"/>
                <w:szCs w:val="16"/>
              </w:rPr>
            </w:pPr>
          </w:p>
        </w:tc>
      </w:tr>
      <w:tr w:rsidR="005C3E1D" w:rsidRPr="001D6F3C" w14:paraId="4DEE4924" w14:textId="77777777" w:rsidTr="00D32A28">
        <w:trPr>
          <w:trHeight w:val="159"/>
        </w:trPr>
        <w:tc>
          <w:tcPr>
            <w:tcW w:w="2156" w:type="dxa"/>
            <w:hideMark/>
          </w:tcPr>
          <w:p w14:paraId="66384378" w14:textId="2B6148CC" w:rsidR="00017D5F" w:rsidRPr="001D6F3C" w:rsidRDefault="00017D5F" w:rsidP="00FC3318">
            <w:pPr>
              <w:spacing w:before="0" w:after="0" w:line="276" w:lineRule="auto"/>
              <w:jc w:val="both"/>
              <w:rPr>
                <w:rFonts w:ascii="Corbel" w:hAnsi="Corbel"/>
                <w:sz w:val="16"/>
                <w:szCs w:val="16"/>
              </w:rPr>
            </w:pPr>
          </w:p>
          <w:p w14:paraId="2E14252A" w14:textId="7AFCB692" w:rsidR="005C3E1D" w:rsidRPr="001D6F3C" w:rsidRDefault="005C3E1D" w:rsidP="00FC3318">
            <w:pPr>
              <w:spacing w:before="0" w:after="0" w:line="276" w:lineRule="auto"/>
              <w:jc w:val="both"/>
              <w:rPr>
                <w:rFonts w:ascii="Corbel" w:hAnsi="Corbel"/>
                <w:sz w:val="16"/>
                <w:szCs w:val="16"/>
              </w:rPr>
            </w:pPr>
            <w:r w:rsidRPr="001D6F3C">
              <w:rPr>
                <w:rFonts w:ascii="Corbel" w:hAnsi="Corbel"/>
                <w:sz w:val="16"/>
                <w:szCs w:val="16"/>
              </w:rPr>
              <w:t xml:space="preserve">South Island </w:t>
            </w:r>
          </w:p>
        </w:tc>
        <w:tc>
          <w:tcPr>
            <w:tcW w:w="1636" w:type="dxa"/>
            <w:hideMark/>
          </w:tcPr>
          <w:p w14:paraId="5634EE00" w14:textId="54A949C1" w:rsidR="00A73561" w:rsidRPr="001D6F3C" w:rsidRDefault="00A73561" w:rsidP="00B3588E">
            <w:pPr>
              <w:spacing w:before="0" w:after="0" w:line="276" w:lineRule="auto"/>
              <w:jc w:val="center"/>
              <w:rPr>
                <w:rFonts w:ascii="Corbel" w:hAnsi="Corbel"/>
                <w:sz w:val="16"/>
                <w:szCs w:val="16"/>
              </w:rPr>
            </w:pPr>
          </w:p>
          <w:p w14:paraId="55E27E32" w14:textId="3D326CFF"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13%</w:t>
            </w:r>
          </w:p>
        </w:tc>
        <w:tc>
          <w:tcPr>
            <w:tcW w:w="1636" w:type="dxa"/>
            <w:hideMark/>
          </w:tcPr>
          <w:p w14:paraId="050EE283" w14:textId="06027FFB" w:rsidR="00A73561" w:rsidRPr="001D6F3C" w:rsidRDefault="00A73561" w:rsidP="00B3588E">
            <w:pPr>
              <w:spacing w:before="0" w:after="0" w:line="276" w:lineRule="auto"/>
              <w:jc w:val="center"/>
              <w:rPr>
                <w:rFonts w:ascii="Corbel" w:hAnsi="Corbel"/>
                <w:sz w:val="16"/>
                <w:szCs w:val="16"/>
              </w:rPr>
            </w:pPr>
          </w:p>
          <w:p w14:paraId="6D101802" w14:textId="2F047056"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29%</w:t>
            </w:r>
          </w:p>
        </w:tc>
        <w:tc>
          <w:tcPr>
            <w:tcW w:w="1636" w:type="dxa"/>
            <w:hideMark/>
          </w:tcPr>
          <w:p w14:paraId="16CCA052" w14:textId="76D56849" w:rsidR="00A73561" w:rsidRPr="001D6F3C" w:rsidRDefault="00A73561" w:rsidP="00B3588E">
            <w:pPr>
              <w:spacing w:before="0" w:after="0" w:line="276" w:lineRule="auto"/>
              <w:jc w:val="center"/>
              <w:rPr>
                <w:rFonts w:ascii="Corbel" w:hAnsi="Corbel"/>
                <w:sz w:val="16"/>
                <w:szCs w:val="16"/>
              </w:rPr>
            </w:pPr>
          </w:p>
          <w:p w14:paraId="1D75E862" w14:textId="408D3AF1"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15%</w:t>
            </w:r>
          </w:p>
        </w:tc>
        <w:tc>
          <w:tcPr>
            <w:tcW w:w="1636" w:type="dxa"/>
            <w:hideMark/>
          </w:tcPr>
          <w:p w14:paraId="323696F0" w14:textId="46112202" w:rsidR="00116E85" w:rsidRPr="001D6F3C" w:rsidRDefault="00116E85" w:rsidP="00B3588E">
            <w:pPr>
              <w:spacing w:before="0" w:after="0" w:line="276" w:lineRule="auto"/>
              <w:jc w:val="center"/>
              <w:rPr>
                <w:rFonts w:ascii="Corbel" w:hAnsi="Corbel"/>
                <w:sz w:val="16"/>
                <w:szCs w:val="16"/>
              </w:rPr>
            </w:pPr>
          </w:p>
          <w:p w14:paraId="4F76C671" w14:textId="415D5CD8" w:rsidR="005C3E1D" w:rsidRPr="001D6F3C" w:rsidRDefault="005C3E1D" w:rsidP="00B3588E">
            <w:pPr>
              <w:spacing w:before="0" w:after="0" w:line="276" w:lineRule="auto"/>
              <w:jc w:val="center"/>
              <w:rPr>
                <w:rFonts w:ascii="Corbel" w:hAnsi="Corbel"/>
                <w:sz w:val="16"/>
                <w:szCs w:val="16"/>
              </w:rPr>
            </w:pPr>
            <w:r w:rsidRPr="001D6F3C">
              <w:rPr>
                <w:rFonts w:ascii="Corbel" w:hAnsi="Corbel"/>
                <w:sz w:val="16"/>
                <w:szCs w:val="16"/>
              </w:rPr>
              <w:t>10%</w:t>
            </w:r>
          </w:p>
          <w:p w14:paraId="4F60C18E" w14:textId="5B082BDC" w:rsidR="00116E85" w:rsidRPr="001D6F3C" w:rsidRDefault="00116E85" w:rsidP="00B3588E">
            <w:pPr>
              <w:spacing w:before="0" w:after="0" w:line="276" w:lineRule="auto"/>
              <w:jc w:val="center"/>
              <w:rPr>
                <w:rFonts w:ascii="Corbel" w:hAnsi="Corbel"/>
                <w:sz w:val="16"/>
                <w:szCs w:val="16"/>
              </w:rPr>
            </w:pPr>
          </w:p>
        </w:tc>
      </w:tr>
    </w:tbl>
    <w:p w14:paraId="6FCBFA40" w14:textId="6CDC26F2" w:rsidR="00120E3D" w:rsidRPr="001D6F3C" w:rsidRDefault="00120E3D" w:rsidP="00DD341A">
      <w:pPr>
        <w:pStyle w:val="Heading1"/>
        <w:rPr>
          <w:rFonts w:asciiTheme="minorHAnsi" w:hAnsiTheme="minorHAnsi" w:cstheme="minorBidi"/>
        </w:rPr>
      </w:pPr>
    </w:p>
    <w:p w14:paraId="15C1B0CC" w14:textId="7FBBE4CF" w:rsidR="008F2B0E" w:rsidRPr="001D6F3C" w:rsidRDefault="008F2B0E" w:rsidP="008F2B0E"/>
    <w:p w14:paraId="4E0A9FE6" w14:textId="6E4C7358" w:rsidR="008F2B0E" w:rsidRPr="001D6F3C" w:rsidRDefault="008F2B0E" w:rsidP="008F2B0E"/>
    <w:p w14:paraId="766FDD2A" w14:textId="7D603B32" w:rsidR="00370270" w:rsidRPr="001D6F3C" w:rsidRDefault="00370270" w:rsidP="00DD341A">
      <w:pPr>
        <w:pStyle w:val="Heading1"/>
        <w:rPr>
          <w:rFonts w:asciiTheme="minorHAnsi" w:hAnsiTheme="minorHAnsi" w:cstheme="minorHAnsi"/>
        </w:rPr>
      </w:pPr>
      <w:bookmarkStart w:id="24" w:name="_Toc207782987"/>
      <w:r w:rsidRPr="001D6F3C">
        <w:rPr>
          <w:rFonts w:asciiTheme="minorHAnsi" w:hAnsiTheme="minorHAnsi" w:cstheme="minorHAnsi"/>
        </w:rPr>
        <w:t xml:space="preserve">Part two: </w:t>
      </w:r>
      <w:r w:rsidR="00E10E80" w:rsidRPr="001D6F3C">
        <w:rPr>
          <w:rFonts w:asciiTheme="minorHAnsi" w:hAnsiTheme="minorHAnsi" w:cstheme="minorHAnsi"/>
        </w:rPr>
        <w:t>p</w:t>
      </w:r>
      <w:r w:rsidRPr="001D6F3C">
        <w:rPr>
          <w:rFonts w:asciiTheme="minorHAnsi" w:hAnsiTheme="minorHAnsi" w:cstheme="minorHAnsi"/>
        </w:rPr>
        <w:t>overty</w:t>
      </w:r>
      <w:r w:rsidR="00E10E80" w:rsidRPr="001D6F3C">
        <w:rPr>
          <w:rFonts w:asciiTheme="minorHAnsi" w:hAnsiTheme="minorHAnsi" w:cstheme="minorHAnsi"/>
        </w:rPr>
        <w:t xml:space="preserve">, </w:t>
      </w:r>
      <w:r w:rsidRPr="001D6F3C">
        <w:rPr>
          <w:rFonts w:asciiTheme="minorHAnsi" w:hAnsiTheme="minorHAnsi" w:cstheme="minorHAnsi"/>
        </w:rPr>
        <w:t>hardship and disadvantage</w:t>
      </w:r>
      <w:bookmarkEnd w:id="24"/>
      <w:r w:rsidR="00712A21" w:rsidRPr="001D6F3C">
        <w:rPr>
          <w:rFonts w:asciiTheme="minorHAnsi" w:hAnsiTheme="minorHAnsi" w:cstheme="minorHAnsi"/>
        </w:rPr>
        <w:t xml:space="preserve"> </w:t>
      </w:r>
    </w:p>
    <w:p w14:paraId="74BD8B44" w14:textId="5AA9EBC9" w:rsidR="00E10E80" w:rsidRPr="001D6F3C" w:rsidRDefault="00E10E80" w:rsidP="00A60862">
      <w:pPr>
        <w:pStyle w:val="Subtitle"/>
        <w:jc w:val="both"/>
        <w:rPr>
          <w:rFonts w:ascii="Corbel" w:hAnsi="Corbel"/>
        </w:rPr>
      </w:pPr>
      <w:r w:rsidRPr="001D6F3C">
        <w:rPr>
          <w:rFonts w:ascii="Corbel" w:hAnsi="Corbel"/>
        </w:rPr>
        <w:t>Levels and trends of income poverty, material hardship, wider social wellbeing, and multiple disadvantage</w:t>
      </w:r>
    </w:p>
    <w:p w14:paraId="0B9DAA87" w14:textId="62671A96" w:rsidR="00FC049E" w:rsidRPr="001D6F3C" w:rsidRDefault="0028317B" w:rsidP="6E816A7D">
      <w:pPr>
        <w:jc w:val="both"/>
        <w:rPr>
          <w:rFonts w:ascii="Corbel" w:hAnsi="Corbel"/>
        </w:rPr>
      </w:pPr>
      <w:r w:rsidRPr="001D6F3C">
        <w:t xml:space="preserve"> </w:t>
      </w:r>
      <w:r w:rsidRPr="001D6F3C">
        <w:rPr>
          <w:rFonts w:ascii="Corbel" w:hAnsi="Corbel"/>
        </w:rPr>
        <w:br w:type="page"/>
      </w:r>
      <w:r w:rsidR="7EB55915" w:rsidRPr="001D6F3C">
        <w:rPr>
          <w:rFonts w:ascii="Corbel" w:hAnsi="Corbel"/>
        </w:rPr>
        <w:lastRenderedPageBreak/>
        <w:t>In this section we set out rates of income poverty and material hardship in later life. We also examine broader wellbeing measures for older people and provide updated analysis on experien</w:t>
      </w:r>
      <w:r w:rsidR="5BBD23D9" w:rsidRPr="001D6F3C">
        <w:rPr>
          <w:rFonts w:ascii="Corbel" w:hAnsi="Corbel"/>
        </w:rPr>
        <w:t>ces of multiple disadvantage in later life. Many of these factors are considered from a life course perspective, examining how earlier experiences of vulnerability or disadvantage carry through to later life.</w:t>
      </w:r>
    </w:p>
    <w:p w14:paraId="7741D705" w14:textId="430B7111" w:rsidR="001C17C8" w:rsidRPr="001D6F3C" w:rsidRDefault="001C17C8" w:rsidP="001C17C8">
      <w:pPr>
        <w:pStyle w:val="Heading2"/>
        <w:jc w:val="both"/>
        <w:rPr>
          <w:rFonts w:ascii="Corbel" w:hAnsi="Corbel"/>
        </w:rPr>
      </w:pPr>
      <w:bookmarkStart w:id="25" w:name="_Toc207782988"/>
      <w:r w:rsidRPr="001D6F3C">
        <w:rPr>
          <w:rFonts w:ascii="Corbel" w:hAnsi="Corbel"/>
        </w:rPr>
        <w:t>2.1 Key concepts: wellbeing, poverty, hardship and (multiple) disadvantage</w:t>
      </w:r>
      <w:bookmarkEnd w:id="25"/>
    </w:p>
    <w:p w14:paraId="33E2DC38" w14:textId="77777777" w:rsidR="001C17C8" w:rsidRPr="001D6F3C" w:rsidRDefault="001C17C8" w:rsidP="001C17C8">
      <w:pPr>
        <w:pStyle w:val="Heading4"/>
        <w:jc w:val="both"/>
        <w:rPr>
          <w:rFonts w:ascii="Corbel" w:hAnsi="Corbel"/>
        </w:rPr>
      </w:pPr>
      <w:r w:rsidRPr="001D6F3C">
        <w:rPr>
          <w:rFonts w:ascii="Corbel" w:hAnsi="Corbel"/>
        </w:rPr>
        <w:t>Material wellbeing and overall wellbeing</w:t>
      </w:r>
    </w:p>
    <w:p w14:paraId="192BFADE" w14:textId="7D4D13E2" w:rsidR="007F1A8F" w:rsidRPr="001D6F3C" w:rsidRDefault="00EB2556" w:rsidP="001C17C8">
      <w:pPr>
        <w:jc w:val="both"/>
        <w:rPr>
          <w:rFonts w:ascii="Corbel" w:hAnsi="Corbel"/>
        </w:rPr>
      </w:pPr>
      <w:r w:rsidRPr="001D6F3C">
        <w:rPr>
          <w:rFonts w:ascii="Corbel" w:hAnsi="Corbel"/>
        </w:rPr>
        <w:t xml:space="preserve">There are several widely used concepts related to wellbeing and quality of life for older people, including ‘successful ageing’, ‘positive ageing’, ‘active ageing’, and </w:t>
      </w:r>
      <w:r w:rsidR="37EE7911" w:rsidRPr="001D6F3C">
        <w:rPr>
          <w:rFonts w:ascii="Corbel" w:hAnsi="Corbel"/>
        </w:rPr>
        <w:t>‘</w:t>
      </w:r>
      <w:r w:rsidRPr="001D6F3C">
        <w:rPr>
          <w:rFonts w:ascii="Corbel" w:hAnsi="Corbel"/>
        </w:rPr>
        <w:t>ageing well’.</w:t>
      </w:r>
      <w:r w:rsidRPr="001D6F3C">
        <w:rPr>
          <w:rStyle w:val="FootnoteReference"/>
          <w:rFonts w:ascii="Corbel" w:hAnsi="Corbel"/>
        </w:rPr>
        <w:footnoteReference w:id="3"/>
      </w:r>
      <w:r w:rsidRPr="001D6F3C">
        <w:rPr>
          <w:rFonts w:ascii="Corbel" w:hAnsi="Corbel"/>
        </w:rPr>
        <w:t xml:space="preserve"> </w:t>
      </w:r>
      <w:r w:rsidR="0043386F" w:rsidRPr="001D6F3C">
        <w:rPr>
          <w:rFonts w:ascii="Corbel" w:hAnsi="Corbel"/>
        </w:rPr>
        <w:t>Consistent a</w:t>
      </w:r>
      <w:r w:rsidR="003B19A1" w:rsidRPr="001D6F3C">
        <w:rPr>
          <w:rFonts w:ascii="Corbel" w:hAnsi="Corbel"/>
        </w:rPr>
        <w:t xml:space="preserve">cross these various </w:t>
      </w:r>
      <w:r w:rsidR="0043386F" w:rsidRPr="001D6F3C">
        <w:rPr>
          <w:rFonts w:ascii="Corbel" w:hAnsi="Corbel"/>
        </w:rPr>
        <w:t>frameworks</w:t>
      </w:r>
      <w:r w:rsidR="004C124D" w:rsidRPr="001D6F3C">
        <w:rPr>
          <w:rFonts w:ascii="Corbel" w:hAnsi="Corbel"/>
        </w:rPr>
        <w:t xml:space="preserve"> are</w:t>
      </w:r>
      <w:r w:rsidR="001C17C8" w:rsidRPr="001D6F3C">
        <w:rPr>
          <w:rFonts w:ascii="Corbel" w:hAnsi="Corbel"/>
        </w:rPr>
        <w:t xml:space="preserve"> a range of factors associated with overall wellbeing in older age, including being in good health, being physically and socially active, and contributing to society. </w:t>
      </w:r>
    </w:p>
    <w:p w14:paraId="74C9B2EB" w14:textId="1100BD4A" w:rsidR="001C17C8" w:rsidRPr="001D6F3C" w:rsidRDefault="007F1A8F" w:rsidP="001C17C8">
      <w:pPr>
        <w:jc w:val="both"/>
        <w:rPr>
          <w:rFonts w:ascii="Corbel" w:hAnsi="Corbel"/>
        </w:rPr>
      </w:pPr>
      <w:r w:rsidRPr="001D6F3C">
        <w:rPr>
          <w:rFonts w:ascii="Corbel" w:hAnsi="Corbel"/>
        </w:rPr>
        <w:t>Consistent with MSD’s responsibilities relating to employment, income support, and housing, t</w:t>
      </w:r>
      <w:r w:rsidR="00550848" w:rsidRPr="001D6F3C">
        <w:rPr>
          <w:rFonts w:ascii="Corbel" w:hAnsi="Corbel"/>
        </w:rPr>
        <w:t>his LTIB has a strong focus on m</w:t>
      </w:r>
      <w:r w:rsidR="001C17C8" w:rsidRPr="001D6F3C">
        <w:rPr>
          <w:rFonts w:ascii="Corbel" w:hAnsi="Corbel"/>
        </w:rPr>
        <w:t>aterial wellbeing</w:t>
      </w:r>
      <w:r w:rsidR="00550848" w:rsidRPr="001D6F3C">
        <w:rPr>
          <w:rFonts w:ascii="Corbel" w:hAnsi="Corbel"/>
        </w:rPr>
        <w:t>,</w:t>
      </w:r>
      <w:r w:rsidR="00C777EF" w:rsidRPr="001D6F3C">
        <w:rPr>
          <w:rFonts w:ascii="Corbel" w:hAnsi="Corbel"/>
        </w:rPr>
        <w:t xml:space="preserve"> </w:t>
      </w:r>
      <w:r w:rsidR="00550848" w:rsidRPr="001D6F3C">
        <w:rPr>
          <w:rFonts w:ascii="Corbel" w:hAnsi="Corbel"/>
        </w:rPr>
        <w:t>but it</w:t>
      </w:r>
      <w:r w:rsidR="001C17C8" w:rsidRPr="001D6F3C">
        <w:rPr>
          <w:rFonts w:ascii="Corbel" w:hAnsi="Corbel"/>
        </w:rPr>
        <w:t xml:space="preserve"> is </w:t>
      </w:r>
      <w:r w:rsidR="00550848" w:rsidRPr="001D6F3C">
        <w:rPr>
          <w:rFonts w:ascii="Corbel" w:hAnsi="Corbel"/>
        </w:rPr>
        <w:t>important to recognise this is just one</w:t>
      </w:r>
      <w:r w:rsidR="001C17C8" w:rsidRPr="001D6F3C">
        <w:rPr>
          <w:rFonts w:ascii="Corbel" w:hAnsi="Corbel"/>
        </w:rPr>
        <w:t xml:space="preserve"> component of overall wellbeing</w:t>
      </w:r>
      <w:r w:rsidR="001C17C8" w:rsidRPr="001D6F3C">
        <w:rPr>
          <w:rFonts w:ascii="Corbel" w:hAnsi="Corbel"/>
          <w:b/>
          <w:bCs/>
        </w:rPr>
        <w:t xml:space="preserve">. </w:t>
      </w:r>
      <w:r w:rsidR="001C17C8" w:rsidRPr="001D6F3C">
        <w:rPr>
          <w:rFonts w:ascii="Corbel" w:hAnsi="Corbel"/>
        </w:rPr>
        <w:t xml:space="preserve">Material wellbeing focuses on economic satisfaction and security, encompassing factors like income, financial stability, and standard of living, while overall wellbeing is a broader concept encompassing physical, mental, emotional, and social health, as well as happiness and life satisfaction. </w:t>
      </w:r>
    </w:p>
    <w:p w14:paraId="3C830AE0" w14:textId="77777777" w:rsidR="001C17C8" w:rsidRPr="001D6F3C" w:rsidRDefault="001C17C8" w:rsidP="001C17C8">
      <w:pPr>
        <w:pStyle w:val="Heading4"/>
        <w:jc w:val="both"/>
        <w:rPr>
          <w:rFonts w:ascii="Corbel" w:hAnsi="Corbel"/>
        </w:rPr>
      </w:pPr>
      <w:r w:rsidRPr="001D6F3C">
        <w:rPr>
          <w:rFonts w:ascii="Corbel" w:hAnsi="Corbel"/>
        </w:rPr>
        <w:t>Hardship and disadvantage</w:t>
      </w:r>
    </w:p>
    <w:p w14:paraId="0A44F8D6" w14:textId="4A8E2EBA" w:rsidR="001C17C8" w:rsidRPr="001D6F3C" w:rsidRDefault="001C17C8" w:rsidP="001C17C8">
      <w:pPr>
        <w:pStyle w:val="Caption"/>
        <w:keepNext/>
        <w:jc w:val="both"/>
        <w:rPr>
          <w:rFonts w:ascii="Corbel" w:hAnsi="Corbel"/>
        </w:rPr>
      </w:pPr>
      <w:bookmarkStart w:id="26" w:name="_Toc203142269"/>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9</w:t>
      </w:r>
      <w:r w:rsidR="00585542" w:rsidRPr="001D6F3C">
        <w:rPr>
          <w:rFonts w:ascii="Corbel" w:hAnsi="Corbel"/>
        </w:rPr>
        <w:fldChar w:fldCharType="end"/>
      </w:r>
      <w:r w:rsidRPr="001D6F3C">
        <w:rPr>
          <w:rFonts w:ascii="Corbel" w:hAnsi="Corbel"/>
        </w:rPr>
        <w:t xml:space="preserve"> - Poverty and broader disadvantage</w:t>
      </w:r>
      <w:bookmarkEnd w:id="26"/>
    </w:p>
    <w:p w14:paraId="130AEBD5" w14:textId="77777777" w:rsidR="001C17C8" w:rsidRPr="001D6F3C" w:rsidRDefault="001C17C8" w:rsidP="001C17C8">
      <w:pPr>
        <w:jc w:val="center"/>
        <w:rPr>
          <w:rFonts w:ascii="Corbel" w:hAnsi="Corbel"/>
        </w:rPr>
      </w:pPr>
      <w:r w:rsidRPr="001D6F3C">
        <w:rPr>
          <w:rFonts w:ascii="Corbel" w:hAnsi="Corbel"/>
          <w:noProof/>
        </w:rPr>
        <w:drawing>
          <wp:inline distT="0" distB="0" distL="0" distR="0" wp14:anchorId="0969D23D" wp14:editId="3BB3266F">
            <wp:extent cx="4003684" cy="1433015"/>
            <wp:effectExtent l="0" t="0" r="0" b="0"/>
            <wp:docPr id="1973501256" name="Picture 9">
              <a:extLst xmlns:a="http://schemas.openxmlformats.org/drawingml/2006/main">
                <a:ext uri="{FF2B5EF4-FFF2-40B4-BE49-F238E27FC236}">
                  <a16:creationId xmlns:a16="http://schemas.microsoft.com/office/drawing/2014/main" id="{FC1FCBA7-E987-EDB6-FB99-EBFF34473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C1FCBA7-E987-EDB6-FB99-EBFF34473C1D}"/>
                        </a:ext>
                      </a:extLst>
                    </pic:cNvPr>
                    <pic:cNvPicPr>
                      <a:picLocks noChangeAspect="1"/>
                    </pic:cNvPicPr>
                  </pic:nvPicPr>
                  <pic:blipFill rotWithShape="1">
                    <a:blip r:embed="rId35"/>
                    <a:srcRect t="21175"/>
                    <a:stretch/>
                  </pic:blipFill>
                  <pic:spPr>
                    <a:xfrm>
                      <a:off x="0" y="0"/>
                      <a:ext cx="4022739" cy="1439835"/>
                    </a:xfrm>
                    <a:prstGeom prst="rect">
                      <a:avLst/>
                    </a:prstGeom>
                  </pic:spPr>
                </pic:pic>
              </a:graphicData>
            </a:graphic>
          </wp:inline>
        </w:drawing>
      </w:r>
    </w:p>
    <w:p w14:paraId="01AEEE30" w14:textId="096C4E84" w:rsidR="00740E00" w:rsidRPr="001D6F3C" w:rsidRDefault="00740E00" w:rsidP="001C17C8">
      <w:pPr>
        <w:jc w:val="both"/>
        <w:rPr>
          <w:rFonts w:ascii="Corbel" w:hAnsi="Corbel"/>
        </w:rPr>
      </w:pPr>
      <w:r w:rsidRPr="001D6F3C">
        <w:rPr>
          <w:rFonts w:ascii="Corbel" w:hAnsi="Corbel"/>
        </w:rPr>
        <w:t xml:space="preserve">In this document, we use </w:t>
      </w:r>
      <w:proofErr w:type="gramStart"/>
      <w:r w:rsidRPr="001D6F3C">
        <w:rPr>
          <w:rFonts w:ascii="Corbel" w:hAnsi="Corbel"/>
        </w:rPr>
        <w:t>a number of</w:t>
      </w:r>
      <w:proofErr w:type="gramEnd"/>
      <w:r w:rsidRPr="001D6F3C">
        <w:rPr>
          <w:rFonts w:ascii="Corbel" w:hAnsi="Corbel"/>
        </w:rPr>
        <w:t xml:space="preserve"> terms – including ‘poverty’, ‘hardship’ and ‘disadvantage’ – to indicate when wellbeing is significantly compromised.</w:t>
      </w:r>
      <w:r w:rsidR="00891EBD" w:rsidRPr="001D6F3C">
        <w:rPr>
          <w:rFonts w:ascii="Corbel" w:hAnsi="Corbel"/>
        </w:rPr>
        <w:t xml:space="preserve"> These are different concepts:</w:t>
      </w:r>
    </w:p>
    <w:p w14:paraId="73193E85" w14:textId="77777777" w:rsidR="001C17C8" w:rsidRPr="001D6F3C" w:rsidRDefault="001C17C8" w:rsidP="00D404C5">
      <w:pPr>
        <w:numPr>
          <w:ilvl w:val="0"/>
          <w:numId w:val="14"/>
        </w:numPr>
        <w:jc w:val="both"/>
        <w:rPr>
          <w:rFonts w:ascii="Corbel" w:hAnsi="Corbel"/>
        </w:rPr>
      </w:pPr>
      <w:r w:rsidRPr="001D6F3C">
        <w:rPr>
          <w:rFonts w:ascii="Corbel" w:hAnsi="Corbel"/>
          <w:b/>
          <w:bCs/>
        </w:rPr>
        <w:t>Measures of poverty are based on the material circumstances of households</w:t>
      </w:r>
      <w:r w:rsidRPr="001D6F3C">
        <w:rPr>
          <w:rFonts w:ascii="Corbel" w:hAnsi="Corbel"/>
        </w:rPr>
        <w:t>, and the extent to which their economic resources enable them to reach a minimum adequate standard of living. They include measures of ‘low income’, based on where household incomes sit relative to average (median) incomes. They also include measures of ‘material hardship’, which look at those essential items and activities people do not have access to, because they cannot afford them.</w:t>
      </w:r>
    </w:p>
    <w:p w14:paraId="2A80653C" w14:textId="03334766" w:rsidR="001C17C8" w:rsidRPr="001D6F3C" w:rsidRDefault="001C17C8" w:rsidP="00D404C5">
      <w:pPr>
        <w:numPr>
          <w:ilvl w:val="0"/>
          <w:numId w:val="14"/>
        </w:numPr>
        <w:jc w:val="both"/>
        <w:rPr>
          <w:rFonts w:ascii="Corbel" w:hAnsi="Corbel"/>
        </w:rPr>
      </w:pPr>
      <w:r w:rsidRPr="001D6F3C">
        <w:rPr>
          <w:rFonts w:ascii="Corbel" w:hAnsi="Corbel"/>
          <w:b/>
          <w:bCs/>
        </w:rPr>
        <w:lastRenderedPageBreak/>
        <w:t>Disadvantage is a broader concept, which includes poverty</w:t>
      </w:r>
      <w:r w:rsidR="006B11EA" w:rsidRPr="001D6F3C">
        <w:rPr>
          <w:rFonts w:ascii="Corbel" w:hAnsi="Corbel"/>
          <w:b/>
          <w:bCs/>
        </w:rPr>
        <w:t xml:space="preserve">, </w:t>
      </w:r>
      <w:r w:rsidRPr="001D6F3C">
        <w:rPr>
          <w:rFonts w:ascii="Corbel" w:hAnsi="Corbel"/>
          <w:b/>
          <w:bCs/>
        </w:rPr>
        <w:t xml:space="preserve">hardship </w:t>
      </w:r>
      <w:proofErr w:type="gramStart"/>
      <w:r w:rsidRPr="001D6F3C">
        <w:rPr>
          <w:rFonts w:ascii="Corbel" w:hAnsi="Corbel"/>
          <w:b/>
          <w:bCs/>
        </w:rPr>
        <w:t>and also</w:t>
      </w:r>
      <w:proofErr w:type="gramEnd"/>
      <w:r w:rsidRPr="001D6F3C">
        <w:rPr>
          <w:rFonts w:ascii="Corbel" w:hAnsi="Corbel"/>
          <w:b/>
          <w:bCs/>
        </w:rPr>
        <w:t xml:space="preserve"> difficulties in other core domains of wellbeing</w:t>
      </w:r>
      <w:r w:rsidRPr="001D6F3C">
        <w:rPr>
          <w:rFonts w:ascii="Corbel" w:hAnsi="Corbel"/>
        </w:rPr>
        <w:t xml:space="preserve">, such as health or social connection. These other kinds of difficulties often ‘cluster together’ with poverty and hardship, but this is not always the case. ‘Cumulative’ disadvantage refers to how different kinds of vulnerability often accumulate over time, ‘multiple disadvantage’ refers to where different issues co-exist, and ‘compounding’ disadvantage refers to where the overall impact of different issues coexisting is more than the sum of their parts.  </w:t>
      </w:r>
    </w:p>
    <w:p w14:paraId="1AB87E73" w14:textId="77777777" w:rsidR="001C17C8" w:rsidRPr="001D6F3C" w:rsidRDefault="001C17C8" w:rsidP="001C17C8">
      <w:pPr>
        <w:jc w:val="both"/>
        <w:rPr>
          <w:rFonts w:ascii="Corbel" w:hAnsi="Corbel"/>
        </w:rPr>
      </w:pPr>
      <w:r w:rsidRPr="001D6F3C">
        <w:rPr>
          <w:rFonts w:ascii="Corbel" w:hAnsi="Corbel"/>
        </w:rPr>
        <w:t xml:space="preserve">Using the broader concept of disadvantage enables us to consider the impact of wider issues such as social isolation and health problems, which often go together with financial difficulties. </w:t>
      </w:r>
    </w:p>
    <w:p w14:paraId="18CCEABA" w14:textId="33CE103A" w:rsidR="001C17C8" w:rsidRPr="001D6F3C" w:rsidRDefault="001C17C8" w:rsidP="001C17C8">
      <w:pPr>
        <w:pStyle w:val="Caption"/>
        <w:keepNext/>
        <w:jc w:val="both"/>
        <w:rPr>
          <w:rFonts w:ascii="Corbel" w:hAnsi="Corbel"/>
        </w:rPr>
      </w:pPr>
      <w:bookmarkStart w:id="27" w:name="_Toc203142270"/>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10</w:t>
      </w:r>
      <w:r w:rsidR="00585542" w:rsidRPr="001D6F3C">
        <w:rPr>
          <w:rFonts w:ascii="Corbel" w:hAnsi="Corbel"/>
        </w:rPr>
        <w:fldChar w:fldCharType="end"/>
      </w:r>
      <w:r w:rsidRPr="001D6F3C">
        <w:rPr>
          <w:rFonts w:ascii="Corbel" w:hAnsi="Corbel"/>
        </w:rPr>
        <w:t xml:space="preserve"> - domains of (multiple) disadvantage</w:t>
      </w:r>
      <w:bookmarkEnd w:id="27"/>
    </w:p>
    <w:p w14:paraId="0855A336" w14:textId="36361EAB" w:rsidR="001C17C8" w:rsidRPr="001D6F3C" w:rsidRDefault="00D3532C" w:rsidP="008F2B0E">
      <w:pPr>
        <w:jc w:val="right"/>
        <w:rPr>
          <w:rFonts w:ascii="Corbel" w:hAnsi="Corbel"/>
          <w:b/>
          <w:bCs/>
        </w:rPr>
      </w:pPr>
      <w:r w:rsidRPr="001D6F3C">
        <w:rPr>
          <w:noProof/>
        </w:rPr>
        <w:drawing>
          <wp:inline distT="0" distB="0" distL="0" distR="0" wp14:anchorId="66591F42" wp14:editId="002DB1FE">
            <wp:extent cx="3926205" cy="2682240"/>
            <wp:effectExtent l="0" t="0" r="0" b="0"/>
            <wp:docPr id="127245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3926205" cy="2682240"/>
                    </a:xfrm>
                    <a:prstGeom prst="rect">
                      <a:avLst/>
                    </a:prstGeom>
                  </pic:spPr>
                </pic:pic>
              </a:graphicData>
            </a:graphic>
          </wp:inline>
        </w:drawing>
      </w:r>
      <w:r w:rsidR="009F34F0" w:rsidRPr="001D6F3C">
        <w:rPr>
          <w:rFonts w:ascii="Corbel" w:hAnsi="Corbel"/>
          <w:b/>
          <w:bCs/>
        </w:rPr>
        <w:t xml:space="preserve"> </w:t>
      </w:r>
      <w:r w:rsidR="009F34F0" w:rsidRPr="001D6F3C">
        <w:rPr>
          <w:rFonts w:ascii="Corbel" w:hAnsi="Corbel"/>
          <w:b/>
          <w:bCs/>
        </w:rPr>
        <w:tab/>
      </w:r>
      <w:r w:rsidR="009F34F0" w:rsidRPr="001D6F3C">
        <w:rPr>
          <w:rFonts w:ascii="Corbel" w:hAnsi="Corbel"/>
          <w:b/>
          <w:bCs/>
        </w:rPr>
        <w:tab/>
      </w:r>
    </w:p>
    <w:p w14:paraId="56FDE129" w14:textId="2CA81016" w:rsidR="00370270" w:rsidRPr="001D6F3C" w:rsidRDefault="00370270" w:rsidP="00A60862">
      <w:pPr>
        <w:pStyle w:val="Heading2"/>
        <w:jc w:val="both"/>
        <w:rPr>
          <w:rFonts w:ascii="Corbel" w:hAnsi="Corbel"/>
        </w:rPr>
      </w:pPr>
      <w:bookmarkStart w:id="28" w:name="_Toc207782989"/>
      <w:r w:rsidRPr="001D6F3C">
        <w:rPr>
          <w:rFonts w:ascii="Corbel" w:hAnsi="Corbel"/>
        </w:rPr>
        <w:t>2.</w:t>
      </w:r>
      <w:r w:rsidR="001C17C8" w:rsidRPr="001D6F3C">
        <w:rPr>
          <w:rFonts w:ascii="Corbel" w:hAnsi="Corbel"/>
        </w:rPr>
        <w:t>2</w:t>
      </w:r>
      <w:r w:rsidR="009B4CE1" w:rsidRPr="001D6F3C">
        <w:rPr>
          <w:rFonts w:ascii="Corbel" w:hAnsi="Corbel"/>
        </w:rPr>
        <w:t xml:space="preserve"> </w:t>
      </w:r>
      <w:r w:rsidRPr="001D6F3C">
        <w:rPr>
          <w:rFonts w:ascii="Corbel" w:hAnsi="Corbel"/>
        </w:rPr>
        <w:t>Income poverty</w:t>
      </w:r>
      <w:bookmarkEnd w:id="28"/>
    </w:p>
    <w:p w14:paraId="26E50D62" w14:textId="62882674" w:rsidR="00370270" w:rsidRPr="001D6F3C" w:rsidRDefault="00920E84" w:rsidP="00A60862">
      <w:pPr>
        <w:jc w:val="both"/>
        <w:rPr>
          <w:rFonts w:ascii="Corbel" w:hAnsi="Corbel"/>
        </w:rPr>
      </w:pPr>
      <w:r w:rsidRPr="001D6F3C">
        <w:rPr>
          <w:rFonts w:ascii="Corbel" w:hAnsi="Corbel"/>
        </w:rPr>
        <w:t>I</w:t>
      </w:r>
      <w:r w:rsidR="00370270" w:rsidRPr="001D6F3C">
        <w:rPr>
          <w:rFonts w:ascii="Corbel" w:hAnsi="Corbel"/>
        </w:rPr>
        <w:t>ncome poverty is measured by determining whether a household’s income (before or after housing costs) is below a defined ‘poverty line’ – set in relation to the incomes of the average (median) household. The threshold can either move each year in line with median incomes (moving line measures) or be ‘fixed’ in real terms against a specific base year (fixed line measure’). Both measures have strengths and weaknesses, but fixed line measures are generally preferable for trends over time.</w:t>
      </w:r>
      <w:r w:rsidR="008C4F42" w:rsidRPr="001D6F3C">
        <w:rPr>
          <w:rStyle w:val="FootnoteReference"/>
          <w:rFonts w:ascii="Corbel" w:hAnsi="Corbel"/>
        </w:rPr>
        <w:footnoteReference w:id="4"/>
      </w:r>
      <w:r w:rsidR="00370270" w:rsidRPr="001D6F3C">
        <w:rPr>
          <w:rFonts w:ascii="Corbel" w:hAnsi="Corbel"/>
        </w:rPr>
        <w:t xml:space="preserve"> </w:t>
      </w:r>
    </w:p>
    <w:p w14:paraId="3C3F36C1" w14:textId="46FD7B04" w:rsidR="00370270" w:rsidRPr="001D6F3C" w:rsidRDefault="00C51F14" w:rsidP="00A60862">
      <w:pPr>
        <w:jc w:val="both"/>
        <w:rPr>
          <w:rFonts w:ascii="Corbel" w:hAnsi="Corbel"/>
        </w:rPr>
      </w:pPr>
      <w:r w:rsidRPr="001D6F3C">
        <w:rPr>
          <w:rFonts w:ascii="Corbel" w:hAnsi="Corbel"/>
        </w:rPr>
        <w:t>In part b</w:t>
      </w:r>
      <w:r w:rsidR="00370270" w:rsidRPr="001D6F3C">
        <w:rPr>
          <w:rFonts w:ascii="Corbel" w:hAnsi="Corbel"/>
        </w:rPr>
        <w:t>ecause of the unique design of NZ’s</w:t>
      </w:r>
      <w:r w:rsidR="008F6ED4" w:rsidRPr="001D6F3C">
        <w:rPr>
          <w:rFonts w:ascii="Corbel" w:hAnsi="Corbel"/>
        </w:rPr>
        <w:t xml:space="preserve"> universal flat rate</w:t>
      </w:r>
      <w:r w:rsidR="00370270" w:rsidRPr="001D6F3C">
        <w:rPr>
          <w:rFonts w:ascii="Corbel" w:hAnsi="Corbel"/>
        </w:rPr>
        <w:t xml:space="preserve"> pension system, a large proportion of the 65+ population are mostly or entirely reliant on </w:t>
      </w:r>
      <w:r w:rsidR="00D5535A" w:rsidRPr="001D6F3C">
        <w:rPr>
          <w:rFonts w:ascii="Corbel" w:hAnsi="Corbel"/>
        </w:rPr>
        <w:t>the same</w:t>
      </w:r>
      <w:r w:rsidR="00370270" w:rsidRPr="001D6F3C">
        <w:rPr>
          <w:rFonts w:ascii="Corbel" w:hAnsi="Corbel"/>
        </w:rPr>
        <w:t xml:space="preserve"> rate</w:t>
      </w:r>
      <w:r w:rsidR="00D5535A" w:rsidRPr="001D6F3C">
        <w:rPr>
          <w:rFonts w:ascii="Corbel" w:hAnsi="Corbel"/>
        </w:rPr>
        <w:t>s</w:t>
      </w:r>
      <w:r w:rsidR="00370270" w:rsidRPr="001D6F3C">
        <w:rPr>
          <w:rFonts w:ascii="Corbel" w:hAnsi="Corbel"/>
        </w:rPr>
        <w:t xml:space="preserve"> of NZS,</w:t>
      </w:r>
      <w:r w:rsidR="00D5535A" w:rsidRPr="001D6F3C">
        <w:rPr>
          <w:rFonts w:ascii="Corbel" w:hAnsi="Corbel"/>
        </w:rPr>
        <w:t xml:space="preserve"> which means</w:t>
      </w:r>
      <w:r w:rsidR="00370270" w:rsidRPr="001D6F3C">
        <w:rPr>
          <w:rFonts w:ascii="Corbel" w:hAnsi="Corbel"/>
        </w:rPr>
        <w:t xml:space="preserve"> there is considerable ‘bunching’ within the income distribution near commonly used poverty thresholds.</w:t>
      </w:r>
      <w:r w:rsidR="0043027A" w:rsidRPr="001D6F3C">
        <w:rPr>
          <w:rFonts w:ascii="Corbel" w:hAnsi="Corbel"/>
        </w:rPr>
        <w:t xml:space="preserve"> Poverty</w:t>
      </w:r>
      <w:r w:rsidR="00370270" w:rsidRPr="001D6F3C">
        <w:rPr>
          <w:rFonts w:ascii="Corbel" w:hAnsi="Corbel"/>
        </w:rPr>
        <w:t xml:space="preserve"> rates are therefore highly sensitive to small changes in median incomes, as significant numbers of households can move above or below the ‘poverty line’.</w:t>
      </w:r>
    </w:p>
    <w:p w14:paraId="60244EE5" w14:textId="0FB3952F" w:rsidR="00370270" w:rsidRPr="001D6F3C" w:rsidRDefault="00370270" w:rsidP="00A60862">
      <w:pPr>
        <w:jc w:val="both"/>
        <w:rPr>
          <w:rFonts w:ascii="Corbel" w:hAnsi="Corbel"/>
        </w:rPr>
      </w:pPr>
      <w:r w:rsidRPr="001D6F3C">
        <w:rPr>
          <w:rFonts w:ascii="Corbel" w:hAnsi="Corbel"/>
        </w:rPr>
        <w:t>Depending on whether one uses a ‘moving line’ or a ‘fixed line</w:t>
      </w:r>
      <w:r w:rsidR="006B11EA" w:rsidRPr="001D6F3C">
        <w:rPr>
          <w:rFonts w:ascii="Corbel" w:hAnsi="Corbel"/>
        </w:rPr>
        <w:t>’</w:t>
      </w:r>
      <w:r w:rsidRPr="001D6F3C">
        <w:rPr>
          <w:rFonts w:ascii="Corbel" w:hAnsi="Corbel"/>
        </w:rPr>
        <w:t xml:space="preserve"> measure, recent trends in income poverty for older people run in opposite directions, as shown in the graphs at left:</w:t>
      </w:r>
    </w:p>
    <w:p w14:paraId="6BF39DA7" w14:textId="258D9550" w:rsidR="00370270" w:rsidRPr="001D6F3C" w:rsidRDefault="00370270" w:rsidP="00D404C5">
      <w:pPr>
        <w:numPr>
          <w:ilvl w:val="0"/>
          <w:numId w:val="15"/>
        </w:numPr>
        <w:jc w:val="both"/>
        <w:rPr>
          <w:rFonts w:ascii="Corbel" w:hAnsi="Corbel"/>
        </w:rPr>
      </w:pPr>
      <w:r w:rsidRPr="001D6F3C">
        <w:rPr>
          <w:rFonts w:ascii="Corbel" w:hAnsi="Corbel"/>
          <w:b/>
          <w:bCs/>
        </w:rPr>
        <w:lastRenderedPageBreak/>
        <w:t xml:space="preserve">On </w:t>
      </w:r>
      <w:r w:rsidR="006B11EA" w:rsidRPr="001D6F3C">
        <w:rPr>
          <w:rFonts w:ascii="Corbel" w:hAnsi="Corbel"/>
          <w:b/>
          <w:bCs/>
        </w:rPr>
        <w:t>‘</w:t>
      </w:r>
      <w:r w:rsidRPr="001D6F3C">
        <w:rPr>
          <w:rFonts w:ascii="Corbel" w:hAnsi="Corbel"/>
          <w:b/>
          <w:bCs/>
        </w:rPr>
        <w:t>moving line measures</w:t>
      </w:r>
      <w:r w:rsidR="006B11EA" w:rsidRPr="001D6F3C">
        <w:rPr>
          <w:rFonts w:ascii="Corbel" w:hAnsi="Corbel"/>
          <w:b/>
          <w:bCs/>
        </w:rPr>
        <w:t>’</w:t>
      </w:r>
      <w:r w:rsidRPr="001D6F3C">
        <w:rPr>
          <w:rFonts w:ascii="Corbel" w:hAnsi="Corbel"/>
          <w:b/>
          <w:bCs/>
        </w:rPr>
        <w:t xml:space="preserve"> income poverty has risen sharply</w:t>
      </w:r>
      <w:r w:rsidRPr="001D6F3C">
        <w:rPr>
          <w:rFonts w:ascii="Corbel" w:hAnsi="Corbel"/>
        </w:rPr>
        <w:t xml:space="preserve"> – for example, the</w:t>
      </w:r>
      <w:r w:rsidR="002C0078" w:rsidRPr="001D6F3C">
        <w:rPr>
          <w:rFonts w:ascii="Corbel" w:hAnsi="Corbel"/>
        </w:rPr>
        <w:t xml:space="preserve"> after-housing-cost</w:t>
      </w:r>
      <w:r w:rsidR="00DA4727" w:rsidRPr="001D6F3C">
        <w:rPr>
          <w:rFonts w:ascii="Corbel" w:hAnsi="Corbel"/>
        </w:rPr>
        <w:t xml:space="preserve"> 50% of median (AHC50)</w:t>
      </w:r>
      <w:r w:rsidRPr="001D6F3C">
        <w:rPr>
          <w:rFonts w:ascii="Corbel" w:hAnsi="Corbel"/>
        </w:rPr>
        <w:t xml:space="preserve"> moving line rate continued to generally remain around 5% across the 2000s and 2010s, but has risen since 2016, reaching 16% in 2023. This is a result of NZS falling slightly as a proportion of median</w:t>
      </w:r>
      <w:r w:rsidR="001D153F" w:rsidRPr="001D6F3C">
        <w:rPr>
          <w:rFonts w:ascii="Corbel" w:hAnsi="Corbel"/>
        </w:rPr>
        <w:t xml:space="preserve"> household</w:t>
      </w:r>
      <w:r w:rsidRPr="001D6F3C">
        <w:rPr>
          <w:rFonts w:ascii="Corbel" w:hAnsi="Corbel"/>
        </w:rPr>
        <w:t xml:space="preserve"> incomes</w:t>
      </w:r>
      <w:r w:rsidR="00DA4727" w:rsidRPr="001D6F3C">
        <w:rPr>
          <w:rFonts w:ascii="Corbel" w:hAnsi="Corbel"/>
        </w:rPr>
        <w:t xml:space="preserve">, with the level of NZS falling below 50% of the </w:t>
      </w:r>
      <w:r w:rsidR="0089426A" w:rsidRPr="001D6F3C">
        <w:rPr>
          <w:rFonts w:ascii="Corbel" w:hAnsi="Corbel"/>
        </w:rPr>
        <w:t>before-housing-cost (</w:t>
      </w:r>
      <w:r w:rsidR="00DA4727" w:rsidRPr="001D6F3C">
        <w:rPr>
          <w:rFonts w:ascii="Corbel" w:hAnsi="Corbel"/>
        </w:rPr>
        <w:t>BHC</w:t>
      </w:r>
      <w:r w:rsidR="0089426A" w:rsidRPr="001D6F3C">
        <w:rPr>
          <w:rFonts w:ascii="Corbel" w:hAnsi="Corbel"/>
        </w:rPr>
        <w:t>)</w:t>
      </w:r>
      <w:r w:rsidR="00DA4727" w:rsidRPr="001D6F3C">
        <w:rPr>
          <w:rFonts w:ascii="Corbel" w:hAnsi="Corbel"/>
        </w:rPr>
        <w:t xml:space="preserve"> median</w:t>
      </w:r>
      <w:r w:rsidRPr="001D6F3C">
        <w:rPr>
          <w:rFonts w:ascii="Corbel" w:hAnsi="Corbel"/>
        </w:rPr>
        <w:t xml:space="preserve"> (see Section 3.4).</w:t>
      </w:r>
    </w:p>
    <w:p w14:paraId="7BF3F02C" w14:textId="0B8BE010" w:rsidR="00370270" w:rsidRPr="001D6F3C" w:rsidRDefault="00370270" w:rsidP="00D404C5">
      <w:pPr>
        <w:numPr>
          <w:ilvl w:val="0"/>
          <w:numId w:val="15"/>
        </w:numPr>
        <w:jc w:val="both"/>
        <w:rPr>
          <w:rFonts w:ascii="Corbel" w:hAnsi="Corbel"/>
        </w:rPr>
      </w:pPr>
      <w:r w:rsidRPr="001D6F3C">
        <w:rPr>
          <w:rFonts w:ascii="Corbel" w:hAnsi="Corbel"/>
          <w:b/>
          <w:bCs/>
        </w:rPr>
        <w:t>On ‘fixed line measures’, income poverty has steadily fallen</w:t>
      </w:r>
      <w:r w:rsidRPr="001D6F3C">
        <w:rPr>
          <w:rFonts w:ascii="Corbel" w:hAnsi="Corbel"/>
        </w:rPr>
        <w:t xml:space="preserve"> – for example, the fixed line AHC50 rate fell from ~7-9% in the late 1990s to 3-5% in the 2010s. This likely reflects real after-housing-cost income growth for those</w:t>
      </w:r>
      <w:r w:rsidR="00086147" w:rsidRPr="001D6F3C">
        <w:rPr>
          <w:rFonts w:ascii="Corbel" w:hAnsi="Corbel"/>
        </w:rPr>
        <w:t xml:space="preserve"> older people</w:t>
      </w:r>
      <w:r w:rsidRPr="001D6F3C">
        <w:rPr>
          <w:rFonts w:ascii="Corbel" w:hAnsi="Corbel"/>
        </w:rPr>
        <w:t xml:space="preserve"> on the lowest incomes. </w:t>
      </w:r>
    </w:p>
    <w:p w14:paraId="5851C663" w14:textId="6BE160D7" w:rsidR="00370270" w:rsidRPr="001D6F3C" w:rsidRDefault="00370270" w:rsidP="00A60862">
      <w:pPr>
        <w:jc w:val="both"/>
        <w:rPr>
          <w:rFonts w:ascii="Corbel" w:hAnsi="Corbel"/>
        </w:rPr>
      </w:pPr>
      <w:r w:rsidRPr="001D6F3C">
        <w:rPr>
          <w:rFonts w:ascii="Corbel" w:hAnsi="Corbel"/>
        </w:rPr>
        <w:t>As can be seen, rates of income poverty for single people are notably higher than rates for couples</w:t>
      </w:r>
      <w:r w:rsidR="00472D62" w:rsidRPr="001D6F3C">
        <w:rPr>
          <w:rFonts w:ascii="Corbel" w:hAnsi="Corbel"/>
        </w:rPr>
        <w:t>, which in part reflects the fact single people are less likely to have other sources of income, in addition to NZS (see sections 3.2 and 3.4 below).</w:t>
      </w:r>
      <w:r w:rsidR="00DA4727" w:rsidRPr="001D6F3C">
        <w:rPr>
          <w:rFonts w:ascii="Corbel" w:hAnsi="Corbel"/>
        </w:rPr>
        <w:t xml:space="preserve"> This also likely explains the particularly sharp rise in relative poverty for single people in recent years, as a greater proportion </w:t>
      </w:r>
      <w:r w:rsidR="004F4823" w:rsidRPr="001D6F3C">
        <w:rPr>
          <w:rFonts w:ascii="Corbel" w:hAnsi="Corbel"/>
        </w:rPr>
        <w:t xml:space="preserve">will have dropped below the threshold.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494"/>
      </w:tblGrid>
      <w:tr w:rsidR="00A60862" w:rsidRPr="001D6F3C" w14:paraId="17180599" w14:textId="77777777" w:rsidTr="0067684E">
        <w:tc>
          <w:tcPr>
            <w:tcW w:w="4508" w:type="dxa"/>
          </w:tcPr>
          <w:p w14:paraId="028A73B7" w14:textId="43441840" w:rsidR="00623C21" w:rsidRPr="001D6F3C" w:rsidRDefault="00623C21" w:rsidP="00A60862">
            <w:pPr>
              <w:pStyle w:val="Caption"/>
              <w:keepNext/>
              <w:jc w:val="both"/>
              <w:rPr>
                <w:rFonts w:ascii="Corbel" w:hAnsi="Corbel"/>
              </w:rPr>
            </w:pPr>
            <w:bookmarkStart w:id="29" w:name="_Toc203142271"/>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11</w:t>
            </w:r>
            <w:r w:rsidR="00585542" w:rsidRPr="001D6F3C">
              <w:rPr>
                <w:rFonts w:ascii="Corbel" w:hAnsi="Corbel"/>
              </w:rPr>
              <w:fldChar w:fldCharType="end"/>
            </w:r>
            <w:r w:rsidRPr="001D6F3C">
              <w:rPr>
                <w:rFonts w:ascii="Corbel" w:hAnsi="Corbel"/>
              </w:rPr>
              <w:t xml:space="preserve"> - After-housing-cost poverty for 65+ (50% median, Moving Line)</w:t>
            </w:r>
            <w:bookmarkEnd w:id="29"/>
          </w:p>
          <w:p w14:paraId="1485D7C0" w14:textId="749CD444" w:rsidR="00623C21" w:rsidRPr="001D6F3C" w:rsidRDefault="00D80C58" w:rsidP="00A60862">
            <w:pPr>
              <w:pStyle w:val="Caption"/>
              <w:keepNext/>
              <w:jc w:val="both"/>
              <w:rPr>
                <w:rFonts w:ascii="Corbel" w:hAnsi="Corbel"/>
              </w:rPr>
            </w:pPr>
            <w:r w:rsidRPr="001D6F3C">
              <w:rPr>
                <w:rFonts w:ascii="Corbel" w:hAnsi="Corbel"/>
                <w:noProof/>
              </w:rPr>
              <w:drawing>
                <wp:inline distT="0" distB="0" distL="0" distR="0" wp14:anchorId="3C29C0E7" wp14:editId="10CDD172">
                  <wp:extent cx="2787980" cy="1962169"/>
                  <wp:effectExtent l="0" t="0" r="0" b="3175"/>
                  <wp:docPr id="151588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980" cy="1962169"/>
                          </a:xfrm>
                          <a:prstGeom prst="rect">
                            <a:avLst/>
                          </a:prstGeom>
                          <a:noFill/>
                        </pic:spPr>
                      </pic:pic>
                    </a:graphicData>
                  </a:graphic>
                </wp:inline>
              </w:drawing>
            </w:r>
          </w:p>
        </w:tc>
        <w:tc>
          <w:tcPr>
            <w:tcW w:w="4508" w:type="dxa"/>
          </w:tcPr>
          <w:p w14:paraId="6DB290EE" w14:textId="3CCA1484" w:rsidR="00623C21" w:rsidRPr="001D6F3C" w:rsidRDefault="00623C21" w:rsidP="00A60862">
            <w:pPr>
              <w:pStyle w:val="Caption"/>
              <w:keepNext/>
              <w:jc w:val="both"/>
              <w:rPr>
                <w:rFonts w:ascii="Corbel" w:hAnsi="Corbel"/>
              </w:rPr>
            </w:pPr>
            <w:bookmarkStart w:id="30" w:name="_Toc203142272"/>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12</w:t>
            </w:r>
            <w:r w:rsidR="00585542" w:rsidRPr="001D6F3C">
              <w:rPr>
                <w:rFonts w:ascii="Corbel" w:hAnsi="Corbel"/>
              </w:rPr>
              <w:fldChar w:fldCharType="end"/>
            </w:r>
            <w:r w:rsidRPr="001D6F3C">
              <w:rPr>
                <w:rFonts w:ascii="Corbel" w:hAnsi="Corbel"/>
              </w:rPr>
              <w:t xml:space="preserve"> - After-housing-cost poverty for 65+ (50% median, fixed line)</w:t>
            </w:r>
            <w:bookmarkEnd w:id="30"/>
          </w:p>
          <w:p w14:paraId="766EE36F" w14:textId="77777777" w:rsidR="00623C21" w:rsidRPr="001D6F3C" w:rsidRDefault="00623C21" w:rsidP="00A60862">
            <w:pPr>
              <w:jc w:val="both"/>
              <w:rPr>
                <w:rFonts w:ascii="Corbel" w:hAnsi="Corbel"/>
              </w:rPr>
            </w:pPr>
            <w:r w:rsidRPr="001D6F3C">
              <w:rPr>
                <w:rFonts w:ascii="Corbel" w:hAnsi="Corbel"/>
                <w:noProof/>
              </w:rPr>
              <w:drawing>
                <wp:inline distT="0" distB="0" distL="0" distR="0" wp14:anchorId="69D2FEF6" wp14:editId="2AEBD09E">
                  <wp:extent cx="2763898" cy="2073349"/>
                  <wp:effectExtent l="0" t="0" r="0" b="3175"/>
                  <wp:docPr id="1362709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662" cy="2100928"/>
                          </a:xfrm>
                          <a:prstGeom prst="rect">
                            <a:avLst/>
                          </a:prstGeom>
                          <a:noFill/>
                        </pic:spPr>
                      </pic:pic>
                    </a:graphicData>
                  </a:graphic>
                </wp:inline>
              </w:drawing>
            </w:r>
          </w:p>
        </w:tc>
      </w:tr>
    </w:tbl>
    <w:p w14:paraId="5434AE4A" w14:textId="5496CC38" w:rsidR="00370270" w:rsidRPr="001D6F3C" w:rsidRDefault="00370270" w:rsidP="00A60862">
      <w:pPr>
        <w:jc w:val="both"/>
        <w:rPr>
          <w:rFonts w:ascii="Corbel" w:hAnsi="Corbel"/>
        </w:rPr>
      </w:pPr>
      <w:r w:rsidRPr="001D6F3C">
        <w:rPr>
          <w:rFonts w:ascii="Corbel" w:hAnsi="Corbel"/>
        </w:rPr>
        <w:t xml:space="preserve">Income poverty measures are of relatively limited value for trends in material living standards of older New Zealanders, particularly compared to material hardship measures. In addition to the ‘bunching’ issue, there are more general issues with using income poverty to monitor trends. Income has </w:t>
      </w:r>
      <w:r w:rsidR="006B11EA" w:rsidRPr="001D6F3C">
        <w:rPr>
          <w:rFonts w:ascii="Corbel" w:hAnsi="Corbel"/>
        </w:rPr>
        <w:t>several</w:t>
      </w:r>
      <w:r w:rsidRPr="001D6F3C">
        <w:rPr>
          <w:rFonts w:ascii="Corbel" w:hAnsi="Corbel"/>
        </w:rPr>
        <w:t xml:space="preserve"> general limitations as a measure of material wellbeing for households (see Perry, p. </w:t>
      </w:r>
      <w:r w:rsidR="00CF56E1" w:rsidRPr="001D6F3C">
        <w:rPr>
          <w:rFonts w:ascii="Corbel" w:hAnsi="Corbel"/>
        </w:rPr>
        <w:t>2022</w:t>
      </w:r>
      <w:r w:rsidR="001E5E13" w:rsidRPr="001D6F3C">
        <w:rPr>
          <w:rFonts w:ascii="Corbel" w:hAnsi="Corbel"/>
        </w:rPr>
        <w:t>, p.4-5</w:t>
      </w:r>
      <w:r w:rsidRPr="001D6F3C">
        <w:rPr>
          <w:rFonts w:ascii="Corbel" w:hAnsi="Corbel"/>
        </w:rPr>
        <w:t>), and is particularly problematic for comparing the material wellbeing of older people, as th</w:t>
      </w:r>
      <w:r w:rsidR="001E5E13" w:rsidRPr="001D6F3C">
        <w:rPr>
          <w:rFonts w:ascii="Corbel" w:hAnsi="Corbel"/>
        </w:rPr>
        <w:t>is is</w:t>
      </w:r>
      <w:r w:rsidRPr="001D6F3C">
        <w:rPr>
          <w:rFonts w:ascii="Corbel" w:hAnsi="Corbel"/>
        </w:rPr>
        <w:t xml:space="preserve"> often determined more by levels of savings</w:t>
      </w:r>
      <w:r w:rsidR="007F16F7" w:rsidRPr="001D6F3C">
        <w:rPr>
          <w:rFonts w:ascii="Corbel" w:hAnsi="Corbel"/>
        </w:rPr>
        <w:t>, assets,</w:t>
      </w:r>
      <w:r w:rsidRPr="001D6F3C">
        <w:rPr>
          <w:rFonts w:ascii="Corbel" w:hAnsi="Corbel"/>
        </w:rPr>
        <w:t xml:space="preserve"> and other investments – which are not factored into income measures.</w:t>
      </w:r>
    </w:p>
    <w:p w14:paraId="16703A95" w14:textId="0FF284A0" w:rsidR="00370270" w:rsidRPr="001D6F3C" w:rsidRDefault="00370270" w:rsidP="00A60862">
      <w:pPr>
        <w:jc w:val="both"/>
        <w:rPr>
          <w:rFonts w:ascii="Corbel" w:hAnsi="Corbel"/>
        </w:rPr>
      </w:pPr>
      <w:r w:rsidRPr="001D6F3C">
        <w:rPr>
          <w:rFonts w:ascii="Corbel" w:hAnsi="Corbel"/>
        </w:rPr>
        <w:t xml:space="preserve">The OECD uses a </w:t>
      </w:r>
      <w:r w:rsidR="0089426A" w:rsidRPr="001D6F3C">
        <w:rPr>
          <w:rFonts w:ascii="Corbel" w:hAnsi="Corbel"/>
        </w:rPr>
        <w:t>BHC</w:t>
      </w:r>
      <w:r w:rsidRPr="001D6F3C">
        <w:rPr>
          <w:rFonts w:ascii="Corbel" w:hAnsi="Corbel"/>
        </w:rPr>
        <w:t xml:space="preserve"> moving line measure as the basis for its international comparisons, which is why NZ has gone from one of the b</w:t>
      </w:r>
      <w:r w:rsidR="00041C5F" w:rsidRPr="001D6F3C">
        <w:rPr>
          <w:rFonts w:ascii="Corbel" w:hAnsi="Corbel"/>
        </w:rPr>
        <w:t xml:space="preserve">etter </w:t>
      </w:r>
      <w:r w:rsidRPr="001D6F3C">
        <w:rPr>
          <w:rFonts w:ascii="Corbel" w:hAnsi="Corbel"/>
        </w:rPr>
        <w:t>performing countries on income poverty</w:t>
      </w:r>
      <w:r w:rsidR="00041C5F" w:rsidRPr="001D6F3C">
        <w:rPr>
          <w:rFonts w:ascii="Corbel" w:hAnsi="Corbel"/>
        </w:rPr>
        <w:t xml:space="preserve"> for older people</w:t>
      </w:r>
      <w:r w:rsidRPr="001D6F3C">
        <w:rPr>
          <w:rFonts w:ascii="Corbel" w:hAnsi="Corbel"/>
        </w:rPr>
        <w:t xml:space="preserve"> (in the </w:t>
      </w:r>
      <w:r w:rsidR="00041C5F" w:rsidRPr="001D6F3C">
        <w:rPr>
          <w:rFonts w:ascii="Corbel" w:hAnsi="Corbel"/>
        </w:rPr>
        <w:t>mid-</w:t>
      </w:r>
      <w:r w:rsidRPr="001D6F3C">
        <w:rPr>
          <w:rFonts w:ascii="Corbel" w:hAnsi="Corbel"/>
        </w:rPr>
        <w:t xml:space="preserve">2000s) to </w:t>
      </w:r>
      <w:r w:rsidR="00A00EAA" w:rsidRPr="001D6F3C">
        <w:rPr>
          <w:rFonts w:ascii="Corbel" w:hAnsi="Corbel"/>
        </w:rPr>
        <w:t>below average</w:t>
      </w:r>
      <w:r w:rsidRPr="001D6F3C">
        <w:rPr>
          <w:rFonts w:ascii="Corbel" w:hAnsi="Corbel"/>
        </w:rPr>
        <w:t xml:space="preserve"> (</w:t>
      </w:r>
      <w:r w:rsidR="00510B71" w:rsidRPr="001D6F3C">
        <w:rPr>
          <w:rFonts w:ascii="Corbel" w:hAnsi="Corbel"/>
        </w:rPr>
        <w:t xml:space="preserve">in the early </w:t>
      </w:r>
      <w:r w:rsidRPr="001D6F3C">
        <w:rPr>
          <w:rFonts w:ascii="Corbel" w:hAnsi="Corbel"/>
        </w:rPr>
        <w:t>202</w:t>
      </w:r>
      <w:r w:rsidR="00B96B59" w:rsidRPr="001D6F3C">
        <w:rPr>
          <w:rFonts w:ascii="Corbel" w:hAnsi="Corbel"/>
        </w:rPr>
        <w:t>0</w:t>
      </w:r>
      <w:r w:rsidR="00510B71" w:rsidRPr="001D6F3C">
        <w:rPr>
          <w:rFonts w:ascii="Corbel" w:hAnsi="Corbel"/>
        </w:rPr>
        <w:t>s</w:t>
      </w:r>
      <w:r w:rsidRPr="001D6F3C">
        <w:rPr>
          <w:rFonts w:ascii="Corbel" w:hAnsi="Corbel"/>
        </w:rPr>
        <w:t>)</w:t>
      </w:r>
      <w:r w:rsidR="00510B71" w:rsidRPr="001D6F3C">
        <w:rPr>
          <w:rFonts w:ascii="Corbel" w:hAnsi="Corbel"/>
        </w:rPr>
        <w:t xml:space="preserve"> (OECD, 201</w:t>
      </w:r>
      <w:r w:rsidR="00041C5F" w:rsidRPr="001D6F3C">
        <w:rPr>
          <w:rFonts w:ascii="Corbel" w:hAnsi="Corbel"/>
        </w:rPr>
        <w:t>7)</w:t>
      </w:r>
      <w:r w:rsidRPr="001D6F3C">
        <w:rPr>
          <w:rFonts w:ascii="Corbel" w:hAnsi="Corbel"/>
        </w:rPr>
        <w:t>. Material hardship measures are, however, preferable when making international comparisons, both for the reasons set out here and because they are better suited for comparing ‘like with like’ across countries (see Perry,</w:t>
      </w:r>
      <w:r w:rsidR="00D45032" w:rsidRPr="001D6F3C">
        <w:rPr>
          <w:rFonts w:ascii="Corbel" w:hAnsi="Corbel"/>
        </w:rPr>
        <w:t xml:space="preserve"> 2022</w:t>
      </w:r>
      <w:r w:rsidRPr="001D6F3C">
        <w:rPr>
          <w:rFonts w:ascii="Corbel" w:hAnsi="Corbel"/>
        </w:rPr>
        <w:t xml:space="preserve"> </w:t>
      </w:r>
      <w:r w:rsidR="00402973" w:rsidRPr="001D6F3C">
        <w:rPr>
          <w:rFonts w:ascii="Corbel" w:hAnsi="Corbel"/>
        </w:rPr>
        <w:t>p.75</w:t>
      </w:r>
      <w:r w:rsidRPr="001D6F3C">
        <w:rPr>
          <w:rFonts w:ascii="Corbel" w:hAnsi="Corbel"/>
        </w:rPr>
        <w:t>)</w:t>
      </w:r>
    </w:p>
    <w:p w14:paraId="1E8FA7A3" w14:textId="1D4BE01C" w:rsidR="00370270" w:rsidRPr="001D6F3C" w:rsidRDefault="00370270" w:rsidP="00A60862">
      <w:pPr>
        <w:pStyle w:val="Heading2"/>
        <w:jc w:val="both"/>
        <w:rPr>
          <w:rFonts w:ascii="Corbel" w:hAnsi="Corbel"/>
        </w:rPr>
      </w:pPr>
      <w:bookmarkStart w:id="31" w:name="_Toc207782990"/>
      <w:r w:rsidRPr="001D6F3C">
        <w:rPr>
          <w:rFonts w:ascii="Corbel" w:hAnsi="Corbel"/>
        </w:rPr>
        <w:t>2.</w:t>
      </w:r>
      <w:r w:rsidR="001C17C8" w:rsidRPr="001D6F3C">
        <w:rPr>
          <w:rFonts w:ascii="Corbel" w:hAnsi="Corbel"/>
        </w:rPr>
        <w:t>3</w:t>
      </w:r>
      <w:r w:rsidR="009B4CE1" w:rsidRPr="001D6F3C">
        <w:rPr>
          <w:rFonts w:ascii="Corbel" w:hAnsi="Corbel"/>
        </w:rPr>
        <w:t xml:space="preserve"> </w:t>
      </w:r>
      <w:r w:rsidRPr="001D6F3C">
        <w:rPr>
          <w:rFonts w:ascii="Corbel" w:hAnsi="Corbel"/>
        </w:rPr>
        <w:t xml:space="preserve">Material </w:t>
      </w:r>
      <w:r w:rsidR="00226447" w:rsidRPr="001D6F3C">
        <w:rPr>
          <w:rFonts w:ascii="Corbel" w:hAnsi="Corbel"/>
        </w:rPr>
        <w:t>h</w:t>
      </w:r>
      <w:r w:rsidRPr="001D6F3C">
        <w:rPr>
          <w:rFonts w:ascii="Corbel" w:hAnsi="Corbel"/>
        </w:rPr>
        <w:t>ardship</w:t>
      </w:r>
      <w:bookmarkEnd w:id="31"/>
    </w:p>
    <w:p w14:paraId="1E97220F" w14:textId="310647D2" w:rsidR="00370270" w:rsidRPr="001D6F3C" w:rsidRDefault="0072349A" w:rsidP="00A60862">
      <w:pPr>
        <w:jc w:val="both"/>
        <w:rPr>
          <w:rFonts w:ascii="Corbel" w:hAnsi="Corbel"/>
        </w:rPr>
      </w:pPr>
      <w:r w:rsidRPr="001D6F3C">
        <w:rPr>
          <w:rFonts w:ascii="Corbel" w:hAnsi="Corbel"/>
        </w:rPr>
        <w:t>Material hardship in New Zealand</w:t>
      </w:r>
      <w:r w:rsidR="00341A55" w:rsidRPr="001D6F3C">
        <w:rPr>
          <w:rFonts w:ascii="Corbel" w:hAnsi="Corbel"/>
        </w:rPr>
        <w:t xml:space="preserve"> is most commonly measured by DEP-17, a </w:t>
      </w:r>
      <w:proofErr w:type="gramStart"/>
      <w:r w:rsidR="00C41394" w:rsidRPr="001D6F3C">
        <w:rPr>
          <w:rFonts w:ascii="Corbel" w:hAnsi="Corbel"/>
        </w:rPr>
        <w:t>17 item</w:t>
      </w:r>
      <w:proofErr w:type="gramEnd"/>
      <w:r w:rsidR="00C41394" w:rsidRPr="001D6F3C">
        <w:rPr>
          <w:rFonts w:ascii="Corbel" w:hAnsi="Corbel"/>
        </w:rPr>
        <w:t xml:space="preserve"> </w:t>
      </w:r>
      <w:r w:rsidR="00341A55" w:rsidRPr="001D6F3C">
        <w:rPr>
          <w:rFonts w:ascii="Corbel" w:hAnsi="Corbel"/>
        </w:rPr>
        <w:t xml:space="preserve">deprivation index </w:t>
      </w:r>
      <w:r w:rsidR="003434D4" w:rsidRPr="001D6F3C">
        <w:rPr>
          <w:rFonts w:ascii="Corbel" w:hAnsi="Corbel"/>
        </w:rPr>
        <w:t xml:space="preserve">that </w:t>
      </w:r>
      <w:r w:rsidRPr="001D6F3C">
        <w:rPr>
          <w:rFonts w:ascii="Corbel" w:hAnsi="Corbel"/>
        </w:rPr>
        <w:t>measure</w:t>
      </w:r>
      <w:r w:rsidR="00341A55" w:rsidRPr="001D6F3C">
        <w:rPr>
          <w:rFonts w:ascii="Corbel" w:hAnsi="Corbel"/>
        </w:rPr>
        <w:t>s</w:t>
      </w:r>
      <w:r w:rsidRPr="001D6F3C">
        <w:rPr>
          <w:rFonts w:ascii="Corbel" w:hAnsi="Corbel"/>
        </w:rPr>
        <w:t xml:space="preserve"> the extent to which individuals or households lack essential everyday items and services</w:t>
      </w:r>
      <w:r w:rsidR="00C41394" w:rsidRPr="001D6F3C">
        <w:rPr>
          <w:rFonts w:ascii="Corbel" w:hAnsi="Corbel"/>
        </w:rPr>
        <w:t xml:space="preserve">. </w:t>
      </w:r>
      <w:r w:rsidR="00370270" w:rsidRPr="001D6F3C">
        <w:rPr>
          <w:rFonts w:ascii="Corbel" w:hAnsi="Corbel"/>
        </w:rPr>
        <w:t xml:space="preserve">Analysis of material hardship using the </w:t>
      </w:r>
      <w:r w:rsidR="00C41394" w:rsidRPr="001D6F3C">
        <w:rPr>
          <w:rFonts w:ascii="Corbel" w:hAnsi="Corbel"/>
        </w:rPr>
        <w:t>i</w:t>
      </w:r>
      <w:r w:rsidR="00370270" w:rsidRPr="001D6F3C">
        <w:rPr>
          <w:rFonts w:ascii="Corbel" w:hAnsi="Corbel"/>
        </w:rPr>
        <w:t>ndex shows:</w:t>
      </w:r>
    </w:p>
    <w:p w14:paraId="27026401" w14:textId="4402C189" w:rsidR="00370270" w:rsidRPr="001D6F3C" w:rsidRDefault="00370270" w:rsidP="00D404C5">
      <w:pPr>
        <w:numPr>
          <w:ilvl w:val="0"/>
          <w:numId w:val="16"/>
        </w:numPr>
        <w:jc w:val="both"/>
        <w:rPr>
          <w:rFonts w:ascii="Corbel" w:hAnsi="Corbel"/>
        </w:rPr>
      </w:pPr>
      <w:r w:rsidRPr="001D6F3C">
        <w:rPr>
          <w:rFonts w:ascii="Corbel" w:hAnsi="Corbel"/>
          <w:b/>
          <w:bCs/>
        </w:rPr>
        <w:lastRenderedPageBreak/>
        <w:t>There is a group of older people experiencing serious financial difficulties.</w:t>
      </w:r>
      <w:r w:rsidRPr="001D6F3C">
        <w:rPr>
          <w:rFonts w:ascii="Corbel" w:hAnsi="Corbel"/>
        </w:rPr>
        <w:t xml:space="preserve"> Around 3% of older people, or 2</w:t>
      </w:r>
      <w:r w:rsidR="001E0C19">
        <w:rPr>
          <w:rFonts w:ascii="Corbel" w:hAnsi="Corbel"/>
        </w:rPr>
        <w:t>5</w:t>
      </w:r>
      <w:r w:rsidRPr="001D6F3C">
        <w:rPr>
          <w:rFonts w:ascii="Corbel" w:hAnsi="Corbel"/>
        </w:rPr>
        <w:t>,000 people</w:t>
      </w:r>
      <w:r w:rsidRPr="001D6F3C">
        <w:rPr>
          <w:rFonts w:ascii="Corbel" w:hAnsi="Corbel"/>
          <w:b/>
          <w:bCs/>
        </w:rPr>
        <w:t xml:space="preserve">, </w:t>
      </w:r>
      <w:r w:rsidRPr="001D6F3C">
        <w:rPr>
          <w:rFonts w:ascii="Corbel" w:hAnsi="Corbel"/>
        </w:rPr>
        <w:t>are experiencing material hardship - they experience 6 or more ‘deprivations’ – in areas like feeling very limited in buying clothes or shoes, being unable to afford presents for family or friends on special occasions, having to postpone visits to the doctor or dentist, putting up with feeling cold, or being behind on rates or utilities. A further group of around 4%, or 30,000 people, are in ‘near hardship’ (4+ deprivations)</w:t>
      </w:r>
      <w:r w:rsidR="00AC218D" w:rsidRPr="001D6F3C">
        <w:rPr>
          <w:rFonts w:ascii="Corbel" w:hAnsi="Corbel"/>
        </w:rPr>
        <w:t xml:space="preserve"> and are also likely to be financially struggling. </w:t>
      </w:r>
    </w:p>
    <w:p w14:paraId="21C349F0" w14:textId="5C8B113B" w:rsidR="00370270" w:rsidRPr="001D6F3C" w:rsidRDefault="00370270" w:rsidP="00D404C5">
      <w:pPr>
        <w:numPr>
          <w:ilvl w:val="0"/>
          <w:numId w:val="16"/>
        </w:numPr>
        <w:jc w:val="both"/>
        <w:rPr>
          <w:rFonts w:ascii="Corbel" w:hAnsi="Corbel"/>
        </w:rPr>
      </w:pPr>
      <w:r w:rsidRPr="001D6F3C">
        <w:rPr>
          <w:rFonts w:ascii="Corbel" w:hAnsi="Corbel"/>
          <w:b/>
          <w:bCs/>
        </w:rPr>
        <w:t>On material hardship rates, older people in New Zealand are doing comparatively well</w:t>
      </w:r>
      <w:r w:rsidR="00C01CD7" w:rsidRPr="001D6F3C">
        <w:rPr>
          <w:rFonts w:ascii="Corbel" w:hAnsi="Corbel"/>
          <w:b/>
          <w:bCs/>
        </w:rPr>
        <w:t>.</w:t>
      </w:r>
      <w:r w:rsidRPr="001D6F3C">
        <w:rPr>
          <w:rFonts w:ascii="Corbel" w:hAnsi="Corbel"/>
          <w:b/>
          <w:bCs/>
        </w:rPr>
        <w:t xml:space="preserve"> </w:t>
      </w:r>
      <w:r w:rsidRPr="001D6F3C">
        <w:rPr>
          <w:rFonts w:ascii="Corbel" w:hAnsi="Corbel"/>
        </w:rPr>
        <w:t xml:space="preserve">The rate for older people is lower than for the </w:t>
      </w:r>
      <w:proofErr w:type="gramStart"/>
      <w:r w:rsidRPr="001D6F3C">
        <w:rPr>
          <w:rFonts w:ascii="Corbel" w:hAnsi="Corbel"/>
        </w:rPr>
        <w:t>population as a whole</w:t>
      </w:r>
      <w:proofErr w:type="gramEnd"/>
      <w:r w:rsidRPr="001D6F3C">
        <w:rPr>
          <w:rFonts w:ascii="Corbel" w:hAnsi="Corbel"/>
        </w:rPr>
        <w:t xml:space="preserve"> (</w:t>
      </w:r>
      <w:r w:rsidR="002A7247" w:rsidRPr="001D6F3C">
        <w:rPr>
          <w:rFonts w:ascii="Corbel" w:hAnsi="Corbel"/>
        </w:rPr>
        <w:t>9</w:t>
      </w:r>
      <w:r w:rsidRPr="001D6F3C">
        <w:rPr>
          <w:rFonts w:ascii="Corbel" w:hAnsi="Corbel"/>
        </w:rPr>
        <w:t>%), and much lower than for households with children (13%). NZ also rates well compared with EU countries on material hardship for older people – we are in the upper third</w:t>
      </w:r>
      <w:r w:rsidR="007728CC" w:rsidRPr="001D6F3C">
        <w:rPr>
          <w:rFonts w:ascii="Corbel" w:hAnsi="Corbel"/>
        </w:rPr>
        <w:t xml:space="preserve"> of countries</w:t>
      </w:r>
      <w:r w:rsidRPr="001D6F3C">
        <w:rPr>
          <w:rFonts w:ascii="Corbel" w:hAnsi="Corbel"/>
        </w:rPr>
        <w:t xml:space="preserve">. </w:t>
      </w:r>
    </w:p>
    <w:p w14:paraId="5BF85247" w14:textId="48F3D100" w:rsidR="00370270" w:rsidRPr="001D6F3C" w:rsidRDefault="00370270" w:rsidP="00D404C5">
      <w:pPr>
        <w:numPr>
          <w:ilvl w:val="0"/>
          <w:numId w:val="16"/>
        </w:numPr>
        <w:jc w:val="both"/>
        <w:rPr>
          <w:rFonts w:ascii="Corbel" w:hAnsi="Corbel"/>
        </w:rPr>
      </w:pPr>
      <w:r w:rsidRPr="001D6F3C">
        <w:rPr>
          <w:rFonts w:ascii="Corbel" w:hAnsi="Corbel"/>
          <w:b/>
          <w:bCs/>
        </w:rPr>
        <w:t>Amongst the small group</w:t>
      </w:r>
      <w:r w:rsidR="00575019" w:rsidRPr="001D6F3C">
        <w:rPr>
          <w:rFonts w:ascii="Corbel" w:hAnsi="Corbel"/>
          <w:b/>
          <w:bCs/>
        </w:rPr>
        <w:t xml:space="preserve"> of older people</w:t>
      </w:r>
      <w:r w:rsidRPr="001D6F3C">
        <w:rPr>
          <w:rFonts w:ascii="Corbel" w:hAnsi="Corbel"/>
          <w:b/>
          <w:bCs/>
        </w:rPr>
        <w:t xml:space="preserve"> that are in hardship, certain population groups are over-represented. </w:t>
      </w:r>
      <w:r w:rsidRPr="001D6F3C">
        <w:rPr>
          <w:rFonts w:ascii="Corbel" w:hAnsi="Corbel"/>
        </w:rPr>
        <w:t xml:space="preserve">There are much higher hardship rates amongst </w:t>
      </w:r>
      <w:r w:rsidR="002814DF" w:rsidRPr="001D6F3C">
        <w:rPr>
          <w:rFonts w:ascii="Corbel" w:hAnsi="Corbel"/>
        </w:rPr>
        <w:t xml:space="preserve">older </w:t>
      </w:r>
      <w:r w:rsidRPr="001D6F3C">
        <w:rPr>
          <w:rFonts w:ascii="Corbel" w:hAnsi="Corbel"/>
        </w:rPr>
        <w:t xml:space="preserve">Pacific (14%) and Māori (8%), than for European (2%) and Asian (3%). There are higher rates for </w:t>
      </w:r>
      <w:r w:rsidR="00FA4256" w:rsidRPr="001D6F3C">
        <w:rPr>
          <w:rFonts w:ascii="Corbel" w:hAnsi="Corbel"/>
        </w:rPr>
        <w:t xml:space="preserve">one-person </w:t>
      </w:r>
      <w:r w:rsidRPr="001D6F3C">
        <w:rPr>
          <w:rFonts w:ascii="Corbel" w:hAnsi="Corbel"/>
        </w:rPr>
        <w:t>households (</w:t>
      </w:r>
      <w:r w:rsidR="00FA4256" w:rsidRPr="001D6F3C">
        <w:rPr>
          <w:rFonts w:ascii="Corbel" w:hAnsi="Corbel"/>
        </w:rPr>
        <w:t>4</w:t>
      </w:r>
      <w:r w:rsidRPr="001D6F3C">
        <w:rPr>
          <w:rFonts w:ascii="Corbel" w:hAnsi="Corbel"/>
        </w:rPr>
        <w:t>%) than for couples (1%), and much higher rates for multi-family/generational households, including those without children (5%) and those with children (11%)</w:t>
      </w:r>
      <w:r w:rsidR="00F52D51" w:rsidRPr="001D6F3C">
        <w:rPr>
          <w:rFonts w:ascii="Corbel" w:hAnsi="Corbel"/>
        </w:rPr>
        <w:t>.</w:t>
      </w:r>
      <w:r w:rsidR="00D52DF6">
        <w:rPr>
          <w:rFonts w:ascii="Corbel" w:hAnsi="Corbel"/>
        </w:rPr>
        <w:t xml:space="preserve"> Compared with mortgage-free homeowners (1%), rates are higher for households with mortgages (5%) and those renting privately without AS (5%), and much higher for renters receiving AS (16%).</w:t>
      </w:r>
    </w:p>
    <w:p w14:paraId="67C18AFF" w14:textId="3C2AD509" w:rsidR="004F4823" w:rsidRPr="001D6F3C" w:rsidRDefault="00370270" w:rsidP="00D404C5">
      <w:pPr>
        <w:numPr>
          <w:ilvl w:val="0"/>
          <w:numId w:val="16"/>
        </w:numPr>
        <w:jc w:val="both"/>
        <w:rPr>
          <w:rFonts w:ascii="Corbel" w:hAnsi="Corbel"/>
        </w:rPr>
      </w:pPr>
      <w:r w:rsidRPr="001D6F3C">
        <w:rPr>
          <w:rFonts w:ascii="Corbel" w:hAnsi="Corbel"/>
          <w:b/>
          <w:bCs/>
        </w:rPr>
        <w:t>There has not been any</w:t>
      </w:r>
      <w:r w:rsidR="00AC218D" w:rsidRPr="001D6F3C">
        <w:rPr>
          <w:rFonts w:ascii="Corbel" w:hAnsi="Corbel"/>
          <w:b/>
          <w:bCs/>
        </w:rPr>
        <w:t xml:space="preserve"> significant</w:t>
      </w:r>
      <w:r w:rsidRPr="001D6F3C">
        <w:rPr>
          <w:rFonts w:ascii="Corbel" w:hAnsi="Corbel"/>
          <w:b/>
          <w:bCs/>
        </w:rPr>
        <w:t xml:space="preserve"> increase in material hardship for older people </w:t>
      </w:r>
      <w:r w:rsidR="00AC218D" w:rsidRPr="001D6F3C">
        <w:rPr>
          <w:rFonts w:ascii="Corbel" w:hAnsi="Corbel"/>
          <w:b/>
          <w:bCs/>
        </w:rPr>
        <w:t>over the past decade</w:t>
      </w:r>
      <w:r w:rsidRPr="001D6F3C">
        <w:rPr>
          <w:rFonts w:ascii="Corbel" w:hAnsi="Corbel"/>
          <w:b/>
          <w:bCs/>
        </w:rPr>
        <w:t>.</w:t>
      </w:r>
      <w:r w:rsidRPr="001D6F3C">
        <w:rPr>
          <w:rFonts w:ascii="Corbel" w:hAnsi="Corbel"/>
        </w:rPr>
        <w:t xml:space="preserve"> </w:t>
      </w:r>
      <w:r w:rsidR="004D7EB5" w:rsidRPr="001D6F3C">
        <w:rPr>
          <w:rFonts w:ascii="Corbel" w:hAnsi="Corbel"/>
        </w:rPr>
        <w:t>As below, t</w:t>
      </w:r>
      <w:r w:rsidRPr="001D6F3C">
        <w:rPr>
          <w:rFonts w:ascii="Corbel" w:hAnsi="Corbel"/>
        </w:rPr>
        <w:t xml:space="preserve">he rate of material hardship for those aged 65+ </w:t>
      </w:r>
      <w:r w:rsidR="00AC218D" w:rsidRPr="001D6F3C">
        <w:rPr>
          <w:rFonts w:ascii="Corbel" w:hAnsi="Corbel"/>
        </w:rPr>
        <w:t>has remained at 2-3</w:t>
      </w:r>
      <w:r w:rsidRPr="001D6F3C">
        <w:rPr>
          <w:rFonts w:ascii="Corbel" w:hAnsi="Corbel"/>
        </w:rPr>
        <w:t xml:space="preserve">% </w:t>
      </w:r>
      <w:r w:rsidR="00AC218D" w:rsidRPr="001D6F3C">
        <w:rPr>
          <w:rFonts w:ascii="Corbel" w:hAnsi="Corbel"/>
        </w:rPr>
        <w:t>since the early</w:t>
      </w:r>
      <w:r w:rsidRPr="001D6F3C">
        <w:rPr>
          <w:rFonts w:ascii="Corbel" w:hAnsi="Corbel"/>
        </w:rPr>
        <w:t xml:space="preserve"> 2010s</w:t>
      </w:r>
      <w:r w:rsidR="004D7EB5" w:rsidRPr="001D6F3C">
        <w:rPr>
          <w:rFonts w:ascii="Corbel" w:hAnsi="Corbel"/>
        </w:rPr>
        <w:t xml:space="preserve"> (trends prior to 2013 are reliant on a different index, which is compatible enough for other age groups, but not for those over 65)</w:t>
      </w:r>
      <w:r w:rsidRPr="001D6F3C">
        <w:rPr>
          <w:rFonts w:ascii="Corbel" w:hAnsi="Corbel"/>
        </w:rPr>
        <w:t>.</w:t>
      </w:r>
      <w:r w:rsidR="004D7EB5" w:rsidRPr="001D6F3C">
        <w:rPr>
          <w:rFonts w:ascii="Corbel" w:hAnsi="Corbel"/>
        </w:rPr>
        <w:t xml:space="preserve"> </w:t>
      </w:r>
      <w:r w:rsidR="004F4823" w:rsidRPr="001D6F3C">
        <w:rPr>
          <w:rFonts w:ascii="Corbel" w:hAnsi="Corbel"/>
        </w:rPr>
        <w:t xml:space="preserve">Material hardship rates for single people and couples over 65 have remained reasonably steady over the past five years (in contrast to the income poverty trends noted above). </w:t>
      </w:r>
    </w:p>
    <w:p w14:paraId="607962AE" w14:textId="06372F35" w:rsidR="00370270" w:rsidRPr="001D6F3C" w:rsidRDefault="004D7EB5" w:rsidP="004F4823">
      <w:pPr>
        <w:jc w:val="both"/>
        <w:rPr>
          <w:rFonts w:ascii="Corbel" w:hAnsi="Corbel"/>
        </w:rPr>
      </w:pPr>
      <w:r w:rsidRPr="001D6F3C">
        <w:rPr>
          <w:rFonts w:ascii="Corbel" w:hAnsi="Corbel"/>
        </w:rPr>
        <w:t>This trend is broadly consistent with other data on self-assessed income adequacy</w:t>
      </w:r>
      <w:r w:rsidR="004F4823" w:rsidRPr="001D6F3C">
        <w:rPr>
          <w:rFonts w:ascii="Corbel" w:hAnsi="Corbel"/>
        </w:rPr>
        <w:t xml:space="preserve"> over the same period</w:t>
      </w:r>
      <w:r w:rsidR="00C01CD7" w:rsidRPr="001D6F3C">
        <w:rPr>
          <w:rFonts w:ascii="Corbel" w:hAnsi="Corbel"/>
        </w:rPr>
        <w:t>. That data</w:t>
      </w:r>
      <w:r w:rsidRPr="001D6F3C">
        <w:rPr>
          <w:rFonts w:ascii="Corbel" w:hAnsi="Corbel"/>
        </w:rPr>
        <w:t xml:space="preserve"> shows</w:t>
      </w:r>
      <w:r w:rsidR="004F4823" w:rsidRPr="001D6F3C">
        <w:rPr>
          <w:rFonts w:ascii="Corbel" w:hAnsi="Corbel"/>
        </w:rPr>
        <w:t xml:space="preserve"> </w:t>
      </w:r>
      <w:r w:rsidR="00C01CD7" w:rsidRPr="001D6F3C">
        <w:rPr>
          <w:rFonts w:ascii="Corbel" w:hAnsi="Corbel"/>
        </w:rPr>
        <w:t xml:space="preserve">a downward trend in </w:t>
      </w:r>
      <w:r w:rsidR="004F4823" w:rsidRPr="001D6F3C">
        <w:rPr>
          <w:rFonts w:ascii="Corbel" w:hAnsi="Corbel"/>
        </w:rPr>
        <w:t>the proportion of</w:t>
      </w:r>
      <w:r w:rsidRPr="001D6F3C">
        <w:rPr>
          <w:rFonts w:ascii="Corbel" w:hAnsi="Corbel"/>
        </w:rPr>
        <w:t xml:space="preserve"> older New Zealanders reporting ‘not enough’ income for </w:t>
      </w:r>
      <w:proofErr w:type="gramStart"/>
      <w:r w:rsidRPr="001D6F3C">
        <w:rPr>
          <w:rFonts w:ascii="Corbel" w:hAnsi="Corbel"/>
        </w:rPr>
        <w:t>basic necessities</w:t>
      </w:r>
      <w:proofErr w:type="gramEnd"/>
      <w:r w:rsidRPr="001D6F3C">
        <w:rPr>
          <w:rFonts w:ascii="Corbel" w:hAnsi="Corbel"/>
        </w:rPr>
        <w:t xml:space="preserve"> </w:t>
      </w:r>
      <w:r w:rsidR="00C01CD7" w:rsidRPr="001D6F3C">
        <w:rPr>
          <w:rFonts w:ascii="Corbel" w:hAnsi="Corbel"/>
        </w:rPr>
        <w:t>(</w:t>
      </w:r>
      <w:r w:rsidRPr="001D6F3C">
        <w:rPr>
          <w:rFonts w:ascii="Corbel" w:hAnsi="Corbel"/>
        </w:rPr>
        <w:t>since 2013</w:t>
      </w:r>
      <w:r w:rsidR="00C01CD7" w:rsidRPr="001D6F3C">
        <w:rPr>
          <w:rFonts w:ascii="Corbel" w:hAnsi="Corbel"/>
        </w:rPr>
        <w:t>)</w:t>
      </w:r>
      <w:r w:rsidRPr="001D6F3C">
        <w:rPr>
          <w:rFonts w:ascii="Corbel" w:hAnsi="Corbel"/>
        </w:rPr>
        <w:t>.</w:t>
      </w:r>
    </w:p>
    <w:p w14:paraId="689E0ECF" w14:textId="00D3A312" w:rsidR="00846695" w:rsidRPr="001D6F3C" w:rsidRDefault="00846695" w:rsidP="00A60862">
      <w:pPr>
        <w:pStyle w:val="Caption"/>
        <w:keepNext/>
        <w:jc w:val="both"/>
        <w:rPr>
          <w:rFonts w:ascii="Corbel" w:hAnsi="Corbel"/>
        </w:rPr>
      </w:pPr>
      <w:bookmarkStart w:id="32" w:name="_Toc203142273"/>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13</w:t>
      </w:r>
      <w:r w:rsidR="00585542" w:rsidRPr="001D6F3C">
        <w:rPr>
          <w:rFonts w:ascii="Corbel" w:hAnsi="Corbel"/>
        </w:rPr>
        <w:fldChar w:fldCharType="end"/>
      </w:r>
      <w:r w:rsidRPr="001D6F3C">
        <w:rPr>
          <w:rFonts w:ascii="Corbel" w:hAnsi="Corbel"/>
        </w:rPr>
        <w:t xml:space="preserve"> - Material hardship trends by age</w:t>
      </w:r>
      <w:bookmarkEnd w:id="32"/>
    </w:p>
    <w:p w14:paraId="6A30E2F8" w14:textId="5C7E940E" w:rsidR="00370270" w:rsidRPr="001D6F3C" w:rsidRDefault="00AC218D" w:rsidP="0024204C">
      <w:pPr>
        <w:jc w:val="center"/>
        <w:rPr>
          <w:rFonts w:ascii="Corbel" w:hAnsi="Corbel"/>
        </w:rPr>
      </w:pPr>
      <w:r w:rsidRPr="001D6F3C">
        <w:rPr>
          <w:rFonts w:ascii="Corbel" w:hAnsi="Corbel"/>
          <w:noProof/>
        </w:rPr>
        <w:drawing>
          <wp:inline distT="0" distB="0" distL="0" distR="0" wp14:anchorId="37E8FBD4" wp14:editId="0899414B">
            <wp:extent cx="3182587" cy="1865104"/>
            <wp:effectExtent l="0" t="0" r="0" b="1905"/>
            <wp:docPr id="1322318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342" b="3717"/>
                    <a:stretch/>
                  </pic:blipFill>
                  <pic:spPr bwMode="auto">
                    <a:xfrm>
                      <a:off x="0" y="0"/>
                      <a:ext cx="3209981" cy="1881158"/>
                    </a:xfrm>
                    <a:prstGeom prst="rect">
                      <a:avLst/>
                    </a:prstGeom>
                    <a:noFill/>
                    <a:ln>
                      <a:noFill/>
                    </a:ln>
                    <a:extLst>
                      <a:ext uri="{53640926-AAD7-44D8-BBD7-CCE9431645EC}">
                        <a14:shadowObscured xmlns:a14="http://schemas.microsoft.com/office/drawing/2010/main"/>
                      </a:ext>
                    </a:extLst>
                  </pic:spPr>
                </pic:pic>
              </a:graphicData>
            </a:graphic>
          </wp:inline>
        </w:drawing>
      </w:r>
    </w:p>
    <w:p w14:paraId="2A0A61F9" w14:textId="029C1F96" w:rsidR="00C54BE7" w:rsidRPr="001D6F3C" w:rsidRDefault="00C54BE7" w:rsidP="00A60862">
      <w:pPr>
        <w:jc w:val="both"/>
        <w:rPr>
          <w:rFonts w:ascii="Corbel" w:hAnsi="Corbel"/>
          <w:lang w:val="en-GB"/>
        </w:rPr>
      </w:pPr>
      <w:r w:rsidRPr="001D6F3C">
        <w:rPr>
          <w:rFonts w:ascii="Corbel" w:hAnsi="Corbel"/>
          <w:lang w:val="en-GB"/>
        </w:rPr>
        <w:t>The table below by Perry use</w:t>
      </w:r>
      <w:r w:rsidR="002B4CEC" w:rsidRPr="001D6F3C">
        <w:rPr>
          <w:rFonts w:ascii="Corbel" w:hAnsi="Corbel"/>
          <w:lang w:val="en-GB"/>
        </w:rPr>
        <w:t>s</w:t>
      </w:r>
      <w:r w:rsidRPr="001D6F3C">
        <w:rPr>
          <w:rFonts w:ascii="Corbel" w:hAnsi="Corbel"/>
          <w:lang w:val="en-GB"/>
        </w:rPr>
        <w:t xml:space="preserve"> a joint income-savings approach to examine the distribution of material hardship and near material </w:t>
      </w:r>
      <w:r w:rsidR="00B033B5" w:rsidRPr="001D6F3C">
        <w:rPr>
          <w:rFonts w:ascii="Corbel" w:hAnsi="Corbel"/>
          <w:lang w:val="en-GB"/>
        </w:rPr>
        <w:t>hardship, grouping older households in each income quintile into low, medium, and high savings groups. It suggests that the level of ‘savings’ held by a household has a significant impact on its material and financial wellbeing</w:t>
      </w:r>
      <w:r w:rsidR="7575839F" w:rsidRPr="001D6F3C">
        <w:rPr>
          <w:rFonts w:ascii="Corbel" w:hAnsi="Corbel"/>
          <w:lang w:val="en-GB"/>
        </w:rPr>
        <w:t xml:space="preserve"> –</w:t>
      </w:r>
      <w:r w:rsidR="042551A2" w:rsidRPr="001D6F3C">
        <w:rPr>
          <w:rFonts w:ascii="Corbel" w:hAnsi="Corbel"/>
          <w:lang w:val="en-GB"/>
        </w:rPr>
        <w:t xml:space="preserve"> within each income band, </w:t>
      </w:r>
      <w:r w:rsidR="747B84E8" w:rsidRPr="001D6F3C">
        <w:rPr>
          <w:rFonts w:ascii="Corbel" w:hAnsi="Corbel"/>
          <w:lang w:val="en-GB"/>
        </w:rPr>
        <w:t xml:space="preserve">those with low savings have much higher hardship rates - </w:t>
      </w:r>
      <w:r w:rsidR="7575839F" w:rsidRPr="001D6F3C">
        <w:rPr>
          <w:rFonts w:ascii="Corbel" w:hAnsi="Corbel"/>
          <w:lang w:val="en-GB"/>
        </w:rPr>
        <w:t xml:space="preserve">even for those in the </w:t>
      </w:r>
      <w:proofErr w:type="gramStart"/>
      <w:r w:rsidR="7575839F" w:rsidRPr="001D6F3C">
        <w:rPr>
          <w:rFonts w:ascii="Corbel" w:hAnsi="Corbel"/>
          <w:lang w:val="en-GB"/>
        </w:rPr>
        <w:t>second and third income</w:t>
      </w:r>
      <w:proofErr w:type="gramEnd"/>
      <w:r w:rsidR="7575839F" w:rsidRPr="001D6F3C">
        <w:rPr>
          <w:rFonts w:ascii="Corbel" w:hAnsi="Corbel"/>
          <w:lang w:val="en-GB"/>
        </w:rPr>
        <w:t xml:space="preserve"> </w:t>
      </w:r>
      <w:r w:rsidR="6A60D548" w:rsidRPr="001D6F3C">
        <w:rPr>
          <w:rFonts w:ascii="Corbel" w:hAnsi="Corbel"/>
          <w:lang w:val="en-GB"/>
        </w:rPr>
        <w:t>quintiles</w:t>
      </w:r>
      <w:r w:rsidRPr="001D6F3C">
        <w:rPr>
          <w:rFonts w:ascii="Corbel" w:hAnsi="Corbel"/>
          <w:lang w:val="en-GB"/>
        </w:rPr>
        <w:t>.</w:t>
      </w:r>
    </w:p>
    <w:p w14:paraId="70D4FADF" w14:textId="11404C48" w:rsidR="00D048DB" w:rsidRPr="001D6F3C" w:rsidRDefault="00D048DB" w:rsidP="00D048DB">
      <w:pPr>
        <w:pStyle w:val="Caption"/>
        <w:keepNext/>
      </w:pPr>
      <w:bookmarkStart w:id="33" w:name="_Toc203647399"/>
      <w:r w:rsidRPr="001D6F3C">
        <w:lastRenderedPageBreak/>
        <w:t xml:space="preserve">Table </w:t>
      </w:r>
      <w:r w:rsidRPr="001D6F3C">
        <w:fldChar w:fldCharType="begin"/>
      </w:r>
      <w:r w:rsidRPr="001D6F3C">
        <w:instrText xml:space="preserve"> SEQ Table \* ARABIC </w:instrText>
      </w:r>
      <w:r w:rsidRPr="001D6F3C">
        <w:fldChar w:fldCharType="separate"/>
      </w:r>
      <w:r w:rsidRPr="001D6F3C">
        <w:rPr>
          <w:noProof/>
        </w:rPr>
        <w:t>2</w:t>
      </w:r>
      <w:r w:rsidRPr="001D6F3C">
        <w:fldChar w:fldCharType="end"/>
      </w:r>
      <w:r w:rsidRPr="001D6F3C">
        <w:t xml:space="preserve"> - Distribution of material hardship using a joint income-savings analysis, HES 2020-21</w:t>
      </w:r>
      <w:bookmarkEnd w:id="33"/>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3"/>
        <w:gridCol w:w="725"/>
        <w:gridCol w:w="726"/>
        <w:gridCol w:w="729"/>
        <w:gridCol w:w="726"/>
        <w:gridCol w:w="727"/>
        <w:gridCol w:w="729"/>
        <w:gridCol w:w="726"/>
        <w:gridCol w:w="726"/>
        <w:gridCol w:w="727"/>
        <w:gridCol w:w="10"/>
      </w:tblGrid>
      <w:tr w:rsidR="00C54BE7" w:rsidRPr="001D6F3C" w14:paraId="73B651EE" w14:textId="77777777" w:rsidTr="00B73D9B">
        <w:trPr>
          <w:trHeight w:val="382"/>
          <w:jc w:val="center"/>
        </w:trPr>
        <w:tc>
          <w:tcPr>
            <w:tcW w:w="2473" w:type="dxa"/>
            <w:tcBorders>
              <w:right w:val="single" w:sz="8" w:space="0" w:color="auto"/>
            </w:tcBorders>
            <w:tcMar>
              <w:left w:w="28" w:type="dxa"/>
              <w:right w:w="85" w:type="dxa"/>
            </w:tcMar>
            <w:vAlign w:val="center"/>
          </w:tcPr>
          <w:p w14:paraId="2A0C89C3" w14:textId="77777777" w:rsidR="00C54BE7" w:rsidRPr="001D6F3C" w:rsidRDefault="00C54BE7" w:rsidP="004836FE">
            <w:pPr>
              <w:spacing w:before="40" w:after="40"/>
              <w:jc w:val="center"/>
              <w:rPr>
                <w:rFonts w:ascii="Corbel" w:hAnsi="Corbel" w:cs="Arial"/>
                <w:b/>
                <w:color w:val="000000"/>
                <w:sz w:val="18"/>
                <w:szCs w:val="18"/>
              </w:rPr>
            </w:pPr>
          </w:p>
        </w:tc>
        <w:tc>
          <w:tcPr>
            <w:tcW w:w="2180" w:type="dxa"/>
            <w:gridSpan w:val="3"/>
            <w:tcBorders>
              <w:left w:val="single" w:sz="8" w:space="0" w:color="auto"/>
              <w:right w:val="single" w:sz="8" w:space="0" w:color="auto"/>
            </w:tcBorders>
            <w:tcMar>
              <w:left w:w="28" w:type="dxa"/>
              <w:right w:w="85" w:type="dxa"/>
            </w:tcMar>
            <w:vAlign w:val="center"/>
          </w:tcPr>
          <w:p w14:paraId="3E0DC519" w14:textId="77777777" w:rsidR="00C54BE7" w:rsidRPr="001D6F3C" w:rsidRDefault="00C54BE7" w:rsidP="004836FE">
            <w:pPr>
              <w:spacing w:before="40" w:after="40"/>
              <w:jc w:val="center"/>
              <w:rPr>
                <w:rFonts w:ascii="Corbel" w:eastAsia="Calibri" w:hAnsi="Corbel" w:cs="Arial"/>
                <w:b/>
                <w:bCs/>
                <w:color w:val="000000"/>
                <w:sz w:val="18"/>
                <w:szCs w:val="18"/>
              </w:rPr>
            </w:pPr>
            <w:r w:rsidRPr="001D6F3C">
              <w:rPr>
                <w:rFonts w:ascii="Corbel" w:eastAsia="Calibri" w:hAnsi="Corbel" w:cs="Arial"/>
                <w:b/>
                <w:bCs/>
                <w:color w:val="000000"/>
                <w:sz w:val="18"/>
                <w:szCs w:val="18"/>
              </w:rPr>
              <w:t>Income quintile 1</w:t>
            </w:r>
          </w:p>
          <w:p w14:paraId="314F1FF5"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color w:val="000000"/>
                <w:sz w:val="18"/>
                <w:szCs w:val="18"/>
              </w:rPr>
              <w:t xml:space="preserve">Av </w:t>
            </w:r>
            <w:proofErr w:type="spellStart"/>
            <w:r w:rsidRPr="001D6F3C">
              <w:rPr>
                <w:rFonts w:ascii="Corbel" w:eastAsia="Calibri" w:hAnsi="Corbel" w:cs="Arial"/>
                <w:color w:val="000000"/>
                <w:sz w:val="18"/>
                <w:szCs w:val="18"/>
              </w:rPr>
              <w:t>equiv</w:t>
            </w:r>
            <w:proofErr w:type="spellEnd"/>
            <w:r w:rsidRPr="001D6F3C">
              <w:rPr>
                <w:rFonts w:ascii="Corbel" w:eastAsia="Calibri" w:hAnsi="Corbel" w:cs="Arial"/>
                <w:color w:val="000000"/>
                <w:sz w:val="18"/>
                <w:szCs w:val="18"/>
              </w:rPr>
              <w:t xml:space="preserve"> income 23-24k</w:t>
            </w:r>
          </w:p>
        </w:tc>
        <w:tc>
          <w:tcPr>
            <w:tcW w:w="2182" w:type="dxa"/>
            <w:gridSpan w:val="3"/>
            <w:tcBorders>
              <w:left w:val="single" w:sz="8" w:space="0" w:color="auto"/>
              <w:right w:val="single" w:sz="8" w:space="0" w:color="auto"/>
            </w:tcBorders>
            <w:tcMar>
              <w:left w:w="28" w:type="dxa"/>
              <w:right w:w="85" w:type="dxa"/>
            </w:tcMar>
            <w:vAlign w:val="center"/>
          </w:tcPr>
          <w:p w14:paraId="4389C59B" w14:textId="591FCDAF" w:rsidR="00C54BE7" w:rsidRPr="001D6F3C" w:rsidRDefault="00C54BE7" w:rsidP="004836FE">
            <w:pPr>
              <w:spacing w:before="40" w:after="40"/>
              <w:jc w:val="center"/>
              <w:rPr>
                <w:rFonts w:ascii="Corbel" w:eastAsia="Calibri" w:hAnsi="Corbel" w:cs="Arial"/>
                <w:b/>
                <w:bCs/>
                <w:color w:val="000000"/>
                <w:sz w:val="18"/>
                <w:szCs w:val="18"/>
              </w:rPr>
            </w:pPr>
            <w:r w:rsidRPr="001D6F3C">
              <w:rPr>
                <w:rFonts w:ascii="Corbel" w:eastAsia="Calibri" w:hAnsi="Corbel" w:cs="Arial"/>
                <w:b/>
                <w:bCs/>
                <w:color w:val="000000"/>
                <w:sz w:val="18"/>
                <w:szCs w:val="18"/>
              </w:rPr>
              <w:t>Income quintile 2</w:t>
            </w:r>
          </w:p>
          <w:p w14:paraId="176EAFB7"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color w:val="000000"/>
                <w:sz w:val="18"/>
                <w:szCs w:val="18"/>
              </w:rPr>
              <w:t xml:space="preserve">Av </w:t>
            </w:r>
            <w:proofErr w:type="spellStart"/>
            <w:r w:rsidRPr="001D6F3C">
              <w:rPr>
                <w:rFonts w:ascii="Corbel" w:eastAsia="Calibri" w:hAnsi="Corbel" w:cs="Arial"/>
                <w:color w:val="000000"/>
                <w:sz w:val="18"/>
                <w:szCs w:val="18"/>
              </w:rPr>
              <w:t>equiv</w:t>
            </w:r>
            <w:proofErr w:type="spellEnd"/>
            <w:r w:rsidRPr="001D6F3C">
              <w:rPr>
                <w:rFonts w:ascii="Corbel" w:eastAsia="Calibri" w:hAnsi="Corbel" w:cs="Arial"/>
                <w:color w:val="000000"/>
                <w:sz w:val="18"/>
                <w:szCs w:val="18"/>
              </w:rPr>
              <w:t xml:space="preserve"> income 33-34k</w:t>
            </w:r>
          </w:p>
        </w:tc>
        <w:tc>
          <w:tcPr>
            <w:tcW w:w="2189" w:type="dxa"/>
            <w:gridSpan w:val="4"/>
            <w:tcBorders>
              <w:left w:val="single" w:sz="8" w:space="0" w:color="auto"/>
            </w:tcBorders>
            <w:tcMar>
              <w:left w:w="28" w:type="dxa"/>
              <w:right w:w="85" w:type="dxa"/>
            </w:tcMar>
            <w:vAlign w:val="center"/>
          </w:tcPr>
          <w:p w14:paraId="0C57C23F" w14:textId="342295B5" w:rsidR="00C54BE7" w:rsidRPr="001D6F3C" w:rsidRDefault="00C54BE7" w:rsidP="004836FE">
            <w:pPr>
              <w:spacing w:before="40" w:after="40"/>
              <w:jc w:val="center"/>
              <w:rPr>
                <w:rFonts w:ascii="Corbel" w:eastAsia="Calibri" w:hAnsi="Corbel" w:cs="Arial"/>
                <w:b/>
                <w:bCs/>
                <w:color w:val="000000"/>
                <w:sz w:val="18"/>
                <w:szCs w:val="18"/>
              </w:rPr>
            </w:pPr>
            <w:r w:rsidRPr="001D6F3C">
              <w:rPr>
                <w:rFonts w:ascii="Corbel" w:eastAsia="Calibri" w:hAnsi="Corbel" w:cs="Arial"/>
                <w:b/>
                <w:bCs/>
                <w:color w:val="000000"/>
                <w:sz w:val="18"/>
                <w:szCs w:val="18"/>
              </w:rPr>
              <w:t>Income quintile 3</w:t>
            </w:r>
          </w:p>
          <w:p w14:paraId="1DC3984C"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color w:val="000000"/>
                <w:sz w:val="18"/>
                <w:szCs w:val="18"/>
              </w:rPr>
              <w:t xml:space="preserve">Av </w:t>
            </w:r>
            <w:proofErr w:type="spellStart"/>
            <w:r w:rsidRPr="001D6F3C">
              <w:rPr>
                <w:rFonts w:ascii="Corbel" w:eastAsia="Calibri" w:hAnsi="Corbel" w:cs="Arial"/>
                <w:color w:val="000000"/>
                <w:sz w:val="18"/>
                <w:szCs w:val="18"/>
              </w:rPr>
              <w:t>equiv</w:t>
            </w:r>
            <w:proofErr w:type="spellEnd"/>
            <w:r w:rsidRPr="001D6F3C">
              <w:rPr>
                <w:rFonts w:ascii="Corbel" w:eastAsia="Calibri" w:hAnsi="Corbel" w:cs="Arial"/>
                <w:color w:val="000000"/>
                <w:sz w:val="18"/>
                <w:szCs w:val="18"/>
              </w:rPr>
              <w:t xml:space="preserve"> income 45-46k</w:t>
            </w:r>
          </w:p>
        </w:tc>
      </w:tr>
      <w:tr w:rsidR="00E365C4" w:rsidRPr="001D6F3C" w14:paraId="6FDE3D28" w14:textId="77777777" w:rsidTr="0087173A">
        <w:trPr>
          <w:gridAfter w:val="1"/>
          <w:wAfter w:w="10" w:type="dxa"/>
          <w:trHeight w:val="356"/>
          <w:jc w:val="center"/>
        </w:trPr>
        <w:tc>
          <w:tcPr>
            <w:tcW w:w="2473" w:type="dxa"/>
            <w:tcBorders>
              <w:right w:val="single" w:sz="8" w:space="0" w:color="auto"/>
            </w:tcBorders>
            <w:tcMar>
              <w:left w:w="85" w:type="dxa"/>
              <w:right w:w="85" w:type="dxa"/>
            </w:tcMar>
            <w:vAlign w:val="center"/>
          </w:tcPr>
          <w:p w14:paraId="34720BC0"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 xml:space="preserve">Savings </w:t>
            </w:r>
            <w:proofErr w:type="spellStart"/>
            <w:r w:rsidRPr="001D6F3C">
              <w:rPr>
                <w:rFonts w:ascii="Corbel" w:eastAsia="Calibri" w:hAnsi="Corbel" w:cs="Arial"/>
                <w:b/>
                <w:bCs/>
                <w:color w:val="000000"/>
                <w:sz w:val="18"/>
                <w:szCs w:val="18"/>
              </w:rPr>
              <w:t>band</w:t>
            </w:r>
            <w:proofErr w:type="spellEnd"/>
            <w:r w:rsidRPr="001D6F3C">
              <w:rPr>
                <w:rFonts w:ascii="Corbel" w:eastAsia="Calibri" w:hAnsi="Corbel" w:cs="Arial"/>
                <w:b/>
                <w:bCs/>
                <w:color w:val="000000"/>
                <w:sz w:val="18"/>
                <w:szCs w:val="18"/>
              </w:rPr>
              <w:t xml:space="preserve"> (</w:t>
            </w:r>
            <w:proofErr w:type="spellStart"/>
            <w:r w:rsidRPr="001D6F3C">
              <w:rPr>
                <w:rFonts w:ascii="Corbel" w:eastAsia="Calibri" w:hAnsi="Corbel" w:cs="Arial"/>
                <w:b/>
                <w:bCs/>
                <w:color w:val="000000"/>
                <w:sz w:val="18"/>
                <w:szCs w:val="18"/>
              </w:rPr>
              <w:t>unequiv</w:t>
            </w:r>
            <w:proofErr w:type="spellEnd"/>
            <w:r w:rsidRPr="001D6F3C">
              <w:rPr>
                <w:rFonts w:ascii="Corbel" w:eastAsia="Calibri" w:hAnsi="Corbel" w:cs="Arial"/>
                <w:b/>
                <w:bCs/>
                <w:color w:val="000000"/>
                <w:sz w:val="18"/>
                <w:szCs w:val="18"/>
              </w:rPr>
              <w:t>)</w:t>
            </w:r>
          </w:p>
        </w:tc>
        <w:tc>
          <w:tcPr>
            <w:tcW w:w="725" w:type="dxa"/>
            <w:tcBorders>
              <w:left w:val="single" w:sz="8" w:space="0" w:color="auto"/>
            </w:tcBorders>
            <w:tcMar>
              <w:left w:w="28" w:type="dxa"/>
              <w:right w:w="57" w:type="dxa"/>
            </w:tcMar>
            <w:vAlign w:val="center"/>
          </w:tcPr>
          <w:p w14:paraId="16399AFF"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Low</w:t>
            </w:r>
          </w:p>
        </w:tc>
        <w:tc>
          <w:tcPr>
            <w:tcW w:w="726" w:type="dxa"/>
            <w:tcMar>
              <w:left w:w="28" w:type="dxa"/>
              <w:right w:w="57" w:type="dxa"/>
            </w:tcMar>
            <w:vAlign w:val="center"/>
          </w:tcPr>
          <w:p w14:paraId="3AFBDEBC"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Medium</w:t>
            </w:r>
          </w:p>
        </w:tc>
        <w:tc>
          <w:tcPr>
            <w:tcW w:w="729" w:type="dxa"/>
            <w:tcBorders>
              <w:right w:val="single" w:sz="8" w:space="0" w:color="auto"/>
            </w:tcBorders>
            <w:tcMar>
              <w:left w:w="28" w:type="dxa"/>
              <w:right w:w="57" w:type="dxa"/>
            </w:tcMar>
            <w:vAlign w:val="center"/>
          </w:tcPr>
          <w:p w14:paraId="6B9CB1AE"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High</w:t>
            </w:r>
          </w:p>
        </w:tc>
        <w:tc>
          <w:tcPr>
            <w:tcW w:w="726" w:type="dxa"/>
            <w:tcBorders>
              <w:left w:val="single" w:sz="8" w:space="0" w:color="auto"/>
            </w:tcBorders>
            <w:tcMar>
              <w:left w:w="28" w:type="dxa"/>
              <w:right w:w="57" w:type="dxa"/>
            </w:tcMar>
            <w:vAlign w:val="center"/>
          </w:tcPr>
          <w:p w14:paraId="755942D0"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Low</w:t>
            </w:r>
          </w:p>
        </w:tc>
        <w:tc>
          <w:tcPr>
            <w:tcW w:w="727" w:type="dxa"/>
            <w:tcMar>
              <w:left w:w="28" w:type="dxa"/>
              <w:right w:w="57" w:type="dxa"/>
            </w:tcMar>
            <w:vAlign w:val="center"/>
          </w:tcPr>
          <w:p w14:paraId="7C652743"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Medium</w:t>
            </w:r>
          </w:p>
        </w:tc>
        <w:tc>
          <w:tcPr>
            <w:tcW w:w="729" w:type="dxa"/>
            <w:tcBorders>
              <w:right w:val="single" w:sz="8" w:space="0" w:color="auto"/>
            </w:tcBorders>
            <w:tcMar>
              <w:left w:w="28" w:type="dxa"/>
              <w:right w:w="57" w:type="dxa"/>
            </w:tcMar>
            <w:vAlign w:val="center"/>
          </w:tcPr>
          <w:p w14:paraId="4FA01F5D"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High</w:t>
            </w:r>
          </w:p>
        </w:tc>
        <w:tc>
          <w:tcPr>
            <w:tcW w:w="726" w:type="dxa"/>
            <w:tcBorders>
              <w:left w:val="single" w:sz="8" w:space="0" w:color="auto"/>
            </w:tcBorders>
            <w:tcMar>
              <w:left w:w="28" w:type="dxa"/>
              <w:right w:w="57" w:type="dxa"/>
            </w:tcMar>
            <w:vAlign w:val="center"/>
          </w:tcPr>
          <w:p w14:paraId="4CE00D86"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Low</w:t>
            </w:r>
          </w:p>
        </w:tc>
        <w:tc>
          <w:tcPr>
            <w:tcW w:w="726" w:type="dxa"/>
            <w:tcMar>
              <w:left w:w="28" w:type="dxa"/>
              <w:right w:w="57" w:type="dxa"/>
            </w:tcMar>
            <w:vAlign w:val="center"/>
          </w:tcPr>
          <w:p w14:paraId="4A73A63F"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Medium</w:t>
            </w:r>
          </w:p>
        </w:tc>
        <w:tc>
          <w:tcPr>
            <w:tcW w:w="727" w:type="dxa"/>
            <w:tcMar>
              <w:left w:w="28" w:type="dxa"/>
              <w:right w:w="57" w:type="dxa"/>
            </w:tcMar>
            <w:vAlign w:val="center"/>
          </w:tcPr>
          <w:p w14:paraId="51BD8D30" w14:textId="77777777" w:rsidR="00C54BE7" w:rsidRPr="001D6F3C" w:rsidRDefault="00C54BE7" w:rsidP="004836FE">
            <w:pPr>
              <w:spacing w:before="40" w:after="40"/>
              <w:jc w:val="center"/>
              <w:rPr>
                <w:rFonts w:ascii="Corbel" w:hAnsi="Corbel" w:cs="Arial"/>
                <w:color w:val="000000"/>
                <w:sz w:val="18"/>
                <w:szCs w:val="18"/>
              </w:rPr>
            </w:pPr>
            <w:r w:rsidRPr="001D6F3C">
              <w:rPr>
                <w:rFonts w:ascii="Corbel" w:eastAsia="Calibri" w:hAnsi="Corbel" w:cs="Arial"/>
                <w:b/>
                <w:bCs/>
                <w:color w:val="000000"/>
                <w:sz w:val="18"/>
                <w:szCs w:val="18"/>
              </w:rPr>
              <w:t>High</w:t>
            </w:r>
          </w:p>
        </w:tc>
      </w:tr>
      <w:tr w:rsidR="00E365C4" w:rsidRPr="001D6F3C" w14:paraId="366865F3" w14:textId="77777777" w:rsidTr="0087173A">
        <w:trPr>
          <w:gridAfter w:val="1"/>
          <w:wAfter w:w="10" w:type="dxa"/>
          <w:trHeight w:val="204"/>
          <w:jc w:val="center"/>
        </w:trPr>
        <w:tc>
          <w:tcPr>
            <w:tcW w:w="2473" w:type="dxa"/>
            <w:tcBorders>
              <w:right w:val="single" w:sz="8" w:space="0" w:color="auto"/>
            </w:tcBorders>
            <w:tcMar>
              <w:left w:w="85" w:type="dxa"/>
              <w:right w:w="28" w:type="dxa"/>
            </w:tcMar>
            <w:vAlign w:val="center"/>
          </w:tcPr>
          <w:p w14:paraId="3BDD15C0" w14:textId="77777777" w:rsidR="00C54BE7" w:rsidRPr="001D6F3C" w:rsidRDefault="00C54BE7" w:rsidP="004836FE">
            <w:pPr>
              <w:spacing w:before="40" w:after="40"/>
              <w:rPr>
                <w:rFonts w:ascii="Corbel" w:hAnsi="Corbel" w:cs="Arial"/>
                <w:color w:val="000000"/>
                <w:sz w:val="16"/>
                <w:szCs w:val="16"/>
              </w:rPr>
            </w:pPr>
            <w:r w:rsidRPr="001D6F3C">
              <w:rPr>
                <w:rFonts w:ascii="Corbel" w:eastAsia="Calibri" w:hAnsi="Corbel" w:cs="Arial"/>
                <w:color w:val="000000"/>
                <w:sz w:val="16"/>
                <w:szCs w:val="16"/>
              </w:rPr>
              <w:t>Savings - median ($)</w:t>
            </w:r>
          </w:p>
        </w:tc>
        <w:tc>
          <w:tcPr>
            <w:tcW w:w="725" w:type="dxa"/>
            <w:tcBorders>
              <w:left w:val="single" w:sz="8" w:space="0" w:color="auto"/>
            </w:tcBorders>
            <w:tcMar>
              <w:left w:w="28" w:type="dxa"/>
              <w:right w:w="57" w:type="dxa"/>
            </w:tcMar>
            <w:vAlign w:val="center"/>
          </w:tcPr>
          <w:p w14:paraId="2B984815"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1,200</w:t>
            </w:r>
          </w:p>
        </w:tc>
        <w:tc>
          <w:tcPr>
            <w:tcW w:w="726" w:type="dxa"/>
            <w:tcMar>
              <w:left w:w="28" w:type="dxa"/>
              <w:right w:w="57" w:type="dxa"/>
            </w:tcMar>
            <w:vAlign w:val="center"/>
          </w:tcPr>
          <w:p w14:paraId="0C122599"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29,000</w:t>
            </w:r>
          </w:p>
        </w:tc>
        <w:tc>
          <w:tcPr>
            <w:tcW w:w="729" w:type="dxa"/>
            <w:tcBorders>
              <w:right w:val="single" w:sz="8" w:space="0" w:color="auto"/>
            </w:tcBorders>
            <w:tcMar>
              <w:left w:w="28" w:type="dxa"/>
              <w:right w:w="57" w:type="dxa"/>
            </w:tcMar>
            <w:vAlign w:val="center"/>
          </w:tcPr>
          <w:p w14:paraId="2F391B80"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210,000</w:t>
            </w:r>
          </w:p>
        </w:tc>
        <w:tc>
          <w:tcPr>
            <w:tcW w:w="726" w:type="dxa"/>
            <w:tcBorders>
              <w:left w:val="single" w:sz="8" w:space="0" w:color="auto"/>
            </w:tcBorders>
            <w:tcMar>
              <w:left w:w="28" w:type="dxa"/>
              <w:right w:w="57" w:type="dxa"/>
            </w:tcMar>
            <w:vAlign w:val="center"/>
          </w:tcPr>
          <w:p w14:paraId="3CE0CAD4"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4,500</w:t>
            </w:r>
          </w:p>
        </w:tc>
        <w:tc>
          <w:tcPr>
            <w:tcW w:w="727" w:type="dxa"/>
            <w:tcMar>
              <w:left w:w="28" w:type="dxa"/>
              <w:right w:w="57" w:type="dxa"/>
            </w:tcMar>
            <w:vAlign w:val="center"/>
          </w:tcPr>
          <w:p w14:paraId="16D1EBE1"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91,300</w:t>
            </w:r>
          </w:p>
        </w:tc>
        <w:tc>
          <w:tcPr>
            <w:tcW w:w="729" w:type="dxa"/>
            <w:tcBorders>
              <w:right w:val="single" w:sz="8" w:space="0" w:color="auto"/>
            </w:tcBorders>
            <w:tcMar>
              <w:left w:w="28" w:type="dxa"/>
              <w:right w:w="57" w:type="dxa"/>
            </w:tcMar>
            <w:vAlign w:val="center"/>
          </w:tcPr>
          <w:p w14:paraId="0E52C772"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430,000</w:t>
            </w:r>
          </w:p>
        </w:tc>
        <w:tc>
          <w:tcPr>
            <w:tcW w:w="726" w:type="dxa"/>
            <w:tcBorders>
              <w:left w:val="single" w:sz="8" w:space="0" w:color="auto"/>
            </w:tcBorders>
            <w:tcMar>
              <w:left w:w="28" w:type="dxa"/>
              <w:right w:w="57" w:type="dxa"/>
            </w:tcMar>
            <w:vAlign w:val="center"/>
          </w:tcPr>
          <w:p w14:paraId="18BA1671"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18,600</w:t>
            </w:r>
          </w:p>
        </w:tc>
        <w:tc>
          <w:tcPr>
            <w:tcW w:w="726" w:type="dxa"/>
            <w:tcMar>
              <w:left w:w="28" w:type="dxa"/>
              <w:right w:w="57" w:type="dxa"/>
            </w:tcMar>
            <w:vAlign w:val="center"/>
          </w:tcPr>
          <w:p w14:paraId="35FB9F1B"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103,900</w:t>
            </w:r>
          </w:p>
        </w:tc>
        <w:tc>
          <w:tcPr>
            <w:tcW w:w="727" w:type="dxa"/>
            <w:tcMar>
              <w:left w:w="28" w:type="dxa"/>
              <w:right w:w="57" w:type="dxa"/>
            </w:tcMar>
            <w:vAlign w:val="center"/>
          </w:tcPr>
          <w:p w14:paraId="11138F2D" w14:textId="77777777" w:rsidR="00C54BE7" w:rsidRPr="001D6F3C" w:rsidRDefault="00C54BE7" w:rsidP="004836FE">
            <w:pPr>
              <w:spacing w:before="40" w:after="40"/>
              <w:jc w:val="center"/>
              <w:rPr>
                <w:rFonts w:ascii="Corbel" w:hAnsi="Corbel" w:cs="Arial"/>
                <w:color w:val="000000"/>
                <w:sz w:val="16"/>
                <w:szCs w:val="16"/>
              </w:rPr>
            </w:pPr>
            <w:r w:rsidRPr="001D6F3C">
              <w:rPr>
                <w:rFonts w:ascii="Corbel" w:eastAsia="Calibri" w:hAnsi="Corbel" w:cs="Arial"/>
                <w:color w:val="000000"/>
                <w:sz w:val="16"/>
                <w:szCs w:val="16"/>
              </w:rPr>
              <w:t>472,600</w:t>
            </w:r>
          </w:p>
        </w:tc>
      </w:tr>
      <w:tr w:rsidR="00E365C4" w:rsidRPr="001D6F3C" w14:paraId="7E810F87" w14:textId="77777777" w:rsidTr="0087173A">
        <w:trPr>
          <w:gridAfter w:val="1"/>
          <w:wAfter w:w="10" w:type="dxa"/>
          <w:trHeight w:val="204"/>
          <w:jc w:val="center"/>
        </w:trPr>
        <w:tc>
          <w:tcPr>
            <w:tcW w:w="2473" w:type="dxa"/>
            <w:tcBorders>
              <w:right w:val="single" w:sz="8" w:space="0" w:color="auto"/>
            </w:tcBorders>
            <w:tcMar>
              <w:left w:w="85" w:type="dxa"/>
              <w:right w:w="28" w:type="dxa"/>
            </w:tcMar>
            <w:vAlign w:val="center"/>
          </w:tcPr>
          <w:p w14:paraId="5E1BE262" w14:textId="50387FA9" w:rsidR="00C54BE7" w:rsidRPr="001D6F3C" w:rsidRDefault="00C54BE7" w:rsidP="004836FE">
            <w:pPr>
              <w:spacing w:before="40" w:after="40"/>
              <w:rPr>
                <w:rFonts w:ascii="Corbel" w:eastAsia="Calibri" w:hAnsi="Corbel" w:cs="Arial"/>
                <w:color w:val="000000"/>
                <w:sz w:val="16"/>
                <w:szCs w:val="16"/>
              </w:rPr>
            </w:pPr>
            <w:r w:rsidRPr="001D6F3C">
              <w:rPr>
                <w:rFonts w:ascii="Corbel" w:eastAsia="Calibri" w:hAnsi="Corbel" w:cs="Arial"/>
                <w:sz w:val="16"/>
                <w:szCs w:val="16"/>
              </w:rPr>
              <w:t>Material hardship rate (%) (6+/17)</w:t>
            </w:r>
          </w:p>
        </w:tc>
        <w:tc>
          <w:tcPr>
            <w:tcW w:w="725" w:type="dxa"/>
            <w:tcBorders>
              <w:left w:val="single" w:sz="8" w:space="0" w:color="auto"/>
            </w:tcBorders>
            <w:tcMar>
              <w:left w:w="28" w:type="dxa"/>
              <w:right w:w="57" w:type="dxa"/>
            </w:tcMar>
            <w:vAlign w:val="center"/>
          </w:tcPr>
          <w:p w14:paraId="6EC8B1E6"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6</w:t>
            </w:r>
          </w:p>
        </w:tc>
        <w:tc>
          <w:tcPr>
            <w:tcW w:w="726" w:type="dxa"/>
            <w:tcMar>
              <w:left w:w="28" w:type="dxa"/>
              <w:right w:w="57" w:type="dxa"/>
            </w:tcMar>
            <w:vAlign w:val="center"/>
          </w:tcPr>
          <w:p w14:paraId="245DBEC4"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9" w:type="dxa"/>
            <w:tcBorders>
              <w:right w:val="single" w:sz="8" w:space="0" w:color="auto"/>
            </w:tcBorders>
            <w:tcMar>
              <w:left w:w="28" w:type="dxa"/>
              <w:right w:w="57" w:type="dxa"/>
            </w:tcMar>
            <w:vAlign w:val="center"/>
          </w:tcPr>
          <w:p w14:paraId="3B6C2292"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6" w:type="dxa"/>
            <w:tcBorders>
              <w:left w:val="single" w:sz="8" w:space="0" w:color="auto"/>
            </w:tcBorders>
            <w:tcMar>
              <w:left w:w="28" w:type="dxa"/>
              <w:right w:w="57" w:type="dxa"/>
            </w:tcMar>
            <w:vAlign w:val="center"/>
          </w:tcPr>
          <w:p w14:paraId="3E770BD0"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7</w:t>
            </w:r>
          </w:p>
        </w:tc>
        <w:tc>
          <w:tcPr>
            <w:tcW w:w="727" w:type="dxa"/>
            <w:tcMar>
              <w:left w:w="28" w:type="dxa"/>
              <w:right w:w="57" w:type="dxa"/>
            </w:tcMar>
            <w:vAlign w:val="center"/>
          </w:tcPr>
          <w:p w14:paraId="780CFD0E"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9" w:type="dxa"/>
            <w:tcBorders>
              <w:right w:val="single" w:sz="8" w:space="0" w:color="auto"/>
            </w:tcBorders>
            <w:tcMar>
              <w:left w:w="28" w:type="dxa"/>
              <w:right w:w="57" w:type="dxa"/>
            </w:tcMar>
            <w:vAlign w:val="center"/>
          </w:tcPr>
          <w:p w14:paraId="255501C4"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6" w:type="dxa"/>
            <w:tcBorders>
              <w:left w:val="single" w:sz="8" w:space="0" w:color="auto"/>
            </w:tcBorders>
            <w:tcMar>
              <w:left w:w="28" w:type="dxa"/>
              <w:right w:w="57" w:type="dxa"/>
            </w:tcMar>
            <w:vAlign w:val="center"/>
          </w:tcPr>
          <w:p w14:paraId="49318376"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6" w:type="dxa"/>
            <w:tcMar>
              <w:left w:w="28" w:type="dxa"/>
              <w:right w:w="57" w:type="dxa"/>
            </w:tcMar>
            <w:vAlign w:val="center"/>
          </w:tcPr>
          <w:p w14:paraId="0B8D15BF"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7" w:type="dxa"/>
            <w:tcMar>
              <w:left w:w="28" w:type="dxa"/>
              <w:right w:w="57" w:type="dxa"/>
            </w:tcMar>
            <w:vAlign w:val="center"/>
          </w:tcPr>
          <w:p w14:paraId="3E87E5A0"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0</w:t>
            </w:r>
          </w:p>
        </w:tc>
      </w:tr>
      <w:tr w:rsidR="00E365C4" w:rsidRPr="001D6F3C" w14:paraId="72D24642" w14:textId="77777777" w:rsidTr="0087173A">
        <w:trPr>
          <w:gridAfter w:val="1"/>
          <w:wAfter w:w="10" w:type="dxa"/>
          <w:trHeight w:val="356"/>
          <w:jc w:val="center"/>
        </w:trPr>
        <w:tc>
          <w:tcPr>
            <w:tcW w:w="2473" w:type="dxa"/>
            <w:tcBorders>
              <w:right w:val="single" w:sz="8" w:space="0" w:color="auto"/>
            </w:tcBorders>
            <w:tcMar>
              <w:left w:w="85" w:type="dxa"/>
              <w:right w:w="28" w:type="dxa"/>
            </w:tcMar>
            <w:vAlign w:val="center"/>
          </w:tcPr>
          <w:p w14:paraId="383D972B" w14:textId="77777777" w:rsidR="00C54BE7" w:rsidRPr="001D6F3C" w:rsidRDefault="00C54BE7" w:rsidP="004836FE">
            <w:pPr>
              <w:spacing w:before="40" w:after="40"/>
              <w:rPr>
                <w:rFonts w:ascii="Corbel" w:eastAsia="Calibri" w:hAnsi="Corbel" w:cs="Arial"/>
                <w:color w:val="000000"/>
                <w:sz w:val="16"/>
                <w:szCs w:val="16"/>
              </w:rPr>
            </w:pPr>
            <w:r w:rsidRPr="001D6F3C">
              <w:rPr>
                <w:rFonts w:ascii="Corbel" w:eastAsia="Calibri" w:hAnsi="Corbel" w:cs="Arial"/>
                <w:sz w:val="16"/>
                <w:szCs w:val="16"/>
              </w:rPr>
              <w:t>Material hardship/near-hardship rate (%) (4+/17, DEP-17)</w:t>
            </w:r>
          </w:p>
        </w:tc>
        <w:tc>
          <w:tcPr>
            <w:tcW w:w="725" w:type="dxa"/>
            <w:tcBorders>
              <w:left w:val="single" w:sz="8" w:space="0" w:color="auto"/>
            </w:tcBorders>
            <w:tcMar>
              <w:left w:w="28" w:type="dxa"/>
              <w:right w:w="57" w:type="dxa"/>
            </w:tcMar>
            <w:vAlign w:val="center"/>
          </w:tcPr>
          <w:p w14:paraId="2DDD2078"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16</w:t>
            </w:r>
          </w:p>
        </w:tc>
        <w:tc>
          <w:tcPr>
            <w:tcW w:w="726" w:type="dxa"/>
            <w:tcMar>
              <w:left w:w="28" w:type="dxa"/>
              <w:right w:w="57" w:type="dxa"/>
            </w:tcMar>
            <w:vAlign w:val="center"/>
          </w:tcPr>
          <w:p w14:paraId="173358E3"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4</w:t>
            </w:r>
          </w:p>
        </w:tc>
        <w:tc>
          <w:tcPr>
            <w:tcW w:w="729" w:type="dxa"/>
            <w:tcBorders>
              <w:right w:val="single" w:sz="8" w:space="0" w:color="auto"/>
            </w:tcBorders>
            <w:tcMar>
              <w:left w:w="28" w:type="dxa"/>
              <w:right w:w="57" w:type="dxa"/>
            </w:tcMar>
            <w:vAlign w:val="center"/>
          </w:tcPr>
          <w:p w14:paraId="27E5C645"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2</w:t>
            </w:r>
          </w:p>
        </w:tc>
        <w:tc>
          <w:tcPr>
            <w:tcW w:w="726" w:type="dxa"/>
            <w:tcBorders>
              <w:left w:val="single" w:sz="8" w:space="0" w:color="auto"/>
            </w:tcBorders>
            <w:tcMar>
              <w:left w:w="28" w:type="dxa"/>
              <w:right w:w="57" w:type="dxa"/>
            </w:tcMar>
            <w:vAlign w:val="center"/>
          </w:tcPr>
          <w:p w14:paraId="34F41BAF"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20</w:t>
            </w:r>
          </w:p>
        </w:tc>
        <w:tc>
          <w:tcPr>
            <w:tcW w:w="727" w:type="dxa"/>
            <w:tcMar>
              <w:left w:w="28" w:type="dxa"/>
              <w:right w:w="57" w:type="dxa"/>
            </w:tcMar>
            <w:vAlign w:val="center"/>
          </w:tcPr>
          <w:p w14:paraId="13D6E184"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4</w:t>
            </w:r>
          </w:p>
        </w:tc>
        <w:tc>
          <w:tcPr>
            <w:tcW w:w="729" w:type="dxa"/>
            <w:tcBorders>
              <w:right w:val="single" w:sz="8" w:space="0" w:color="auto"/>
            </w:tcBorders>
            <w:tcMar>
              <w:left w:w="28" w:type="dxa"/>
              <w:right w:w="57" w:type="dxa"/>
            </w:tcMar>
            <w:vAlign w:val="center"/>
          </w:tcPr>
          <w:p w14:paraId="35964FBC"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1</w:t>
            </w:r>
          </w:p>
        </w:tc>
        <w:tc>
          <w:tcPr>
            <w:tcW w:w="726" w:type="dxa"/>
            <w:tcBorders>
              <w:left w:val="single" w:sz="8" w:space="0" w:color="auto"/>
            </w:tcBorders>
            <w:tcMar>
              <w:left w:w="28" w:type="dxa"/>
              <w:right w:w="57" w:type="dxa"/>
            </w:tcMar>
            <w:vAlign w:val="center"/>
          </w:tcPr>
          <w:p w14:paraId="627D9D69"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9</w:t>
            </w:r>
          </w:p>
        </w:tc>
        <w:tc>
          <w:tcPr>
            <w:tcW w:w="726" w:type="dxa"/>
            <w:tcMar>
              <w:left w:w="28" w:type="dxa"/>
              <w:right w:w="57" w:type="dxa"/>
            </w:tcMar>
            <w:vAlign w:val="center"/>
          </w:tcPr>
          <w:p w14:paraId="080CB53E"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4</w:t>
            </w:r>
          </w:p>
        </w:tc>
        <w:tc>
          <w:tcPr>
            <w:tcW w:w="727" w:type="dxa"/>
            <w:tcMar>
              <w:left w:w="28" w:type="dxa"/>
              <w:right w:w="57" w:type="dxa"/>
            </w:tcMar>
            <w:vAlign w:val="center"/>
          </w:tcPr>
          <w:p w14:paraId="6A91B4CF" w14:textId="77777777" w:rsidR="00C54BE7" w:rsidRPr="001D6F3C" w:rsidRDefault="00C54BE7" w:rsidP="004836FE">
            <w:pPr>
              <w:spacing w:before="40" w:after="40"/>
              <w:jc w:val="center"/>
              <w:rPr>
                <w:rFonts w:ascii="Corbel" w:eastAsia="Calibri" w:hAnsi="Corbel" w:cs="Arial"/>
                <w:color w:val="000000"/>
                <w:sz w:val="16"/>
                <w:szCs w:val="16"/>
              </w:rPr>
            </w:pPr>
            <w:r w:rsidRPr="001D6F3C">
              <w:rPr>
                <w:rFonts w:ascii="Corbel" w:eastAsia="Calibri" w:hAnsi="Corbel" w:cs="Arial"/>
                <w:color w:val="000000"/>
                <w:sz w:val="16"/>
                <w:szCs w:val="16"/>
              </w:rPr>
              <w:t>0</w:t>
            </w:r>
          </w:p>
        </w:tc>
      </w:tr>
    </w:tbl>
    <w:p w14:paraId="7A1F7385" w14:textId="69952427" w:rsidR="00370270" w:rsidRPr="001D6F3C" w:rsidRDefault="002B4CEC" w:rsidP="00A60862">
      <w:pPr>
        <w:jc w:val="both"/>
        <w:rPr>
          <w:rFonts w:ascii="Corbel" w:hAnsi="Corbel"/>
        </w:rPr>
      </w:pPr>
      <w:r w:rsidRPr="001D6F3C">
        <w:rPr>
          <w:rFonts w:ascii="Corbel" w:hAnsi="Corbel"/>
          <w:lang w:val="en-GB"/>
        </w:rPr>
        <w:t>MSD’s</w:t>
      </w:r>
      <w:r w:rsidR="00370270" w:rsidRPr="001D6F3C">
        <w:rPr>
          <w:rFonts w:ascii="Corbel" w:hAnsi="Corbel"/>
          <w:lang w:val="en-GB"/>
        </w:rPr>
        <w:t xml:space="preserve"> Material Wellbeing Index (MWI) enables households to be ranked across the full spectrum of material wellbeing. I</w:t>
      </w:r>
      <w:r w:rsidR="00370270" w:rsidRPr="001D6F3C">
        <w:rPr>
          <w:rFonts w:ascii="Corbel" w:hAnsi="Corbel"/>
        </w:rPr>
        <w:t xml:space="preserve">n the graph below, material wellbeing is grouped into six categories: red is equivalent to material hardship, orange is ‘just getting by’ </w:t>
      </w:r>
      <w:r w:rsidR="00B65A88" w:rsidRPr="001D6F3C">
        <w:rPr>
          <w:rFonts w:ascii="Corbel" w:hAnsi="Corbel"/>
        </w:rPr>
        <w:t xml:space="preserve">through to </w:t>
      </w:r>
      <w:r w:rsidR="00370270" w:rsidRPr="001D6F3C">
        <w:rPr>
          <w:rFonts w:ascii="Corbel" w:hAnsi="Corbel"/>
        </w:rPr>
        <w:t xml:space="preserve">dark green for those who are very well off. </w:t>
      </w:r>
    </w:p>
    <w:p w14:paraId="41B24CA4" w14:textId="77777777" w:rsidR="00370270" w:rsidRPr="001D6F3C" w:rsidRDefault="00370270" w:rsidP="00D404C5">
      <w:pPr>
        <w:pStyle w:val="ListParagraph"/>
        <w:numPr>
          <w:ilvl w:val="0"/>
          <w:numId w:val="17"/>
        </w:numPr>
        <w:jc w:val="both"/>
        <w:rPr>
          <w:rFonts w:ascii="Corbel" w:hAnsi="Corbel"/>
        </w:rPr>
      </w:pPr>
      <w:r w:rsidRPr="001D6F3C">
        <w:rPr>
          <w:rFonts w:ascii="Corbel" w:hAnsi="Corbel"/>
        </w:rPr>
        <w:t>Older people are much more likely to be experiencing good levels of wellbeing than for the rest of the population, particularly those with children.</w:t>
      </w:r>
    </w:p>
    <w:p w14:paraId="5B40525D" w14:textId="77777777" w:rsidR="00370270" w:rsidRPr="001D6F3C" w:rsidRDefault="00370270" w:rsidP="00D404C5">
      <w:pPr>
        <w:pStyle w:val="ListParagraph"/>
        <w:numPr>
          <w:ilvl w:val="0"/>
          <w:numId w:val="17"/>
        </w:numPr>
        <w:jc w:val="both"/>
        <w:rPr>
          <w:rFonts w:ascii="Corbel" w:hAnsi="Corbel"/>
        </w:rPr>
      </w:pPr>
      <w:r w:rsidRPr="001D6F3C">
        <w:rPr>
          <w:rFonts w:ascii="Corbel" w:hAnsi="Corbel"/>
        </w:rPr>
        <w:t>Couple households have better material wellbeing than single households, and both are higher than multi-family/generational households, particularly those with children</w:t>
      </w:r>
    </w:p>
    <w:p w14:paraId="3EDE972F" w14:textId="6F0E8904" w:rsidR="00370270" w:rsidRPr="001D6F3C" w:rsidRDefault="00370270" w:rsidP="00D404C5">
      <w:pPr>
        <w:pStyle w:val="ListParagraph"/>
        <w:numPr>
          <w:ilvl w:val="0"/>
          <w:numId w:val="17"/>
        </w:numPr>
        <w:jc w:val="both"/>
        <w:rPr>
          <w:rFonts w:ascii="Corbel" w:hAnsi="Corbel"/>
        </w:rPr>
      </w:pPr>
      <w:r w:rsidRPr="001D6F3C">
        <w:rPr>
          <w:rFonts w:ascii="Corbel" w:hAnsi="Corbel"/>
        </w:rPr>
        <w:t xml:space="preserve">Those in social and rental housing are much more likely to be in hardship than those who own their homes, particularly those who are mortgage free. Renters receiving </w:t>
      </w:r>
      <w:r w:rsidR="0089426A" w:rsidRPr="001D6F3C">
        <w:rPr>
          <w:rFonts w:ascii="Corbel" w:hAnsi="Corbel"/>
        </w:rPr>
        <w:t>Accommodation Supplement (</w:t>
      </w:r>
      <w:r w:rsidRPr="001D6F3C">
        <w:rPr>
          <w:rFonts w:ascii="Corbel" w:hAnsi="Corbel"/>
        </w:rPr>
        <w:t>AS</w:t>
      </w:r>
      <w:r w:rsidR="0089426A" w:rsidRPr="001D6F3C">
        <w:rPr>
          <w:rFonts w:ascii="Corbel" w:hAnsi="Corbel"/>
        </w:rPr>
        <w:t>)</w:t>
      </w:r>
      <w:r w:rsidRPr="001D6F3C">
        <w:rPr>
          <w:rFonts w:ascii="Corbel" w:hAnsi="Corbel"/>
        </w:rPr>
        <w:t xml:space="preserve"> have a notably worse material wellbeing profile than renters who are not.</w:t>
      </w:r>
    </w:p>
    <w:p w14:paraId="1C8E8C6E" w14:textId="26A99714" w:rsidR="00370270" w:rsidRPr="001D6F3C" w:rsidRDefault="00370270" w:rsidP="00C4076D">
      <w:pPr>
        <w:spacing w:after="0"/>
        <w:jc w:val="both"/>
        <w:rPr>
          <w:rFonts w:ascii="Corbel" w:hAnsi="Corbel"/>
        </w:rPr>
      </w:pPr>
      <w:r w:rsidRPr="001D6F3C">
        <w:rPr>
          <w:rFonts w:ascii="Corbel" w:hAnsi="Corbel"/>
          <w:b/>
          <w:bCs/>
        </w:rPr>
        <w:t>Figures 1</w:t>
      </w:r>
      <w:r w:rsidR="007E04E4" w:rsidRPr="001D6F3C">
        <w:rPr>
          <w:rFonts w:ascii="Corbel" w:hAnsi="Corbel"/>
          <w:b/>
          <w:bCs/>
        </w:rPr>
        <w:t>4</w:t>
      </w:r>
      <w:r w:rsidRPr="001D6F3C">
        <w:rPr>
          <w:rFonts w:ascii="Corbel" w:hAnsi="Corbel"/>
          <w:b/>
          <w:bCs/>
        </w:rPr>
        <w:t>-1</w:t>
      </w:r>
      <w:r w:rsidR="007E04E4" w:rsidRPr="001D6F3C">
        <w:rPr>
          <w:rFonts w:ascii="Corbel" w:hAnsi="Corbel"/>
          <w:b/>
          <w:bCs/>
        </w:rPr>
        <w:t>6</w:t>
      </w:r>
      <w:r w:rsidRPr="001D6F3C">
        <w:rPr>
          <w:rFonts w:ascii="Corbel" w:hAnsi="Corbel"/>
          <w:b/>
          <w:bCs/>
        </w:rPr>
        <w:t>: Distribution of households within six material wellbeing bands, low to high</w:t>
      </w:r>
      <w:r w:rsidRPr="001D6F3C">
        <w:rPr>
          <w:rFonts w:ascii="Corbel" w:hAnsi="Corbel"/>
        </w:rPr>
        <w:t xml:space="preserve">    </w:t>
      </w:r>
    </w:p>
    <w:tbl>
      <w:tblPr>
        <w:tblStyle w:val="TableGrid"/>
        <w:tblW w:w="0" w:type="auto"/>
        <w:tblLook w:val="04A0" w:firstRow="1" w:lastRow="0" w:firstColumn="1" w:lastColumn="0" w:noHBand="0" w:noVBand="1"/>
      </w:tblPr>
      <w:tblGrid>
        <w:gridCol w:w="4508"/>
        <w:gridCol w:w="4418"/>
        <w:gridCol w:w="90"/>
      </w:tblGrid>
      <w:tr w:rsidR="00942A14" w:rsidRPr="001D6F3C" w14:paraId="690F5781" w14:textId="77777777" w:rsidTr="0067684E">
        <w:trPr>
          <w:trHeight w:val="2557"/>
        </w:trPr>
        <w:tc>
          <w:tcPr>
            <w:tcW w:w="4508" w:type="dxa"/>
            <w:tcBorders>
              <w:top w:val="nil"/>
              <w:left w:val="nil"/>
              <w:bottom w:val="nil"/>
              <w:right w:val="nil"/>
            </w:tcBorders>
          </w:tcPr>
          <w:p w14:paraId="38432127" w14:textId="32A8D0F8" w:rsidR="00942A14" w:rsidRPr="001D6F3C" w:rsidRDefault="00942A14" w:rsidP="00A60862">
            <w:pPr>
              <w:pStyle w:val="Caption"/>
              <w:keepNext/>
              <w:jc w:val="both"/>
              <w:rPr>
                <w:rFonts w:ascii="Corbel" w:hAnsi="Corbel"/>
              </w:rPr>
            </w:pPr>
            <w:bookmarkStart w:id="34" w:name="_Toc203142274"/>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14</w:t>
            </w:r>
            <w:r w:rsidR="00585542" w:rsidRPr="001D6F3C">
              <w:rPr>
                <w:rFonts w:ascii="Corbel" w:hAnsi="Corbel"/>
              </w:rPr>
              <w:fldChar w:fldCharType="end"/>
            </w:r>
            <w:r w:rsidRPr="001D6F3C">
              <w:rPr>
                <w:rFonts w:ascii="Corbel" w:hAnsi="Corbel"/>
              </w:rPr>
              <w:t xml:space="preserve"> – </w:t>
            </w:r>
            <w:r w:rsidR="00DD0A11" w:rsidRPr="001D6F3C">
              <w:rPr>
                <w:rFonts w:ascii="Corbel" w:hAnsi="Corbel"/>
              </w:rPr>
              <w:t>%</w:t>
            </w:r>
            <w:r w:rsidRPr="001D6F3C">
              <w:rPr>
                <w:rFonts w:ascii="Corbel" w:hAnsi="Corbel"/>
              </w:rPr>
              <w:t xml:space="preserve"> of households within </w:t>
            </w:r>
            <w:r w:rsidR="00DD0A11" w:rsidRPr="001D6F3C">
              <w:rPr>
                <w:rFonts w:ascii="Corbel" w:hAnsi="Corbel"/>
              </w:rPr>
              <w:t xml:space="preserve">six </w:t>
            </w:r>
            <w:r w:rsidRPr="001D6F3C">
              <w:rPr>
                <w:rFonts w:ascii="Corbel" w:hAnsi="Corbel"/>
              </w:rPr>
              <w:t>material wellbeing bands</w:t>
            </w:r>
            <w:r w:rsidR="00DD0A11" w:rsidRPr="001D6F3C">
              <w:rPr>
                <w:rFonts w:ascii="Corbel" w:hAnsi="Corbel"/>
              </w:rPr>
              <w:t>: by age group</w:t>
            </w:r>
            <w:bookmarkEnd w:id="34"/>
          </w:p>
          <w:p w14:paraId="1AEECE40" w14:textId="0B27802E" w:rsidR="00942A14" w:rsidRPr="001D6F3C" w:rsidRDefault="00942A14" w:rsidP="00A60862">
            <w:pPr>
              <w:jc w:val="both"/>
              <w:rPr>
                <w:rFonts w:ascii="Corbel" w:hAnsi="Corbel"/>
              </w:rPr>
            </w:pPr>
            <w:r w:rsidRPr="001D6F3C">
              <w:rPr>
                <w:rFonts w:ascii="Corbel" w:hAnsi="Corbel"/>
                <w:noProof/>
              </w:rPr>
              <w:drawing>
                <wp:inline distT="0" distB="0" distL="0" distR="0" wp14:anchorId="056D1A37" wp14:editId="6791C3EF">
                  <wp:extent cx="2002551" cy="1235034"/>
                  <wp:effectExtent l="0" t="0" r="0" b="3810"/>
                  <wp:docPr id="195430766" name="Picture 14">
                    <a:extLst xmlns:a="http://schemas.openxmlformats.org/drawingml/2006/main">
                      <a:ext uri="{FF2B5EF4-FFF2-40B4-BE49-F238E27FC236}">
                        <a16:creationId xmlns:a16="http://schemas.microsoft.com/office/drawing/2014/main" id="{FA0ED4E4-5CED-D683-039E-0226158D7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0ED4E4-5CED-D683-039E-0226158D7D5B}"/>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86" cy="1239496"/>
                          </a:xfrm>
                          <a:prstGeom prst="rect">
                            <a:avLst/>
                          </a:prstGeom>
                        </pic:spPr>
                      </pic:pic>
                    </a:graphicData>
                  </a:graphic>
                </wp:inline>
              </w:drawing>
            </w:r>
          </w:p>
        </w:tc>
        <w:tc>
          <w:tcPr>
            <w:tcW w:w="4508" w:type="dxa"/>
            <w:gridSpan w:val="2"/>
            <w:tcBorders>
              <w:top w:val="nil"/>
              <w:left w:val="nil"/>
              <w:bottom w:val="nil"/>
              <w:right w:val="nil"/>
            </w:tcBorders>
          </w:tcPr>
          <w:p w14:paraId="63B4ADB1" w14:textId="76940BEE" w:rsidR="00DD0A11" w:rsidRPr="001D6F3C" w:rsidRDefault="00DD0A11" w:rsidP="00A60862">
            <w:pPr>
              <w:pStyle w:val="Caption"/>
              <w:keepNext/>
              <w:jc w:val="both"/>
              <w:rPr>
                <w:rFonts w:ascii="Corbel" w:hAnsi="Corbel"/>
              </w:rPr>
            </w:pPr>
            <w:bookmarkStart w:id="35" w:name="_Toc203142275"/>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15</w:t>
            </w:r>
            <w:r w:rsidR="00585542" w:rsidRPr="001D6F3C">
              <w:rPr>
                <w:rFonts w:ascii="Corbel" w:hAnsi="Corbel"/>
              </w:rPr>
              <w:fldChar w:fldCharType="end"/>
            </w:r>
            <w:r w:rsidRPr="001D6F3C">
              <w:rPr>
                <w:rFonts w:ascii="Corbel" w:hAnsi="Corbel"/>
              </w:rPr>
              <w:t xml:space="preserve"> - % of households within six material wellbeing bands - by household type</w:t>
            </w:r>
            <w:bookmarkEnd w:id="35"/>
          </w:p>
          <w:p w14:paraId="566B2FA3" w14:textId="29013645" w:rsidR="00942A14" w:rsidRPr="001D6F3C" w:rsidRDefault="00942A14" w:rsidP="00A60862">
            <w:pPr>
              <w:jc w:val="both"/>
              <w:rPr>
                <w:rFonts w:ascii="Corbel" w:hAnsi="Corbel"/>
              </w:rPr>
            </w:pPr>
            <w:r w:rsidRPr="001D6F3C">
              <w:rPr>
                <w:rFonts w:ascii="Corbel" w:hAnsi="Corbel"/>
                <w:noProof/>
              </w:rPr>
              <w:drawing>
                <wp:inline distT="0" distB="0" distL="0" distR="0" wp14:anchorId="2E8BB728" wp14:editId="7A6AA03A">
                  <wp:extent cx="1903429" cy="1163782"/>
                  <wp:effectExtent l="0" t="0" r="1905" b="0"/>
                  <wp:docPr id="16" name="Picture 15">
                    <a:extLst xmlns:a="http://schemas.openxmlformats.org/drawingml/2006/main">
                      <a:ext uri="{FF2B5EF4-FFF2-40B4-BE49-F238E27FC236}">
                        <a16:creationId xmlns:a16="http://schemas.microsoft.com/office/drawing/2014/main" id="{B17AC0DB-3A92-3D74-DF6E-2ED916299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17AC0DB-3A92-3D74-DF6E-2ED916299D79}"/>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9641" cy="1173694"/>
                          </a:xfrm>
                          <a:prstGeom prst="rect">
                            <a:avLst/>
                          </a:prstGeom>
                        </pic:spPr>
                      </pic:pic>
                    </a:graphicData>
                  </a:graphic>
                </wp:inline>
              </w:drawing>
            </w:r>
          </w:p>
        </w:tc>
      </w:tr>
      <w:tr w:rsidR="00942A14" w:rsidRPr="001D6F3C" w14:paraId="533C46FB" w14:textId="77777777" w:rsidTr="0067684E">
        <w:tc>
          <w:tcPr>
            <w:tcW w:w="4508" w:type="dxa"/>
            <w:tcBorders>
              <w:top w:val="nil"/>
              <w:left w:val="nil"/>
              <w:bottom w:val="nil"/>
              <w:right w:val="nil"/>
            </w:tcBorders>
          </w:tcPr>
          <w:p w14:paraId="091E71DF" w14:textId="0A4F9391" w:rsidR="00DD0A11" w:rsidRPr="001D6F3C" w:rsidRDefault="00DD0A11" w:rsidP="00A60862">
            <w:pPr>
              <w:pStyle w:val="Caption"/>
              <w:keepNext/>
              <w:jc w:val="both"/>
              <w:rPr>
                <w:rFonts w:ascii="Corbel" w:hAnsi="Corbel"/>
              </w:rPr>
            </w:pPr>
            <w:bookmarkStart w:id="36" w:name="_Toc203142276"/>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16</w:t>
            </w:r>
            <w:r w:rsidR="00585542" w:rsidRPr="001D6F3C">
              <w:rPr>
                <w:rFonts w:ascii="Corbel" w:hAnsi="Corbel"/>
              </w:rPr>
              <w:fldChar w:fldCharType="end"/>
            </w:r>
            <w:r w:rsidRPr="001D6F3C">
              <w:rPr>
                <w:rFonts w:ascii="Corbel" w:hAnsi="Corbel"/>
              </w:rPr>
              <w:t xml:space="preserve"> - % of households within six material wellbeing bands: by housing tenure</w:t>
            </w:r>
            <w:bookmarkEnd w:id="36"/>
          </w:p>
          <w:p w14:paraId="0C9CE129" w14:textId="7D24EE03" w:rsidR="00942A14" w:rsidRPr="001D6F3C" w:rsidRDefault="00942A14" w:rsidP="00A60862">
            <w:pPr>
              <w:jc w:val="both"/>
              <w:rPr>
                <w:rFonts w:ascii="Corbel" w:hAnsi="Corbel"/>
              </w:rPr>
            </w:pPr>
            <w:r w:rsidRPr="001D6F3C">
              <w:rPr>
                <w:rFonts w:ascii="Corbel" w:hAnsi="Corbel"/>
                <w:noProof/>
              </w:rPr>
              <w:drawing>
                <wp:inline distT="0" distB="0" distL="0" distR="0" wp14:anchorId="0CCBEDCB" wp14:editId="67FD522C">
                  <wp:extent cx="2057400" cy="1189464"/>
                  <wp:effectExtent l="0" t="0" r="0" b="0"/>
                  <wp:docPr id="742479329" name="Picture 16">
                    <a:extLst xmlns:a="http://schemas.openxmlformats.org/drawingml/2006/main">
                      <a:ext uri="{FF2B5EF4-FFF2-40B4-BE49-F238E27FC236}">
                        <a16:creationId xmlns:a16="http://schemas.microsoft.com/office/drawing/2014/main" id="{D85F676A-D35C-6462-794F-DAFD44702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85F676A-D35C-6462-794F-DAFD4470242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344" cy="1190588"/>
                          </a:xfrm>
                          <a:prstGeom prst="rect">
                            <a:avLst/>
                          </a:prstGeom>
                        </pic:spPr>
                      </pic:pic>
                    </a:graphicData>
                  </a:graphic>
                </wp:inline>
              </w:drawing>
            </w:r>
          </w:p>
        </w:tc>
        <w:tc>
          <w:tcPr>
            <w:tcW w:w="4508" w:type="dxa"/>
            <w:gridSpan w:val="2"/>
            <w:tcBorders>
              <w:top w:val="nil"/>
              <w:left w:val="nil"/>
              <w:bottom w:val="nil"/>
              <w:right w:val="nil"/>
            </w:tcBorders>
          </w:tcPr>
          <w:p w14:paraId="0433DC96" w14:textId="77777777" w:rsidR="00942A14" w:rsidRDefault="00942A14" w:rsidP="00A60862">
            <w:pPr>
              <w:jc w:val="both"/>
              <w:rPr>
                <w:rFonts w:ascii="Corbel" w:hAnsi="Corbel"/>
              </w:rPr>
            </w:pPr>
          </w:p>
          <w:p w14:paraId="79768795" w14:textId="240CE456" w:rsidR="00D52DF6" w:rsidRPr="001D6F3C" w:rsidRDefault="00D52DF6" w:rsidP="00A60862">
            <w:pPr>
              <w:jc w:val="both"/>
              <w:rPr>
                <w:rFonts w:ascii="Corbel" w:hAnsi="Corbel"/>
              </w:rPr>
            </w:pPr>
          </w:p>
        </w:tc>
      </w:tr>
      <w:tr w:rsidR="00942A14" w:rsidRPr="001D6F3C" w14:paraId="5B5FD60B" w14:textId="77777777" w:rsidTr="0067684E">
        <w:trPr>
          <w:gridAfter w:val="1"/>
          <w:wAfter w:w="90" w:type="dxa"/>
        </w:trPr>
        <w:tc>
          <w:tcPr>
            <w:tcW w:w="8926" w:type="dxa"/>
            <w:gridSpan w:val="2"/>
            <w:shd w:val="clear" w:color="auto" w:fill="F2F2F2" w:themeFill="background1" w:themeFillShade="F2"/>
          </w:tcPr>
          <w:p w14:paraId="5C95DCD8" w14:textId="4E590B8B" w:rsidR="00046B95" w:rsidRPr="001D6F3C" w:rsidRDefault="00046B95" w:rsidP="00A60862">
            <w:pPr>
              <w:spacing w:after="80" w:line="240" w:lineRule="auto"/>
              <w:jc w:val="both"/>
              <w:rPr>
                <w:rFonts w:ascii="Corbel" w:hAnsi="Corbel"/>
                <w:b/>
                <w:bCs/>
              </w:rPr>
            </w:pPr>
            <w:r w:rsidRPr="001D6F3C">
              <w:rPr>
                <w:rFonts w:ascii="Corbel" w:hAnsi="Corbel"/>
                <w:b/>
                <w:bCs/>
              </w:rPr>
              <w:t>Companion paper available</w:t>
            </w:r>
          </w:p>
          <w:p w14:paraId="04AF7D20" w14:textId="53F89BEF" w:rsidR="00942A14" w:rsidRPr="001D6F3C" w:rsidRDefault="00942A14" w:rsidP="00A60862">
            <w:pPr>
              <w:spacing w:after="80" w:line="240" w:lineRule="auto"/>
              <w:jc w:val="both"/>
              <w:rPr>
                <w:rFonts w:ascii="Corbel" w:hAnsi="Corbel" w:cstheme="minorHAnsi"/>
                <w:sz w:val="20"/>
                <w:szCs w:val="20"/>
              </w:rPr>
            </w:pPr>
            <w:r w:rsidRPr="001D6F3C">
              <w:rPr>
                <w:rFonts w:ascii="Corbel" w:hAnsi="Corbel"/>
              </w:rPr>
              <w:t xml:space="preserve">More detailed analysis of material hardship patterns in older people has been published as a companion paper to this LTIB and can be found at this </w:t>
            </w:r>
            <w:r w:rsidR="00557D47">
              <w:rPr>
                <w:rFonts w:ascii="Corbel" w:hAnsi="Corbel"/>
              </w:rPr>
              <w:t xml:space="preserve">on </w:t>
            </w:r>
            <w:hyperlink r:id="rId43" w:history="1">
              <w:r w:rsidR="00557D47" w:rsidRPr="00557D47">
                <w:rPr>
                  <w:rStyle w:val="Hyperlink"/>
                  <w:rFonts w:ascii="Corbel" w:hAnsi="Corbel"/>
                </w:rPr>
                <w:t>MSD’s website</w:t>
              </w:r>
            </w:hyperlink>
            <w:r w:rsidR="00557D47">
              <w:rPr>
                <w:rFonts w:ascii="Corbel" w:hAnsi="Corbel"/>
              </w:rPr>
              <w:t>.</w:t>
            </w:r>
          </w:p>
        </w:tc>
      </w:tr>
    </w:tbl>
    <w:p w14:paraId="53C1B7BF" w14:textId="2FFF0A04" w:rsidR="00370270" w:rsidRPr="001D6F3C" w:rsidRDefault="00370270" w:rsidP="00A60862">
      <w:pPr>
        <w:pStyle w:val="Heading2"/>
        <w:jc w:val="both"/>
        <w:rPr>
          <w:rFonts w:ascii="Corbel" w:hAnsi="Corbel"/>
        </w:rPr>
      </w:pPr>
      <w:bookmarkStart w:id="37" w:name="_Toc207782991"/>
      <w:r w:rsidRPr="001D6F3C">
        <w:rPr>
          <w:rFonts w:ascii="Corbel" w:hAnsi="Corbel"/>
        </w:rPr>
        <w:lastRenderedPageBreak/>
        <w:t>2.</w:t>
      </w:r>
      <w:r w:rsidR="001C17C8" w:rsidRPr="001D6F3C">
        <w:rPr>
          <w:rFonts w:ascii="Corbel" w:hAnsi="Corbel"/>
        </w:rPr>
        <w:t>4</w:t>
      </w:r>
      <w:r w:rsidR="009B4CE1" w:rsidRPr="001D6F3C">
        <w:rPr>
          <w:rFonts w:ascii="Corbel" w:hAnsi="Corbel"/>
        </w:rPr>
        <w:t xml:space="preserve"> </w:t>
      </w:r>
      <w:r w:rsidRPr="001D6F3C">
        <w:rPr>
          <w:rFonts w:ascii="Corbel" w:hAnsi="Corbel"/>
        </w:rPr>
        <w:t xml:space="preserve">Social </w:t>
      </w:r>
      <w:r w:rsidR="00C01CD7" w:rsidRPr="001D6F3C">
        <w:rPr>
          <w:rFonts w:ascii="Corbel" w:hAnsi="Corbel"/>
        </w:rPr>
        <w:t>w</w:t>
      </w:r>
      <w:r w:rsidRPr="001D6F3C">
        <w:rPr>
          <w:rFonts w:ascii="Corbel" w:hAnsi="Corbel"/>
        </w:rPr>
        <w:t xml:space="preserve">ellbeing and </w:t>
      </w:r>
      <w:r w:rsidR="00C01CD7" w:rsidRPr="001D6F3C">
        <w:rPr>
          <w:rFonts w:ascii="Corbel" w:hAnsi="Corbel"/>
        </w:rPr>
        <w:t>h</w:t>
      </w:r>
      <w:r w:rsidRPr="001D6F3C">
        <w:rPr>
          <w:rFonts w:ascii="Corbel" w:hAnsi="Corbel"/>
        </w:rPr>
        <w:t>ealth</w:t>
      </w:r>
      <w:bookmarkEnd w:id="37"/>
    </w:p>
    <w:p w14:paraId="21FAE889" w14:textId="6747CE11" w:rsidR="00370270" w:rsidRPr="001D6F3C" w:rsidRDefault="00370270" w:rsidP="00A60862">
      <w:pPr>
        <w:jc w:val="both"/>
        <w:rPr>
          <w:rFonts w:ascii="Corbel" w:hAnsi="Corbel"/>
        </w:rPr>
      </w:pPr>
      <w:r w:rsidRPr="001D6F3C">
        <w:rPr>
          <w:rFonts w:ascii="Corbel" w:hAnsi="Corbel"/>
          <w:b/>
          <w:bCs/>
        </w:rPr>
        <w:t xml:space="preserve">On average, older people generally report better social wellbeing than other age groups. </w:t>
      </w:r>
      <w:r w:rsidRPr="001D6F3C">
        <w:rPr>
          <w:rFonts w:ascii="Corbel" w:hAnsi="Corbel"/>
        </w:rPr>
        <w:t>Across most of the indicators in the</w:t>
      </w:r>
      <w:r w:rsidR="00472D62" w:rsidRPr="001D6F3C">
        <w:rPr>
          <w:rFonts w:ascii="Corbel" w:hAnsi="Corbel"/>
        </w:rPr>
        <w:t xml:space="preserve"> 2023</w:t>
      </w:r>
      <w:r w:rsidRPr="001D6F3C">
        <w:rPr>
          <w:rFonts w:ascii="Corbel" w:hAnsi="Corbel"/>
        </w:rPr>
        <w:t xml:space="preserve"> General Social Survey (GSS), older people report better outcomes than for the general population, including for: income adequacy and material wellbeing; subjective wellbeing and mental health; social contact and support; and identity and belonging. </w:t>
      </w:r>
    </w:p>
    <w:p w14:paraId="31B79E38" w14:textId="3044F367" w:rsidR="00370270" w:rsidRPr="001D6F3C" w:rsidRDefault="00370270" w:rsidP="00A60862">
      <w:pPr>
        <w:jc w:val="both"/>
        <w:rPr>
          <w:rFonts w:ascii="Corbel" w:hAnsi="Corbel"/>
        </w:rPr>
      </w:pPr>
      <w:r w:rsidRPr="001D6F3C">
        <w:rPr>
          <w:rFonts w:ascii="Corbel" w:hAnsi="Corbel"/>
        </w:rPr>
        <w:t>On average, older people report higher life satisfaction, with an average rating of 7.9 out of 10 for older people compared with 7.6 out of 10 for all N</w:t>
      </w:r>
      <w:r w:rsidR="00407678" w:rsidRPr="001D6F3C">
        <w:rPr>
          <w:rFonts w:ascii="Corbel" w:hAnsi="Corbel"/>
        </w:rPr>
        <w:t>ew Zealand</w:t>
      </w:r>
      <w:r w:rsidRPr="001D6F3C">
        <w:rPr>
          <w:rFonts w:ascii="Corbel" w:hAnsi="Corbel"/>
        </w:rPr>
        <w:t>ers. They also report higher happiness (8/10 vs 7.7/10) and lower anxiety (2.4/10 vs 3/10), view life as more worthwhile (8.2/10 vs 7.9/10</w:t>
      </w:r>
      <w:r w:rsidR="00EB5D4F" w:rsidRPr="001D6F3C">
        <w:rPr>
          <w:rFonts w:ascii="Corbel" w:hAnsi="Corbel"/>
        </w:rPr>
        <w:t>)</w:t>
      </w:r>
      <w:r w:rsidRPr="001D6F3C">
        <w:rPr>
          <w:rFonts w:ascii="Corbel" w:hAnsi="Corbel"/>
        </w:rPr>
        <w:t xml:space="preserve"> and report greater family wellbeing (8/10 vs 7.6/10). </w:t>
      </w:r>
    </w:p>
    <w:p w14:paraId="3A2B4B4F" w14:textId="11384595" w:rsidR="09A04D62" w:rsidRPr="001D6F3C" w:rsidRDefault="09A04D62" w:rsidP="5A2C10D3">
      <w:pPr>
        <w:jc w:val="both"/>
        <w:rPr>
          <w:rFonts w:ascii="Corbel" w:hAnsi="Corbel"/>
        </w:rPr>
      </w:pPr>
      <w:r w:rsidRPr="001D6F3C">
        <w:rPr>
          <w:rFonts w:ascii="Corbel" w:hAnsi="Corbel"/>
          <w:b/>
          <w:bCs/>
        </w:rPr>
        <w:t>Nevertheless, there are still many doing poorly across multiple domains</w:t>
      </w:r>
      <w:r w:rsidRPr="001D6F3C">
        <w:rPr>
          <w:rFonts w:ascii="Corbel" w:hAnsi="Corbel"/>
        </w:rPr>
        <w:t>, even if the rate is generally lower than for other age groups.</w:t>
      </w:r>
      <w:r w:rsidRPr="001D6F3C">
        <w:rPr>
          <w:rFonts w:ascii="Corbel" w:hAnsi="Corbel"/>
          <w:b/>
          <w:bCs/>
        </w:rPr>
        <w:t xml:space="preserve"> </w:t>
      </w:r>
      <w:r w:rsidRPr="001D6F3C">
        <w:rPr>
          <w:rFonts w:ascii="Corbel" w:hAnsi="Corbel"/>
        </w:rPr>
        <w:t>According to the GSS:</w:t>
      </w:r>
    </w:p>
    <w:p w14:paraId="0CC76860" w14:textId="274CC2EB" w:rsidR="09A04D62" w:rsidRPr="001D6F3C" w:rsidRDefault="09A04D62" w:rsidP="00D404C5">
      <w:pPr>
        <w:numPr>
          <w:ilvl w:val="0"/>
          <w:numId w:val="18"/>
        </w:numPr>
        <w:jc w:val="both"/>
        <w:rPr>
          <w:rFonts w:ascii="Corbel" w:hAnsi="Corbel"/>
        </w:rPr>
      </w:pPr>
      <w:r w:rsidRPr="001D6F3C">
        <w:rPr>
          <w:rFonts w:ascii="Corbel" w:hAnsi="Corbel"/>
        </w:rPr>
        <w:t xml:space="preserve">5%, or 40,000 older people, report low happiness the previous day; 13%, or 110,000, reported feeling high anxiety; and 7% or 60,000 report negative net affect. </w:t>
      </w:r>
    </w:p>
    <w:p w14:paraId="3BDC195A" w14:textId="44223985" w:rsidR="09A04D62" w:rsidRPr="001D6F3C" w:rsidRDefault="09A04D62" w:rsidP="00D404C5">
      <w:pPr>
        <w:numPr>
          <w:ilvl w:val="0"/>
          <w:numId w:val="18"/>
        </w:numPr>
        <w:jc w:val="both"/>
        <w:rPr>
          <w:rFonts w:ascii="Corbel" w:hAnsi="Corbel"/>
        </w:rPr>
      </w:pPr>
      <w:r w:rsidRPr="001D6F3C">
        <w:rPr>
          <w:rFonts w:ascii="Corbel" w:hAnsi="Corbel"/>
        </w:rPr>
        <w:t xml:space="preserve">11% or 100,000 older people felt lonely at least some of the time in the last four weeks, and 2% or 20,000 older people felt lonely most or </w:t>
      </w:r>
      <w:proofErr w:type="gramStart"/>
      <w:r w:rsidRPr="001D6F3C">
        <w:rPr>
          <w:rFonts w:ascii="Corbel" w:hAnsi="Corbel"/>
        </w:rPr>
        <w:t>all of</w:t>
      </w:r>
      <w:proofErr w:type="gramEnd"/>
      <w:r w:rsidRPr="001D6F3C">
        <w:rPr>
          <w:rFonts w:ascii="Corbel" w:hAnsi="Corbel"/>
        </w:rPr>
        <w:t xml:space="preserve"> the time in the last four weeks. </w:t>
      </w:r>
    </w:p>
    <w:p w14:paraId="75E19D53" w14:textId="7C999546" w:rsidR="09A04D62" w:rsidRPr="001D6F3C" w:rsidRDefault="09A04D62" w:rsidP="00D404C5">
      <w:pPr>
        <w:numPr>
          <w:ilvl w:val="0"/>
          <w:numId w:val="18"/>
        </w:numPr>
        <w:jc w:val="both"/>
        <w:rPr>
          <w:rFonts w:ascii="Corbel" w:hAnsi="Corbel"/>
        </w:rPr>
      </w:pPr>
      <w:r w:rsidRPr="001D6F3C">
        <w:rPr>
          <w:rFonts w:ascii="Corbel" w:hAnsi="Corbel"/>
        </w:rPr>
        <w:t xml:space="preserve">21% or 180,000 older people, have poor overall mental wellbeing. </w:t>
      </w:r>
    </w:p>
    <w:p w14:paraId="7CA3CC43" w14:textId="2638F26B" w:rsidR="09A04D62" w:rsidRPr="001D6F3C" w:rsidRDefault="09A04D62" w:rsidP="00D404C5">
      <w:pPr>
        <w:numPr>
          <w:ilvl w:val="0"/>
          <w:numId w:val="18"/>
        </w:numPr>
        <w:jc w:val="both"/>
        <w:rPr>
          <w:rFonts w:ascii="Corbel" w:hAnsi="Corbel"/>
        </w:rPr>
      </w:pPr>
      <w:r w:rsidRPr="001D6F3C">
        <w:rPr>
          <w:rFonts w:ascii="Corbel" w:hAnsi="Corbel"/>
        </w:rPr>
        <w:t>12%, or 100,000 older people report that their home is always or often colder than they would like and 19%, or 160,000 older people report that their home is mouldy.</w:t>
      </w:r>
    </w:p>
    <w:p w14:paraId="60C1EE62" w14:textId="233C056D" w:rsidR="09A04D62" w:rsidRPr="001D6F3C" w:rsidRDefault="09A04D62" w:rsidP="00D404C5">
      <w:pPr>
        <w:numPr>
          <w:ilvl w:val="0"/>
          <w:numId w:val="18"/>
        </w:numPr>
        <w:jc w:val="both"/>
        <w:rPr>
          <w:rFonts w:ascii="Corbel" w:hAnsi="Corbel"/>
        </w:rPr>
      </w:pPr>
      <w:r w:rsidRPr="001D6F3C">
        <w:rPr>
          <w:rFonts w:ascii="Corbel" w:hAnsi="Corbel"/>
        </w:rPr>
        <w:t>23% or 200,000 older people, have fair or poor general health status.</w:t>
      </w:r>
    </w:p>
    <w:p w14:paraId="3DAE8460" w14:textId="68B7ECFF" w:rsidR="00391D29" w:rsidRPr="001D6F3C" w:rsidRDefault="00391D29" w:rsidP="00391D29">
      <w:pPr>
        <w:pStyle w:val="Caption"/>
        <w:keepNext/>
      </w:pPr>
      <w:bookmarkStart w:id="38" w:name="_Toc203647400"/>
      <w:r w:rsidRPr="001D6F3C">
        <w:t xml:space="preserve">Table </w:t>
      </w:r>
      <w:r w:rsidRPr="001D6F3C">
        <w:fldChar w:fldCharType="begin"/>
      </w:r>
      <w:r w:rsidRPr="001D6F3C">
        <w:instrText xml:space="preserve"> SEQ Table \* ARABIC </w:instrText>
      </w:r>
      <w:r w:rsidRPr="001D6F3C">
        <w:fldChar w:fldCharType="separate"/>
      </w:r>
      <w:r w:rsidR="00D048DB" w:rsidRPr="001D6F3C">
        <w:rPr>
          <w:noProof/>
        </w:rPr>
        <w:t>3</w:t>
      </w:r>
      <w:r w:rsidRPr="001D6F3C">
        <w:fldChar w:fldCharType="end"/>
      </w:r>
      <w:r w:rsidRPr="001D6F3C">
        <w:t>: % of population doing poorly on selected GSS indicators – by age group</w:t>
      </w:r>
      <w:bookmarkEnd w:id="38"/>
    </w:p>
    <w:tbl>
      <w:tblPr>
        <w:tblW w:w="88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3302"/>
        <w:gridCol w:w="963"/>
        <w:gridCol w:w="760"/>
        <w:gridCol w:w="765"/>
        <w:gridCol w:w="761"/>
      </w:tblGrid>
      <w:tr w:rsidR="00391D29" w:rsidRPr="001D6F3C" w14:paraId="1DC7E2F3" w14:textId="77777777" w:rsidTr="0089426A">
        <w:trPr>
          <w:trHeight w:val="166"/>
        </w:trPr>
        <w:tc>
          <w:tcPr>
            <w:tcW w:w="5578" w:type="dxa"/>
            <w:gridSpan w:val="2"/>
            <w:vAlign w:val="center"/>
            <w:hideMark/>
          </w:tcPr>
          <w:p w14:paraId="6B192579"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 </w:t>
            </w:r>
          </w:p>
          <w:p w14:paraId="3EBF818D"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 </w:t>
            </w:r>
          </w:p>
        </w:tc>
        <w:tc>
          <w:tcPr>
            <w:tcW w:w="963" w:type="dxa"/>
            <w:vAlign w:val="center"/>
            <w:hideMark/>
          </w:tcPr>
          <w:p w14:paraId="53D9DBF5" w14:textId="77777777" w:rsidR="00391D29" w:rsidRPr="001D6F3C" w:rsidRDefault="00391D29">
            <w:pPr>
              <w:spacing w:before="0" w:after="0" w:line="240" w:lineRule="auto"/>
              <w:jc w:val="center"/>
              <w:rPr>
                <w:rFonts w:ascii="Corbel" w:eastAsia="Times New Roman" w:hAnsi="Corbel" w:cs="Calibri"/>
                <w:b/>
                <w:bCs/>
                <w:sz w:val="16"/>
                <w:szCs w:val="16"/>
                <w:lang w:eastAsia="en-NZ"/>
              </w:rPr>
            </w:pPr>
            <w:r w:rsidRPr="001D6F3C">
              <w:rPr>
                <w:rFonts w:ascii="Corbel" w:eastAsia="Times New Roman" w:hAnsi="Corbel" w:cs="Calibri"/>
                <w:b/>
                <w:bCs/>
                <w:sz w:val="16"/>
                <w:szCs w:val="16"/>
                <w:lang w:eastAsia="en-NZ"/>
              </w:rPr>
              <w:t>Total 15+</w:t>
            </w:r>
          </w:p>
        </w:tc>
        <w:tc>
          <w:tcPr>
            <w:tcW w:w="760" w:type="dxa"/>
            <w:vAlign w:val="center"/>
            <w:hideMark/>
          </w:tcPr>
          <w:p w14:paraId="67D828C2" w14:textId="77777777" w:rsidR="00391D29" w:rsidRPr="001D6F3C" w:rsidRDefault="00391D29">
            <w:pPr>
              <w:spacing w:before="0" w:after="0" w:line="240" w:lineRule="auto"/>
              <w:jc w:val="center"/>
              <w:rPr>
                <w:rFonts w:ascii="Corbel" w:eastAsia="Times New Roman" w:hAnsi="Corbel" w:cs="Calibri"/>
                <w:b/>
                <w:bCs/>
                <w:sz w:val="16"/>
                <w:szCs w:val="16"/>
                <w:lang w:eastAsia="en-NZ"/>
              </w:rPr>
            </w:pPr>
            <w:r w:rsidRPr="001D6F3C">
              <w:rPr>
                <w:rFonts w:ascii="Corbel" w:eastAsia="Times New Roman" w:hAnsi="Corbel" w:cs="Calibri"/>
                <w:b/>
                <w:bCs/>
                <w:sz w:val="16"/>
                <w:szCs w:val="16"/>
                <w:lang w:eastAsia="en-NZ"/>
              </w:rPr>
              <w:t>65+</w:t>
            </w:r>
          </w:p>
        </w:tc>
        <w:tc>
          <w:tcPr>
            <w:tcW w:w="765" w:type="dxa"/>
            <w:vAlign w:val="center"/>
            <w:hideMark/>
          </w:tcPr>
          <w:p w14:paraId="6AA083C0" w14:textId="77777777" w:rsidR="00391D29" w:rsidRPr="001D6F3C" w:rsidRDefault="00391D29">
            <w:pPr>
              <w:spacing w:before="0" w:after="0" w:line="240" w:lineRule="auto"/>
              <w:jc w:val="center"/>
              <w:rPr>
                <w:rFonts w:ascii="Corbel" w:eastAsia="Times New Roman" w:hAnsi="Corbel" w:cs="Calibri"/>
                <w:sz w:val="16"/>
                <w:szCs w:val="16"/>
                <w:lang w:eastAsia="en-NZ"/>
              </w:rPr>
            </w:pPr>
            <w:r w:rsidRPr="001D6F3C">
              <w:rPr>
                <w:rFonts w:ascii="Corbel" w:eastAsia="Times New Roman" w:hAnsi="Corbel" w:cs="Calibri"/>
                <w:sz w:val="16"/>
                <w:szCs w:val="16"/>
                <w:lang w:eastAsia="en-NZ"/>
              </w:rPr>
              <w:t xml:space="preserve">65–74 </w:t>
            </w:r>
          </w:p>
        </w:tc>
        <w:tc>
          <w:tcPr>
            <w:tcW w:w="761" w:type="dxa"/>
            <w:vAlign w:val="center"/>
            <w:hideMark/>
          </w:tcPr>
          <w:p w14:paraId="2AEB3E75" w14:textId="77777777" w:rsidR="00391D29" w:rsidRPr="001D6F3C" w:rsidRDefault="00391D29">
            <w:pPr>
              <w:spacing w:before="0" w:after="0" w:line="240" w:lineRule="auto"/>
              <w:jc w:val="center"/>
              <w:rPr>
                <w:rFonts w:ascii="Corbel" w:eastAsia="Times New Roman" w:hAnsi="Corbel" w:cs="Calibri"/>
                <w:sz w:val="16"/>
                <w:szCs w:val="16"/>
                <w:lang w:eastAsia="en-NZ"/>
              </w:rPr>
            </w:pPr>
            <w:r w:rsidRPr="001D6F3C">
              <w:rPr>
                <w:rFonts w:ascii="Corbel" w:eastAsia="Times New Roman" w:hAnsi="Corbel" w:cs="Calibri"/>
                <w:sz w:val="16"/>
                <w:szCs w:val="16"/>
                <w:lang w:eastAsia="en-NZ"/>
              </w:rPr>
              <w:t xml:space="preserve">75+ </w:t>
            </w:r>
          </w:p>
        </w:tc>
      </w:tr>
      <w:tr w:rsidR="00391D29" w:rsidRPr="001D6F3C" w14:paraId="313E25D2" w14:textId="77777777" w:rsidTr="0089426A">
        <w:trPr>
          <w:trHeight w:val="227"/>
        </w:trPr>
        <w:tc>
          <w:tcPr>
            <w:tcW w:w="2276" w:type="dxa"/>
            <w:vMerge w:val="restart"/>
            <w:noWrap/>
            <w:hideMark/>
          </w:tcPr>
          <w:p w14:paraId="185A52F4"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r w:rsidRPr="001D6F3C">
              <w:rPr>
                <w:rFonts w:ascii="Corbel" w:eastAsia="Times New Roman" w:hAnsi="Corbel" w:cs="Calibri"/>
                <w:b/>
                <w:bCs/>
                <w:sz w:val="16"/>
                <w:szCs w:val="16"/>
                <w:lang w:eastAsia="en-NZ"/>
              </w:rPr>
              <w:t>Subjective wellbeing /affect</w:t>
            </w:r>
          </w:p>
          <w:p w14:paraId="5C2D29D7"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p>
          <w:p w14:paraId="4BAAF6B8"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p>
        </w:tc>
        <w:tc>
          <w:tcPr>
            <w:tcW w:w="3302" w:type="dxa"/>
            <w:noWrap/>
            <w:vAlign w:val="center"/>
            <w:hideMark/>
          </w:tcPr>
          <w:p w14:paraId="78C7D3F9"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Lower life satisfaction (&lt;6/10)</w:t>
            </w:r>
          </w:p>
        </w:tc>
        <w:tc>
          <w:tcPr>
            <w:tcW w:w="963" w:type="dxa"/>
            <w:noWrap/>
            <w:vAlign w:val="center"/>
            <w:hideMark/>
          </w:tcPr>
          <w:p w14:paraId="251BDD36" w14:textId="2FC7A1A5" w:rsidR="00391D29" w:rsidRPr="001D6F3C" w:rsidRDefault="00391D29">
            <w:pPr>
              <w:spacing w:before="0" w:after="0" w:line="240" w:lineRule="auto"/>
              <w:jc w:val="center"/>
              <w:rPr>
                <w:rFonts w:ascii="Corbel" w:eastAsia="Times New Roman" w:hAnsi="Corbel" w:cs="Arial"/>
                <w:b/>
                <w:bCs/>
                <w:sz w:val="16"/>
                <w:szCs w:val="16"/>
                <w:lang w:eastAsia="en-NZ"/>
              </w:rPr>
            </w:pPr>
            <w:r w:rsidRPr="001D6F3C">
              <w:rPr>
                <w:rFonts w:ascii="Corbel" w:eastAsia="Times New Roman" w:hAnsi="Corbel" w:cs="Arial"/>
                <w:b/>
                <w:bCs/>
                <w:sz w:val="16"/>
                <w:szCs w:val="16"/>
                <w:lang w:eastAsia="en-NZ"/>
              </w:rPr>
              <w:t>21</w:t>
            </w:r>
          </w:p>
        </w:tc>
        <w:tc>
          <w:tcPr>
            <w:tcW w:w="760" w:type="dxa"/>
            <w:noWrap/>
            <w:vAlign w:val="center"/>
            <w:hideMark/>
          </w:tcPr>
          <w:p w14:paraId="39022DDE" w14:textId="0D2FBD82" w:rsidR="00391D29" w:rsidRPr="001D6F3C" w:rsidRDefault="00391D29">
            <w:pPr>
              <w:spacing w:before="0" w:after="0" w:line="240" w:lineRule="auto"/>
              <w:jc w:val="center"/>
              <w:rPr>
                <w:rFonts w:ascii="Corbel" w:eastAsia="Times New Roman" w:hAnsi="Corbel" w:cs="Arial"/>
                <w:b/>
                <w:bCs/>
                <w:sz w:val="16"/>
                <w:szCs w:val="16"/>
                <w:lang w:eastAsia="en-NZ"/>
              </w:rPr>
            </w:pPr>
            <w:r w:rsidRPr="001D6F3C">
              <w:rPr>
                <w:rFonts w:ascii="Corbel" w:eastAsia="Times New Roman" w:hAnsi="Corbel" w:cs="Arial"/>
                <w:b/>
                <w:bCs/>
                <w:sz w:val="16"/>
                <w:szCs w:val="16"/>
                <w:lang w:eastAsia="en-NZ"/>
              </w:rPr>
              <w:t>19</w:t>
            </w:r>
          </w:p>
        </w:tc>
        <w:tc>
          <w:tcPr>
            <w:tcW w:w="765" w:type="dxa"/>
            <w:noWrap/>
            <w:vAlign w:val="center"/>
            <w:hideMark/>
          </w:tcPr>
          <w:p w14:paraId="23A681E8" w14:textId="6744479B" w:rsidR="00391D29" w:rsidRPr="001D6F3C" w:rsidRDefault="00391D29">
            <w:pPr>
              <w:spacing w:before="0" w:after="0" w:line="240" w:lineRule="auto"/>
              <w:jc w:val="center"/>
              <w:rPr>
                <w:rFonts w:ascii="Corbel" w:eastAsia="Times New Roman" w:hAnsi="Corbel" w:cs="Arial"/>
                <w:sz w:val="16"/>
                <w:szCs w:val="16"/>
                <w:lang w:eastAsia="en-NZ"/>
              </w:rPr>
            </w:pPr>
            <w:r w:rsidRPr="001D6F3C">
              <w:rPr>
                <w:rFonts w:ascii="Corbel" w:eastAsia="Times New Roman" w:hAnsi="Corbel" w:cs="Arial"/>
                <w:sz w:val="16"/>
                <w:szCs w:val="16"/>
                <w:lang w:eastAsia="en-NZ"/>
              </w:rPr>
              <w:t>2</w:t>
            </w:r>
            <w:r w:rsidR="008C4F42" w:rsidRPr="001D6F3C">
              <w:rPr>
                <w:rFonts w:ascii="Corbel" w:eastAsia="Times New Roman" w:hAnsi="Corbel" w:cs="Arial"/>
                <w:sz w:val="16"/>
                <w:szCs w:val="16"/>
                <w:lang w:eastAsia="en-NZ"/>
              </w:rPr>
              <w:t>1</w:t>
            </w:r>
          </w:p>
        </w:tc>
        <w:tc>
          <w:tcPr>
            <w:tcW w:w="761" w:type="dxa"/>
            <w:noWrap/>
            <w:vAlign w:val="center"/>
            <w:hideMark/>
          </w:tcPr>
          <w:p w14:paraId="45D2561B" w14:textId="0BF90506" w:rsidR="00391D29" w:rsidRPr="001D6F3C" w:rsidRDefault="00391D29">
            <w:pPr>
              <w:spacing w:before="0" w:after="0" w:line="240" w:lineRule="auto"/>
              <w:jc w:val="center"/>
              <w:rPr>
                <w:rFonts w:ascii="Corbel" w:eastAsia="Times New Roman" w:hAnsi="Corbel" w:cs="Arial"/>
                <w:sz w:val="16"/>
                <w:szCs w:val="16"/>
                <w:lang w:eastAsia="en-NZ"/>
              </w:rPr>
            </w:pPr>
            <w:r w:rsidRPr="001D6F3C">
              <w:rPr>
                <w:rFonts w:ascii="Corbel" w:eastAsia="Times New Roman" w:hAnsi="Corbel" w:cs="Arial"/>
                <w:sz w:val="16"/>
                <w:szCs w:val="16"/>
                <w:lang w:eastAsia="en-NZ"/>
              </w:rPr>
              <w:t>1</w:t>
            </w:r>
            <w:r w:rsidR="008C4F42" w:rsidRPr="001D6F3C">
              <w:rPr>
                <w:rFonts w:ascii="Corbel" w:eastAsia="Times New Roman" w:hAnsi="Corbel" w:cs="Arial"/>
                <w:sz w:val="16"/>
                <w:szCs w:val="16"/>
                <w:lang w:eastAsia="en-NZ"/>
              </w:rPr>
              <w:t>8</w:t>
            </w:r>
          </w:p>
        </w:tc>
      </w:tr>
      <w:tr w:rsidR="00391D29" w:rsidRPr="001D6F3C" w14:paraId="7AD2CAA9" w14:textId="77777777" w:rsidTr="0089426A">
        <w:trPr>
          <w:trHeight w:val="227"/>
        </w:trPr>
        <w:tc>
          <w:tcPr>
            <w:tcW w:w="0" w:type="auto"/>
            <w:vMerge/>
            <w:vAlign w:val="center"/>
            <w:hideMark/>
          </w:tcPr>
          <w:p w14:paraId="383DC53A"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34C4170A"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Low happiness yesterday (&lt;4/10)</w:t>
            </w:r>
          </w:p>
        </w:tc>
        <w:tc>
          <w:tcPr>
            <w:tcW w:w="963" w:type="dxa"/>
            <w:noWrap/>
            <w:vAlign w:val="center"/>
            <w:hideMark/>
          </w:tcPr>
          <w:p w14:paraId="61B4B3B9" w14:textId="77777777" w:rsidR="00391D29" w:rsidRPr="001D6F3C" w:rsidRDefault="00391D29">
            <w:pPr>
              <w:spacing w:before="0" w:after="0" w:line="240" w:lineRule="auto"/>
              <w:jc w:val="center"/>
              <w:rPr>
                <w:rFonts w:ascii="Corbel" w:eastAsia="Times New Roman" w:hAnsi="Corbel" w:cs="Arial"/>
                <w:b/>
                <w:bCs/>
                <w:sz w:val="16"/>
                <w:szCs w:val="16"/>
                <w:lang w:eastAsia="en-NZ"/>
              </w:rPr>
            </w:pPr>
            <w:r w:rsidRPr="001D6F3C">
              <w:rPr>
                <w:rFonts w:ascii="Corbel" w:eastAsia="Times New Roman" w:hAnsi="Corbel" w:cs="Arial"/>
                <w:b/>
                <w:bCs/>
                <w:sz w:val="16"/>
                <w:szCs w:val="16"/>
                <w:lang w:eastAsia="en-NZ"/>
              </w:rPr>
              <w:t>7.5</w:t>
            </w:r>
          </w:p>
        </w:tc>
        <w:tc>
          <w:tcPr>
            <w:tcW w:w="760" w:type="dxa"/>
            <w:noWrap/>
            <w:vAlign w:val="center"/>
            <w:hideMark/>
          </w:tcPr>
          <w:p w14:paraId="6C5F98EB" w14:textId="77777777" w:rsidR="00391D29" w:rsidRPr="001D6F3C" w:rsidRDefault="00391D29">
            <w:pPr>
              <w:spacing w:before="0" w:after="0" w:line="240" w:lineRule="auto"/>
              <w:jc w:val="center"/>
              <w:rPr>
                <w:rFonts w:ascii="Corbel" w:eastAsia="Times New Roman" w:hAnsi="Corbel" w:cs="Arial"/>
                <w:b/>
                <w:bCs/>
                <w:sz w:val="16"/>
                <w:szCs w:val="16"/>
                <w:lang w:eastAsia="en-NZ"/>
              </w:rPr>
            </w:pPr>
            <w:r w:rsidRPr="001D6F3C">
              <w:rPr>
                <w:rFonts w:ascii="Corbel" w:eastAsia="Times New Roman" w:hAnsi="Corbel" w:cs="Arial"/>
                <w:b/>
                <w:bCs/>
                <w:sz w:val="16"/>
                <w:szCs w:val="16"/>
                <w:lang w:eastAsia="en-NZ"/>
              </w:rPr>
              <w:t>5.0</w:t>
            </w:r>
          </w:p>
        </w:tc>
        <w:tc>
          <w:tcPr>
            <w:tcW w:w="765" w:type="dxa"/>
            <w:noWrap/>
            <w:vAlign w:val="center"/>
            <w:hideMark/>
          </w:tcPr>
          <w:p w14:paraId="2A7A71F9" w14:textId="77777777" w:rsidR="00391D29" w:rsidRPr="001D6F3C" w:rsidRDefault="00391D29">
            <w:pPr>
              <w:spacing w:before="0" w:after="0" w:line="240" w:lineRule="auto"/>
              <w:jc w:val="center"/>
              <w:rPr>
                <w:rFonts w:ascii="Corbel" w:eastAsia="Times New Roman" w:hAnsi="Corbel" w:cs="Arial"/>
                <w:sz w:val="16"/>
                <w:szCs w:val="16"/>
                <w:lang w:eastAsia="en-NZ"/>
              </w:rPr>
            </w:pPr>
            <w:r w:rsidRPr="001D6F3C">
              <w:rPr>
                <w:rFonts w:ascii="Corbel" w:eastAsia="Times New Roman" w:hAnsi="Corbel" w:cs="Arial"/>
                <w:sz w:val="16"/>
                <w:szCs w:val="16"/>
                <w:lang w:eastAsia="en-NZ"/>
              </w:rPr>
              <w:t>6.0</w:t>
            </w:r>
          </w:p>
        </w:tc>
        <w:tc>
          <w:tcPr>
            <w:tcW w:w="761" w:type="dxa"/>
            <w:noWrap/>
            <w:vAlign w:val="center"/>
            <w:hideMark/>
          </w:tcPr>
          <w:p w14:paraId="36732803" w14:textId="77777777" w:rsidR="00391D29" w:rsidRPr="001D6F3C" w:rsidRDefault="00391D29">
            <w:pPr>
              <w:spacing w:before="0" w:after="0" w:line="240" w:lineRule="auto"/>
              <w:jc w:val="center"/>
              <w:rPr>
                <w:rFonts w:ascii="Corbel" w:eastAsia="Times New Roman" w:hAnsi="Corbel" w:cs="Arial"/>
                <w:sz w:val="16"/>
                <w:szCs w:val="16"/>
                <w:lang w:eastAsia="en-NZ"/>
              </w:rPr>
            </w:pPr>
            <w:r w:rsidRPr="001D6F3C">
              <w:rPr>
                <w:rFonts w:ascii="Corbel" w:eastAsia="Times New Roman" w:hAnsi="Corbel" w:cs="Arial"/>
                <w:sz w:val="16"/>
                <w:szCs w:val="16"/>
                <w:lang w:eastAsia="en-NZ"/>
              </w:rPr>
              <w:t>3.7</w:t>
            </w:r>
          </w:p>
        </w:tc>
      </w:tr>
      <w:tr w:rsidR="00391D29" w:rsidRPr="001D6F3C" w14:paraId="2EF3DAD6" w14:textId="77777777" w:rsidTr="0089426A">
        <w:trPr>
          <w:trHeight w:val="227"/>
        </w:trPr>
        <w:tc>
          <w:tcPr>
            <w:tcW w:w="0" w:type="auto"/>
            <w:vMerge/>
            <w:vAlign w:val="center"/>
            <w:hideMark/>
          </w:tcPr>
          <w:p w14:paraId="03B5B1DB"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6C74C6CB"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Higher anxiety yesterday (7+/10)</w:t>
            </w:r>
          </w:p>
        </w:tc>
        <w:tc>
          <w:tcPr>
            <w:tcW w:w="963" w:type="dxa"/>
            <w:noWrap/>
            <w:vAlign w:val="center"/>
            <w:hideMark/>
          </w:tcPr>
          <w:p w14:paraId="56FB4857" w14:textId="7F46BC37"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6</w:t>
            </w:r>
          </w:p>
        </w:tc>
        <w:tc>
          <w:tcPr>
            <w:tcW w:w="760" w:type="dxa"/>
            <w:noWrap/>
            <w:vAlign w:val="center"/>
            <w:hideMark/>
          </w:tcPr>
          <w:p w14:paraId="01130F58" w14:textId="1FB16E6C"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3</w:t>
            </w:r>
          </w:p>
        </w:tc>
        <w:tc>
          <w:tcPr>
            <w:tcW w:w="765" w:type="dxa"/>
            <w:noWrap/>
            <w:vAlign w:val="center"/>
            <w:hideMark/>
          </w:tcPr>
          <w:p w14:paraId="53405F5C" w14:textId="310AEC0A"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13</w:t>
            </w:r>
          </w:p>
        </w:tc>
        <w:tc>
          <w:tcPr>
            <w:tcW w:w="761" w:type="dxa"/>
            <w:noWrap/>
            <w:vAlign w:val="center"/>
            <w:hideMark/>
          </w:tcPr>
          <w:p w14:paraId="679735B2" w14:textId="19E121FD"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w:t>
            </w:r>
            <w:r w:rsidR="00E16544" w:rsidRPr="001D6F3C">
              <w:rPr>
                <w:rFonts w:ascii="Corbel" w:eastAsia="Times New Roman" w:hAnsi="Corbel" w:cs="Arial"/>
                <w:color w:val="000000"/>
                <w:sz w:val="16"/>
                <w:szCs w:val="16"/>
                <w:lang w:eastAsia="en-NZ"/>
              </w:rPr>
              <w:t>2</w:t>
            </w:r>
          </w:p>
        </w:tc>
      </w:tr>
      <w:tr w:rsidR="00391D29" w:rsidRPr="001D6F3C" w14:paraId="013EDEF1" w14:textId="77777777" w:rsidTr="0089426A">
        <w:trPr>
          <w:trHeight w:val="227"/>
        </w:trPr>
        <w:tc>
          <w:tcPr>
            <w:tcW w:w="0" w:type="auto"/>
            <w:vMerge/>
            <w:vAlign w:val="center"/>
            <w:hideMark/>
          </w:tcPr>
          <w:p w14:paraId="5C1F102B"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2EBC25F4"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 xml:space="preserve">Negative net affect </w:t>
            </w:r>
          </w:p>
        </w:tc>
        <w:tc>
          <w:tcPr>
            <w:tcW w:w="963" w:type="dxa"/>
            <w:noWrap/>
            <w:vAlign w:val="center"/>
            <w:hideMark/>
          </w:tcPr>
          <w:p w14:paraId="0308BD70" w14:textId="7DC99CE1"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1</w:t>
            </w:r>
          </w:p>
        </w:tc>
        <w:tc>
          <w:tcPr>
            <w:tcW w:w="760" w:type="dxa"/>
            <w:noWrap/>
            <w:vAlign w:val="center"/>
            <w:hideMark/>
          </w:tcPr>
          <w:p w14:paraId="01582338" w14:textId="440FE2AF" w:rsidR="00391D29" w:rsidRPr="001D6F3C" w:rsidRDefault="00E16544">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7</w:t>
            </w:r>
          </w:p>
        </w:tc>
        <w:tc>
          <w:tcPr>
            <w:tcW w:w="765" w:type="dxa"/>
            <w:noWrap/>
            <w:vAlign w:val="center"/>
            <w:hideMark/>
          </w:tcPr>
          <w:p w14:paraId="2D4BD14C" w14:textId="78573932" w:rsidR="00391D29" w:rsidRPr="001D6F3C" w:rsidRDefault="00E16544">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8</w:t>
            </w:r>
          </w:p>
        </w:tc>
        <w:tc>
          <w:tcPr>
            <w:tcW w:w="761" w:type="dxa"/>
            <w:noWrap/>
            <w:vAlign w:val="center"/>
            <w:hideMark/>
          </w:tcPr>
          <w:p w14:paraId="50A912B1" w14:textId="28D7F804"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5</w:t>
            </w:r>
          </w:p>
        </w:tc>
      </w:tr>
      <w:tr w:rsidR="00391D29" w:rsidRPr="001D6F3C" w14:paraId="4ACBEE82" w14:textId="77777777" w:rsidTr="0089426A">
        <w:trPr>
          <w:trHeight w:val="227"/>
        </w:trPr>
        <w:tc>
          <w:tcPr>
            <w:tcW w:w="8066" w:type="dxa"/>
            <w:gridSpan w:val="5"/>
            <w:noWrap/>
            <w:hideMark/>
          </w:tcPr>
          <w:p w14:paraId="63FB7C0B" w14:textId="77777777" w:rsidR="00391D29" w:rsidRPr="001D6F3C" w:rsidRDefault="00391D29">
            <w:pPr>
              <w:rPr>
                <w:rFonts w:ascii="Corbel" w:eastAsia="Times New Roman" w:hAnsi="Corbel" w:cs="Arial"/>
                <w:color w:val="000000"/>
                <w:sz w:val="16"/>
                <w:szCs w:val="16"/>
                <w:lang w:eastAsia="en-NZ"/>
              </w:rPr>
            </w:pPr>
          </w:p>
        </w:tc>
        <w:tc>
          <w:tcPr>
            <w:tcW w:w="761" w:type="dxa"/>
            <w:noWrap/>
            <w:vAlign w:val="center"/>
            <w:hideMark/>
          </w:tcPr>
          <w:p w14:paraId="41D2B08D" w14:textId="77777777" w:rsidR="00391D29" w:rsidRPr="001D6F3C" w:rsidRDefault="00391D29">
            <w:pPr>
              <w:spacing w:before="0" w:after="0" w:line="240" w:lineRule="auto"/>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 </w:t>
            </w:r>
          </w:p>
        </w:tc>
      </w:tr>
      <w:tr w:rsidR="00391D29" w:rsidRPr="001D6F3C" w14:paraId="7F05782D" w14:textId="77777777" w:rsidTr="0089426A">
        <w:trPr>
          <w:trHeight w:val="227"/>
        </w:trPr>
        <w:tc>
          <w:tcPr>
            <w:tcW w:w="2276" w:type="dxa"/>
            <w:vMerge w:val="restart"/>
            <w:noWrap/>
            <w:hideMark/>
          </w:tcPr>
          <w:p w14:paraId="0C89D08A"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r w:rsidRPr="001D6F3C">
              <w:rPr>
                <w:rFonts w:ascii="Corbel" w:eastAsia="Times New Roman" w:hAnsi="Corbel" w:cs="Calibri"/>
                <w:b/>
                <w:bCs/>
                <w:sz w:val="16"/>
                <w:szCs w:val="16"/>
                <w:lang w:eastAsia="en-NZ"/>
              </w:rPr>
              <w:t>Health</w:t>
            </w:r>
          </w:p>
        </w:tc>
        <w:tc>
          <w:tcPr>
            <w:tcW w:w="3302" w:type="dxa"/>
            <w:noWrap/>
            <w:vAlign w:val="center"/>
            <w:hideMark/>
          </w:tcPr>
          <w:p w14:paraId="1E11F369"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Self-rated general health status: Fair/Poor</w:t>
            </w:r>
          </w:p>
        </w:tc>
        <w:tc>
          <w:tcPr>
            <w:tcW w:w="963" w:type="dxa"/>
            <w:noWrap/>
            <w:vAlign w:val="center"/>
            <w:hideMark/>
          </w:tcPr>
          <w:p w14:paraId="31B3BC3E" w14:textId="6988C932"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19</w:t>
            </w:r>
          </w:p>
        </w:tc>
        <w:tc>
          <w:tcPr>
            <w:tcW w:w="760" w:type="dxa"/>
            <w:noWrap/>
            <w:vAlign w:val="center"/>
            <w:hideMark/>
          </w:tcPr>
          <w:p w14:paraId="574959BC" w14:textId="48EF42A5"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23</w:t>
            </w:r>
          </w:p>
        </w:tc>
        <w:tc>
          <w:tcPr>
            <w:tcW w:w="765" w:type="dxa"/>
            <w:noWrap/>
            <w:vAlign w:val="center"/>
            <w:hideMark/>
          </w:tcPr>
          <w:p w14:paraId="34045884" w14:textId="460B35F2"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w:t>
            </w:r>
            <w:r w:rsidR="00E16544" w:rsidRPr="001D6F3C">
              <w:rPr>
                <w:rFonts w:ascii="Corbel" w:eastAsia="Times New Roman" w:hAnsi="Corbel" w:cs="Arial"/>
                <w:color w:val="000000"/>
                <w:sz w:val="16"/>
                <w:szCs w:val="16"/>
                <w:lang w:eastAsia="en-NZ"/>
              </w:rPr>
              <w:t>1</w:t>
            </w:r>
          </w:p>
        </w:tc>
        <w:tc>
          <w:tcPr>
            <w:tcW w:w="761" w:type="dxa"/>
            <w:noWrap/>
            <w:vAlign w:val="center"/>
            <w:hideMark/>
          </w:tcPr>
          <w:p w14:paraId="25C483EA" w14:textId="5FC309E2"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w:t>
            </w:r>
            <w:r w:rsidR="00E16544" w:rsidRPr="001D6F3C">
              <w:rPr>
                <w:rFonts w:ascii="Corbel" w:eastAsia="Times New Roman" w:hAnsi="Corbel" w:cs="Arial"/>
                <w:color w:val="000000"/>
                <w:sz w:val="16"/>
                <w:szCs w:val="16"/>
                <w:lang w:eastAsia="en-NZ"/>
              </w:rPr>
              <w:t>6</w:t>
            </w:r>
          </w:p>
        </w:tc>
      </w:tr>
      <w:tr w:rsidR="00391D29" w:rsidRPr="001D6F3C" w14:paraId="1B75EB09" w14:textId="77777777" w:rsidTr="0089426A">
        <w:trPr>
          <w:trHeight w:val="227"/>
        </w:trPr>
        <w:tc>
          <w:tcPr>
            <w:tcW w:w="0" w:type="auto"/>
            <w:vMerge/>
            <w:vAlign w:val="center"/>
            <w:hideMark/>
          </w:tcPr>
          <w:p w14:paraId="0FE06431"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2E70596F"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Mental wellbeing: Poor</w:t>
            </w:r>
          </w:p>
        </w:tc>
        <w:tc>
          <w:tcPr>
            <w:tcW w:w="963" w:type="dxa"/>
            <w:noWrap/>
            <w:vAlign w:val="center"/>
            <w:hideMark/>
          </w:tcPr>
          <w:p w14:paraId="2723C28E" w14:textId="6033B614"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26</w:t>
            </w:r>
          </w:p>
        </w:tc>
        <w:tc>
          <w:tcPr>
            <w:tcW w:w="760" w:type="dxa"/>
            <w:noWrap/>
            <w:vAlign w:val="center"/>
            <w:hideMark/>
          </w:tcPr>
          <w:p w14:paraId="21EB8326" w14:textId="3D3E09C6"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w:t>
            </w:r>
            <w:r w:rsidR="00E16544" w:rsidRPr="001D6F3C">
              <w:rPr>
                <w:rFonts w:ascii="Corbel" w:eastAsia="Times New Roman" w:hAnsi="Corbel" w:cs="Arial"/>
                <w:b/>
                <w:bCs/>
                <w:color w:val="000000"/>
                <w:sz w:val="16"/>
                <w:szCs w:val="16"/>
                <w:lang w:eastAsia="en-NZ"/>
              </w:rPr>
              <w:t>1</w:t>
            </w:r>
          </w:p>
        </w:tc>
        <w:tc>
          <w:tcPr>
            <w:tcW w:w="765" w:type="dxa"/>
            <w:noWrap/>
            <w:vAlign w:val="center"/>
            <w:hideMark/>
          </w:tcPr>
          <w:p w14:paraId="6313202B" w14:textId="282571BA" w:rsidR="00391D29" w:rsidRPr="001D6F3C" w:rsidRDefault="00E16544">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20</w:t>
            </w:r>
          </w:p>
        </w:tc>
        <w:tc>
          <w:tcPr>
            <w:tcW w:w="761" w:type="dxa"/>
            <w:noWrap/>
            <w:vAlign w:val="center"/>
            <w:hideMark/>
          </w:tcPr>
          <w:p w14:paraId="6FC609E1" w14:textId="531CAD0D"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22</w:t>
            </w:r>
          </w:p>
        </w:tc>
      </w:tr>
      <w:tr w:rsidR="00391D29" w:rsidRPr="001D6F3C" w14:paraId="7A48373A" w14:textId="77777777" w:rsidTr="0089426A">
        <w:trPr>
          <w:trHeight w:val="227"/>
        </w:trPr>
        <w:tc>
          <w:tcPr>
            <w:tcW w:w="8827" w:type="dxa"/>
            <w:gridSpan w:val="6"/>
            <w:noWrap/>
            <w:hideMark/>
          </w:tcPr>
          <w:p w14:paraId="15C67A22" w14:textId="77777777" w:rsidR="00391D29" w:rsidRPr="001D6F3C" w:rsidRDefault="00391D29">
            <w:pPr>
              <w:rPr>
                <w:rFonts w:ascii="Corbel" w:eastAsia="Times New Roman" w:hAnsi="Corbel" w:cs="Arial"/>
                <w:color w:val="000000"/>
                <w:sz w:val="16"/>
                <w:szCs w:val="16"/>
                <w:lang w:eastAsia="en-NZ"/>
              </w:rPr>
            </w:pPr>
          </w:p>
        </w:tc>
      </w:tr>
      <w:tr w:rsidR="00391D29" w:rsidRPr="001D6F3C" w14:paraId="6BE1A29E" w14:textId="77777777" w:rsidTr="0089426A">
        <w:trPr>
          <w:trHeight w:val="227"/>
        </w:trPr>
        <w:tc>
          <w:tcPr>
            <w:tcW w:w="2276" w:type="dxa"/>
            <w:vMerge w:val="restart"/>
            <w:noWrap/>
            <w:hideMark/>
          </w:tcPr>
          <w:p w14:paraId="3F7B93D9"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r w:rsidRPr="001D6F3C">
              <w:rPr>
                <w:rFonts w:ascii="Corbel" w:eastAsia="Times New Roman" w:hAnsi="Corbel" w:cs="Calibri"/>
                <w:b/>
                <w:bCs/>
                <w:sz w:val="16"/>
                <w:szCs w:val="16"/>
                <w:lang w:eastAsia="en-NZ"/>
              </w:rPr>
              <w:t>Housing</w:t>
            </w:r>
          </w:p>
          <w:p w14:paraId="02E3B557"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p>
        </w:tc>
        <w:tc>
          <w:tcPr>
            <w:tcW w:w="3302" w:type="dxa"/>
            <w:noWrap/>
            <w:vAlign w:val="center"/>
            <w:hideMark/>
          </w:tcPr>
          <w:p w14:paraId="74B08559"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 xml:space="preserve">House or flat colder than would </w:t>
            </w:r>
            <w:proofErr w:type="gramStart"/>
            <w:r w:rsidRPr="001D6F3C">
              <w:rPr>
                <w:rFonts w:ascii="Corbel" w:eastAsia="Times New Roman" w:hAnsi="Corbel" w:cs="Calibri"/>
                <w:sz w:val="16"/>
                <w:szCs w:val="16"/>
                <w:lang w:eastAsia="en-NZ"/>
              </w:rPr>
              <w:t>like:</w:t>
            </w:r>
            <w:proofErr w:type="gramEnd"/>
            <w:r w:rsidRPr="001D6F3C">
              <w:rPr>
                <w:rFonts w:ascii="Corbel" w:eastAsia="Times New Roman" w:hAnsi="Corbel" w:cs="Calibri"/>
                <w:sz w:val="16"/>
                <w:szCs w:val="16"/>
                <w:lang w:eastAsia="en-NZ"/>
              </w:rPr>
              <w:t xml:space="preserve"> always/often</w:t>
            </w:r>
          </w:p>
        </w:tc>
        <w:tc>
          <w:tcPr>
            <w:tcW w:w="963" w:type="dxa"/>
            <w:noWrap/>
            <w:vAlign w:val="center"/>
            <w:hideMark/>
          </w:tcPr>
          <w:p w14:paraId="32F890C2" w14:textId="2D271140"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w:t>
            </w:r>
            <w:r w:rsidR="00E16544" w:rsidRPr="001D6F3C">
              <w:rPr>
                <w:rFonts w:ascii="Corbel" w:eastAsia="Times New Roman" w:hAnsi="Corbel" w:cs="Arial"/>
                <w:b/>
                <w:bCs/>
                <w:color w:val="000000"/>
                <w:sz w:val="16"/>
                <w:szCs w:val="16"/>
                <w:lang w:eastAsia="en-NZ"/>
              </w:rPr>
              <w:t>1</w:t>
            </w:r>
          </w:p>
        </w:tc>
        <w:tc>
          <w:tcPr>
            <w:tcW w:w="760" w:type="dxa"/>
            <w:noWrap/>
            <w:vAlign w:val="center"/>
            <w:hideMark/>
          </w:tcPr>
          <w:p w14:paraId="04D642C3" w14:textId="3E0B30DA"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2</w:t>
            </w:r>
          </w:p>
        </w:tc>
        <w:tc>
          <w:tcPr>
            <w:tcW w:w="765" w:type="dxa"/>
            <w:noWrap/>
            <w:vAlign w:val="center"/>
            <w:hideMark/>
          </w:tcPr>
          <w:p w14:paraId="2ACBF5FA" w14:textId="043DDB14"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13</w:t>
            </w:r>
          </w:p>
        </w:tc>
        <w:tc>
          <w:tcPr>
            <w:tcW w:w="761" w:type="dxa"/>
            <w:noWrap/>
            <w:vAlign w:val="center"/>
            <w:hideMark/>
          </w:tcPr>
          <w:p w14:paraId="6DA84811" w14:textId="6348740D" w:rsidR="00391D29" w:rsidRPr="001D6F3C" w:rsidRDefault="00E16544">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10</w:t>
            </w:r>
          </w:p>
        </w:tc>
      </w:tr>
      <w:tr w:rsidR="00391D29" w:rsidRPr="001D6F3C" w14:paraId="54AA94CD" w14:textId="77777777" w:rsidTr="0089426A">
        <w:trPr>
          <w:trHeight w:val="227"/>
        </w:trPr>
        <w:tc>
          <w:tcPr>
            <w:tcW w:w="0" w:type="auto"/>
            <w:vMerge/>
            <w:vAlign w:val="center"/>
            <w:hideMark/>
          </w:tcPr>
          <w:p w14:paraId="4A287DB6"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0E6B81C4"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House or flat is damp: always</w:t>
            </w:r>
          </w:p>
        </w:tc>
        <w:tc>
          <w:tcPr>
            <w:tcW w:w="963" w:type="dxa"/>
            <w:noWrap/>
            <w:vAlign w:val="center"/>
            <w:hideMark/>
          </w:tcPr>
          <w:p w14:paraId="4D5DFD17" w14:textId="06825C7E" w:rsidR="00391D29" w:rsidRPr="001D6F3C" w:rsidRDefault="00E16544">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5</w:t>
            </w:r>
          </w:p>
        </w:tc>
        <w:tc>
          <w:tcPr>
            <w:tcW w:w="760" w:type="dxa"/>
            <w:noWrap/>
            <w:vAlign w:val="center"/>
            <w:hideMark/>
          </w:tcPr>
          <w:p w14:paraId="29C340BC" w14:textId="642768E2"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w:t>
            </w:r>
          </w:p>
        </w:tc>
        <w:tc>
          <w:tcPr>
            <w:tcW w:w="765" w:type="dxa"/>
            <w:noWrap/>
            <w:vAlign w:val="center"/>
            <w:hideMark/>
          </w:tcPr>
          <w:p w14:paraId="42973CEB" w14:textId="30204FC7" w:rsidR="00391D29" w:rsidRPr="001D6F3C" w:rsidRDefault="00E16544">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3</w:t>
            </w:r>
          </w:p>
        </w:tc>
        <w:tc>
          <w:tcPr>
            <w:tcW w:w="761" w:type="dxa"/>
            <w:noWrap/>
            <w:vAlign w:val="center"/>
            <w:hideMark/>
          </w:tcPr>
          <w:p w14:paraId="3F08EE4B" w14:textId="228D70BE"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w:t>
            </w:r>
          </w:p>
        </w:tc>
      </w:tr>
      <w:tr w:rsidR="00391D29" w:rsidRPr="001D6F3C" w14:paraId="31C61D4B" w14:textId="77777777" w:rsidTr="0089426A">
        <w:trPr>
          <w:trHeight w:val="227"/>
        </w:trPr>
        <w:tc>
          <w:tcPr>
            <w:tcW w:w="0" w:type="auto"/>
            <w:vMerge/>
            <w:vAlign w:val="center"/>
            <w:hideMark/>
          </w:tcPr>
          <w:p w14:paraId="2F1B6958"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49A52BE3"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House or flat is mouldy</w:t>
            </w:r>
          </w:p>
        </w:tc>
        <w:tc>
          <w:tcPr>
            <w:tcW w:w="963" w:type="dxa"/>
            <w:noWrap/>
            <w:vAlign w:val="center"/>
            <w:hideMark/>
          </w:tcPr>
          <w:p w14:paraId="609171EA" w14:textId="227E16BD"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35</w:t>
            </w:r>
          </w:p>
        </w:tc>
        <w:tc>
          <w:tcPr>
            <w:tcW w:w="760" w:type="dxa"/>
            <w:noWrap/>
            <w:vAlign w:val="center"/>
            <w:hideMark/>
          </w:tcPr>
          <w:p w14:paraId="46CBFEAA" w14:textId="7241236A"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9</w:t>
            </w:r>
          </w:p>
        </w:tc>
        <w:tc>
          <w:tcPr>
            <w:tcW w:w="765" w:type="dxa"/>
            <w:noWrap/>
            <w:vAlign w:val="center"/>
            <w:hideMark/>
          </w:tcPr>
          <w:p w14:paraId="1AF5A5BD" w14:textId="263C37BB"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22</w:t>
            </w:r>
          </w:p>
        </w:tc>
        <w:tc>
          <w:tcPr>
            <w:tcW w:w="761" w:type="dxa"/>
            <w:noWrap/>
            <w:vAlign w:val="center"/>
            <w:hideMark/>
          </w:tcPr>
          <w:p w14:paraId="5CE3FF4D" w14:textId="085C8504"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14</w:t>
            </w:r>
          </w:p>
        </w:tc>
      </w:tr>
      <w:tr w:rsidR="00391D29" w:rsidRPr="001D6F3C" w14:paraId="39AD5124" w14:textId="77777777" w:rsidTr="0089426A">
        <w:trPr>
          <w:trHeight w:val="227"/>
        </w:trPr>
        <w:tc>
          <w:tcPr>
            <w:tcW w:w="0" w:type="auto"/>
            <w:vMerge/>
            <w:vAlign w:val="center"/>
            <w:hideMark/>
          </w:tcPr>
          <w:p w14:paraId="185E8470"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7D0B8D62"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Affordability of house or flat (&lt;3/10)</w:t>
            </w:r>
          </w:p>
        </w:tc>
        <w:tc>
          <w:tcPr>
            <w:tcW w:w="963" w:type="dxa"/>
            <w:noWrap/>
            <w:vAlign w:val="center"/>
            <w:hideMark/>
          </w:tcPr>
          <w:p w14:paraId="3F3BDA7E" w14:textId="583CE823"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14</w:t>
            </w:r>
          </w:p>
        </w:tc>
        <w:tc>
          <w:tcPr>
            <w:tcW w:w="760" w:type="dxa"/>
            <w:noWrap/>
            <w:vAlign w:val="center"/>
            <w:hideMark/>
          </w:tcPr>
          <w:p w14:paraId="7639F135" w14:textId="6CC26A2C"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9</w:t>
            </w:r>
          </w:p>
        </w:tc>
        <w:tc>
          <w:tcPr>
            <w:tcW w:w="765" w:type="dxa"/>
            <w:noWrap/>
            <w:vAlign w:val="center"/>
            <w:hideMark/>
          </w:tcPr>
          <w:p w14:paraId="27E76B80" w14:textId="2E518403"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w:t>
            </w:r>
            <w:r w:rsidR="00E16544" w:rsidRPr="001D6F3C">
              <w:rPr>
                <w:rFonts w:ascii="Corbel" w:eastAsia="Times New Roman" w:hAnsi="Corbel" w:cs="Arial"/>
                <w:color w:val="000000"/>
                <w:sz w:val="16"/>
                <w:szCs w:val="16"/>
                <w:lang w:eastAsia="en-NZ"/>
              </w:rPr>
              <w:t>1</w:t>
            </w:r>
          </w:p>
        </w:tc>
        <w:tc>
          <w:tcPr>
            <w:tcW w:w="761" w:type="dxa"/>
            <w:noWrap/>
            <w:vAlign w:val="center"/>
            <w:hideMark/>
          </w:tcPr>
          <w:p w14:paraId="7413E10B" w14:textId="57004627"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7</w:t>
            </w:r>
          </w:p>
        </w:tc>
      </w:tr>
      <w:tr w:rsidR="00391D29" w:rsidRPr="001D6F3C" w14:paraId="52FD2702" w14:textId="77777777" w:rsidTr="0089426A">
        <w:trPr>
          <w:trHeight w:val="227"/>
        </w:trPr>
        <w:tc>
          <w:tcPr>
            <w:tcW w:w="8827" w:type="dxa"/>
            <w:gridSpan w:val="6"/>
            <w:noWrap/>
          </w:tcPr>
          <w:p w14:paraId="490EAC84" w14:textId="77777777" w:rsidR="00391D29" w:rsidRPr="001D6F3C" w:rsidRDefault="00391D29">
            <w:pPr>
              <w:spacing w:before="0" w:after="0" w:line="240" w:lineRule="auto"/>
              <w:rPr>
                <w:rFonts w:ascii="Corbel" w:eastAsia="Times New Roman" w:hAnsi="Corbel" w:cs="Calibri"/>
                <w:b/>
                <w:bCs/>
                <w:sz w:val="16"/>
                <w:szCs w:val="16"/>
                <w:lang w:eastAsia="en-NZ"/>
              </w:rPr>
            </w:pPr>
          </w:p>
        </w:tc>
      </w:tr>
      <w:tr w:rsidR="00391D29" w:rsidRPr="001D6F3C" w14:paraId="3DED599A" w14:textId="77777777" w:rsidTr="0089426A">
        <w:trPr>
          <w:trHeight w:val="227"/>
        </w:trPr>
        <w:tc>
          <w:tcPr>
            <w:tcW w:w="2276" w:type="dxa"/>
            <w:vMerge w:val="restart"/>
            <w:noWrap/>
            <w:hideMark/>
          </w:tcPr>
          <w:p w14:paraId="54CE5683"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b/>
                <w:bCs/>
                <w:sz w:val="16"/>
                <w:szCs w:val="16"/>
                <w:lang w:eastAsia="en-NZ"/>
              </w:rPr>
              <w:t>Social contact and loneliness</w:t>
            </w:r>
          </w:p>
        </w:tc>
        <w:tc>
          <w:tcPr>
            <w:tcW w:w="3302" w:type="dxa"/>
            <w:noWrap/>
            <w:vAlign w:val="center"/>
            <w:hideMark/>
          </w:tcPr>
          <w:p w14:paraId="0AD9B0D1"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Level of all contact with family: not enough</w:t>
            </w:r>
          </w:p>
        </w:tc>
        <w:tc>
          <w:tcPr>
            <w:tcW w:w="963" w:type="dxa"/>
            <w:noWrap/>
            <w:vAlign w:val="center"/>
            <w:hideMark/>
          </w:tcPr>
          <w:p w14:paraId="5C60F181" w14:textId="7A391868"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21</w:t>
            </w:r>
          </w:p>
        </w:tc>
        <w:tc>
          <w:tcPr>
            <w:tcW w:w="760" w:type="dxa"/>
            <w:noWrap/>
            <w:vAlign w:val="center"/>
            <w:hideMark/>
          </w:tcPr>
          <w:p w14:paraId="0E1DC8D1" w14:textId="5BDB4C76"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9</w:t>
            </w:r>
          </w:p>
        </w:tc>
        <w:tc>
          <w:tcPr>
            <w:tcW w:w="765" w:type="dxa"/>
            <w:noWrap/>
            <w:vAlign w:val="center"/>
            <w:hideMark/>
          </w:tcPr>
          <w:p w14:paraId="27ADC36F" w14:textId="3A88A518"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18</w:t>
            </w:r>
          </w:p>
        </w:tc>
        <w:tc>
          <w:tcPr>
            <w:tcW w:w="761" w:type="dxa"/>
            <w:noWrap/>
            <w:vAlign w:val="center"/>
            <w:hideMark/>
          </w:tcPr>
          <w:p w14:paraId="502F3411" w14:textId="53E5ADD3"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19</w:t>
            </w:r>
          </w:p>
        </w:tc>
      </w:tr>
      <w:tr w:rsidR="00391D29" w:rsidRPr="001D6F3C" w14:paraId="4AFAFBBD" w14:textId="77777777" w:rsidTr="0089426A">
        <w:trPr>
          <w:trHeight w:val="227"/>
        </w:trPr>
        <w:tc>
          <w:tcPr>
            <w:tcW w:w="0" w:type="auto"/>
            <w:vMerge/>
            <w:vAlign w:val="center"/>
            <w:hideMark/>
          </w:tcPr>
          <w:p w14:paraId="55933239"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0AFAA747"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Level of all contact with friends: not enough</w:t>
            </w:r>
          </w:p>
        </w:tc>
        <w:tc>
          <w:tcPr>
            <w:tcW w:w="963" w:type="dxa"/>
            <w:noWrap/>
            <w:vAlign w:val="center"/>
            <w:hideMark/>
          </w:tcPr>
          <w:p w14:paraId="4CEFF7DA" w14:textId="454E6203"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24</w:t>
            </w:r>
          </w:p>
        </w:tc>
        <w:tc>
          <w:tcPr>
            <w:tcW w:w="760" w:type="dxa"/>
            <w:noWrap/>
            <w:vAlign w:val="center"/>
            <w:hideMark/>
          </w:tcPr>
          <w:p w14:paraId="2D0454B7" w14:textId="1F3C3D56"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6</w:t>
            </w:r>
          </w:p>
        </w:tc>
        <w:tc>
          <w:tcPr>
            <w:tcW w:w="765" w:type="dxa"/>
            <w:noWrap/>
            <w:vAlign w:val="center"/>
            <w:hideMark/>
          </w:tcPr>
          <w:p w14:paraId="1A32C740" w14:textId="3C7567E8"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16</w:t>
            </w:r>
          </w:p>
        </w:tc>
        <w:tc>
          <w:tcPr>
            <w:tcW w:w="761" w:type="dxa"/>
            <w:noWrap/>
            <w:vAlign w:val="center"/>
            <w:hideMark/>
          </w:tcPr>
          <w:p w14:paraId="2912A2C4" w14:textId="5D7AEA07"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w:t>
            </w:r>
            <w:r w:rsidR="00E16544" w:rsidRPr="001D6F3C">
              <w:rPr>
                <w:rFonts w:ascii="Corbel" w:eastAsia="Times New Roman" w:hAnsi="Corbel" w:cs="Arial"/>
                <w:color w:val="000000"/>
                <w:sz w:val="16"/>
                <w:szCs w:val="16"/>
                <w:lang w:eastAsia="en-NZ"/>
              </w:rPr>
              <w:t>6</w:t>
            </w:r>
          </w:p>
        </w:tc>
      </w:tr>
      <w:tr w:rsidR="00391D29" w:rsidRPr="001D6F3C" w14:paraId="13DE0F60" w14:textId="77777777" w:rsidTr="0089426A">
        <w:trPr>
          <w:trHeight w:val="227"/>
        </w:trPr>
        <w:tc>
          <w:tcPr>
            <w:tcW w:w="0" w:type="auto"/>
            <w:vMerge/>
            <w:vAlign w:val="center"/>
            <w:hideMark/>
          </w:tcPr>
          <w:p w14:paraId="199866E4"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06AFFB85"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Felt lonely some/most/</w:t>
            </w:r>
            <w:proofErr w:type="gramStart"/>
            <w:r w:rsidRPr="001D6F3C">
              <w:rPr>
                <w:rFonts w:ascii="Corbel" w:eastAsia="Times New Roman" w:hAnsi="Corbel" w:cs="Calibri"/>
                <w:sz w:val="16"/>
                <w:szCs w:val="16"/>
                <w:lang w:eastAsia="en-NZ"/>
              </w:rPr>
              <w:t>all of</w:t>
            </w:r>
            <w:proofErr w:type="gramEnd"/>
            <w:r w:rsidRPr="001D6F3C">
              <w:rPr>
                <w:rFonts w:ascii="Corbel" w:eastAsia="Times New Roman" w:hAnsi="Corbel" w:cs="Calibri"/>
                <w:sz w:val="16"/>
                <w:szCs w:val="16"/>
                <w:lang w:eastAsia="en-NZ"/>
              </w:rPr>
              <w:t xml:space="preserve"> the time</w:t>
            </w:r>
          </w:p>
        </w:tc>
        <w:tc>
          <w:tcPr>
            <w:tcW w:w="963" w:type="dxa"/>
            <w:noWrap/>
            <w:vAlign w:val="center"/>
            <w:hideMark/>
          </w:tcPr>
          <w:p w14:paraId="2850C3C2" w14:textId="1B1B1CF6"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w:t>
            </w:r>
            <w:r w:rsidR="00E16544" w:rsidRPr="001D6F3C">
              <w:rPr>
                <w:rFonts w:ascii="Corbel" w:eastAsia="Times New Roman" w:hAnsi="Corbel" w:cs="Arial"/>
                <w:b/>
                <w:bCs/>
                <w:color w:val="000000"/>
                <w:sz w:val="16"/>
                <w:szCs w:val="16"/>
                <w:lang w:eastAsia="en-NZ"/>
              </w:rPr>
              <w:t>8</w:t>
            </w:r>
          </w:p>
        </w:tc>
        <w:tc>
          <w:tcPr>
            <w:tcW w:w="760" w:type="dxa"/>
            <w:noWrap/>
            <w:vAlign w:val="center"/>
            <w:hideMark/>
          </w:tcPr>
          <w:p w14:paraId="3D72A3EC" w14:textId="0841339C"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11</w:t>
            </w:r>
          </w:p>
        </w:tc>
        <w:tc>
          <w:tcPr>
            <w:tcW w:w="765" w:type="dxa"/>
            <w:noWrap/>
            <w:vAlign w:val="center"/>
            <w:hideMark/>
          </w:tcPr>
          <w:p w14:paraId="72076248" w14:textId="7C685933"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11</w:t>
            </w:r>
          </w:p>
        </w:tc>
        <w:tc>
          <w:tcPr>
            <w:tcW w:w="761" w:type="dxa"/>
            <w:noWrap/>
            <w:vAlign w:val="center"/>
            <w:hideMark/>
          </w:tcPr>
          <w:p w14:paraId="20526449" w14:textId="54B151F0"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w:t>
            </w:r>
            <w:r w:rsidR="00E16544" w:rsidRPr="001D6F3C">
              <w:rPr>
                <w:rFonts w:ascii="Corbel" w:eastAsia="Times New Roman" w:hAnsi="Corbel" w:cs="Arial"/>
                <w:color w:val="000000"/>
                <w:sz w:val="16"/>
                <w:szCs w:val="16"/>
                <w:lang w:eastAsia="en-NZ"/>
              </w:rPr>
              <w:t>2</w:t>
            </w:r>
          </w:p>
        </w:tc>
      </w:tr>
      <w:tr w:rsidR="00391D29" w:rsidRPr="001D6F3C" w14:paraId="4C47F655" w14:textId="77777777" w:rsidTr="0089426A">
        <w:trPr>
          <w:trHeight w:val="227"/>
        </w:trPr>
        <w:tc>
          <w:tcPr>
            <w:tcW w:w="0" w:type="auto"/>
            <w:vMerge/>
            <w:vAlign w:val="center"/>
            <w:hideMark/>
          </w:tcPr>
          <w:p w14:paraId="49009AF5"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374594FA"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 xml:space="preserve">Felt </w:t>
            </w:r>
            <w:proofErr w:type="gramStart"/>
            <w:r w:rsidRPr="001D6F3C">
              <w:rPr>
                <w:rFonts w:ascii="Corbel" w:eastAsia="Times New Roman" w:hAnsi="Corbel" w:cs="Calibri"/>
                <w:sz w:val="16"/>
                <w:szCs w:val="16"/>
                <w:lang w:eastAsia="en-NZ"/>
              </w:rPr>
              <w:t>lonely :</w:t>
            </w:r>
            <w:proofErr w:type="gramEnd"/>
            <w:r w:rsidRPr="001D6F3C">
              <w:rPr>
                <w:rFonts w:ascii="Corbel" w:eastAsia="Times New Roman" w:hAnsi="Corbel" w:cs="Calibri"/>
                <w:sz w:val="16"/>
                <w:szCs w:val="16"/>
                <w:lang w:eastAsia="en-NZ"/>
              </w:rPr>
              <w:t xml:space="preserve"> most/all of the time</w:t>
            </w:r>
          </w:p>
        </w:tc>
        <w:tc>
          <w:tcPr>
            <w:tcW w:w="963" w:type="dxa"/>
            <w:noWrap/>
            <w:vAlign w:val="center"/>
            <w:hideMark/>
          </w:tcPr>
          <w:p w14:paraId="03710AD9" w14:textId="0054E886"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4</w:t>
            </w:r>
          </w:p>
        </w:tc>
        <w:tc>
          <w:tcPr>
            <w:tcW w:w="760" w:type="dxa"/>
            <w:noWrap/>
            <w:vAlign w:val="center"/>
            <w:hideMark/>
          </w:tcPr>
          <w:p w14:paraId="22B9DA03" w14:textId="51DB595B" w:rsidR="00391D29" w:rsidRPr="001D6F3C" w:rsidRDefault="00E16544">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w:t>
            </w:r>
          </w:p>
        </w:tc>
        <w:tc>
          <w:tcPr>
            <w:tcW w:w="765" w:type="dxa"/>
            <w:noWrap/>
            <w:vAlign w:val="center"/>
            <w:hideMark/>
          </w:tcPr>
          <w:p w14:paraId="4EED5AE3" w14:textId="66C31324" w:rsidR="00391D29" w:rsidRPr="001D6F3C" w:rsidRDefault="00E16544">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w:t>
            </w:r>
          </w:p>
        </w:tc>
        <w:tc>
          <w:tcPr>
            <w:tcW w:w="761" w:type="dxa"/>
            <w:noWrap/>
            <w:vAlign w:val="center"/>
            <w:hideMark/>
          </w:tcPr>
          <w:p w14:paraId="02C4A058" w14:textId="159858E5"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w:t>
            </w:r>
          </w:p>
        </w:tc>
      </w:tr>
      <w:tr w:rsidR="00391D29" w:rsidRPr="001D6F3C" w14:paraId="4ED61F85" w14:textId="77777777" w:rsidTr="0089426A">
        <w:trPr>
          <w:trHeight w:val="227"/>
        </w:trPr>
        <w:tc>
          <w:tcPr>
            <w:tcW w:w="8827" w:type="dxa"/>
            <w:gridSpan w:val="6"/>
            <w:noWrap/>
            <w:hideMark/>
          </w:tcPr>
          <w:p w14:paraId="7FC1F4B7" w14:textId="77777777" w:rsidR="00391D29" w:rsidRPr="001D6F3C" w:rsidRDefault="00391D29">
            <w:pPr>
              <w:rPr>
                <w:rFonts w:ascii="Corbel" w:eastAsia="Times New Roman" w:hAnsi="Corbel" w:cs="Arial"/>
                <w:color w:val="000000"/>
                <w:sz w:val="16"/>
                <w:szCs w:val="16"/>
                <w:lang w:eastAsia="en-NZ"/>
              </w:rPr>
            </w:pPr>
          </w:p>
        </w:tc>
      </w:tr>
      <w:tr w:rsidR="00391D29" w:rsidRPr="001D6F3C" w14:paraId="48202ABF" w14:textId="77777777" w:rsidTr="0089426A">
        <w:trPr>
          <w:trHeight w:val="227"/>
        </w:trPr>
        <w:tc>
          <w:tcPr>
            <w:tcW w:w="2276" w:type="dxa"/>
            <w:vMerge w:val="restart"/>
            <w:noWrap/>
            <w:hideMark/>
          </w:tcPr>
          <w:p w14:paraId="078401B8"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r w:rsidRPr="001D6F3C">
              <w:rPr>
                <w:rFonts w:ascii="Corbel" w:eastAsia="Times New Roman" w:hAnsi="Corbel" w:cs="Calibri"/>
                <w:b/>
                <w:bCs/>
                <w:sz w:val="16"/>
                <w:szCs w:val="16"/>
                <w:lang w:eastAsia="en-NZ"/>
              </w:rPr>
              <w:t>Belonging, identity and trust</w:t>
            </w:r>
          </w:p>
          <w:p w14:paraId="6E429F7F" w14:textId="77777777" w:rsidR="00391D29" w:rsidRPr="001D6F3C" w:rsidRDefault="00391D29">
            <w:pPr>
              <w:spacing w:before="0" w:after="0" w:line="240" w:lineRule="auto"/>
              <w:rPr>
                <w:rFonts w:ascii="Corbel" w:eastAsia="Times New Roman" w:hAnsi="Corbel" w:cs="Calibri"/>
                <w:color w:val="000000"/>
                <w:lang w:eastAsia="en-NZ"/>
              </w:rPr>
            </w:pPr>
            <w:r w:rsidRPr="001D6F3C">
              <w:rPr>
                <w:rFonts w:ascii="Corbel" w:eastAsia="Times New Roman" w:hAnsi="Corbel" w:cs="Calibri"/>
                <w:color w:val="000000"/>
                <w:lang w:eastAsia="en-NZ"/>
              </w:rPr>
              <w:t> </w:t>
            </w:r>
          </w:p>
        </w:tc>
        <w:tc>
          <w:tcPr>
            <w:tcW w:w="3302" w:type="dxa"/>
            <w:noWrap/>
            <w:vAlign w:val="center"/>
            <w:hideMark/>
          </w:tcPr>
          <w:p w14:paraId="0CEDB90F"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Sense of belonging to New Zealand (&lt;4/10)</w:t>
            </w:r>
          </w:p>
        </w:tc>
        <w:tc>
          <w:tcPr>
            <w:tcW w:w="963" w:type="dxa"/>
            <w:noWrap/>
            <w:vAlign w:val="center"/>
            <w:hideMark/>
          </w:tcPr>
          <w:p w14:paraId="16E139E9" w14:textId="5B533A96"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4</w:t>
            </w:r>
          </w:p>
        </w:tc>
        <w:tc>
          <w:tcPr>
            <w:tcW w:w="760" w:type="dxa"/>
            <w:noWrap/>
            <w:vAlign w:val="center"/>
            <w:hideMark/>
          </w:tcPr>
          <w:p w14:paraId="597761BB" w14:textId="2329CA30"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2</w:t>
            </w:r>
          </w:p>
        </w:tc>
        <w:tc>
          <w:tcPr>
            <w:tcW w:w="765" w:type="dxa"/>
            <w:noWrap/>
            <w:vAlign w:val="center"/>
            <w:hideMark/>
          </w:tcPr>
          <w:p w14:paraId="53ED24B7" w14:textId="156C200E"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w:t>
            </w:r>
          </w:p>
        </w:tc>
        <w:tc>
          <w:tcPr>
            <w:tcW w:w="761" w:type="dxa"/>
            <w:noWrap/>
            <w:vAlign w:val="center"/>
            <w:hideMark/>
          </w:tcPr>
          <w:p w14:paraId="4BA65BE5" w14:textId="3755B876" w:rsidR="00391D29" w:rsidRPr="001D6F3C" w:rsidRDefault="00E16544">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2</w:t>
            </w:r>
          </w:p>
        </w:tc>
      </w:tr>
      <w:tr w:rsidR="00391D29" w:rsidRPr="001D6F3C" w14:paraId="204605A4" w14:textId="77777777" w:rsidTr="0089426A">
        <w:trPr>
          <w:trHeight w:val="227"/>
        </w:trPr>
        <w:tc>
          <w:tcPr>
            <w:tcW w:w="0" w:type="auto"/>
            <w:vMerge/>
            <w:vAlign w:val="center"/>
            <w:hideMark/>
          </w:tcPr>
          <w:p w14:paraId="1514B0F7"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55D5A375"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 xml:space="preserve">Trust held for people in New </w:t>
            </w:r>
            <w:proofErr w:type="gramStart"/>
            <w:r w:rsidRPr="001D6F3C">
              <w:rPr>
                <w:rFonts w:ascii="Corbel" w:eastAsia="Times New Roman" w:hAnsi="Corbel" w:cs="Calibri"/>
                <w:sz w:val="16"/>
                <w:szCs w:val="16"/>
                <w:lang w:eastAsia="en-NZ"/>
              </w:rPr>
              <w:t>Zealand  (</w:t>
            </w:r>
            <w:proofErr w:type="gramEnd"/>
            <w:r w:rsidRPr="001D6F3C">
              <w:rPr>
                <w:rFonts w:ascii="Corbel" w:eastAsia="Times New Roman" w:hAnsi="Corbel" w:cs="Calibri"/>
                <w:sz w:val="16"/>
                <w:szCs w:val="16"/>
                <w:lang w:eastAsia="en-NZ"/>
              </w:rPr>
              <w:t>&lt;4/10)</w:t>
            </w:r>
          </w:p>
        </w:tc>
        <w:tc>
          <w:tcPr>
            <w:tcW w:w="963" w:type="dxa"/>
            <w:noWrap/>
            <w:vAlign w:val="center"/>
            <w:hideMark/>
          </w:tcPr>
          <w:p w14:paraId="7FECB463" w14:textId="45B5DDF7"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13</w:t>
            </w:r>
          </w:p>
        </w:tc>
        <w:tc>
          <w:tcPr>
            <w:tcW w:w="760" w:type="dxa"/>
            <w:noWrap/>
            <w:vAlign w:val="center"/>
            <w:hideMark/>
          </w:tcPr>
          <w:p w14:paraId="36D147F4" w14:textId="5996BE9D"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9</w:t>
            </w:r>
          </w:p>
        </w:tc>
        <w:tc>
          <w:tcPr>
            <w:tcW w:w="765" w:type="dxa"/>
            <w:noWrap/>
            <w:vAlign w:val="center"/>
            <w:hideMark/>
          </w:tcPr>
          <w:p w14:paraId="15C23D93" w14:textId="080437C4"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10</w:t>
            </w:r>
          </w:p>
        </w:tc>
        <w:tc>
          <w:tcPr>
            <w:tcW w:w="761" w:type="dxa"/>
            <w:noWrap/>
            <w:vAlign w:val="center"/>
            <w:hideMark/>
          </w:tcPr>
          <w:p w14:paraId="57C0F363" w14:textId="7DF42FAF"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7</w:t>
            </w:r>
          </w:p>
        </w:tc>
      </w:tr>
      <w:tr w:rsidR="00391D29" w:rsidRPr="001D6F3C" w14:paraId="09F6BD15" w14:textId="77777777" w:rsidTr="0089426A">
        <w:trPr>
          <w:trHeight w:val="227"/>
        </w:trPr>
        <w:tc>
          <w:tcPr>
            <w:tcW w:w="0" w:type="auto"/>
            <w:vMerge/>
            <w:vAlign w:val="center"/>
            <w:hideMark/>
          </w:tcPr>
          <w:p w14:paraId="395334E7" w14:textId="77777777" w:rsidR="00391D29" w:rsidRPr="001D6F3C" w:rsidRDefault="00391D29">
            <w:pPr>
              <w:spacing w:before="0" w:after="0"/>
              <w:rPr>
                <w:rFonts w:ascii="Corbel" w:eastAsia="Times New Roman" w:hAnsi="Corbel" w:cs="Calibri"/>
                <w:color w:val="000000"/>
                <w:lang w:eastAsia="en-NZ"/>
              </w:rPr>
            </w:pPr>
          </w:p>
        </w:tc>
        <w:tc>
          <w:tcPr>
            <w:tcW w:w="3302" w:type="dxa"/>
            <w:noWrap/>
            <w:vAlign w:val="center"/>
            <w:hideMark/>
          </w:tcPr>
          <w:p w14:paraId="482150F8" w14:textId="77777777" w:rsidR="00391D29" w:rsidRPr="001D6F3C" w:rsidRDefault="00391D29">
            <w:pPr>
              <w:spacing w:before="0" w:after="0" w:line="240" w:lineRule="auto"/>
              <w:rPr>
                <w:rFonts w:ascii="Corbel" w:eastAsia="Times New Roman" w:hAnsi="Corbel" w:cs="Calibri"/>
                <w:sz w:val="16"/>
                <w:szCs w:val="16"/>
                <w:lang w:eastAsia="en-NZ"/>
              </w:rPr>
            </w:pPr>
            <w:r w:rsidRPr="001D6F3C">
              <w:rPr>
                <w:rFonts w:ascii="Corbel" w:eastAsia="Times New Roman" w:hAnsi="Corbel" w:cs="Calibri"/>
                <w:sz w:val="16"/>
                <w:szCs w:val="16"/>
                <w:lang w:eastAsia="en-NZ"/>
              </w:rPr>
              <w:t>Ability to express identity</w:t>
            </w:r>
          </w:p>
        </w:tc>
        <w:tc>
          <w:tcPr>
            <w:tcW w:w="963" w:type="dxa"/>
            <w:noWrap/>
            <w:vAlign w:val="center"/>
            <w:hideMark/>
          </w:tcPr>
          <w:p w14:paraId="412C05C6" w14:textId="1352CE4C"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7</w:t>
            </w:r>
            <w:r w:rsidR="00E16544" w:rsidRPr="001D6F3C">
              <w:rPr>
                <w:rFonts w:ascii="Corbel" w:eastAsia="Times New Roman" w:hAnsi="Corbel" w:cs="Arial"/>
                <w:b/>
                <w:bCs/>
                <w:color w:val="000000"/>
                <w:sz w:val="16"/>
                <w:szCs w:val="16"/>
                <w:lang w:eastAsia="en-NZ"/>
              </w:rPr>
              <w:t>6</w:t>
            </w:r>
          </w:p>
        </w:tc>
        <w:tc>
          <w:tcPr>
            <w:tcW w:w="760" w:type="dxa"/>
            <w:noWrap/>
            <w:vAlign w:val="center"/>
            <w:hideMark/>
          </w:tcPr>
          <w:p w14:paraId="50E641F0" w14:textId="0257F327" w:rsidR="00391D29" w:rsidRPr="001D6F3C" w:rsidRDefault="00391D29">
            <w:pPr>
              <w:spacing w:before="0" w:after="0" w:line="240" w:lineRule="auto"/>
              <w:jc w:val="center"/>
              <w:rPr>
                <w:rFonts w:ascii="Corbel" w:eastAsia="Times New Roman" w:hAnsi="Corbel" w:cs="Arial"/>
                <w:b/>
                <w:bCs/>
                <w:color w:val="000000"/>
                <w:sz w:val="16"/>
                <w:szCs w:val="16"/>
                <w:lang w:eastAsia="en-NZ"/>
              </w:rPr>
            </w:pPr>
            <w:r w:rsidRPr="001D6F3C">
              <w:rPr>
                <w:rFonts w:ascii="Corbel" w:eastAsia="Times New Roman" w:hAnsi="Corbel" w:cs="Arial"/>
                <w:b/>
                <w:bCs/>
                <w:color w:val="000000"/>
                <w:sz w:val="16"/>
                <w:szCs w:val="16"/>
                <w:lang w:eastAsia="en-NZ"/>
              </w:rPr>
              <w:t>8</w:t>
            </w:r>
            <w:r w:rsidR="00E16544" w:rsidRPr="001D6F3C">
              <w:rPr>
                <w:rFonts w:ascii="Corbel" w:eastAsia="Times New Roman" w:hAnsi="Corbel" w:cs="Arial"/>
                <w:b/>
                <w:bCs/>
                <w:color w:val="000000"/>
                <w:sz w:val="16"/>
                <w:szCs w:val="16"/>
                <w:lang w:eastAsia="en-NZ"/>
              </w:rPr>
              <w:t>5</w:t>
            </w:r>
          </w:p>
        </w:tc>
        <w:tc>
          <w:tcPr>
            <w:tcW w:w="765" w:type="dxa"/>
            <w:noWrap/>
            <w:vAlign w:val="center"/>
            <w:hideMark/>
          </w:tcPr>
          <w:p w14:paraId="2C7C7931" w14:textId="13C578F8"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8</w:t>
            </w:r>
            <w:r w:rsidR="00D76164" w:rsidRPr="001D6F3C">
              <w:rPr>
                <w:rFonts w:ascii="Corbel" w:eastAsia="Times New Roman" w:hAnsi="Corbel" w:cs="Arial"/>
                <w:color w:val="000000"/>
                <w:sz w:val="16"/>
                <w:szCs w:val="16"/>
                <w:lang w:eastAsia="en-NZ"/>
              </w:rPr>
              <w:t>3</w:t>
            </w:r>
          </w:p>
        </w:tc>
        <w:tc>
          <w:tcPr>
            <w:tcW w:w="761" w:type="dxa"/>
            <w:noWrap/>
            <w:vAlign w:val="center"/>
            <w:hideMark/>
          </w:tcPr>
          <w:p w14:paraId="3E4220F2" w14:textId="2877E05F" w:rsidR="00391D29" w:rsidRPr="001D6F3C" w:rsidRDefault="00391D29">
            <w:pPr>
              <w:spacing w:before="0" w:after="0" w:line="240" w:lineRule="auto"/>
              <w:jc w:val="center"/>
              <w:rPr>
                <w:rFonts w:ascii="Corbel" w:eastAsia="Times New Roman" w:hAnsi="Corbel" w:cs="Arial"/>
                <w:color w:val="000000"/>
                <w:sz w:val="16"/>
                <w:szCs w:val="16"/>
                <w:lang w:eastAsia="en-NZ"/>
              </w:rPr>
            </w:pPr>
            <w:r w:rsidRPr="001D6F3C">
              <w:rPr>
                <w:rFonts w:ascii="Corbel" w:eastAsia="Times New Roman" w:hAnsi="Corbel" w:cs="Arial"/>
                <w:color w:val="000000"/>
                <w:sz w:val="16"/>
                <w:szCs w:val="16"/>
                <w:lang w:eastAsia="en-NZ"/>
              </w:rPr>
              <w:t>8</w:t>
            </w:r>
            <w:r w:rsidR="00D76164" w:rsidRPr="001D6F3C">
              <w:rPr>
                <w:rFonts w:ascii="Corbel" w:eastAsia="Times New Roman" w:hAnsi="Corbel" w:cs="Arial"/>
                <w:color w:val="000000"/>
                <w:sz w:val="16"/>
                <w:szCs w:val="16"/>
                <w:lang w:eastAsia="en-NZ"/>
              </w:rPr>
              <w:t>8</w:t>
            </w:r>
          </w:p>
        </w:tc>
      </w:tr>
    </w:tbl>
    <w:p w14:paraId="15E9DA7C" w14:textId="08B23190" w:rsidR="6C5739E6" w:rsidRPr="001D6F3C" w:rsidRDefault="6C5739E6" w:rsidP="6E816A7D">
      <w:pPr>
        <w:spacing w:before="0"/>
        <w:rPr>
          <w:rFonts w:ascii="Corbel" w:hAnsi="Corbel"/>
        </w:rPr>
      </w:pPr>
      <w:r w:rsidRPr="001D6F3C">
        <w:rPr>
          <w:rFonts w:ascii="Corbel" w:hAnsi="Corbel"/>
        </w:rPr>
        <w:lastRenderedPageBreak/>
        <w:t xml:space="preserve">The Household Disability Survey 2023 found that </w:t>
      </w:r>
      <w:r w:rsidR="7B39EFE3" w:rsidRPr="001D6F3C">
        <w:rPr>
          <w:rFonts w:ascii="Corbel" w:hAnsi="Corbel"/>
        </w:rPr>
        <w:t>35% of people aged 65+ have a disability. This compares to 17% of the total population. Al</w:t>
      </w:r>
      <w:r w:rsidR="7C16F4B6" w:rsidRPr="001D6F3C">
        <w:rPr>
          <w:rFonts w:ascii="Corbel" w:hAnsi="Corbel"/>
        </w:rPr>
        <w:t xml:space="preserve">most half of disabled people </w:t>
      </w:r>
      <w:proofErr w:type="gramStart"/>
      <w:r w:rsidR="7C16F4B6" w:rsidRPr="001D6F3C">
        <w:rPr>
          <w:rFonts w:ascii="Corbel" w:hAnsi="Corbel"/>
        </w:rPr>
        <w:t>experience</w:t>
      </w:r>
      <w:r w:rsidR="739E4250" w:rsidRPr="001D6F3C">
        <w:rPr>
          <w:rFonts w:ascii="Corbel" w:hAnsi="Corbel"/>
        </w:rPr>
        <w:t>d</w:t>
      </w:r>
      <w:r w:rsidR="7C16F4B6" w:rsidRPr="001D6F3C">
        <w:rPr>
          <w:rFonts w:ascii="Corbel" w:hAnsi="Corbel"/>
        </w:rPr>
        <w:t xml:space="preserve"> difficulty</w:t>
      </w:r>
      <w:proofErr w:type="gramEnd"/>
      <w:r w:rsidR="7C16F4B6" w:rsidRPr="001D6F3C">
        <w:rPr>
          <w:rFonts w:ascii="Corbel" w:hAnsi="Corbel"/>
        </w:rPr>
        <w:t xml:space="preserve"> in multiple domains</w:t>
      </w:r>
      <w:r w:rsidR="1E00A51A" w:rsidRPr="001D6F3C">
        <w:rPr>
          <w:rFonts w:ascii="Corbel" w:hAnsi="Corbel"/>
        </w:rPr>
        <w:t xml:space="preserve"> and 62% reported having at least one unmet</w:t>
      </w:r>
      <w:r w:rsidR="24B5952B" w:rsidRPr="001D6F3C">
        <w:rPr>
          <w:rFonts w:ascii="Corbel" w:hAnsi="Corbel"/>
        </w:rPr>
        <w:t xml:space="preserve"> care or</w:t>
      </w:r>
      <w:r w:rsidR="1E00A51A" w:rsidRPr="001D6F3C">
        <w:rPr>
          <w:rFonts w:ascii="Corbel" w:hAnsi="Corbel"/>
        </w:rPr>
        <w:t xml:space="preserve"> support need.</w:t>
      </w:r>
    </w:p>
    <w:p w14:paraId="6149C89E" w14:textId="42B43A87" w:rsidR="00370270" w:rsidRPr="001D6F3C" w:rsidRDefault="00370270" w:rsidP="00A60862">
      <w:pPr>
        <w:jc w:val="both"/>
        <w:rPr>
          <w:rFonts w:ascii="Corbel" w:hAnsi="Corbel"/>
        </w:rPr>
      </w:pPr>
      <w:r w:rsidRPr="001D6F3C">
        <w:rPr>
          <w:rFonts w:ascii="Corbel" w:hAnsi="Corbel"/>
        </w:rPr>
        <w:t>Despite being more likely to have health conditions and disabilities, 86</w:t>
      </w:r>
      <w:r w:rsidR="008322A1" w:rsidRPr="001D6F3C">
        <w:rPr>
          <w:rFonts w:ascii="Corbel" w:hAnsi="Corbel"/>
        </w:rPr>
        <w:t>%</w:t>
      </w:r>
      <w:r w:rsidRPr="001D6F3C">
        <w:rPr>
          <w:rFonts w:ascii="Corbel" w:hAnsi="Corbel"/>
        </w:rPr>
        <w:t xml:space="preserve"> of people aged 65</w:t>
      </w:r>
      <w:r w:rsidR="006E4FCD" w:rsidRPr="001D6F3C">
        <w:rPr>
          <w:rFonts w:ascii="Corbel" w:hAnsi="Corbel"/>
        </w:rPr>
        <w:t>+</w:t>
      </w:r>
      <w:r w:rsidRPr="001D6F3C">
        <w:rPr>
          <w:rFonts w:ascii="Corbel" w:hAnsi="Corbel"/>
        </w:rPr>
        <w:t xml:space="preserve"> reported themselves to be in good, very good or excellent health in 2015.</w:t>
      </w:r>
      <w:r w:rsidR="63736B13" w:rsidRPr="001D6F3C">
        <w:rPr>
          <w:rFonts w:ascii="Corbel" w:hAnsi="Corbel"/>
        </w:rPr>
        <w:t xml:space="preserve"> </w:t>
      </w:r>
      <w:r w:rsidRPr="001D6F3C">
        <w:rPr>
          <w:rFonts w:ascii="Corbel" w:hAnsi="Corbel"/>
        </w:rPr>
        <w:t>This percentage is considerably higher than the OECD average of 44</w:t>
      </w:r>
      <w:r w:rsidR="00580AA1" w:rsidRPr="001D6F3C">
        <w:rPr>
          <w:rFonts w:ascii="Corbel" w:hAnsi="Corbel"/>
        </w:rPr>
        <w:t>%</w:t>
      </w:r>
      <w:r w:rsidRPr="001D6F3C">
        <w:rPr>
          <w:rFonts w:ascii="Corbel" w:hAnsi="Corbel"/>
        </w:rPr>
        <w:t xml:space="preserve"> and is the highest out of the 34 OECD countries that were surveyed. </w:t>
      </w:r>
    </w:p>
    <w:p w14:paraId="7BC6719B" w14:textId="32317B12" w:rsidR="00370270" w:rsidRPr="001D6F3C" w:rsidRDefault="003370EE" w:rsidP="00A60862">
      <w:pPr>
        <w:jc w:val="both"/>
        <w:rPr>
          <w:rFonts w:ascii="Corbel" w:hAnsi="Corbel"/>
        </w:rPr>
      </w:pPr>
      <w:r w:rsidRPr="001D6F3C">
        <w:rPr>
          <w:rFonts w:ascii="Corbel" w:hAnsi="Corbel"/>
          <w:noProof/>
        </w:rPr>
        <mc:AlternateContent>
          <mc:Choice Requires="wps">
            <w:drawing>
              <wp:anchor distT="0" distB="0" distL="114300" distR="114300" simplePos="0" relativeHeight="251658245" behindDoc="0" locked="0" layoutInCell="1" allowOverlap="1" wp14:anchorId="25F90D75" wp14:editId="236DDBCA">
                <wp:simplePos x="0" y="0"/>
                <wp:positionH relativeFrom="column">
                  <wp:posOffset>2910518</wp:posOffset>
                </wp:positionH>
                <wp:positionV relativeFrom="paragraph">
                  <wp:posOffset>742201</wp:posOffset>
                </wp:positionV>
                <wp:extent cx="2776220" cy="457200"/>
                <wp:effectExtent l="0" t="0" r="5080" b="0"/>
                <wp:wrapSquare wrapText="bothSides"/>
                <wp:docPr id="1194852127" name="Text Box 1"/>
                <wp:cNvGraphicFramePr/>
                <a:graphic xmlns:a="http://schemas.openxmlformats.org/drawingml/2006/main">
                  <a:graphicData uri="http://schemas.microsoft.com/office/word/2010/wordprocessingShape">
                    <wps:wsp>
                      <wps:cNvSpPr txBox="1"/>
                      <wps:spPr>
                        <a:xfrm>
                          <a:off x="0" y="0"/>
                          <a:ext cx="2776220" cy="457200"/>
                        </a:xfrm>
                        <a:prstGeom prst="rect">
                          <a:avLst/>
                        </a:prstGeom>
                        <a:solidFill>
                          <a:prstClr val="white"/>
                        </a:solidFill>
                        <a:ln>
                          <a:noFill/>
                        </a:ln>
                      </wps:spPr>
                      <wps:txbx>
                        <w:txbxContent>
                          <w:p w14:paraId="62594734" w14:textId="615385FD" w:rsidR="00C61413" w:rsidRPr="00A60862" w:rsidRDefault="00C61413" w:rsidP="00C61413">
                            <w:pPr>
                              <w:pStyle w:val="Caption"/>
                              <w:keepNext/>
                              <w:jc w:val="both"/>
                              <w:rPr>
                                <w:rFonts w:ascii="Corbel" w:hAnsi="Corbel"/>
                              </w:rPr>
                            </w:pPr>
                            <w:bookmarkStart w:id="39" w:name="_Toc203142277"/>
                            <w:r w:rsidRPr="00A60862">
                              <w:rPr>
                                <w:rFonts w:ascii="Corbel" w:hAnsi="Corbel"/>
                              </w:rPr>
                              <w:t xml:space="preserve">Figure </w:t>
                            </w:r>
                            <w:r w:rsidR="00585542">
                              <w:rPr>
                                <w:rFonts w:ascii="Corbel" w:hAnsi="Corbel"/>
                              </w:rPr>
                              <w:fldChar w:fldCharType="begin"/>
                            </w:r>
                            <w:r w:rsidR="00585542">
                              <w:rPr>
                                <w:rFonts w:ascii="Corbel" w:hAnsi="Corbel"/>
                              </w:rPr>
                              <w:instrText xml:space="preserve"> SEQ Figure \* ARABIC </w:instrText>
                            </w:r>
                            <w:r w:rsidR="00585542">
                              <w:rPr>
                                <w:rFonts w:ascii="Corbel" w:hAnsi="Corbel"/>
                              </w:rPr>
                              <w:fldChar w:fldCharType="separate"/>
                            </w:r>
                            <w:r w:rsidR="00AD2CCE">
                              <w:rPr>
                                <w:rFonts w:ascii="Corbel" w:hAnsi="Corbel"/>
                                <w:noProof/>
                              </w:rPr>
                              <w:t>17</w:t>
                            </w:r>
                            <w:r w:rsidR="00585542">
                              <w:rPr>
                                <w:rFonts w:ascii="Corbel" w:hAnsi="Corbel"/>
                              </w:rPr>
                              <w:fldChar w:fldCharType="end"/>
                            </w:r>
                            <w:r w:rsidRPr="00A60862">
                              <w:rPr>
                                <w:rFonts w:ascii="Corbel" w:hAnsi="Corbel"/>
                              </w:rPr>
                              <w:t xml:space="preserve"> - life expectancy at birth - by ethnic group and sex (2017-2019)</w:t>
                            </w:r>
                            <w:bookmarkEnd w:id="39"/>
                          </w:p>
                          <w:p w14:paraId="5CA56E26" w14:textId="27C597B2" w:rsidR="00C61413" w:rsidRPr="00515678" w:rsidRDefault="00C61413" w:rsidP="00C6141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F90D75" id="_x0000_s1029" type="#_x0000_t202" style="position:absolute;left:0;text-align:left;margin-left:229.15pt;margin-top:58.45pt;width:218.6pt;height:3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" stroked="f">
                <v:textbox inset="0,0,0,0">
                  <w:txbxContent>
                    <w:p w14:paraId="62594734" w14:textId="615385FD" w:rsidR="00C61413" w:rsidRPr="00A60862" w:rsidRDefault="00C61413" w:rsidP="00C61413">
                      <w:pPr>
                        <w:pStyle w:val="Caption"/>
                        <w:keepNext/>
                        <w:jc w:val="both"/>
                        <w:rPr>
                          <w:rFonts w:ascii="Corbel" w:hAnsi="Corbel"/>
                        </w:rPr>
                      </w:pPr>
                      <w:bookmarkStart w:id="40" w:name="_Toc203142277"/>
                      <w:r w:rsidRPr="00A60862">
                        <w:rPr>
                          <w:rFonts w:ascii="Corbel" w:hAnsi="Corbel"/>
                        </w:rPr>
                        <w:t xml:space="preserve">Figure </w:t>
                      </w:r>
                      <w:r w:rsidR="00585542">
                        <w:rPr>
                          <w:rFonts w:ascii="Corbel" w:hAnsi="Corbel"/>
                        </w:rPr>
                        <w:fldChar w:fldCharType="begin"/>
                      </w:r>
                      <w:r w:rsidR="00585542">
                        <w:rPr>
                          <w:rFonts w:ascii="Corbel" w:hAnsi="Corbel"/>
                        </w:rPr>
                        <w:instrText xml:space="preserve"> SEQ Figure \* ARABIC </w:instrText>
                      </w:r>
                      <w:r w:rsidR="00585542">
                        <w:rPr>
                          <w:rFonts w:ascii="Corbel" w:hAnsi="Corbel"/>
                        </w:rPr>
                        <w:fldChar w:fldCharType="separate"/>
                      </w:r>
                      <w:r w:rsidR="00AD2CCE">
                        <w:rPr>
                          <w:rFonts w:ascii="Corbel" w:hAnsi="Corbel"/>
                          <w:noProof/>
                        </w:rPr>
                        <w:t>17</w:t>
                      </w:r>
                      <w:r w:rsidR="00585542">
                        <w:rPr>
                          <w:rFonts w:ascii="Corbel" w:hAnsi="Corbel"/>
                        </w:rPr>
                        <w:fldChar w:fldCharType="end"/>
                      </w:r>
                      <w:r w:rsidRPr="00A60862">
                        <w:rPr>
                          <w:rFonts w:ascii="Corbel" w:hAnsi="Corbel"/>
                        </w:rPr>
                        <w:t xml:space="preserve"> - life expectancy at birth - by ethnic group and sex (2017-2019)</w:t>
                      </w:r>
                      <w:bookmarkEnd w:id="40"/>
                    </w:p>
                    <w:p w14:paraId="5CA56E26" w14:textId="27C597B2" w:rsidR="00C61413" w:rsidRPr="00515678" w:rsidRDefault="00C61413" w:rsidP="00C61413">
                      <w:pPr>
                        <w:pStyle w:val="Caption"/>
                        <w:rPr>
                          <w:noProof/>
                        </w:rPr>
                      </w:pPr>
                    </w:p>
                  </w:txbxContent>
                </v:textbox>
                <w10:wrap type="square"/>
              </v:shape>
            </w:pict>
          </mc:Fallback>
        </mc:AlternateContent>
      </w:r>
      <w:r w:rsidR="00552651" w:rsidRPr="001D6F3C">
        <w:rPr>
          <w:rFonts w:ascii="Corbel" w:hAnsi="Corbel"/>
          <w:noProof/>
        </w:rPr>
        <w:drawing>
          <wp:anchor distT="0" distB="0" distL="114300" distR="114300" simplePos="0" relativeHeight="251658244" behindDoc="0" locked="0" layoutInCell="1" allowOverlap="1" wp14:anchorId="42AFAD94" wp14:editId="27FCDE75">
            <wp:simplePos x="0" y="0"/>
            <wp:positionH relativeFrom="column">
              <wp:posOffset>2820338</wp:posOffset>
            </wp:positionH>
            <wp:positionV relativeFrom="paragraph">
              <wp:posOffset>1278767</wp:posOffset>
            </wp:positionV>
            <wp:extent cx="3046095" cy="1350645"/>
            <wp:effectExtent l="0" t="0" r="1905" b="1905"/>
            <wp:wrapSquare wrapText="bothSides"/>
            <wp:docPr id="137379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1370"/>
                    <a:stretch/>
                  </pic:blipFill>
                  <pic:spPr bwMode="auto">
                    <a:xfrm>
                      <a:off x="0" y="0"/>
                      <a:ext cx="3046095" cy="135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270" w:rsidRPr="001D6F3C">
        <w:rPr>
          <w:rFonts w:ascii="Corbel" w:hAnsi="Corbel"/>
          <w:b/>
          <w:bCs/>
        </w:rPr>
        <w:t xml:space="preserve">Life expectancy </w:t>
      </w:r>
      <w:r w:rsidR="00370270" w:rsidRPr="001D6F3C">
        <w:rPr>
          <w:rFonts w:ascii="Corbel" w:hAnsi="Corbel"/>
        </w:rPr>
        <w:t xml:space="preserve">at birth is </w:t>
      </w:r>
      <w:r w:rsidR="008545F6" w:rsidRPr="001D6F3C">
        <w:rPr>
          <w:rFonts w:ascii="Corbel" w:hAnsi="Corbel"/>
        </w:rPr>
        <w:t xml:space="preserve">81 </w:t>
      </w:r>
      <w:r w:rsidR="00370270" w:rsidRPr="001D6F3C">
        <w:rPr>
          <w:rFonts w:ascii="Corbel" w:hAnsi="Corbel"/>
        </w:rPr>
        <w:t>years for males and 8</w:t>
      </w:r>
      <w:r w:rsidR="008545F6" w:rsidRPr="001D6F3C">
        <w:rPr>
          <w:rFonts w:ascii="Corbel" w:hAnsi="Corbel"/>
        </w:rPr>
        <w:t xml:space="preserve">4 </w:t>
      </w:r>
      <w:r w:rsidR="00370270" w:rsidRPr="001D6F3C">
        <w:rPr>
          <w:rFonts w:ascii="Corbel" w:hAnsi="Corbel"/>
        </w:rPr>
        <w:t xml:space="preserve">years for females. Increases in life expectancy were highest in the late 1980s to early 2000s. While life expectancy is continuing to increase, it has slowed over time. </w:t>
      </w:r>
      <w:r w:rsidR="00ED3B22" w:rsidRPr="001D6F3C">
        <w:rPr>
          <w:rFonts w:ascii="Corbel" w:hAnsi="Corbel"/>
        </w:rPr>
        <w:t xml:space="preserve">Increases in healthy life expectancy have not kept pace with increases in life expectancy, meaning New Zealanders spend more time on average living in poor health at the end of their life. </w:t>
      </w:r>
      <w:r w:rsidR="00370270" w:rsidRPr="001D6F3C">
        <w:rPr>
          <w:rFonts w:ascii="Corbel" w:hAnsi="Corbel"/>
        </w:rPr>
        <w:t xml:space="preserve">The difference between average life expectancy for Māori and Pacific people and for the total population has narrowed </w:t>
      </w:r>
      <w:r w:rsidR="00C61413" w:rsidRPr="001D6F3C">
        <w:rPr>
          <w:rFonts w:ascii="Corbel" w:hAnsi="Corbel"/>
        </w:rPr>
        <w:t xml:space="preserve">in recent </w:t>
      </w:r>
      <w:r w:rsidR="0033197C" w:rsidRPr="001D6F3C">
        <w:rPr>
          <w:rFonts w:ascii="Corbel" w:hAnsi="Corbel"/>
        </w:rPr>
        <w:t>years but</w:t>
      </w:r>
      <w:r w:rsidR="00370270" w:rsidRPr="001D6F3C">
        <w:rPr>
          <w:rFonts w:ascii="Corbel" w:hAnsi="Corbel"/>
        </w:rPr>
        <w:t xml:space="preserve"> persists. These discrepancies are largely driven by inequality experienced across the life course, as well as in later life. Māori and Pa</w:t>
      </w:r>
      <w:r w:rsidR="0016436A" w:rsidRPr="001D6F3C">
        <w:rPr>
          <w:rFonts w:ascii="Corbel" w:hAnsi="Corbel"/>
        </w:rPr>
        <w:t xml:space="preserve">cific </w:t>
      </w:r>
      <w:r w:rsidR="2A94D408" w:rsidRPr="001D6F3C">
        <w:rPr>
          <w:rFonts w:ascii="Corbel" w:hAnsi="Corbel"/>
        </w:rPr>
        <w:t>p</w:t>
      </w:r>
      <w:r w:rsidR="52801259" w:rsidRPr="001D6F3C">
        <w:rPr>
          <w:rFonts w:ascii="Corbel" w:hAnsi="Corbel"/>
        </w:rPr>
        <w:t>eople</w:t>
      </w:r>
      <w:r w:rsidR="00370270" w:rsidRPr="001D6F3C">
        <w:rPr>
          <w:rFonts w:ascii="Corbel" w:hAnsi="Corbel"/>
        </w:rPr>
        <w:t xml:space="preserve"> also experience higher rates of disability and long-term conditions and live fewer years in good health. Amenable mortality is substantially higher for Māori and Pa</w:t>
      </w:r>
      <w:r w:rsidR="0016436A" w:rsidRPr="001D6F3C">
        <w:rPr>
          <w:rFonts w:ascii="Corbel" w:hAnsi="Corbel"/>
        </w:rPr>
        <w:t xml:space="preserve">cific </w:t>
      </w:r>
      <w:r w:rsidR="5C722B9F" w:rsidRPr="001D6F3C">
        <w:rPr>
          <w:rFonts w:ascii="Corbel" w:hAnsi="Corbel"/>
        </w:rPr>
        <w:t>p</w:t>
      </w:r>
      <w:r w:rsidR="52801259" w:rsidRPr="001D6F3C">
        <w:rPr>
          <w:rFonts w:ascii="Corbel" w:hAnsi="Corbel"/>
        </w:rPr>
        <w:t>eople</w:t>
      </w:r>
      <w:r w:rsidR="00370270" w:rsidRPr="001D6F3C">
        <w:rPr>
          <w:rFonts w:ascii="Corbel" w:hAnsi="Corbel"/>
        </w:rPr>
        <w:t>.</w:t>
      </w:r>
    </w:p>
    <w:p w14:paraId="5903BE3E" w14:textId="4656E8F5" w:rsidR="00370270" w:rsidRPr="001D6F3C" w:rsidRDefault="00370270" w:rsidP="00A60862">
      <w:pPr>
        <w:pStyle w:val="Heading2"/>
        <w:jc w:val="both"/>
        <w:rPr>
          <w:rFonts w:ascii="Corbel" w:hAnsi="Corbel"/>
        </w:rPr>
      </w:pPr>
      <w:bookmarkStart w:id="41" w:name="_Toc207782992"/>
      <w:r w:rsidRPr="001D6F3C">
        <w:rPr>
          <w:rFonts w:ascii="Corbel" w:hAnsi="Corbel"/>
        </w:rPr>
        <w:t>2.</w:t>
      </w:r>
      <w:r w:rsidR="001C17C8" w:rsidRPr="001D6F3C">
        <w:rPr>
          <w:rFonts w:ascii="Corbel" w:hAnsi="Corbel"/>
        </w:rPr>
        <w:t>5</w:t>
      </w:r>
      <w:r w:rsidR="009B4CE1" w:rsidRPr="001D6F3C">
        <w:rPr>
          <w:rFonts w:ascii="Corbel" w:hAnsi="Corbel"/>
        </w:rPr>
        <w:t xml:space="preserve"> </w:t>
      </w:r>
      <w:r w:rsidRPr="001D6F3C">
        <w:rPr>
          <w:rFonts w:ascii="Corbel" w:hAnsi="Corbel"/>
        </w:rPr>
        <w:t>Multiple disadvantage</w:t>
      </w:r>
      <w:bookmarkEnd w:id="41"/>
    </w:p>
    <w:p w14:paraId="65B85F71" w14:textId="7222CA39" w:rsidR="00766546" w:rsidRPr="001D6F3C" w:rsidRDefault="00766546" w:rsidP="00766546">
      <w:pPr>
        <w:pStyle w:val="Heading4"/>
        <w:jc w:val="both"/>
        <w:rPr>
          <w:rFonts w:ascii="Corbel" w:hAnsi="Corbel"/>
        </w:rPr>
      </w:pPr>
      <w:r w:rsidRPr="001D6F3C">
        <w:rPr>
          <w:rFonts w:ascii="Corbel" w:hAnsi="Corbel"/>
        </w:rPr>
        <w:t xml:space="preserve">Updated data on </w:t>
      </w:r>
      <w:r w:rsidR="00CC375C" w:rsidRPr="001D6F3C">
        <w:rPr>
          <w:rFonts w:ascii="Corbel" w:hAnsi="Corbel"/>
        </w:rPr>
        <w:t>vulnerability and multiple disadvantage</w:t>
      </w:r>
    </w:p>
    <w:p w14:paraId="458735F6" w14:textId="407B4110" w:rsidR="00370270" w:rsidRPr="001D6F3C" w:rsidRDefault="00370270" w:rsidP="00A60862">
      <w:pPr>
        <w:jc w:val="both"/>
        <w:rPr>
          <w:rFonts w:ascii="Corbel" w:hAnsi="Corbel"/>
        </w:rPr>
      </w:pPr>
      <w:r w:rsidRPr="001D6F3C">
        <w:rPr>
          <w:rFonts w:ascii="Corbel" w:hAnsi="Corbel"/>
        </w:rPr>
        <w:t xml:space="preserve">MSD, </w:t>
      </w:r>
      <w:r w:rsidR="001C17C8" w:rsidRPr="001D6F3C">
        <w:rPr>
          <w:rFonts w:ascii="Corbel" w:hAnsi="Corbel"/>
        </w:rPr>
        <w:t xml:space="preserve">the Social </w:t>
      </w:r>
      <w:r w:rsidR="00AE53BA" w:rsidRPr="001D6F3C">
        <w:rPr>
          <w:rFonts w:ascii="Corbel" w:hAnsi="Corbel"/>
        </w:rPr>
        <w:t>Investment</w:t>
      </w:r>
      <w:r w:rsidR="001C17C8" w:rsidRPr="001D6F3C">
        <w:rPr>
          <w:rFonts w:ascii="Corbel" w:hAnsi="Corbel"/>
        </w:rPr>
        <w:t xml:space="preserve"> Agency and Ministry of Health have</w:t>
      </w:r>
      <w:r w:rsidRPr="001D6F3C">
        <w:rPr>
          <w:rFonts w:ascii="Corbel" w:hAnsi="Corbel"/>
        </w:rPr>
        <w:t xml:space="preserve"> worked together to build an evidence base on the needs of people aged 65 or older, drawing from data</w:t>
      </w:r>
      <w:r w:rsidR="004F3033" w:rsidRPr="001D6F3C">
        <w:rPr>
          <w:rFonts w:ascii="Corbel" w:hAnsi="Corbel"/>
        </w:rPr>
        <w:t xml:space="preserve"> gathered in the </w:t>
      </w:r>
      <w:r w:rsidR="1CBDA41C" w:rsidRPr="001D6F3C">
        <w:rPr>
          <w:rFonts w:ascii="Corbel" w:hAnsi="Corbel"/>
        </w:rPr>
        <w:t>C</w:t>
      </w:r>
      <w:r w:rsidR="7A3A5ED1" w:rsidRPr="001D6F3C">
        <w:rPr>
          <w:rFonts w:ascii="Corbel" w:hAnsi="Corbel"/>
        </w:rPr>
        <w:t>ensus</w:t>
      </w:r>
      <w:r w:rsidR="004F3033" w:rsidRPr="001D6F3C">
        <w:rPr>
          <w:rFonts w:ascii="Corbel" w:hAnsi="Corbel"/>
        </w:rPr>
        <w:t xml:space="preserve"> and</w:t>
      </w:r>
      <w:r w:rsidRPr="001D6F3C">
        <w:rPr>
          <w:rFonts w:ascii="Corbel" w:hAnsi="Corbel"/>
        </w:rPr>
        <w:t xml:space="preserve"> held in the Integrated Data Infrastructure (IDI) on health, housi</w:t>
      </w:r>
      <w:r w:rsidRPr="001D6F3C">
        <w:t>ng, finance, social connection, and access.</w:t>
      </w:r>
      <w:r w:rsidR="008D123F" w:rsidRPr="001D6F3C">
        <w:rPr>
          <w:rStyle w:val="FootnoteReference"/>
        </w:rPr>
        <w:footnoteReference w:id="5"/>
      </w:r>
      <w:r w:rsidR="004F3033" w:rsidRPr="001D6F3C">
        <w:t xml:space="preserve"> </w:t>
      </w:r>
      <w:r w:rsidR="000463E6" w:rsidRPr="001D6F3C">
        <w:t xml:space="preserve">The original work was published in June 2023, and drew from the </w:t>
      </w:r>
      <w:r w:rsidR="00BA634C" w:rsidRPr="001D6F3C">
        <w:t>2018 Census</w:t>
      </w:r>
      <w:r w:rsidR="000463E6" w:rsidRPr="001D6F3C">
        <w:t xml:space="preserve">. For this LTIB, we have updated the analysis </w:t>
      </w:r>
      <w:r w:rsidR="0069718E" w:rsidRPr="001D6F3C">
        <w:t xml:space="preserve">to draw on 2023 </w:t>
      </w:r>
      <w:r w:rsidR="00EB4B2F" w:rsidRPr="001D6F3C">
        <w:t>data</w:t>
      </w:r>
      <w:r w:rsidR="00BD1FE8" w:rsidRPr="001D6F3C">
        <w:t>, and found:</w:t>
      </w:r>
    </w:p>
    <w:p w14:paraId="6F2E035E" w14:textId="120E8E55" w:rsidR="00370270" w:rsidRPr="001D6F3C" w:rsidRDefault="00370270" w:rsidP="00D404C5">
      <w:pPr>
        <w:numPr>
          <w:ilvl w:val="0"/>
          <w:numId w:val="19"/>
        </w:numPr>
        <w:jc w:val="both"/>
        <w:rPr>
          <w:rFonts w:ascii="Corbel" w:hAnsi="Corbel"/>
        </w:rPr>
      </w:pPr>
      <w:r w:rsidRPr="001D6F3C">
        <w:rPr>
          <w:rFonts w:ascii="Corbel" w:hAnsi="Corbel"/>
        </w:rPr>
        <w:t>2</w:t>
      </w:r>
      <w:r w:rsidR="00E8654F" w:rsidRPr="001D6F3C">
        <w:rPr>
          <w:rFonts w:ascii="Corbel" w:hAnsi="Corbel"/>
        </w:rPr>
        <w:t>5</w:t>
      </w:r>
      <w:r w:rsidRPr="001D6F3C">
        <w:rPr>
          <w:rFonts w:ascii="Corbel" w:hAnsi="Corbel"/>
        </w:rPr>
        <w:t>% (1</w:t>
      </w:r>
      <w:r w:rsidR="008B20CD" w:rsidRPr="001D6F3C">
        <w:rPr>
          <w:rFonts w:ascii="Corbel" w:hAnsi="Corbel"/>
        </w:rPr>
        <w:t>98</w:t>
      </w:r>
      <w:r w:rsidRPr="001D6F3C">
        <w:rPr>
          <w:rFonts w:ascii="Corbel" w:hAnsi="Corbel"/>
        </w:rPr>
        <w:t>,</w:t>
      </w:r>
      <w:r w:rsidR="008B20CD" w:rsidRPr="001D6F3C">
        <w:rPr>
          <w:rFonts w:ascii="Corbel" w:hAnsi="Corbel"/>
        </w:rPr>
        <w:t>5</w:t>
      </w:r>
      <w:r w:rsidRPr="001D6F3C">
        <w:rPr>
          <w:rFonts w:ascii="Corbel" w:hAnsi="Corbel"/>
        </w:rPr>
        <w:t>00) experience</w:t>
      </w:r>
      <w:r w:rsidR="00101038" w:rsidRPr="001D6F3C">
        <w:rPr>
          <w:rFonts w:ascii="Corbel" w:hAnsi="Corbel"/>
        </w:rPr>
        <w:t>d</w:t>
      </w:r>
      <w:r w:rsidRPr="001D6F3C">
        <w:rPr>
          <w:rFonts w:ascii="Corbel" w:hAnsi="Corbel"/>
        </w:rPr>
        <w:t xml:space="preserve"> health vulnerability - they experience</w:t>
      </w:r>
      <w:r w:rsidR="00101038" w:rsidRPr="001D6F3C">
        <w:rPr>
          <w:rFonts w:ascii="Corbel" w:hAnsi="Corbel"/>
        </w:rPr>
        <w:t>d</w:t>
      </w:r>
      <w:r w:rsidRPr="001D6F3C">
        <w:rPr>
          <w:rFonts w:ascii="Corbel" w:hAnsi="Corbel"/>
        </w:rPr>
        <w:t xml:space="preserve"> two or more of a set of physical or mental health conditions. </w:t>
      </w:r>
    </w:p>
    <w:p w14:paraId="534427A8" w14:textId="6358CC31" w:rsidR="00370270" w:rsidRPr="001D6F3C" w:rsidRDefault="008B20CD" w:rsidP="00D404C5">
      <w:pPr>
        <w:numPr>
          <w:ilvl w:val="0"/>
          <w:numId w:val="19"/>
        </w:numPr>
        <w:jc w:val="both"/>
        <w:rPr>
          <w:rFonts w:ascii="Corbel" w:hAnsi="Corbel"/>
        </w:rPr>
      </w:pPr>
      <w:r w:rsidRPr="001D6F3C">
        <w:rPr>
          <w:rFonts w:ascii="Corbel" w:hAnsi="Corbel"/>
        </w:rPr>
        <w:lastRenderedPageBreak/>
        <w:t>9</w:t>
      </w:r>
      <w:r w:rsidR="00370270" w:rsidRPr="001D6F3C">
        <w:rPr>
          <w:rFonts w:ascii="Corbel" w:hAnsi="Corbel"/>
        </w:rPr>
        <w:t>% (</w:t>
      </w:r>
      <w:r w:rsidR="00173FF1" w:rsidRPr="001D6F3C">
        <w:rPr>
          <w:rFonts w:ascii="Corbel" w:hAnsi="Corbel"/>
        </w:rPr>
        <w:t>69</w:t>
      </w:r>
      <w:r w:rsidR="00370270" w:rsidRPr="001D6F3C">
        <w:rPr>
          <w:rFonts w:ascii="Corbel" w:hAnsi="Corbel"/>
        </w:rPr>
        <w:t>,</w:t>
      </w:r>
      <w:r w:rsidRPr="001D6F3C">
        <w:rPr>
          <w:rFonts w:ascii="Corbel" w:hAnsi="Corbel"/>
        </w:rPr>
        <w:t>8</w:t>
      </w:r>
      <w:r w:rsidR="00370270" w:rsidRPr="001D6F3C">
        <w:rPr>
          <w:rFonts w:ascii="Corbel" w:hAnsi="Corbel"/>
        </w:rPr>
        <w:t>00) experience</w:t>
      </w:r>
      <w:r w:rsidR="00101038" w:rsidRPr="001D6F3C">
        <w:rPr>
          <w:rFonts w:ascii="Corbel" w:hAnsi="Corbel"/>
        </w:rPr>
        <w:t>d</w:t>
      </w:r>
      <w:r w:rsidR="00370270" w:rsidRPr="001D6F3C">
        <w:rPr>
          <w:rFonts w:ascii="Corbel" w:hAnsi="Corbel"/>
        </w:rPr>
        <w:t xml:space="preserve"> financial vulnerability - they receive</w:t>
      </w:r>
      <w:r w:rsidR="00101038" w:rsidRPr="001D6F3C">
        <w:rPr>
          <w:rFonts w:ascii="Corbel" w:hAnsi="Corbel"/>
        </w:rPr>
        <w:t>d</w:t>
      </w:r>
      <w:r w:rsidR="00370270" w:rsidRPr="001D6F3C">
        <w:rPr>
          <w:rFonts w:ascii="Corbel" w:hAnsi="Corbel"/>
        </w:rPr>
        <w:t xml:space="preserve"> any income-tested benefit from MSD. </w:t>
      </w:r>
    </w:p>
    <w:p w14:paraId="78B23145" w14:textId="16BA7410" w:rsidR="00370270" w:rsidRPr="001D6F3C" w:rsidRDefault="00370270" w:rsidP="00D404C5">
      <w:pPr>
        <w:numPr>
          <w:ilvl w:val="0"/>
          <w:numId w:val="19"/>
        </w:numPr>
        <w:jc w:val="both"/>
        <w:rPr>
          <w:rFonts w:ascii="Corbel" w:hAnsi="Corbel"/>
        </w:rPr>
      </w:pPr>
      <w:r w:rsidRPr="001D6F3C">
        <w:rPr>
          <w:rFonts w:ascii="Corbel" w:hAnsi="Corbel"/>
        </w:rPr>
        <w:t>1</w:t>
      </w:r>
      <w:r w:rsidR="008B20CD" w:rsidRPr="001D6F3C">
        <w:rPr>
          <w:rFonts w:ascii="Corbel" w:hAnsi="Corbel"/>
        </w:rPr>
        <w:t>4</w:t>
      </w:r>
      <w:r w:rsidRPr="001D6F3C">
        <w:rPr>
          <w:rFonts w:ascii="Corbel" w:hAnsi="Corbel"/>
        </w:rPr>
        <w:t>% (</w:t>
      </w:r>
      <w:r w:rsidR="008B20CD" w:rsidRPr="001D6F3C">
        <w:rPr>
          <w:rFonts w:ascii="Corbel" w:hAnsi="Corbel"/>
        </w:rPr>
        <w:t>1</w:t>
      </w:r>
      <w:r w:rsidR="000C4E2C" w:rsidRPr="001D6F3C">
        <w:rPr>
          <w:rFonts w:ascii="Corbel" w:hAnsi="Corbel"/>
        </w:rPr>
        <w:t>13</w:t>
      </w:r>
      <w:r w:rsidRPr="001D6F3C">
        <w:rPr>
          <w:rFonts w:ascii="Corbel" w:hAnsi="Corbel"/>
        </w:rPr>
        <w:t>,</w:t>
      </w:r>
      <w:r w:rsidR="000C4E2C" w:rsidRPr="001D6F3C">
        <w:rPr>
          <w:rFonts w:ascii="Corbel" w:hAnsi="Corbel"/>
        </w:rPr>
        <w:t>7</w:t>
      </w:r>
      <w:r w:rsidRPr="001D6F3C">
        <w:rPr>
          <w:rFonts w:ascii="Corbel" w:hAnsi="Corbel"/>
        </w:rPr>
        <w:t>00) experience</w:t>
      </w:r>
      <w:r w:rsidR="00101038" w:rsidRPr="001D6F3C">
        <w:rPr>
          <w:rFonts w:ascii="Corbel" w:hAnsi="Corbel"/>
        </w:rPr>
        <w:t>d</w:t>
      </w:r>
      <w:r w:rsidRPr="001D6F3C">
        <w:rPr>
          <w:rFonts w:ascii="Corbel" w:hAnsi="Corbel"/>
        </w:rPr>
        <w:t xml:space="preserve"> housing vulnerability - they experience</w:t>
      </w:r>
      <w:r w:rsidR="00101038" w:rsidRPr="001D6F3C">
        <w:rPr>
          <w:rFonts w:ascii="Corbel" w:hAnsi="Corbel"/>
        </w:rPr>
        <w:t>d</w:t>
      </w:r>
      <w:r w:rsidRPr="001D6F3C">
        <w:rPr>
          <w:rFonts w:ascii="Corbel" w:hAnsi="Corbel"/>
        </w:rPr>
        <w:t xml:space="preserve"> poor housing quality and/or overcrowding. </w:t>
      </w:r>
    </w:p>
    <w:p w14:paraId="67190AB7" w14:textId="7583C998" w:rsidR="00370270" w:rsidRPr="001D6F3C" w:rsidRDefault="00370270" w:rsidP="00D404C5">
      <w:pPr>
        <w:numPr>
          <w:ilvl w:val="0"/>
          <w:numId w:val="19"/>
        </w:numPr>
        <w:jc w:val="both"/>
        <w:rPr>
          <w:rFonts w:ascii="Corbel" w:hAnsi="Corbel"/>
        </w:rPr>
      </w:pPr>
      <w:r w:rsidRPr="001D6F3C">
        <w:rPr>
          <w:rFonts w:ascii="Corbel" w:hAnsi="Corbel"/>
        </w:rPr>
        <w:t>1</w:t>
      </w:r>
      <w:r w:rsidR="00D86213" w:rsidRPr="001D6F3C">
        <w:rPr>
          <w:rFonts w:ascii="Corbel" w:hAnsi="Corbel"/>
        </w:rPr>
        <w:t>4</w:t>
      </w:r>
      <w:r w:rsidRPr="001D6F3C">
        <w:rPr>
          <w:rFonts w:ascii="Corbel" w:hAnsi="Corbel"/>
        </w:rPr>
        <w:t>% (</w:t>
      </w:r>
      <w:r w:rsidR="000C4E2C" w:rsidRPr="001D6F3C">
        <w:rPr>
          <w:rFonts w:ascii="Corbel" w:hAnsi="Corbel"/>
        </w:rPr>
        <w:t>107,2</w:t>
      </w:r>
      <w:r w:rsidRPr="001D6F3C">
        <w:rPr>
          <w:rFonts w:ascii="Corbel" w:hAnsi="Corbel"/>
        </w:rPr>
        <w:t>00) experience social connection vulnerability - they were living alone and not helping whānau and/or not volunteering.</w:t>
      </w:r>
    </w:p>
    <w:p w14:paraId="46BD08FD" w14:textId="34491BEC" w:rsidR="00370270" w:rsidRPr="001D6F3C" w:rsidRDefault="00092579" w:rsidP="00D404C5">
      <w:pPr>
        <w:numPr>
          <w:ilvl w:val="0"/>
          <w:numId w:val="19"/>
        </w:numPr>
        <w:jc w:val="both"/>
        <w:rPr>
          <w:rFonts w:ascii="Corbel" w:hAnsi="Corbel"/>
        </w:rPr>
      </w:pPr>
      <w:r w:rsidRPr="001D6F3C">
        <w:rPr>
          <w:rFonts w:ascii="Corbel" w:hAnsi="Corbel"/>
        </w:rPr>
        <w:t>5</w:t>
      </w:r>
      <w:r w:rsidR="000825DF" w:rsidRPr="001D6F3C">
        <w:rPr>
          <w:rFonts w:ascii="Corbel" w:hAnsi="Corbel"/>
        </w:rPr>
        <w:t>%</w:t>
      </w:r>
      <w:r w:rsidR="00370270" w:rsidRPr="001D6F3C">
        <w:rPr>
          <w:rFonts w:ascii="Corbel" w:hAnsi="Corbel"/>
        </w:rPr>
        <w:t xml:space="preserve"> (</w:t>
      </w:r>
      <w:r w:rsidRPr="001D6F3C">
        <w:rPr>
          <w:rFonts w:ascii="Corbel" w:hAnsi="Corbel"/>
        </w:rPr>
        <w:t>40</w:t>
      </w:r>
      <w:r w:rsidR="00370270" w:rsidRPr="001D6F3C">
        <w:rPr>
          <w:rFonts w:ascii="Corbel" w:hAnsi="Corbel"/>
        </w:rPr>
        <w:t>,</w:t>
      </w:r>
      <w:r w:rsidRPr="001D6F3C">
        <w:rPr>
          <w:rFonts w:ascii="Corbel" w:hAnsi="Corbel"/>
        </w:rPr>
        <w:t>1</w:t>
      </w:r>
      <w:r w:rsidR="00370270" w:rsidRPr="001D6F3C">
        <w:rPr>
          <w:rFonts w:ascii="Corbel" w:hAnsi="Corbel"/>
        </w:rPr>
        <w:t>00) of older people experience</w:t>
      </w:r>
      <w:r w:rsidR="00375DC7" w:rsidRPr="001D6F3C">
        <w:rPr>
          <w:rFonts w:ascii="Corbel" w:hAnsi="Corbel"/>
        </w:rPr>
        <w:t>d</w:t>
      </w:r>
      <w:r w:rsidR="00370270" w:rsidRPr="001D6F3C">
        <w:rPr>
          <w:rFonts w:ascii="Corbel" w:hAnsi="Corbel"/>
        </w:rPr>
        <w:t xml:space="preserve"> access vulnerability – they had no driver’s licen</w:t>
      </w:r>
      <w:r w:rsidR="00173FF1" w:rsidRPr="001D6F3C">
        <w:rPr>
          <w:rFonts w:ascii="Corbel" w:hAnsi="Corbel"/>
        </w:rPr>
        <w:t>c</w:t>
      </w:r>
      <w:r w:rsidR="00370270" w:rsidRPr="001D6F3C">
        <w:rPr>
          <w:rFonts w:ascii="Corbel" w:hAnsi="Corbel"/>
        </w:rPr>
        <w:t xml:space="preserve">e and lived in a household that </w:t>
      </w:r>
      <w:r w:rsidR="00375DC7" w:rsidRPr="001D6F3C">
        <w:rPr>
          <w:rFonts w:ascii="Corbel" w:hAnsi="Corbel"/>
        </w:rPr>
        <w:t xml:space="preserve">did </w:t>
      </w:r>
      <w:r w:rsidR="00370270" w:rsidRPr="001D6F3C">
        <w:rPr>
          <w:rFonts w:ascii="Corbel" w:hAnsi="Corbel"/>
        </w:rPr>
        <w:t xml:space="preserve">not own a vehicle. </w:t>
      </w:r>
    </w:p>
    <w:p w14:paraId="5D0EAB13" w14:textId="08EF3AF9" w:rsidR="00370270" w:rsidRPr="001D6F3C" w:rsidRDefault="00370270" w:rsidP="00A60862">
      <w:pPr>
        <w:jc w:val="both"/>
        <w:rPr>
          <w:rFonts w:ascii="Corbel" w:hAnsi="Corbel"/>
        </w:rPr>
      </w:pPr>
      <w:r w:rsidRPr="001D6F3C">
        <w:rPr>
          <w:rFonts w:ascii="Corbel" w:hAnsi="Corbel"/>
        </w:rPr>
        <w:t xml:space="preserve"> This found that:</w:t>
      </w:r>
    </w:p>
    <w:p w14:paraId="16C5D797" w14:textId="14697F19" w:rsidR="00370270" w:rsidRPr="001D6F3C" w:rsidRDefault="00370270" w:rsidP="00D404C5">
      <w:pPr>
        <w:numPr>
          <w:ilvl w:val="0"/>
          <w:numId w:val="20"/>
        </w:numPr>
        <w:jc w:val="both"/>
        <w:rPr>
          <w:rFonts w:ascii="Corbel" w:hAnsi="Corbel"/>
        </w:rPr>
      </w:pPr>
      <w:r w:rsidRPr="001D6F3C">
        <w:rPr>
          <w:rFonts w:ascii="Corbel" w:hAnsi="Corbel"/>
        </w:rPr>
        <w:t>5</w:t>
      </w:r>
      <w:r w:rsidR="00CF6C71" w:rsidRPr="001D6F3C">
        <w:rPr>
          <w:rFonts w:ascii="Corbel" w:hAnsi="Corbel"/>
        </w:rPr>
        <w:t>2</w:t>
      </w:r>
      <w:r w:rsidRPr="001D6F3C">
        <w:rPr>
          <w:rFonts w:ascii="Corbel" w:hAnsi="Corbel"/>
        </w:rPr>
        <w:t xml:space="preserve">% / </w:t>
      </w:r>
      <w:r w:rsidR="00F75BD0" w:rsidRPr="001D6F3C">
        <w:rPr>
          <w:rFonts w:ascii="Corbel" w:hAnsi="Corbel"/>
        </w:rPr>
        <w:t>411</w:t>
      </w:r>
      <w:r w:rsidRPr="001D6F3C">
        <w:rPr>
          <w:rFonts w:ascii="Corbel" w:hAnsi="Corbel"/>
        </w:rPr>
        <w:t>,</w:t>
      </w:r>
      <w:r w:rsidR="00F75BD0" w:rsidRPr="001D6F3C">
        <w:rPr>
          <w:rFonts w:ascii="Corbel" w:hAnsi="Corbel"/>
        </w:rPr>
        <w:t>2</w:t>
      </w:r>
      <w:r w:rsidRPr="001D6F3C">
        <w:rPr>
          <w:rFonts w:ascii="Corbel" w:hAnsi="Corbel"/>
        </w:rPr>
        <w:t xml:space="preserve">00 had none of the above markers of vulnerability. </w:t>
      </w:r>
    </w:p>
    <w:p w14:paraId="3EEC6D9C" w14:textId="0B77413C" w:rsidR="00370270" w:rsidRPr="001D6F3C" w:rsidRDefault="00370270" w:rsidP="00D404C5">
      <w:pPr>
        <w:numPr>
          <w:ilvl w:val="0"/>
          <w:numId w:val="20"/>
        </w:numPr>
        <w:jc w:val="both"/>
        <w:rPr>
          <w:rFonts w:ascii="Corbel" w:hAnsi="Corbel"/>
        </w:rPr>
      </w:pPr>
      <w:r w:rsidRPr="001D6F3C">
        <w:rPr>
          <w:rFonts w:ascii="Corbel" w:hAnsi="Corbel"/>
        </w:rPr>
        <w:t>4</w:t>
      </w:r>
      <w:r w:rsidR="00CF6C71" w:rsidRPr="001D6F3C">
        <w:rPr>
          <w:rFonts w:ascii="Corbel" w:hAnsi="Corbel"/>
        </w:rPr>
        <w:t>8</w:t>
      </w:r>
      <w:r w:rsidRPr="001D6F3C">
        <w:rPr>
          <w:rFonts w:ascii="Corbel" w:hAnsi="Corbel"/>
        </w:rPr>
        <w:t xml:space="preserve">% / </w:t>
      </w:r>
      <w:r w:rsidR="00CF45A3" w:rsidRPr="001D6F3C">
        <w:rPr>
          <w:rFonts w:ascii="Corbel" w:hAnsi="Corbel"/>
        </w:rPr>
        <w:t>378</w:t>
      </w:r>
      <w:r w:rsidRPr="001D6F3C">
        <w:rPr>
          <w:rFonts w:ascii="Corbel" w:hAnsi="Corbel"/>
        </w:rPr>
        <w:t>,</w:t>
      </w:r>
      <w:r w:rsidR="00CF45A3" w:rsidRPr="001D6F3C">
        <w:rPr>
          <w:rFonts w:ascii="Corbel" w:hAnsi="Corbel"/>
        </w:rPr>
        <w:t>9</w:t>
      </w:r>
      <w:r w:rsidRPr="001D6F3C">
        <w:rPr>
          <w:rFonts w:ascii="Corbel" w:hAnsi="Corbel"/>
        </w:rPr>
        <w:t>00 older people experience</w:t>
      </w:r>
      <w:r w:rsidR="000825DF" w:rsidRPr="001D6F3C">
        <w:rPr>
          <w:rFonts w:ascii="Corbel" w:hAnsi="Corbel"/>
        </w:rPr>
        <w:t>d</w:t>
      </w:r>
      <w:r w:rsidRPr="001D6F3C">
        <w:rPr>
          <w:rFonts w:ascii="Corbel" w:hAnsi="Corbel"/>
        </w:rPr>
        <w:t xml:space="preserve"> disadvantage in at least one area of life </w:t>
      </w:r>
    </w:p>
    <w:p w14:paraId="0F35C487" w14:textId="4316F066" w:rsidR="00370270" w:rsidRPr="001D6F3C" w:rsidRDefault="00370270" w:rsidP="00D404C5">
      <w:pPr>
        <w:numPr>
          <w:ilvl w:val="0"/>
          <w:numId w:val="20"/>
        </w:numPr>
        <w:jc w:val="both"/>
        <w:rPr>
          <w:rFonts w:ascii="Corbel" w:hAnsi="Corbel"/>
        </w:rPr>
      </w:pPr>
      <w:r w:rsidRPr="001D6F3C">
        <w:rPr>
          <w:rFonts w:ascii="Corbel" w:hAnsi="Corbel"/>
        </w:rPr>
        <w:t>1</w:t>
      </w:r>
      <w:r w:rsidR="00862D8B" w:rsidRPr="001D6F3C">
        <w:rPr>
          <w:rFonts w:ascii="Corbel" w:hAnsi="Corbel"/>
        </w:rPr>
        <w:t>5</w:t>
      </w:r>
      <w:r w:rsidRPr="001D6F3C">
        <w:rPr>
          <w:rFonts w:ascii="Corbel" w:hAnsi="Corbel"/>
        </w:rPr>
        <w:t xml:space="preserve">% / </w:t>
      </w:r>
      <w:r w:rsidR="00862D8B" w:rsidRPr="001D6F3C">
        <w:rPr>
          <w:rFonts w:ascii="Corbel" w:hAnsi="Corbel"/>
        </w:rPr>
        <w:t>115</w:t>
      </w:r>
      <w:r w:rsidRPr="001D6F3C">
        <w:rPr>
          <w:rFonts w:ascii="Corbel" w:hAnsi="Corbel"/>
        </w:rPr>
        <w:t>,</w:t>
      </w:r>
      <w:r w:rsidR="00862D8B" w:rsidRPr="001D6F3C">
        <w:rPr>
          <w:rFonts w:ascii="Corbel" w:hAnsi="Corbel"/>
        </w:rPr>
        <w:t>5</w:t>
      </w:r>
      <w:r w:rsidRPr="001D6F3C">
        <w:rPr>
          <w:rFonts w:ascii="Corbel" w:hAnsi="Corbel"/>
        </w:rPr>
        <w:t>00 older people experience</w:t>
      </w:r>
      <w:r w:rsidR="000825DF" w:rsidRPr="001D6F3C">
        <w:rPr>
          <w:rFonts w:ascii="Corbel" w:hAnsi="Corbel"/>
        </w:rPr>
        <w:t>d</w:t>
      </w:r>
      <w:r w:rsidRPr="001D6F3C">
        <w:rPr>
          <w:rFonts w:ascii="Corbel" w:hAnsi="Corbel"/>
        </w:rPr>
        <w:t xml:space="preserve"> disadvantage across two or more areas of life</w:t>
      </w:r>
    </w:p>
    <w:p w14:paraId="7FD21190" w14:textId="131292AB" w:rsidR="00046B95" w:rsidRPr="001D6F3C" w:rsidRDefault="005902D0" w:rsidP="00D404C5">
      <w:pPr>
        <w:numPr>
          <w:ilvl w:val="0"/>
          <w:numId w:val="20"/>
        </w:numPr>
        <w:jc w:val="both"/>
        <w:rPr>
          <w:rFonts w:ascii="Corbel" w:hAnsi="Corbel"/>
        </w:rPr>
      </w:pPr>
      <w:r w:rsidRPr="001D6F3C">
        <w:rPr>
          <w:rFonts w:ascii="Corbel" w:hAnsi="Corbel"/>
        </w:rPr>
        <w:t>4</w:t>
      </w:r>
      <w:r w:rsidR="00370270" w:rsidRPr="001D6F3C">
        <w:rPr>
          <w:rFonts w:ascii="Corbel" w:hAnsi="Corbel"/>
        </w:rPr>
        <w:t xml:space="preserve">% / </w:t>
      </w:r>
      <w:r w:rsidR="00862D8B" w:rsidRPr="001D6F3C">
        <w:rPr>
          <w:rFonts w:ascii="Corbel" w:hAnsi="Corbel"/>
        </w:rPr>
        <w:t>2</w:t>
      </w:r>
      <w:r w:rsidR="00370270" w:rsidRPr="001D6F3C">
        <w:rPr>
          <w:rFonts w:ascii="Corbel" w:hAnsi="Corbel"/>
        </w:rPr>
        <w:t xml:space="preserve">9,000 </w:t>
      </w:r>
      <w:r w:rsidRPr="001D6F3C">
        <w:rPr>
          <w:rFonts w:ascii="Corbel" w:hAnsi="Corbel"/>
        </w:rPr>
        <w:t xml:space="preserve">older people </w:t>
      </w:r>
      <w:r w:rsidR="00370270" w:rsidRPr="001D6F3C">
        <w:rPr>
          <w:rFonts w:ascii="Corbel" w:hAnsi="Corbel"/>
        </w:rPr>
        <w:t>experience</w:t>
      </w:r>
      <w:r w:rsidR="000825DF" w:rsidRPr="001D6F3C">
        <w:rPr>
          <w:rFonts w:ascii="Corbel" w:hAnsi="Corbel"/>
        </w:rPr>
        <w:t>d</w:t>
      </w:r>
      <w:r w:rsidR="00370270" w:rsidRPr="001D6F3C">
        <w:rPr>
          <w:rFonts w:ascii="Corbel" w:hAnsi="Corbel"/>
        </w:rPr>
        <w:t xml:space="preserve"> this across three or more areas of life</w:t>
      </w:r>
    </w:p>
    <w:p w14:paraId="59F48D93" w14:textId="66A0E993" w:rsidR="00DD0A11" w:rsidRPr="001D6F3C" w:rsidRDefault="00370270" w:rsidP="00A60862">
      <w:pPr>
        <w:pStyle w:val="Caption"/>
        <w:keepNext/>
        <w:jc w:val="both"/>
        <w:rPr>
          <w:rFonts w:ascii="Corbel" w:hAnsi="Corbel"/>
        </w:rPr>
      </w:pPr>
      <w:r w:rsidRPr="001D6F3C">
        <w:rPr>
          <w:rFonts w:ascii="Corbel" w:hAnsi="Corbel"/>
        </w:rPr>
        <w:t xml:space="preserve"> </w:t>
      </w:r>
      <w:bookmarkStart w:id="42" w:name="_Toc203142278"/>
      <w:r w:rsidR="00DD0A11"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18</w:t>
      </w:r>
      <w:r w:rsidR="00585542" w:rsidRPr="001D6F3C">
        <w:rPr>
          <w:rFonts w:ascii="Corbel" w:hAnsi="Corbel"/>
        </w:rPr>
        <w:fldChar w:fldCharType="end"/>
      </w:r>
      <w:r w:rsidR="00DD0A11" w:rsidRPr="001D6F3C">
        <w:rPr>
          <w:rFonts w:ascii="Corbel" w:hAnsi="Corbel"/>
        </w:rPr>
        <w:t xml:space="preserve"> - Number of people - by number of disadvantages</w:t>
      </w:r>
      <w:bookmarkEnd w:id="42"/>
    </w:p>
    <w:p w14:paraId="20403281" w14:textId="57C971EC" w:rsidR="00D615B1" w:rsidRPr="001D6F3C" w:rsidRDefault="00D52DF6" w:rsidP="00202797">
      <w:pPr>
        <w:jc w:val="center"/>
        <w:rPr>
          <w:rFonts w:ascii="Corbel" w:hAnsi="Corbel"/>
        </w:rPr>
      </w:pPr>
      <w:r>
        <w:rPr>
          <w:rFonts w:ascii="Corbel" w:hAnsi="Corbel"/>
          <w:noProof/>
        </w:rPr>
        <w:drawing>
          <wp:inline distT="0" distB="0" distL="0" distR="0" wp14:anchorId="662447DE" wp14:editId="18E60763">
            <wp:extent cx="5285740" cy="1664335"/>
            <wp:effectExtent l="0" t="0" r="0" b="0"/>
            <wp:docPr id="91831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5740" cy="1664335"/>
                    </a:xfrm>
                    <a:prstGeom prst="rect">
                      <a:avLst/>
                    </a:prstGeom>
                    <a:noFill/>
                  </pic:spPr>
                </pic:pic>
              </a:graphicData>
            </a:graphic>
          </wp:inline>
        </w:drawing>
      </w:r>
    </w:p>
    <w:p w14:paraId="77FFD680" w14:textId="534542E5" w:rsidR="00D615B1" w:rsidRPr="001D6F3C" w:rsidRDefault="00D615B1" w:rsidP="00A60862">
      <w:pPr>
        <w:jc w:val="both"/>
        <w:rPr>
          <w:rFonts w:ascii="Corbel" w:hAnsi="Corbel"/>
        </w:rPr>
      </w:pPr>
      <w:r w:rsidRPr="001D6F3C">
        <w:rPr>
          <w:rFonts w:ascii="Corbel" w:hAnsi="Corbel"/>
        </w:rPr>
        <w:t>Overall, a higher proportion of women (1</w:t>
      </w:r>
      <w:r w:rsidR="00587344" w:rsidRPr="001D6F3C">
        <w:rPr>
          <w:rFonts w:ascii="Corbel" w:hAnsi="Corbel"/>
        </w:rPr>
        <w:t>6</w:t>
      </w:r>
      <w:r w:rsidR="7535D3C8" w:rsidRPr="001D6F3C">
        <w:rPr>
          <w:rFonts w:ascii="Corbel" w:hAnsi="Corbel"/>
        </w:rPr>
        <w:t>%</w:t>
      </w:r>
      <w:r w:rsidRPr="001D6F3C">
        <w:rPr>
          <w:rFonts w:ascii="Corbel" w:hAnsi="Corbel"/>
        </w:rPr>
        <w:t>) experience</w:t>
      </w:r>
      <w:r w:rsidR="008E74C7" w:rsidRPr="001D6F3C">
        <w:rPr>
          <w:rFonts w:ascii="Corbel" w:hAnsi="Corbel"/>
        </w:rPr>
        <w:t>d</w:t>
      </w:r>
      <w:r w:rsidRPr="001D6F3C">
        <w:rPr>
          <w:rFonts w:ascii="Corbel" w:hAnsi="Corbel"/>
        </w:rPr>
        <w:t xml:space="preserve"> multiple disadvantage compared to men (1</w:t>
      </w:r>
      <w:r w:rsidR="00587344" w:rsidRPr="001D6F3C">
        <w:rPr>
          <w:rFonts w:ascii="Corbel" w:hAnsi="Corbel"/>
        </w:rPr>
        <w:t>3</w:t>
      </w:r>
      <w:r w:rsidR="008E74C7" w:rsidRPr="001D6F3C">
        <w:rPr>
          <w:rFonts w:ascii="Corbel" w:hAnsi="Corbel"/>
        </w:rPr>
        <w:t>%</w:t>
      </w:r>
      <w:r w:rsidRPr="001D6F3C">
        <w:rPr>
          <w:rFonts w:ascii="Corbel" w:hAnsi="Corbel"/>
        </w:rPr>
        <w:t xml:space="preserve">). Women </w:t>
      </w:r>
      <w:r w:rsidR="008E74C7" w:rsidRPr="001D6F3C">
        <w:rPr>
          <w:rFonts w:ascii="Corbel" w:hAnsi="Corbel"/>
        </w:rPr>
        <w:t xml:space="preserve">were </w:t>
      </w:r>
      <w:r w:rsidRPr="001D6F3C">
        <w:rPr>
          <w:rFonts w:ascii="Corbel" w:hAnsi="Corbel"/>
        </w:rPr>
        <w:t>much more likely to experience ‘access vulnerability</w:t>
      </w:r>
      <w:r w:rsidR="00345BF7" w:rsidRPr="001D6F3C">
        <w:rPr>
          <w:rFonts w:ascii="Corbel" w:hAnsi="Corbel"/>
        </w:rPr>
        <w:t>’</w:t>
      </w:r>
      <w:r w:rsidRPr="001D6F3C">
        <w:rPr>
          <w:rFonts w:ascii="Corbel" w:hAnsi="Corbel"/>
        </w:rPr>
        <w:t xml:space="preserve"> (not have </w:t>
      </w:r>
      <w:r w:rsidR="008E74C7" w:rsidRPr="001D6F3C">
        <w:rPr>
          <w:rFonts w:ascii="Corbel" w:hAnsi="Corbel"/>
        </w:rPr>
        <w:t xml:space="preserve">a </w:t>
      </w:r>
      <w:r w:rsidRPr="001D6F3C">
        <w:rPr>
          <w:rFonts w:ascii="Corbel" w:hAnsi="Corbel"/>
        </w:rPr>
        <w:t>driver</w:t>
      </w:r>
      <w:r w:rsidR="008E74C7" w:rsidRPr="001D6F3C">
        <w:rPr>
          <w:rFonts w:ascii="Corbel" w:hAnsi="Corbel"/>
        </w:rPr>
        <w:t>’</w:t>
      </w:r>
      <w:r w:rsidRPr="001D6F3C">
        <w:rPr>
          <w:rFonts w:ascii="Corbel" w:hAnsi="Corbel"/>
        </w:rPr>
        <w:t>s licence or car)</w:t>
      </w:r>
      <w:r w:rsidR="00345BF7" w:rsidRPr="001D6F3C">
        <w:rPr>
          <w:rFonts w:ascii="Corbel" w:hAnsi="Corbel"/>
        </w:rPr>
        <w:t xml:space="preserve"> than men</w:t>
      </w:r>
      <w:r w:rsidR="00C749F3" w:rsidRPr="001D6F3C">
        <w:rPr>
          <w:rFonts w:ascii="Corbel" w:hAnsi="Corbel"/>
        </w:rPr>
        <w:t xml:space="preserve"> (7% vs 3%</w:t>
      </w:r>
      <w:proofErr w:type="gramStart"/>
      <w:r w:rsidR="00C749F3" w:rsidRPr="001D6F3C">
        <w:rPr>
          <w:rFonts w:ascii="Corbel" w:hAnsi="Corbel"/>
        </w:rPr>
        <w:t>)</w:t>
      </w:r>
      <w:r w:rsidR="00345BF7" w:rsidRPr="001D6F3C">
        <w:rPr>
          <w:rFonts w:ascii="Corbel" w:hAnsi="Corbel"/>
        </w:rPr>
        <w:t>, and</w:t>
      </w:r>
      <w:proofErr w:type="gramEnd"/>
      <w:r w:rsidR="00345BF7" w:rsidRPr="001D6F3C">
        <w:rPr>
          <w:rFonts w:ascii="Corbel" w:hAnsi="Corbel"/>
        </w:rPr>
        <w:t xml:space="preserve"> </w:t>
      </w:r>
      <w:r w:rsidR="008E74C7" w:rsidRPr="001D6F3C">
        <w:rPr>
          <w:rFonts w:ascii="Corbel" w:hAnsi="Corbel"/>
        </w:rPr>
        <w:t xml:space="preserve">were </w:t>
      </w:r>
      <w:r w:rsidR="00345BF7" w:rsidRPr="001D6F3C">
        <w:rPr>
          <w:rFonts w:ascii="Corbel" w:hAnsi="Corbel"/>
        </w:rPr>
        <w:t xml:space="preserve">also more likely to </w:t>
      </w:r>
      <w:r w:rsidRPr="001D6F3C">
        <w:rPr>
          <w:rFonts w:ascii="Corbel" w:hAnsi="Corbel"/>
        </w:rPr>
        <w:t xml:space="preserve">be socially isolated </w:t>
      </w:r>
      <w:r w:rsidR="00070D76" w:rsidRPr="001D6F3C">
        <w:rPr>
          <w:rFonts w:ascii="Corbel" w:hAnsi="Corbel"/>
        </w:rPr>
        <w:t xml:space="preserve">- </w:t>
      </w:r>
      <w:r w:rsidRPr="001D6F3C">
        <w:rPr>
          <w:rFonts w:ascii="Corbel" w:hAnsi="Corbel"/>
        </w:rPr>
        <w:t>liv</w:t>
      </w:r>
      <w:r w:rsidR="00070D76" w:rsidRPr="001D6F3C">
        <w:rPr>
          <w:rFonts w:ascii="Corbel" w:hAnsi="Corbel"/>
        </w:rPr>
        <w:t>e</w:t>
      </w:r>
      <w:r w:rsidRPr="001D6F3C">
        <w:rPr>
          <w:rFonts w:ascii="Corbel" w:hAnsi="Corbel"/>
        </w:rPr>
        <w:t xml:space="preserve"> alone, not volunteer, and not help family or wh</w:t>
      </w:r>
      <w:r w:rsidR="00D2060D" w:rsidRPr="001D6F3C">
        <w:rPr>
          <w:rFonts w:ascii="Calibri" w:hAnsi="Calibri" w:cs="Calibri"/>
        </w:rPr>
        <w:t>ā</w:t>
      </w:r>
      <w:r w:rsidRPr="001D6F3C">
        <w:rPr>
          <w:rFonts w:ascii="Corbel" w:hAnsi="Corbel"/>
        </w:rPr>
        <w:t>nau</w:t>
      </w:r>
      <w:r w:rsidR="0027403B" w:rsidRPr="001D6F3C">
        <w:rPr>
          <w:rFonts w:ascii="Corbel" w:hAnsi="Corbel"/>
        </w:rPr>
        <w:t xml:space="preserve"> (16</w:t>
      </w:r>
      <w:r w:rsidR="605524A2" w:rsidRPr="001D6F3C">
        <w:rPr>
          <w:rFonts w:ascii="Corbel" w:hAnsi="Corbel"/>
        </w:rPr>
        <w:t>%</w:t>
      </w:r>
      <w:r w:rsidR="0027403B" w:rsidRPr="001D6F3C">
        <w:rPr>
          <w:rFonts w:ascii="Corbel" w:hAnsi="Corbel"/>
        </w:rPr>
        <w:t xml:space="preserve"> vs 11%</w:t>
      </w:r>
      <w:r w:rsidRPr="001D6F3C">
        <w:rPr>
          <w:rFonts w:ascii="Corbel" w:hAnsi="Corbel"/>
        </w:rPr>
        <w:t>)</w:t>
      </w:r>
      <w:r w:rsidR="00345BF7" w:rsidRPr="001D6F3C">
        <w:rPr>
          <w:rFonts w:ascii="Corbel" w:hAnsi="Corbel"/>
        </w:rPr>
        <w:t>.</w:t>
      </w:r>
    </w:p>
    <w:p w14:paraId="25E9F679" w14:textId="2EE9AEE4" w:rsidR="00A955BA" w:rsidRPr="001D6F3C" w:rsidRDefault="00A955BA" w:rsidP="00A60862">
      <w:pPr>
        <w:jc w:val="both"/>
        <w:rPr>
          <w:rFonts w:ascii="Corbel" w:hAnsi="Corbel"/>
        </w:rPr>
      </w:pPr>
      <w:r w:rsidRPr="001D6F3C">
        <w:rPr>
          <w:rFonts w:ascii="Corbel" w:hAnsi="Corbel"/>
        </w:rPr>
        <w:t xml:space="preserve">Different ethnic groups of older people had differing prevalence rates: </w:t>
      </w:r>
    </w:p>
    <w:p w14:paraId="39B53653" w14:textId="04D889B3" w:rsidR="004B462C" w:rsidRPr="001D6F3C" w:rsidRDefault="004B462C" w:rsidP="00D404C5">
      <w:pPr>
        <w:pStyle w:val="ListParagraph"/>
        <w:numPr>
          <w:ilvl w:val="0"/>
          <w:numId w:val="21"/>
        </w:numPr>
        <w:jc w:val="both"/>
        <w:rPr>
          <w:rFonts w:ascii="Corbel" w:hAnsi="Corbel"/>
        </w:rPr>
      </w:pPr>
      <w:r w:rsidRPr="001D6F3C">
        <w:rPr>
          <w:rFonts w:ascii="Corbel" w:hAnsi="Corbel"/>
        </w:rPr>
        <w:t xml:space="preserve">Pacific older people were most likely to be experiencing multiple disadvantage. This was experienced by 30% of Pacific </w:t>
      </w:r>
      <w:r w:rsidR="00D2060D" w:rsidRPr="001D6F3C">
        <w:rPr>
          <w:rFonts w:ascii="Corbel" w:hAnsi="Corbel"/>
        </w:rPr>
        <w:t>p</w:t>
      </w:r>
      <w:r w:rsidRPr="001D6F3C">
        <w:rPr>
          <w:rFonts w:ascii="Corbel" w:hAnsi="Corbel"/>
        </w:rPr>
        <w:t>eople, 25% of Māori, 22% of</w:t>
      </w:r>
      <w:r w:rsidR="004815A9" w:rsidRPr="001D6F3C">
        <w:rPr>
          <w:rFonts w:ascii="Corbel" w:hAnsi="Corbel"/>
        </w:rPr>
        <w:t xml:space="preserve"> Middle Eastern, Latin American, and Africa</w:t>
      </w:r>
      <w:r w:rsidR="00173FF1" w:rsidRPr="001D6F3C">
        <w:rPr>
          <w:rFonts w:ascii="Corbel" w:hAnsi="Corbel"/>
        </w:rPr>
        <w:t>n</w:t>
      </w:r>
      <w:r w:rsidRPr="001D6F3C">
        <w:rPr>
          <w:rFonts w:ascii="Corbel" w:hAnsi="Corbel"/>
        </w:rPr>
        <w:t xml:space="preserve"> </w:t>
      </w:r>
      <w:r w:rsidR="004815A9" w:rsidRPr="001D6F3C">
        <w:rPr>
          <w:rFonts w:ascii="Corbel" w:hAnsi="Corbel"/>
        </w:rPr>
        <w:t>(</w:t>
      </w:r>
      <w:r w:rsidRPr="001D6F3C">
        <w:rPr>
          <w:rFonts w:ascii="Corbel" w:hAnsi="Corbel"/>
        </w:rPr>
        <w:t>MELAA</w:t>
      </w:r>
      <w:r w:rsidR="004815A9" w:rsidRPr="001D6F3C">
        <w:rPr>
          <w:rFonts w:ascii="Corbel" w:hAnsi="Corbel"/>
        </w:rPr>
        <w:t>)</w:t>
      </w:r>
      <w:r w:rsidRPr="001D6F3C">
        <w:rPr>
          <w:rFonts w:ascii="Corbel" w:hAnsi="Corbel"/>
        </w:rPr>
        <w:t xml:space="preserve">, 19% of Asian, and 13% of European. </w:t>
      </w:r>
    </w:p>
    <w:p w14:paraId="1BA15142" w14:textId="7CFDC13C" w:rsidR="00A955BA" w:rsidRPr="001D6F3C" w:rsidRDefault="00A955BA" w:rsidP="00D404C5">
      <w:pPr>
        <w:numPr>
          <w:ilvl w:val="0"/>
          <w:numId w:val="21"/>
        </w:numPr>
        <w:jc w:val="both"/>
        <w:rPr>
          <w:rFonts w:ascii="Corbel" w:hAnsi="Corbel"/>
        </w:rPr>
      </w:pPr>
      <w:r w:rsidRPr="001D6F3C">
        <w:rPr>
          <w:rFonts w:ascii="Corbel" w:hAnsi="Corbel"/>
        </w:rPr>
        <w:t>Māori</w:t>
      </w:r>
      <w:r w:rsidR="0073350E" w:rsidRPr="001D6F3C">
        <w:rPr>
          <w:rFonts w:ascii="Corbel" w:hAnsi="Corbel"/>
        </w:rPr>
        <w:t xml:space="preserve"> and Pacific</w:t>
      </w:r>
      <w:r w:rsidRPr="001D6F3C">
        <w:rPr>
          <w:rFonts w:ascii="Corbel" w:hAnsi="Corbel"/>
        </w:rPr>
        <w:t xml:space="preserve"> older people were most likely to experience health </w:t>
      </w:r>
      <w:r w:rsidR="00173FF1" w:rsidRPr="001D6F3C">
        <w:rPr>
          <w:rFonts w:ascii="Corbel" w:hAnsi="Corbel"/>
        </w:rPr>
        <w:t>vulnerability</w:t>
      </w:r>
      <w:r w:rsidRPr="001D6F3C">
        <w:rPr>
          <w:rFonts w:ascii="Corbel" w:hAnsi="Corbel"/>
        </w:rPr>
        <w:t xml:space="preserve">. </w:t>
      </w:r>
      <w:r w:rsidR="00173FF1" w:rsidRPr="001D6F3C">
        <w:rPr>
          <w:rFonts w:ascii="Corbel" w:hAnsi="Corbel"/>
        </w:rPr>
        <w:t xml:space="preserve">This was </w:t>
      </w:r>
      <w:r w:rsidRPr="001D6F3C">
        <w:rPr>
          <w:rFonts w:ascii="Corbel" w:hAnsi="Corbel"/>
        </w:rPr>
        <w:t>experienced by 3</w:t>
      </w:r>
      <w:r w:rsidR="005314D9" w:rsidRPr="001D6F3C">
        <w:rPr>
          <w:rFonts w:ascii="Corbel" w:hAnsi="Corbel"/>
        </w:rPr>
        <w:t>1</w:t>
      </w:r>
      <w:r w:rsidRPr="001D6F3C">
        <w:rPr>
          <w:rFonts w:ascii="Corbel" w:hAnsi="Corbel"/>
        </w:rPr>
        <w:t xml:space="preserve">% of Māori, </w:t>
      </w:r>
      <w:r w:rsidR="0073350E" w:rsidRPr="001D6F3C">
        <w:rPr>
          <w:rFonts w:ascii="Corbel" w:hAnsi="Corbel"/>
        </w:rPr>
        <w:t>31</w:t>
      </w:r>
      <w:r w:rsidRPr="001D6F3C">
        <w:rPr>
          <w:rFonts w:ascii="Corbel" w:hAnsi="Corbel"/>
        </w:rPr>
        <w:t>% of Pacific people, and 2</w:t>
      </w:r>
      <w:r w:rsidR="005C2957" w:rsidRPr="001D6F3C">
        <w:rPr>
          <w:rFonts w:ascii="Corbel" w:hAnsi="Corbel"/>
        </w:rPr>
        <w:t>7</w:t>
      </w:r>
      <w:r w:rsidRPr="001D6F3C">
        <w:rPr>
          <w:rFonts w:ascii="Corbel" w:hAnsi="Corbel"/>
        </w:rPr>
        <w:t xml:space="preserve">% of MELAA, compared with </w:t>
      </w:r>
      <w:r w:rsidR="00224B2E" w:rsidRPr="001D6F3C">
        <w:rPr>
          <w:rFonts w:ascii="Corbel" w:hAnsi="Corbel"/>
        </w:rPr>
        <w:t xml:space="preserve">25% of </w:t>
      </w:r>
      <w:r w:rsidRPr="001D6F3C">
        <w:rPr>
          <w:rFonts w:ascii="Corbel" w:hAnsi="Corbel"/>
        </w:rPr>
        <w:t xml:space="preserve">European </w:t>
      </w:r>
      <w:r w:rsidR="00224B2E" w:rsidRPr="001D6F3C">
        <w:rPr>
          <w:rFonts w:ascii="Corbel" w:hAnsi="Corbel"/>
        </w:rPr>
        <w:t>and 19%</w:t>
      </w:r>
      <w:r w:rsidRPr="001D6F3C">
        <w:rPr>
          <w:rFonts w:ascii="Corbel" w:hAnsi="Corbel"/>
        </w:rPr>
        <w:t xml:space="preserve"> </w:t>
      </w:r>
      <w:r w:rsidR="00224B2E" w:rsidRPr="001D6F3C">
        <w:rPr>
          <w:rFonts w:ascii="Corbel" w:hAnsi="Corbel"/>
        </w:rPr>
        <w:t xml:space="preserve">of </w:t>
      </w:r>
      <w:r w:rsidRPr="001D6F3C">
        <w:rPr>
          <w:rFonts w:ascii="Corbel" w:hAnsi="Corbel"/>
        </w:rPr>
        <w:t xml:space="preserve">Asian older people. </w:t>
      </w:r>
    </w:p>
    <w:p w14:paraId="16B70787" w14:textId="5713331C" w:rsidR="00A955BA" w:rsidRPr="001D6F3C" w:rsidRDefault="00A955BA" w:rsidP="00D404C5">
      <w:pPr>
        <w:numPr>
          <w:ilvl w:val="0"/>
          <w:numId w:val="21"/>
        </w:numPr>
        <w:jc w:val="both"/>
        <w:rPr>
          <w:rFonts w:ascii="Corbel" w:hAnsi="Corbel"/>
        </w:rPr>
      </w:pPr>
      <w:r w:rsidRPr="001D6F3C">
        <w:rPr>
          <w:rFonts w:ascii="Corbel" w:hAnsi="Corbel"/>
        </w:rPr>
        <w:t xml:space="preserve">Pacific older people were most likely to experience housing issues. This was experienced by </w:t>
      </w:r>
      <w:r w:rsidR="004904F9" w:rsidRPr="001D6F3C">
        <w:rPr>
          <w:rFonts w:ascii="Corbel" w:hAnsi="Corbel"/>
        </w:rPr>
        <w:t>39</w:t>
      </w:r>
      <w:r w:rsidRPr="001D6F3C">
        <w:rPr>
          <w:rFonts w:ascii="Corbel" w:hAnsi="Corbel"/>
        </w:rPr>
        <w:t xml:space="preserve">% of Pacific people, </w:t>
      </w:r>
      <w:r w:rsidR="0018607C" w:rsidRPr="001D6F3C">
        <w:rPr>
          <w:rFonts w:ascii="Corbel" w:hAnsi="Corbel"/>
        </w:rPr>
        <w:t xml:space="preserve">27% of Māori, </w:t>
      </w:r>
      <w:r w:rsidR="00FD4684" w:rsidRPr="001D6F3C">
        <w:rPr>
          <w:rFonts w:ascii="Corbel" w:hAnsi="Corbel"/>
        </w:rPr>
        <w:t>25</w:t>
      </w:r>
      <w:r w:rsidRPr="001D6F3C">
        <w:rPr>
          <w:rFonts w:ascii="Corbel" w:hAnsi="Corbel"/>
        </w:rPr>
        <w:t xml:space="preserve">% of Asian, </w:t>
      </w:r>
      <w:r w:rsidR="004E3825" w:rsidRPr="001D6F3C">
        <w:rPr>
          <w:rFonts w:ascii="Corbel" w:hAnsi="Corbel"/>
        </w:rPr>
        <w:t>17</w:t>
      </w:r>
      <w:r w:rsidRPr="001D6F3C">
        <w:rPr>
          <w:rFonts w:ascii="Corbel" w:hAnsi="Corbel"/>
        </w:rPr>
        <w:t>% of MELAA and 1</w:t>
      </w:r>
      <w:r w:rsidR="00FD4684" w:rsidRPr="001D6F3C">
        <w:rPr>
          <w:rFonts w:ascii="Corbel" w:hAnsi="Corbel"/>
        </w:rPr>
        <w:t>2</w:t>
      </w:r>
      <w:r w:rsidRPr="001D6F3C">
        <w:rPr>
          <w:rFonts w:ascii="Corbel" w:hAnsi="Corbel"/>
        </w:rPr>
        <w:t xml:space="preserve">% of European. </w:t>
      </w:r>
    </w:p>
    <w:p w14:paraId="387BCD16" w14:textId="13106689" w:rsidR="000D0103" w:rsidRPr="001D6F3C" w:rsidRDefault="00A955BA" w:rsidP="00D404C5">
      <w:pPr>
        <w:numPr>
          <w:ilvl w:val="0"/>
          <w:numId w:val="21"/>
        </w:numPr>
        <w:jc w:val="both"/>
        <w:rPr>
          <w:rFonts w:ascii="Corbel" w:hAnsi="Corbel"/>
        </w:rPr>
      </w:pPr>
      <w:r w:rsidRPr="001D6F3C">
        <w:rPr>
          <w:rFonts w:ascii="Corbel" w:hAnsi="Corbel"/>
        </w:rPr>
        <w:t>European older people were most likely to experience social connection</w:t>
      </w:r>
      <w:r w:rsidR="00173FF1" w:rsidRPr="001D6F3C">
        <w:rPr>
          <w:rFonts w:ascii="Corbel" w:hAnsi="Corbel"/>
        </w:rPr>
        <w:t xml:space="preserve"> vulnerability</w:t>
      </w:r>
      <w:r w:rsidRPr="001D6F3C">
        <w:rPr>
          <w:rFonts w:ascii="Corbel" w:hAnsi="Corbel"/>
        </w:rPr>
        <w:t>. This was experienced by 1</w:t>
      </w:r>
      <w:r w:rsidR="004E7E51" w:rsidRPr="001D6F3C">
        <w:rPr>
          <w:rFonts w:ascii="Corbel" w:hAnsi="Corbel"/>
        </w:rPr>
        <w:t>5</w:t>
      </w:r>
      <w:r w:rsidRPr="001D6F3C">
        <w:rPr>
          <w:rFonts w:ascii="Corbel" w:hAnsi="Corbel"/>
        </w:rPr>
        <w:t>% of European, followed by 1</w:t>
      </w:r>
      <w:r w:rsidR="006C78DD" w:rsidRPr="001D6F3C">
        <w:rPr>
          <w:rFonts w:ascii="Corbel" w:hAnsi="Corbel"/>
        </w:rPr>
        <w:t>0</w:t>
      </w:r>
      <w:r w:rsidRPr="001D6F3C">
        <w:rPr>
          <w:rFonts w:ascii="Corbel" w:hAnsi="Corbel"/>
        </w:rPr>
        <w:t xml:space="preserve">% of Māori, </w:t>
      </w:r>
      <w:r w:rsidR="006C78DD" w:rsidRPr="001D6F3C">
        <w:rPr>
          <w:rFonts w:ascii="Corbel" w:hAnsi="Corbel"/>
        </w:rPr>
        <w:t>7</w:t>
      </w:r>
      <w:r w:rsidRPr="001D6F3C">
        <w:rPr>
          <w:rFonts w:ascii="Corbel" w:hAnsi="Corbel"/>
        </w:rPr>
        <w:t>% of MELAA,</w:t>
      </w:r>
      <w:r w:rsidR="00871FB8" w:rsidRPr="001D6F3C">
        <w:rPr>
          <w:rFonts w:ascii="Corbel" w:hAnsi="Corbel"/>
        </w:rPr>
        <w:t xml:space="preserve"> 6% of Asian and</w:t>
      </w:r>
      <w:r w:rsidRPr="001D6F3C">
        <w:rPr>
          <w:rFonts w:ascii="Corbel" w:hAnsi="Corbel"/>
        </w:rPr>
        <w:t xml:space="preserve"> </w:t>
      </w:r>
      <w:r w:rsidR="00871FB8" w:rsidRPr="001D6F3C">
        <w:rPr>
          <w:rFonts w:ascii="Corbel" w:hAnsi="Corbel"/>
        </w:rPr>
        <w:t>5</w:t>
      </w:r>
      <w:r w:rsidRPr="001D6F3C">
        <w:rPr>
          <w:rFonts w:ascii="Corbel" w:hAnsi="Corbel"/>
        </w:rPr>
        <w:t xml:space="preserve">% of Pacific </w:t>
      </w:r>
      <w:r w:rsidR="4553AC46" w:rsidRPr="001D6F3C">
        <w:rPr>
          <w:rFonts w:ascii="Corbel" w:hAnsi="Corbel"/>
        </w:rPr>
        <w:t>p</w:t>
      </w:r>
      <w:r w:rsidR="223E6F50" w:rsidRPr="001D6F3C">
        <w:rPr>
          <w:rFonts w:ascii="Corbel" w:hAnsi="Corbel"/>
        </w:rPr>
        <w:t>eople</w:t>
      </w:r>
      <w:r w:rsidRPr="001D6F3C">
        <w:rPr>
          <w:rFonts w:ascii="Corbel" w:hAnsi="Corbel"/>
        </w:rPr>
        <w:t xml:space="preserve">. </w:t>
      </w:r>
    </w:p>
    <w:p w14:paraId="36B9D35D" w14:textId="472A7296" w:rsidR="00223927" w:rsidRPr="001D6F3C" w:rsidRDefault="00A01D72" w:rsidP="00391D29">
      <w:pPr>
        <w:jc w:val="both"/>
        <w:rPr>
          <w:rFonts w:ascii="Corbel" w:hAnsi="Corbel"/>
        </w:rPr>
      </w:pPr>
      <w:r w:rsidRPr="001D6F3C">
        <w:rPr>
          <w:rFonts w:ascii="Corbel" w:hAnsi="Corbel"/>
        </w:rPr>
        <w:lastRenderedPageBreak/>
        <w:t xml:space="preserve">Figure </w:t>
      </w:r>
      <w:r w:rsidR="00AD2CCE" w:rsidRPr="001D6F3C">
        <w:rPr>
          <w:rFonts w:ascii="Corbel" w:hAnsi="Corbel"/>
        </w:rPr>
        <w:t>19</w:t>
      </w:r>
      <w:r w:rsidRPr="001D6F3C">
        <w:rPr>
          <w:rFonts w:ascii="Corbel" w:hAnsi="Corbel"/>
        </w:rPr>
        <w:t xml:space="preserve"> at right shows those</w:t>
      </w:r>
      <w:r w:rsidR="009223EE" w:rsidRPr="001D6F3C">
        <w:rPr>
          <w:rFonts w:ascii="Corbel" w:hAnsi="Corbel"/>
        </w:rPr>
        <w:t xml:space="preserve"> both the number and proportion of older people experiencing multiple disadvantage by region. Auckland is notable, due to </w:t>
      </w:r>
      <w:r w:rsidR="006C0BE1" w:rsidRPr="001D6F3C">
        <w:rPr>
          <w:rFonts w:ascii="Corbel" w:hAnsi="Corbel"/>
        </w:rPr>
        <w:t xml:space="preserve">combining a high rate and a large </w:t>
      </w:r>
      <w:r w:rsidR="009223EE" w:rsidRPr="001D6F3C">
        <w:rPr>
          <w:rFonts w:ascii="Corbel" w:hAnsi="Corbel"/>
        </w:rPr>
        <w:t>population</w:t>
      </w:r>
      <w:r w:rsidR="001D3923" w:rsidRPr="001D6F3C">
        <w:rPr>
          <w:rFonts w:ascii="Corbel" w:hAnsi="Corbel"/>
        </w:rPr>
        <w:t xml:space="preserve">. Smaller </w:t>
      </w:r>
      <w:r w:rsidRPr="001D6F3C">
        <w:rPr>
          <w:rFonts w:ascii="Corbel" w:hAnsi="Corbel"/>
        </w:rPr>
        <w:t>a</w:t>
      </w:r>
      <w:r w:rsidR="00391D29" w:rsidRPr="001D6F3C">
        <w:rPr>
          <w:rFonts w:ascii="Corbel" w:hAnsi="Corbel"/>
        </w:rPr>
        <w:t xml:space="preserve">reas with </w:t>
      </w:r>
      <w:r w:rsidR="001D3923" w:rsidRPr="001D6F3C">
        <w:rPr>
          <w:rFonts w:ascii="Corbel" w:hAnsi="Corbel"/>
        </w:rPr>
        <w:t xml:space="preserve">higher rates </w:t>
      </w:r>
      <w:r w:rsidR="006C0BE1" w:rsidRPr="001D6F3C">
        <w:rPr>
          <w:rFonts w:ascii="Corbel" w:hAnsi="Corbel"/>
        </w:rPr>
        <w:t xml:space="preserve">(but smaller populations) </w:t>
      </w:r>
      <w:r w:rsidR="001D3923" w:rsidRPr="001D6F3C">
        <w:rPr>
          <w:rFonts w:ascii="Corbel" w:hAnsi="Corbel"/>
        </w:rPr>
        <w:t xml:space="preserve">include </w:t>
      </w:r>
      <w:r w:rsidR="00391D29" w:rsidRPr="001D6F3C">
        <w:rPr>
          <w:rFonts w:ascii="Corbel" w:hAnsi="Corbel"/>
        </w:rPr>
        <w:t>Gisborne (1</w:t>
      </w:r>
      <w:r w:rsidR="00D04966" w:rsidRPr="001D6F3C">
        <w:rPr>
          <w:rFonts w:ascii="Corbel" w:hAnsi="Corbel"/>
        </w:rPr>
        <w:t>8</w:t>
      </w:r>
      <w:r w:rsidR="00391D29" w:rsidRPr="001D6F3C">
        <w:rPr>
          <w:rFonts w:ascii="Corbel" w:hAnsi="Corbel"/>
        </w:rPr>
        <w:t>% / 1,</w:t>
      </w:r>
      <w:r w:rsidR="00D04966" w:rsidRPr="001D6F3C">
        <w:rPr>
          <w:rFonts w:ascii="Corbel" w:hAnsi="Corbel"/>
        </w:rPr>
        <w:t>4</w:t>
      </w:r>
      <w:r w:rsidR="00391D29" w:rsidRPr="001D6F3C">
        <w:rPr>
          <w:rFonts w:ascii="Corbel" w:hAnsi="Corbel"/>
        </w:rPr>
        <w:t>00 people,</w:t>
      </w:r>
      <w:r w:rsidR="00625BC7" w:rsidRPr="001D6F3C">
        <w:rPr>
          <w:rFonts w:ascii="Corbel" w:hAnsi="Corbel"/>
        </w:rPr>
        <w:t xml:space="preserve"> </w:t>
      </w:r>
      <w:r w:rsidR="00391D29" w:rsidRPr="001D6F3C">
        <w:rPr>
          <w:rFonts w:ascii="Corbel" w:hAnsi="Corbel"/>
        </w:rPr>
        <w:t>the West Coast (1</w:t>
      </w:r>
      <w:r w:rsidR="0004136C" w:rsidRPr="001D6F3C">
        <w:rPr>
          <w:rFonts w:ascii="Corbel" w:hAnsi="Corbel"/>
        </w:rPr>
        <w:t>7</w:t>
      </w:r>
      <w:r w:rsidR="00391D29" w:rsidRPr="001D6F3C">
        <w:rPr>
          <w:rFonts w:ascii="Corbel" w:hAnsi="Corbel"/>
        </w:rPr>
        <w:t>%</w:t>
      </w:r>
      <w:r w:rsidR="00173FF1" w:rsidRPr="001D6F3C">
        <w:rPr>
          <w:rFonts w:ascii="Corbel" w:hAnsi="Corbel"/>
        </w:rPr>
        <w:t xml:space="preserve"> /</w:t>
      </w:r>
      <w:r w:rsidR="00391D29" w:rsidRPr="001D6F3C">
        <w:rPr>
          <w:rFonts w:ascii="Corbel" w:hAnsi="Corbel"/>
        </w:rPr>
        <w:t xml:space="preserve"> </w:t>
      </w:r>
      <w:r w:rsidR="0004136C" w:rsidRPr="001D6F3C">
        <w:rPr>
          <w:rFonts w:ascii="Corbel" w:hAnsi="Corbel"/>
        </w:rPr>
        <w:t>11</w:t>
      </w:r>
      <w:r w:rsidR="00391D29" w:rsidRPr="001D6F3C">
        <w:rPr>
          <w:rFonts w:ascii="Corbel" w:hAnsi="Corbel"/>
        </w:rPr>
        <w:t>00 people</w:t>
      </w:r>
      <w:r w:rsidR="00625BC7" w:rsidRPr="001D6F3C">
        <w:rPr>
          <w:rFonts w:ascii="Corbel" w:hAnsi="Corbel"/>
        </w:rPr>
        <w:t>) and Northland (1</w:t>
      </w:r>
      <w:r w:rsidR="00B8089B" w:rsidRPr="001D6F3C">
        <w:rPr>
          <w:rFonts w:ascii="Corbel" w:hAnsi="Corbel"/>
        </w:rPr>
        <w:t>6%</w:t>
      </w:r>
      <w:r w:rsidR="00173FF1" w:rsidRPr="001D6F3C">
        <w:rPr>
          <w:rFonts w:ascii="Corbel" w:hAnsi="Corbel"/>
        </w:rPr>
        <w:t xml:space="preserve"> / </w:t>
      </w:r>
      <w:r w:rsidR="00B8089B" w:rsidRPr="001D6F3C">
        <w:rPr>
          <w:rFonts w:ascii="Corbel" w:hAnsi="Corbel"/>
        </w:rPr>
        <w:t>5,700 people</w:t>
      </w:r>
      <w:r w:rsidR="00A91174" w:rsidRPr="001D6F3C">
        <w:rPr>
          <w:rFonts w:ascii="Corbel" w:hAnsi="Corbel"/>
        </w:rPr>
        <w:t>)</w:t>
      </w:r>
      <w:r w:rsidR="00817E14" w:rsidRPr="001D6F3C">
        <w:rPr>
          <w:rFonts w:ascii="Corbel" w:hAnsi="Corbel"/>
        </w:rPr>
        <w:t xml:space="preserve">. </w:t>
      </w:r>
    </w:p>
    <w:p w14:paraId="092D0BD9" w14:textId="5B0EC1B0" w:rsidR="00D52DF6" w:rsidRDefault="00D52DF6">
      <w:pPr>
        <w:spacing w:before="0"/>
        <w:rPr>
          <w:rFonts w:ascii="Corbel" w:hAnsi="Corbel"/>
        </w:rPr>
      </w:pPr>
      <w:r w:rsidRPr="001D6F3C">
        <w:rPr>
          <w:rFonts w:ascii="Corbel" w:hAnsi="Corbel"/>
          <w:noProof/>
        </w:rPr>
        <mc:AlternateContent>
          <mc:Choice Requires="wps">
            <w:drawing>
              <wp:anchor distT="0" distB="0" distL="114300" distR="114300" simplePos="0" relativeHeight="251658248" behindDoc="0" locked="0" layoutInCell="1" allowOverlap="1" wp14:anchorId="773D4740" wp14:editId="243D99B4">
                <wp:simplePos x="0" y="0"/>
                <wp:positionH relativeFrom="margin">
                  <wp:posOffset>28575</wp:posOffset>
                </wp:positionH>
                <wp:positionV relativeFrom="paragraph">
                  <wp:posOffset>6350</wp:posOffset>
                </wp:positionV>
                <wp:extent cx="2776220" cy="335915"/>
                <wp:effectExtent l="0" t="0" r="5080" b="6985"/>
                <wp:wrapSquare wrapText="bothSides"/>
                <wp:docPr id="121322387" name="Text Box 1"/>
                <wp:cNvGraphicFramePr/>
                <a:graphic xmlns:a="http://schemas.openxmlformats.org/drawingml/2006/main">
                  <a:graphicData uri="http://schemas.microsoft.com/office/word/2010/wordprocessingShape">
                    <wps:wsp>
                      <wps:cNvSpPr txBox="1"/>
                      <wps:spPr>
                        <a:xfrm>
                          <a:off x="0" y="0"/>
                          <a:ext cx="2776220" cy="335915"/>
                        </a:xfrm>
                        <a:prstGeom prst="rect">
                          <a:avLst/>
                        </a:prstGeom>
                        <a:solidFill>
                          <a:prstClr val="white"/>
                        </a:solidFill>
                        <a:ln>
                          <a:noFill/>
                        </a:ln>
                      </wps:spPr>
                      <wps:txbx>
                        <w:txbxContent>
                          <w:p w14:paraId="6ACD8D3D" w14:textId="6F4FA0C1" w:rsidR="00585542" w:rsidRDefault="00585542" w:rsidP="00585542">
                            <w:pPr>
                              <w:pStyle w:val="Caption"/>
                              <w:keepNext/>
                              <w:jc w:val="both"/>
                              <w:rPr>
                                <w:rFonts w:ascii="Corbel" w:hAnsi="Corbel"/>
                              </w:rPr>
                            </w:pPr>
                            <w:bookmarkStart w:id="43" w:name="_Toc203142279"/>
                            <w:r>
                              <w:rPr>
                                <w:rFonts w:ascii="Corbel" w:hAnsi="Corbel"/>
                              </w:rPr>
                              <w:t>F</w:t>
                            </w:r>
                            <w:r w:rsidRPr="00A60862">
                              <w:rPr>
                                <w:rFonts w:ascii="Corbel" w:hAnsi="Corbel"/>
                              </w:rPr>
                              <w:t xml:space="preserve">igure </w:t>
                            </w:r>
                            <w:r>
                              <w:rPr>
                                <w:rFonts w:ascii="Corbel" w:hAnsi="Corbel"/>
                              </w:rPr>
                              <w:fldChar w:fldCharType="begin"/>
                            </w:r>
                            <w:r>
                              <w:rPr>
                                <w:rFonts w:ascii="Corbel" w:hAnsi="Corbel"/>
                              </w:rPr>
                              <w:instrText xml:space="preserve"> SEQ Figure \* ARABIC </w:instrText>
                            </w:r>
                            <w:r>
                              <w:rPr>
                                <w:rFonts w:ascii="Corbel" w:hAnsi="Corbel"/>
                              </w:rPr>
                              <w:fldChar w:fldCharType="separate"/>
                            </w:r>
                            <w:r w:rsidR="00AD2CCE">
                              <w:rPr>
                                <w:rFonts w:ascii="Corbel" w:hAnsi="Corbel"/>
                                <w:noProof/>
                              </w:rPr>
                              <w:t>19</w:t>
                            </w:r>
                            <w:r>
                              <w:rPr>
                                <w:rFonts w:ascii="Corbel" w:hAnsi="Corbel"/>
                              </w:rPr>
                              <w:fldChar w:fldCharType="end"/>
                            </w:r>
                            <w:r w:rsidRPr="00A60862">
                              <w:rPr>
                                <w:rFonts w:ascii="Corbel" w:hAnsi="Corbel"/>
                              </w:rPr>
                              <w:t xml:space="preserve"> - Multiple disadvantage by region</w:t>
                            </w:r>
                            <w:bookmarkEnd w:id="43"/>
                          </w:p>
                          <w:p w14:paraId="115CF5A4" w14:textId="65403210" w:rsidR="00585542" w:rsidRPr="00515678" w:rsidRDefault="00585542" w:rsidP="0058554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D4740" id="_x0000_s1030" type="#_x0000_t202" style="position:absolute;margin-left:2.25pt;margin-top:.5pt;width:218.6pt;height:26.45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" stroked="f">
                <v:textbox inset="0,0,0,0">
                  <w:txbxContent>
                    <w:p w14:paraId="6ACD8D3D" w14:textId="6F4FA0C1" w:rsidR="00585542" w:rsidRDefault="00585542" w:rsidP="00585542">
                      <w:pPr>
                        <w:pStyle w:val="Caption"/>
                        <w:keepNext/>
                        <w:jc w:val="both"/>
                        <w:rPr>
                          <w:rFonts w:ascii="Corbel" w:hAnsi="Corbel"/>
                        </w:rPr>
                      </w:pPr>
                      <w:bookmarkStart w:id="44" w:name="_Toc203142279"/>
                      <w:r>
                        <w:rPr>
                          <w:rFonts w:ascii="Corbel" w:hAnsi="Corbel"/>
                        </w:rPr>
                        <w:t>F</w:t>
                      </w:r>
                      <w:r w:rsidRPr="00A60862">
                        <w:rPr>
                          <w:rFonts w:ascii="Corbel" w:hAnsi="Corbel"/>
                        </w:rPr>
                        <w:t xml:space="preserve">igure </w:t>
                      </w:r>
                      <w:r>
                        <w:rPr>
                          <w:rFonts w:ascii="Corbel" w:hAnsi="Corbel"/>
                        </w:rPr>
                        <w:fldChar w:fldCharType="begin"/>
                      </w:r>
                      <w:r>
                        <w:rPr>
                          <w:rFonts w:ascii="Corbel" w:hAnsi="Corbel"/>
                        </w:rPr>
                        <w:instrText xml:space="preserve"> SEQ Figure \* ARABIC </w:instrText>
                      </w:r>
                      <w:r>
                        <w:rPr>
                          <w:rFonts w:ascii="Corbel" w:hAnsi="Corbel"/>
                        </w:rPr>
                        <w:fldChar w:fldCharType="separate"/>
                      </w:r>
                      <w:r w:rsidR="00AD2CCE">
                        <w:rPr>
                          <w:rFonts w:ascii="Corbel" w:hAnsi="Corbel"/>
                          <w:noProof/>
                        </w:rPr>
                        <w:t>19</w:t>
                      </w:r>
                      <w:r>
                        <w:rPr>
                          <w:rFonts w:ascii="Corbel" w:hAnsi="Corbel"/>
                        </w:rPr>
                        <w:fldChar w:fldCharType="end"/>
                      </w:r>
                      <w:r w:rsidRPr="00A60862">
                        <w:rPr>
                          <w:rFonts w:ascii="Corbel" w:hAnsi="Corbel"/>
                        </w:rPr>
                        <w:t xml:space="preserve"> - Multiple disadvantage by region</w:t>
                      </w:r>
                      <w:bookmarkEnd w:id="44"/>
                    </w:p>
                    <w:p w14:paraId="115CF5A4" w14:textId="65403210" w:rsidR="00585542" w:rsidRPr="00515678" w:rsidRDefault="00585542" w:rsidP="00585542">
                      <w:pPr>
                        <w:pStyle w:val="Caption"/>
                        <w:rPr>
                          <w:noProof/>
                        </w:rPr>
                      </w:pPr>
                    </w:p>
                  </w:txbxContent>
                </v:textbox>
                <w10:wrap type="square" anchorx="margin"/>
              </v:shape>
            </w:pict>
          </mc:Fallback>
        </mc:AlternateContent>
      </w:r>
    </w:p>
    <w:p w14:paraId="29D2C286" w14:textId="729811C3" w:rsidR="00223927" w:rsidRPr="001D6F3C" w:rsidRDefault="00D52DF6">
      <w:pPr>
        <w:spacing w:before="0"/>
        <w:rPr>
          <w:rFonts w:ascii="Corbel" w:hAnsi="Corbel"/>
        </w:rPr>
      </w:pPr>
      <w:r>
        <w:rPr>
          <w:rFonts w:ascii="Corbel" w:hAnsi="Corbel"/>
          <w:noProof/>
        </w:rPr>
        <w:drawing>
          <wp:inline distT="0" distB="0" distL="0" distR="0" wp14:anchorId="4EEE5B8D" wp14:editId="293B17DA">
            <wp:extent cx="5474970" cy="4542155"/>
            <wp:effectExtent l="0" t="0" r="0" b="0"/>
            <wp:docPr id="1651621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970" cy="4542155"/>
                    </a:xfrm>
                    <a:prstGeom prst="rect">
                      <a:avLst/>
                    </a:prstGeom>
                    <a:noFill/>
                  </pic:spPr>
                </pic:pic>
              </a:graphicData>
            </a:graphic>
          </wp:inline>
        </w:drawing>
      </w:r>
      <w:r w:rsidR="00223927" w:rsidRPr="001D6F3C">
        <w:rPr>
          <w:rFonts w:ascii="Corbel" w:hAnsi="Corbel"/>
        </w:rPr>
        <w:br w:type="page"/>
      </w:r>
    </w:p>
    <w:p w14:paraId="42F1C46B" w14:textId="1FDFFB06" w:rsidR="0084485B" w:rsidRPr="001D6F3C" w:rsidRDefault="0084485B" w:rsidP="0084485B">
      <w:pPr>
        <w:pStyle w:val="Heading4"/>
        <w:jc w:val="both"/>
        <w:rPr>
          <w:rFonts w:ascii="Corbel" w:hAnsi="Corbel"/>
        </w:rPr>
      </w:pPr>
      <w:r w:rsidRPr="001D6F3C">
        <w:rPr>
          <w:rFonts w:ascii="Corbel" w:hAnsi="Corbel"/>
        </w:rPr>
        <w:lastRenderedPageBreak/>
        <w:t xml:space="preserve">Relationship between multiple disadvantage and past benefit </w:t>
      </w:r>
      <w:r w:rsidR="00CF0A9F" w:rsidRPr="001D6F3C">
        <w:rPr>
          <w:rFonts w:ascii="Corbel" w:hAnsi="Corbel"/>
        </w:rPr>
        <w:t>duration</w:t>
      </w:r>
    </w:p>
    <w:p w14:paraId="4AC62D68" w14:textId="2D49C03E" w:rsidR="007C0FA4" w:rsidRPr="001D6F3C" w:rsidRDefault="004D3BF4" w:rsidP="00693766">
      <w:pPr>
        <w:spacing w:after="0"/>
        <w:jc w:val="both"/>
        <w:rPr>
          <w:rFonts w:ascii="Corbel" w:hAnsi="Corbel"/>
        </w:rPr>
      </w:pPr>
      <w:r w:rsidRPr="001D6F3C">
        <w:rPr>
          <w:rFonts w:ascii="Corbel" w:hAnsi="Corbel"/>
        </w:rPr>
        <w:t xml:space="preserve">For this LTIB, we extended the previous analysis </w:t>
      </w:r>
      <w:r w:rsidR="006B24B4" w:rsidRPr="001D6F3C">
        <w:rPr>
          <w:rFonts w:ascii="Corbel" w:hAnsi="Corbel"/>
        </w:rPr>
        <w:t xml:space="preserve">on </w:t>
      </w:r>
      <w:r w:rsidRPr="001D6F3C">
        <w:rPr>
          <w:rFonts w:ascii="Corbel" w:hAnsi="Corbel"/>
        </w:rPr>
        <w:t>multiple</w:t>
      </w:r>
      <w:r w:rsidR="006B742D" w:rsidRPr="001D6F3C">
        <w:rPr>
          <w:rFonts w:ascii="Corbel" w:hAnsi="Corbel"/>
        </w:rPr>
        <w:t xml:space="preserve"> disadvantage by </w:t>
      </w:r>
      <w:r w:rsidR="00E65BBB" w:rsidRPr="001D6F3C">
        <w:rPr>
          <w:rFonts w:ascii="Corbel" w:hAnsi="Corbel"/>
        </w:rPr>
        <w:t>exploring</w:t>
      </w:r>
      <w:r w:rsidR="006B24B4" w:rsidRPr="001D6F3C">
        <w:rPr>
          <w:rFonts w:ascii="Corbel" w:hAnsi="Corbel"/>
        </w:rPr>
        <w:t xml:space="preserve"> </w:t>
      </w:r>
      <w:r w:rsidR="00E570AC" w:rsidRPr="001D6F3C">
        <w:rPr>
          <w:rFonts w:ascii="Corbel" w:hAnsi="Corbel"/>
        </w:rPr>
        <w:t>its</w:t>
      </w:r>
      <w:r w:rsidR="006B24B4" w:rsidRPr="001D6F3C">
        <w:rPr>
          <w:rFonts w:ascii="Corbel" w:hAnsi="Corbel"/>
        </w:rPr>
        <w:t xml:space="preserve"> relationship with </w:t>
      </w:r>
      <w:r w:rsidR="006B742D" w:rsidRPr="001D6F3C">
        <w:rPr>
          <w:rFonts w:ascii="Corbel" w:hAnsi="Corbel"/>
        </w:rPr>
        <w:t>benefit duration</w:t>
      </w:r>
      <w:r w:rsidR="00D94198" w:rsidRPr="001D6F3C">
        <w:rPr>
          <w:rFonts w:ascii="Corbel" w:hAnsi="Corbel"/>
        </w:rPr>
        <w:t xml:space="preserve">, focusing on </w:t>
      </w:r>
      <w:r w:rsidR="00CF4859" w:rsidRPr="001D6F3C">
        <w:rPr>
          <w:rFonts w:ascii="Corbel" w:hAnsi="Corbel"/>
        </w:rPr>
        <w:t xml:space="preserve">those who spent time supported </w:t>
      </w:r>
      <w:r w:rsidR="005E7CE8" w:rsidRPr="001D6F3C">
        <w:rPr>
          <w:rFonts w:ascii="Corbel" w:hAnsi="Corbel"/>
        </w:rPr>
        <w:t xml:space="preserve">by a main benefit in the decade prior to </w:t>
      </w:r>
      <w:r w:rsidR="00F57961" w:rsidRPr="001D6F3C">
        <w:rPr>
          <w:rFonts w:ascii="Corbel" w:hAnsi="Corbel"/>
        </w:rPr>
        <w:t xml:space="preserve">age 65. </w:t>
      </w:r>
      <w:r w:rsidR="00585542" w:rsidRPr="001D6F3C">
        <w:rPr>
          <w:rFonts w:ascii="Corbel" w:hAnsi="Corbel"/>
        </w:rPr>
        <w:t xml:space="preserve"> </w:t>
      </w:r>
      <w:r w:rsidR="007C0FA4" w:rsidRPr="001D6F3C">
        <w:rPr>
          <w:rFonts w:ascii="Corbel" w:hAnsi="Corbel"/>
        </w:rPr>
        <w:t>Nearly a quarter</w:t>
      </w:r>
      <w:r w:rsidR="00862D41" w:rsidRPr="001D6F3C">
        <w:rPr>
          <w:rFonts w:ascii="Corbel" w:hAnsi="Corbel"/>
        </w:rPr>
        <w:t xml:space="preserve"> of those </w:t>
      </w:r>
      <w:r w:rsidR="00A57AE6" w:rsidRPr="001D6F3C">
        <w:rPr>
          <w:rFonts w:ascii="Corbel" w:hAnsi="Corbel"/>
        </w:rPr>
        <w:t xml:space="preserve">aged </w:t>
      </w:r>
      <w:r w:rsidR="00862D41" w:rsidRPr="001D6F3C">
        <w:rPr>
          <w:rFonts w:ascii="Corbel" w:hAnsi="Corbel"/>
        </w:rPr>
        <w:t>65+</w:t>
      </w:r>
      <w:r w:rsidR="007C0FA4" w:rsidRPr="001D6F3C">
        <w:rPr>
          <w:rFonts w:ascii="Corbel" w:hAnsi="Corbel"/>
        </w:rPr>
        <w:t xml:space="preserve"> (24%</w:t>
      </w:r>
      <w:r w:rsidR="004A7275" w:rsidRPr="001D6F3C">
        <w:rPr>
          <w:rFonts w:ascii="Corbel" w:hAnsi="Corbel"/>
        </w:rPr>
        <w:t xml:space="preserve"> </w:t>
      </w:r>
      <w:r w:rsidR="00AD4F56" w:rsidRPr="001D6F3C">
        <w:rPr>
          <w:rFonts w:ascii="Corbel" w:hAnsi="Corbel"/>
        </w:rPr>
        <w:t>/</w:t>
      </w:r>
      <w:r w:rsidR="004D50BB" w:rsidRPr="001D6F3C">
        <w:rPr>
          <w:rFonts w:ascii="Corbel" w:hAnsi="Corbel"/>
        </w:rPr>
        <w:t xml:space="preserve"> </w:t>
      </w:r>
      <w:r w:rsidR="00091746" w:rsidRPr="001D6F3C">
        <w:rPr>
          <w:rFonts w:ascii="Corbel" w:hAnsi="Corbel"/>
        </w:rPr>
        <w:t>193</w:t>
      </w:r>
      <w:r w:rsidR="00AD4F56" w:rsidRPr="001D6F3C">
        <w:rPr>
          <w:rFonts w:ascii="Corbel" w:hAnsi="Corbel"/>
        </w:rPr>
        <w:t>,</w:t>
      </w:r>
      <w:r w:rsidR="00500565" w:rsidRPr="001D6F3C">
        <w:rPr>
          <w:rFonts w:ascii="Corbel" w:hAnsi="Corbel"/>
        </w:rPr>
        <w:t>2</w:t>
      </w:r>
      <w:r w:rsidR="00AD4F56" w:rsidRPr="001D6F3C">
        <w:rPr>
          <w:rFonts w:ascii="Corbel" w:hAnsi="Corbel"/>
        </w:rPr>
        <w:t>00</w:t>
      </w:r>
      <w:r w:rsidR="007C0FA4" w:rsidRPr="001D6F3C">
        <w:rPr>
          <w:rFonts w:ascii="Corbel" w:hAnsi="Corbel"/>
        </w:rPr>
        <w:t>)</w:t>
      </w:r>
      <w:r w:rsidR="0093231B" w:rsidRPr="001D6F3C">
        <w:rPr>
          <w:rFonts w:ascii="Corbel" w:hAnsi="Corbel"/>
        </w:rPr>
        <w:t xml:space="preserve"> </w:t>
      </w:r>
      <w:r w:rsidR="0047283C" w:rsidRPr="001D6F3C">
        <w:rPr>
          <w:rFonts w:ascii="Corbel" w:hAnsi="Corbel"/>
        </w:rPr>
        <w:t>spent at least some time on benefit</w:t>
      </w:r>
      <w:r w:rsidR="00862D41" w:rsidRPr="001D6F3C">
        <w:rPr>
          <w:rFonts w:ascii="Corbel" w:hAnsi="Corbel"/>
        </w:rPr>
        <w:t xml:space="preserve"> between age </w:t>
      </w:r>
      <w:r w:rsidR="002F63B2" w:rsidRPr="001D6F3C">
        <w:rPr>
          <w:rFonts w:ascii="Corbel" w:hAnsi="Corbel"/>
        </w:rPr>
        <w:t>55 and 65. O</w:t>
      </w:r>
      <w:r w:rsidR="006C7436" w:rsidRPr="001D6F3C">
        <w:rPr>
          <w:rFonts w:ascii="Corbel" w:hAnsi="Corbel"/>
        </w:rPr>
        <w:t>ne in ten</w:t>
      </w:r>
      <w:r w:rsidR="00295ED7" w:rsidRPr="001D6F3C">
        <w:rPr>
          <w:rFonts w:ascii="Corbel" w:hAnsi="Corbel"/>
        </w:rPr>
        <w:t xml:space="preserve"> (</w:t>
      </w:r>
      <w:r w:rsidR="003E318D" w:rsidRPr="001D6F3C">
        <w:rPr>
          <w:rFonts w:ascii="Corbel" w:hAnsi="Corbel"/>
        </w:rPr>
        <w:t>11%</w:t>
      </w:r>
      <w:r w:rsidR="00295ED7" w:rsidRPr="001D6F3C">
        <w:rPr>
          <w:rFonts w:ascii="Corbel" w:hAnsi="Corbel"/>
        </w:rPr>
        <w:t xml:space="preserve"> / </w:t>
      </w:r>
      <w:r w:rsidR="00717D69" w:rsidRPr="001D6F3C">
        <w:rPr>
          <w:rFonts w:ascii="Corbel" w:hAnsi="Corbel"/>
        </w:rPr>
        <w:t>87</w:t>
      </w:r>
      <w:r w:rsidR="00295ED7" w:rsidRPr="001D6F3C">
        <w:rPr>
          <w:rFonts w:ascii="Corbel" w:hAnsi="Corbel"/>
        </w:rPr>
        <w:t>,</w:t>
      </w:r>
      <w:r w:rsidR="00717D69" w:rsidRPr="001D6F3C">
        <w:rPr>
          <w:rFonts w:ascii="Corbel" w:hAnsi="Corbel"/>
        </w:rPr>
        <w:t>9</w:t>
      </w:r>
      <w:r w:rsidR="00295ED7" w:rsidRPr="001D6F3C">
        <w:rPr>
          <w:rFonts w:ascii="Corbel" w:hAnsi="Corbel"/>
        </w:rPr>
        <w:t>00)</w:t>
      </w:r>
      <w:r w:rsidR="003E318D" w:rsidRPr="001D6F3C">
        <w:rPr>
          <w:rFonts w:ascii="Corbel" w:hAnsi="Corbel"/>
        </w:rPr>
        <w:t xml:space="preserve"> spent more than 40% of the period </w:t>
      </w:r>
      <w:r w:rsidR="00813D10" w:rsidRPr="001D6F3C">
        <w:rPr>
          <w:rFonts w:ascii="Corbel" w:hAnsi="Corbel"/>
        </w:rPr>
        <w:t xml:space="preserve">on benefit, </w:t>
      </w:r>
      <w:r w:rsidR="004A7275" w:rsidRPr="001D6F3C">
        <w:rPr>
          <w:rFonts w:ascii="Corbel" w:hAnsi="Corbel"/>
        </w:rPr>
        <w:t xml:space="preserve">and </w:t>
      </w:r>
      <w:r w:rsidR="001079BD" w:rsidRPr="001D6F3C">
        <w:rPr>
          <w:rFonts w:ascii="Corbel" w:hAnsi="Corbel"/>
        </w:rPr>
        <w:t>one in twenty (</w:t>
      </w:r>
      <w:r w:rsidR="004A7275" w:rsidRPr="001D6F3C">
        <w:rPr>
          <w:rFonts w:ascii="Corbel" w:hAnsi="Corbel"/>
        </w:rPr>
        <w:t>6%</w:t>
      </w:r>
      <w:r w:rsidR="00717D69" w:rsidRPr="001D6F3C">
        <w:rPr>
          <w:rFonts w:ascii="Corbel" w:hAnsi="Corbel"/>
        </w:rPr>
        <w:t xml:space="preserve"> </w:t>
      </w:r>
      <w:r w:rsidR="001079BD" w:rsidRPr="001D6F3C">
        <w:rPr>
          <w:rFonts w:ascii="Corbel" w:hAnsi="Corbel"/>
        </w:rPr>
        <w:t xml:space="preserve">/ </w:t>
      </w:r>
      <w:r w:rsidR="00717D69" w:rsidRPr="001D6F3C">
        <w:rPr>
          <w:rFonts w:ascii="Corbel" w:hAnsi="Corbel"/>
        </w:rPr>
        <w:t>46,900)</w:t>
      </w:r>
      <w:r w:rsidR="004A7275" w:rsidRPr="001D6F3C">
        <w:rPr>
          <w:rFonts w:ascii="Corbel" w:hAnsi="Corbel"/>
        </w:rPr>
        <w:t xml:space="preserve"> spen</w:t>
      </w:r>
      <w:r w:rsidR="00274450" w:rsidRPr="001D6F3C">
        <w:rPr>
          <w:rFonts w:ascii="Corbel" w:hAnsi="Corbel"/>
        </w:rPr>
        <w:t>t</w:t>
      </w:r>
      <w:r w:rsidR="004A7275" w:rsidRPr="001D6F3C">
        <w:rPr>
          <w:rFonts w:ascii="Corbel" w:hAnsi="Corbel"/>
        </w:rPr>
        <w:t xml:space="preserve"> more than</w:t>
      </w:r>
      <w:r w:rsidR="00717D69" w:rsidRPr="001D6F3C">
        <w:rPr>
          <w:rFonts w:ascii="Corbel" w:hAnsi="Corbel"/>
        </w:rPr>
        <w:t xml:space="preserve"> </w:t>
      </w:r>
      <w:r w:rsidR="001079BD" w:rsidRPr="001D6F3C">
        <w:rPr>
          <w:rFonts w:ascii="Corbel" w:hAnsi="Corbel"/>
        </w:rPr>
        <w:t>8</w:t>
      </w:r>
      <w:r w:rsidR="00717D69" w:rsidRPr="001D6F3C">
        <w:rPr>
          <w:rFonts w:ascii="Corbel" w:hAnsi="Corbel"/>
        </w:rPr>
        <w:t xml:space="preserve">0% of the period on benefit. </w:t>
      </w:r>
    </w:p>
    <w:p w14:paraId="4700FD32" w14:textId="07699008" w:rsidR="00693766" w:rsidRPr="001D6F3C" w:rsidRDefault="00693766" w:rsidP="00693766">
      <w:pPr>
        <w:pStyle w:val="Caption"/>
        <w:keepNext/>
      </w:pPr>
      <w:bookmarkStart w:id="45" w:name="_Toc203647401"/>
      <w:r w:rsidRPr="001D6F3C">
        <w:t xml:space="preserve">Table </w:t>
      </w:r>
      <w:r w:rsidRPr="001D6F3C">
        <w:fldChar w:fldCharType="begin"/>
      </w:r>
      <w:r w:rsidRPr="001D6F3C">
        <w:instrText xml:space="preserve"> SEQ Table \* ARABIC </w:instrText>
      </w:r>
      <w:r w:rsidRPr="001D6F3C">
        <w:fldChar w:fldCharType="separate"/>
      </w:r>
      <w:r w:rsidR="00D048DB" w:rsidRPr="001D6F3C">
        <w:rPr>
          <w:noProof/>
        </w:rPr>
        <w:t>4</w:t>
      </w:r>
      <w:r w:rsidRPr="001D6F3C">
        <w:fldChar w:fldCharType="end"/>
      </w:r>
      <w:r w:rsidRPr="001D6F3C">
        <w:t xml:space="preserve"> – Number and Percentage of those 65+ - by % of time on benefit when aged 55-65</w:t>
      </w:r>
      <w:bookmarkEnd w:id="45"/>
    </w:p>
    <w:tbl>
      <w:tblPr>
        <w:tblW w:w="9037" w:type="dxa"/>
        <w:tblLook w:val="04A0" w:firstRow="1" w:lastRow="0" w:firstColumn="1" w:lastColumn="0" w:noHBand="0" w:noVBand="1"/>
      </w:tblPr>
      <w:tblGrid>
        <w:gridCol w:w="611"/>
        <w:gridCol w:w="1900"/>
        <w:gridCol w:w="811"/>
        <w:gridCol w:w="811"/>
        <w:gridCol w:w="811"/>
        <w:gridCol w:w="811"/>
        <w:gridCol w:w="811"/>
        <w:gridCol w:w="811"/>
        <w:gridCol w:w="1660"/>
      </w:tblGrid>
      <w:tr w:rsidR="00717D69" w:rsidRPr="001D6F3C" w14:paraId="10092096" w14:textId="77777777" w:rsidTr="00693766">
        <w:trPr>
          <w:trHeight w:val="234"/>
        </w:trPr>
        <w:tc>
          <w:tcPr>
            <w:tcW w:w="2511" w:type="dxa"/>
            <w:gridSpan w:val="2"/>
            <w:vMerge w:val="restart"/>
            <w:tcBorders>
              <w:top w:val="single" w:sz="8" w:space="0" w:color="auto"/>
              <w:left w:val="single" w:sz="8" w:space="0" w:color="auto"/>
              <w:right w:val="single" w:sz="4" w:space="0" w:color="auto"/>
            </w:tcBorders>
            <w:vAlign w:val="center"/>
          </w:tcPr>
          <w:p w14:paraId="5437387A"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p>
        </w:tc>
        <w:tc>
          <w:tcPr>
            <w:tcW w:w="6526" w:type="dxa"/>
            <w:gridSpan w:val="7"/>
            <w:tcBorders>
              <w:top w:val="single" w:sz="8" w:space="0" w:color="auto"/>
              <w:left w:val="nil"/>
              <w:bottom w:val="single" w:sz="4" w:space="0" w:color="auto"/>
              <w:right w:val="single" w:sz="8" w:space="0" w:color="auto"/>
            </w:tcBorders>
            <w:noWrap/>
            <w:vAlign w:val="center"/>
          </w:tcPr>
          <w:p w14:paraId="52833EB2" w14:textId="0D58AF87" w:rsidR="00717D69" w:rsidRPr="001D6F3C" w:rsidRDefault="00717D69" w:rsidP="00717D69">
            <w:pPr>
              <w:spacing w:before="0" w:after="0" w:line="240" w:lineRule="auto"/>
              <w:jc w:val="center"/>
              <w:rPr>
                <w:rFonts w:ascii="Corbel" w:eastAsia="Times New Roman" w:hAnsi="Corbel" w:cs="Times New Roman"/>
                <w:b/>
                <w:bCs/>
                <w:color w:val="000000"/>
                <w:sz w:val="15"/>
                <w:szCs w:val="15"/>
                <w:lang w:eastAsia="en-NZ"/>
              </w:rPr>
            </w:pPr>
            <w:r w:rsidRPr="001D6F3C">
              <w:rPr>
                <w:rFonts w:ascii="Corbel" w:eastAsia="Times New Roman" w:hAnsi="Corbel" w:cs="Times New Roman"/>
                <w:color w:val="000000"/>
                <w:sz w:val="15"/>
                <w:szCs w:val="15"/>
                <w:lang w:eastAsia="en-NZ"/>
              </w:rPr>
              <w:t>% time on benefit when 55-65</w:t>
            </w:r>
          </w:p>
        </w:tc>
      </w:tr>
      <w:tr w:rsidR="00717D69" w:rsidRPr="001D6F3C" w14:paraId="6A5F6E62" w14:textId="77777777" w:rsidTr="00693766">
        <w:trPr>
          <w:trHeight w:val="234"/>
        </w:trPr>
        <w:tc>
          <w:tcPr>
            <w:tcW w:w="2511" w:type="dxa"/>
            <w:gridSpan w:val="2"/>
            <w:vMerge/>
            <w:tcBorders>
              <w:left w:val="single" w:sz="8" w:space="0" w:color="auto"/>
              <w:bottom w:val="single" w:sz="4" w:space="0" w:color="auto"/>
              <w:right w:val="single" w:sz="4" w:space="0" w:color="auto"/>
            </w:tcBorders>
            <w:vAlign w:val="center"/>
            <w:hideMark/>
          </w:tcPr>
          <w:p w14:paraId="0E4532AE" w14:textId="20E1B13A"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p>
        </w:tc>
        <w:tc>
          <w:tcPr>
            <w:tcW w:w="811" w:type="dxa"/>
            <w:tcBorders>
              <w:top w:val="single" w:sz="8" w:space="0" w:color="auto"/>
              <w:left w:val="nil"/>
              <w:bottom w:val="single" w:sz="4" w:space="0" w:color="auto"/>
              <w:right w:val="single" w:sz="4" w:space="0" w:color="auto"/>
            </w:tcBorders>
            <w:noWrap/>
            <w:vAlign w:val="center"/>
            <w:hideMark/>
          </w:tcPr>
          <w:p w14:paraId="0FB5E753"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0</w:t>
            </w:r>
          </w:p>
        </w:tc>
        <w:tc>
          <w:tcPr>
            <w:tcW w:w="811" w:type="dxa"/>
            <w:tcBorders>
              <w:top w:val="single" w:sz="8" w:space="0" w:color="auto"/>
              <w:left w:val="nil"/>
              <w:bottom w:val="single" w:sz="4" w:space="0" w:color="auto"/>
              <w:right w:val="single" w:sz="4" w:space="0" w:color="auto"/>
            </w:tcBorders>
            <w:noWrap/>
            <w:vAlign w:val="center"/>
            <w:hideMark/>
          </w:tcPr>
          <w:p w14:paraId="507811C6"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&gt;0-20%</w:t>
            </w:r>
          </w:p>
        </w:tc>
        <w:tc>
          <w:tcPr>
            <w:tcW w:w="811" w:type="dxa"/>
            <w:tcBorders>
              <w:top w:val="single" w:sz="8" w:space="0" w:color="auto"/>
              <w:left w:val="nil"/>
              <w:bottom w:val="single" w:sz="4" w:space="0" w:color="auto"/>
              <w:right w:val="single" w:sz="4" w:space="0" w:color="auto"/>
            </w:tcBorders>
            <w:noWrap/>
            <w:vAlign w:val="center"/>
            <w:hideMark/>
          </w:tcPr>
          <w:p w14:paraId="294EC2BB"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20-40%</w:t>
            </w:r>
          </w:p>
        </w:tc>
        <w:tc>
          <w:tcPr>
            <w:tcW w:w="811" w:type="dxa"/>
            <w:tcBorders>
              <w:top w:val="single" w:sz="8" w:space="0" w:color="auto"/>
              <w:left w:val="nil"/>
              <w:bottom w:val="single" w:sz="4" w:space="0" w:color="auto"/>
              <w:right w:val="single" w:sz="4" w:space="0" w:color="auto"/>
            </w:tcBorders>
            <w:noWrap/>
            <w:vAlign w:val="center"/>
            <w:hideMark/>
          </w:tcPr>
          <w:p w14:paraId="4D9145B1"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40-60%</w:t>
            </w:r>
          </w:p>
        </w:tc>
        <w:tc>
          <w:tcPr>
            <w:tcW w:w="811" w:type="dxa"/>
            <w:tcBorders>
              <w:top w:val="single" w:sz="8" w:space="0" w:color="auto"/>
              <w:left w:val="nil"/>
              <w:bottom w:val="single" w:sz="4" w:space="0" w:color="auto"/>
              <w:right w:val="single" w:sz="4" w:space="0" w:color="auto"/>
            </w:tcBorders>
            <w:noWrap/>
            <w:vAlign w:val="center"/>
            <w:hideMark/>
          </w:tcPr>
          <w:p w14:paraId="592B7542"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60-80%</w:t>
            </w:r>
          </w:p>
        </w:tc>
        <w:tc>
          <w:tcPr>
            <w:tcW w:w="811" w:type="dxa"/>
            <w:tcBorders>
              <w:top w:val="single" w:sz="8" w:space="0" w:color="auto"/>
              <w:left w:val="nil"/>
              <w:bottom w:val="single" w:sz="4" w:space="0" w:color="auto"/>
              <w:right w:val="single" w:sz="4" w:space="0" w:color="auto"/>
            </w:tcBorders>
            <w:noWrap/>
            <w:vAlign w:val="center"/>
            <w:hideMark/>
          </w:tcPr>
          <w:p w14:paraId="733E5CA2" w14:textId="6DB68761" w:rsidR="00717D69" w:rsidRPr="001D6F3C" w:rsidRDefault="001C62E3"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8</w:t>
            </w:r>
            <w:r w:rsidR="00717D69" w:rsidRPr="001D6F3C">
              <w:rPr>
                <w:rFonts w:ascii="Corbel" w:eastAsia="Times New Roman" w:hAnsi="Corbel" w:cs="Times New Roman"/>
                <w:color w:val="000000"/>
                <w:sz w:val="15"/>
                <w:szCs w:val="15"/>
                <w:lang w:eastAsia="en-NZ"/>
              </w:rPr>
              <w:t>0-100%</w:t>
            </w:r>
          </w:p>
        </w:tc>
        <w:tc>
          <w:tcPr>
            <w:tcW w:w="811" w:type="dxa"/>
            <w:tcBorders>
              <w:top w:val="single" w:sz="8" w:space="0" w:color="auto"/>
              <w:left w:val="nil"/>
              <w:bottom w:val="single" w:sz="4" w:space="0" w:color="auto"/>
              <w:right w:val="single" w:sz="8" w:space="0" w:color="auto"/>
            </w:tcBorders>
            <w:noWrap/>
            <w:vAlign w:val="center"/>
            <w:hideMark/>
          </w:tcPr>
          <w:p w14:paraId="2A7BCC75" w14:textId="77777777" w:rsidR="00717D69" w:rsidRPr="001D6F3C" w:rsidRDefault="00717D69" w:rsidP="00717D69">
            <w:pPr>
              <w:spacing w:before="0" w:after="0" w:line="240" w:lineRule="auto"/>
              <w:jc w:val="center"/>
              <w:rPr>
                <w:rFonts w:ascii="Corbel" w:eastAsia="Times New Roman" w:hAnsi="Corbel" w:cs="Times New Roman"/>
                <w:b/>
                <w:bCs/>
                <w:color w:val="000000"/>
                <w:sz w:val="15"/>
                <w:szCs w:val="15"/>
                <w:lang w:eastAsia="en-NZ"/>
              </w:rPr>
            </w:pPr>
            <w:r w:rsidRPr="001D6F3C">
              <w:rPr>
                <w:rFonts w:ascii="Corbel" w:eastAsia="Times New Roman" w:hAnsi="Corbel" w:cs="Times New Roman"/>
                <w:b/>
                <w:bCs/>
                <w:color w:val="000000"/>
                <w:sz w:val="15"/>
                <w:szCs w:val="15"/>
                <w:lang w:eastAsia="en-NZ"/>
              </w:rPr>
              <w:t>Total</w:t>
            </w:r>
          </w:p>
        </w:tc>
      </w:tr>
      <w:tr w:rsidR="00717D69" w:rsidRPr="001D6F3C" w14:paraId="0AAE7EC4" w14:textId="77777777" w:rsidTr="00693766">
        <w:trPr>
          <w:trHeight w:val="306"/>
        </w:trPr>
        <w:tc>
          <w:tcPr>
            <w:tcW w:w="611" w:type="dxa"/>
            <w:vMerge w:val="restart"/>
            <w:tcBorders>
              <w:top w:val="nil"/>
              <w:left w:val="single" w:sz="8" w:space="0" w:color="auto"/>
              <w:bottom w:val="single" w:sz="8" w:space="0" w:color="000000"/>
              <w:right w:val="single" w:sz="4" w:space="0" w:color="auto"/>
            </w:tcBorders>
            <w:noWrap/>
            <w:vAlign w:val="center"/>
            <w:hideMark/>
          </w:tcPr>
          <w:p w14:paraId="6A1A832F"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Total</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6279D42"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w:t>
            </w:r>
          </w:p>
        </w:tc>
        <w:tc>
          <w:tcPr>
            <w:tcW w:w="811" w:type="dxa"/>
            <w:tcBorders>
              <w:top w:val="nil"/>
              <w:left w:val="nil"/>
              <w:bottom w:val="single" w:sz="4" w:space="0" w:color="auto"/>
              <w:right w:val="single" w:sz="4" w:space="0" w:color="auto"/>
            </w:tcBorders>
            <w:noWrap/>
            <w:vAlign w:val="center"/>
            <w:hideMark/>
          </w:tcPr>
          <w:p w14:paraId="08C8B822"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596,886</w:t>
            </w:r>
          </w:p>
        </w:tc>
        <w:tc>
          <w:tcPr>
            <w:tcW w:w="811" w:type="dxa"/>
            <w:tcBorders>
              <w:top w:val="nil"/>
              <w:left w:val="nil"/>
              <w:bottom w:val="single" w:sz="4" w:space="0" w:color="auto"/>
              <w:right w:val="single" w:sz="4" w:space="0" w:color="auto"/>
            </w:tcBorders>
            <w:noWrap/>
            <w:vAlign w:val="center"/>
            <w:hideMark/>
          </w:tcPr>
          <w:p w14:paraId="174CAAF3"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73,305</w:t>
            </w:r>
          </w:p>
        </w:tc>
        <w:tc>
          <w:tcPr>
            <w:tcW w:w="811" w:type="dxa"/>
            <w:tcBorders>
              <w:top w:val="nil"/>
              <w:left w:val="nil"/>
              <w:bottom w:val="single" w:sz="4" w:space="0" w:color="auto"/>
              <w:right w:val="single" w:sz="4" w:space="0" w:color="auto"/>
            </w:tcBorders>
            <w:noWrap/>
            <w:vAlign w:val="center"/>
            <w:hideMark/>
          </w:tcPr>
          <w:p w14:paraId="7346E166"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31,998</w:t>
            </w:r>
          </w:p>
        </w:tc>
        <w:tc>
          <w:tcPr>
            <w:tcW w:w="811" w:type="dxa"/>
            <w:tcBorders>
              <w:top w:val="nil"/>
              <w:left w:val="nil"/>
              <w:bottom w:val="single" w:sz="4" w:space="0" w:color="auto"/>
              <w:right w:val="single" w:sz="4" w:space="0" w:color="auto"/>
            </w:tcBorders>
            <w:noWrap/>
            <w:vAlign w:val="center"/>
            <w:hideMark/>
          </w:tcPr>
          <w:p w14:paraId="0141FDF2"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22,701</w:t>
            </w:r>
          </w:p>
        </w:tc>
        <w:tc>
          <w:tcPr>
            <w:tcW w:w="811" w:type="dxa"/>
            <w:tcBorders>
              <w:top w:val="nil"/>
              <w:left w:val="nil"/>
              <w:bottom w:val="single" w:sz="4" w:space="0" w:color="auto"/>
              <w:right w:val="single" w:sz="4" w:space="0" w:color="auto"/>
            </w:tcBorders>
            <w:noWrap/>
            <w:vAlign w:val="center"/>
            <w:hideMark/>
          </w:tcPr>
          <w:p w14:paraId="5BB7D201"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18,318</w:t>
            </w:r>
          </w:p>
        </w:tc>
        <w:tc>
          <w:tcPr>
            <w:tcW w:w="811" w:type="dxa"/>
            <w:tcBorders>
              <w:top w:val="nil"/>
              <w:left w:val="nil"/>
              <w:bottom w:val="single" w:sz="4" w:space="0" w:color="auto"/>
              <w:right w:val="single" w:sz="4" w:space="0" w:color="auto"/>
            </w:tcBorders>
            <w:noWrap/>
            <w:vAlign w:val="center"/>
            <w:hideMark/>
          </w:tcPr>
          <w:p w14:paraId="360046D5"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46,902</w:t>
            </w:r>
          </w:p>
        </w:tc>
        <w:tc>
          <w:tcPr>
            <w:tcW w:w="811" w:type="dxa"/>
            <w:tcBorders>
              <w:top w:val="nil"/>
              <w:left w:val="nil"/>
              <w:bottom w:val="single" w:sz="4" w:space="0" w:color="auto"/>
              <w:right w:val="single" w:sz="8" w:space="0" w:color="auto"/>
            </w:tcBorders>
            <w:noWrap/>
            <w:vAlign w:val="center"/>
            <w:hideMark/>
          </w:tcPr>
          <w:p w14:paraId="72FA62D5" w14:textId="77777777" w:rsidR="00717D69" w:rsidRPr="001D6F3C" w:rsidRDefault="00717D69" w:rsidP="00717D69">
            <w:pPr>
              <w:spacing w:before="0" w:after="0" w:line="240" w:lineRule="auto"/>
              <w:jc w:val="center"/>
              <w:rPr>
                <w:rFonts w:ascii="Corbel" w:eastAsia="Times New Roman" w:hAnsi="Corbel" w:cs="Times New Roman"/>
                <w:b/>
                <w:bCs/>
                <w:color w:val="000000"/>
                <w:sz w:val="15"/>
                <w:szCs w:val="15"/>
                <w:lang w:eastAsia="en-NZ"/>
              </w:rPr>
            </w:pPr>
            <w:r w:rsidRPr="001D6F3C">
              <w:rPr>
                <w:rFonts w:ascii="Corbel" w:eastAsia="Times New Roman" w:hAnsi="Corbel" w:cs="Times New Roman"/>
                <w:b/>
                <w:bCs/>
                <w:color w:val="000000"/>
                <w:sz w:val="15"/>
                <w:szCs w:val="15"/>
                <w:lang w:eastAsia="en-NZ"/>
              </w:rPr>
              <w:t>790,110</w:t>
            </w:r>
          </w:p>
        </w:tc>
      </w:tr>
      <w:tr w:rsidR="00717D69" w:rsidRPr="001D6F3C" w14:paraId="1E2BE5F1" w14:textId="77777777" w:rsidTr="00693766">
        <w:trPr>
          <w:trHeight w:val="234"/>
        </w:trPr>
        <w:tc>
          <w:tcPr>
            <w:tcW w:w="611" w:type="dxa"/>
            <w:vMerge/>
            <w:tcBorders>
              <w:top w:val="nil"/>
              <w:left w:val="single" w:sz="8" w:space="0" w:color="auto"/>
              <w:bottom w:val="single" w:sz="8" w:space="0" w:color="000000"/>
              <w:right w:val="single" w:sz="4" w:space="0" w:color="auto"/>
            </w:tcBorders>
            <w:vAlign w:val="center"/>
            <w:hideMark/>
          </w:tcPr>
          <w:p w14:paraId="6341E291" w14:textId="77777777" w:rsidR="00717D69" w:rsidRPr="001D6F3C" w:rsidRDefault="00717D69" w:rsidP="00717D69">
            <w:pPr>
              <w:spacing w:before="0" w:after="0" w:line="240" w:lineRule="auto"/>
              <w:rPr>
                <w:rFonts w:ascii="Corbel" w:eastAsia="Times New Roman" w:hAnsi="Corbel" w:cs="Times New Roman"/>
                <w:color w:val="000000"/>
                <w:sz w:val="15"/>
                <w:szCs w:val="15"/>
                <w:lang w:eastAsia="en-NZ"/>
              </w:rPr>
            </w:pPr>
          </w:p>
        </w:tc>
        <w:tc>
          <w:tcPr>
            <w:tcW w:w="1900" w:type="dxa"/>
            <w:tcBorders>
              <w:top w:val="single" w:sz="4" w:space="0" w:color="auto"/>
              <w:left w:val="nil"/>
              <w:bottom w:val="single" w:sz="8" w:space="0" w:color="auto"/>
              <w:right w:val="single" w:sz="4" w:space="0" w:color="auto"/>
            </w:tcBorders>
            <w:shd w:val="clear" w:color="000000" w:fill="FFFFFF"/>
            <w:vAlign w:val="center"/>
            <w:hideMark/>
          </w:tcPr>
          <w:p w14:paraId="719DCBCF"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w:t>
            </w:r>
          </w:p>
        </w:tc>
        <w:tc>
          <w:tcPr>
            <w:tcW w:w="811" w:type="dxa"/>
            <w:tcBorders>
              <w:top w:val="nil"/>
              <w:left w:val="nil"/>
              <w:bottom w:val="single" w:sz="8" w:space="0" w:color="auto"/>
              <w:right w:val="single" w:sz="4" w:space="0" w:color="auto"/>
            </w:tcBorders>
            <w:vAlign w:val="center"/>
            <w:hideMark/>
          </w:tcPr>
          <w:p w14:paraId="4DA0BD0F"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76%</w:t>
            </w:r>
          </w:p>
        </w:tc>
        <w:tc>
          <w:tcPr>
            <w:tcW w:w="811" w:type="dxa"/>
            <w:tcBorders>
              <w:top w:val="nil"/>
              <w:left w:val="nil"/>
              <w:bottom w:val="single" w:sz="8" w:space="0" w:color="auto"/>
              <w:right w:val="single" w:sz="4" w:space="0" w:color="auto"/>
            </w:tcBorders>
            <w:vAlign w:val="center"/>
            <w:hideMark/>
          </w:tcPr>
          <w:p w14:paraId="2A81C1D7"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9%</w:t>
            </w:r>
          </w:p>
        </w:tc>
        <w:tc>
          <w:tcPr>
            <w:tcW w:w="811" w:type="dxa"/>
            <w:tcBorders>
              <w:top w:val="nil"/>
              <w:left w:val="nil"/>
              <w:bottom w:val="single" w:sz="8" w:space="0" w:color="auto"/>
              <w:right w:val="single" w:sz="4" w:space="0" w:color="auto"/>
            </w:tcBorders>
            <w:vAlign w:val="center"/>
            <w:hideMark/>
          </w:tcPr>
          <w:p w14:paraId="4EF62354"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4%</w:t>
            </w:r>
          </w:p>
        </w:tc>
        <w:tc>
          <w:tcPr>
            <w:tcW w:w="811" w:type="dxa"/>
            <w:tcBorders>
              <w:top w:val="nil"/>
              <w:left w:val="nil"/>
              <w:bottom w:val="single" w:sz="8" w:space="0" w:color="auto"/>
              <w:right w:val="single" w:sz="4" w:space="0" w:color="auto"/>
            </w:tcBorders>
            <w:vAlign w:val="center"/>
            <w:hideMark/>
          </w:tcPr>
          <w:p w14:paraId="53B63FA1"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3%</w:t>
            </w:r>
          </w:p>
        </w:tc>
        <w:tc>
          <w:tcPr>
            <w:tcW w:w="811" w:type="dxa"/>
            <w:tcBorders>
              <w:top w:val="nil"/>
              <w:left w:val="nil"/>
              <w:bottom w:val="single" w:sz="8" w:space="0" w:color="auto"/>
              <w:right w:val="single" w:sz="4" w:space="0" w:color="auto"/>
            </w:tcBorders>
            <w:vAlign w:val="center"/>
            <w:hideMark/>
          </w:tcPr>
          <w:p w14:paraId="11B3F5D5"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w:t>
            </w:r>
          </w:p>
        </w:tc>
        <w:tc>
          <w:tcPr>
            <w:tcW w:w="811" w:type="dxa"/>
            <w:tcBorders>
              <w:top w:val="nil"/>
              <w:left w:val="nil"/>
              <w:bottom w:val="single" w:sz="8" w:space="0" w:color="auto"/>
              <w:right w:val="single" w:sz="4" w:space="0" w:color="auto"/>
            </w:tcBorders>
            <w:vAlign w:val="center"/>
            <w:hideMark/>
          </w:tcPr>
          <w:p w14:paraId="3FEAA6E6" w14:textId="77777777" w:rsidR="00717D69" w:rsidRPr="001D6F3C" w:rsidRDefault="00717D69" w:rsidP="00717D69">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6%</w:t>
            </w:r>
          </w:p>
        </w:tc>
        <w:tc>
          <w:tcPr>
            <w:tcW w:w="811" w:type="dxa"/>
            <w:tcBorders>
              <w:top w:val="nil"/>
              <w:left w:val="nil"/>
              <w:bottom w:val="single" w:sz="8" w:space="0" w:color="auto"/>
              <w:right w:val="single" w:sz="8" w:space="0" w:color="auto"/>
            </w:tcBorders>
            <w:vAlign w:val="center"/>
            <w:hideMark/>
          </w:tcPr>
          <w:p w14:paraId="4650A08C" w14:textId="77777777" w:rsidR="00717D69" w:rsidRPr="001D6F3C" w:rsidRDefault="00717D69" w:rsidP="00717D69">
            <w:pPr>
              <w:spacing w:before="0" w:after="0" w:line="240" w:lineRule="auto"/>
              <w:jc w:val="center"/>
              <w:rPr>
                <w:rFonts w:ascii="Corbel" w:eastAsia="Times New Roman" w:hAnsi="Corbel" w:cs="Times New Roman"/>
                <w:b/>
                <w:bCs/>
                <w:color w:val="000000"/>
                <w:sz w:val="15"/>
                <w:szCs w:val="15"/>
                <w:lang w:eastAsia="en-NZ"/>
              </w:rPr>
            </w:pPr>
            <w:r w:rsidRPr="001D6F3C">
              <w:rPr>
                <w:rFonts w:ascii="Corbel" w:eastAsia="Times New Roman" w:hAnsi="Corbel" w:cs="Times New Roman"/>
                <w:b/>
                <w:bCs/>
                <w:color w:val="000000"/>
                <w:sz w:val="15"/>
                <w:szCs w:val="15"/>
                <w:lang w:eastAsia="en-NZ"/>
              </w:rPr>
              <w:t>100%</w:t>
            </w:r>
          </w:p>
        </w:tc>
      </w:tr>
    </w:tbl>
    <w:p w14:paraId="093B4B6F" w14:textId="3BFDB9CD" w:rsidR="00774933" w:rsidRPr="001D6F3C" w:rsidRDefault="00252583" w:rsidP="00774933">
      <w:pPr>
        <w:spacing w:after="0"/>
        <w:jc w:val="both"/>
        <w:rPr>
          <w:rFonts w:ascii="Corbel" w:hAnsi="Corbel"/>
        </w:rPr>
      </w:pPr>
      <w:r w:rsidRPr="001D6F3C">
        <w:rPr>
          <w:rFonts w:ascii="Corbel" w:hAnsi="Corbel"/>
        </w:rPr>
        <w:t>T</w:t>
      </w:r>
      <w:r w:rsidR="006B742D" w:rsidRPr="001D6F3C">
        <w:rPr>
          <w:rFonts w:ascii="Corbel" w:hAnsi="Corbel"/>
        </w:rPr>
        <w:t xml:space="preserve">able </w:t>
      </w:r>
      <w:r w:rsidR="00655D2A" w:rsidRPr="001D6F3C">
        <w:rPr>
          <w:rFonts w:ascii="Corbel" w:hAnsi="Corbel"/>
        </w:rPr>
        <w:t xml:space="preserve">Four </w:t>
      </w:r>
      <w:r w:rsidR="006B742D" w:rsidRPr="001D6F3C">
        <w:rPr>
          <w:rFonts w:ascii="Corbel" w:hAnsi="Corbel"/>
        </w:rPr>
        <w:t>below shows</w:t>
      </w:r>
      <w:r w:rsidR="00542EB4" w:rsidRPr="001D6F3C">
        <w:rPr>
          <w:rFonts w:ascii="Corbel" w:hAnsi="Corbel"/>
        </w:rPr>
        <w:t xml:space="preserve"> </w:t>
      </w:r>
      <w:r w:rsidR="000D474C" w:rsidRPr="001D6F3C">
        <w:rPr>
          <w:rFonts w:ascii="Corbel" w:hAnsi="Corbel"/>
        </w:rPr>
        <w:t xml:space="preserve">rates of disadvantage and multiple disadvantage for </w:t>
      </w:r>
      <w:r w:rsidR="00542EB4" w:rsidRPr="001D6F3C">
        <w:rPr>
          <w:rFonts w:ascii="Corbel" w:hAnsi="Corbel"/>
        </w:rPr>
        <w:t>these duration groups</w:t>
      </w:r>
      <w:r w:rsidR="009254A6" w:rsidRPr="001D6F3C">
        <w:rPr>
          <w:rFonts w:ascii="Corbel" w:hAnsi="Corbel"/>
        </w:rPr>
        <w:t>.</w:t>
      </w:r>
      <w:r w:rsidR="004D4703" w:rsidRPr="001D6F3C">
        <w:rPr>
          <w:rFonts w:ascii="Corbel" w:hAnsi="Corbel"/>
        </w:rPr>
        <w:t xml:space="preserve"> </w:t>
      </w:r>
      <w:r w:rsidR="00BE734E" w:rsidRPr="001D6F3C">
        <w:rPr>
          <w:rFonts w:ascii="Corbel" w:hAnsi="Corbel"/>
        </w:rPr>
        <w:t>As might be expected, in every domain the rate of disadv</w:t>
      </w:r>
      <w:r w:rsidR="001C647F" w:rsidRPr="001D6F3C">
        <w:rPr>
          <w:rFonts w:ascii="Corbel" w:hAnsi="Corbel"/>
        </w:rPr>
        <w:t>antage</w:t>
      </w:r>
      <w:r w:rsidR="0035531F" w:rsidRPr="001D6F3C">
        <w:rPr>
          <w:rFonts w:ascii="Corbel" w:hAnsi="Corbel"/>
        </w:rPr>
        <w:t xml:space="preserve"> and multiple disadvantage</w:t>
      </w:r>
      <w:r w:rsidR="001C647F" w:rsidRPr="001D6F3C">
        <w:rPr>
          <w:rFonts w:ascii="Corbel" w:hAnsi="Corbel"/>
        </w:rPr>
        <w:t xml:space="preserve"> increases as </w:t>
      </w:r>
      <w:r w:rsidR="00693766" w:rsidRPr="001D6F3C">
        <w:rPr>
          <w:rFonts w:ascii="Corbel" w:hAnsi="Corbel"/>
        </w:rPr>
        <w:t>the proportion of time spent on benefit</w:t>
      </w:r>
      <w:r w:rsidR="001C647F" w:rsidRPr="001D6F3C">
        <w:rPr>
          <w:rFonts w:ascii="Corbel" w:hAnsi="Corbel"/>
        </w:rPr>
        <w:t xml:space="preserve"> increases</w:t>
      </w:r>
      <w:r w:rsidR="00774933" w:rsidRPr="001D6F3C">
        <w:rPr>
          <w:rFonts w:ascii="Corbel" w:hAnsi="Corbel"/>
        </w:rPr>
        <w:t>:</w:t>
      </w:r>
    </w:p>
    <w:p w14:paraId="6E7868B0" w14:textId="35C28005" w:rsidR="006B742D" w:rsidRPr="001D6F3C" w:rsidRDefault="00926D94" w:rsidP="0057492F">
      <w:pPr>
        <w:pStyle w:val="ListParagraph"/>
        <w:numPr>
          <w:ilvl w:val="0"/>
          <w:numId w:val="21"/>
        </w:numPr>
        <w:ind w:left="714" w:hanging="357"/>
        <w:contextualSpacing w:val="0"/>
        <w:jc w:val="both"/>
        <w:rPr>
          <w:rFonts w:ascii="Corbel" w:hAnsi="Corbel"/>
        </w:rPr>
      </w:pPr>
      <w:r w:rsidRPr="001D6F3C">
        <w:rPr>
          <w:rFonts w:ascii="Corbel" w:hAnsi="Corbel"/>
        </w:rPr>
        <w:t xml:space="preserve">Those who spent some of the period 55-65 on benefit </w:t>
      </w:r>
      <w:r w:rsidR="00603E16" w:rsidRPr="001D6F3C">
        <w:rPr>
          <w:rFonts w:ascii="Corbel" w:hAnsi="Corbel"/>
        </w:rPr>
        <w:t xml:space="preserve">were </w:t>
      </w:r>
      <w:r w:rsidRPr="001D6F3C">
        <w:rPr>
          <w:rFonts w:ascii="Corbel" w:hAnsi="Corbel"/>
        </w:rPr>
        <w:t xml:space="preserve">more likely to experience multiple disadvantage, and those who </w:t>
      </w:r>
      <w:r w:rsidR="00603E16" w:rsidRPr="001D6F3C">
        <w:rPr>
          <w:rFonts w:ascii="Corbel" w:hAnsi="Corbel"/>
        </w:rPr>
        <w:t xml:space="preserve">spent </w:t>
      </w:r>
      <w:proofErr w:type="gramStart"/>
      <w:r w:rsidRPr="001D6F3C">
        <w:rPr>
          <w:rFonts w:ascii="Corbel" w:hAnsi="Corbel"/>
        </w:rPr>
        <w:t>the majority of</w:t>
      </w:r>
      <w:proofErr w:type="gramEnd"/>
      <w:r w:rsidRPr="001D6F3C">
        <w:rPr>
          <w:rFonts w:ascii="Corbel" w:hAnsi="Corbel"/>
        </w:rPr>
        <w:t xml:space="preserve"> their time </w:t>
      </w:r>
      <w:r w:rsidR="00603E16" w:rsidRPr="001D6F3C">
        <w:rPr>
          <w:rFonts w:ascii="Corbel" w:hAnsi="Corbel"/>
        </w:rPr>
        <w:t xml:space="preserve">were </w:t>
      </w:r>
      <w:r w:rsidRPr="001D6F3C">
        <w:rPr>
          <w:rFonts w:ascii="Corbel" w:hAnsi="Corbel"/>
        </w:rPr>
        <w:t>much more likely.</w:t>
      </w:r>
    </w:p>
    <w:p w14:paraId="61DF4E7B" w14:textId="40FA9F9A" w:rsidR="003437AD" w:rsidRPr="001D6F3C" w:rsidRDefault="003437AD" w:rsidP="0057492F">
      <w:pPr>
        <w:pStyle w:val="ListParagraph"/>
        <w:numPr>
          <w:ilvl w:val="0"/>
          <w:numId w:val="21"/>
        </w:numPr>
        <w:ind w:left="714" w:hanging="357"/>
        <w:contextualSpacing w:val="0"/>
        <w:jc w:val="both"/>
        <w:rPr>
          <w:rFonts w:ascii="Corbel" w:hAnsi="Corbel"/>
        </w:rPr>
      </w:pPr>
      <w:r w:rsidRPr="001D6F3C">
        <w:rPr>
          <w:rFonts w:ascii="Corbel" w:hAnsi="Corbel"/>
        </w:rPr>
        <w:t xml:space="preserve">There are around 50,000 older people who were on benefit for the vast majority or </w:t>
      </w:r>
      <w:proofErr w:type="gramStart"/>
      <w:r w:rsidRPr="001D6F3C">
        <w:rPr>
          <w:rFonts w:ascii="Corbel" w:hAnsi="Corbel"/>
        </w:rPr>
        <w:t>all of</w:t>
      </w:r>
      <w:proofErr w:type="gramEnd"/>
      <w:r w:rsidRPr="001D6F3C">
        <w:rPr>
          <w:rFonts w:ascii="Corbel" w:hAnsi="Corbel"/>
        </w:rPr>
        <w:t xml:space="preserve"> the decade prior to reaching age 65, who experience</w:t>
      </w:r>
      <w:r w:rsidR="00603E16" w:rsidRPr="001D6F3C">
        <w:rPr>
          <w:rFonts w:ascii="Corbel" w:hAnsi="Corbel"/>
        </w:rPr>
        <w:t>d</w:t>
      </w:r>
      <w:r w:rsidRPr="001D6F3C">
        <w:rPr>
          <w:rFonts w:ascii="Corbel" w:hAnsi="Corbel"/>
        </w:rPr>
        <w:t xml:space="preserve"> high rates of disadvantage and multiple disadvantage. </w:t>
      </w:r>
      <w:r w:rsidR="00156216" w:rsidRPr="001D6F3C">
        <w:rPr>
          <w:rFonts w:ascii="Corbel" w:hAnsi="Corbel"/>
        </w:rPr>
        <w:t xml:space="preserve">Of </w:t>
      </w:r>
      <w:r w:rsidR="00603E16" w:rsidRPr="001D6F3C">
        <w:rPr>
          <w:rFonts w:ascii="Corbel" w:hAnsi="Corbel"/>
        </w:rPr>
        <w:t>this</w:t>
      </w:r>
      <w:r w:rsidR="00156216" w:rsidRPr="001D6F3C">
        <w:rPr>
          <w:rFonts w:ascii="Corbel" w:hAnsi="Corbel"/>
        </w:rPr>
        <w:t xml:space="preserve"> group, </w:t>
      </w:r>
      <w:r w:rsidRPr="001D6F3C">
        <w:rPr>
          <w:rFonts w:ascii="Corbel" w:hAnsi="Corbel"/>
        </w:rPr>
        <w:t xml:space="preserve">44% </w:t>
      </w:r>
      <w:r w:rsidR="00603E16" w:rsidRPr="001D6F3C">
        <w:rPr>
          <w:rFonts w:ascii="Corbel" w:hAnsi="Corbel"/>
        </w:rPr>
        <w:t xml:space="preserve">had </w:t>
      </w:r>
      <w:r w:rsidRPr="001D6F3C">
        <w:rPr>
          <w:rFonts w:ascii="Corbel" w:hAnsi="Corbel"/>
        </w:rPr>
        <w:t>2+ disadvantages and 16% experience</w:t>
      </w:r>
      <w:r w:rsidR="00603E16" w:rsidRPr="001D6F3C">
        <w:rPr>
          <w:rFonts w:ascii="Corbel" w:hAnsi="Corbel"/>
        </w:rPr>
        <w:t>d</w:t>
      </w:r>
      <w:r w:rsidRPr="001D6F3C">
        <w:rPr>
          <w:rFonts w:ascii="Corbel" w:hAnsi="Corbel"/>
        </w:rPr>
        <w:t xml:space="preserve"> 3+ disadvantages. </w:t>
      </w:r>
    </w:p>
    <w:p w14:paraId="11D0148F" w14:textId="1A6DF0A4" w:rsidR="00817E14" w:rsidRPr="001D6F3C" w:rsidRDefault="00655D2A" w:rsidP="00817E14">
      <w:pPr>
        <w:pStyle w:val="Caption"/>
        <w:keepNext/>
      </w:pPr>
      <w:bookmarkStart w:id="46" w:name="_Toc203647402"/>
      <w:r w:rsidRPr="001D6F3C">
        <w:t xml:space="preserve">Table </w:t>
      </w:r>
      <w:r w:rsidRPr="001D6F3C">
        <w:fldChar w:fldCharType="begin"/>
      </w:r>
      <w:r w:rsidRPr="001D6F3C">
        <w:instrText xml:space="preserve"> SEQ Table \* ARABIC </w:instrText>
      </w:r>
      <w:r w:rsidRPr="001D6F3C">
        <w:fldChar w:fldCharType="separate"/>
      </w:r>
      <w:r w:rsidR="00D048DB" w:rsidRPr="001D6F3C">
        <w:rPr>
          <w:noProof/>
        </w:rPr>
        <w:t>5</w:t>
      </w:r>
      <w:r w:rsidRPr="001D6F3C">
        <w:fldChar w:fldCharType="end"/>
      </w:r>
      <w:r w:rsidRPr="001D6F3C">
        <w:t xml:space="preserve"> </w:t>
      </w:r>
      <w:r w:rsidR="00817E14" w:rsidRPr="001D6F3C">
        <w:t xml:space="preserve">– Rate of </w:t>
      </w:r>
      <w:r w:rsidR="004D4703" w:rsidRPr="001D6F3C">
        <w:t xml:space="preserve">each </w:t>
      </w:r>
      <w:r w:rsidR="00817E14" w:rsidRPr="001D6F3C">
        <w:t>disadvantage for those 65+ - by % of time on benefit aged 55-65</w:t>
      </w:r>
      <w:bookmarkEnd w:id="46"/>
    </w:p>
    <w:tbl>
      <w:tblPr>
        <w:tblW w:w="9108" w:type="dxa"/>
        <w:tblLook w:val="04A0" w:firstRow="1" w:lastRow="0" w:firstColumn="1" w:lastColumn="0" w:noHBand="0" w:noVBand="1"/>
      </w:tblPr>
      <w:tblGrid>
        <w:gridCol w:w="1012"/>
        <w:gridCol w:w="1012"/>
        <w:gridCol w:w="1012"/>
        <w:gridCol w:w="1012"/>
        <w:gridCol w:w="1012"/>
        <w:gridCol w:w="1012"/>
        <w:gridCol w:w="1012"/>
        <w:gridCol w:w="1012"/>
        <w:gridCol w:w="1012"/>
      </w:tblGrid>
      <w:tr w:rsidR="0066057A" w:rsidRPr="001D6F3C" w14:paraId="5C67B2A8" w14:textId="0A315D37" w:rsidTr="0066057A">
        <w:trPr>
          <w:trHeight w:val="837"/>
        </w:trPr>
        <w:tc>
          <w:tcPr>
            <w:tcW w:w="10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B62B80" w14:textId="225F8394"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 time on benefit</w:t>
            </w:r>
          </w:p>
          <w:p w14:paraId="7414B9DC" w14:textId="10B47340"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age 55-65</w:t>
            </w:r>
          </w:p>
        </w:tc>
        <w:tc>
          <w:tcPr>
            <w:tcW w:w="10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B2CD3" w14:textId="77777777"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Total number of 65+</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6376E4" w14:textId="77777777"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Health</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D4D34F" w14:textId="77777777"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Financial</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B464D" w14:textId="77777777"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Housing</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4F88D" w14:textId="77777777"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Social</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400760" w14:textId="77777777" w:rsidR="0066057A" w:rsidRPr="001D6F3C" w:rsidRDefault="0066057A" w:rsidP="00FC349F">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Access</w:t>
            </w:r>
          </w:p>
        </w:tc>
        <w:tc>
          <w:tcPr>
            <w:tcW w:w="1012" w:type="dxa"/>
            <w:tcBorders>
              <w:top w:val="single" w:sz="4" w:space="0" w:color="auto"/>
              <w:left w:val="single" w:sz="4" w:space="0" w:color="auto"/>
              <w:bottom w:val="single" w:sz="4" w:space="0" w:color="auto"/>
              <w:right w:val="single" w:sz="4" w:space="0" w:color="auto"/>
            </w:tcBorders>
            <w:shd w:val="clear" w:color="000000" w:fill="FFFFFF"/>
            <w:vAlign w:val="center"/>
          </w:tcPr>
          <w:p w14:paraId="22D1B729" w14:textId="5E1F6166" w:rsidR="0066057A" w:rsidRPr="001D6F3C" w:rsidRDefault="0066057A" w:rsidP="0066057A">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2+</w:t>
            </w:r>
          </w:p>
        </w:tc>
        <w:tc>
          <w:tcPr>
            <w:tcW w:w="1012" w:type="dxa"/>
            <w:tcBorders>
              <w:top w:val="single" w:sz="4" w:space="0" w:color="auto"/>
              <w:left w:val="single" w:sz="4" w:space="0" w:color="auto"/>
              <w:bottom w:val="single" w:sz="4" w:space="0" w:color="auto"/>
              <w:right w:val="single" w:sz="4" w:space="0" w:color="auto"/>
            </w:tcBorders>
            <w:shd w:val="clear" w:color="000000" w:fill="FFFFFF"/>
            <w:vAlign w:val="center"/>
          </w:tcPr>
          <w:p w14:paraId="626C71DD" w14:textId="130116DD" w:rsidR="0066057A" w:rsidRPr="001D6F3C" w:rsidRDefault="0066057A" w:rsidP="0066057A">
            <w:pPr>
              <w:spacing w:before="0" w:after="0" w:line="240" w:lineRule="auto"/>
              <w:jc w:val="center"/>
              <w:rPr>
                <w:rFonts w:ascii="Corbel" w:eastAsia="Times New Roman" w:hAnsi="Corbel" w:cs="Times New Roman"/>
                <w:b/>
                <w:bCs/>
                <w:color w:val="000000"/>
                <w:sz w:val="16"/>
                <w:szCs w:val="16"/>
                <w:lang w:eastAsia="en-NZ"/>
              </w:rPr>
            </w:pPr>
            <w:r w:rsidRPr="001D6F3C">
              <w:rPr>
                <w:rFonts w:ascii="Corbel" w:eastAsia="Times New Roman" w:hAnsi="Corbel" w:cs="Times New Roman"/>
                <w:b/>
                <w:bCs/>
                <w:color w:val="000000"/>
                <w:sz w:val="16"/>
                <w:szCs w:val="16"/>
                <w:lang w:eastAsia="en-NZ"/>
              </w:rPr>
              <w:t>3+</w:t>
            </w:r>
          </w:p>
        </w:tc>
      </w:tr>
      <w:tr w:rsidR="0066057A" w:rsidRPr="001D6F3C" w14:paraId="75788953" w14:textId="4D0D96FB" w:rsidTr="009A2088">
        <w:trPr>
          <w:trHeight w:val="271"/>
        </w:trPr>
        <w:tc>
          <w:tcPr>
            <w:tcW w:w="1012" w:type="dxa"/>
            <w:tcBorders>
              <w:top w:val="nil"/>
              <w:left w:val="single" w:sz="4" w:space="0" w:color="auto"/>
              <w:bottom w:val="nil"/>
              <w:right w:val="single" w:sz="4" w:space="0" w:color="auto"/>
            </w:tcBorders>
            <w:noWrap/>
            <w:vAlign w:val="center"/>
            <w:hideMark/>
          </w:tcPr>
          <w:p w14:paraId="113DCD7F"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0</w:t>
            </w:r>
          </w:p>
        </w:tc>
        <w:tc>
          <w:tcPr>
            <w:tcW w:w="1012" w:type="dxa"/>
            <w:tcBorders>
              <w:top w:val="nil"/>
              <w:left w:val="single" w:sz="4" w:space="0" w:color="auto"/>
              <w:bottom w:val="nil"/>
              <w:right w:val="single" w:sz="4" w:space="0" w:color="auto"/>
            </w:tcBorders>
            <w:noWrap/>
            <w:vAlign w:val="center"/>
            <w:hideMark/>
          </w:tcPr>
          <w:p w14:paraId="0B013B49" w14:textId="29EA117C"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596,886</w:t>
            </w:r>
          </w:p>
        </w:tc>
        <w:tc>
          <w:tcPr>
            <w:tcW w:w="1012" w:type="dxa"/>
            <w:tcBorders>
              <w:top w:val="nil"/>
              <w:left w:val="single" w:sz="4" w:space="0" w:color="auto"/>
              <w:bottom w:val="nil"/>
              <w:right w:val="single" w:sz="4" w:space="0" w:color="auto"/>
            </w:tcBorders>
            <w:noWrap/>
            <w:vAlign w:val="center"/>
            <w:hideMark/>
          </w:tcPr>
          <w:p w14:paraId="494C1132"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22%</w:t>
            </w:r>
          </w:p>
        </w:tc>
        <w:tc>
          <w:tcPr>
            <w:tcW w:w="1012" w:type="dxa"/>
            <w:tcBorders>
              <w:top w:val="nil"/>
              <w:left w:val="single" w:sz="4" w:space="0" w:color="auto"/>
              <w:bottom w:val="nil"/>
              <w:right w:val="single" w:sz="4" w:space="0" w:color="auto"/>
            </w:tcBorders>
            <w:noWrap/>
            <w:vAlign w:val="center"/>
            <w:hideMark/>
          </w:tcPr>
          <w:p w14:paraId="063C956B"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w:t>
            </w:r>
          </w:p>
        </w:tc>
        <w:tc>
          <w:tcPr>
            <w:tcW w:w="1012" w:type="dxa"/>
            <w:tcBorders>
              <w:top w:val="nil"/>
              <w:left w:val="single" w:sz="4" w:space="0" w:color="auto"/>
              <w:bottom w:val="nil"/>
              <w:right w:val="single" w:sz="4" w:space="0" w:color="auto"/>
            </w:tcBorders>
            <w:noWrap/>
            <w:vAlign w:val="center"/>
            <w:hideMark/>
          </w:tcPr>
          <w:p w14:paraId="5D3CCCB6"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12%</w:t>
            </w:r>
          </w:p>
        </w:tc>
        <w:tc>
          <w:tcPr>
            <w:tcW w:w="1012" w:type="dxa"/>
            <w:tcBorders>
              <w:top w:val="nil"/>
              <w:left w:val="single" w:sz="4" w:space="0" w:color="auto"/>
              <w:bottom w:val="nil"/>
              <w:right w:val="single" w:sz="4" w:space="0" w:color="auto"/>
            </w:tcBorders>
            <w:noWrap/>
            <w:vAlign w:val="center"/>
            <w:hideMark/>
          </w:tcPr>
          <w:p w14:paraId="00864DB8"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12%</w:t>
            </w:r>
          </w:p>
        </w:tc>
        <w:tc>
          <w:tcPr>
            <w:tcW w:w="1012" w:type="dxa"/>
            <w:tcBorders>
              <w:top w:val="nil"/>
              <w:left w:val="single" w:sz="4" w:space="0" w:color="auto"/>
              <w:bottom w:val="nil"/>
              <w:right w:val="single" w:sz="4" w:space="0" w:color="auto"/>
            </w:tcBorders>
            <w:noWrap/>
            <w:vAlign w:val="center"/>
            <w:hideMark/>
          </w:tcPr>
          <w:p w14:paraId="3B603907"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4%</w:t>
            </w:r>
          </w:p>
        </w:tc>
        <w:tc>
          <w:tcPr>
            <w:tcW w:w="1012" w:type="dxa"/>
            <w:tcBorders>
              <w:top w:val="nil"/>
              <w:left w:val="single" w:sz="4" w:space="0" w:color="auto"/>
              <w:bottom w:val="nil"/>
              <w:right w:val="single" w:sz="4" w:space="0" w:color="auto"/>
            </w:tcBorders>
            <w:vAlign w:val="center"/>
          </w:tcPr>
          <w:p w14:paraId="1D65FF84" w14:textId="25244C74"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9%</w:t>
            </w:r>
          </w:p>
        </w:tc>
        <w:tc>
          <w:tcPr>
            <w:tcW w:w="1012" w:type="dxa"/>
            <w:tcBorders>
              <w:top w:val="nil"/>
              <w:left w:val="single" w:sz="4" w:space="0" w:color="auto"/>
              <w:bottom w:val="nil"/>
              <w:right w:val="single" w:sz="4" w:space="0" w:color="auto"/>
            </w:tcBorders>
            <w:vAlign w:val="center"/>
          </w:tcPr>
          <w:p w14:paraId="6D0826BE" w14:textId="7C95D2CE"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2%</w:t>
            </w:r>
          </w:p>
        </w:tc>
      </w:tr>
      <w:tr w:rsidR="0066057A" w:rsidRPr="001D6F3C" w14:paraId="5824C853" w14:textId="79DF6A33" w:rsidTr="009A2088">
        <w:trPr>
          <w:trHeight w:val="271"/>
        </w:trPr>
        <w:tc>
          <w:tcPr>
            <w:tcW w:w="1012" w:type="dxa"/>
            <w:tcBorders>
              <w:top w:val="nil"/>
              <w:left w:val="single" w:sz="4" w:space="0" w:color="auto"/>
              <w:bottom w:val="nil"/>
              <w:right w:val="single" w:sz="4" w:space="0" w:color="auto"/>
            </w:tcBorders>
            <w:noWrap/>
            <w:vAlign w:val="center"/>
            <w:hideMark/>
          </w:tcPr>
          <w:p w14:paraId="2C391AE8"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&gt;0-20%</w:t>
            </w:r>
          </w:p>
        </w:tc>
        <w:tc>
          <w:tcPr>
            <w:tcW w:w="1012" w:type="dxa"/>
            <w:tcBorders>
              <w:top w:val="nil"/>
              <w:left w:val="single" w:sz="4" w:space="0" w:color="auto"/>
              <w:bottom w:val="nil"/>
              <w:right w:val="single" w:sz="4" w:space="0" w:color="auto"/>
            </w:tcBorders>
            <w:noWrap/>
            <w:vAlign w:val="center"/>
            <w:hideMark/>
          </w:tcPr>
          <w:p w14:paraId="25CA0389"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73,305</w:t>
            </w:r>
          </w:p>
        </w:tc>
        <w:tc>
          <w:tcPr>
            <w:tcW w:w="1012" w:type="dxa"/>
            <w:tcBorders>
              <w:top w:val="nil"/>
              <w:left w:val="single" w:sz="4" w:space="0" w:color="auto"/>
              <w:bottom w:val="nil"/>
              <w:right w:val="single" w:sz="4" w:space="0" w:color="auto"/>
            </w:tcBorders>
            <w:noWrap/>
            <w:vAlign w:val="center"/>
            <w:hideMark/>
          </w:tcPr>
          <w:p w14:paraId="51F65CA9"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30%</w:t>
            </w:r>
          </w:p>
        </w:tc>
        <w:tc>
          <w:tcPr>
            <w:tcW w:w="1012" w:type="dxa"/>
            <w:tcBorders>
              <w:top w:val="nil"/>
              <w:left w:val="single" w:sz="4" w:space="0" w:color="auto"/>
              <w:bottom w:val="nil"/>
              <w:right w:val="single" w:sz="4" w:space="0" w:color="auto"/>
            </w:tcBorders>
            <w:noWrap/>
            <w:vAlign w:val="center"/>
            <w:hideMark/>
          </w:tcPr>
          <w:p w14:paraId="734D9A94"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16%</w:t>
            </w:r>
          </w:p>
        </w:tc>
        <w:tc>
          <w:tcPr>
            <w:tcW w:w="1012" w:type="dxa"/>
            <w:tcBorders>
              <w:top w:val="nil"/>
              <w:left w:val="single" w:sz="4" w:space="0" w:color="auto"/>
              <w:bottom w:val="nil"/>
              <w:right w:val="single" w:sz="4" w:space="0" w:color="auto"/>
            </w:tcBorders>
            <w:noWrap/>
            <w:vAlign w:val="center"/>
            <w:hideMark/>
          </w:tcPr>
          <w:p w14:paraId="03302225"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19%</w:t>
            </w:r>
          </w:p>
        </w:tc>
        <w:tc>
          <w:tcPr>
            <w:tcW w:w="1012" w:type="dxa"/>
            <w:tcBorders>
              <w:top w:val="nil"/>
              <w:left w:val="single" w:sz="4" w:space="0" w:color="auto"/>
              <w:bottom w:val="nil"/>
              <w:right w:val="single" w:sz="4" w:space="0" w:color="auto"/>
            </w:tcBorders>
            <w:noWrap/>
            <w:vAlign w:val="center"/>
            <w:hideMark/>
          </w:tcPr>
          <w:p w14:paraId="689A9B03"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17%</w:t>
            </w:r>
          </w:p>
        </w:tc>
        <w:tc>
          <w:tcPr>
            <w:tcW w:w="1012" w:type="dxa"/>
            <w:tcBorders>
              <w:top w:val="nil"/>
              <w:left w:val="single" w:sz="4" w:space="0" w:color="auto"/>
              <w:bottom w:val="nil"/>
              <w:right w:val="single" w:sz="4" w:space="0" w:color="auto"/>
            </w:tcBorders>
            <w:noWrap/>
            <w:vAlign w:val="center"/>
            <w:hideMark/>
          </w:tcPr>
          <w:p w14:paraId="0E39BD6D"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6%</w:t>
            </w:r>
          </w:p>
        </w:tc>
        <w:tc>
          <w:tcPr>
            <w:tcW w:w="1012" w:type="dxa"/>
            <w:tcBorders>
              <w:top w:val="nil"/>
              <w:left w:val="single" w:sz="4" w:space="0" w:color="auto"/>
              <w:bottom w:val="nil"/>
              <w:right w:val="single" w:sz="4" w:space="0" w:color="auto"/>
            </w:tcBorders>
            <w:vAlign w:val="center"/>
          </w:tcPr>
          <w:p w14:paraId="0AFA143A" w14:textId="1AC532C8"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21%</w:t>
            </w:r>
          </w:p>
        </w:tc>
        <w:tc>
          <w:tcPr>
            <w:tcW w:w="1012" w:type="dxa"/>
            <w:tcBorders>
              <w:top w:val="nil"/>
              <w:left w:val="single" w:sz="4" w:space="0" w:color="auto"/>
              <w:bottom w:val="nil"/>
              <w:right w:val="single" w:sz="4" w:space="0" w:color="auto"/>
            </w:tcBorders>
            <w:vAlign w:val="center"/>
          </w:tcPr>
          <w:p w14:paraId="36E6A58D" w14:textId="1A39E592"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5%</w:t>
            </w:r>
          </w:p>
        </w:tc>
      </w:tr>
      <w:tr w:rsidR="0066057A" w:rsidRPr="001D6F3C" w14:paraId="4CC06454" w14:textId="13D35E3A" w:rsidTr="009A2088">
        <w:trPr>
          <w:trHeight w:val="271"/>
        </w:trPr>
        <w:tc>
          <w:tcPr>
            <w:tcW w:w="1012" w:type="dxa"/>
            <w:tcBorders>
              <w:top w:val="nil"/>
              <w:left w:val="single" w:sz="4" w:space="0" w:color="auto"/>
              <w:bottom w:val="nil"/>
              <w:right w:val="single" w:sz="4" w:space="0" w:color="auto"/>
            </w:tcBorders>
            <w:noWrap/>
            <w:vAlign w:val="center"/>
            <w:hideMark/>
          </w:tcPr>
          <w:p w14:paraId="16260E2B"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20-40%</w:t>
            </w:r>
          </w:p>
        </w:tc>
        <w:tc>
          <w:tcPr>
            <w:tcW w:w="1012" w:type="dxa"/>
            <w:tcBorders>
              <w:top w:val="nil"/>
              <w:left w:val="single" w:sz="4" w:space="0" w:color="auto"/>
              <w:bottom w:val="nil"/>
              <w:right w:val="single" w:sz="4" w:space="0" w:color="auto"/>
            </w:tcBorders>
            <w:noWrap/>
            <w:vAlign w:val="center"/>
            <w:hideMark/>
          </w:tcPr>
          <w:p w14:paraId="4CFA3E51"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31,998</w:t>
            </w:r>
          </w:p>
        </w:tc>
        <w:tc>
          <w:tcPr>
            <w:tcW w:w="1012" w:type="dxa"/>
            <w:tcBorders>
              <w:top w:val="nil"/>
              <w:left w:val="single" w:sz="4" w:space="0" w:color="auto"/>
              <w:bottom w:val="nil"/>
              <w:right w:val="single" w:sz="4" w:space="0" w:color="auto"/>
            </w:tcBorders>
            <w:noWrap/>
            <w:vAlign w:val="center"/>
            <w:hideMark/>
          </w:tcPr>
          <w:p w14:paraId="37359A32"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34%</w:t>
            </w:r>
          </w:p>
        </w:tc>
        <w:tc>
          <w:tcPr>
            <w:tcW w:w="1012" w:type="dxa"/>
            <w:tcBorders>
              <w:top w:val="nil"/>
              <w:left w:val="single" w:sz="4" w:space="0" w:color="auto"/>
              <w:bottom w:val="nil"/>
              <w:right w:val="single" w:sz="4" w:space="0" w:color="auto"/>
            </w:tcBorders>
            <w:noWrap/>
            <w:vAlign w:val="center"/>
            <w:hideMark/>
          </w:tcPr>
          <w:p w14:paraId="1E6931CE"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23%</w:t>
            </w:r>
          </w:p>
        </w:tc>
        <w:tc>
          <w:tcPr>
            <w:tcW w:w="1012" w:type="dxa"/>
            <w:tcBorders>
              <w:top w:val="nil"/>
              <w:left w:val="single" w:sz="4" w:space="0" w:color="auto"/>
              <w:bottom w:val="nil"/>
              <w:right w:val="single" w:sz="4" w:space="0" w:color="auto"/>
            </w:tcBorders>
            <w:noWrap/>
            <w:vAlign w:val="center"/>
            <w:hideMark/>
          </w:tcPr>
          <w:p w14:paraId="44A863CF"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21%</w:t>
            </w:r>
          </w:p>
        </w:tc>
        <w:tc>
          <w:tcPr>
            <w:tcW w:w="1012" w:type="dxa"/>
            <w:tcBorders>
              <w:top w:val="nil"/>
              <w:left w:val="single" w:sz="4" w:space="0" w:color="auto"/>
              <w:bottom w:val="nil"/>
              <w:right w:val="single" w:sz="4" w:space="0" w:color="auto"/>
            </w:tcBorders>
            <w:noWrap/>
            <w:vAlign w:val="center"/>
            <w:hideMark/>
          </w:tcPr>
          <w:p w14:paraId="0B09C9FA"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19%</w:t>
            </w:r>
          </w:p>
        </w:tc>
        <w:tc>
          <w:tcPr>
            <w:tcW w:w="1012" w:type="dxa"/>
            <w:tcBorders>
              <w:top w:val="nil"/>
              <w:left w:val="single" w:sz="4" w:space="0" w:color="auto"/>
              <w:bottom w:val="nil"/>
              <w:right w:val="single" w:sz="4" w:space="0" w:color="auto"/>
            </w:tcBorders>
            <w:noWrap/>
            <w:vAlign w:val="center"/>
            <w:hideMark/>
          </w:tcPr>
          <w:p w14:paraId="11964421"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9%</w:t>
            </w:r>
          </w:p>
        </w:tc>
        <w:tc>
          <w:tcPr>
            <w:tcW w:w="1012" w:type="dxa"/>
            <w:tcBorders>
              <w:top w:val="nil"/>
              <w:left w:val="single" w:sz="4" w:space="0" w:color="auto"/>
              <w:bottom w:val="nil"/>
              <w:right w:val="single" w:sz="4" w:space="0" w:color="auto"/>
            </w:tcBorders>
            <w:vAlign w:val="center"/>
          </w:tcPr>
          <w:p w14:paraId="2ED2963C" w14:textId="3A28CD62"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28%</w:t>
            </w:r>
          </w:p>
        </w:tc>
        <w:tc>
          <w:tcPr>
            <w:tcW w:w="1012" w:type="dxa"/>
            <w:tcBorders>
              <w:top w:val="nil"/>
              <w:left w:val="single" w:sz="4" w:space="0" w:color="auto"/>
              <w:bottom w:val="nil"/>
              <w:right w:val="single" w:sz="4" w:space="0" w:color="auto"/>
            </w:tcBorders>
            <w:vAlign w:val="center"/>
          </w:tcPr>
          <w:p w14:paraId="5FDA5A5B" w14:textId="4A5BFD0C"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8%</w:t>
            </w:r>
          </w:p>
        </w:tc>
      </w:tr>
      <w:tr w:rsidR="0066057A" w:rsidRPr="001D6F3C" w14:paraId="5035D536" w14:textId="5178FC8F" w:rsidTr="009A2088">
        <w:trPr>
          <w:trHeight w:val="271"/>
        </w:trPr>
        <w:tc>
          <w:tcPr>
            <w:tcW w:w="1012" w:type="dxa"/>
            <w:tcBorders>
              <w:top w:val="nil"/>
              <w:left w:val="single" w:sz="4" w:space="0" w:color="auto"/>
              <w:bottom w:val="nil"/>
              <w:right w:val="single" w:sz="4" w:space="0" w:color="auto"/>
            </w:tcBorders>
            <w:noWrap/>
            <w:vAlign w:val="center"/>
            <w:hideMark/>
          </w:tcPr>
          <w:p w14:paraId="0BD5C927"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40-60%</w:t>
            </w:r>
          </w:p>
        </w:tc>
        <w:tc>
          <w:tcPr>
            <w:tcW w:w="1012" w:type="dxa"/>
            <w:tcBorders>
              <w:top w:val="nil"/>
              <w:left w:val="single" w:sz="4" w:space="0" w:color="auto"/>
              <w:bottom w:val="nil"/>
              <w:right w:val="single" w:sz="4" w:space="0" w:color="auto"/>
            </w:tcBorders>
            <w:noWrap/>
            <w:vAlign w:val="center"/>
            <w:hideMark/>
          </w:tcPr>
          <w:p w14:paraId="2392A075"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22,701</w:t>
            </w:r>
          </w:p>
        </w:tc>
        <w:tc>
          <w:tcPr>
            <w:tcW w:w="1012" w:type="dxa"/>
            <w:tcBorders>
              <w:top w:val="nil"/>
              <w:left w:val="single" w:sz="4" w:space="0" w:color="auto"/>
              <w:bottom w:val="nil"/>
              <w:right w:val="single" w:sz="4" w:space="0" w:color="auto"/>
            </w:tcBorders>
            <w:noWrap/>
            <w:vAlign w:val="center"/>
            <w:hideMark/>
          </w:tcPr>
          <w:p w14:paraId="4B226053"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36%</w:t>
            </w:r>
          </w:p>
        </w:tc>
        <w:tc>
          <w:tcPr>
            <w:tcW w:w="1012" w:type="dxa"/>
            <w:tcBorders>
              <w:top w:val="nil"/>
              <w:left w:val="single" w:sz="4" w:space="0" w:color="auto"/>
              <w:bottom w:val="nil"/>
              <w:right w:val="single" w:sz="4" w:space="0" w:color="auto"/>
            </w:tcBorders>
            <w:noWrap/>
            <w:vAlign w:val="center"/>
            <w:hideMark/>
          </w:tcPr>
          <w:p w14:paraId="00D6365C"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28%</w:t>
            </w:r>
          </w:p>
        </w:tc>
        <w:tc>
          <w:tcPr>
            <w:tcW w:w="1012" w:type="dxa"/>
            <w:tcBorders>
              <w:top w:val="nil"/>
              <w:left w:val="single" w:sz="4" w:space="0" w:color="auto"/>
              <w:bottom w:val="nil"/>
              <w:right w:val="single" w:sz="4" w:space="0" w:color="auto"/>
            </w:tcBorders>
            <w:noWrap/>
            <w:vAlign w:val="center"/>
            <w:hideMark/>
          </w:tcPr>
          <w:p w14:paraId="34F0119C"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23%</w:t>
            </w:r>
          </w:p>
        </w:tc>
        <w:tc>
          <w:tcPr>
            <w:tcW w:w="1012" w:type="dxa"/>
            <w:tcBorders>
              <w:top w:val="nil"/>
              <w:left w:val="single" w:sz="4" w:space="0" w:color="auto"/>
              <w:bottom w:val="nil"/>
              <w:right w:val="single" w:sz="4" w:space="0" w:color="auto"/>
            </w:tcBorders>
            <w:noWrap/>
            <w:vAlign w:val="center"/>
            <w:hideMark/>
          </w:tcPr>
          <w:p w14:paraId="78E04B43"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19%</w:t>
            </w:r>
          </w:p>
        </w:tc>
        <w:tc>
          <w:tcPr>
            <w:tcW w:w="1012" w:type="dxa"/>
            <w:tcBorders>
              <w:top w:val="nil"/>
              <w:left w:val="single" w:sz="4" w:space="0" w:color="auto"/>
              <w:bottom w:val="nil"/>
              <w:right w:val="single" w:sz="4" w:space="0" w:color="auto"/>
            </w:tcBorders>
            <w:noWrap/>
            <w:vAlign w:val="center"/>
            <w:hideMark/>
          </w:tcPr>
          <w:p w14:paraId="4FB43A85"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10%</w:t>
            </w:r>
          </w:p>
        </w:tc>
        <w:tc>
          <w:tcPr>
            <w:tcW w:w="1012" w:type="dxa"/>
            <w:tcBorders>
              <w:top w:val="nil"/>
              <w:left w:val="single" w:sz="4" w:space="0" w:color="auto"/>
              <w:bottom w:val="nil"/>
              <w:right w:val="single" w:sz="4" w:space="0" w:color="auto"/>
            </w:tcBorders>
            <w:vAlign w:val="center"/>
          </w:tcPr>
          <w:p w14:paraId="297DCE06" w14:textId="46078409"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32%</w:t>
            </w:r>
          </w:p>
        </w:tc>
        <w:tc>
          <w:tcPr>
            <w:tcW w:w="1012" w:type="dxa"/>
            <w:tcBorders>
              <w:top w:val="nil"/>
              <w:left w:val="single" w:sz="4" w:space="0" w:color="auto"/>
              <w:bottom w:val="nil"/>
              <w:right w:val="single" w:sz="4" w:space="0" w:color="auto"/>
            </w:tcBorders>
            <w:vAlign w:val="center"/>
          </w:tcPr>
          <w:p w14:paraId="5A55737A" w14:textId="29611C78"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10%</w:t>
            </w:r>
          </w:p>
        </w:tc>
      </w:tr>
      <w:tr w:rsidR="0066057A" w:rsidRPr="001D6F3C" w14:paraId="37F258CC" w14:textId="68BFA438" w:rsidTr="009A2088">
        <w:trPr>
          <w:trHeight w:val="271"/>
        </w:trPr>
        <w:tc>
          <w:tcPr>
            <w:tcW w:w="1012" w:type="dxa"/>
            <w:tcBorders>
              <w:top w:val="nil"/>
              <w:left w:val="single" w:sz="4" w:space="0" w:color="auto"/>
              <w:bottom w:val="nil"/>
              <w:right w:val="single" w:sz="4" w:space="0" w:color="auto"/>
            </w:tcBorders>
            <w:noWrap/>
            <w:vAlign w:val="center"/>
            <w:hideMark/>
          </w:tcPr>
          <w:p w14:paraId="3C414ABD"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60-80%</w:t>
            </w:r>
          </w:p>
        </w:tc>
        <w:tc>
          <w:tcPr>
            <w:tcW w:w="1012" w:type="dxa"/>
            <w:tcBorders>
              <w:top w:val="nil"/>
              <w:left w:val="single" w:sz="4" w:space="0" w:color="auto"/>
              <w:bottom w:val="nil"/>
              <w:right w:val="single" w:sz="4" w:space="0" w:color="auto"/>
            </w:tcBorders>
            <w:noWrap/>
            <w:vAlign w:val="center"/>
            <w:hideMark/>
          </w:tcPr>
          <w:p w14:paraId="2FDD117F"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18,318</w:t>
            </w:r>
          </w:p>
        </w:tc>
        <w:tc>
          <w:tcPr>
            <w:tcW w:w="1012" w:type="dxa"/>
            <w:tcBorders>
              <w:top w:val="nil"/>
              <w:left w:val="single" w:sz="4" w:space="0" w:color="auto"/>
              <w:bottom w:val="nil"/>
              <w:right w:val="single" w:sz="4" w:space="0" w:color="auto"/>
            </w:tcBorders>
            <w:noWrap/>
            <w:vAlign w:val="center"/>
            <w:hideMark/>
          </w:tcPr>
          <w:p w14:paraId="4EF51100"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39%</w:t>
            </w:r>
          </w:p>
        </w:tc>
        <w:tc>
          <w:tcPr>
            <w:tcW w:w="1012" w:type="dxa"/>
            <w:tcBorders>
              <w:top w:val="nil"/>
              <w:left w:val="single" w:sz="4" w:space="0" w:color="auto"/>
              <w:bottom w:val="nil"/>
              <w:right w:val="single" w:sz="4" w:space="0" w:color="auto"/>
            </w:tcBorders>
            <w:noWrap/>
            <w:vAlign w:val="center"/>
            <w:hideMark/>
          </w:tcPr>
          <w:p w14:paraId="2A99FB01"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31%</w:t>
            </w:r>
          </w:p>
        </w:tc>
        <w:tc>
          <w:tcPr>
            <w:tcW w:w="1012" w:type="dxa"/>
            <w:tcBorders>
              <w:top w:val="nil"/>
              <w:left w:val="single" w:sz="4" w:space="0" w:color="auto"/>
              <w:bottom w:val="nil"/>
              <w:right w:val="single" w:sz="4" w:space="0" w:color="auto"/>
            </w:tcBorders>
            <w:noWrap/>
            <w:vAlign w:val="center"/>
            <w:hideMark/>
          </w:tcPr>
          <w:p w14:paraId="703F0C35"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24%</w:t>
            </w:r>
          </w:p>
        </w:tc>
        <w:tc>
          <w:tcPr>
            <w:tcW w:w="1012" w:type="dxa"/>
            <w:tcBorders>
              <w:top w:val="nil"/>
              <w:left w:val="single" w:sz="4" w:space="0" w:color="auto"/>
              <w:bottom w:val="nil"/>
              <w:right w:val="single" w:sz="4" w:space="0" w:color="auto"/>
            </w:tcBorders>
            <w:noWrap/>
            <w:vAlign w:val="center"/>
            <w:hideMark/>
          </w:tcPr>
          <w:p w14:paraId="3DC44BF5"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19%</w:t>
            </w:r>
          </w:p>
        </w:tc>
        <w:tc>
          <w:tcPr>
            <w:tcW w:w="1012" w:type="dxa"/>
            <w:tcBorders>
              <w:top w:val="nil"/>
              <w:left w:val="single" w:sz="4" w:space="0" w:color="auto"/>
              <w:bottom w:val="nil"/>
              <w:right w:val="single" w:sz="4" w:space="0" w:color="auto"/>
            </w:tcBorders>
            <w:noWrap/>
            <w:vAlign w:val="center"/>
            <w:hideMark/>
          </w:tcPr>
          <w:p w14:paraId="2EA2D5D7"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11%</w:t>
            </w:r>
          </w:p>
        </w:tc>
        <w:tc>
          <w:tcPr>
            <w:tcW w:w="1012" w:type="dxa"/>
            <w:tcBorders>
              <w:top w:val="nil"/>
              <w:left w:val="single" w:sz="4" w:space="0" w:color="auto"/>
              <w:bottom w:val="nil"/>
              <w:right w:val="single" w:sz="4" w:space="0" w:color="auto"/>
            </w:tcBorders>
            <w:vAlign w:val="center"/>
          </w:tcPr>
          <w:p w14:paraId="1B0BF6AD" w14:textId="0D8E0136"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35%</w:t>
            </w:r>
          </w:p>
        </w:tc>
        <w:tc>
          <w:tcPr>
            <w:tcW w:w="1012" w:type="dxa"/>
            <w:tcBorders>
              <w:top w:val="nil"/>
              <w:left w:val="single" w:sz="4" w:space="0" w:color="auto"/>
              <w:bottom w:val="nil"/>
              <w:right w:val="single" w:sz="4" w:space="0" w:color="auto"/>
            </w:tcBorders>
            <w:vAlign w:val="center"/>
          </w:tcPr>
          <w:p w14:paraId="350307C4" w14:textId="1BD13163"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11%</w:t>
            </w:r>
          </w:p>
        </w:tc>
      </w:tr>
      <w:tr w:rsidR="0066057A" w:rsidRPr="001D6F3C" w14:paraId="42969795" w14:textId="57E584C5" w:rsidTr="009A2088">
        <w:trPr>
          <w:trHeight w:val="271"/>
        </w:trPr>
        <w:tc>
          <w:tcPr>
            <w:tcW w:w="1012" w:type="dxa"/>
            <w:tcBorders>
              <w:top w:val="nil"/>
              <w:left w:val="single" w:sz="4" w:space="0" w:color="auto"/>
              <w:bottom w:val="single" w:sz="4" w:space="0" w:color="auto"/>
              <w:right w:val="single" w:sz="4" w:space="0" w:color="auto"/>
            </w:tcBorders>
            <w:noWrap/>
            <w:vAlign w:val="center"/>
            <w:hideMark/>
          </w:tcPr>
          <w:p w14:paraId="67454CB8" w14:textId="6039E608"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80-100%</w:t>
            </w:r>
          </w:p>
        </w:tc>
        <w:tc>
          <w:tcPr>
            <w:tcW w:w="1012" w:type="dxa"/>
            <w:tcBorders>
              <w:top w:val="nil"/>
              <w:left w:val="single" w:sz="4" w:space="0" w:color="auto"/>
              <w:bottom w:val="single" w:sz="4" w:space="0" w:color="auto"/>
              <w:right w:val="single" w:sz="4" w:space="0" w:color="auto"/>
            </w:tcBorders>
            <w:noWrap/>
            <w:vAlign w:val="center"/>
            <w:hideMark/>
          </w:tcPr>
          <w:p w14:paraId="689D1B0A"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46,902</w:t>
            </w:r>
          </w:p>
        </w:tc>
        <w:tc>
          <w:tcPr>
            <w:tcW w:w="1012" w:type="dxa"/>
            <w:tcBorders>
              <w:top w:val="nil"/>
              <w:left w:val="single" w:sz="4" w:space="0" w:color="auto"/>
              <w:bottom w:val="single" w:sz="4" w:space="0" w:color="auto"/>
              <w:right w:val="single" w:sz="4" w:space="0" w:color="auto"/>
            </w:tcBorders>
            <w:noWrap/>
            <w:vAlign w:val="center"/>
            <w:hideMark/>
          </w:tcPr>
          <w:p w14:paraId="6E23338F"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45%</w:t>
            </w:r>
          </w:p>
        </w:tc>
        <w:tc>
          <w:tcPr>
            <w:tcW w:w="1012" w:type="dxa"/>
            <w:tcBorders>
              <w:top w:val="nil"/>
              <w:left w:val="single" w:sz="4" w:space="0" w:color="auto"/>
              <w:bottom w:val="single" w:sz="4" w:space="0" w:color="auto"/>
              <w:right w:val="single" w:sz="4" w:space="0" w:color="auto"/>
            </w:tcBorders>
            <w:noWrap/>
            <w:vAlign w:val="center"/>
            <w:hideMark/>
          </w:tcPr>
          <w:p w14:paraId="577DE87D"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38%</w:t>
            </w:r>
          </w:p>
        </w:tc>
        <w:tc>
          <w:tcPr>
            <w:tcW w:w="1012" w:type="dxa"/>
            <w:tcBorders>
              <w:top w:val="nil"/>
              <w:left w:val="single" w:sz="4" w:space="0" w:color="auto"/>
              <w:bottom w:val="single" w:sz="4" w:space="0" w:color="auto"/>
              <w:right w:val="single" w:sz="4" w:space="0" w:color="auto"/>
            </w:tcBorders>
            <w:noWrap/>
            <w:vAlign w:val="center"/>
            <w:hideMark/>
          </w:tcPr>
          <w:p w14:paraId="144CE0D9"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26%</w:t>
            </w:r>
          </w:p>
        </w:tc>
        <w:tc>
          <w:tcPr>
            <w:tcW w:w="1012" w:type="dxa"/>
            <w:tcBorders>
              <w:top w:val="nil"/>
              <w:left w:val="single" w:sz="4" w:space="0" w:color="auto"/>
              <w:bottom w:val="single" w:sz="4" w:space="0" w:color="auto"/>
              <w:right w:val="single" w:sz="4" w:space="0" w:color="auto"/>
            </w:tcBorders>
            <w:noWrap/>
            <w:vAlign w:val="center"/>
            <w:hideMark/>
          </w:tcPr>
          <w:p w14:paraId="645AABB6"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21%</w:t>
            </w:r>
          </w:p>
        </w:tc>
        <w:tc>
          <w:tcPr>
            <w:tcW w:w="1012" w:type="dxa"/>
            <w:tcBorders>
              <w:top w:val="nil"/>
              <w:left w:val="single" w:sz="4" w:space="0" w:color="auto"/>
              <w:bottom w:val="single" w:sz="4" w:space="0" w:color="auto"/>
              <w:right w:val="single" w:sz="4" w:space="0" w:color="auto"/>
            </w:tcBorders>
            <w:noWrap/>
            <w:vAlign w:val="center"/>
            <w:hideMark/>
          </w:tcPr>
          <w:p w14:paraId="057A5EE1"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16%</w:t>
            </w:r>
          </w:p>
        </w:tc>
        <w:tc>
          <w:tcPr>
            <w:tcW w:w="1012" w:type="dxa"/>
            <w:tcBorders>
              <w:top w:val="nil"/>
              <w:left w:val="single" w:sz="4" w:space="0" w:color="auto"/>
              <w:bottom w:val="single" w:sz="4" w:space="0" w:color="auto"/>
              <w:right w:val="single" w:sz="4" w:space="0" w:color="auto"/>
            </w:tcBorders>
            <w:vAlign w:val="center"/>
          </w:tcPr>
          <w:p w14:paraId="1B2355F5" w14:textId="4360625B"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 xml:space="preserve">44%. </w:t>
            </w:r>
          </w:p>
        </w:tc>
        <w:tc>
          <w:tcPr>
            <w:tcW w:w="1012" w:type="dxa"/>
            <w:tcBorders>
              <w:top w:val="nil"/>
              <w:left w:val="single" w:sz="4" w:space="0" w:color="auto"/>
              <w:bottom w:val="single" w:sz="4" w:space="0" w:color="auto"/>
              <w:right w:val="single" w:sz="4" w:space="0" w:color="auto"/>
            </w:tcBorders>
            <w:vAlign w:val="center"/>
          </w:tcPr>
          <w:p w14:paraId="35A54A0F" w14:textId="63AA0A28"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16%</w:t>
            </w:r>
          </w:p>
        </w:tc>
      </w:tr>
      <w:tr w:rsidR="0066057A" w:rsidRPr="001D6F3C" w14:paraId="1539CCD5" w14:textId="4116D926" w:rsidTr="009A2088">
        <w:trPr>
          <w:trHeight w:val="271"/>
        </w:trPr>
        <w:tc>
          <w:tcPr>
            <w:tcW w:w="1012" w:type="dxa"/>
            <w:tcBorders>
              <w:top w:val="single" w:sz="4" w:space="0" w:color="auto"/>
              <w:left w:val="single" w:sz="4" w:space="0" w:color="auto"/>
              <w:bottom w:val="single" w:sz="4" w:space="0" w:color="auto"/>
              <w:right w:val="single" w:sz="4" w:space="0" w:color="auto"/>
            </w:tcBorders>
            <w:noWrap/>
            <w:vAlign w:val="center"/>
            <w:hideMark/>
          </w:tcPr>
          <w:p w14:paraId="264211A9"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Total</w:t>
            </w:r>
          </w:p>
        </w:tc>
        <w:tc>
          <w:tcPr>
            <w:tcW w:w="1012" w:type="dxa"/>
            <w:tcBorders>
              <w:top w:val="single" w:sz="4" w:space="0" w:color="auto"/>
              <w:left w:val="single" w:sz="4" w:space="0" w:color="auto"/>
              <w:bottom w:val="single" w:sz="4" w:space="0" w:color="auto"/>
              <w:right w:val="single" w:sz="4" w:space="0" w:color="auto"/>
            </w:tcBorders>
            <w:noWrap/>
            <w:vAlign w:val="center"/>
            <w:hideMark/>
          </w:tcPr>
          <w:p w14:paraId="4FAC54C3"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790,110</w:t>
            </w:r>
          </w:p>
        </w:tc>
        <w:tc>
          <w:tcPr>
            <w:tcW w:w="1012" w:type="dxa"/>
            <w:tcBorders>
              <w:top w:val="single" w:sz="4" w:space="0" w:color="auto"/>
              <w:left w:val="single" w:sz="4" w:space="0" w:color="auto"/>
              <w:bottom w:val="single" w:sz="4" w:space="0" w:color="auto"/>
              <w:right w:val="single" w:sz="4" w:space="0" w:color="auto"/>
            </w:tcBorders>
            <w:noWrap/>
            <w:vAlign w:val="center"/>
            <w:hideMark/>
          </w:tcPr>
          <w:p w14:paraId="213CAAE9"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25%</w:t>
            </w:r>
          </w:p>
        </w:tc>
        <w:tc>
          <w:tcPr>
            <w:tcW w:w="1012" w:type="dxa"/>
            <w:tcBorders>
              <w:top w:val="single" w:sz="4" w:space="0" w:color="auto"/>
              <w:left w:val="single" w:sz="4" w:space="0" w:color="auto"/>
              <w:bottom w:val="single" w:sz="4" w:space="0" w:color="auto"/>
              <w:right w:val="single" w:sz="4" w:space="0" w:color="auto"/>
            </w:tcBorders>
            <w:noWrap/>
            <w:vAlign w:val="center"/>
            <w:hideMark/>
          </w:tcPr>
          <w:p w14:paraId="2F757FF7"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9%</w:t>
            </w:r>
          </w:p>
        </w:tc>
        <w:tc>
          <w:tcPr>
            <w:tcW w:w="1012" w:type="dxa"/>
            <w:tcBorders>
              <w:top w:val="single" w:sz="4" w:space="0" w:color="auto"/>
              <w:left w:val="single" w:sz="4" w:space="0" w:color="auto"/>
              <w:bottom w:val="single" w:sz="4" w:space="0" w:color="auto"/>
              <w:right w:val="single" w:sz="4" w:space="0" w:color="auto"/>
            </w:tcBorders>
            <w:noWrap/>
            <w:vAlign w:val="center"/>
            <w:hideMark/>
          </w:tcPr>
          <w:p w14:paraId="49BAFFF8"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14%</w:t>
            </w:r>
          </w:p>
        </w:tc>
        <w:tc>
          <w:tcPr>
            <w:tcW w:w="1012" w:type="dxa"/>
            <w:tcBorders>
              <w:top w:val="single" w:sz="4" w:space="0" w:color="auto"/>
              <w:left w:val="single" w:sz="4" w:space="0" w:color="auto"/>
              <w:bottom w:val="single" w:sz="4" w:space="0" w:color="auto"/>
              <w:right w:val="single" w:sz="4" w:space="0" w:color="auto"/>
            </w:tcBorders>
            <w:noWrap/>
            <w:vAlign w:val="center"/>
            <w:hideMark/>
          </w:tcPr>
          <w:p w14:paraId="25FAB3BF"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14%</w:t>
            </w:r>
          </w:p>
        </w:tc>
        <w:tc>
          <w:tcPr>
            <w:tcW w:w="1012" w:type="dxa"/>
            <w:tcBorders>
              <w:top w:val="single" w:sz="4" w:space="0" w:color="auto"/>
              <w:left w:val="single" w:sz="4" w:space="0" w:color="auto"/>
              <w:bottom w:val="single" w:sz="4" w:space="0" w:color="auto"/>
              <w:right w:val="single" w:sz="4" w:space="0" w:color="auto"/>
            </w:tcBorders>
            <w:noWrap/>
            <w:vAlign w:val="center"/>
            <w:hideMark/>
          </w:tcPr>
          <w:p w14:paraId="1DCE7A62" w14:textId="7777777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eastAsia="Times New Roman" w:hAnsi="Corbel" w:cs="Times New Roman"/>
                <w:color w:val="000000"/>
                <w:sz w:val="16"/>
                <w:szCs w:val="16"/>
                <w:lang w:eastAsia="en-NZ"/>
              </w:rPr>
              <w:t>5%</w:t>
            </w:r>
          </w:p>
        </w:tc>
        <w:tc>
          <w:tcPr>
            <w:tcW w:w="1012" w:type="dxa"/>
            <w:tcBorders>
              <w:top w:val="single" w:sz="4" w:space="0" w:color="auto"/>
              <w:left w:val="single" w:sz="4" w:space="0" w:color="auto"/>
              <w:bottom w:val="single" w:sz="4" w:space="0" w:color="auto"/>
              <w:right w:val="single" w:sz="4" w:space="0" w:color="auto"/>
            </w:tcBorders>
            <w:vAlign w:val="center"/>
          </w:tcPr>
          <w:p w14:paraId="24956F1B" w14:textId="0D549D37"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15%</w:t>
            </w:r>
          </w:p>
        </w:tc>
        <w:tc>
          <w:tcPr>
            <w:tcW w:w="1012" w:type="dxa"/>
            <w:tcBorders>
              <w:top w:val="single" w:sz="4" w:space="0" w:color="auto"/>
              <w:left w:val="single" w:sz="4" w:space="0" w:color="auto"/>
              <w:bottom w:val="single" w:sz="4" w:space="0" w:color="auto"/>
              <w:right w:val="single" w:sz="4" w:space="0" w:color="auto"/>
            </w:tcBorders>
            <w:vAlign w:val="center"/>
          </w:tcPr>
          <w:p w14:paraId="13D432A8" w14:textId="0220040D" w:rsidR="0066057A" w:rsidRPr="001D6F3C" w:rsidRDefault="0066057A" w:rsidP="0066057A">
            <w:pPr>
              <w:spacing w:before="0" w:after="0" w:line="240" w:lineRule="auto"/>
              <w:jc w:val="center"/>
              <w:rPr>
                <w:rFonts w:ascii="Corbel" w:eastAsia="Times New Roman" w:hAnsi="Corbel" w:cs="Times New Roman"/>
                <w:color w:val="000000"/>
                <w:sz w:val="16"/>
                <w:szCs w:val="16"/>
                <w:lang w:eastAsia="en-NZ"/>
              </w:rPr>
            </w:pPr>
            <w:r w:rsidRPr="001D6F3C">
              <w:rPr>
                <w:rFonts w:ascii="Corbel" w:hAnsi="Corbel"/>
                <w:color w:val="000000"/>
                <w:sz w:val="16"/>
                <w:szCs w:val="16"/>
              </w:rPr>
              <w:t>4%</w:t>
            </w:r>
          </w:p>
        </w:tc>
      </w:tr>
    </w:tbl>
    <w:p w14:paraId="653B64DF" w14:textId="39D9CF5E" w:rsidR="00AA31C0" w:rsidRPr="001D6F3C" w:rsidRDefault="00750F19" w:rsidP="00086023">
      <w:pPr>
        <w:jc w:val="both"/>
        <w:rPr>
          <w:rFonts w:ascii="Corbel" w:hAnsi="Corbel"/>
        </w:rPr>
      </w:pPr>
      <w:r w:rsidRPr="001D6F3C">
        <w:rPr>
          <w:rFonts w:ascii="Corbel" w:hAnsi="Corbel"/>
        </w:rPr>
        <w:t>T</w:t>
      </w:r>
      <w:r w:rsidR="00086023" w:rsidRPr="001D6F3C">
        <w:rPr>
          <w:rFonts w:ascii="Corbel" w:hAnsi="Corbel"/>
        </w:rPr>
        <w:t xml:space="preserve">able </w:t>
      </w:r>
      <w:r w:rsidR="00655D2A" w:rsidRPr="001D6F3C">
        <w:rPr>
          <w:rFonts w:ascii="Corbel" w:hAnsi="Corbel"/>
        </w:rPr>
        <w:t>Five</w:t>
      </w:r>
      <w:r w:rsidRPr="001D6F3C">
        <w:rPr>
          <w:rFonts w:ascii="Corbel" w:hAnsi="Corbel"/>
        </w:rPr>
        <w:t xml:space="preserve"> below </w:t>
      </w:r>
      <w:r w:rsidR="002C6F79" w:rsidRPr="001D6F3C">
        <w:rPr>
          <w:rFonts w:ascii="Corbel" w:hAnsi="Corbel"/>
        </w:rPr>
        <w:t>looks at</w:t>
      </w:r>
      <w:r w:rsidR="009404C1" w:rsidRPr="001D6F3C">
        <w:rPr>
          <w:rFonts w:ascii="Corbel" w:hAnsi="Corbel"/>
        </w:rPr>
        <w:t xml:space="preserve"> </w:t>
      </w:r>
      <w:r w:rsidR="004426E2" w:rsidRPr="001D6F3C">
        <w:rPr>
          <w:rFonts w:ascii="Corbel" w:hAnsi="Corbel"/>
        </w:rPr>
        <w:t xml:space="preserve">the relationship in a different way, by showing </w:t>
      </w:r>
      <w:r w:rsidR="009404C1" w:rsidRPr="001D6F3C">
        <w:rPr>
          <w:rFonts w:ascii="Corbel" w:hAnsi="Corbel"/>
        </w:rPr>
        <w:t xml:space="preserve">the </w:t>
      </w:r>
      <w:r w:rsidR="00985AC3" w:rsidRPr="001D6F3C">
        <w:rPr>
          <w:rFonts w:ascii="Corbel" w:hAnsi="Corbel"/>
          <w:i/>
          <w:iCs/>
        </w:rPr>
        <w:t>composition</w:t>
      </w:r>
      <w:r w:rsidR="00044F42" w:rsidRPr="001D6F3C">
        <w:rPr>
          <w:rFonts w:ascii="Corbel" w:hAnsi="Corbel"/>
        </w:rPr>
        <w:t xml:space="preserve"> of those in m</w:t>
      </w:r>
      <w:r w:rsidR="00A247A3" w:rsidRPr="001D6F3C">
        <w:rPr>
          <w:rFonts w:ascii="Corbel" w:hAnsi="Corbel"/>
        </w:rPr>
        <w:t>ultiple disadvantage</w:t>
      </w:r>
      <w:r w:rsidR="006B6E2A" w:rsidRPr="001D6F3C">
        <w:rPr>
          <w:rFonts w:ascii="Corbel" w:hAnsi="Corbel"/>
        </w:rPr>
        <w:t xml:space="preserve">. </w:t>
      </w:r>
      <w:r w:rsidR="00520E9B" w:rsidRPr="001D6F3C">
        <w:rPr>
          <w:rFonts w:ascii="Corbel" w:hAnsi="Corbel"/>
        </w:rPr>
        <w:t>This shows that</w:t>
      </w:r>
      <w:r w:rsidR="00AA31C0" w:rsidRPr="001D6F3C">
        <w:rPr>
          <w:rFonts w:ascii="Corbel" w:hAnsi="Corbel"/>
        </w:rPr>
        <w:t>:</w:t>
      </w:r>
    </w:p>
    <w:p w14:paraId="29CFB71F" w14:textId="0260F31B" w:rsidR="00CB7992" w:rsidRPr="001D6F3C" w:rsidRDefault="00B95B32" w:rsidP="0057492F">
      <w:pPr>
        <w:pStyle w:val="ListParagraph"/>
        <w:numPr>
          <w:ilvl w:val="0"/>
          <w:numId w:val="21"/>
        </w:numPr>
        <w:ind w:left="714" w:hanging="357"/>
        <w:contextualSpacing w:val="0"/>
        <w:jc w:val="both"/>
        <w:rPr>
          <w:rFonts w:ascii="Corbel" w:hAnsi="Corbel"/>
        </w:rPr>
      </w:pPr>
      <w:r w:rsidRPr="001D6F3C">
        <w:rPr>
          <w:rFonts w:ascii="Corbel" w:hAnsi="Corbel"/>
        </w:rPr>
        <w:t xml:space="preserve">a majority of those experiencing multiple disadvantage </w:t>
      </w:r>
      <w:r w:rsidR="00502831" w:rsidRPr="001D6F3C">
        <w:rPr>
          <w:rFonts w:ascii="Corbel" w:hAnsi="Corbel"/>
        </w:rPr>
        <w:t>spent some time on benefit</w:t>
      </w:r>
      <w:r w:rsidR="00E006E9" w:rsidRPr="001D6F3C">
        <w:rPr>
          <w:rFonts w:ascii="Corbel" w:hAnsi="Corbel"/>
        </w:rPr>
        <w:t xml:space="preserve"> (51% of those in the 2+ group, and 63% of those in the 3+ group)</w:t>
      </w:r>
      <w:r w:rsidR="00502831" w:rsidRPr="001D6F3C">
        <w:rPr>
          <w:rFonts w:ascii="Corbel" w:hAnsi="Corbel"/>
        </w:rPr>
        <w:t>, but a</w:t>
      </w:r>
      <w:r w:rsidR="00CB7992" w:rsidRPr="001D6F3C">
        <w:rPr>
          <w:rFonts w:ascii="Corbel" w:hAnsi="Corbel"/>
        </w:rPr>
        <w:t xml:space="preserve"> significant proportion did not </w:t>
      </w:r>
      <w:proofErr w:type="gramStart"/>
      <w:r w:rsidR="00CB7992" w:rsidRPr="001D6F3C">
        <w:rPr>
          <w:rFonts w:ascii="Corbel" w:hAnsi="Corbel"/>
        </w:rPr>
        <w:t>come into contact with</w:t>
      </w:r>
      <w:proofErr w:type="gramEnd"/>
      <w:r w:rsidR="00CB7992" w:rsidRPr="001D6F3C">
        <w:rPr>
          <w:rFonts w:ascii="Corbel" w:hAnsi="Corbel"/>
        </w:rPr>
        <w:t xml:space="preserve"> the benefit system at all </w:t>
      </w:r>
      <w:r w:rsidR="005B75C1" w:rsidRPr="001D6F3C">
        <w:rPr>
          <w:rFonts w:ascii="Corbel" w:hAnsi="Corbel"/>
        </w:rPr>
        <w:t>(</w:t>
      </w:r>
      <w:r w:rsidR="00CB7992" w:rsidRPr="001D6F3C">
        <w:rPr>
          <w:rFonts w:ascii="Corbel" w:hAnsi="Corbel"/>
        </w:rPr>
        <w:t>49%</w:t>
      </w:r>
      <w:r w:rsidR="005B75C1" w:rsidRPr="001D6F3C">
        <w:rPr>
          <w:rFonts w:ascii="Corbel" w:hAnsi="Corbel"/>
        </w:rPr>
        <w:t xml:space="preserve"> and </w:t>
      </w:r>
      <w:r w:rsidR="00065209" w:rsidRPr="001D6F3C">
        <w:rPr>
          <w:rFonts w:ascii="Corbel" w:hAnsi="Corbel"/>
        </w:rPr>
        <w:t>37%</w:t>
      </w:r>
      <w:r w:rsidR="005B75C1" w:rsidRPr="001D6F3C">
        <w:rPr>
          <w:rFonts w:ascii="Corbel" w:hAnsi="Corbel"/>
        </w:rPr>
        <w:t>, respectively)</w:t>
      </w:r>
    </w:p>
    <w:p w14:paraId="6BCB5FBD" w14:textId="2DBE09BA" w:rsidR="004F1B42" w:rsidRPr="001D6F3C" w:rsidRDefault="00221A1A" w:rsidP="0057492F">
      <w:pPr>
        <w:pStyle w:val="ListParagraph"/>
        <w:numPr>
          <w:ilvl w:val="0"/>
          <w:numId w:val="21"/>
        </w:numPr>
        <w:ind w:left="714" w:hanging="357"/>
        <w:contextualSpacing w:val="0"/>
        <w:jc w:val="both"/>
        <w:rPr>
          <w:rFonts w:ascii="Corbel" w:hAnsi="Corbel"/>
        </w:rPr>
      </w:pPr>
      <w:r w:rsidRPr="001D6F3C">
        <w:rPr>
          <w:rFonts w:ascii="Corbel" w:hAnsi="Corbel"/>
        </w:rPr>
        <w:t xml:space="preserve">despite being significantly over-represented amongst those in multiple disadvantage, </w:t>
      </w:r>
      <w:r w:rsidR="00435863" w:rsidRPr="001D6F3C">
        <w:rPr>
          <w:rFonts w:ascii="Corbel" w:hAnsi="Corbel"/>
        </w:rPr>
        <w:t>t</w:t>
      </w:r>
      <w:r w:rsidR="00555AB4" w:rsidRPr="001D6F3C">
        <w:rPr>
          <w:rFonts w:ascii="Corbel" w:hAnsi="Corbel"/>
        </w:rPr>
        <w:t xml:space="preserve">he </w:t>
      </w:r>
      <w:r w:rsidR="00065209" w:rsidRPr="001D6F3C">
        <w:rPr>
          <w:rFonts w:ascii="Corbel" w:hAnsi="Corbel"/>
        </w:rPr>
        <w:t>highest duration group (</w:t>
      </w:r>
      <w:r w:rsidR="002122E3" w:rsidRPr="001D6F3C">
        <w:rPr>
          <w:rFonts w:ascii="Corbel" w:hAnsi="Corbel"/>
        </w:rPr>
        <w:t xml:space="preserve">&gt;80%) </w:t>
      </w:r>
      <w:r w:rsidR="00A766AD" w:rsidRPr="001D6F3C">
        <w:rPr>
          <w:rFonts w:ascii="Corbel" w:hAnsi="Corbel"/>
        </w:rPr>
        <w:t xml:space="preserve">still </w:t>
      </w:r>
      <w:r w:rsidR="002122E3" w:rsidRPr="001D6F3C">
        <w:rPr>
          <w:rFonts w:ascii="Corbel" w:hAnsi="Corbel"/>
        </w:rPr>
        <w:t>makes up</w:t>
      </w:r>
      <w:r w:rsidR="00A766AD" w:rsidRPr="001D6F3C">
        <w:rPr>
          <w:rFonts w:ascii="Corbel" w:hAnsi="Corbel"/>
        </w:rPr>
        <w:t xml:space="preserve"> just</w:t>
      </w:r>
      <w:r w:rsidR="00130AC6" w:rsidRPr="001D6F3C">
        <w:rPr>
          <w:rFonts w:ascii="Corbel" w:hAnsi="Corbel"/>
        </w:rPr>
        <w:t xml:space="preserve"> 18% of th</w:t>
      </w:r>
      <w:r w:rsidR="00E238C2" w:rsidRPr="001D6F3C">
        <w:rPr>
          <w:rFonts w:ascii="Corbel" w:hAnsi="Corbel"/>
        </w:rPr>
        <w:t xml:space="preserve">ose in the 2+ group, and 26% of those in the </w:t>
      </w:r>
      <w:r w:rsidR="00BE0429" w:rsidRPr="001D6F3C">
        <w:rPr>
          <w:rFonts w:ascii="Corbel" w:hAnsi="Corbel"/>
        </w:rPr>
        <w:t>3+ group</w:t>
      </w:r>
      <w:r w:rsidR="00CF76FC" w:rsidRPr="001D6F3C">
        <w:rPr>
          <w:rFonts w:ascii="Corbel" w:hAnsi="Corbel"/>
        </w:rPr>
        <w:t xml:space="preserve">. </w:t>
      </w:r>
    </w:p>
    <w:p w14:paraId="7F37A6F7" w14:textId="77777777" w:rsidR="000D720B" w:rsidRPr="001D6F3C" w:rsidRDefault="000D720B">
      <w:pPr>
        <w:spacing w:before="0"/>
        <w:rPr>
          <w:b/>
          <w:bCs/>
          <w:smallCaps/>
          <w:color w:val="1F497D" w:themeColor="text2"/>
        </w:rPr>
      </w:pPr>
      <w:r w:rsidRPr="001D6F3C">
        <w:br w:type="page"/>
      </w:r>
    </w:p>
    <w:p w14:paraId="64F07304" w14:textId="5C1ADB5F" w:rsidR="00513222" w:rsidRPr="001D6F3C" w:rsidRDefault="00655D2A" w:rsidP="001646F0">
      <w:pPr>
        <w:pStyle w:val="Caption"/>
        <w:keepNext/>
        <w:spacing w:after="0"/>
      </w:pPr>
      <w:bookmarkStart w:id="47" w:name="_Toc203647403"/>
      <w:r w:rsidRPr="001D6F3C">
        <w:lastRenderedPageBreak/>
        <w:t xml:space="preserve">Table </w:t>
      </w:r>
      <w:r w:rsidRPr="001D6F3C">
        <w:fldChar w:fldCharType="begin"/>
      </w:r>
      <w:r w:rsidRPr="001D6F3C">
        <w:instrText xml:space="preserve"> SEQ Table \* ARABIC </w:instrText>
      </w:r>
      <w:r w:rsidRPr="001D6F3C">
        <w:fldChar w:fldCharType="separate"/>
      </w:r>
      <w:r w:rsidR="00D048DB" w:rsidRPr="001D6F3C">
        <w:rPr>
          <w:noProof/>
        </w:rPr>
        <w:t>6</w:t>
      </w:r>
      <w:r w:rsidRPr="001D6F3C">
        <w:fldChar w:fldCharType="end"/>
      </w:r>
      <w:r w:rsidRPr="001D6F3C">
        <w:t xml:space="preserve"> </w:t>
      </w:r>
      <w:r w:rsidR="00693766" w:rsidRPr="001D6F3C">
        <w:t>–</w:t>
      </w:r>
      <w:r w:rsidR="006B21E4" w:rsidRPr="001D6F3C">
        <w:t xml:space="preserve"> </w:t>
      </w:r>
      <w:r w:rsidR="006F3E11" w:rsidRPr="001D6F3C">
        <w:t xml:space="preserve">Composition of </w:t>
      </w:r>
      <w:r w:rsidR="00D6108B" w:rsidRPr="001D6F3C">
        <w:t>65</w:t>
      </w:r>
      <w:r w:rsidR="00750D99" w:rsidRPr="001D6F3C">
        <w:t>+</w:t>
      </w:r>
      <w:r w:rsidR="00D6108B" w:rsidRPr="001D6F3C">
        <w:t xml:space="preserve"> </w:t>
      </w:r>
      <w:r w:rsidR="006F3E11" w:rsidRPr="001D6F3C">
        <w:t xml:space="preserve">in </w:t>
      </w:r>
      <w:r w:rsidR="00693766" w:rsidRPr="001D6F3C">
        <w:t>Multiple disadvantage</w:t>
      </w:r>
      <w:r w:rsidR="00D6108B" w:rsidRPr="001D6F3C">
        <w:t xml:space="preserve"> </w:t>
      </w:r>
      <w:r w:rsidR="005B3D40" w:rsidRPr="001D6F3C">
        <w:t xml:space="preserve">- by </w:t>
      </w:r>
      <w:r w:rsidR="00693766" w:rsidRPr="001D6F3C">
        <w:t xml:space="preserve">percentage </w:t>
      </w:r>
      <w:r w:rsidR="004A2FB7" w:rsidRPr="001D6F3C">
        <w:t>of</w:t>
      </w:r>
      <w:r w:rsidR="005B3D40" w:rsidRPr="001D6F3C">
        <w:t xml:space="preserve"> time on benefit aged 55-65</w:t>
      </w:r>
      <w:bookmarkEnd w:id="47"/>
    </w:p>
    <w:tbl>
      <w:tblPr>
        <w:tblpPr w:leftFromText="180" w:rightFromText="180" w:vertAnchor="text" w:horzAnchor="margin" w:tblpY="285"/>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278"/>
        <w:gridCol w:w="1280"/>
        <w:gridCol w:w="1279"/>
        <w:gridCol w:w="1280"/>
        <w:gridCol w:w="1279"/>
        <w:gridCol w:w="1280"/>
      </w:tblGrid>
      <w:tr w:rsidR="00CF5E36" w:rsidRPr="001D6F3C" w14:paraId="7CC41E4D" w14:textId="77777777" w:rsidTr="009A2088">
        <w:trPr>
          <w:trHeight w:val="256"/>
        </w:trPr>
        <w:tc>
          <w:tcPr>
            <w:tcW w:w="1043" w:type="dxa"/>
            <w:vMerge w:val="restart"/>
            <w:vAlign w:val="center"/>
            <w:hideMark/>
          </w:tcPr>
          <w:p w14:paraId="21AA20F1"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Benefit duration (55-65)</w:t>
            </w:r>
          </w:p>
        </w:tc>
        <w:tc>
          <w:tcPr>
            <w:tcW w:w="2558" w:type="dxa"/>
            <w:gridSpan w:val="2"/>
            <w:noWrap/>
            <w:vAlign w:val="center"/>
            <w:hideMark/>
          </w:tcPr>
          <w:p w14:paraId="16BE90A6"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Total</w:t>
            </w:r>
          </w:p>
        </w:tc>
        <w:tc>
          <w:tcPr>
            <w:tcW w:w="2559" w:type="dxa"/>
            <w:gridSpan w:val="2"/>
            <w:shd w:val="clear" w:color="000000" w:fill="FFFFFF"/>
            <w:noWrap/>
            <w:vAlign w:val="center"/>
            <w:hideMark/>
          </w:tcPr>
          <w:p w14:paraId="27BFF4A4"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w:t>
            </w:r>
          </w:p>
        </w:tc>
        <w:tc>
          <w:tcPr>
            <w:tcW w:w="2559" w:type="dxa"/>
            <w:gridSpan w:val="2"/>
            <w:shd w:val="clear" w:color="000000" w:fill="FFFFFF"/>
            <w:noWrap/>
            <w:vAlign w:val="center"/>
            <w:hideMark/>
          </w:tcPr>
          <w:p w14:paraId="0A19043C"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3+</w:t>
            </w:r>
          </w:p>
        </w:tc>
      </w:tr>
      <w:tr w:rsidR="00CF5E36" w:rsidRPr="001D6F3C" w14:paraId="75848A67" w14:textId="77777777" w:rsidTr="009A2088">
        <w:trPr>
          <w:trHeight w:val="332"/>
        </w:trPr>
        <w:tc>
          <w:tcPr>
            <w:tcW w:w="1043" w:type="dxa"/>
            <w:vMerge/>
            <w:vAlign w:val="center"/>
            <w:hideMark/>
          </w:tcPr>
          <w:p w14:paraId="0ACB6C22"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78" w:type="dxa"/>
            <w:vMerge w:val="restart"/>
            <w:shd w:val="clear" w:color="000000" w:fill="FFFFFF"/>
            <w:noWrap/>
            <w:vAlign w:val="center"/>
            <w:hideMark/>
          </w:tcPr>
          <w:p w14:paraId="39000714"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w:t>
            </w:r>
          </w:p>
        </w:tc>
        <w:tc>
          <w:tcPr>
            <w:tcW w:w="1280" w:type="dxa"/>
            <w:vMerge w:val="restart"/>
            <w:shd w:val="clear" w:color="000000" w:fill="FFFFFF"/>
            <w:vAlign w:val="center"/>
            <w:hideMark/>
          </w:tcPr>
          <w:p w14:paraId="511C62FB"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Composition (%)</w:t>
            </w:r>
          </w:p>
        </w:tc>
        <w:tc>
          <w:tcPr>
            <w:tcW w:w="1279" w:type="dxa"/>
            <w:vMerge w:val="restart"/>
            <w:shd w:val="clear" w:color="000000" w:fill="FFFFFF"/>
            <w:noWrap/>
            <w:vAlign w:val="center"/>
            <w:hideMark/>
          </w:tcPr>
          <w:p w14:paraId="490E136C"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w:t>
            </w:r>
          </w:p>
        </w:tc>
        <w:tc>
          <w:tcPr>
            <w:tcW w:w="1280" w:type="dxa"/>
            <w:vMerge w:val="restart"/>
            <w:shd w:val="clear" w:color="000000" w:fill="FFFFFF"/>
            <w:vAlign w:val="center"/>
            <w:hideMark/>
          </w:tcPr>
          <w:p w14:paraId="3C0BE0B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Composition (%)</w:t>
            </w:r>
          </w:p>
        </w:tc>
        <w:tc>
          <w:tcPr>
            <w:tcW w:w="1279" w:type="dxa"/>
            <w:vMerge w:val="restart"/>
            <w:shd w:val="clear" w:color="000000" w:fill="FFFFFF"/>
            <w:noWrap/>
            <w:vAlign w:val="center"/>
            <w:hideMark/>
          </w:tcPr>
          <w:p w14:paraId="2EB89516"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w:t>
            </w:r>
          </w:p>
        </w:tc>
        <w:tc>
          <w:tcPr>
            <w:tcW w:w="1280" w:type="dxa"/>
            <w:shd w:val="clear" w:color="000000" w:fill="FFFFFF"/>
            <w:vAlign w:val="center"/>
            <w:hideMark/>
          </w:tcPr>
          <w:p w14:paraId="7A3C4734"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Composition</w:t>
            </w:r>
          </w:p>
        </w:tc>
      </w:tr>
      <w:tr w:rsidR="00CF5E36" w:rsidRPr="001D6F3C" w14:paraId="07F67131" w14:textId="77777777" w:rsidTr="009A2088">
        <w:trPr>
          <w:trHeight w:val="218"/>
        </w:trPr>
        <w:tc>
          <w:tcPr>
            <w:tcW w:w="1043" w:type="dxa"/>
            <w:vMerge/>
            <w:vAlign w:val="center"/>
            <w:hideMark/>
          </w:tcPr>
          <w:p w14:paraId="78BE7CA3"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78" w:type="dxa"/>
            <w:vMerge/>
            <w:vAlign w:val="center"/>
            <w:hideMark/>
          </w:tcPr>
          <w:p w14:paraId="3EC076B8"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80" w:type="dxa"/>
            <w:vMerge/>
            <w:vAlign w:val="center"/>
            <w:hideMark/>
          </w:tcPr>
          <w:p w14:paraId="78975445"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79" w:type="dxa"/>
            <w:vMerge/>
            <w:vAlign w:val="center"/>
            <w:hideMark/>
          </w:tcPr>
          <w:p w14:paraId="6088DCB1"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80" w:type="dxa"/>
            <w:vMerge/>
            <w:vAlign w:val="center"/>
            <w:hideMark/>
          </w:tcPr>
          <w:p w14:paraId="7D87556D"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79" w:type="dxa"/>
            <w:vMerge/>
            <w:vAlign w:val="center"/>
            <w:hideMark/>
          </w:tcPr>
          <w:p w14:paraId="4BE542B7" w14:textId="77777777" w:rsidR="00CF5E36" w:rsidRPr="001D6F3C" w:rsidRDefault="00CF5E36" w:rsidP="009A2088">
            <w:pPr>
              <w:spacing w:before="0" w:after="0" w:line="240" w:lineRule="auto"/>
              <w:rPr>
                <w:rFonts w:ascii="Corbel" w:eastAsia="Times New Roman" w:hAnsi="Corbel" w:cs="Times New Roman"/>
                <w:color w:val="000000"/>
                <w:sz w:val="15"/>
                <w:szCs w:val="15"/>
                <w:lang w:eastAsia="en-NZ"/>
              </w:rPr>
            </w:pPr>
          </w:p>
        </w:tc>
        <w:tc>
          <w:tcPr>
            <w:tcW w:w="1280" w:type="dxa"/>
            <w:shd w:val="clear" w:color="000000" w:fill="FFFFFF"/>
            <w:vAlign w:val="center"/>
            <w:hideMark/>
          </w:tcPr>
          <w:p w14:paraId="353D33BC"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w:t>
            </w:r>
          </w:p>
        </w:tc>
      </w:tr>
      <w:tr w:rsidR="00CF5E36" w:rsidRPr="001D6F3C" w14:paraId="4CA01437" w14:textId="77777777" w:rsidTr="009A2088">
        <w:trPr>
          <w:trHeight w:val="256"/>
        </w:trPr>
        <w:tc>
          <w:tcPr>
            <w:tcW w:w="1043" w:type="dxa"/>
            <w:noWrap/>
            <w:vAlign w:val="center"/>
            <w:hideMark/>
          </w:tcPr>
          <w:p w14:paraId="146119A1"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0</w:t>
            </w:r>
          </w:p>
        </w:tc>
        <w:tc>
          <w:tcPr>
            <w:tcW w:w="1278" w:type="dxa"/>
            <w:noWrap/>
            <w:vAlign w:val="center"/>
            <w:hideMark/>
          </w:tcPr>
          <w:p w14:paraId="6C20EB22"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596,886</w:t>
            </w:r>
          </w:p>
        </w:tc>
        <w:tc>
          <w:tcPr>
            <w:tcW w:w="1280" w:type="dxa"/>
            <w:hideMark/>
          </w:tcPr>
          <w:p w14:paraId="45E979A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76%</w:t>
            </w:r>
          </w:p>
        </w:tc>
        <w:tc>
          <w:tcPr>
            <w:tcW w:w="1279" w:type="dxa"/>
            <w:noWrap/>
            <w:vAlign w:val="center"/>
            <w:hideMark/>
          </w:tcPr>
          <w:p w14:paraId="28ECD0B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56,565</w:t>
            </w:r>
          </w:p>
        </w:tc>
        <w:tc>
          <w:tcPr>
            <w:tcW w:w="1280" w:type="dxa"/>
            <w:noWrap/>
            <w:vAlign w:val="center"/>
            <w:hideMark/>
          </w:tcPr>
          <w:p w14:paraId="200FB62D"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hAnsi="Corbel"/>
                <w:color w:val="000000"/>
                <w:sz w:val="15"/>
                <w:szCs w:val="15"/>
              </w:rPr>
              <w:t>49%</w:t>
            </w:r>
          </w:p>
        </w:tc>
        <w:tc>
          <w:tcPr>
            <w:tcW w:w="1279" w:type="dxa"/>
            <w:noWrap/>
            <w:vAlign w:val="center"/>
            <w:hideMark/>
          </w:tcPr>
          <w:p w14:paraId="15CCB0F2"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10,725</w:t>
            </w:r>
          </w:p>
        </w:tc>
        <w:tc>
          <w:tcPr>
            <w:tcW w:w="1280" w:type="dxa"/>
            <w:noWrap/>
            <w:vAlign w:val="center"/>
            <w:hideMark/>
          </w:tcPr>
          <w:p w14:paraId="68ACEA29"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37%</w:t>
            </w:r>
          </w:p>
        </w:tc>
      </w:tr>
      <w:tr w:rsidR="00CF5E36" w:rsidRPr="001D6F3C" w14:paraId="62FF3E18" w14:textId="77777777" w:rsidTr="009A2088">
        <w:trPr>
          <w:trHeight w:val="256"/>
        </w:trPr>
        <w:tc>
          <w:tcPr>
            <w:tcW w:w="1043" w:type="dxa"/>
            <w:noWrap/>
            <w:vAlign w:val="center"/>
            <w:hideMark/>
          </w:tcPr>
          <w:p w14:paraId="34345C58"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&gt;0-20%</w:t>
            </w:r>
          </w:p>
        </w:tc>
        <w:tc>
          <w:tcPr>
            <w:tcW w:w="1278" w:type="dxa"/>
            <w:noWrap/>
            <w:vAlign w:val="center"/>
            <w:hideMark/>
          </w:tcPr>
          <w:p w14:paraId="57C7780E"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73,305</w:t>
            </w:r>
          </w:p>
        </w:tc>
        <w:tc>
          <w:tcPr>
            <w:tcW w:w="1280" w:type="dxa"/>
            <w:hideMark/>
          </w:tcPr>
          <w:p w14:paraId="1A5593FE"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9%</w:t>
            </w:r>
          </w:p>
        </w:tc>
        <w:tc>
          <w:tcPr>
            <w:tcW w:w="1279" w:type="dxa"/>
            <w:noWrap/>
            <w:vAlign w:val="center"/>
            <w:hideMark/>
          </w:tcPr>
          <w:p w14:paraId="601B481F"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15,684</w:t>
            </w:r>
          </w:p>
        </w:tc>
        <w:tc>
          <w:tcPr>
            <w:tcW w:w="1280" w:type="dxa"/>
            <w:noWrap/>
            <w:vAlign w:val="center"/>
            <w:hideMark/>
          </w:tcPr>
          <w:p w14:paraId="11AAA6BB"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hAnsi="Corbel"/>
                <w:color w:val="000000"/>
                <w:sz w:val="15"/>
                <w:szCs w:val="15"/>
              </w:rPr>
              <w:t>14%</w:t>
            </w:r>
          </w:p>
        </w:tc>
        <w:tc>
          <w:tcPr>
            <w:tcW w:w="1279" w:type="dxa"/>
            <w:noWrap/>
            <w:vAlign w:val="center"/>
            <w:hideMark/>
          </w:tcPr>
          <w:p w14:paraId="5ACB02C3"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3,807</w:t>
            </w:r>
          </w:p>
        </w:tc>
        <w:tc>
          <w:tcPr>
            <w:tcW w:w="1280" w:type="dxa"/>
            <w:noWrap/>
            <w:vAlign w:val="center"/>
            <w:hideMark/>
          </w:tcPr>
          <w:p w14:paraId="3935E0D6"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13%</w:t>
            </w:r>
          </w:p>
        </w:tc>
      </w:tr>
      <w:tr w:rsidR="00CF5E36" w:rsidRPr="001D6F3C" w14:paraId="1140B46F" w14:textId="77777777" w:rsidTr="009A2088">
        <w:trPr>
          <w:trHeight w:val="256"/>
        </w:trPr>
        <w:tc>
          <w:tcPr>
            <w:tcW w:w="1043" w:type="dxa"/>
            <w:noWrap/>
            <w:vAlign w:val="center"/>
            <w:hideMark/>
          </w:tcPr>
          <w:p w14:paraId="74FDFC14"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20-40%</w:t>
            </w:r>
          </w:p>
        </w:tc>
        <w:tc>
          <w:tcPr>
            <w:tcW w:w="1278" w:type="dxa"/>
            <w:noWrap/>
            <w:vAlign w:val="center"/>
            <w:hideMark/>
          </w:tcPr>
          <w:p w14:paraId="4EBC718B"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31,998</w:t>
            </w:r>
          </w:p>
        </w:tc>
        <w:tc>
          <w:tcPr>
            <w:tcW w:w="1280" w:type="dxa"/>
            <w:hideMark/>
          </w:tcPr>
          <w:p w14:paraId="2E5CB91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4%</w:t>
            </w:r>
          </w:p>
        </w:tc>
        <w:tc>
          <w:tcPr>
            <w:tcW w:w="1279" w:type="dxa"/>
            <w:noWrap/>
            <w:vAlign w:val="center"/>
            <w:hideMark/>
          </w:tcPr>
          <w:p w14:paraId="363567CB"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8,922</w:t>
            </w:r>
          </w:p>
        </w:tc>
        <w:tc>
          <w:tcPr>
            <w:tcW w:w="1280" w:type="dxa"/>
            <w:noWrap/>
            <w:vAlign w:val="center"/>
            <w:hideMark/>
          </w:tcPr>
          <w:p w14:paraId="39DBB8AE"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hAnsi="Corbel"/>
                <w:color w:val="000000"/>
                <w:sz w:val="15"/>
                <w:szCs w:val="15"/>
              </w:rPr>
              <w:t>8%</w:t>
            </w:r>
          </w:p>
        </w:tc>
        <w:tc>
          <w:tcPr>
            <w:tcW w:w="1279" w:type="dxa"/>
            <w:noWrap/>
            <w:vAlign w:val="center"/>
            <w:hideMark/>
          </w:tcPr>
          <w:p w14:paraId="3D48AE33"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2,523</w:t>
            </w:r>
          </w:p>
        </w:tc>
        <w:tc>
          <w:tcPr>
            <w:tcW w:w="1280" w:type="dxa"/>
            <w:noWrap/>
            <w:vAlign w:val="center"/>
            <w:hideMark/>
          </w:tcPr>
          <w:p w14:paraId="284F9CD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9%</w:t>
            </w:r>
          </w:p>
        </w:tc>
      </w:tr>
      <w:tr w:rsidR="00CF5E36" w:rsidRPr="001D6F3C" w14:paraId="39DEEF2F" w14:textId="77777777" w:rsidTr="009A2088">
        <w:trPr>
          <w:trHeight w:val="256"/>
        </w:trPr>
        <w:tc>
          <w:tcPr>
            <w:tcW w:w="1043" w:type="dxa"/>
            <w:noWrap/>
            <w:vAlign w:val="center"/>
            <w:hideMark/>
          </w:tcPr>
          <w:p w14:paraId="7A56AF02"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40-60%</w:t>
            </w:r>
          </w:p>
        </w:tc>
        <w:tc>
          <w:tcPr>
            <w:tcW w:w="1278" w:type="dxa"/>
            <w:noWrap/>
            <w:vAlign w:val="center"/>
            <w:hideMark/>
          </w:tcPr>
          <w:p w14:paraId="6A84D1C4"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22,701</w:t>
            </w:r>
          </w:p>
        </w:tc>
        <w:tc>
          <w:tcPr>
            <w:tcW w:w="1280" w:type="dxa"/>
            <w:hideMark/>
          </w:tcPr>
          <w:p w14:paraId="047037BB"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3%</w:t>
            </w:r>
          </w:p>
        </w:tc>
        <w:tc>
          <w:tcPr>
            <w:tcW w:w="1279" w:type="dxa"/>
            <w:noWrap/>
            <w:vAlign w:val="center"/>
            <w:hideMark/>
          </w:tcPr>
          <w:p w14:paraId="6016A725"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7,245</w:t>
            </w:r>
          </w:p>
        </w:tc>
        <w:tc>
          <w:tcPr>
            <w:tcW w:w="1280" w:type="dxa"/>
            <w:noWrap/>
            <w:vAlign w:val="center"/>
            <w:hideMark/>
          </w:tcPr>
          <w:p w14:paraId="601728B5"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hAnsi="Corbel"/>
                <w:color w:val="000000"/>
                <w:sz w:val="15"/>
                <w:szCs w:val="15"/>
              </w:rPr>
              <w:t>6%</w:t>
            </w:r>
          </w:p>
        </w:tc>
        <w:tc>
          <w:tcPr>
            <w:tcW w:w="1279" w:type="dxa"/>
            <w:noWrap/>
            <w:vAlign w:val="center"/>
            <w:hideMark/>
          </w:tcPr>
          <w:p w14:paraId="738181AA"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2,187</w:t>
            </w:r>
          </w:p>
        </w:tc>
        <w:tc>
          <w:tcPr>
            <w:tcW w:w="1280" w:type="dxa"/>
            <w:noWrap/>
            <w:vAlign w:val="center"/>
            <w:hideMark/>
          </w:tcPr>
          <w:p w14:paraId="4A5855C3"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8%</w:t>
            </w:r>
          </w:p>
        </w:tc>
      </w:tr>
      <w:tr w:rsidR="00CF5E36" w:rsidRPr="001D6F3C" w14:paraId="04950FFE" w14:textId="77777777" w:rsidTr="009A2088">
        <w:trPr>
          <w:trHeight w:val="256"/>
        </w:trPr>
        <w:tc>
          <w:tcPr>
            <w:tcW w:w="1043" w:type="dxa"/>
            <w:noWrap/>
            <w:vAlign w:val="center"/>
          </w:tcPr>
          <w:p w14:paraId="388AB3A5"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60-80%</w:t>
            </w:r>
          </w:p>
        </w:tc>
        <w:tc>
          <w:tcPr>
            <w:tcW w:w="1278" w:type="dxa"/>
            <w:noWrap/>
            <w:vAlign w:val="center"/>
          </w:tcPr>
          <w:p w14:paraId="3C1A850D"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18,318</w:t>
            </w:r>
          </w:p>
        </w:tc>
        <w:tc>
          <w:tcPr>
            <w:tcW w:w="1280" w:type="dxa"/>
          </w:tcPr>
          <w:p w14:paraId="606F21D5"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2%</w:t>
            </w:r>
          </w:p>
        </w:tc>
        <w:tc>
          <w:tcPr>
            <w:tcW w:w="1279" w:type="dxa"/>
            <w:noWrap/>
            <w:vAlign w:val="center"/>
          </w:tcPr>
          <w:p w14:paraId="2271C79D"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6,456</w:t>
            </w:r>
          </w:p>
        </w:tc>
        <w:tc>
          <w:tcPr>
            <w:tcW w:w="1280" w:type="dxa"/>
            <w:noWrap/>
            <w:vAlign w:val="center"/>
          </w:tcPr>
          <w:p w14:paraId="0203A6B5"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hAnsi="Corbel"/>
                <w:color w:val="000000"/>
                <w:sz w:val="15"/>
                <w:szCs w:val="15"/>
              </w:rPr>
              <w:t>6%</w:t>
            </w:r>
          </w:p>
        </w:tc>
        <w:tc>
          <w:tcPr>
            <w:tcW w:w="1279" w:type="dxa"/>
            <w:noWrap/>
            <w:vAlign w:val="center"/>
          </w:tcPr>
          <w:p w14:paraId="611F2AF8"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2,070</w:t>
            </w:r>
          </w:p>
        </w:tc>
        <w:tc>
          <w:tcPr>
            <w:tcW w:w="1280" w:type="dxa"/>
            <w:noWrap/>
            <w:vAlign w:val="center"/>
          </w:tcPr>
          <w:p w14:paraId="03C0554D"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7%</w:t>
            </w:r>
          </w:p>
        </w:tc>
      </w:tr>
      <w:tr w:rsidR="00CF5E36" w:rsidRPr="001D6F3C" w14:paraId="4D1413FD" w14:textId="77777777" w:rsidTr="009A2088">
        <w:trPr>
          <w:trHeight w:val="256"/>
        </w:trPr>
        <w:tc>
          <w:tcPr>
            <w:tcW w:w="1043" w:type="dxa"/>
            <w:noWrap/>
            <w:vAlign w:val="center"/>
          </w:tcPr>
          <w:p w14:paraId="65932C68"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80-100%</w:t>
            </w:r>
          </w:p>
        </w:tc>
        <w:tc>
          <w:tcPr>
            <w:tcW w:w="1278" w:type="dxa"/>
            <w:noWrap/>
            <w:vAlign w:val="center"/>
          </w:tcPr>
          <w:p w14:paraId="5A1B8744"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46,902</w:t>
            </w:r>
          </w:p>
        </w:tc>
        <w:tc>
          <w:tcPr>
            <w:tcW w:w="1280" w:type="dxa"/>
          </w:tcPr>
          <w:p w14:paraId="6D2134B6"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6%</w:t>
            </w:r>
          </w:p>
        </w:tc>
        <w:tc>
          <w:tcPr>
            <w:tcW w:w="1279" w:type="dxa"/>
            <w:noWrap/>
            <w:vAlign w:val="center"/>
          </w:tcPr>
          <w:p w14:paraId="2DF0115F"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20,619</w:t>
            </w:r>
          </w:p>
        </w:tc>
        <w:tc>
          <w:tcPr>
            <w:tcW w:w="1280" w:type="dxa"/>
            <w:noWrap/>
            <w:vAlign w:val="center"/>
          </w:tcPr>
          <w:p w14:paraId="6DD728AC"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hAnsi="Corbel"/>
                <w:color w:val="000000"/>
                <w:sz w:val="15"/>
                <w:szCs w:val="15"/>
              </w:rPr>
              <w:t>18%</w:t>
            </w:r>
          </w:p>
        </w:tc>
        <w:tc>
          <w:tcPr>
            <w:tcW w:w="1279" w:type="dxa"/>
            <w:noWrap/>
            <w:vAlign w:val="center"/>
          </w:tcPr>
          <w:p w14:paraId="72405368"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sz w:val="15"/>
                <w:szCs w:val="15"/>
                <w:lang w:eastAsia="en-NZ"/>
              </w:rPr>
              <w:t>7,674</w:t>
            </w:r>
          </w:p>
        </w:tc>
        <w:tc>
          <w:tcPr>
            <w:tcW w:w="1280" w:type="dxa"/>
            <w:noWrap/>
            <w:vAlign w:val="center"/>
          </w:tcPr>
          <w:p w14:paraId="28CC9F9D"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color w:val="000000"/>
                <w:sz w:val="15"/>
                <w:szCs w:val="15"/>
                <w:lang w:eastAsia="en-NZ"/>
              </w:rPr>
              <w:t>26%</w:t>
            </w:r>
          </w:p>
        </w:tc>
      </w:tr>
      <w:tr w:rsidR="00CF5E36" w:rsidRPr="001D6F3C" w14:paraId="51EC0729" w14:textId="77777777" w:rsidTr="009A2088">
        <w:trPr>
          <w:trHeight w:val="256"/>
        </w:trPr>
        <w:tc>
          <w:tcPr>
            <w:tcW w:w="1043" w:type="dxa"/>
            <w:noWrap/>
            <w:vAlign w:val="center"/>
          </w:tcPr>
          <w:p w14:paraId="164FB57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b/>
                <w:bCs/>
                <w:color w:val="000000"/>
                <w:sz w:val="15"/>
                <w:szCs w:val="15"/>
                <w:lang w:eastAsia="en-NZ"/>
              </w:rPr>
              <w:t>Total</w:t>
            </w:r>
          </w:p>
        </w:tc>
        <w:tc>
          <w:tcPr>
            <w:tcW w:w="1278" w:type="dxa"/>
            <w:noWrap/>
            <w:vAlign w:val="center"/>
          </w:tcPr>
          <w:p w14:paraId="0AF166EF"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b/>
                <w:bCs/>
                <w:color w:val="000000"/>
                <w:sz w:val="15"/>
                <w:szCs w:val="15"/>
                <w:lang w:eastAsia="en-NZ"/>
              </w:rPr>
              <w:t>790,110</w:t>
            </w:r>
          </w:p>
        </w:tc>
        <w:tc>
          <w:tcPr>
            <w:tcW w:w="1280" w:type="dxa"/>
          </w:tcPr>
          <w:p w14:paraId="6A0683FD" w14:textId="77777777" w:rsidR="00CF5E36" w:rsidRPr="001D6F3C" w:rsidRDefault="00CF5E36" w:rsidP="009A2088">
            <w:pPr>
              <w:spacing w:before="0" w:after="0" w:line="240" w:lineRule="auto"/>
              <w:jc w:val="center"/>
              <w:rPr>
                <w:rFonts w:ascii="Corbel" w:eastAsia="Times New Roman" w:hAnsi="Corbel" w:cs="Times New Roman"/>
                <w:sz w:val="15"/>
                <w:szCs w:val="15"/>
                <w:lang w:eastAsia="en-NZ"/>
              </w:rPr>
            </w:pPr>
            <w:r w:rsidRPr="001D6F3C">
              <w:rPr>
                <w:rFonts w:ascii="Corbel" w:eastAsia="Times New Roman" w:hAnsi="Corbel" w:cs="Times New Roman"/>
                <w:sz w:val="15"/>
                <w:szCs w:val="15"/>
                <w:lang w:eastAsia="en-NZ"/>
              </w:rPr>
              <w:t>100%</w:t>
            </w:r>
          </w:p>
        </w:tc>
        <w:tc>
          <w:tcPr>
            <w:tcW w:w="1279" w:type="dxa"/>
            <w:noWrap/>
            <w:vAlign w:val="center"/>
          </w:tcPr>
          <w:p w14:paraId="17025E59"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b/>
                <w:bCs/>
                <w:sz w:val="15"/>
                <w:szCs w:val="15"/>
                <w:lang w:eastAsia="en-NZ"/>
              </w:rPr>
              <w:t>115,491</w:t>
            </w:r>
          </w:p>
        </w:tc>
        <w:tc>
          <w:tcPr>
            <w:tcW w:w="1280" w:type="dxa"/>
            <w:noWrap/>
            <w:vAlign w:val="center"/>
          </w:tcPr>
          <w:p w14:paraId="50EA4337"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b/>
                <w:bCs/>
                <w:sz w:val="15"/>
                <w:szCs w:val="15"/>
                <w:lang w:eastAsia="en-NZ"/>
              </w:rPr>
              <w:t>100%</w:t>
            </w:r>
          </w:p>
        </w:tc>
        <w:tc>
          <w:tcPr>
            <w:tcW w:w="1279" w:type="dxa"/>
            <w:noWrap/>
            <w:vAlign w:val="center"/>
          </w:tcPr>
          <w:p w14:paraId="46216860"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b/>
                <w:bCs/>
                <w:sz w:val="15"/>
                <w:szCs w:val="15"/>
                <w:lang w:eastAsia="en-NZ"/>
              </w:rPr>
              <w:t>28,986</w:t>
            </w:r>
          </w:p>
        </w:tc>
        <w:tc>
          <w:tcPr>
            <w:tcW w:w="1280" w:type="dxa"/>
            <w:noWrap/>
            <w:vAlign w:val="center"/>
          </w:tcPr>
          <w:p w14:paraId="0AAE0B16" w14:textId="77777777" w:rsidR="00CF5E36" w:rsidRPr="001D6F3C" w:rsidRDefault="00CF5E36" w:rsidP="009A2088">
            <w:pPr>
              <w:spacing w:before="0" w:after="0" w:line="240" w:lineRule="auto"/>
              <w:jc w:val="center"/>
              <w:rPr>
                <w:rFonts w:ascii="Corbel" w:eastAsia="Times New Roman" w:hAnsi="Corbel" w:cs="Times New Roman"/>
                <w:color w:val="000000"/>
                <w:sz w:val="15"/>
                <w:szCs w:val="15"/>
                <w:lang w:eastAsia="en-NZ"/>
              </w:rPr>
            </w:pPr>
            <w:r w:rsidRPr="001D6F3C">
              <w:rPr>
                <w:rFonts w:ascii="Corbel" w:eastAsia="Times New Roman" w:hAnsi="Corbel" w:cs="Times New Roman"/>
                <w:b/>
                <w:bCs/>
                <w:color w:val="000000"/>
                <w:sz w:val="15"/>
                <w:szCs w:val="15"/>
                <w:lang w:eastAsia="en-NZ"/>
              </w:rPr>
              <w:t>100%</w:t>
            </w:r>
          </w:p>
        </w:tc>
      </w:tr>
    </w:tbl>
    <w:p w14:paraId="7277C5A9" w14:textId="77777777" w:rsidR="008D1D4B" w:rsidRPr="001D6F3C" w:rsidRDefault="008D1D4B" w:rsidP="0057492F">
      <w:pPr>
        <w:spacing w:after="0"/>
        <w:jc w:val="both"/>
        <w:rPr>
          <w:rFonts w:ascii="Corbel" w:hAnsi="Corbel"/>
        </w:rPr>
      </w:pPr>
    </w:p>
    <w:tbl>
      <w:tblPr>
        <w:tblStyle w:val="TableGrid"/>
        <w:tblW w:w="0" w:type="auto"/>
        <w:tblInd w:w="-5" w:type="dxa"/>
        <w:tblLook w:val="04A0" w:firstRow="1" w:lastRow="0" w:firstColumn="1" w:lastColumn="0" w:noHBand="0" w:noVBand="1"/>
      </w:tblPr>
      <w:tblGrid>
        <w:gridCol w:w="8926"/>
      </w:tblGrid>
      <w:tr w:rsidR="008D1D4B" w:rsidRPr="001D6F3C" w14:paraId="01FD1745" w14:textId="77777777" w:rsidTr="15F71043">
        <w:trPr>
          <w:trHeight w:val="300"/>
        </w:trPr>
        <w:tc>
          <w:tcPr>
            <w:tcW w:w="8926" w:type="dxa"/>
            <w:shd w:val="clear" w:color="auto" w:fill="F2F2F2" w:themeFill="background1" w:themeFillShade="F2"/>
          </w:tcPr>
          <w:p w14:paraId="77E6E006" w14:textId="77777777" w:rsidR="008D1D4B" w:rsidRPr="001D6F3C" w:rsidRDefault="008D1D4B" w:rsidP="009A2088">
            <w:pPr>
              <w:spacing w:after="80" w:line="240" w:lineRule="auto"/>
              <w:jc w:val="both"/>
              <w:rPr>
                <w:rFonts w:ascii="Corbel" w:hAnsi="Corbel"/>
                <w:b/>
                <w:sz w:val="20"/>
                <w:szCs w:val="20"/>
              </w:rPr>
            </w:pPr>
            <w:r w:rsidRPr="001D6F3C">
              <w:rPr>
                <w:rFonts w:ascii="Corbel" w:hAnsi="Corbel"/>
                <w:b/>
                <w:sz w:val="20"/>
                <w:szCs w:val="20"/>
              </w:rPr>
              <w:t>Companion paper available</w:t>
            </w:r>
          </w:p>
          <w:p w14:paraId="6F2D3B4A" w14:textId="5E5056B1" w:rsidR="008D1D4B" w:rsidRPr="001D6F3C" w:rsidRDefault="008D1D4B" w:rsidP="009A2088">
            <w:pPr>
              <w:spacing w:after="80" w:line="240" w:lineRule="auto"/>
              <w:jc w:val="both"/>
              <w:rPr>
                <w:rFonts w:ascii="Corbel" w:hAnsi="Corbel"/>
                <w:sz w:val="20"/>
                <w:szCs w:val="20"/>
              </w:rPr>
            </w:pPr>
            <w:r w:rsidRPr="001D6F3C">
              <w:rPr>
                <w:rFonts w:ascii="Corbel" w:hAnsi="Corbel"/>
                <w:sz w:val="20"/>
                <w:szCs w:val="20"/>
              </w:rPr>
              <w:t>The 2023 paper setting out the results of the original analysis in more detail is available</w:t>
            </w:r>
            <w:hyperlink r:id="rId47" w:history="1">
              <w:r w:rsidRPr="001D6F3C">
                <w:rPr>
                  <w:rStyle w:val="Hyperlink"/>
                  <w:rFonts w:ascii="Corbel" w:hAnsi="Corbel"/>
                  <w:sz w:val="20"/>
                  <w:szCs w:val="20"/>
                </w:rPr>
                <w:t xml:space="preserve"> here</w:t>
              </w:r>
            </w:hyperlink>
            <w:r w:rsidRPr="001D6F3C">
              <w:rPr>
                <w:rFonts w:ascii="Corbel" w:hAnsi="Corbel"/>
                <w:sz w:val="20"/>
                <w:szCs w:val="20"/>
              </w:rPr>
              <w:t xml:space="preserve">: </w:t>
            </w:r>
          </w:p>
          <w:p w14:paraId="39C2D1F3" w14:textId="603C41CF" w:rsidR="008D1D4B" w:rsidRPr="001D6F3C" w:rsidRDefault="008D1D4B" w:rsidP="009A2088">
            <w:pPr>
              <w:spacing w:after="80" w:line="240" w:lineRule="auto"/>
              <w:jc w:val="both"/>
              <w:rPr>
                <w:rFonts w:ascii="Corbel" w:hAnsi="Corbel"/>
              </w:rPr>
            </w:pPr>
            <w:r w:rsidRPr="001D6F3C">
              <w:rPr>
                <w:rFonts w:ascii="Corbel" w:hAnsi="Corbel"/>
                <w:sz w:val="20"/>
                <w:szCs w:val="20"/>
              </w:rPr>
              <w:t>The update of this has been published as a companion paper to this LTIB and can be found at</w:t>
            </w:r>
            <w:hyperlink r:id="rId48" w:history="1">
              <w:r w:rsidRPr="00557D47">
                <w:rPr>
                  <w:rStyle w:val="Hyperlink"/>
                  <w:rFonts w:ascii="Corbel" w:hAnsi="Corbel"/>
                  <w:sz w:val="20"/>
                  <w:szCs w:val="20"/>
                </w:rPr>
                <w:t xml:space="preserve"> </w:t>
              </w:r>
              <w:r w:rsidR="00557D47" w:rsidRPr="00557D47">
                <w:rPr>
                  <w:rStyle w:val="Hyperlink"/>
                  <w:rFonts w:ascii="Corbel" w:hAnsi="Corbel"/>
                  <w:sz w:val="20"/>
                  <w:szCs w:val="20"/>
                </w:rPr>
                <w:t>MSD’s website</w:t>
              </w:r>
            </w:hyperlink>
            <w:r w:rsidR="00557D47">
              <w:rPr>
                <w:rFonts w:ascii="Corbel" w:hAnsi="Corbel"/>
                <w:sz w:val="20"/>
                <w:szCs w:val="20"/>
              </w:rPr>
              <w:t>.</w:t>
            </w:r>
          </w:p>
        </w:tc>
      </w:tr>
    </w:tbl>
    <w:p w14:paraId="525D496B" w14:textId="43F8AD8B" w:rsidR="00DD0A11" w:rsidRPr="001D6F3C" w:rsidRDefault="00DD0A11" w:rsidP="000B103A">
      <w:pPr>
        <w:pStyle w:val="Heading2"/>
        <w:spacing w:before="120"/>
        <w:jc w:val="both"/>
        <w:rPr>
          <w:rFonts w:ascii="Corbel" w:hAnsi="Corbel"/>
        </w:rPr>
      </w:pPr>
      <w:bookmarkStart w:id="48" w:name="_Toc207782993"/>
      <w:r w:rsidRPr="001D6F3C">
        <w:rPr>
          <w:rFonts w:ascii="Corbel" w:hAnsi="Corbel"/>
        </w:rPr>
        <w:t>2.</w:t>
      </w:r>
      <w:r w:rsidR="00382E63">
        <w:rPr>
          <w:rFonts w:ascii="Corbel" w:hAnsi="Corbel"/>
        </w:rPr>
        <w:t>6</w:t>
      </w:r>
      <w:r w:rsidRPr="001D6F3C">
        <w:rPr>
          <w:rFonts w:ascii="Corbel" w:hAnsi="Corbel"/>
        </w:rPr>
        <w:t xml:space="preserve"> Multiple disadvantage – life trajectories</w:t>
      </w:r>
      <w:bookmarkEnd w:id="48"/>
      <w:r w:rsidRPr="001D6F3C">
        <w:rPr>
          <w:rFonts w:ascii="Corbel" w:hAnsi="Corbel"/>
        </w:rPr>
        <w:t xml:space="preserve"> </w:t>
      </w:r>
    </w:p>
    <w:p w14:paraId="206E66C0" w14:textId="74D9A01B" w:rsidR="007A3860" w:rsidRPr="001D6F3C" w:rsidRDefault="00EF575B" w:rsidP="00A60862">
      <w:pPr>
        <w:jc w:val="both"/>
        <w:rPr>
          <w:rFonts w:ascii="Corbel" w:hAnsi="Corbel"/>
        </w:rPr>
      </w:pPr>
      <w:r w:rsidRPr="001D6F3C">
        <w:rPr>
          <w:rFonts w:ascii="Corbel" w:hAnsi="Corbel"/>
        </w:rPr>
        <w:t xml:space="preserve">The Office for Seniors commissioned Massey University’s Health and Ageing Research Team to undertake research into which mid-life trajectories during the period of 45 to 65 years were associated with specific economic and social outcomes and multiple disadvantage in later life. </w:t>
      </w:r>
      <w:r w:rsidR="00452540" w:rsidRPr="001D6F3C">
        <w:rPr>
          <w:rFonts w:ascii="Corbel" w:hAnsi="Corbel"/>
        </w:rPr>
        <w:t>This dr</w:t>
      </w:r>
      <w:r w:rsidR="00812552" w:rsidRPr="001D6F3C">
        <w:rPr>
          <w:rFonts w:ascii="Corbel" w:hAnsi="Corbel"/>
        </w:rPr>
        <w:t>e</w:t>
      </w:r>
      <w:r w:rsidR="00452540" w:rsidRPr="001D6F3C">
        <w:rPr>
          <w:rFonts w:ascii="Corbel" w:hAnsi="Corbel"/>
        </w:rPr>
        <w:t xml:space="preserve">w from </w:t>
      </w:r>
      <w:r w:rsidR="00812552" w:rsidRPr="001D6F3C">
        <w:rPr>
          <w:rFonts w:ascii="Corbel" w:hAnsi="Corbel"/>
        </w:rPr>
        <w:t>retrospective</w:t>
      </w:r>
      <w:r w:rsidR="00F357EC" w:rsidRPr="001D6F3C">
        <w:rPr>
          <w:rFonts w:ascii="Corbel" w:hAnsi="Corbel"/>
        </w:rPr>
        <w:t xml:space="preserve"> </w:t>
      </w:r>
      <w:r w:rsidR="008F5072" w:rsidRPr="001D6F3C">
        <w:rPr>
          <w:rFonts w:ascii="Corbel" w:hAnsi="Corbel"/>
        </w:rPr>
        <w:t xml:space="preserve">data </w:t>
      </w:r>
      <w:r w:rsidR="00707F98" w:rsidRPr="001D6F3C">
        <w:rPr>
          <w:rFonts w:ascii="Corbel" w:hAnsi="Corbel"/>
        </w:rPr>
        <w:t xml:space="preserve">from </w:t>
      </w:r>
      <w:r w:rsidR="001502B1" w:rsidRPr="001D6F3C">
        <w:rPr>
          <w:rFonts w:ascii="Corbel" w:hAnsi="Corbel"/>
        </w:rPr>
        <w:t>the</w:t>
      </w:r>
      <w:r w:rsidR="00707F98" w:rsidRPr="001D6F3C">
        <w:rPr>
          <w:rFonts w:ascii="Corbel" w:hAnsi="Corbel"/>
        </w:rPr>
        <w:t xml:space="preserve"> Health Work and Retirement </w:t>
      </w:r>
      <w:r w:rsidR="00812552" w:rsidRPr="001D6F3C">
        <w:rPr>
          <w:rFonts w:ascii="Corbel" w:hAnsi="Corbel"/>
        </w:rPr>
        <w:t>Study</w:t>
      </w:r>
      <w:r w:rsidR="0052308C" w:rsidRPr="001D6F3C">
        <w:rPr>
          <w:rFonts w:ascii="Corbel" w:hAnsi="Corbel"/>
        </w:rPr>
        <w:t xml:space="preserve">, </w:t>
      </w:r>
      <w:r w:rsidR="00F74A40" w:rsidRPr="001D6F3C">
        <w:rPr>
          <w:rFonts w:ascii="Corbel" w:hAnsi="Corbel"/>
        </w:rPr>
        <w:t>focused on</w:t>
      </w:r>
      <w:r w:rsidR="00707F98" w:rsidRPr="001D6F3C">
        <w:rPr>
          <w:rFonts w:ascii="Corbel" w:hAnsi="Corbel"/>
        </w:rPr>
        <w:t xml:space="preserve"> </w:t>
      </w:r>
      <w:r w:rsidR="00945D67" w:rsidRPr="001D6F3C">
        <w:rPr>
          <w:rFonts w:ascii="Corbel" w:hAnsi="Corbel"/>
        </w:rPr>
        <w:t>78</w:t>
      </w:r>
      <w:r w:rsidR="004B1FCC" w:rsidRPr="001D6F3C">
        <w:rPr>
          <w:rFonts w:ascii="Corbel" w:hAnsi="Corbel"/>
        </w:rPr>
        <w:t xml:space="preserve">7 people aged over </w:t>
      </w:r>
      <w:r w:rsidR="00D31D24" w:rsidRPr="001D6F3C">
        <w:rPr>
          <w:rFonts w:ascii="Corbel" w:hAnsi="Corbel"/>
        </w:rPr>
        <w:t>65</w:t>
      </w:r>
      <w:r w:rsidR="006236AD" w:rsidRPr="001D6F3C">
        <w:rPr>
          <w:rFonts w:ascii="Corbel" w:hAnsi="Corbel"/>
        </w:rPr>
        <w:t>, and</w:t>
      </w:r>
      <w:r w:rsidR="00707F98" w:rsidRPr="001D6F3C">
        <w:rPr>
          <w:rFonts w:ascii="Corbel" w:hAnsi="Corbel"/>
        </w:rPr>
        <w:t xml:space="preserve"> </w:t>
      </w:r>
      <w:r w:rsidR="003F5ED4" w:rsidRPr="001D6F3C">
        <w:rPr>
          <w:rFonts w:ascii="Corbel" w:hAnsi="Corbel"/>
        </w:rPr>
        <w:t xml:space="preserve">examined the </w:t>
      </w:r>
      <w:r w:rsidR="00041A4C" w:rsidRPr="001D6F3C">
        <w:rPr>
          <w:rFonts w:ascii="Corbel" w:hAnsi="Corbel"/>
        </w:rPr>
        <w:t xml:space="preserve">association of employment status, housing tenure, health and disability status, adverse life events, relationships, number of children, and caring commitments </w:t>
      </w:r>
      <w:r w:rsidR="00FE5AD3" w:rsidRPr="001D6F3C">
        <w:rPr>
          <w:rFonts w:ascii="Corbel" w:hAnsi="Corbel"/>
        </w:rPr>
        <w:t>with</w:t>
      </w:r>
      <w:r w:rsidR="00041A4C" w:rsidRPr="001D6F3C">
        <w:rPr>
          <w:rFonts w:ascii="Corbel" w:hAnsi="Corbel"/>
        </w:rPr>
        <w:t xml:space="preserve"> late life outcomes</w:t>
      </w:r>
      <w:r w:rsidR="009E68D6" w:rsidRPr="001D6F3C">
        <w:rPr>
          <w:rFonts w:ascii="Corbel" w:hAnsi="Corbel"/>
        </w:rPr>
        <w:t>, including a</w:t>
      </w:r>
      <w:r w:rsidR="00693766" w:rsidRPr="001D6F3C">
        <w:t xml:space="preserve"> </w:t>
      </w:r>
      <w:r w:rsidR="008E5176" w:rsidRPr="001D6F3C">
        <w:rPr>
          <w:rFonts w:ascii="Corbel" w:hAnsi="Corbel"/>
        </w:rPr>
        <w:t>measure of multiple disadvantage</w:t>
      </w:r>
      <w:r w:rsidR="005762D6" w:rsidRPr="001D6F3C">
        <w:rPr>
          <w:rFonts w:ascii="Corbel" w:hAnsi="Corbel"/>
        </w:rPr>
        <w:t xml:space="preserve">. </w:t>
      </w:r>
      <w:r w:rsidR="00634652" w:rsidRPr="001D6F3C">
        <w:rPr>
          <w:rFonts w:ascii="Corbel" w:hAnsi="Corbel"/>
        </w:rPr>
        <w:t>Findings included that:</w:t>
      </w:r>
    </w:p>
    <w:p w14:paraId="605A36FF" w14:textId="5D0CD94E" w:rsidR="00EF575B" w:rsidRPr="001D6F3C" w:rsidRDefault="00EF575B" w:rsidP="0057492F">
      <w:pPr>
        <w:pStyle w:val="ListParagraph"/>
        <w:numPr>
          <w:ilvl w:val="0"/>
          <w:numId w:val="22"/>
        </w:numPr>
        <w:ind w:left="714" w:hanging="357"/>
        <w:contextualSpacing w:val="0"/>
        <w:jc w:val="both"/>
        <w:rPr>
          <w:rFonts w:ascii="Corbel" w:hAnsi="Corbel"/>
        </w:rPr>
      </w:pPr>
      <w:r w:rsidRPr="001D6F3C">
        <w:rPr>
          <w:rFonts w:ascii="Corbel" w:hAnsi="Corbel"/>
        </w:rPr>
        <w:t xml:space="preserve">mid-life trajectories which had important influences on late life outcomes were employment patterns, health and disability status, and adverse life events. Paid employment in the twenty years before age 65 influenced social outcomes rather than financial outcomes in this research </w:t>
      </w:r>
      <w:r w:rsidR="007A0ACB" w:rsidRPr="001D6F3C">
        <w:rPr>
          <w:rFonts w:ascii="Corbel" w:hAnsi="Corbel"/>
        </w:rPr>
        <w:t>–</w:t>
      </w:r>
      <w:r w:rsidRPr="001D6F3C">
        <w:rPr>
          <w:rFonts w:ascii="Corbel" w:hAnsi="Corbel"/>
        </w:rPr>
        <w:t xml:space="preserve"> </w:t>
      </w:r>
      <w:r w:rsidR="007A0ACB" w:rsidRPr="001D6F3C">
        <w:rPr>
          <w:rFonts w:ascii="Corbel" w:hAnsi="Corbel"/>
        </w:rPr>
        <w:t>th</w:t>
      </w:r>
      <w:r w:rsidR="0003122A" w:rsidRPr="001D6F3C">
        <w:rPr>
          <w:rFonts w:ascii="Corbel" w:hAnsi="Corbel"/>
        </w:rPr>
        <w:t xml:space="preserve">ose who were employed </w:t>
      </w:r>
      <w:r w:rsidRPr="001D6F3C">
        <w:rPr>
          <w:rFonts w:ascii="Corbel" w:hAnsi="Corbel"/>
        </w:rPr>
        <w:t xml:space="preserve">were less likely to be lonely and more likely to have social support. </w:t>
      </w:r>
    </w:p>
    <w:p w14:paraId="3699FBA6" w14:textId="77777777" w:rsidR="00EF575B" w:rsidRPr="001D6F3C" w:rsidRDefault="00EF575B" w:rsidP="0057492F">
      <w:pPr>
        <w:pStyle w:val="ListParagraph"/>
        <w:numPr>
          <w:ilvl w:val="0"/>
          <w:numId w:val="22"/>
        </w:numPr>
        <w:ind w:left="714" w:hanging="357"/>
        <w:contextualSpacing w:val="0"/>
        <w:jc w:val="both"/>
        <w:rPr>
          <w:rFonts w:ascii="Corbel" w:hAnsi="Corbel"/>
        </w:rPr>
      </w:pPr>
      <w:r w:rsidRPr="001D6F3C">
        <w:rPr>
          <w:rFonts w:ascii="Corbel" w:hAnsi="Corbel"/>
        </w:rPr>
        <w:t>Participants with health conditions after age 50 were more likely to be in economic hardship, and participants who had multiple health conditions throughout their lives were four times more likely to experience economic hardship compared to participants who were healthy or had recovered. Health was also related to social outcomes; participants who reported their health was declining were more likely to be lonely, to report no social support, and more likely to be depressed in later life. Health decline was significantly associated with multiple disadvantage.</w:t>
      </w:r>
    </w:p>
    <w:p w14:paraId="26BD4A93" w14:textId="25B2BF71" w:rsidR="00EF575B" w:rsidRPr="001D6F3C" w:rsidRDefault="00EF575B" w:rsidP="0057492F">
      <w:pPr>
        <w:pStyle w:val="ListParagraph"/>
        <w:numPr>
          <w:ilvl w:val="0"/>
          <w:numId w:val="22"/>
        </w:numPr>
        <w:ind w:left="714" w:hanging="357"/>
        <w:contextualSpacing w:val="0"/>
        <w:jc w:val="both"/>
        <w:rPr>
          <w:rFonts w:ascii="Corbel" w:hAnsi="Corbel"/>
        </w:rPr>
      </w:pPr>
      <w:r w:rsidRPr="001D6F3C">
        <w:rPr>
          <w:rFonts w:ascii="Corbel" w:hAnsi="Corbel"/>
        </w:rPr>
        <w:t>Participants who had experienced assault or abuse were more likely to report being in economic hardship in later life, more likely to be lonely, more likely to be depressed and more likely to have higher health service use. There was a significant positive relationship between experiences of assault or abuse and multiple disadvantage.</w:t>
      </w:r>
    </w:p>
    <w:tbl>
      <w:tblPr>
        <w:tblStyle w:val="TableGrid"/>
        <w:tblW w:w="0" w:type="auto"/>
        <w:tblInd w:w="-5" w:type="dxa"/>
        <w:tblLook w:val="04A0" w:firstRow="1" w:lastRow="0" w:firstColumn="1" w:lastColumn="0" w:noHBand="0" w:noVBand="1"/>
      </w:tblPr>
      <w:tblGrid>
        <w:gridCol w:w="8926"/>
      </w:tblGrid>
      <w:tr w:rsidR="00CA5B79" w:rsidRPr="001D6F3C" w14:paraId="4051EDFB" w14:textId="77777777">
        <w:tc>
          <w:tcPr>
            <w:tcW w:w="8926" w:type="dxa"/>
            <w:shd w:val="clear" w:color="auto" w:fill="F2F2F2" w:themeFill="background1" w:themeFillShade="F2"/>
          </w:tcPr>
          <w:p w14:paraId="6E86424E" w14:textId="77777777" w:rsidR="00004C63" w:rsidRPr="001D6F3C" w:rsidRDefault="00004C63">
            <w:pPr>
              <w:spacing w:after="80" w:line="240" w:lineRule="auto"/>
              <w:jc w:val="both"/>
              <w:rPr>
                <w:rFonts w:ascii="Corbel" w:hAnsi="Corbel"/>
                <w:b/>
                <w:bCs/>
              </w:rPr>
            </w:pPr>
            <w:r w:rsidRPr="001D6F3C">
              <w:rPr>
                <w:rFonts w:ascii="Corbel" w:hAnsi="Corbel"/>
                <w:b/>
                <w:bCs/>
              </w:rPr>
              <w:t>Companion paper available</w:t>
            </w:r>
          </w:p>
          <w:p w14:paraId="2FAAA392" w14:textId="110FB5DE" w:rsidR="00004C63" w:rsidRPr="001D6F3C" w:rsidRDefault="00004C63">
            <w:pPr>
              <w:spacing w:after="80" w:line="240" w:lineRule="auto"/>
              <w:jc w:val="both"/>
              <w:rPr>
                <w:rFonts w:ascii="Corbel" w:hAnsi="Corbel" w:cstheme="minorHAnsi"/>
                <w:sz w:val="20"/>
                <w:szCs w:val="20"/>
              </w:rPr>
            </w:pPr>
            <w:r w:rsidRPr="001D6F3C">
              <w:rPr>
                <w:rFonts w:ascii="Corbel" w:hAnsi="Corbel"/>
              </w:rPr>
              <w:lastRenderedPageBreak/>
              <w:t xml:space="preserve">The </w:t>
            </w:r>
            <w:r w:rsidR="00B12BAB" w:rsidRPr="001D6F3C">
              <w:rPr>
                <w:rFonts w:ascii="Corbel" w:hAnsi="Corbel"/>
              </w:rPr>
              <w:t>Massey University’s Paper has been published as a companion paper and can be found</w:t>
            </w:r>
            <w:r w:rsidR="00557D47">
              <w:rPr>
                <w:rFonts w:ascii="Corbel" w:hAnsi="Corbel"/>
              </w:rPr>
              <w:t xml:space="preserve"> at the</w:t>
            </w:r>
            <w:hyperlink r:id="rId49" w:history="1">
              <w:r w:rsidR="00557D47" w:rsidRPr="00557D47">
                <w:rPr>
                  <w:rStyle w:val="Hyperlink"/>
                  <w:rFonts w:ascii="Corbel" w:hAnsi="Corbel"/>
                </w:rPr>
                <w:t xml:space="preserve"> Office for Seniors website</w:t>
              </w:r>
            </w:hyperlink>
            <w:r w:rsidR="00557D47">
              <w:rPr>
                <w:rFonts w:ascii="Corbel" w:hAnsi="Corbel"/>
              </w:rPr>
              <w:t>.</w:t>
            </w:r>
          </w:p>
        </w:tc>
      </w:tr>
    </w:tbl>
    <w:p w14:paraId="77E9BFB0" w14:textId="084DD51C" w:rsidR="6E816A7D" w:rsidRPr="001D6F3C" w:rsidRDefault="6E816A7D"/>
    <w:p w14:paraId="75E6FEB2" w14:textId="0FC10DA9" w:rsidR="00EF575B" w:rsidRPr="001D6F3C" w:rsidRDefault="00EF575B" w:rsidP="00F51D6A">
      <w:pPr>
        <w:pStyle w:val="Heading1"/>
        <w:rPr>
          <w:rFonts w:asciiTheme="minorHAnsi" w:hAnsiTheme="minorHAnsi" w:cstheme="minorHAnsi"/>
        </w:rPr>
      </w:pPr>
      <w:bookmarkStart w:id="49" w:name="_Toc207782994"/>
      <w:r w:rsidRPr="001D6F3C">
        <w:rPr>
          <w:rFonts w:asciiTheme="minorHAnsi" w:hAnsiTheme="minorHAnsi" w:cstheme="minorHAnsi"/>
        </w:rPr>
        <w:t xml:space="preserve">Part three: </w:t>
      </w:r>
      <w:r w:rsidR="00F51D6A" w:rsidRPr="001D6F3C">
        <w:rPr>
          <w:rFonts w:asciiTheme="minorHAnsi" w:hAnsiTheme="minorHAnsi" w:cstheme="minorHAnsi"/>
        </w:rPr>
        <w:t xml:space="preserve">Trends in key </w:t>
      </w:r>
      <w:r w:rsidRPr="001D6F3C">
        <w:rPr>
          <w:rFonts w:asciiTheme="minorHAnsi" w:hAnsiTheme="minorHAnsi" w:cstheme="minorHAnsi"/>
        </w:rPr>
        <w:t>drivers of disadvantage</w:t>
      </w:r>
      <w:bookmarkEnd w:id="49"/>
    </w:p>
    <w:p w14:paraId="39C5EE72" w14:textId="1C63491F" w:rsidR="00EF575B" w:rsidRPr="001D6F3C" w:rsidRDefault="00A955BA" w:rsidP="00A60862">
      <w:pPr>
        <w:pStyle w:val="Subtitle"/>
        <w:jc w:val="both"/>
        <w:rPr>
          <w:rFonts w:ascii="Corbel" w:hAnsi="Corbel"/>
        </w:rPr>
      </w:pPr>
      <w:r w:rsidRPr="001D6F3C">
        <w:rPr>
          <w:rFonts w:ascii="Corbel" w:hAnsi="Corbel"/>
        </w:rPr>
        <w:t>R</w:t>
      </w:r>
      <w:r w:rsidR="00EF575B" w:rsidRPr="001D6F3C">
        <w:rPr>
          <w:rFonts w:ascii="Corbel" w:hAnsi="Corbel"/>
        </w:rPr>
        <w:t>ecent and future trends</w:t>
      </w:r>
      <w:r w:rsidRPr="001D6F3C">
        <w:rPr>
          <w:rFonts w:ascii="Corbel" w:hAnsi="Corbel"/>
        </w:rPr>
        <w:t xml:space="preserve"> in employment, income support, </w:t>
      </w:r>
      <w:r w:rsidR="00F51D6A" w:rsidRPr="001D6F3C">
        <w:rPr>
          <w:rFonts w:ascii="Corbel" w:hAnsi="Corbel"/>
        </w:rPr>
        <w:t>housing, wealth, health, care and social support</w:t>
      </w:r>
    </w:p>
    <w:p w14:paraId="2AF2B9A2" w14:textId="744BFE68" w:rsidR="00FC049E" w:rsidRPr="001D6F3C" w:rsidRDefault="00FC049E" w:rsidP="6E816A7D">
      <w:pPr>
        <w:jc w:val="both"/>
        <w:rPr>
          <w:rFonts w:ascii="Corbel" w:hAnsi="Corbel"/>
        </w:rPr>
      </w:pPr>
      <w:r w:rsidRPr="001D6F3C">
        <w:rPr>
          <w:rFonts w:ascii="Corbel" w:hAnsi="Corbel"/>
        </w:rPr>
        <w:br w:type="page"/>
      </w:r>
      <w:r w:rsidR="189D8BC8" w:rsidRPr="001D6F3C">
        <w:rPr>
          <w:rFonts w:ascii="Corbel" w:hAnsi="Corbel"/>
        </w:rPr>
        <w:lastRenderedPageBreak/>
        <w:t>In this section we</w:t>
      </w:r>
      <w:r w:rsidR="2BAF1EBC" w:rsidRPr="001D6F3C">
        <w:rPr>
          <w:rFonts w:ascii="Corbel" w:hAnsi="Corbel"/>
        </w:rPr>
        <w:t xml:space="preserve"> </w:t>
      </w:r>
      <w:r w:rsidR="189D8BC8" w:rsidRPr="001D6F3C">
        <w:rPr>
          <w:rFonts w:ascii="Corbel" w:hAnsi="Corbel"/>
        </w:rPr>
        <w:t>explore drivers of material wellbeing and hardship</w:t>
      </w:r>
      <w:r w:rsidR="3DF82907" w:rsidRPr="001D6F3C">
        <w:rPr>
          <w:rFonts w:ascii="Corbel" w:hAnsi="Corbel"/>
        </w:rPr>
        <w:t xml:space="preserve">. We </w:t>
      </w:r>
      <w:r w:rsidR="189D8BC8" w:rsidRPr="001D6F3C">
        <w:rPr>
          <w:rFonts w:ascii="Corbel" w:hAnsi="Corbel"/>
        </w:rPr>
        <w:t>present a framework with specific lif</w:t>
      </w:r>
      <w:r w:rsidR="18BEC831" w:rsidRPr="001D6F3C">
        <w:rPr>
          <w:rFonts w:ascii="Corbel" w:hAnsi="Corbel"/>
        </w:rPr>
        <w:t>e course factors and policy settings</w:t>
      </w:r>
      <w:r w:rsidR="69763869" w:rsidRPr="001D6F3C">
        <w:rPr>
          <w:rFonts w:ascii="Corbel" w:hAnsi="Corbel"/>
        </w:rPr>
        <w:t>, demonstrating the influence of wider economic and structural factors</w:t>
      </w:r>
      <w:r w:rsidR="18BEC831" w:rsidRPr="001D6F3C">
        <w:rPr>
          <w:rFonts w:ascii="Corbel" w:hAnsi="Corbel"/>
        </w:rPr>
        <w:t xml:space="preserve">. Then we examine </w:t>
      </w:r>
      <w:r w:rsidR="08BE37AB" w:rsidRPr="001D6F3C">
        <w:rPr>
          <w:rFonts w:ascii="Corbel" w:hAnsi="Corbel"/>
        </w:rPr>
        <w:t xml:space="preserve">recent and emerging trends in employment, income support, housing, wealth, health, care and social support. While the identified trends are not exhaustive, we aim to demonstrate some of the key </w:t>
      </w:r>
      <w:r w:rsidR="7C02B806" w:rsidRPr="001D6F3C">
        <w:rPr>
          <w:rFonts w:ascii="Corbel" w:hAnsi="Corbel"/>
        </w:rPr>
        <w:t xml:space="preserve">influences on older people’s wellbeing and outline </w:t>
      </w:r>
      <w:r w:rsidR="227DDF60" w:rsidRPr="001D6F3C">
        <w:rPr>
          <w:rFonts w:ascii="Corbel" w:hAnsi="Corbel"/>
        </w:rPr>
        <w:t xml:space="preserve">drivers </w:t>
      </w:r>
      <w:r w:rsidR="7C02B806" w:rsidRPr="001D6F3C">
        <w:rPr>
          <w:rFonts w:ascii="Corbel" w:hAnsi="Corbel"/>
        </w:rPr>
        <w:t>that could lead to increased inequality and disadvantage in later life.</w:t>
      </w:r>
    </w:p>
    <w:p w14:paraId="1D1AD0FE" w14:textId="76761439" w:rsidR="00EF575B" w:rsidRPr="001D6F3C" w:rsidRDefault="00EF575B" w:rsidP="00A60862">
      <w:pPr>
        <w:pStyle w:val="Heading2"/>
        <w:jc w:val="both"/>
        <w:rPr>
          <w:rFonts w:ascii="Corbel" w:hAnsi="Corbel"/>
        </w:rPr>
      </w:pPr>
      <w:bookmarkStart w:id="50" w:name="_Toc207782995"/>
      <w:r w:rsidRPr="001D6F3C">
        <w:rPr>
          <w:rFonts w:ascii="Corbel" w:hAnsi="Corbel"/>
        </w:rPr>
        <w:t>3.1</w:t>
      </w:r>
      <w:r w:rsidR="009B4CE1" w:rsidRPr="001D6F3C">
        <w:rPr>
          <w:rFonts w:ascii="Corbel" w:hAnsi="Corbel"/>
        </w:rPr>
        <w:t xml:space="preserve"> </w:t>
      </w:r>
      <w:r w:rsidRPr="001D6F3C">
        <w:rPr>
          <w:rFonts w:ascii="Corbel" w:hAnsi="Corbel"/>
        </w:rPr>
        <w:t>Drivers of material wellbeing and hardship</w:t>
      </w:r>
      <w:bookmarkEnd w:id="50"/>
    </w:p>
    <w:p w14:paraId="23B63818" w14:textId="38A0DBA2" w:rsidR="00046B95" w:rsidRPr="001D6F3C" w:rsidRDefault="00046B95" w:rsidP="00A60862">
      <w:pPr>
        <w:pStyle w:val="Caption"/>
        <w:keepNext/>
        <w:jc w:val="both"/>
        <w:rPr>
          <w:rFonts w:ascii="Corbel" w:hAnsi="Corbel"/>
        </w:rPr>
      </w:pPr>
      <w:bookmarkStart w:id="51" w:name="_Toc203142280"/>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20</w:t>
      </w:r>
      <w:r w:rsidR="00585542" w:rsidRPr="001D6F3C">
        <w:rPr>
          <w:rFonts w:ascii="Corbel" w:hAnsi="Corbel"/>
        </w:rPr>
        <w:fldChar w:fldCharType="end"/>
      </w:r>
      <w:r w:rsidRPr="001D6F3C">
        <w:rPr>
          <w:rFonts w:ascii="Corbel" w:hAnsi="Corbel"/>
        </w:rPr>
        <w:t xml:space="preserve"> - Drivers of </w:t>
      </w:r>
      <w:r w:rsidR="001948BB" w:rsidRPr="001D6F3C">
        <w:rPr>
          <w:rFonts w:ascii="Corbel" w:hAnsi="Corbel"/>
        </w:rPr>
        <w:t>poverty and</w:t>
      </w:r>
      <w:r w:rsidRPr="001D6F3C">
        <w:rPr>
          <w:rFonts w:ascii="Corbel" w:hAnsi="Corbel"/>
        </w:rPr>
        <w:t xml:space="preserve"> material hardship - simplified view</w:t>
      </w:r>
      <w:bookmarkEnd w:id="51"/>
    </w:p>
    <w:p w14:paraId="7184D7FF" w14:textId="704E9F0C" w:rsidR="00EF575B" w:rsidRPr="001D6F3C" w:rsidRDefault="00EF575B" w:rsidP="00685399">
      <w:pPr>
        <w:jc w:val="center"/>
        <w:rPr>
          <w:rFonts w:ascii="Corbel" w:hAnsi="Corbel"/>
        </w:rPr>
      </w:pPr>
      <w:r w:rsidRPr="001D6F3C">
        <w:rPr>
          <w:rFonts w:ascii="Corbel" w:hAnsi="Corbel"/>
          <w:noProof/>
        </w:rPr>
        <w:drawing>
          <wp:inline distT="0" distB="0" distL="0" distR="0" wp14:anchorId="13387A5C" wp14:editId="57EF4242">
            <wp:extent cx="5773771" cy="2360428"/>
            <wp:effectExtent l="0" t="0" r="0" b="1905"/>
            <wp:docPr id="2014923045" name="Picture 2">
              <a:extLst xmlns:a="http://schemas.openxmlformats.org/drawingml/2006/main">
                <a:ext uri="{FF2B5EF4-FFF2-40B4-BE49-F238E27FC236}">
                  <a16:creationId xmlns:a16="http://schemas.microsoft.com/office/drawing/2014/main" id="{6756253E-5ACD-12F1-C339-7C92EB9E0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756253E-5ACD-12F1-C339-7C92EB9E03BD}"/>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6057" cy="2369539"/>
                    </a:xfrm>
                    <a:prstGeom prst="rect">
                      <a:avLst/>
                    </a:prstGeom>
                    <a:noFill/>
                  </pic:spPr>
                </pic:pic>
              </a:graphicData>
            </a:graphic>
          </wp:inline>
        </w:drawing>
      </w:r>
    </w:p>
    <w:p w14:paraId="2F1CB920" w14:textId="64B1B64D" w:rsidR="00EF575B" w:rsidRPr="001D6F3C" w:rsidRDefault="00EF575B" w:rsidP="00A60862">
      <w:pPr>
        <w:jc w:val="both"/>
        <w:rPr>
          <w:rFonts w:ascii="Corbel" w:hAnsi="Corbel"/>
        </w:rPr>
      </w:pPr>
      <w:r w:rsidRPr="001D6F3C">
        <w:rPr>
          <w:rFonts w:ascii="Corbel" w:hAnsi="Corbel"/>
          <w:b/>
          <w:bCs/>
        </w:rPr>
        <w:t xml:space="preserve">Income support administered by MSD is just one of </w:t>
      </w:r>
      <w:r w:rsidR="002C4692" w:rsidRPr="001D6F3C">
        <w:rPr>
          <w:rFonts w:ascii="Corbel" w:hAnsi="Corbel"/>
          <w:b/>
          <w:bCs/>
        </w:rPr>
        <w:t>many</w:t>
      </w:r>
      <w:r w:rsidRPr="001D6F3C">
        <w:rPr>
          <w:rFonts w:ascii="Corbel" w:hAnsi="Corbel"/>
          <w:b/>
          <w:bCs/>
        </w:rPr>
        <w:t xml:space="preserve"> influences on the material wellbeing of older people</w:t>
      </w:r>
      <w:r w:rsidRPr="001D6F3C">
        <w:rPr>
          <w:rFonts w:ascii="Corbel" w:hAnsi="Corbel"/>
        </w:rPr>
        <w:t>. NZS plays a very important role, as do other supplementary payments MSD provides (</w:t>
      </w:r>
      <w:r w:rsidR="00173FF1" w:rsidRPr="001D6F3C">
        <w:rPr>
          <w:rFonts w:ascii="Corbel" w:hAnsi="Corbel"/>
        </w:rPr>
        <w:t>AS</w:t>
      </w:r>
      <w:r w:rsidR="00407168" w:rsidRPr="001D6F3C">
        <w:rPr>
          <w:rFonts w:ascii="Corbel" w:hAnsi="Corbel"/>
        </w:rPr>
        <w:t xml:space="preserve">, </w:t>
      </w:r>
      <w:r w:rsidRPr="001D6F3C">
        <w:rPr>
          <w:rFonts w:ascii="Corbel" w:hAnsi="Corbel"/>
        </w:rPr>
        <w:t>D</w:t>
      </w:r>
      <w:r w:rsidR="00407168" w:rsidRPr="001D6F3C">
        <w:rPr>
          <w:rFonts w:ascii="Corbel" w:hAnsi="Corbel"/>
        </w:rPr>
        <w:t>isability Allowance, Temporary Additional Support).</w:t>
      </w:r>
      <w:r w:rsidRPr="001D6F3C">
        <w:rPr>
          <w:rFonts w:ascii="Corbel" w:hAnsi="Corbel"/>
        </w:rPr>
        <w:t xml:space="preserve"> But someone’s financial position in older age often reflects a wider range of factors, including the impact of </w:t>
      </w:r>
      <w:r w:rsidR="000726C6" w:rsidRPr="001D6F3C">
        <w:rPr>
          <w:rFonts w:ascii="Corbel" w:hAnsi="Corbel"/>
        </w:rPr>
        <w:t>other</w:t>
      </w:r>
      <w:r w:rsidRPr="001D6F3C">
        <w:rPr>
          <w:rFonts w:ascii="Corbel" w:hAnsi="Corbel"/>
        </w:rPr>
        <w:t xml:space="preserve"> </w:t>
      </w:r>
      <w:r w:rsidR="002842DF" w:rsidRPr="001D6F3C">
        <w:rPr>
          <w:rFonts w:ascii="Corbel" w:hAnsi="Corbel"/>
        </w:rPr>
        <w:t>g</w:t>
      </w:r>
      <w:r w:rsidR="00B40C95" w:rsidRPr="001D6F3C">
        <w:rPr>
          <w:rFonts w:ascii="Corbel" w:hAnsi="Corbel"/>
        </w:rPr>
        <w:t xml:space="preserve">overnment </w:t>
      </w:r>
      <w:r w:rsidRPr="001D6F3C">
        <w:rPr>
          <w:rFonts w:ascii="Corbel" w:hAnsi="Corbel"/>
        </w:rPr>
        <w:t>settings such as Kiwi</w:t>
      </w:r>
      <w:r w:rsidR="00AE53BA" w:rsidRPr="001D6F3C">
        <w:rPr>
          <w:rFonts w:ascii="Corbel" w:hAnsi="Corbel"/>
        </w:rPr>
        <w:t>S</w:t>
      </w:r>
      <w:r w:rsidRPr="001D6F3C">
        <w:rPr>
          <w:rFonts w:ascii="Corbel" w:hAnsi="Corbel"/>
        </w:rPr>
        <w:t>aver or</w:t>
      </w:r>
      <w:r w:rsidR="006A3F78" w:rsidRPr="001D6F3C">
        <w:rPr>
          <w:rFonts w:ascii="Corbel" w:hAnsi="Corbel"/>
        </w:rPr>
        <w:t xml:space="preserve"> the Income Related Rent Subsidy</w:t>
      </w:r>
      <w:r w:rsidR="00173FF1" w:rsidRPr="001D6F3C">
        <w:rPr>
          <w:rFonts w:ascii="Corbel" w:hAnsi="Corbel"/>
        </w:rPr>
        <w:t xml:space="preserve"> (IRRS)</w:t>
      </w:r>
      <w:r w:rsidR="000726C6" w:rsidRPr="001D6F3C">
        <w:rPr>
          <w:rFonts w:ascii="Corbel" w:hAnsi="Corbel"/>
        </w:rPr>
        <w:t xml:space="preserve">, </w:t>
      </w:r>
      <w:r w:rsidRPr="001D6F3C">
        <w:rPr>
          <w:rFonts w:ascii="Corbel" w:hAnsi="Corbel"/>
        </w:rPr>
        <w:t xml:space="preserve">and </w:t>
      </w:r>
      <w:r w:rsidR="000726C6" w:rsidRPr="001D6F3C">
        <w:rPr>
          <w:rFonts w:ascii="Corbel" w:hAnsi="Corbel"/>
        </w:rPr>
        <w:t>their life circumstances</w:t>
      </w:r>
      <w:r w:rsidRPr="001D6F3C">
        <w:rPr>
          <w:rFonts w:ascii="Corbel" w:hAnsi="Corbel"/>
        </w:rPr>
        <w:t xml:space="preserve">, which influences their assets, savings, wealth, and health. </w:t>
      </w:r>
    </w:p>
    <w:p w14:paraId="7BF6C841" w14:textId="1C844EBC" w:rsidR="00EF575B" w:rsidRPr="001D6F3C" w:rsidRDefault="00EF575B" w:rsidP="00A60862">
      <w:pPr>
        <w:jc w:val="both"/>
        <w:rPr>
          <w:rFonts w:ascii="Corbel" w:hAnsi="Corbel"/>
        </w:rPr>
      </w:pPr>
      <w:r w:rsidRPr="001D6F3C">
        <w:rPr>
          <w:rFonts w:ascii="Corbel" w:hAnsi="Corbel"/>
          <w:b/>
          <w:bCs/>
        </w:rPr>
        <w:t xml:space="preserve">We have developed two frameworks for the drivers of poverty </w:t>
      </w:r>
      <w:r w:rsidR="003E6464" w:rsidRPr="001D6F3C">
        <w:rPr>
          <w:rFonts w:ascii="Corbel" w:hAnsi="Corbel"/>
          <w:b/>
          <w:bCs/>
        </w:rPr>
        <w:t>and hardship</w:t>
      </w:r>
      <w:r w:rsidRPr="001D6F3C">
        <w:rPr>
          <w:rFonts w:ascii="Corbel" w:hAnsi="Corbel"/>
          <w:b/>
          <w:bCs/>
        </w:rPr>
        <w:t xml:space="preserve"> in older age in New Zealand. </w:t>
      </w:r>
      <w:r w:rsidRPr="001D6F3C">
        <w:rPr>
          <w:rFonts w:ascii="Corbel" w:hAnsi="Corbel"/>
        </w:rPr>
        <w:t>The first framework (above) is a simplified version of the second (overleaf), which goes into a greater level of detail around specific life course factors and policy settings</w:t>
      </w:r>
      <w:r w:rsidR="009E0FC8" w:rsidRPr="001D6F3C">
        <w:rPr>
          <w:rFonts w:ascii="Corbel" w:hAnsi="Corbel"/>
        </w:rPr>
        <w:t xml:space="preserve"> </w:t>
      </w:r>
      <w:r w:rsidRPr="001D6F3C">
        <w:rPr>
          <w:rFonts w:ascii="Corbel" w:hAnsi="Corbel"/>
        </w:rPr>
        <w:t xml:space="preserve">and </w:t>
      </w:r>
      <w:r w:rsidR="00F673C4" w:rsidRPr="001D6F3C">
        <w:rPr>
          <w:rFonts w:ascii="Corbel" w:hAnsi="Corbel"/>
        </w:rPr>
        <w:t>places</w:t>
      </w:r>
      <w:r w:rsidRPr="001D6F3C">
        <w:rPr>
          <w:rFonts w:ascii="Corbel" w:hAnsi="Corbel"/>
        </w:rPr>
        <w:t xml:space="preserve"> these in the context of wider economic and structural factors which are important for understanding living standards in context. </w:t>
      </w:r>
    </w:p>
    <w:p w14:paraId="1D40355B" w14:textId="2672B495" w:rsidR="00EF575B" w:rsidRPr="001D6F3C" w:rsidRDefault="00EF575B" w:rsidP="00A60862">
      <w:pPr>
        <w:jc w:val="both"/>
        <w:rPr>
          <w:rFonts w:ascii="Corbel" w:hAnsi="Corbel"/>
        </w:rPr>
      </w:pPr>
      <w:r w:rsidRPr="001D6F3C">
        <w:rPr>
          <w:rFonts w:ascii="Corbel" w:hAnsi="Corbel"/>
        </w:rPr>
        <w:t>MSD research on economic living standards found three sets of factors that influence the material wellbeing of older people:</w:t>
      </w:r>
    </w:p>
    <w:p w14:paraId="434B9357" w14:textId="159C17AE" w:rsidR="00EF575B" w:rsidRPr="001D6F3C" w:rsidRDefault="00EF575B" w:rsidP="00D404C5">
      <w:pPr>
        <w:numPr>
          <w:ilvl w:val="0"/>
          <w:numId w:val="23"/>
        </w:numPr>
        <w:jc w:val="both"/>
        <w:rPr>
          <w:rFonts w:ascii="Corbel" w:hAnsi="Corbel"/>
        </w:rPr>
      </w:pPr>
      <w:r w:rsidRPr="001D6F3C">
        <w:rPr>
          <w:rFonts w:ascii="Corbel" w:hAnsi="Corbel"/>
          <w:b/>
          <w:bCs/>
        </w:rPr>
        <w:t xml:space="preserve">Current economic circumstances </w:t>
      </w:r>
      <w:r w:rsidRPr="001D6F3C">
        <w:rPr>
          <w:rFonts w:ascii="Corbel" w:hAnsi="Corbel"/>
        </w:rPr>
        <w:t>- net income, ongoing accommodation costs, and levels of savings and investments</w:t>
      </w:r>
      <w:r w:rsidR="000726C6" w:rsidRPr="001D6F3C">
        <w:rPr>
          <w:rFonts w:ascii="Corbel" w:hAnsi="Corbel"/>
        </w:rPr>
        <w:t xml:space="preserve"> (</w:t>
      </w:r>
      <w:r w:rsidRPr="001D6F3C">
        <w:rPr>
          <w:rFonts w:ascii="Corbel" w:hAnsi="Corbel"/>
        </w:rPr>
        <w:t>often linked to ‘life-course’ factors, such as home ownership and employment history</w:t>
      </w:r>
      <w:r w:rsidR="000726C6" w:rsidRPr="001D6F3C">
        <w:rPr>
          <w:rFonts w:ascii="Corbel" w:hAnsi="Corbel"/>
        </w:rPr>
        <w:t>)</w:t>
      </w:r>
      <w:r w:rsidRPr="001D6F3C">
        <w:rPr>
          <w:rFonts w:ascii="Corbel" w:hAnsi="Corbel"/>
        </w:rPr>
        <w:t xml:space="preserve">. </w:t>
      </w:r>
    </w:p>
    <w:p w14:paraId="45603BAF" w14:textId="2B6A6C2F" w:rsidR="00EF575B" w:rsidRPr="001D6F3C" w:rsidRDefault="00EF575B" w:rsidP="00D404C5">
      <w:pPr>
        <w:numPr>
          <w:ilvl w:val="0"/>
          <w:numId w:val="23"/>
        </w:numPr>
        <w:jc w:val="both"/>
        <w:rPr>
          <w:rFonts w:ascii="Corbel" w:hAnsi="Corbel"/>
        </w:rPr>
      </w:pPr>
      <w:r w:rsidRPr="001D6F3C">
        <w:rPr>
          <w:rFonts w:ascii="Corbel" w:hAnsi="Corbel"/>
          <w:b/>
          <w:bCs/>
        </w:rPr>
        <w:t xml:space="preserve">Recent and historical financial stresses </w:t>
      </w:r>
      <w:r w:rsidRPr="001D6F3C">
        <w:rPr>
          <w:rFonts w:ascii="Corbel" w:hAnsi="Corbel"/>
        </w:rPr>
        <w:t>- exposure to various adverse life events and circumstances, including</w:t>
      </w:r>
      <w:r w:rsidR="000726C6" w:rsidRPr="001D6F3C">
        <w:rPr>
          <w:rFonts w:ascii="Corbel" w:hAnsi="Corbel"/>
        </w:rPr>
        <w:t xml:space="preserve"> relationship</w:t>
      </w:r>
      <w:r w:rsidRPr="001D6F3C">
        <w:rPr>
          <w:rFonts w:ascii="Corbel" w:hAnsi="Corbel"/>
        </w:rPr>
        <w:t xml:space="preserve"> breakdown, unemployment, bankruptcy, and redundancy</w:t>
      </w:r>
      <w:r w:rsidR="00AE53BA" w:rsidRPr="001D6F3C">
        <w:rPr>
          <w:rFonts w:ascii="Corbel" w:hAnsi="Corbel"/>
        </w:rPr>
        <w:t>.</w:t>
      </w:r>
    </w:p>
    <w:p w14:paraId="17DE8291" w14:textId="19867F63" w:rsidR="00EF575B" w:rsidRPr="001D6F3C" w:rsidRDefault="00EF575B" w:rsidP="00D404C5">
      <w:pPr>
        <w:numPr>
          <w:ilvl w:val="0"/>
          <w:numId w:val="23"/>
        </w:numPr>
        <w:jc w:val="both"/>
        <w:rPr>
          <w:rFonts w:ascii="Corbel" w:hAnsi="Corbel"/>
        </w:rPr>
      </w:pPr>
      <w:r w:rsidRPr="001D6F3C">
        <w:rPr>
          <w:rFonts w:ascii="Corbel" w:hAnsi="Corbel"/>
          <w:b/>
          <w:bCs/>
        </w:rPr>
        <w:t xml:space="preserve">Social background </w:t>
      </w:r>
      <w:r w:rsidRPr="001D6F3C">
        <w:rPr>
          <w:rFonts w:ascii="Corbel" w:hAnsi="Corbel"/>
        </w:rPr>
        <w:t>- respondents who were Māori or Pacific, had worked in a low</w:t>
      </w:r>
      <w:r w:rsidR="00B6154D" w:rsidRPr="001D6F3C">
        <w:rPr>
          <w:rFonts w:ascii="Corbel" w:hAnsi="Corbel"/>
        </w:rPr>
        <w:t xml:space="preserve"> socio-economic status</w:t>
      </w:r>
      <w:r w:rsidRPr="001D6F3C">
        <w:rPr>
          <w:rFonts w:ascii="Corbel" w:hAnsi="Corbel"/>
        </w:rPr>
        <w:t xml:space="preserve"> occupation, or had lacked formal educational qualifications had lower mean </w:t>
      </w:r>
      <w:r w:rsidRPr="001D6F3C">
        <w:rPr>
          <w:rFonts w:ascii="Corbel" w:hAnsi="Corbel"/>
        </w:rPr>
        <w:lastRenderedPageBreak/>
        <w:t>material wellbeing scores, even after controlling for economic circumstances</w:t>
      </w:r>
      <w:r w:rsidR="00BC5FAB" w:rsidRPr="001D6F3C">
        <w:rPr>
          <w:rFonts w:ascii="Corbel" w:hAnsi="Corbel"/>
        </w:rPr>
        <w:t xml:space="preserve"> (Fergusson, 2001)</w:t>
      </w:r>
      <w:r w:rsidRPr="001D6F3C">
        <w:rPr>
          <w:rFonts w:ascii="Corbel" w:hAnsi="Corbel"/>
        </w:rPr>
        <w:t xml:space="preserve">. </w:t>
      </w:r>
    </w:p>
    <w:p w14:paraId="29CCAC97" w14:textId="1ACD558B" w:rsidR="00E10E80" w:rsidRPr="001D6F3C" w:rsidRDefault="00EF575B" w:rsidP="00A60862">
      <w:pPr>
        <w:jc w:val="both"/>
        <w:rPr>
          <w:rFonts w:ascii="Corbel" w:hAnsi="Corbel"/>
        </w:rPr>
        <w:sectPr w:rsidR="00E10E80" w:rsidRPr="001D6F3C">
          <w:headerReference w:type="even" r:id="rId51"/>
          <w:headerReference w:type="default" r:id="rId52"/>
          <w:footerReference w:type="default" r:id="rId53"/>
          <w:headerReference w:type="first" r:id="rId54"/>
          <w:pgSz w:w="11906" w:h="16838"/>
          <w:pgMar w:top="1440" w:right="1440" w:bottom="1440" w:left="1440" w:header="708" w:footer="708" w:gutter="0"/>
          <w:cols w:space="708"/>
          <w:docGrid w:linePitch="360"/>
        </w:sectPr>
      </w:pPr>
      <w:r w:rsidRPr="001D6F3C">
        <w:rPr>
          <w:rFonts w:ascii="Corbel" w:hAnsi="Corbel"/>
        </w:rPr>
        <w:t>OECD research indicates that inequality and disadvantage amongst older people are driven by the</w:t>
      </w:r>
      <w:r w:rsidR="002F2D03" w:rsidRPr="001D6F3C">
        <w:rPr>
          <w:rFonts w:ascii="Corbel" w:hAnsi="Corbel"/>
        </w:rPr>
        <w:t>ir</w:t>
      </w:r>
      <w:r w:rsidRPr="001D6F3C">
        <w:rPr>
          <w:rFonts w:ascii="Corbel" w:hAnsi="Corbel"/>
        </w:rPr>
        <w:t xml:space="preserve"> circumstances </w:t>
      </w:r>
      <w:r w:rsidR="002F2D03" w:rsidRPr="001D6F3C">
        <w:rPr>
          <w:rFonts w:ascii="Corbel" w:hAnsi="Corbel"/>
        </w:rPr>
        <w:t>over the course of their lives</w:t>
      </w:r>
      <w:r w:rsidRPr="001D6F3C">
        <w:rPr>
          <w:rFonts w:ascii="Corbel" w:hAnsi="Corbel"/>
        </w:rPr>
        <w:t xml:space="preserve">: </w:t>
      </w:r>
      <w:r w:rsidRPr="001D6F3C">
        <w:rPr>
          <w:rFonts w:ascii="Corbel" w:hAnsi="Corbel"/>
          <w:i/>
          <w:iCs/>
        </w:rPr>
        <w:t>“socio-economic outcomes of individuals build up from childhood to adulthood, and inequality of a given cohort later in life largely results from differences in individual experiences accumulated over the life course”</w:t>
      </w:r>
      <w:r w:rsidR="0005637E" w:rsidRPr="001D6F3C">
        <w:rPr>
          <w:rFonts w:ascii="Corbel" w:hAnsi="Corbel"/>
        </w:rPr>
        <w:t xml:space="preserve"> (OECD</w:t>
      </w:r>
      <w:r w:rsidR="00BC5FAB" w:rsidRPr="001D6F3C">
        <w:rPr>
          <w:rFonts w:ascii="Corbel" w:hAnsi="Corbel"/>
        </w:rPr>
        <w:t>, 2017)</w:t>
      </w:r>
      <w:r w:rsidRPr="001D6F3C">
        <w:rPr>
          <w:rFonts w:ascii="Corbel" w:hAnsi="Corbel"/>
        </w:rPr>
        <w:t>.</w:t>
      </w:r>
    </w:p>
    <w:p w14:paraId="701CD9D4" w14:textId="1355F53B" w:rsidR="00046B95" w:rsidRPr="001D6F3C" w:rsidRDefault="00046B95" w:rsidP="00A60862">
      <w:pPr>
        <w:pStyle w:val="Caption"/>
        <w:keepNext/>
        <w:jc w:val="both"/>
        <w:rPr>
          <w:rFonts w:ascii="Corbel" w:hAnsi="Corbel"/>
        </w:rPr>
      </w:pPr>
      <w:bookmarkStart w:id="52" w:name="_Toc203142281"/>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21</w:t>
      </w:r>
      <w:r w:rsidR="00585542" w:rsidRPr="001D6F3C">
        <w:rPr>
          <w:rFonts w:ascii="Corbel" w:hAnsi="Corbel"/>
        </w:rPr>
        <w:fldChar w:fldCharType="end"/>
      </w:r>
      <w:r w:rsidRPr="001D6F3C">
        <w:rPr>
          <w:rFonts w:ascii="Corbel" w:hAnsi="Corbel"/>
        </w:rPr>
        <w:t xml:space="preserve"> - Drivers of </w:t>
      </w:r>
      <w:r w:rsidR="001948BB" w:rsidRPr="001D6F3C">
        <w:rPr>
          <w:rFonts w:ascii="Corbel" w:hAnsi="Corbel"/>
        </w:rPr>
        <w:t xml:space="preserve">poverty and </w:t>
      </w:r>
      <w:r w:rsidRPr="001D6F3C">
        <w:rPr>
          <w:rFonts w:ascii="Corbel" w:hAnsi="Corbel"/>
        </w:rPr>
        <w:t>material hardship - more detailed view</w:t>
      </w:r>
      <w:bookmarkEnd w:id="52"/>
    </w:p>
    <w:p w14:paraId="639FB30E" w14:textId="097958E4" w:rsidR="00EF575B" w:rsidRPr="001D6F3C" w:rsidRDefault="00410FFC" w:rsidP="00A60862">
      <w:pPr>
        <w:jc w:val="both"/>
        <w:rPr>
          <w:rFonts w:ascii="Corbel" w:hAnsi="Corbel"/>
        </w:rPr>
      </w:pPr>
      <w:r w:rsidRPr="001D6F3C">
        <w:rPr>
          <w:rFonts w:ascii="Corbel" w:hAnsi="Corbel"/>
          <w:noProof/>
        </w:rPr>
        <w:drawing>
          <wp:inline distT="0" distB="0" distL="0" distR="0" wp14:anchorId="32C1248B" wp14:editId="1B30A5AF">
            <wp:extent cx="9380154" cy="5355453"/>
            <wp:effectExtent l="0" t="0" r="0" b="0"/>
            <wp:docPr id="1808887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88037" cy="5359953"/>
                    </a:xfrm>
                    <a:prstGeom prst="rect">
                      <a:avLst/>
                    </a:prstGeom>
                    <a:noFill/>
                  </pic:spPr>
                </pic:pic>
              </a:graphicData>
            </a:graphic>
          </wp:inline>
        </w:drawing>
      </w:r>
    </w:p>
    <w:p w14:paraId="2C05E7A3" w14:textId="69069EB6" w:rsidR="00E10E80" w:rsidRPr="001D6F3C" w:rsidRDefault="00E10E80" w:rsidP="00A60862">
      <w:pPr>
        <w:spacing w:before="0"/>
        <w:jc w:val="both"/>
        <w:rPr>
          <w:rFonts w:ascii="Corbel" w:hAnsi="Corbel"/>
        </w:rPr>
        <w:sectPr w:rsidR="00E10E80" w:rsidRPr="001D6F3C" w:rsidSect="00E10E80">
          <w:pgSz w:w="16838" w:h="11906" w:orient="landscape"/>
          <w:pgMar w:top="1440" w:right="1440" w:bottom="1440" w:left="1440" w:header="708" w:footer="708" w:gutter="0"/>
          <w:cols w:space="708"/>
          <w:docGrid w:linePitch="360"/>
        </w:sectPr>
      </w:pPr>
    </w:p>
    <w:p w14:paraId="0E02E2A1" w14:textId="1859360C" w:rsidR="00EF575B" w:rsidRPr="001D6F3C" w:rsidRDefault="00EF575B" w:rsidP="00A60862">
      <w:pPr>
        <w:pStyle w:val="Heading2"/>
        <w:jc w:val="both"/>
        <w:rPr>
          <w:rFonts w:ascii="Corbel" w:hAnsi="Corbel"/>
        </w:rPr>
      </w:pPr>
      <w:bookmarkStart w:id="53" w:name="_Toc207782996"/>
      <w:r w:rsidRPr="001D6F3C">
        <w:rPr>
          <w:rFonts w:ascii="Corbel" w:hAnsi="Corbel"/>
        </w:rPr>
        <w:lastRenderedPageBreak/>
        <w:t>3.2</w:t>
      </w:r>
      <w:r w:rsidR="00DD341A" w:rsidRPr="001D6F3C">
        <w:rPr>
          <w:rFonts w:ascii="Corbel" w:hAnsi="Corbel"/>
        </w:rPr>
        <w:t xml:space="preserve"> </w:t>
      </w:r>
      <w:r w:rsidRPr="001D6F3C">
        <w:rPr>
          <w:rFonts w:ascii="Corbel" w:hAnsi="Corbel"/>
          <w:b/>
          <w:bCs/>
        </w:rPr>
        <w:t>Employment</w:t>
      </w:r>
      <w:r w:rsidR="00DD341A" w:rsidRPr="001D6F3C">
        <w:rPr>
          <w:rFonts w:ascii="Corbel" w:hAnsi="Corbel"/>
          <w:b/>
          <w:bCs/>
        </w:rPr>
        <w:t xml:space="preserve"> </w:t>
      </w:r>
      <w:r w:rsidR="00FD2CE2" w:rsidRPr="001D6F3C">
        <w:rPr>
          <w:rStyle w:val="Heading2Char"/>
          <w:rFonts w:ascii="Corbel" w:hAnsi="Corbel"/>
        </w:rPr>
        <w:t xml:space="preserve">- </w:t>
      </w:r>
      <w:r w:rsidR="00226447" w:rsidRPr="001D6F3C">
        <w:rPr>
          <w:rStyle w:val="Heading2Char"/>
          <w:rFonts w:ascii="Corbel" w:hAnsi="Corbel"/>
        </w:rPr>
        <w:t>r</w:t>
      </w:r>
      <w:r w:rsidRPr="001D6F3C">
        <w:rPr>
          <w:rStyle w:val="Heading2Char"/>
          <w:rFonts w:ascii="Corbel" w:hAnsi="Corbel"/>
        </w:rPr>
        <w:t>ecent trends and future possibilities</w:t>
      </w:r>
      <w:bookmarkEnd w:id="53"/>
    </w:p>
    <w:p w14:paraId="5DD975AA" w14:textId="71343F93" w:rsidR="00EF575B" w:rsidRPr="001D6F3C" w:rsidRDefault="00EF575B" w:rsidP="00A60862">
      <w:pPr>
        <w:jc w:val="both"/>
        <w:rPr>
          <w:rFonts w:ascii="Corbel" w:hAnsi="Corbel"/>
        </w:rPr>
      </w:pPr>
      <w:r w:rsidRPr="001D6F3C">
        <w:rPr>
          <w:rFonts w:ascii="Corbel" w:hAnsi="Corbel"/>
        </w:rPr>
        <w:t>One particularly significant change is the dramatic increase in employment for older New Zealanders over the past three decades. The employment rate for those aged 65-69 has risen from around 10% in the mid-1990s to nearly 50%, for those aged 70</w:t>
      </w:r>
      <w:r w:rsidR="0E0C7D7B" w:rsidRPr="001D6F3C">
        <w:rPr>
          <w:rFonts w:ascii="Corbel" w:hAnsi="Corbel"/>
        </w:rPr>
        <w:t>+</w:t>
      </w:r>
      <w:r w:rsidRPr="001D6F3C">
        <w:rPr>
          <w:rFonts w:ascii="Corbel" w:hAnsi="Corbel"/>
        </w:rPr>
        <w:t xml:space="preserve"> it has risen from around 3-4% to around 15%. New Zealand now has one of the highest participation rates in the OECD for those aged 65+, a marked shift from the 1990s when New Zealand was well below the OECD average. </w:t>
      </w:r>
    </w:p>
    <w:p w14:paraId="44B6D970" w14:textId="3D2590FF" w:rsidR="00046B95" w:rsidRPr="001D6F3C" w:rsidRDefault="00046B95" w:rsidP="00A60862">
      <w:pPr>
        <w:pStyle w:val="Caption"/>
        <w:keepNext/>
        <w:jc w:val="both"/>
        <w:rPr>
          <w:rFonts w:ascii="Corbel" w:hAnsi="Corbel"/>
        </w:rPr>
      </w:pPr>
      <w:bookmarkStart w:id="54" w:name="_Toc203142282"/>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22</w:t>
      </w:r>
      <w:r w:rsidR="00585542" w:rsidRPr="001D6F3C">
        <w:rPr>
          <w:rFonts w:ascii="Corbel" w:hAnsi="Corbel"/>
        </w:rPr>
        <w:fldChar w:fldCharType="end"/>
      </w:r>
      <w:r w:rsidRPr="001D6F3C">
        <w:rPr>
          <w:rFonts w:ascii="Corbel" w:hAnsi="Corbel"/>
        </w:rPr>
        <w:t xml:space="preserve"> - Trends in employment by age (65+, both sexes)</w:t>
      </w:r>
      <w:bookmarkEnd w:id="54"/>
    </w:p>
    <w:p w14:paraId="6CD9F4CA" w14:textId="62850BC4" w:rsidR="00370270" w:rsidRPr="001D6F3C" w:rsidRDefault="00EF575B" w:rsidP="00685399">
      <w:pPr>
        <w:jc w:val="center"/>
        <w:rPr>
          <w:rFonts w:ascii="Corbel" w:hAnsi="Corbel"/>
        </w:rPr>
      </w:pPr>
      <w:r w:rsidRPr="001D6F3C">
        <w:rPr>
          <w:rFonts w:ascii="Corbel" w:hAnsi="Corbel"/>
          <w:noProof/>
        </w:rPr>
        <w:drawing>
          <wp:inline distT="0" distB="0" distL="0" distR="0" wp14:anchorId="252149F4" wp14:editId="2781651A">
            <wp:extent cx="4785213" cy="2115403"/>
            <wp:effectExtent l="0" t="0" r="0" b="0"/>
            <wp:docPr id="2069040117" name="Picture 2">
              <a:extLst xmlns:a="http://schemas.openxmlformats.org/drawingml/2006/main">
                <a:ext uri="{FF2B5EF4-FFF2-40B4-BE49-F238E27FC236}">
                  <a16:creationId xmlns:a16="http://schemas.microsoft.com/office/drawing/2014/main" id="{41E33F00-5B66-8EF3-94A6-EF17DCEEA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1E33F00-5B66-8EF3-94A6-EF17DCEEA780}"/>
                        </a:ext>
                      </a:extLst>
                    </pic:cNvPr>
                    <pic:cNvPicPr>
                      <a:picLocks noChangeAspect="1"/>
                    </pic:cNvPicPr>
                  </pic:nvPicPr>
                  <pic:blipFill rotWithShape="1">
                    <a:blip r:embed="rId56"/>
                    <a:srcRect t="9776"/>
                    <a:stretch/>
                  </pic:blipFill>
                  <pic:spPr bwMode="auto">
                    <a:xfrm>
                      <a:off x="0" y="0"/>
                      <a:ext cx="4790871" cy="2117904"/>
                    </a:xfrm>
                    <a:prstGeom prst="rect">
                      <a:avLst/>
                    </a:prstGeom>
                    <a:ln>
                      <a:noFill/>
                    </a:ln>
                    <a:extLst>
                      <a:ext uri="{53640926-AAD7-44D8-BBD7-CCE9431645EC}">
                        <a14:shadowObscured xmlns:a14="http://schemas.microsoft.com/office/drawing/2010/main"/>
                      </a:ext>
                    </a:extLst>
                  </pic:spPr>
                </pic:pic>
              </a:graphicData>
            </a:graphic>
          </wp:inline>
        </w:drawing>
      </w:r>
    </w:p>
    <w:p w14:paraId="24556A78" w14:textId="3C6A61A0" w:rsidR="00EF575B" w:rsidRPr="001D6F3C" w:rsidRDefault="00EF575B" w:rsidP="00A60862">
      <w:pPr>
        <w:jc w:val="both"/>
        <w:rPr>
          <w:rFonts w:ascii="Corbel" w:hAnsi="Corbel"/>
        </w:rPr>
      </w:pPr>
      <w:r w:rsidRPr="001D6F3C">
        <w:rPr>
          <w:rFonts w:ascii="Corbel" w:hAnsi="Corbel"/>
        </w:rPr>
        <w:t>There are a range of possible reasons for this, including the evolving labour market context, improved health and longevity, shifting societal norms and attitudes, changes in employer</w:t>
      </w:r>
      <w:r w:rsidR="00345BF7" w:rsidRPr="001D6F3C">
        <w:rPr>
          <w:rFonts w:ascii="Corbel" w:hAnsi="Corbel"/>
        </w:rPr>
        <w:t xml:space="preserve"> attitudes and</w:t>
      </w:r>
      <w:r w:rsidRPr="001D6F3C">
        <w:rPr>
          <w:rFonts w:ascii="Corbel" w:hAnsi="Corbel"/>
        </w:rPr>
        <w:t xml:space="preserve"> behaviours, personal preferences, and changes </w:t>
      </w:r>
      <w:proofErr w:type="gramStart"/>
      <w:r w:rsidRPr="001D6F3C">
        <w:rPr>
          <w:rFonts w:ascii="Corbel" w:hAnsi="Corbel"/>
        </w:rPr>
        <w:t>in the nature of working</w:t>
      </w:r>
      <w:proofErr w:type="gramEnd"/>
      <w:r w:rsidRPr="001D6F3C">
        <w:rPr>
          <w:rFonts w:ascii="Corbel" w:hAnsi="Corbel"/>
        </w:rPr>
        <w:t xml:space="preserve"> conditions (</w:t>
      </w:r>
      <w:r w:rsidR="00173FF1" w:rsidRPr="001D6F3C">
        <w:rPr>
          <w:rFonts w:ascii="Corbel" w:hAnsi="Corbel"/>
        </w:rPr>
        <w:t>e.g.</w:t>
      </w:r>
      <w:r w:rsidRPr="001D6F3C">
        <w:rPr>
          <w:rFonts w:ascii="Corbel" w:hAnsi="Corbel"/>
        </w:rPr>
        <w:t xml:space="preserve"> less physically arduous work</w:t>
      </w:r>
      <w:r w:rsidR="00345BF7" w:rsidRPr="001D6F3C">
        <w:rPr>
          <w:rFonts w:ascii="Corbel" w:hAnsi="Corbel"/>
        </w:rPr>
        <w:t>, more flexibility</w:t>
      </w:r>
      <w:r w:rsidRPr="001D6F3C">
        <w:rPr>
          <w:rFonts w:ascii="Corbel" w:hAnsi="Corbel"/>
        </w:rPr>
        <w:t>). Policy settings are also likely to have contributed, including the increase in the age of eligibility for NZS from age 60 to 65, and the abolition of compulsory retirement under the Human Rights Act 1993. NZ's superannuation policy settings also supported this, as entitlements are not impacted by earnings, meaning there is no disincentive to work</w:t>
      </w:r>
      <w:r w:rsidR="00937634" w:rsidRPr="001D6F3C">
        <w:rPr>
          <w:rFonts w:ascii="Corbel" w:hAnsi="Corbel"/>
        </w:rPr>
        <w:t xml:space="preserve"> in later life</w:t>
      </w:r>
      <w:r w:rsidR="00F87139" w:rsidRPr="001D6F3C">
        <w:rPr>
          <w:rFonts w:ascii="Corbel" w:hAnsi="Corbel"/>
        </w:rPr>
        <w:t xml:space="preserve"> (which differentiates NZ from many other OECD countries)</w:t>
      </w:r>
      <w:r w:rsidRPr="001D6F3C">
        <w:rPr>
          <w:rFonts w:ascii="Corbel" w:hAnsi="Corbel"/>
        </w:rPr>
        <w:t xml:space="preserve">.  </w:t>
      </w:r>
    </w:p>
    <w:p w14:paraId="7BE2338A" w14:textId="38A493CE" w:rsidR="00EF575B" w:rsidRPr="001D6F3C" w:rsidRDefault="00EF575B" w:rsidP="00A60862">
      <w:pPr>
        <w:jc w:val="both"/>
        <w:rPr>
          <w:rFonts w:ascii="Corbel" w:hAnsi="Corbel"/>
        </w:rPr>
      </w:pPr>
      <w:r w:rsidRPr="001D6F3C">
        <w:rPr>
          <w:rFonts w:ascii="Corbel" w:hAnsi="Corbel"/>
        </w:rPr>
        <w:t>One important question is the extent to which ongoing work participation is driven more by ‘preference’ or ‘need</w:t>
      </w:r>
      <w:r w:rsidR="00C05CCE" w:rsidRPr="001D6F3C">
        <w:rPr>
          <w:rFonts w:ascii="Corbel" w:hAnsi="Corbel"/>
        </w:rPr>
        <w:t>’</w:t>
      </w:r>
      <w:r w:rsidRPr="001D6F3C">
        <w:rPr>
          <w:rFonts w:ascii="Corbel" w:hAnsi="Corbel"/>
        </w:rPr>
        <w:t xml:space="preserve">. MSD analysis has found that employment is spread </w:t>
      </w:r>
      <w:proofErr w:type="gramStart"/>
      <w:r w:rsidR="00345BF7" w:rsidRPr="001D6F3C">
        <w:rPr>
          <w:rFonts w:ascii="Corbel" w:hAnsi="Corbel"/>
        </w:rPr>
        <w:t>fairly evenly</w:t>
      </w:r>
      <w:proofErr w:type="gramEnd"/>
      <w:r w:rsidR="00345BF7" w:rsidRPr="001D6F3C">
        <w:rPr>
          <w:rFonts w:ascii="Corbel" w:hAnsi="Corbel"/>
        </w:rPr>
        <w:t xml:space="preserve"> </w:t>
      </w:r>
      <w:r w:rsidRPr="001D6F3C">
        <w:rPr>
          <w:rFonts w:ascii="Corbel" w:hAnsi="Corbel"/>
        </w:rPr>
        <w:t xml:space="preserve">across the spectrum of material wellbeing and is not limited to those with low or high living standards. A Retirement Commission survey found that, for those aged 65-69 still in paid employment, 68% </w:t>
      </w:r>
      <w:r w:rsidR="005D0230" w:rsidRPr="001D6F3C">
        <w:rPr>
          <w:rFonts w:ascii="Corbel" w:hAnsi="Corbel"/>
        </w:rPr>
        <w:t xml:space="preserve">were </w:t>
      </w:r>
      <w:r w:rsidRPr="001D6F3C">
        <w:rPr>
          <w:rFonts w:ascii="Corbel" w:hAnsi="Corbel"/>
        </w:rPr>
        <w:t>working because they want</w:t>
      </w:r>
      <w:r w:rsidR="005D0230" w:rsidRPr="001D6F3C">
        <w:rPr>
          <w:rFonts w:ascii="Corbel" w:hAnsi="Corbel"/>
        </w:rPr>
        <w:t>ed</w:t>
      </w:r>
      <w:r w:rsidRPr="001D6F3C">
        <w:rPr>
          <w:rFonts w:ascii="Corbel" w:hAnsi="Corbel"/>
        </w:rPr>
        <w:t xml:space="preserve"> to, and 32% because they </w:t>
      </w:r>
      <w:r w:rsidR="005D0230" w:rsidRPr="001D6F3C">
        <w:rPr>
          <w:rFonts w:ascii="Corbel" w:hAnsi="Corbel"/>
        </w:rPr>
        <w:t xml:space="preserve">had </w:t>
      </w:r>
      <w:r w:rsidRPr="001D6F3C">
        <w:rPr>
          <w:rFonts w:ascii="Corbel" w:hAnsi="Corbel"/>
        </w:rPr>
        <w:t xml:space="preserve">to. Those aged 65+ who work because they </w:t>
      </w:r>
      <w:proofErr w:type="gramStart"/>
      <w:r w:rsidRPr="001D6F3C">
        <w:rPr>
          <w:rFonts w:ascii="Corbel" w:hAnsi="Corbel"/>
        </w:rPr>
        <w:t>have to</w:t>
      </w:r>
      <w:proofErr w:type="gramEnd"/>
      <w:r w:rsidRPr="001D6F3C">
        <w:rPr>
          <w:rFonts w:ascii="Corbel" w:hAnsi="Corbel"/>
        </w:rPr>
        <w:t xml:space="preserve"> are less likely to own their home, and more likely to still have a mortgage compared to those who work because they want to.</w:t>
      </w:r>
    </w:p>
    <w:p w14:paraId="1C60BADC" w14:textId="293ED6F1" w:rsidR="00D62C07" w:rsidRPr="001D6F3C" w:rsidRDefault="00D62C07" w:rsidP="00A60862">
      <w:pPr>
        <w:jc w:val="both"/>
        <w:rPr>
          <w:rFonts w:ascii="Corbel" w:hAnsi="Corbel"/>
        </w:rPr>
      </w:pPr>
      <w:r w:rsidRPr="001D6F3C">
        <w:rPr>
          <w:rFonts w:ascii="Corbel" w:hAnsi="Corbel"/>
        </w:rPr>
        <w:t xml:space="preserve">As the number of people over 65 in work has grown, so too has the number who </w:t>
      </w:r>
      <w:r w:rsidR="00121AC7" w:rsidRPr="001D6F3C">
        <w:rPr>
          <w:rFonts w:ascii="Corbel" w:hAnsi="Corbel"/>
        </w:rPr>
        <w:t xml:space="preserve">are </w:t>
      </w:r>
      <w:r w:rsidR="00521480" w:rsidRPr="001D6F3C">
        <w:rPr>
          <w:rFonts w:ascii="Corbel" w:hAnsi="Corbel"/>
        </w:rPr>
        <w:t xml:space="preserve">underemployed or </w:t>
      </w:r>
      <w:r w:rsidR="00121AC7" w:rsidRPr="001D6F3C">
        <w:rPr>
          <w:rFonts w:ascii="Corbel" w:hAnsi="Corbel"/>
        </w:rPr>
        <w:t>un</w:t>
      </w:r>
      <w:r w:rsidR="00521480" w:rsidRPr="001D6F3C">
        <w:rPr>
          <w:rFonts w:ascii="Corbel" w:hAnsi="Corbel"/>
        </w:rPr>
        <w:t>employed (</w:t>
      </w:r>
      <w:r w:rsidR="00173FF1" w:rsidRPr="001D6F3C">
        <w:rPr>
          <w:rFonts w:ascii="Corbel" w:hAnsi="Corbel"/>
        </w:rPr>
        <w:t>i.e.</w:t>
      </w:r>
      <w:r w:rsidR="00521480" w:rsidRPr="001D6F3C">
        <w:rPr>
          <w:rFonts w:ascii="Corbel" w:hAnsi="Corbel"/>
        </w:rPr>
        <w:t xml:space="preserve"> not in work but actively seeking it)</w:t>
      </w:r>
      <w:r w:rsidRPr="001D6F3C">
        <w:rPr>
          <w:rFonts w:ascii="Corbel" w:hAnsi="Corbel"/>
        </w:rPr>
        <w:t xml:space="preserve">.  The proportion of </w:t>
      </w:r>
      <w:r w:rsidR="00521480" w:rsidRPr="001D6F3C">
        <w:rPr>
          <w:rFonts w:ascii="Corbel" w:hAnsi="Corbel"/>
        </w:rPr>
        <w:t xml:space="preserve">unemployed </w:t>
      </w:r>
      <w:r w:rsidRPr="001D6F3C">
        <w:rPr>
          <w:rFonts w:ascii="Corbel" w:hAnsi="Corbel"/>
        </w:rPr>
        <w:t>people over 65 years is small but has grown in recent years</w:t>
      </w:r>
      <w:r w:rsidR="0C4FBCA5" w:rsidRPr="001D6F3C">
        <w:rPr>
          <w:rFonts w:ascii="Corbel" w:hAnsi="Corbel"/>
        </w:rPr>
        <w:t>.</w:t>
      </w:r>
      <w:r w:rsidR="5A82F6FF" w:rsidRPr="001D6F3C">
        <w:rPr>
          <w:rFonts w:ascii="Corbel" w:hAnsi="Corbel"/>
        </w:rPr>
        <w:t xml:space="preserve"> </w:t>
      </w:r>
    </w:p>
    <w:p w14:paraId="2C9FD9D6" w14:textId="3C319E3C" w:rsidR="0042143E" w:rsidRPr="001D6F3C" w:rsidRDefault="00883D73" w:rsidP="001D2823">
      <w:pPr>
        <w:jc w:val="both"/>
        <w:rPr>
          <w:rFonts w:ascii="Corbel" w:hAnsi="Corbel"/>
        </w:rPr>
      </w:pPr>
      <w:r w:rsidRPr="001D6F3C">
        <w:rPr>
          <w:rFonts w:ascii="Corbel" w:hAnsi="Corbel"/>
        </w:rPr>
        <w:t xml:space="preserve">Retaining older workers in the workforce </w:t>
      </w:r>
      <w:r w:rsidR="00A153C3" w:rsidRPr="001D6F3C">
        <w:rPr>
          <w:rFonts w:ascii="Corbel" w:hAnsi="Corbel"/>
        </w:rPr>
        <w:t xml:space="preserve">often </w:t>
      </w:r>
      <w:r w:rsidRPr="001D6F3C">
        <w:rPr>
          <w:rFonts w:ascii="Corbel" w:hAnsi="Corbel"/>
        </w:rPr>
        <w:t xml:space="preserve">has many benefits for those individuals - maintaining social connections, keeping physically and mentally active and increasing financial stability. Work also </w:t>
      </w:r>
      <w:r w:rsidR="00427863" w:rsidRPr="001D6F3C">
        <w:rPr>
          <w:rFonts w:ascii="Corbel" w:hAnsi="Corbel"/>
        </w:rPr>
        <w:t xml:space="preserve">generally </w:t>
      </w:r>
      <w:r w:rsidRPr="001D6F3C">
        <w:rPr>
          <w:rFonts w:ascii="Corbel" w:hAnsi="Corbel"/>
        </w:rPr>
        <w:t xml:space="preserve">contributes to people feeling purposeful and connected to their community and aids their overall sense of wellbeing. </w:t>
      </w:r>
    </w:p>
    <w:p w14:paraId="04934F2E" w14:textId="51F53A26" w:rsidR="001D2823" w:rsidRPr="001D6F3C" w:rsidRDefault="001D2823" w:rsidP="001D2823">
      <w:pPr>
        <w:jc w:val="both"/>
        <w:rPr>
          <w:rFonts w:ascii="Corbel" w:hAnsi="Corbel"/>
        </w:rPr>
      </w:pPr>
      <w:r w:rsidRPr="001D6F3C">
        <w:rPr>
          <w:rFonts w:ascii="Corbel" w:hAnsi="Corbel"/>
        </w:rPr>
        <w:t xml:space="preserve">When looking at </w:t>
      </w:r>
      <w:r w:rsidR="00464E76" w:rsidRPr="001D6F3C">
        <w:rPr>
          <w:rFonts w:ascii="Corbel" w:hAnsi="Corbel"/>
        </w:rPr>
        <w:t xml:space="preserve">labour force participation by </w:t>
      </w:r>
      <w:r w:rsidRPr="001D6F3C">
        <w:rPr>
          <w:rFonts w:ascii="Corbel" w:hAnsi="Corbel"/>
        </w:rPr>
        <w:t xml:space="preserve">ethnicity, trends are limited by sample size (the estimates below have large sample errors) but nonetheless indicate that increases have occurred for </w:t>
      </w:r>
      <w:r w:rsidRPr="001D6F3C">
        <w:rPr>
          <w:rFonts w:ascii="Corbel" w:hAnsi="Corbel"/>
        </w:rPr>
        <w:lastRenderedPageBreak/>
        <w:t xml:space="preserve">all ethnic groups, though Māori, Pacific and Asian older people have lower labour force participation rates overall than Europeans. </w:t>
      </w:r>
    </w:p>
    <w:p w14:paraId="1C9EFB39" w14:textId="283CFFC1" w:rsidR="00046B95" w:rsidRPr="001D6F3C" w:rsidRDefault="00046B95" w:rsidP="00A60862">
      <w:pPr>
        <w:pStyle w:val="Caption"/>
        <w:keepNext/>
        <w:jc w:val="both"/>
        <w:rPr>
          <w:rFonts w:ascii="Corbel" w:hAnsi="Corbel"/>
        </w:rPr>
      </w:pPr>
      <w:bookmarkStart w:id="55" w:name="_Toc203142283"/>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23</w:t>
      </w:r>
      <w:r w:rsidR="00585542" w:rsidRPr="001D6F3C">
        <w:rPr>
          <w:rFonts w:ascii="Corbel" w:hAnsi="Corbel"/>
        </w:rPr>
        <w:fldChar w:fldCharType="end"/>
      </w:r>
      <w:r w:rsidRPr="001D6F3C">
        <w:rPr>
          <w:rFonts w:ascii="Corbel" w:hAnsi="Corbel"/>
        </w:rPr>
        <w:t xml:space="preserve"> - Labour force participation rates (65-69) - by ethnicity</w:t>
      </w:r>
      <w:bookmarkEnd w:id="55"/>
    </w:p>
    <w:p w14:paraId="1C9AC6A9" w14:textId="7F466F1F" w:rsidR="00EF575B" w:rsidRPr="001D6F3C" w:rsidRDefault="00EF575B" w:rsidP="00685399">
      <w:pPr>
        <w:jc w:val="center"/>
        <w:rPr>
          <w:rFonts w:ascii="Corbel" w:hAnsi="Corbel"/>
        </w:rPr>
      </w:pPr>
      <w:r w:rsidRPr="001D6F3C">
        <w:rPr>
          <w:rFonts w:ascii="Corbel" w:hAnsi="Corbel"/>
          <w:noProof/>
        </w:rPr>
        <w:drawing>
          <wp:inline distT="0" distB="0" distL="0" distR="0" wp14:anchorId="4C21FC23" wp14:editId="11F5E262">
            <wp:extent cx="4941632" cy="2190306"/>
            <wp:effectExtent l="0" t="0" r="0" b="635"/>
            <wp:docPr id="128478102" name="Picture 5">
              <a:extLst xmlns:a="http://schemas.openxmlformats.org/drawingml/2006/main">
                <a:ext uri="{FF2B5EF4-FFF2-40B4-BE49-F238E27FC236}">
                  <a16:creationId xmlns:a16="http://schemas.microsoft.com/office/drawing/2014/main" id="{BE6EF9EF-FCE8-CAE4-AF97-ACD046423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E6EF9EF-FCE8-CAE4-AF97-ACD046423AFF}"/>
                        </a:ext>
                      </a:extLst>
                    </pic:cNvPr>
                    <pic:cNvPicPr>
                      <a:picLocks noChangeAspect="1"/>
                    </pic:cNvPicPr>
                  </pic:nvPicPr>
                  <pic:blipFill rotWithShape="1">
                    <a:blip r:embed="rId57"/>
                    <a:srcRect t="7284" b="4143"/>
                    <a:stretch/>
                  </pic:blipFill>
                  <pic:spPr bwMode="auto">
                    <a:xfrm>
                      <a:off x="0" y="0"/>
                      <a:ext cx="4951558" cy="2194705"/>
                    </a:xfrm>
                    <a:prstGeom prst="rect">
                      <a:avLst/>
                    </a:prstGeom>
                    <a:ln>
                      <a:noFill/>
                    </a:ln>
                    <a:extLst>
                      <a:ext uri="{53640926-AAD7-44D8-BBD7-CCE9431645EC}">
                        <a14:shadowObscured xmlns:a14="http://schemas.microsoft.com/office/drawing/2010/main"/>
                      </a:ext>
                    </a:extLst>
                  </pic:spPr>
                </pic:pic>
              </a:graphicData>
            </a:graphic>
          </wp:inline>
        </w:drawing>
      </w:r>
    </w:p>
    <w:p w14:paraId="6249CF3C" w14:textId="47C494CD" w:rsidR="00EF575B" w:rsidRPr="001D6F3C" w:rsidRDefault="00EF575B" w:rsidP="00A60862">
      <w:pPr>
        <w:jc w:val="both"/>
        <w:rPr>
          <w:rFonts w:ascii="Corbel" w:hAnsi="Corbel"/>
        </w:rPr>
      </w:pPr>
      <w:r w:rsidRPr="001D6F3C">
        <w:rPr>
          <w:rFonts w:ascii="Corbel" w:hAnsi="Corbel"/>
        </w:rPr>
        <w:t xml:space="preserve">These recent trends in employment have been the major contributor to a significant increase in income inequality amongst older people. Analysis by Perry shows that a large group of older </w:t>
      </w:r>
      <w:r w:rsidR="00F87139" w:rsidRPr="001D6F3C">
        <w:rPr>
          <w:rFonts w:ascii="Corbel" w:hAnsi="Corbel"/>
        </w:rPr>
        <w:t xml:space="preserve">New Zealanders </w:t>
      </w:r>
      <w:r w:rsidRPr="001D6F3C">
        <w:rPr>
          <w:rFonts w:ascii="Corbel" w:hAnsi="Corbel"/>
        </w:rPr>
        <w:t xml:space="preserve">(around 40%) remain heavily reliant on NZS, as this makes up nearly all their income, but there has been a shift away from reliance on NZS in the upper half of the income distribution for older people through the 2000 and 2010s. This has meant steadily increasing </w:t>
      </w:r>
      <w:r w:rsidR="00345BF7" w:rsidRPr="001D6F3C">
        <w:rPr>
          <w:rFonts w:ascii="Corbel" w:hAnsi="Corbel"/>
        </w:rPr>
        <w:t xml:space="preserve">inequality for those </w:t>
      </w:r>
      <w:r w:rsidR="00384FBD" w:rsidRPr="001D6F3C">
        <w:rPr>
          <w:rFonts w:ascii="Corbel" w:hAnsi="Corbel"/>
        </w:rPr>
        <w:t>aged</w:t>
      </w:r>
      <w:r w:rsidR="00345BF7" w:rsidRPr="001D6F3C">
        <w:rPr>
          <w:rFonts w:ascii="Corbel" w:hAnsi="Corbel"/>
        </w:rPr>
        <w:t xml:space="preserve"> 65</w:t>
      </w:r>
      <w:r w:rsidR="00384FBD" w:rsidRPr="001D6F3C">
        <w:rPr>
          <w:rFonts w:ascii="Corbel" w:hAnsi="Corbel"/>
        </w:rPr>
        <w:t xml:space="preserve"> and over</w:t>
      </w:r>
      <w:r w:rsidR="00345BF7" w:rsidRPr="001D6F3C">
        <w:rPr>
          <w:rFonts w:ascii="Corbel" w:hAnsi="Corbel"/>
        </w:rPr>
        <w:t xml:space="preserve">, as measured by the </w:t>
      </w:r>
      <w:r w:rsidRPr="001D6F3C">
        <w:rPr>
          <w:rFonts w:ascii="Corbel" w:hAnsi="Corbel"/>
        </w:rPr>
        <w:t>Gini coefficient</w:t>
      </w:r>
      <w:r w:rsidR="00046B95" w:rsidRPr="001D6F3C">
        <w:rPr>
          <w:rStyle w:val="FootnoteReference"/>
          <w:rFonts w:ascii="Corbel" w:hAnsi="Corbel"/>
        </w:rPr>
        <w:footnoteReference w:id="6"/>
      </w:r>
      <w:r w:rsidRPr="001D6F3C">
        <w:rPr>
          <w:rFonts w:ascii="Corbel" w:hAnsi="Corbe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046B95" w:rsidRPr="001D6F3C" w14:paraId="67F2C200" w14:textId="77777777" w:rsidTr="0067684E">
        <w:tc>
          <w:tcPr>
            <w:tcW w:w="4820" w:type="dxa"/>
          </w:tcPr>
          <w:p w14:paraId="04A2AD24" w14:textId="7A5FBAF1" w:rsidR="00046B95" w:rsidRPr="001D6F3C" w:rsidRDefault="00046B95" w:rsidP="00A60862">
            <w:pPr>
              <w:pStyle w:val="Caption"/>
              <w:keepNext/>
              <w:jc w:val="both"/>
              <w:rPr>
                <w:rFonts w:ascii="Corbel" w:hAnsi="Corbel"/>
              </w:rPr>
            </w:pPr>
            <w:bookmarkStart w:id="56" w:name="_Toc203142284"/>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24</w:t>
            </w:r>
            <w:r w:rsidR="00585542" w:rsidRPr="001D6F3C">
              <w:rPr>
                <w:rFonts w:ascii="Corbel" w:hAnsi="Corbel"/>
              </w:rPr>
              <w:fldChar w:fldCharType="end"/>
            </w:r>
            <w:r w:rsidRPr="001D6F3C">
              <w:rPr>
                <w:rFonts w:ascii="Corbel" w:hAnsi="Corbel"/>
              </w:rPr>
              <w:t xml:space="preserve"> - proportion of gross income from transfers (65+)</w:t>
            </w:r>
            <w:bookmarkEnd w:id="56"/>
          </w:p>
          <w:p w14:paraId="0D2A1091" w14:textId="20E8B93A" w:rsidR="00046B95" w:rsidRPr="001D6F3C" w:rsidRDefault="00046B95" w:rsidP="00A60862">
            <w:pPr>
              <w:jc w:val="both"/>
              <w:rPr>
                <w:rFonts w:ascii="Corbel" w:hAnsi="Corbel"/>
              </w:rPr>
            </w:pPr>
            <w:r w:rsidRPr="001D6F3C">
              <w:rPr>
                <w:rFonts w:ascii="Corbel" w:hAnsi="Corbel"/>
                <w:noProof/>
              </w:rPr>
              <w:drawing>
                <wp:inline distT="0" distB="0" distL="0" distR="0" wp14:anchorId="1B169B32" wp14:editId="4D4C9EB0">
                  <wp:extent cx="2457450" cy="1602740"/>
                  <wp:effectExtent l="0" t="0" r="0" b="0"/>
                  <wp:docPr id="1474081601" name="Picture 4">
                    <a:extLst xmlns:a="http://schemas.openxmlformats.org/drawingml/2006/main">
                      <a:ext uri="{FF2B5EF4-FFF2-40B4-BE49-F238E27FC236}">
                        <a16:creationId xmlns:a16="http://schemas.microsoft.com/office/drawing/2014/main" id="{4DB23183-AB78-C432-7C11-CAC60A8CD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DB23183-AB78-C432-7C11-CAC60A8CD3EA}"/>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7450" cy="1602740"/>
                          </a:xfrm>
                          <a:prstGeom prst="rect">
                            <a:avLst/>
                          </a:prstGeom>
                          <a:noFill/>
                          <a:ln>
                            <a:noFill/>
                          </a:ln>
                        </pic:spPr>
                      </pic:pic>
                    </a:graphicData>
                  </a:graphic>
                </wp:inline>
              </w:drawing>
            </w:r>
          </w:p>
        </w:tc>
        <w:tc>
          <w:tcPr>
            <w:tcW w:w="4196" w:type="dxa"/>
          </w:tcPr>
          <w:p w14:paraId="71D73A4D" w14:textId="3387308A" w:rsidR="00046B95" w:rsidRPr="001D6F3C" w:rsidRDefault="00046B95" w:rsidP="00A60862">
            <w:pPr>
              <w:pStyle w:val="Caption"/>
              <w:keepNext/>
              <w:jc w:val="both"/>
              <w:rPr>
                <w:rFonts w:ascii="Corbel" w:hAnsi="Corbel"/>
              </w:rPr>
            </w:pPr>
            <w:bookmarkStart w:id="57" w:name="_Toc203142285"/>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25</w:t>
            </w:r>
            <w:r w:rsidR="00585542" w:rsidRPr="001D6F3C">
              <w:rPr>
                <w:rFonts w:ascii="Corbel" w:hAnsi="Corbel"/>
              </w:rPr>
              <w:fldChar w:fldCharType="end"/>
            </w:r>
            <w:r w:rsidRPr="001D6F3C">
              <w:rPr>
                <w:rFonts w:ascii="Corbel" w:hAnsi="Corbel"/>
              </w:rPr>
              <w:t xml:space="preserve"> - Gini for 65+: BHC disposable income</w:t>
            </w:r>
            <w:bookmarkEnd w:id="57"/>
          </w:p>
          <w:p w14:paraId="21CA462C" w14:textId="1FCF1FF6" w:rsidR="00046B95" w:rsidRPr="001D6F3C" w:rsidRDefault="00046B95" w:rsidP="00A60862">
            <w:pPr>
              <w:jc w:val="both"/>
              <w:rPr>
                <w:rFonts w:ascii="Corbel" w:hAnsi="Corbel"/>
              </w:rPr>
            </w:pPr>
            <w:r w:rsidRPr="001D6F3C">
              <w:rPr>
                <w:rFonts w:ascii="Corbel" w:hAnsi="Corbel"/>
                <w:noProof/>
              </w:rPr>
              <w:drawing>
                <wp:inline distT="0" distB="0" distL="0" distR="0" wp14:anchorId="6809EF1D" wp14:editId="661DC578">
                  <wp:extent cx="2392326" cy="1561308"/>
                  <wp:effectExtent l="0" t="0" r="8255" b="1270"/>
                  <wp:docPr id="1940841266" name="Picture 3">
                    <a:extLst xmlns:a="http://schemas.openxmlformats.org/drawingml/2006/main">
                      <a:ext uri="{FF2B5EF4-FFF2-40B4-BE49-F238E27FC236}">
                        <a16:creationId xmlns:a16="http://schemas.microsoft.com/office/drawing/2014/main" id="{035BE16A-9DBD-E489-7820-72E46D0BF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35BE16A-9DBD-E489-7820-72E46D0BF1B6}"/>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7756" cy="1564852"/>
                          </a:xfrm>
                          <a:prstGeom prst="rect">
                            <a:avLst/>
                          </a:prstGeom>
                          <a:noFill/>
                          <a:ln>
                            <a:noFill/>
                          </a:ln>
                        </pic:spPr>
                      </pic:pic>
                    </a:graphicData>
                  </a:graphic>
                </wp:inline>
              </w:drawing>
            </w:r>
          </w:p>
        </w:tc>
      </w:tr>
    </w:tbl>
    <w:p w14:paraId="5C366ADA" w14:textId="5AA858E3" w:rsidR="00EF575B" w:rsidRPr="001D6F3C" w:rsidRDefault="00EF575B" w:rsidP="00A60862">
      <w:pPr>
        <w:jc w:val="both"/>
        <w:rPr>
          <w:rFonts w:ascii="Corbel" w:hAnsi="Corbel"/>
        </w:rPr>
      </w:pPr>
      <w:r w:rsidRPr="001D6F3C">
        <w:rPr>
          <w:rFonts w:ascii="Corbel" w:hAnsi="Corbel"/>
        </w:rPr>
        <w:t xml:space="preserve">Stats NZ </w:t>
      </w:r>
      <w:r w:rsidR="007B191E" w:rsidRPr="001D6F3C">
        <w:rPr>
          <w:rFonts w:ascii="Corbel" w:hAnsi="Corbel"/>
        </w:rPr>
        <w:t>and</w:t>
      </w:r>
      <w:r w:rsidRPr="001D6F3C">
        <w:rPr>
          <w:rFonts w:ascii="Corbel" w:hAnsi="Corbel"/>
        </w:rPr>
        <w:t xml:space="preserve"> </w:t>
      </w:r>
      <w:r w:rsidR="00CD3870" w:rsidRPr="001D6F3C">
        <w:rPr>
          <w:rFonts w:ascii="Corbel" w:hAnsi="Corbel"/>
        </w:rPr>
        <w:t xml:space="preserve">the </w:t>
      </w:r>
      <w:r w:rsidRPr="001D6F3C">
        <w:rPr>
          <w:rFonts w:ascii="Corbel" w:hAnsi="Corbel"/>
        </w:rPr>
        <w:t>Treasury</w:t>
      </w:r>
      <w:r w:rsidR="00F87139" w:rsidRPr="001D6F3C">
        <w:rPr>
          <w:rFonts w:ascii="Corbel" w:hAnsi="Corbel"/>
        </w:rPr>
        <w:t xml:space="preserve"> expect workforce participation</w:t>
      </w:r>
      <w:r w:rsidR="00D66E68" w:rsidRPr="001D6F3C">
        <w:rPr>
          <w:rFonts w:ascii="Corbel" w:hAnsi="Corbel"/>
        </w:rPr>
        <w:t xml:space="preserve"> among older people</w:t>
      </w:r>
      <w:r w:rsidR="00F87139" w:rsidRPr="001D6F3C">
        <w:rPr>
          <w:rFonts w:ascii="Corbel" w:hAnsi="Corbel"/>
        </w:rPr>
        <w:t xml:space="preserve"> to “flatten off” but still increase. </w:t>
      </w:r>
      <w:r w:rsidR="007B191E" w:rsidRPr="001D6F3C">
        <w:rPr>
          <w:rFonts w:ascii="Corbel" w:hAnsi="Corbel"/>
        </w:rPr>
        <w:t xml:space="preserve">The </w:t>
      </w:r>
      <w:r w:rsidRPr="001D6F3C">
        <w:rPr>
          <w:rFonts w:ascii="Corbel" w:hAnsi="Corbel"/>
        </w:rPr>
        <w:t xml:space="preserve">Treasury’s forecast assumes that labour force participation for those aged 65-69 will grow by 5 percentage points by 2040, for those aged 70-74 by 4 percentage points, and for those aged 75-79 by 3 percentage points. While this </w:t>
      </w:r>
      <w:proofErr w:type="gramStart"/>
      <w:r w:rsidRPr="001D6F3C">
        <w:rPr>
          <w:rFonts w:ascii="Corbel" w:hAnsi="Corbel"/>
        </w:rPr>
        <w:t>in itself is</w:t>
      </w:r>
      <w:proofErr w:type="gramEnd"/>
      <w:r w:rsidRPr="001D6F3C">
        <w:rPr>
          <w:rFonts w:ascii="Corbel" w:hAnsi="Corbel"/>
        </w:rPr>
        <w:t xml:space="preserve"> a significant shift, it is distinctly possible that workforce participation will increase even more than these projections</w:t>
      </w:r>
      <w:r w:rsidR="001D2823" w:rsidRPr="001D6F3C">
        <w:rPr>
          <w:rFonts w:ascii="Corbel" w:hAnsi="Corbel"/>
        </w:rPr>
        <w:t>.</w:t>
      </w:r>
    </w:p>
    <w:p w14:paraId="569B43D0" w14:textId="5C9EB31F" w:rsidR="00EF575B" w:rsidRPr="001D6F3C" w:rsidRDefault="00EF575B" w:rsidP="00A60862">
      <w:pPr>
        <w:pStyle w:val="Heading2"/>
        <w:jc w:val="both"/>
        <w:rPr>
          <w:rFonts w:ascii="Corbel" w:hAnsi="Corbel"/>
        </w:rPr>
      </w:pPr>
      <w:bookmarkStart w:id="58" w:name="_Toc207782997"/>
      <w:r w:rsidRPr="001D6F3C">
        <w:rPr>
          <w:rFonts w:ascii="Corbel" w:hAnsi="Corbel"/>
        </w:rPr>
        <w:lastRenderedPageBreak/>
        <w:t>3.3</w:t>
      </w:r>
      <w:r w:rsidR="00045651" w:rsidRPr="001D6F3C">
        <w:rPr>
          <w:rFonts w:ascii="Corbel" w:hAnsi="Corbel"/>
        </w:rPr>
        <w:t xml:space="preserve"> </w:t>
      </w:r>
      <w:r w:rsidRPr="001D6F3C">
        <w:rPr>
          <w:rFonts w:ascii="Corbel" w:hAnsi="Corbel"/>
          <w:b/>
          <w:bCs/>
        </w:rPr>
        <w:t>Employment</w:t>
      </w:r>
      <w:r w:rsidR="00046B95" w:rsidRPr="001D6F3C">
        <w:rPr>
          <w:rFonts w:ascii="Corbel" w:hAnsi="Corbel"/>
          <w:b/>
          <w:bCs/>
        </w:rPr>
        <w:t xml:space="preserve"> </w:t>
      </w:r>
      <w:r w:rsidR="00046B95" w:rsidRPr="001D6F3C">
        <w:rPr>
          <w:rStyle w:val="Heading2Char"/>
          <w:rFonts w:ascii="Corbel" w:hAnsi="Corbel"/>
        </w:rPr>
        <w:t>-</w:t>
      </w:r>
      <w:r w:rsidR="00970EA4" w:rsidRPr="001D6F3C">
        <w:rPr>
          <w:rStyle w:val="Heading2Char"/>
          <w:rFonts w:ascii="Corbel" w:hAnsi="Corbel"/>
        </w:rPr>
        <w:t xml:space="preserve"> </w:t>
      </w:r>
      <w:r w:rsidR="00226447" w:rsidRPr="001D6F3C">
        <w:rPr>
          <w:rStyle w:val="Heading2Char"/>
          <w:rFonts w:ascii="Corbel" w:hAnsi="Corbel"/>
        </w:rPr>
        <w:t>b</w:t>
      </w:r>
      <w:r w:rsidRPr="001D6F3C">
        <w:rPr>
          <w:rStyle w:val="Heading2Char"/>
          <w:rFonts w:ascii="Corbel" w:hAnsi="Corbel"/>
        </w:rPr>
        <w:t xml:space="preserve">enefit </w:t>
      </w:r>
      <w:r w:rsidR="00970EA4" w:rsidRPr="001D6F3C">
        <w:rPr>
          <w:rStyle w:val="Heading2Char"/>
          <w:rFonts w:ascii="Corbel" w:hAnsi="Corbel"/>
        </w:rPr>
        <w:t>receipt</w:t>
      </w:r>
      <w:r w:rsidRPr="001D6F3C">
        <w:rPr>
          <w:rStyle w:val="Heading2Char"/>
          <w:rFonts w:ascii="Corbel" w:hAnsi="Corbel"/>
        </w:rPr>
        <w:t xml:space="preserve"> </w:t>
      </w:r>
      <w:r w:rsidR="00125F2F" w:rsidRPr="001D6F3C">
        <w:rPr>
          <w:rStyle w:val="Heading2Char"/>
          <w:rFonts w:ascii="Corbel" w:hAnsi="Corbel"/>
        </w:rPr>
        <w:t>and</w:t>
      </w:r>
      <w:r w:rsidR="00045651" w:rsidRPr="001D6F3C">
        <w:rPr>
          <w:rStyle w:val="Heading2Char"/>
          <w:rFonts w:ascii="Corbel" w:hAnsi="Corbel"/>
        </w:rPr>
        <w:t xml:space="preserve"> </w:t>
      </w:r>
      <w:r w:rsidR="00970EA4" w:rsidRPr="001D6F3C">
        <w:rPr>
          <w:rStyle w:val="Heading2Char"/>
          <w:rFonts w:ascii="Corbel" w:hAnsi="Corbel"/>
        </w:rPr>
        <w:t>employment support</w:t>
      </w:r>
      <w:bookmarkEnd w:id="58"/>
      <w:r w:rsidR="00970EA4" w:rsidRPr="001D6F3C">
        <w:rPr>
          <w:rStyle w:val="SubtleEmphasis"/>
          <w:rFonts w:ascii="Corbel" w:hAnsi="Corbel"/>
        </w:rPr>
        <w:t xml:space="preserve"> </w:t>
      </w:r>
    </w:p>
    <w:p w14:paraId="383A9F41" w14:textId="2ADF48D3" w:rsidR="00EF575B" w:rsidRPr="001D6F3C" w:rsidRDefault="00EF575B" w:rsidP="00A60862">
      <w:pPr>
        <w:jc w:val="both"/>
        <w:rPr>
          <w:rFonts w:ascii="Corbel" w:hAnsi="Corbel"/>
        </w:rPr>
      </w:pPr>
      <w:r w:rsidRPr="001D6F3C">
        <w:rPr>
          <w:rFonts w:ascii="Corbel" w:hAnsi="Corbel"/>
        </w:rPr>
        <w:t>There are key differences in employment patterns among older adults and pathways into retirement. Many workers</w:t>
      </w:r>
      <w:r w:rsidR="007724CF" w:rsidRPr="001D6F3C">
        <w:rPr>
          <w:rFonts w:ascii="Corbel" w:hAnsi="Corbel"/>
        </w:rPr>
        <w:t xml:space="preserve"> lose employment </w:t>
      </w:r>
      <w:r w:rsidR="001B6817" w:rsidRPr="001D6F3C">
        <w:rPr>
          <w:rFonts w:ascii="Corbel" w:hAnsi="Corbel"/>
        </w:rPr>
        <w:t>and/or</w:t>
      </w:r>
      <w:r w:rsidRPr="001D6F3C">
        <w:rPr>
          <w:rFonts w:ascii="Corbel" w:hAnsi="Corbel"/>
        </w:rPr>
        <w:t xml:space="preserve"> leave the labour market before they are eligible for NZS, increasing the risk of </w:t>
      </w:r>
      <w:proofErr w:type="gramStart"/>
      <w:r w:rsidRPr="001D6F3C">
        <w:rPr>
          <w:rFonts w:ascii="Corbel" w:hAnsi="Corbel"/>
        </w:rPr>
        <w:t>low income</w:t>
      </w:r>
      <w:proofErr w:type="gramEnd"/>
      <w:r w:rsidR="001D2823" w:rsidRPr="001D6F3C">
        <w:rPr>
          <w:rFonts w:ascii="Corbel" w:hAnsi="Corbel"/>
        </w:rPr>
        <w:t xml:space="preserve"> post 65</w:t>
      </w:r>
      <w:r w:rsidRPr="001D6F3C">
        <w:rPr>
          <w:rFonts w:ascii="Corbel" w:hAnsi="Corbel"/>
        </w:rPr>
        <w:t xml:space="preserve">. </w:t>
      </w:r>
    </w:p>
    <w:p w14:paraId="3BFC5CA0" w14:textId="5B8D63DF" w:rsidR="00EF575B" w:rsidRPr="001D6F3C" w:rsidRDefault="00EF575B" w:rsidP="00A60862">
      <w:pPr>
        <w:jc w:val="both"/>
        <w:rPr>
          <w:rFonts w:ascii="Corbel" w:hAnsi="Corbel"/>
        </w:rPr>
      </w:pPr>
      <w:r w:rsidRPr="001D6F3C">
        <w:rPr>
          <w:rFonts w:ascii="Corbel" w:hAnsi="Corbel"/>
        </w:rPr>
        <w:t>For the December quarter, there were around 46,000 recipients of a main benefit aged 60-64 years, around 15% of the total population in that age bracket. This proportion has generally remained between 12</w:t>
      </w:r>
      <w:r w:rsidR="2AF368AE" w:rsidRPr="001D6F3C">
        <w:rPr>
          <w:rFonts w:ascii="Corbel" w:hAnsi="Corbel"/>
        </w:rPr>
        <w:t>%</w:t>
      </w:r>
      <w:r w:rsidRPr="001D6F3C">
        <w:rPr>
          <w:rFonts w:ascii="Corbel" w:hAnsi="Corbel"/>
        </w:rPr>
        <w:t xml:space="preserve"> and 14% since 2008 (see graph below), after declining in the early 2000s. </w:t>
      </w:r>
    </w:p>
    <w:p w14:paraId="3EFB0C3E" w14:textId="3C4AC3E8" w:rsidR="00046B95" w:rsidRPr="001D6F3C" w:rsidRDefault="00046B95" w:rsidP="00A60862">
      <w:pPr>
        <w:pStyle w:val="Caption"/>
        <w:keepNext/>
        <w:jc w:val="both"/>
        <w:rPr>
          <w:rFonts w:ascii="Corbel" w:hAnsi="Corbel"/>
        </w:rPr>
      </w:pPr>
      <w:bookmarkStart w:id="59" w:name="_Toc203142286"/>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26</w:t>
      </w:r>
      <w:r w:rsidR="00585542" w:rsidRPr="001D6F3C">
        <w:rPr>
          <w:rFonts w:ascii="Corbel" w:hAnsi="Corbel"/>
        </w:rPr>
        <w:fldChar w:fldCharType="end"/>
      </w:r>
      <w:r w:rsidRPr="001D6F3C">
        <w:rPr>
          <w:rFonts w:ascii="Corbel" w:hAnsi="Corbel"/>
        </w:rPr>
        <w:t xml:space="preserve"> - Percentage of population 60-64 receiving main benefit</w:t>
      </w:r>
      <w:bookmarkEnd w:id="59"/>
    </w:p>
    <w:p w14:paraId="182F3FA0" w14:textId="10680B6A" w:rsidR="00EF575B" w:rsidRPr="001D6F3C" w:rsidRDefault="00EF575B" w:rsidP="00685399">
      <w:pPr>
        <w:jc w:val="center"/>
        <w:rPr>
          <w:rFonts w:ascii="Corbel" w:hAnsi="Corbel"/>
        </w:rPr>
      </w:pPr>
      <w:r w:rsidRPr="001D6F3C">
        <w:rPr>
          <w:rFonts w:ascii="Corbel" w:hAnsi="Corbel"/>
          <w:noProof/>
        </w:rPr>
        <w:drawing>
          <wp:inline distT="0" distB="0" distL="0" distR="0" wp14:anchorId="028A9B48" wp14:editId="05F7CDB8">
            <wp:extent cx="3957600" cy="2175641"/>
            <wp:effectExtent l="0" t="0" r="5080" b="0"/>
            <wp:docPr id="2119416283" name="Picture 8">
              <a:extLst xmlns:a="http://schemas.openxmlformats.org/drawingml/2006/main">
                <a:ext uri="{FF2B5EF4-FFF2-40B4-BE49-F238E27FC236}">
                  <a16:creationId xmlns:a16="http://schemas.microsoft.com/office/drawing/2014/main" id="{D34853CB-56BB-AEF6-2C26-31B6C4160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34853CB-56BB-AEF6-2C26-31B6C41603D6}"/>
                        </a:ext>
                      </a:extLst>
                    </pic:cNvPr>
                    <pic:cNvPicPr>
                      <a:picLocks noChangeAspect="1"/>
                    </pic:cNvPicPr>
                  </pic:nvPicPr>
                  <pic:blipFill rotWithShape="1">
                    <a:blip r:embed="rId60"/>
                    <a:srcRect t="7381"/>
                    <a:stretch/>
                  </pic:blipFill>
                  <pic:spPr bwMode="auto">
                    <a:xfrm>
                      <a:off x="0" y="0"/>
                      <a:ext cx="3980070" cy="2187993"/>
                    </a:xfrm>
                    <a:prstGeom prst="rect">
                      <a:avLst/>
                    </a:prstGeom>
                    <a:ln>
                      <a:noFill/>
                    </a:ln>
                    <a:extLst>
                      <a:ext uri="{53640926-AAD7-44D8-BBD7-CCE9431645EC}">
                        <a14:shadowObscured xmlns:a14="http://schemas.microsoft.com/office/drawing/2010/main"/>
                      </a:ext>
                    </a:extLst>
                  </pic:spPr>
                </pic:pic>
              </a:graphicData>
            </a:graphic>
          </wp:inline>
        </w:drawing>
      </w:r>
    </w:p>
    <w:p w14:paraId="59AF50AD" w14:textId="650B931F" w:rsidR="00EF575B" w:rsidRPr="001D6F3C" w:rsidRDefault="00EF575B" w:rsidP="00A60862">
      <w:pPr>
        <w:jc w:val="both"/>
        <w:rPr>
          <w:rFonts w:ascii="Corbel" w:hAnsi="Corbel"/>
        </w:rPr>
      </w:pPr>
      <w:r w:rsidRPr="001D6F3C">
        <w:rPr>
          <w:rFonts w:ascii="Corbel" w:hAnsi="Corbel"/>
        </w:rPr>
        <w:t xml:space="preserve">Of those aged 60-64 currently on benefit, more than half (51%, or 23,000 people) had been on benefit for more than five years, and roughly a third (32%, or 14,000 people) had been on benefit for more than 10 years. </w:t>
      </w:r>
    </w:p>
    <w:p w14:paraId="35B6F52F" w14:textId="77777777" w:rsidR="00EF575B" w:rsidRPr="001D6F3C" w:rsidRDefault="00EF575B" w:rsidP="00A60862">
      <w:pPr>
        <w:jc w:val="both"/>
        <w:rPr>
          <w:rFonts w:ascii="Corbel" w:hAnsi="Corbel"/>
        </w:rPr>
      </w:pPr>
      <w:r w:rsidRPr="001D6F3C">
        <w:rPr>
          <w:rFonts w:ascii="Corbel" w:hAnsi="Corbel"/>
        </w:rPr>
        <w:t>We have looked at the benefit receipt of older main benefit recipients in New Zealand and found that:</w:t>
      </w:r>
    </w:p>
    <w:p w14:paraId="46E8DAF9" w14:textId="772044B5" w:rsidR="00EF575B" w:rsidRPr="001D6F3C" w:rsidRDefault="00EF575B" w:rsidP="00D404C5">
      <w:pPr>
        <w:numPr>
          <w:ilvl w:val="0"/>
          <w:numId w:val="24"/>
        </w:numPr>
        <w:jc w:val="both"/>
        <w:rPr>
          <w:rFonts w:ascii="Corbel" w:hAnsi="Corbel"/>
        </w:rPr>
      </w:pPr>
      <w:r w:rsidRPr="001D6F3C">
        <w:rPr>
          <w:rFonts w:ascii="Corbel" w:hAnsi="Corbel"/>
        </w:rPr>
        <w:t xml:space="preserve">People </w:t>
      </w:r>
      <w:r w:rsidR="001D2823" w:rsidRPr="001D6F3C">
        <w:rPr>
          <w:rFonts w:ascii="Corbel" w:hAnsi="Corbel"/>
        </w:rPr>
        <w:t>aged</w:t>
      </w:r>
      <w:r w:rsidRPr="001D6F3C">
        <w:rPr>
          <w:rFonts w:ascii="Corbel" w:hAnsi="Corbel"/>
        </w:rPr>
        <w:t xml:space="preserve"> 50</w:t>
      </w:r>
      <w:r w:rsidR="001D2823" w:rsidRPr="001D6F3C">
        <w:rPr>
          <w:rFonts w:ascii="Corbel" w:hAnsi="Corbel"/>
        </w:rPr>
        <w:t>-64</w:t>
      </w:r>
      <w:r w:rsidRPr="001D6F3C">
        <w:rPr>
          <w:rFonts w:ascii="Corbel" w:hAnsi="Corbel"/>
        </w:rPr>
        <w:t xml:space="preserve"> make up a large proportion of those on working age benefits. Of the 390,000 people receiving a working age benefit, 31% or 120,000 are aged over 50.</w:t>
      </w:r>
    </w:p>
    <w:p w14:paraId="6E25668F" w14:textId="77777777" w:rsidR="00EF575B" w:rsidRPr="001D6F3C" w:rsidRDefault="00EF575B" w:rsidP="00D404C5">
      <w:pPr>
        <w:numPr>
          <w:ilvl w:val="0"/>
          <w:numId w:val="24"/>
        </w:numPr>
        <w:jc w:val="both"/>
        <w:rPr>
          <w:rFonts w:ascii="Corbel" w:hAnsi="Corbel"/>
        </w:rPr>
      </w:pPr>
      <w:r w:rsidRPr="001D6F3C">
        <w:rPr>
          <w:rFonts w:ascii="Corbel" w:hAnsi="Corbel"/>
        </w:rPr>
        <w:t>Māori are overrepresented - 30% are Māori, 43% are NZ European, 8% are Pacific, and 16% are other.</w:t>
      </w:r>
    </w:p>
    <w:p w14:paraId="2BDC6F91" w14:textId="3E7F07CE" w:rsidR="00EF575B" w:rsidRPr="001D6F3C" w:rsidRDefault="00EF575B" w:rsidP="00D404C5">
      <w:pPr>
        <w:numPr>
          <w:ilvl w:val="0"/>
          <w:numId w:val="24"/>
        </w:numPr>
        <w:jc w:val="both"/>
        <w:rPr>
          <w:rFonts w:ascii="Corbel" w:hAnsi="Corbel"/>
        </w:rPr>
      </w:pPr>
      <w:r w:rsidRPr="001D6F3C">
        <w:rPr>
          <w:rFonts w:ascii="Corbel" w:hAnsi="Corbel"/>
        </w:rPr>
        <w:t>Long</w:t>
      </w:r>
      <w:r w:rsidR="2C25C5E8" w:rsidRPr="001D6F3C">
        <w:rPr>
          <w:rFonts w:ascii="Corbel" w:hAnsi="Corbel"/>
        </w:rPr>
        <w:t>-</w:t>
      </w:r>
      <w:r w:rsidRPr="001D6F3C">
        <w:rPr>
          <w:rFonts w:ascii="Corbel" w:hAnsi="Corbel"/>
        </w:rPr>
        <w:t xml:space="preserve">term benefit receipt is common - 63% of have received a main benefit for </w:t>
      </w:r>
      <w:r w:rsidR="0089496E" w:rsidRPr="001D6F3C">
        <w:rPr>
          <w:rFonts w:ascii="Corbel" w:hAnsi="Corbel"/>
        </w:rPr>
        <w:t xml:space="preserve">two </w:t>
      </w:r>
      <w:r w:rsidRPr="001D6F3C">
        <w:rPr>
          <w:rFonts w:ascii="Corbel" w:hAnsi="Corbel"/>
        </w:rPr>
        <w:t>or more years, and 22% for 10 or more years</w:t>
      </w:r>
    </w:p>
    <w:p w14:paraId="42B0CBA4" w14:textId="33E6BC8E" w:rsidR="00EF575B" w:rsidRPr="001D6F3C" w:rsidRDefault="00EF575B" w:rsidP="00A60862">
      <w:pPr>
        <w:jc w:val="both"/>
        <w:rPr>
          <w:rFonts w:ascii="Corbel" w:hAnsi="Corbel"/>
        </w:rPr>
      </w:pPr>
      <w:r w:rsidRPr="001D6F3C">
        <w:rPr>
          <w:rFonts w:ascii="Corbel" w:hAnsi="Corbel"/>
        </w:rPr>
        <w:t>Main benefit recipients over 50 are more likely to receive health and disability benefits than other types of benefits</w:t>
      </w:r>
      <w:r w:rsidR="00345BF7" w:rsidRPr="001D6F3C">
        <w:rPr>
          <w:rFonts w:ascii="Corbel" w:hAnsi="Corbel"/>
        </w:rPr>
        <w:t>, reflecting</w:t>
      </w:r>
      <w:r w:rsidRPr="001D6F3C">
        <w:rPr>
          <w:rFonts w:ascii="Corbel" w:hAnsi="Corbel"/>
        </w:rPr>
        <w:t xml:space="preserve"> the fact that as people </w:t>
      </w:r>
      <w:proofErr w:type="gramStart"/>
      <w:r w:rsidRPr="001D6F3C">
        <w:rPr>
          <w:rFonts w:ascii="Corbel" w:hAnsi="Corbel"/>
        </w:rPr>
        <w:t>age</w:t>
      </w:r>
      <w:proofErr w:type="gramEnd"/>
      <w:r w:rsidRPr="001D6F3C">
        <w:rPr>
          <w:rFonts w:ascii="Corbel" w:hAnsi="Corbel"/>
        </w:rPr>
        <w:t xml:space="preserve"> they are more at risk of developing a health condition or a disability that impacts on work capacity. Recipients over 50 years are most likely to be receiving S</w:t>
      </w:r>
      <w:r w:rsidR="00345BF7" w:rsidRPr="001D6F3C">
        <w:rPr>
          <w:rFonts w:ascii="Corbel" w:hAnsi="Corbel"/>
        </w:rPr>
        <w:t>upported Living Payment – Health Condition and Disability (S</w:t>
      </w:r>
      <w:r w:rsidRPr="001D6F3C">
        <w:rPr>
          <w:rFonts w:ascii="Corbel" w:hAnsi="Corbel"/>
        </w:rPr>
        <w:t>LP-HCD</w:t>
      </w:r>
      <w:r w:rsidR="00345BF7" w:rsidRPr="001D6F3C">
        <w:rPr>
          <w:rFonts w:ascii="Corbel" w:hAnsi="Corbel"/>
        </w:rPr>
        <w:t xml:space="preserve">, </w:t>
      </w:r>
      <w:r w:rsidRPr="001D6F3C">
        <w:rPr>
          <w:rFonts w:ascii="Corbel" w:hAnsi="Corbel"/>
        </w:rPr>
        <w:t>44%) or J</w:t>
      </w:r>
      <w:r w:rsidR="00345BF7" w:rsidRPr="001D6F3C">
        <w:rPr>
          <w:rFonts w:ascii="Corbel" w:hAnsi="Corbel"/>
        </w:rPr>
        <w:t xml:space="preserve">obseeker Support Health Conditions and </w:t>
      </w:r>
      <w:r w:rsidR="00A07E54" w:rsidRPr="001D6F3C">
        <w:rPr>
          <w:rFonts w:ascii="Corbel" w:hAnsi="Corbel"/>
        </w:rPr>
        <w:t>Disability (</w:t>
      </w:r>
      <w:r w:rsidR="00173FF1" w:rsidRPr="001D6F3C">
        <w:rPr>
          <w:rFonts w:ascii="Corbel" w:hAnsi="Corbel"/>
        </w:rPr>
        <w:t xml:space="preserve">JS-HCD, </w:t>
      </w:r>
      <w:r w:rsidRPr="001D6F3C">
        <w:rPr>
          <w:rFonts w:ascii="Corbel" w:hAnsi="Corbel"/>
        </w:rPr>
        <w:t xml:space="preserve">31%). </w:t>
      </w:r>
    </w:p>
    <w:p w14:paraId="514068B8" w14:textId="148035ED" w:rsidR="00970EA4" w:rsidRPr="001D6F3C" w:rsidRDefault="00970EA4" w:rsidP="00A60862">
      <w:pPr>
        <w:pStyle w:val="Caption"/>
        <w:keepNext/>
        <w:jc w:val="both"/>
        <w:rPr>
          <w:rFonts w:ascii="Corbel" w:hAnsi="Corbel"/>
        </w:rPr>
      </w:pPr>
      <w:bookmarkStart w:id="60" w:name="_Toc203142287"/>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27</w:t>
      </w:r>
      <w:r w:rsidR="00585542" w:rsidRPr="001D6F3C">
        <w:rPr>
          <w:rFonts w:ascii="Corbel" w:hAnsi="Corbel"/>
        </w:rPr>
        <w:fldChar w:fldCharType="end"/>
      </w:r>
      <w:r w:rsidRPr="001D6F3C">
        <w:rPr>
          <w:rFonts w:ascii="Corbel" w:hAnsi="Corbel"/>
        </w:rPr>
        <w:t xml:space="preserve"> - Main benefit receipt by type and age</w:t>
      </w:r>
      <w:bookmarkEnd w:id="60"/>
    </w:p>
    <w:p w14:paraId="277116B8" w14:textId="688239BB" w:rsidR="00EF575B" w:rsidRPr="001D6F3C" w:rsidRDefault="00EF575B" w:rsidP="00685399">
      <w:pPr>
        <w:jc w:val="center"/>
        <w:rPr>
          <w:rFonts w:ascii="Corbel" w:hAnsi="Corbel"/>
        </w:rPr>
      </w:pPr>
      <w:r w:rsidRPr="001D6F3C">
        <w:rPr>
          <w:rFonts w:ascii="Corbel" w:hAnsi="Corbel"/>
          <w:noProof/>
        </w:rPr>
        <w:drawing>
          <wp:inline distT="0" distB="0" distL="0" distR="0" wp14:anchorId="66EDA328" wp14:editId="5338ED26">
            <wp:extent cx="4798618" cy="2333296"/>
            <wp:effectExtent l="0" t="0" r="2540" b="0"/>
            <wp:docPr id="1314355681" name="Picture 15">
              <a:extLst xmlns:a="http://schemas.openxmlformats.org/drawingml/2006/main">
                <a:ext uri="{FF2B5EF4-FFF2-40B4-BE49-F238E27FC236}">
                  <a16:creationId xmlns:a16="http://schemas.microsoft.com/office/drawing/2014/main" id="{58A7DC63-A803-0D40-5EEE-FB73C347D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8A7DC63-A803-0D40-5EEE-FB73C347D382}"/>
                        </a:ext>
                      </a:extLst>
                    </pic:cNvPr>
                    <pic:cNvPicPr>
                      <a:picLocks noChangeAspect="1"/>
                    </pic:cNvPicPr>
                  </pic:nvPicPr>
                  <pic:blipFill rotWithShape="1">
                    <a:blip r:embed="rId61"/>
                    <a:srcRect t="11074"/>
                    <a:stretch/>
                  </pic:blipFill>
                  <pic:spPr bwMode="auto">
                    <a:xfrm>
                      <a:off x="0" y="0"/>
                      <a:ext cx="4869034" cy="2367535"/>
                    </a:xfrm>
                    <a:prstGeom prst="rect">
                      <a:avLst/>
                    </a:prstGeom>
                    <a:ln>
                      <a:noFill/>
                    </a:ln>
                    <a:extLst>
                      <a:ext uri="{53640926-AAD7-44D8-BBD7-CCE9431645EC}">
                        <a14:shadowObscured xmlns:a14="http://schemas.microsoft.com/office/drawing/2010/main"/>
                      </a:ext>
                    </a:extLst>
                  </pic:spPr>
                </pic:pic>
              </a:graphicData>
            </a:graphic>
          </wp:inline>
        </w:drawing>
      </w:r>
    </w:p>
    <w:p w14:paraId="12E20488" w14:textId="4F25046D" w:rsidR="00EF575B" w:rsidRPr="001D6F3C" w:rsidRDefault="00EF575B" w:rsidP="00A60862">
      <w:pPr>
        <w:jc w:val="both"/>
        <w:rPr>
          <w:rFonts w:ascii="Corbel" w:hAnsi="Corbel"/>
        </w:rPr>
      </w:pPr>
      <w:r w:rsidRPr="001D6F3C">
        <w:rPr>
          <w:rFonts w:ascii="Corbel" w:hAnsi="Corbel"/>
        </w:rPr>
        <w:t xml:space="preserve">Health conditions for older benefit recipients are more likely to relate to physical health. Compared with those aged under 50, JS-HCD and SLP-HDC recipients over 50 are less likely to be receiving this benefit for mental health </w:t>
      </w:r>
      <w:r w:rsidR="00345BF7" w:rsidRPr="001D6F3C">
        <w:rPr>
          <w:rFonts w:ascii="Corbel" w:hAnsi="Corbel"/>
        </w:rPr>
        <w:t>conditions</w:t>
      </w:r>
      <w:r w:rsidRPr="001D6F3C">
        <w:rPr>
          <w:rFonts w:ascii="Corbel" w:hAnsi="Corbel"/>
        </w:rPr>
        <w:t>, and more likely to be receiving them for physical health problems such as musculoskeletal conditions, cardiovascular disorders, and nervous system disorders</w:t>
      </w:r>
      <w:r w:rsidR="00345BF7" w:rsidRPr="001D6F3C">
        <w:rPr>
          <w:rFonts w:ascii="Corbel" w:hAnsi="Corbel"/>
        </w:rPr>
        <w:t xml:space="preserve"> (e.g. stroke).</w:t>
      </w:r>
      <w:r w:rsidRPr="001D6F3C">
        <w:rPr>
          <w:rFonts w:ascii="Corbel" w:hAnsi="Corbel"/>
        </w:rPr>
        <w:t xml:space="preserve"> </w:t>
      </w:r>
    </w:p>
    <w:p w14:paraId="03D48703" w14:textId="44431FDD" w:rsidR="00EF575B" w:rsidRPr="001D6F3C" w:rsidRDefault="00EF575B" w:rsidP="00A60862">
      <w:pPr>
        <w:jc w:val="both"/>
        <w:rPr>
          <w:rFonts w:ascii="Corbel" w:hAnsi="Corbel"/>
        </w:rPr>
      </w:pPr>
      <w:r w:rsidRPr="001D6F3C">
        <w:rPr>
          <w:rFonts w:ascii="Corbel" w:hAnsi="Corbel"/>
        </w:rPr>
        <w:t>MSD’s employment assistance is currently weighted towards younger clients</w:t>
      </w:r>
      <w:r w:rsidR="0064482B" w:rsidRPr="001D6F3C">
        <w:rPr>
          <w:rFonts w:ascii="Corbel" w:hAnsi="Corbel"/>
        </w:rPr>
        <w:t>, which likely</w:t>
      </w:r>
      <w:r w:rsidR="00287086" w:rsidRPr="001D6F3C">
        <w:rPr>
          <w:rFonts w:ascii="Corbel" w:hAnsi="Corbel"/>
        </w:rPr>
        <w:t xml:space="preserve"> in part</w:t>
      </w:r>
      <w:r w:rsidR="0064482B" w:rsidRPr="001D6F3C">
        <w:rPr>
          <w:rFonts w:ascii="Corbel" w:hAnsi="Corbel"/>
        </w:rPr>
        <w:t xml:space="preserve"> reflects the different </w:t>
      </w:r>
      <w:r w:rsidR="000726C6" w:rsidRPr="001D6F3C">
        <w:rPr>
          <w:rFonts w:ascii="Corbel" w:hAnsi="Corbel"/>
        </w:rPr>
        <w:t>types of benefits received by older cohorts</w:t>
      </w:r>
      <w:r w:rsidRPr="001D6F3C">
        <w:rPr>
          <w:rFonts w:ascii="Corbel" w:hAnsi="Corbel"/>
        </w:rPr>
        <w:t xml:space="preserve">. Analysis of MSD’s Employment Assistance </w:t>
      </w:r>
      <w:r w:rsidR="00B9071C" w:rsidRPr="001D6F3C">
        <w:rPr>
          <w:rFonts w:ascii="Corbel" w:hAnsi="Corbel"/>
        </w:rPr>
        <w:t>indicate</w:t>
      </w:r>
      <w:r w:rsidR="00AD538E" w:rsidRPr="001D6F3C">
        <w:rPr>
          <w:rFonts w:ascii="Corbel" w:hAnsi="Corbel"/>
        </w:rPr>
        <w:t>s</w:t>
      </w:r>
      <w:r w:rsidR="00B9071C" w:rsidRPr="001D6F3C">
        <w:rPr>
          <w:rFonts w:ascii="Corbel" w:hAnsi="Corbel"/>
        </w:rPr>
        <w:t xml:space="preserve"> </w:t>
      </w:r>
      <w:r w:rsidRPr="001D6F3C">
        <w:rPr>
          <w:rFonts w:ascii="Corbel" w:hAnsi="Corbel"/>
        </w:rPr>
        <w:t>that:</w:t>
      </w:r>
    </w:p>
    <w:p w14:paraId="0B4C3B03" w14:textId="1547CB02" w:rsidR="00EF575B" w:rsidRPr="001D6F3C" w:rsidRDefault="00EF575B" w:rsidP="00D404C5">
      <w:pPr>
        <w:numPr>
          <w:ilvl w:val="0"/>
          <w:numId w:val="24"/>
        </w:numPr>
        <w:jc w:val="both"/>
        <w:rPr>
          <w:rFonts w:ascii="Corbel" w:hAnsi="Corbel"/>
        </w:rPr>
      </w:pPr>
      <w:r w:rsidRPr="001D6F3C">
        <w:rPr>
          <w:rFonts w:ascii="Corbel" w:hAnsi="Corbel"/>
        </w:rPr>
        <w:t xml:space="preserve">those aged 50-64 </w:t>
      </w:r>
      <w:r w:rsidR="00B9071C" w:rsidRPr="001D6F3C">
        <w:rPr>
          <w:rFonts w:ascii="Corbel" w:hAnsi="Corbel"/>
        </w:rPr>
        <w:t xml:space="preserve">made </w:t>
      </w:r>
      <w:r w:rsidRPr="001D6F3C">
        <w:rPr>
          <w:rFonts w:ascii="Corbel" w:hAnsi="Corbel"/>
        </w:rPr>
        <w:t>up around 30 percent of the main benefit population and receive</w:t>
      </w:r>
      <w:r w:rsidR="00B9071C" w:rsidRPr="001D6F3C">
        <w:rPr>
          <w:rFonts w:ascii="Corbel" w:hAnsi="Corbel"/>
        </w:rPr>
        <w:t>d</w:t>
      </w:r>
      <w:r w:rsidRPr="001D6F3C">
        <w:rPr>
          <w:rFonts w:ascii="Corbel" w:hAnsi="Corbel"/>
        </w:rPr>
        <w:t xml:space="preserve"> around 1</w:t>
      </w:r>
      <w:r w:rsidR="0023483C" w:rsidRPr="001D6F3C">
        <w:rPr>
          <w:rFonts w:ascii="Corbel" w:hAnsi="Corbel"/>
        </w:rPr>
        <w:t>3</w:t>
      </w:r>
      <w:r w:rsidRPr="001D6F3C">
        <w:rPr>
          <w:rFonts w:ascii="Corbel" w:hAnsi="Corbel"/>
        </w:rPr>
        <w:t xml:space="preserve"> percent of investment </w:t>
      </w:r>
    </w:p>
    <w:p w14:paraId="0680890E" w14:textId="078C8542" w:rsidR="00EF575B" w:rsidRPr="001D6F3C" w:rsidRDefault="00EF575B" w:rsidP="00D404C5">
      <w:pPr>
        <w:numPr>
          <w:ilvl w:val="0"/>
          <w:numId w:val="24"/>
        </w:numPr>
        <w:jc w:val="both"/>
        <w:rPr>
          <w:rFonts w:ascii="Corbel" w:hAnsi="Corbel"/>
        </w:rPr>
      </w:pPr>
      <w:r w:rsidRPr="001D6F3C">
        <w:rPr>
          <w:rFonts w:ascii="Corbel" w:hAnsi="Corbel"/>
        </w:rPr>
        <w:t xml:space="preserve">those aged 65+ (who are primarily receiving NZS rather than other main benefits) received </w:t>
      </w:r>
      <w:r w:rsidR="0023483C" w:rsidRPr="001D6F3C">
        <w:rPr>
          <w:rFonts w:ascii="Corbel" w:hAnsi="Corbel"/>
        </w:rPr>
        <w:t xml:space="preserve">around </w:t>
      </w:r>
      <w:r w:rsidRPr="001D6F3C">
        <w:rPr>
          <w:rFonts w:ascii="Corbel" w:hAnsi="Corbel"/>
        </w:rPr>
        <w:t>0.</w:t>
      </w:r>
      <w:r w:rsidR="00C122C4" w:rsidRPr="001D6F3C">
        <w:rPr>
          <w:rFonts w:ascii="Corbel" w:hAnsi="Corbel"/>
        </w:rPr>
        <w:t>3</w:t>
      </w:r>
      <w:r w:rsidRPr="001D6F3C">
        <w:rPr>
          <w:rFonts w:ascii="Corbel" w:hAnsi="Corbel"/>
        </w:rPr>
        <w:t>% of investment</w:t>
      </w:r>
      <w:r w:rsidR="00345BF7" w:rsidRPr="001D6F3C">
        <w:rPr>
          <w:rFonts w:ascii="Corbel" w:hAnsi="Corbel"/>
        </w:rPr>
        <w:t>.</w:t>
      </w:r>
    </w:p>
    <w:p w14:paraId="30B8F2D5" w14:textId="335265A5" w:rsidR="00970EA4" w:rsidRPr="001D6F3C" w:rsidRDefault="00970EA4" w:rsidP="00A60862">
      <w:pPr>
        <w:pStyle w:val="Caption"/>
        <w:keepNext/>
        <w:jc w:val="both"/>
        <w:rPr>
          <w:rFonts w:ascii="Corbel" w:hAnsi="Corbel"/>
        </w:rPr>
      </w:pPr>
      <w:bookmarkStart w:id="61" w:name="_Toc203142288"/>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28</w:t>
      </w:r>
      <w:r w:rsidR="00585542" w:rsidRPr="001D6F3C">
        <w:rPr>
          <w:rFonts w:ascii="Corbel" w:hAnsi="Corbel"/>
        </w:rPr>
        <w:fldChar w:fldCharType="end"/>
      </w:r>
      <w:r w:rsidRPr="001D6F3C">
        <w:rPr>
          <w:rFonts w:ascii="Corbel" w:hAnsi="Corbel"/>
        </w:rPr>
        <w:t xml:space="preserve"> </w:t>
      </w:r>
      <w:r w:rsidR="000F7928" w:rsidRPr="001D6F3C">
        <w:rPr>
          <w:rFonts w:ascii="Corbel" w:hAnsi="Corbel"/>
        </w:rPr>
        <w:t>–</w:t>
      </w:r>
      <w:r w:rsidRPr="001D6F3C">
        <w:rPr>
          <w:rFonts w:ascii="Corbel" w:hAnsi="Corbel"/>
        </w:rPr>
        <w:t xml:space="preserve"> </w:t>
      </w:r>
      <w:r w:rsidR="004D18D3" w:rsidRPr="001D6F3C">
        <w:rPr>
          <w:rFonts w:ascii="Corbel" w:hAnsi="Corbel"/>
        </w:rPr>
        <w:t xml:space="preserve">Improved </w:t>
      </w:r>
      <w:r w:rsidR="000F7928" w:rsidRPr="001D6F3C">
        <w:rPr>
          <w:rFonts w:ascii="Corbel" w:hAnsi="Corbel"/>
        </w:rPr>
        <w:t>Employment</w:t>
      </w:r>
      <w:r w:rsidR="00224B4F" w:rsidRPr="001D6F3C">
        <w:rPr>
          <w:rFonts w:ascii="Corbel" w:hAnsi="Corbel"/>
        </w:rPr>
        <w:t xml:space="preserve"> and </w:t>
      </w:r>
      <w:r w:rsidR="004D18D3" w:rsidRPr="001D6F3C">
        <w:rPr>
          <w:rFonts w:ascii="Corbel" w:hAnsi="Corbel"/>
        </w:rPr>
        <w:t>S</w:t>
      </w:r>
      <w:r w:rsidR="00224B4F" w:rsidRPr="001D6F3C">
        <w:rPr>
          <w:rFonts w:ascii="Corbel" w:hAnsi="Corbel"/>
        </w:rPr>
        <w:t xml:space="preserve">ocial </w:t>
      </w:r>
      <w:r w:rsidR="004D18D3" w:rsidRPr="001D6F3C">
        <w:rPr>
          <w:rFonts w:ascii="Corbel" w:hAnsi="Corbel"/>
        </w:rPr>
        <w:t>O</w:t>
      </w:r>
      <w:r w:rsidR="00224B4F" w:rsidRPr="001D6F3C">
        <w:rPr>
          <w:rFonts w:ascii="Corbel" w:hAnsi="Corbel"/>
        </w:rPr>
        <w:t>utcomes</w:t>
      </w:r>
      <w:r w:rsidR="000F7928" w:rsidRPr="001D6F3C">
        <w:rPr>
          <w:rFonts w:ascii="Corbel" w:hAnsi="Corbel"/>
        </w:rPr>
        <w:t xml:space="preserve"> Support </w:t>
      </w:r>
      <w:r w:rsidR="00224B4F" w:rsidRPr="001D6F3C">
        <w:rPr>
          <w:rFonts w:ascii="Corbel" w:hAnsi="Corbel"/>
        </w:rPr>
        <w:t xml:space="preserve">Multi-Category Appropriation - </w:t>
      </w:r>
      <w:r w:rsidRPr="001D6F3C">
        <w:rPr>
          <w:rFonts w:ascii="Corbel" w:hAnsi="Corbel"/>
        </w:rPr>
        <w:t>expenditure by Age</w:t>
      </w:r>
      <w:bookmarkEnd w:id="61"/>
    </w:p>
    <w:p w14:paraId="2D8F3508" w14:textId="520D80E8" w:rsidR="00EF575B" w:rsidRPr="001D6F3C" w:rsidRDefault="00EF575B" w:rsidP="00685399">
      <w:pPr>
        <w:jc w:val="center"/>
        <w:rPr>
          <w:rFonts w:ascii="Corbel" w:hAnsi="Corbel"/>
        </w:rPr>
      </w:pPr>
      <w:r w:rsidRPr="001D6F3C">
        <w:rPr>
          <w:rFonts w:ascii="Corbel" w:hAnsi="Corbel"/>
          <w:noProof/>
        </w:rPr>
        <w:drawing>
          <wp:inline distT="0" distB="0" distL="0" distR="0" wp14:anchorId="6B172B61" wp14:editId="31C1B84F">
            <wp:extent cx="5644541" cy="2115879"/>
            <wp:effectExtent l="0" t="0" r="0" b="0"/>
            <wp:docPr id="8" name="Picture 7">
              <a:extLst xmlns:a="http://schemas.openxmlformats.org/drawingml/2006/main">
                <a:ext uri="{FF2B5EF4-FFF2-40B4-BE49-F238E27FC236}">
                  <a16:creationId xmlns:a16="http://schemas.microsoft.com/office/drawing/2014/main" id="{277A95F3-DCCD-8519-2FFD-694F56668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77A95F3-DCCD-8519-2FFD-694F56668F92}"/>
                        </a:ext>
                      </a:extLst>
                    </pic:cNvPr>
                    <pic:cNvPicPr>
                      <a:picLocks noChangeAspect="1"/>
                    </pic:cNvPicPr>
                  </pic:nvPicPr>
                  <pic:blipFill rotWithShape="1">
                    <a:blip r:embed="rId62"/>
                    <a:srcRect t="10354"/>
                    <a:stretch/>
                  </pic:blipFill>
                  <pic:spPr bwMode="auto">
                    <a:xfrm>
                      <a:off x="0" y="0"/>
                      <a:ext cx="5654543" cy="2119628"/>
                    </a:xfrm>
                    <a:prstGeom prst="rect">
                      <a:avLst/>
                    </a:prstGeom>
                    <a:ln>
                      <a:noFill/>
                    </a:ln>
                    <a:extLst>
                      <a:ext uri="{53640926-AAD7-44D8-BBD7-CCE9431645EC}">
                        <a14:shadowObscured xmlns:a14="http://schemas.microsoft.com/office/drawing/2010/main"/>
                      </a:ext>
                    </a:extLst>
                  </pic:spPr>
                </pic:pic>
              </a:graphicData>
            </a:graphic>
          </wp:inline>
        </w:drawing>
      </w:r>
    </w:p>
    <w:p w14:paraId="5B841E59" w14:textId="77777777" w:rsidR="00A955BA" w:rsidRPr="001D6F3C" w:rsidRDefault="00A955BA" w:rsidP="00A60862">
      <w:pPr>
        <w:spacing w:before="0"/>
        <w:jc w:val="both"/>
        <w:rPr>
          <w:rFonts w:ascii="Corbel" w:eastAsiaTheme="majorEastAsia" w:hAnsi="Corbel" w:cstheme="majorBidi"/>
          <w:color w:val="365F91" w:themeColor="accent1" w:themeShade="BF"/>
          <w:sz w:val="32"/>
          <w:szCs w:val="32"/>
        </w:rPr>
      </w:pPr>
      <w:r w:rsidRPr="001D6F3C">
        <w:rPr>
          <w:rFonts w:ascii="Corbel" w:hAnsi="Corbel"/>
        </w:rPr>
        <w:br w:type="page"/>
      </w:r>
    </w:p>
    <w:p w14:paraId="69702744" w14:textId="7A4676C2" w:rsidR="00EF575B" w:rsidRPr="001D6F3C" w:rsidRDefault="00EF575B" w:rsidP="00A60862">
      <w:pPr>
        <w:pStyle w:val="Heading2"/>
        <w:jc w:val="both"/>
        <w:rPr>
          <w:rFonts w:ascii="Corbel" w:hAnsi="Corbel"/>
        </w:rPr>
      </w:pPr>
      <w:bookmarkStart w:id="62" w:name="_Toc207782998"/>
      <w:r w:rsidRPr="001D6F3C">
        <w:rPr>
          <w:rFonts w:ascii="Corbel" w:hAnsi="Corbel"/>
        </w:rPr>
        <w:lastRenderedPageBreak/>
        <w:t>3.4</w:t>
      </w:r>
      <w:r w:rsidR="00045651" w:rsidRPr="001D6F3C">
        <w:rPr>
          <w:rFonts w:ascii="Corbel" w:hAnsi="Corbel"/>
        </w:rPr>
        <w:t xml:space="preserve"> </w:t>
      </w:r>
      <w:r w:rsidRPr="001D6F3C">
        <w:rPr>
          <w:rFonts w:ascii="Corbel" w:hAnsi="Corbel"/>
          <w:b/>
          <w:bCs/>
        </w:rPr>
        <w:t xml:space="preserve">Income </w:t>
      </w:r>
      <w:r w:rsidR="00226447" w:rsidRPr="001D6F3C">
        <w:rPr>
          <w:rFonts w:ascii="Corbel" w:hAnsi="Corbel"/>
          <w:b/>
          <w:bCs/>
        </w:rPr>
        <w:t>s</w:t>
      </w:r>
      <w:r w:rsidRPr="001D6F3C">
        <w:rPr>
          <w:rFonts w:ascii="Corbel" w:hAnsi="Corbel"/>
          <w:b/>
          <w:bCs/>
        </w:rPr>
        <w:t>upport</w:t>
      </w:r>
      <w:r w:rsidR="00970EA4" w:rsidRPr="001D6F3C">
        <w:rPr>
          <w:rFonts w:ascii="Corbel" w:hAnsi="Corbel"/>
          <w:b/>
          <w:bCs/>
        </w:rPr>
        <w:t xml:space="preserve"> </w:t>
      </w:r>
      <w:r w:rsidR="00970EA4" w:rsidRPr="001D6F3C">
        <w:rPr>
          <w:rStyle w:val="Heading2Char"/>
          <w:rFonts w:ascii="Corbel" w:hAnsi="Corbel"/>
        </w:rPr>
        <w:t xml:space="preserve">- </w:t>
      </w:r>
      <w:r w:rsidRPr="001D6F3C">
        <w:rPr>
          <w:rStyle w:val="Heading2Char"/>
          <w:rFonts w:ascii="Corbel" w:hAnsi="Corbel"/>
        </w:rPr>
        <w:t>NZS settings</w:t>
      </w:r>
      <w:bookmarkEnd w:id="62"/>
    </w:p>
    <w:p w14:paraId="552F324F" w14:textId="30081B20" w:rsidR="00EF575B" w:rsidRPr="001D6F3C" w:rsidRDefault="00EF575B" w:rsidP="00A60862">
      <w:pPr>
        <w:jc w:val="both"/>
        <w:rPr>
          <w:rFonts w:ascii="Corbel" w:hAnsi="Corbel"/>
        </w:rPr>
      </w:pPr>
      <w:r w:rsidRPr="001D6F3C">
        <w:rPr>
          <w:rFonts w:ascii="Corbel" w:hAnsi="Corbel"/>
        </w:rPr>
        <w:t>Income support for older people in New Zealand is primar</w:t>
      </w:r>
      <w:r w:rsidR="00491107" w:rsidRPr="001D6F3C">
        <w:rPr>
          <w:rFonts w:ascii="Corbel" w:hAnsi="Corbel"/>
        </w:rPr>
        <w:t>il</w:t>
      </w:r>
      <w:r w:rsidRPr="001D6F3C">
        <w:rPr>
          <w:rFonts w:ascii="Corbel" w:hAnsi="Corbel"/>
        </w:rPr>
        <w:t>y based around NZS, a universal payment to citizens and permanent residents aged 65 years and over, supplemented by the Winter Energy Payment (from May to October), and various forms of supplementary assistance for those in specific circumstances.</w:t>
      </w:r>
      <w:r w:rsidR="00345BF7" w:rsidRPr="001D6F3C">
        <w:rPr>
          <w:rFonts w:ascii="Corbel" w:hAnsi="Corbel"/>
        </w:rPr>
        <w:t xml:space="preserve"> NZS is not income or asset-</w:t>
      </w:r>
      <w:proofErr w:type="gramStart"/>
      <w:r w:rsidR="00345BF7" w:rsidRPr="001D6F3C">
        <w:rPr>
          <w:rFonts w:ascii="Corbel" w:hAnsi="Corbel"/>
        </w:rPr>
        <w:t>tested</w:t>
      </w:r>
      <w:proofErr w:type="gramEnd"/>
      <w:r w:rsidR="00345BF7" w:rsidRPr="001D6F3C">
        <w:rPr>
          <w:rFonts w:ascii="Corbel" w:hAnsi="Corbel"/>
        </w:rPr>
        <w:t xml:space="preserve"> but couples </w:t>
      </w:r>
      <w:r w:rsidR="00C93014" w:rsidRPr="001D6F3C">
        <w:rPr>
          <w:rFonts w:ascii="Corbel" w:hAnsi="Corbel"/>
        </w:rPr>
        <w:t xml:space="preserve">receive a couple rate, </w:t>
      </w:r>
      <w:r w:rsidR="00345BF7" w:rsidRPr="001D6F3C">
        <w:rPr>
          <w:rFonts w:ascii="Corbel" w:hAnsi="Corbel"/>
        </w:rPr>
        <w:t xml:space="preserve">and </w:t>
      </w:r>
      <w:r w:rsidR="00C93014" w:rsidRPr="001D6F3C">
        <w:rPr>
          <w:rFonts w:ascii="Corbel" w:hAnsi="Corbel"/>
        </w:rPr>
        <w:t>single people</w:t>
      </w:r>
      <w:r w:rsidR="00345BF7" w:rsidRPr="001D6F3C">
        <w:rPr>
          <w:rFonts w:ascii="Corbel" w:hAnsi="Corbel"/>
        </w:rPr>
        <w:t xml:space="preserve"> living alone receive a higher rate</w:t>
      </w:r>
      <w:r w:rsidR="00C93014" w:rsidRPr="001D6F3C">
        <w:rPr>
          <w:rFonts w:ascii="Corbel" w:hAnsi="Corbel"/>
        </w:rPr>
        <w:t xml:space="preserve"> than those living with others</w:t>
      </w:r>
      <w:r w:rsidR="00345BF7" w:rsidRPr="001D6F3C">
        <w:rPr>
          <w:rFonts w:ascii="Corbel" w:hAnsi="Corbel"/>
        </w:rPr>
        <w:t xml:space="preserve">. </w:t>
      </w:r>
      <w:r w:rsidR="00B51275" w:rsidRPr="001D6F3C">
        <w:rPr>
          <w:rFonts w:ascii="Corbel" w:hAnsi="Corbel"/>
        </w:rPr>
        <w:t xml:space="preserve">Those who have served in NZ’s armed forces </w:t>
      </w:r>
      <w:r w:rsidR="00CD07B9" w:rsidRPr="001D6F3C">
        <w:rPr>
          <w:rFonts w:ascii="Corbel" w:hAnsi="Corbel"/>
        </w:rPr>
        <w:t>can qualify for a Veterans Pension</w:t>
      </w:r>
      <w:r w:rsidR="00AC5C0F" w:rsidRPr="001D6F3C">
        <w:rPr>
          <w:rFonts w:ascii="Corbel" w:hAnsi="Corbel"/>
        </w:rPr>
        <w:t xml:space="preserve"> (VP)</w:t>
      </w:r>
      <w:r w:rsidR="0070608D" w:rsidRPr="001D6F3C">
        <w:rPr>
          <w:rFonts w:ascii="Corbel" w:hAnsi="Corbel"/>
        </w:rPr>
        <w:t xml:space="preserve"> instead, which is paid at the same rate. </w:t>
      </w:r>
    </w:p>
    <w:p w14:paraId="27429A03" w14:textId="03CB0997" w:rsidR="00EF575B" w:rsidRPr="001D6F3C" w:rsidRDefault="00EF575B" w:rsidP="00A60862">
      <w:pPr>
        <w:jc w:val="both"/>
        <w:rPr>
          <w:rFonts w:ascii="Corbel" w:hAnsi="Corbel"/>
        </w:rPr>
      </w:pPr>
      <w:r w:rsidRPr="001D6F3C">
        <w:rPr>
          <w:rFonts w:ascii="Corbel" w:hAnsi="Corbel"/>
        </w:rPr>
        <w:t xml:space="preserve">Internationally, </w:t>
      </w:r>
      <w:r w:rsidR="00491107" w:rsidRPr="001D6F3C">
        <w:rPr>
          <w:rFonts w:ascii="Corbel" w:hAnsi="Corbel"/>
        </w:rPr>
        <w:t xml:space="preserve">the </w:t>
      </w:r>
      <w:r w:rsidRPr="001D6F3C">
        <w:rPr>
          <w:rFonts w:ascii="Corbel" w:hAnsi="Corbel"/>
        </w:rPr>
        <w:t>NZ pension system is notabl</w:t>
      </w:r>
      <w:r w:rsidR="004D2261" w:rsidRPr="001D6F3C">
        <w:rPr>
          <w:rFonts w:ascii="Corbel" w:hAnsi="Corbel"/>
        </w:rPr>
        <w:t xml:space="preserve">e for </w:t>
      </w:r>
      <w:proofErr w:type="gramStart"/>
      <w:r w:rsidR="004D2261" w:rsidRPr="001D6F3C">
        <w:rPr>
          <w:rFonts w:ascii="Corbel" w:hAnsi="Corbel"/>
        </w:rPr>
        <w:t>a number of</w:t>
      </w:r>
      <w:proofErr w:type="gramEnd"/>
      <w:r w:rsidR="004D2261" w:rsidRPr="001D6F3C">
        <w:rPr>
          <w:rFonts w:ascii="Corbel" w:hAnsi="Corbel"/>
        </w:rPr>
        <w:t xml:space="preserve"> reasons. It is </w:t>
      </w:r>
      <w:r w:rsidR="00A3485F" w:rsidRPr="001D6F3C">
        <w:rPr>
          <w:rFonts w:ascii="Corbel" w:hAnsi="Corbel"/>
        </w:rPr>
        <w:t>near-</w:t>
      </w:r>
      <w:r w:rsidR="004D2261" w:rsidRPr="001D6F3C">
        <w:rPr>
          <w:rFonts w:ascii="Corbel" w:hAnsi="Corbel"/>
        </w:rPr>
        <w:t>unique</w:t>
      </w:r>
      <w:r w:rsidRPr="001D6F3C">
        <w:rPr>
          <w:rFonts w:ascii="Corbel" w:hAnsi="Corbel"/>
        </w:rPr>
        <w:t xml:space="preserve"> in its heavy reliance on a universal, non-contributory scheme, and the lack of any other mandatory contributions-based or earnings-related scheme. NZ’s non-contributory first tier benefit is</w:t>
      </w:r>
      <w:r w:rsidR="001821D5" w:rsidRPr="001D6F3C">
        <w:rPr>
          <w:rFonts w:ascii="Corbel" w:hAnsi="Corbel"/>
        </w:rPr>
        <w:t xml:space="preserve"> also</w:t>
      </w:r>
      <w:r w:rsidRPr="001D6F3C">
        <w:rPr>
          <w:rFonts w:ascii="Corbel" w:hAnsi="Corbel"/>
        </w:rPr>
        <w:t xml:space="preserve"> the highest in the OECD, when expressed as a percentage of average earnings</w:t>
      </w:r>
      <w:r w:rsidR="00A47BA1" w:rsidRPr="001D6F3C">
        <w:rPr>
          <w:rFonts w:ascii="Corbel" w:hAnsi="Corbel"/>
        </w:rPr>
        <w:t>, as can be seen in</w:t>
      </w:r>
      <w:r w:rsidR="007C108B" w:rsidRPr="001D6F3C">
        <w:rPr>
          <w:rFonts w:ascii="Corbel" w:hAnsi="Corbel"/>
        </w:rPr>
        <w:t xml:space="preserve"> </w:t>
      </w:r>
      <w:r w:rsidR="007C108B" w:rsidRPr="001D6F3C">
        <w:rPr>
          <w:rFonts w:ascii="Corbel" w:hAnsi="Corbel"/>
        </w:rPr>
        <w:fldChar w:fldCharType="begin"/>
      </w:r>
      <w:r w:rsidR="007C108B" w:rsidRPr="001D6F3C">
        <w:rPr>
          <w:rFonts w:ascii="Corbel" w:hAnsi="Corbel"/>
        </w:rPr>
        <w:instrText xml:space="preserve"> REF _Ref203142413 \h </w:instrText>
      </w:r>
      <w:r w:rsidR="001D6F3C">
        <w:rPr>
          <w:rFonts w:ascii="Corbel" w:hAnsi="Corbel"/>
        </w:rPr>
        <w:instrText xml:space="preserve"> \* MERGEFORMAT </w:instrText>
      </w:r>
      <w:r w:rsidR="007C108B" w:rsidRPr="001D6F3C">
        <w:rPr>
          <w:rFonts w:ascii="Corbel" w:hAnsi="Corbel"/>
        </w:rPr>
      </w:r>
      <w:r w:rsidR="007C108B" w:rsidRPr="001D6F3C">
        <w:rPr>
          <w:rFonts w:ascii="Corbel" w:hAnsi="Corbel"/>
        </w:rPr>
        <w:fldChar w:fldCharType="separate"/>
      </w:r>
      <w:r w:rsidR="007C108B" w:rsidRPr="001D6F3C">
        <w:rPr>
          <w:rFonts w:ascii="Corbel" w:hAnsi="Corbel"/>
        </w:rPr>
        <w:t xml:space="preserve">Figure </w:t>
      </w:r>
      <w:r w:rsidR="007C108B" w:rsidRPr="001D6F3C">
        <w:rPr>
          <w:rFonts w:ascii="Corbel" w:hAnsi="Corbel"/>
          <w:noProof/>
        </w:rPr>
        <w:t>29</w:t>
      </w:r>
      <w:r w:rsidR="007C108B" w:rsidRPr="001D6F3C">
        <w:rPr>
          <w:rFonts w:ascii="Corbel" w:hAnsi="Corbel"/>
        </w:rPr>
        <w:fldChar w:fldCharType="end"/>
      </w:r>
      <w:r w:rsidR="007C108B" w:rsidRPr="001D6F3C">
        <w:rPr>
          <w:rFonts w:ascii="Corbel" w:hAnsi="Corbel"/>
        </w:rPr>
        <w:t xml:space="preserve"> </w:t>
      </w:r>
      <w:r w:rsidR="00A47BA1" w:rsidRPr="001D6F3C">
        <w:rPr>
          <w:rFonts w:ascii="Corbel" w:hAnsi="Corbel"/>
        </w:rPr>
        <w:t>below</w:t>
      </w:r>
      <w:r w:rsidRPr="001D6F3C">
        <w:rPr>
          <w:rFonts w:ascii="Corbel" w:hAnsi="Corbel"/>
        </w:rPr>
        <w:t>.</w:t>
      </w:r>
    </w:p>
    <w:p w14:paraId="2BF53C51" w14:textId="33656658" w:rsidR="00970EA4" w:rsidRPr="001D6F3C" w:rsidRDefault="00970EA4" w:rsidP="00A60862">
      <w:pPr>
        <w:pStyle w:val="Caption"/>
        <w:keepNext/>
        <w:jc w:val="both"/>
        <w:rPr>
          <w:rFonts w:ascii="Corbel" w:hAnsi="Corbel"/>
        </w:rPr>
      </w:pPr>
      <w:bookmarkStart w:id="63" w:name="_Ref203142413"/>
      <w:bookmarkStart w:id="64" w:name="_Toc203142289"/>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29</w:t>
      </w:r>
      <w:r w:rsidR="00585542" w:rsidRPr="001D6F3C">
        <w:rPr>
          <w:rFonts w:ascii="Corbel" w:hAnsi="Corbel"/>
        </w:rPr>
        <w:fldChar w:fldCharType="end"/>
      </w:r>
      <w:bookmarkEnd w:id="63"/>
      <w:r w:rsidRPr="001D6F3C">
        <w:rPr>
          <w:rFonts w:ascii="Corbel" w:hAnsi="Corbel"/>
        </w:rPr>
        <w:t xml:space="preserve"> - first tier benefits in </w:t>
      </w:r>
      <w:proofErr w:type="spellStart"/>
      <w:r w:rsidRPr="001D6F3C">
        <w:rPr>
          <w:rFonts w:ascii="Corbel" w:hAnsi="Corbel"/>
        </w:rPr>
        <w:t>oecd</w:t>
      </w:r>
      <w:proofErr w:type="spellEnd"/>
      <w:r w:rsidRPr="001D6F3C">
        <w:rPr>
          <w:rFonts w:ascii="Corbel" w:hAnsi="Corbel"/>
        </w:rPr>
        <w:t xml:space="preserve"> countries - % of gross earnings (2022)</w:t>
      </w:r>
      <w:bookmarkEnd w:id="64"/>
    </w:p>
    <w:p w14:paraId="7D6A200B" w14:textId="4E4E8AB9" w:rsidR="00EF575B" w:rsidRPr="001D6F3C" w:rsidRDefault="00EF575B" w:rsidP="00685399">
      <w:pPr>
        <w:jc w:val="center"/>
        <w:rPr>
          <w:rFonts w:ascii="Corbel" w:hAnsi="Corbel"/>
        </w:rPr>
      </w:pPr>
      <w:r w:rsidRPr="001D6F3C">
        <w:rPr>
          <w:rFonts w:ascii="Corbel" w:hAnsi="Corbel"/>
          <w:noProof/>
        </w:rPr>
        <w:drawing>
          <wp:inline distT="0" distB="0" distL="0" distR="0" wp14:anchorId="362CCA40" wp14:editId="4F698EB2">
            <wp:extent cx="3835730" cy="1961082"/>
            <wp:effectExtent l="0" t="0" r="0" b="0"/>
            <wp:docPr id="1687614578" name="Picture 3">
              <a:extLst xmlns:a="http://schemas.openxmlformats.org/drawingml/2006/main">
                <a:ext uri="{FF2B5EF4-FFF2-40B4-BE49-F238E27FC236}">
                  <a16:creationId xmlns:a16="http://schemas.microsoft.com/office/drawing/2014/main" id="{F1BA297D-2985-1A6E-86FA-78075DFA4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BA297D-2985-1A6E-86FA-78075DFA4DCC}"/>
                        </a:ext>
                      </a:extLst>
                    </pic:cNvPr>
                    <pic:cNvPicPr>
                      <a:picLocks noChangeAspect="1"/>
                    </pic:cNvPicPr>
                  </pic:nvPicPr>
                  <pic:blipFill rotWithShape="1">
                    <a:blip r:embed="rId63"/>
                    <a:srcRect t="14338"/>
                    <a:stretch/>
                  </pic:blipFill>
                  <pic:spPr bwMode="auto">
                    <a:xfrm>
                      <a:off x="0" y="0"/>
                      <a:ext cx="3877302" cy="1982336"/>
                    </a:xfrm>
                    <a:prstGeom prst="rect">
                      <a:avLst/>
                    </a:prstGeom>
                    <a:ln>
                      <a:noFill/>
                    </a:ln>
                    <a:extLst>
                      <a:ext uri="{53640926-AAD7-44D8-BBD7-CCE9431645EC}">
                        <a14:shadowObscured xmlns:a14="http://schemas.microsoft.com/office/drawing/2010/main"/>
                      </a:ext>
                    </a:extLst>
                  </pic:spPr>
                </pic:pic>
              </a:graphicData>
            </a:graphic>
          </wp:inline>
        </w:drawing>
      </w:r>
    </w:p>
    <w:p w14:paraId="778ADDDF" w14:textId="7E3F07E6" w:rsidR="00EF575B" w:rsidRPr="001D6F3C" w:rsidRDefault="00EF575B" w:rsidP="00A60862">
      <w:pPr>
        <w:jc w:val="both"/>
        <w:rPr>
          <w:rFonts w:ascii="Corbel" w:hAnsi="Corbel"/>
        </w:rPr>
      </w:pPr>
      <w:r w:rsidRPr="001D6F3C">
        <w:rPr>
          <w:rFonts w:ascii="Corbel" w:hAnsi="Corbel"/>
        </w:rPr>
        <w:t xml:space="preserve">NZS is also world-leading among mandatory pension schemes in the way it limits earnings inequality impacting on pension levels. The OECD constructed a ‘progressivity index’ to assess the extent to which lifetime earnings inequality passes on to pension inequality. On this index New Zealand joins Ireland and the United Kingdom in scoring 100% since all </w:t>
      </w:r>
      <w:r w:rsidR="00E95460" w:rsidRPr="001D6F3C">
        <w:rPr>
          <w:rFonts w:ascii="Corbel" w:hAnsi="Corbel"/>
        </w:rPr>
        <w:t xml:space="preserve">superannuants </w:t>
      </w:r>
      <w:r w:rsidRPr="001D6F3C">
        <w:rPr>
          <w:rFonts w:ascii="Corbel" w:hAnsi="Corbel"/>
        </w:rPr>
        <w:t xml:space="preserve">receive the same basic benefit level, regardless of prior earnings. Similarly, NZS is near-unique in </w:t>
      </w:r>
      <w:r w:rsidR="00491107" w:rsidRPr="001D6F3C">
        <w:rPr>
          <w:rFonts w:ascii="Corbel" w:hAnsi="Corbel"/>
        </w:rPr>
        <w:t xml:space="preserve">not </w:t>
      </w:r>
      <w:r w:rsidRPr="001D6F3C">
        <w:rPr>
          <w:rFonts w:ascii="Corbel" w:hAnsi="Corbel"/>
        </w:rPr>
        <w:t>discouraging labour market participation</w:t>
      </w:r>
      <w:r w:rsidR="00E95460" w:rsidRPr="001D6F3C">
        <w:rPr>
          <w:rFonts w:ascii="Corbel" w:hAnsi="Corbel"/>
        </w:rPr>
        <w:t xml:space="preserve"> as</w:t>
      </w:r>
      <w:r w:rsidRPr="001D6F3C">
        <w:rPr>
          <w:rFonts w:ascii="Corbel" w:hAnsi="Corbel"/>
        </w:rPr>
        <w:t xml:space="preserve"> discussed above. </w:t>
      </w:r>
    </w:p>
    <w:p w14:paraId="256EA1EF" w14:textId="7F1656C6" w:rsidR="00EF575B" w:rsidRPr="001D6F3C" w:rsidRDefault="00EF575B" w:rsidP="00A60862">
      <w:pPr>
        <w:jc w:val="both"/>
        <w:rPr>
          <w:rFonts w:ascii="Corbel" w:hAnsi="Corbel"/>
        </w:rPr>
      </w:pPr>
      <w:r w:rsidRPr="001D6F3C">
        <w:rPr>
          <w:rFonts w:ascii="Corbel" w:hAnsi="Corbel"/>
        </w:rPr>
        <w:t xml:space="preserve">Indexation settings for </w:t>
      </w:r>
      <w:r w:rsidR="00491107" w:rsidRPr="001D6F3C">
        <w:rPr>
          <w:rFonts w:ascii="Corbel" w:hAnsi="Corbel"/>
        </w:rPr>
        <w:t>NZS</w:t>
      </w:r>
      <w:r w:rsidRPr="001D6F3C">
        <w:rPr>
          <w:rFonts w:ascii="Corbel" w:hAnsi="Corbel"/>
        </w:rPr>
        <w:t xml:space="preserve"> mean that, each April, NZS has been adjusted by the higher of wages or prices</w:t>
      </w:r>
      <w:r w:rsidR="00C93014" w:rsidRPr="001D6F3C">
        <w:rPr>
          <w:rFonts w:ascii="Corbel" w:hAnsi="Corbel"/>
        </w:rPr>
        <w:t xml:space="preserve">, </w:t>
      </w:r>
      <w:r w:rsidR="00E95460" w:rsidRPr="001D6F3C">
        <w:rPr>
          <w:rFonts w:ascii="Corbel" w:hAnsi="Corbel"/>
        </w:rPr>
        <w:t xml:space="preserve">with </w:t>
      </w:r>
      <w:r w:rsidR="00C93014" w:rsidRPr="001D6F3C">
        <w:rPr>
          <w:rFonts w:ascii="Corbel" w:hAnsi="Corbel"/>
        </w:rPr>
        <w:t>wages are most commonly the higher of the two</w:t>
      </w:r>
      <w:r w:rsidRPr="001D6F3C">
        <w:rPr>
          <w:rFonts w:ascii="Corbel" w:hAnsi="Corbel"/>
        </w:rPr>
        <w:t xml:space="preserve">. </w:t>
      </w:r>
      <w:r w:rsidR="00C93014" w:rsidRPr="001D6F3C">
        <w:rPr>
          <w:rFonts w:ascii="Corbel" w:hAnsi="Corbel"/>
        </w:rPr>
        <w:t xml:space="preserve">As a result, </w:t>
      </w:r>
      <w:r w:rsidRPr="001D6F3C">
        <w:rPr>
          <w:rFonts w:ascii="Corbel" w:hAnsi="Corbel"/>
        </w:rPr>
        <w:t xml:space="preserve">NZS rates have steadily increased in real terms - between 2008 and 2024, NZS rates increased by 83%, well ahead of the cost of living as measured by either the Consumer Price Index </w:t>
      </w:r>
      <w:r w:rsidR="005D47B8" w:rsidRPr="001D6F3C">
        <w:rPr>
          <w:rFonts w:ascii="Corbel" w:hAnsi="Corbel"/>
        </w:rPr>
        <w:t xml:space="preserve">(CPI) </w:t>
      </w:r>
      <w:r w:rsidRPr="001D6F3C">
        <w:rPr>
          <w:rFonts w:ascii="Corbel" w:hAnsi="Corbel"/>
        </w:rPr>
        <w:t xml:space="preserve">(47%) or the Household Living Price Index (56%). </w:t>
      </w:r>
    </w:p>
    <w:p w14:paraId="6475B961" w14:textId="5EEDD8C5" w:rsidR="00F302A9" w:rsidRPr="001D6F3C" w:rsidRDefault="00EF575B" w:rsidP="00A60862">
      <w:pPr>
        <w:jc w:val="both"/>
        <w:rPr>
          <w:rFonts w:ascii="Corbel" w:hAnsi="Corbel"/>
        </w:rPr>
      </w:pPr>
      <w:r w:rsidRPr="001D6F3C">
        <w:rPr>
          <w:rFonts w:ascii="Corbel" w:hAnsi="Corbel"/>
        </w:rPr>
        <w:t xml:space="preserve">While this suggests that indexation has meant NZS levels have increased faster than costs for all recipients, some caution is needed. These price indexes rely on averages for their ‘basket’ of goods and services, and these may not be representative of the prices and expenditure of all NZS </w:t>
      </w:r>
      <w:r w:rsidR="00BB7B80" w:rsidRPr="001D6F3C">
        <w:rPr>
          <w:rFonts w:ascii="Corbel" w:hAnsi="Corbel"/>
        </w:rPr>
        <w:t>recipients</w:t>
      </w:r>
      <w:r w:rsidRPr="001D6F3C">
        <w:rPr>
          <w:rFonts w:ascii="Corbel" w:hAnsi="Corbel"/>
        </w:rPr>
        <w:t xml:space="preserve">, particularly those with different housing costs. </w:t>
      </w:r>
    </w:p>
    <w:p w14:paraId="61BB999B" w14:textId="089558A0" w:rsidR="00EF575B" w:rsidRPr="001D6F3C" w:rsidRDefault="00EF575B" w:rsidP="00A60862">
      <w:pPr>
        <w:jc w:val="both"/>
        <w:rPr>
          <w:rFonts w:ascii="Corbel" w:hAnsi="Corbel"/>
        </w:rPr>
      </w:pPr>
      <w:r w:rsidRPr="001D6F3C">
        <w:rPr>
          <w:rFonts w:ascii="Corbel" w:hAnsi="Corbel"/>
        </w:rPr>
        <w:t>As the graph</w:t>
      </w:r>
      <w:r w:rsidR="00C93014" w:rsidRPr="001D6F3C">
        <w:rPr>
          <w:rFonts w:ascii="Corbel" w:hAnsi="Corbel"/>
        </w:rPr>
        <w:t xml:space="preserve"> below</w:t>
      </w:r>
      <w:r w:rsidRPr="001D6F3C">
        <w:rPr>
          <w:rFonts w:ascii="Corbel" w:hAnsi="Corbel"/>
        </w:rPr>
        <w:t xml:space="preserve"> shows, rates have kept pace with average wages (in line with legislative settings) but have steadily declined in relation to median household incomes, as these tend to grow slightly faster, which has implications for income poverty rates (see section 2.1 above.). </w:t>
      </w:r>
    </w:p>
    <w:p w14:paraId="5B2CB816" w14:textId="08A17ADE" w:rsidR="00970EA4" w:rsidRPr="001D6F3C" w:rsidRDefault="00970EA4" w:rsidP="00A60862">
      <w:pPr>
        <w:pStyle w:val="Caption"/>
        <w:keepNext/>
        <w:jc w:val="both"/>
        <w:rPr>
          <w:rFonts w:ascii="Corbel" w:hAnsi="Corbel"/>
        </w:rPr>
      </w:pPr>
      <w:bookmarkStart w:id="65" w:name="_Toc203142290"/>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30</w:t>
      </w:r>
      <w:r w:rsidR="00585542" w:rsidRPr="001D6F3C">
        <w:rPr>
          <w:rFonts w:ascii="Corbel" w:hAnsi="Corbel"/>
        </w:rPr>
        <w:fldChar w:fldCharType="end"/>
      </w:r>
      <w:r w:rsidRPr="001D6F3C">
        <w:rPr>
          <w:rFonts w:ascii="Corbel" w:hAnsi="Corbel"/>
        </w:rPr>
        <w:t xml:space="preserve"> - NZS as % of average wages and median household income</w:t>
      </w:r>
      <w:bookmarkEnd w:id="65"/>
    </w:p>
    <w:p w14:paraId="7A239759" w14:textId="31EE2754" w:rsidR="00EF575B" w:rsidRPr="001D6F3C" w:rsidRDefault="00EF575B" w:rsidP="00685399">
      <w:pPr>
        <w:jc w:val="center"/>
        <w:rPr>
          <w:rFonts w:ascii="Corbel" w:hAnsi="Corbel"/>
        </w:rPr>
      </w:pPr>
      <w:r w:rsidRPr="001D6F3C">
        <w:rPr>
          <w:rFonts w:ascii="Corbel" w:hAnsi="Corbel"/>
          <w:noProof/>
        </w:rPr>
        <w:drawing>
          <wp:inline distT="0" distB="0" distL="0" distR="0" wp14:anchorId="18678734" wp14:editId="68D91298">
            <wp:extent cx="4004679" cy="1911928"/>
            <wp:effectExtent l="0" t="0" r="0" b="0"/>
            <wp:docPr id="1651930443" name="Picture 5">
              <a:extLst xmlns:a="http://schemas.openxmlformats.org/drawingml/2006/main">
                <a:ext uri="{FF2B5EF4-FFF2-40B4-BE49-F238E27FC236}">
                  <a16:creationId xmlns:a16="http://schemas.microsoft.com/office/drawing/2014/main" id="{F5FCCEE5-B64C-3322-A933-69B8E485A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5FCCEE5-B64C-3322-A933-69B8E485A689}"/>
                        </a:ext>
                      </a:extLst>
                    </pic:cNvPr>
                    <pic:cNvPicPr>
                      <a:picLocks noChangeAspect="1"/>
                    </pic:cNvPicPr>
                  </pic:nvPicPr>
                  <pic:blipFill rotWithShape="1">
                    <a:blip r:embed="rId64"/>
                    <a:srcRect t="9576"/>
                    <a:stretch/>
                  </pic:blipFill>
                  <pic:spPr bwMode="auto">
                    <a:xfrm>
                      <a:off x="0" y="0"/>
                      <a:ext cx="4042129" cy="1929807"/>
                    </a:xfrm>
                    <a:prstGeom prst="rect">
                      <a:avLst/>
                    </a:prstGeom>
                    <a:ln>
                      <a:noFill/>
                    </a:ln>
                    <a:extLst>
                      <a:ext uri="{53640926-AAD7-44D8-BBD7-CCE9431645EC}">
                        <a14:shadowObscured xmlns:a14="http://schemas.microsoft.com/office/drawing/2010/main"/>
                      </a:ext>
                    </a:extLst>
                  </pic:spPr>
                </pic:pic>
              </a:graphicData>
            </a:graphic>
          </wp:inline>
        </w:drawing>
      </w:r>
    </w:p>
    <w:p w14:paraId="6B60D404" w14:textId="65A1DF0C" w:rsidR="00EF575B" w:rsidRPr="001D6F3C" w:rsidRDefault="00EF575B" w:rsidP="00A60862">
      <w:pPr>
        <w:jc w:val="both"/>
        <w:rPr>
          <w:rFonts w:ascii="Corbel" w:hAnsi="Corbel"/>
        </w:rPr>
      </w:pPr>
      <w:r w:rsidRPr="001D6F3C">
        <w:rPr>
          <w:rFonts w:ascii="Corbel" w:hAnsi="Corbel"/>
        </w:rPr>
        <w:t>Each year, there are generally around 5,000-10,000 people over 65 receiving benefits other than NZS or VP</w:t>
      </w:r>
      <w:r w:rsidR="00017B75" w:rsidRPr="001D6F3C">
        <w:rPr>
          <w:rFonts w:ascii="Corbel" w:hAnsi="Corbel"/>
        </w:rPr>
        <w:t>;</w:t>
      </w:r>
      <w:r w:rsidRPr="001D6F3C">
        <w:rPr>
          <w:rFonts w:ascii="Corbel" w:hAnsi="Corbel"/>
        </w:rPr>
        <w:t xml:space="preserve"> mostly either the Emergency Benefit or Supported Living Payment. This is most commonly due to not meeting residency requirements for NZS. </w:t>
      </w:r>
    </w:p>
    <w:p w14:paraId="7CB2860D" w14:textId="2DB97231" w:rsidR="00EF575B" w:rsidRPr="001D6F3C" w:rsidRDefault="00EF575B" w:rsidP="00A60862">
      <w:pPr>
        <w:jc w:val="both"/>
        <w:rPr>
          <w:rFonts w:ascii="Corbel" w:hAnsi="Corbel"/>
        </w:rPr>
      </w:pPr>
      <w:r w:rsidRPr="001D6F3C">
        <w:rPr>
          <w:rFonts w:ascii="Corbel" w:hAnsi="Corbel"/>
          <w:lang w:val="en-GB"/>
        </w:rPr>
        <w:t xml:space="preserve">Up until July 2024, </w:t>
      </w:r>
      <w:r w:rsidR="00E1373D" w:rsidRPr="001D6F3C">
        <w:rPr>
          <w:rFonts w:ascii="Corbel" w:hAnsi="Corbel"/>
          <w:lang w:val="en-GB"/>
        </w:rPr>
        <w:t>someone had to have b</w:t>
      </w:r>
      <w:r w:rsidRPr="001D6F3C">
        <w:rPr>
          <w:rFonts w:ascii="Corbel" w:hAnsi="Corbel"/>
          <w:lang w:val="en-GB"/>
        </w:rPr>
        <w:t xml:space="preserve">een resident in New Zealand for at least 10 years since the age of 20, five years of which </w:t>
      </w:r>
      <w:r w:rsidR="00017B75" w:rsidRPr="001D6F3C">
        <w:rPr>
          <w:rFonts w:ascii="Corbel" w:hAnsi="Corbel"/>
          <w:lang w:val="en-GB"/>
        </w:rPr>
        <w:t xml:space="preserve">had to </w:t>
      </w:r>
      <w:r w:rsidRPr="001D6F3C">
        <w:rPr>
          <w:rFonts w:ascii="Corbel" w:hAnsi="Corbel"/>
          <w:lang w:val="en-GB"/>
        </w:rPr>
        <w:t>be after the age of 50</w:t>
      </w:r>
      <w:r w:rsidR="00B40351" w:rsidRPr="001D6F3C">
        <w:rPr>
          <w:rFonts w:ascii="Corbel" w:hAnsi="Corbel"/>
          <w:lang w:val="en-GB"/>
        </w:rPr>
        <w:t xml:space="preserve"> to meet the residency requirement</w:t>
      </w:r>
      <w:r w:rsidR="00E1373D" w:rsidRPr="001D6F3C">
        <w:rPr>
          <w:rFonts w:ascii="Corbel" w:hAnsi="Corbel"/>
          <w:lang w:val="en-GB"/>
        </w:rPr>
        <w:t>. Due to 2021 legislative changes</w:t>
      </w:r>
      <w:r w:rsidR="001F3F21" w:rsidRPr="001D6F3C">
        <w:t xml:space="preserve">, the </w:t>
      </w:r>
      <w:r w:rsidR="00017B75" w:rsidRPr="001D6F3C">
        <w:rPr>
          <w:rFonts w:ascii="Corbel" w:hAnsi="Corbel"/>
          <w:lang w:val="en-GB"/>
        </w:rPr>
        <w:t xml:space="preserve">minimum </w:t>
      </w:r>
      <w:r w:rsidRPr="001D6F3C">
        <w:rPr>
          <w:rFonts w:ascii="Corbel" w:hAnsi="Corbel"/>
          <w:lang w:val="en-GB"/>
        </w:rPr>
        <w:t xml:space="preserve">overall length of residency is gradually increasing from 10 years to 20 years and will be </w:t>
      </w:r>
      <w:r w:rsidR="00233D0C" w:rsidRPr="001D6F3C">
        <w:rPr>
          <w:rFonts w:ascii="Corbel" w:hAnsi="Corbel"/>
          <w:lang w:val="en-GB"/>
        </w:rPr>
        <w:t xml:space="preserve">fully </w:t>
      </w:r>
      <w:r w:rsidRPr="001D6F3C">
        <w:rPr>
          <w:rFonts w:ascii="Corbel" w:hAnsi="Corbel"/>
          <w:lang w:val="en-GB"/>
        </w:rPr>
        <w:t xml:space="preserve">phased </w:t>
      </w:r>
      <w:r w:rsidR="00233D0C" w:rsidRPr="001D6F3C">
        <w:rPr>
          <w:rFonts w:ascii="Corbel" w:hAnsi="Corbel"/>
          <w:lang w:val="en-GB"/>
        </w:rPr>
        <w:t>by</w:t>
      </w:r>
      <w:r w:rsidRPr="001D6F3C">
        <w:rPr>
          <w:rFonts w:ascii="Corbel" w:hAnsi="Corbel"/>
          <w:lang w:val="en-GB"/>
        </w:rPr>
        <w:t xml:space="preserve"> 2042. This will mean an increasing number of people will not be eligible for NZS</w:t>
      </w:r>
      <w:r w:rsidR="006522EB" w:rsidRPr="001D6F3C">
        <w:rPr>
          <w:rFonts w:ascii="Corbel" w:hAnsi="Corbel"/>
          <w:lang w:val="en-GB"/>
        </w:rPr>
        <w:t xml:space="preserve"> and </w:t>
      </w:r>
      <w:r w:rsidR="007979C4" w:rsidRPr="001D6F3C">
        <w:rPr>
          <w:rFonts w:ascii="Corbel" w:hAnsi="Corbel"/>
          <w:lang w:val="en-GB"/>
        </w:rPr>
        <w:t xml:space="preserve">may </w:t>
      </w:r>
      <w:r w:rsidR="00AA77F1" w:rsidRPr="001D6F3C">
        <w:rPr>
          <w:rFonts w:ascii="Corbel" w:hAnsi="Corbel"/>
          <w:lang w:val="en-GB"/>
        </w:rPr>
        <w:t>seek</w:t>
      </w:r>
      <w:r w:rsidR="006522EB" w:rsidRPr="001D6F3C">
        <w:rPr>
          <w:rFonts w:ascii="Corbel" w:hAnsi="Corbel"/>
          <w:lang w:val="en-GB"/>
        </w:rPr>
        <w:t xml:space="preserve"> other </w:t>
      </w:r>
      <w:r w:rsidR="00AA77F1" w:rsidRPr="001D6F3C">
        <w:rPr>
          <w:rFonts w:ascii="Corbel" w:hAnsi="Corbel"/>
          <w:lang w:val="en-GB"/>
        </w:rPr>
        <w:t xml:space="preserve">financial </w:t>
      </w:r>
      <w:r w:rsidR="001F3F21" w:rsidRPr="001D6F3C">
        <w:rPr>
          <w:rFonts w:ascii="Corbel" w:hAnsi="Corbel"/>
          <w:lang w:val="en-GB"/>
        </w:rPr>
        <w:t>support from MSD</w:t>
      </w:r>
      <w:r w:rsidR="006522EB" w:rsidRPr="001D6F3C">
        <w:rPr>
          <w:rFonts w:ascii="Corbel" w:hAnsi="Corbel"/>
          <w:lang w:val="en-GB"/>
        </w:rPr>
        <w:t>, which is paid at a lower rate</w:t>
      </w:r>
      <w:r w:rsidR="001F3F21" w:rsidRPr="001D6F3C">
        <w:rPr>
          <w:rFonts w:ascii="Corbel" w:hAnsi="Corbel"/>
          <w:lang w:val="en-GB"/>
        </w:rPr>
        <w:t>.</w:t>
      </w:r>
      <w:r w:rsidR="00DE767F" w:rsidRPr="001D6F3C">
        <w:rPr>
          <w:rStyle w:val="FootnoteReference"/>
          <w:rFonts w:ascii="Corbel" w:hAnsi="Corbel"/>
          <w:lang w:val="en-GB"/>
        </w:rPr>
        <w:footnoteReference w:id="7"/>
      </w:r>
      <w:r w:rsidR="001F3F21" w:rsidRPr="001D6F3C">
        <w:rPr>
          <w:rFonts w:ascii="Corbel" w:hAnsi="Corbel"/>
          <w:lang w:val="en-GB"/>
        </w:rPr>
        <w:t xml:space="preserve"> Those affected by the change</w:t>
      </w:r>
      <w:r w:rsidR="00D62C07" w:rsidRPr="001D6F3C">
        <w:rPr>
          <w:rFonts w:ascii="Corbel" w:hAnsi="Corbel"/>
          <w:lang w:val="en-GB"/>
        </w:rPr>
        <w:t xml:space="preserve"> will likely be at higher risk of hardship and disadvantage and</w:t>
      </w:r>
      <w:r w:rsidR="001F3F21" w:rsidRPr="001D6F3C">
        <w:rPr>
          <w:rFonts w:ascii="Corbel" w:hAnsi="Corbel"/>
          <w:lang w:val="en-GB"/>
        </w:rPr>
        <w:t xml:space="preserve"> </w:t>
      </w:r>
      <w:r w:rsidR="00D62C07" w:rsidRPr="001D6F3C">
        <w:rPr>
          <w:rFonts w:ascii="Corbel" w:hAnsi="Corbel"/>
          <w:lang w:val="en-GB"/>
        </w:rPr>
        <w:t>will more likely</w:t>
      </w:r>
      <w:r w:rsidRPr="001D6F3C">
        <w:rPr>
          <w:rFonts w:ascii="Corbel" w:hAnsi="Corbel"/>
          <w:lang w:val="en-GB"/>
        </w:rPr>
        <w:t xml:space="preserve"> be</w:t>
      </w:r>
      <w:r w:rsidR="00E1373D" w:rsidRPr="001D6F3C">
        <w:rPr>
          <w:rFonts w:ascii="Corbel" w:hAnsi="Corbel"/>
          <w:lang w:val="en-GB"/>
        </w:rPr>
        <w:t xml:space="preserve"> </w:t>
      </w:r>
      <w:r w:rsidR="0067420E" w:rsidRPr="001D6F3C">
        <w:rPr>
          <w:rFonts w:ascii="Corbel" w:hAnsi="Corbel"/>
          <w:lang w:val="en-GB"/>
        </w:rPr>
        <w:t xml:space="preserve">from </w:t>
      </w:r>
      <w:r w:rsidR="00EB3433" w:rsidRPr="001D6F3C">
        <w:rPr>
          <w:rFonts w:ascii="Corbel" w:hAnsi="Corbel"/>
          <w:lang w:val="en-GB"/>
        </w:rPr>
        <w:t>e</w:t>
      </w:r>
      <w:r w:rsidR="0067420E" w:rsidRPr="001D6F3C">
        <w:rPr>
          <w:rFonts w:ascii="Corbel" w:hAnsi="Corbel"/>
          <w:lang w:val="en-GB"/>
        </w:rPr>
        <w:t>thnic</w:t>
      </w:r>
      <w:r w:rsidR="0021469E" w:rsidRPr="001D6F3C">
        <w:rPr>
          <w:rFonts w:ascii="Corbel" w:hAnsi="Corbel"/>
          <w:lang w:val="en-GB"/>
        </w:rPr>
        <w:t xml:space="preserve"> and migrant</w:t>
      </w:r>
      <w:r w:rsidR="0067420E" w:rsidRPr="001D6F3C">
        <w:rPr>
          <w:rFonts w:ascii="Corbel" w:hAnsi="Corbel"/>
          <w:lang w:val="en-GB"/>
        </w:rPr>
        <w:t xml:space="preserve"> </w:t>
      </w:r>
      <w:r w:rsidR="00EB3433" w:rsidRPr="001D6F3C">
        <w:rPr>
          <w:rFonts w:ascii="Corbel" w:hAnsi="Corbel"/>
          <w:lang w:val="en-GB"/>
        </w:rPr>
        <w:t>c</w:t>
      </w:r>
      <w:r w:rsidR="0067420E" w:rsidRPr="001D6F3C">
        <w:rPr>
          <w:rFonts w:ascii="Corbel" w:hAnsi="Corbel"/>
          <w:lang w:val="en-GB"/>
        </w:rPr>
        <w:t>ommunities.</w:t>
      </w:r>
    </w:p>
    <w:p w14:paraId="2C8317C4" w14:textId="7E2B8B08" w:rsidR="00EF575B" w:rsidRPr="001D6F3C" w:rsidRDefault="00EF575B" w:rsidP="00A60862">
      <w:pPr>
        <w:pStyle w:val="Heading2"/>
        <w:jc w:val="both"/>
        <w:rPr>
          <w:rFonts w:ascii="Corbel" w:hAnsi="Corbel"/>
        </w:rPr>
      </w:pPr>
      <w:bookmarkStart w:id="66" w:name="_Toc207782999"/>
      <w:r w:rsidRPr="001D6F3C">
        <w:rPr>
          <w:rFonts w:ascii="Corbel" w:hAnsi="Corbel"/>
        </w:rPr>
        <w:t>3.</w:t>
      </w:r>
      <w:r w:rsidR="00382E63">
        <w:rPr>
          <w:rFonts w:ascii="Corbel" w:hAnsi="Corbel"/>
        </w:rPr>
        <w:t>5</w:t>
      </w:r>
      <w:r w:rsidR="00045651" w:rsidRPr="001D6F3C">
        <w:rPr>
          <w:rFonts w:ascii="Corbel" w:hAnsi="Corbel"/>
        </w:rPr>
        <w:t xml:space="preserve"> </w:t>
      </w:r>
      <w:r w:rsidRPr="001D6F3C">
        <w:rPr>
          <w:rFonts w:ascii="Corbel" w:hAnsi="Corbel"/>
          <w:b/>
          <w:bCs/>
        </w:rPr>
        <w:t xml:space="preserve">Income </w:t>
      </w:r>
      <w:r w:rsidR="00226447" w:rsidRPr="001D6F3C">
        <w:rPr>
          <w:rFonts w:ascii="Corbel" w:hAnsi="Corbel"/>
          <w:b/>
          <w:bCs/>
        </w:rPr>
        <w:t>s</w:t>
      </w:r>
      <w:r w:rsidRPr="001D6F3C">
        <w:rPr>
          <w:rFonts w:ascii="Corbel" w:hAnsi="Corbel"/>
          <w:b/>
          <w:bCs/>
        </w:rPr>
        <w:t>upport</w:t>
      </w:r>
      <w:r w:rsidR="00970EA4" w:rsidRPr="001D6F3C">
        <w:rPr>
          <w:rFonts w:ascii="Corbel" w:hAnsi="Corbel"/>
          <w:b/>
          <w:bCs/>
        </w:rPr>
        <w:t xml:space="preserve"> </w:t>
      </w:r>
      <w:r w:rsidR="00970EA4" w:rsidRPr="001D6F3C">
        <w:rPr>
          <w:rStyle w:val="Heading2Char"/>
          <w:rFonts w:ascii="Corbel" w:hAnsi="Corbel"/>
        </w:rPr>
        <w:t xml:space="preserve">- </w:t>
      </w:r>
      <w:r w:rsidR="00226447" w:rsidRPr="001D6F3C">
        <w:rPr>
          <w:rStyle w:val="Heading2Char"/>
          <w:rFonts w:ascii="Corbel" w:hAnsi="Corbel"/>
        </w:rPr>
        <w:t>t</w:t>
      </w:r>
      <w:r w:rsidRPr="001D6F3C">
        <w:rPr>
          <w:rStyle w:val="Heading2Char"/>
          <w:rFonts w:ascii="Corbel" w:hAnsi="Corbel"/>
        </w:rPr>
        <w:t>rends in receipt</w:t>
      </w:r>
      <w:bookmarkEnd w:id="66"/>
    </w:p>
    <w:p w14:paraId="5BDFE763" w14:textId="7E667727" w:rsidR="00EF575B" w:rsidRPr="001D6F3C" w:rsidRDefault="00EF575B" w:rsidP="00A60862">
      <w:pPr>
        <w:jc w:val="both"/>
        <w:rPr>
          <w:rFonts w:ascii="Corbel" w:hAnsi="Corbel"/>
        </w:rPr>
      </w:pPr>
      <w:r w:rsidRPr="001D6F3C">
        <w:rPr>
          <w:rFonts w:ascii="Corbel" w:hAnsi="Corbel"/>
        </w:rPr>
        <w:t xml:space="preserve">NZS </w:t>
      </w:r>
      <w:r w:rsidR="00C93014" w:rsidRPr="001D6F3C">
        <w:rPr>
          <w:rFonts w:ascii="Corbel" w:hAnsi="Corbel"/>
        </w:rPr>
        <w:t xml:space="preserve">is a first-tier benefit. Like other first-tier benefits, </w:t>
      </w:r>
      <w:r w:rsidRPr="001D6F3C">
        <w:rPr>
          <w:rFonts w:ascii="Corbel" w:hAnsi="Corbel"/>
        </w:rPr>
        <w:t xml:space="preserve">recipients are potentially eligible for various forms of supplementary assistance. </w:t>
      </w:r>
      <w:r w:rsidR="00D257A1" w:rsidRPr="001D6F3C">
        <w:rPr>
          <w:rFonts w:ascii="Corbel" w:hAnsi="Corbel"/>
        </w:rPr>
        <w:t>Figure 3</w:t>
      </w:r>
      <w:r w:rsidR="00AD2CCE" w:rsidRPr="001D6F3C">
        <w:rPr>
          <w:rFonts w:ascii="Corbel" w:hAnsi="Corbel"/>
        </w:rPr>
        <w:t>1</w:t>
      </w:r>
      <w:r w:rsidRPr="001D6F3C">
        <w:rPr>
          <w:rFonts w:ascii="Corbel" w:hAnsi="Corbel"/>
        </w:rPr>
        <w:t xml:space="preserve"> shows trends in the uptake of each payment.</w:t>
      </w:r>
    </w:p>
    <w:p w14:paraId="09452DEF" w14:textId="76550C3B" w:rsidR="00970EA4" w:rsidRPr="001D6F3C" w:rsidRDefault="00970EA4" w:rsidP="00A60862">
      <w:pPr>
        <w:pStyle w:val="Caption"/>
        <w:keepNext/>
        <w:jc w:val="both"/>
        <w:rPr>
          <w:rFonts w:ascii="Corbel" w:hAnsi="Corbel"/>
        </w:rPr>
      </w:pPr>
      <w:bookmarkStart w:id="67" w:name="_Toc203142291"/>
      <w:bookmarkStart w:id="68" w:name="_Hlk200975788"/>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31</w:t>
      </w:r>
      <w:r w:rsidR="00585542" w:rsidRPr="001D6F3C">
        <w:rPr>
          <w:rFonts w:ascii="Corbel" w:hAnsi="Corbel"/>
        </w:rPr>
        <w:fldChar w:fldCharType="end"/>
      </w:r>
      <w:r w:rsidRPr="001D6F3C">
        <w:rPr>
          <w:rFonts w:ascii="Corbel" w:hAnsi="Corbel"/>
        </w:rPr>
        <w:t xml:space="preserve"> - % of NZS recipients receiving supplementary assistance</w:t>
      </w:r>
      <w:bookmarkEnd w:id="67"/>
    </w:p>
    <w:bookmarkEnd w:id="68"/>
    <w:p w14:paraId="05EA0B96" w14:textId="797BF2F5" w:rsidR="00EF575B" w:rsidRPr="001D6F3C" w:rsidRDefault="008524F0" w:rsidP="00685399">
      <w:pPr>
        <w:jc w:val="center"/>
        <w:rPr>
          <w:rFonts w:ascii="Corbel" w:hAnsi="Corbel"/>
        </w:rPr>
      </w:pPr>
      <w:r w:rsidRPr="001D6F3C">
        <w:rPr>
          <w:rFonts w:ascii="Corbel" w:hAnsi="Corbel"/>
          <w:noProof/>
        </w:rPr>
        <w:drawing>
          <wp:inline distT="0" distB="0" distL="0" distR="0" wp14:anchorId="1F9B4431" wp14:editId="2AB2BCB9">
            <wp:extent cx="3506272" cy="2062716"/>
            <wp:effectExtent l="0" t="0" r="0" b="0"/>
            <wp:docPr id="1620430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67445" cy="2098703"/>
                    </a:xfrm>
                    <a:prstGeom prst="rect">
                      <a:avLst/>
                    </a:prstGeom>
                    <a:noFill/>
                  </pic:spPr>
                </pic:pic>
              </a:graphicData>
            </a:graphic>
          </wp:inline>
        </w:drawing>
      </w:r>
    </w:p>
    <w:p w14:paraId="3C78FD46" w14:textId="2B7E7AC8" w:rsidR="00EF575B" w:rsidRPr="001D6F3C" w:rsidRDefault="00EF575B" w:rsidP="00D404C5">
      <w:pPr>
        <w:pStyle w:val="ListParagraph"/>
        <w:numPr>
          <w:ilvl w:val="0"/>
          <w:numId w:val="35"/>
        </w:numPr>
        <w:ind w:left="714" w:hanging="357"/>
        <w:contextualSpacing w:val="0"/>
        <w:jc w:val="both"/>
        <w:rPr>
          <w:rFonts w:ascii="Corbel" w:hAnsi="Corbel"/>
        </w:rPr>
      </w:pPr>
      <w:r w:rsidRPr="001D6F3C">
        <w:rPr>
          <w:rFonts w:ascii="Corbel" w:hAnsi="Corbel"/>
        </w:rPr>
        <w:t xml:space="preserve">The </w:t>
      </w:r>
      <w:r w:rsidRPr="001D6F3C">
        <w:rPr>
          <w:rFonts w:ascii="Corbel" w:hAnsi="Corbel"/>
          <w:b/>
          <w:bCs/>
        </w:rPr>
        <w:t>Disability Allowance (DA)</w:t>
      </w:r>
      <w:r w:rsidRPr="001D6F3C">
        <w:rPr>
          <w:rFonts w:ascii="Corbel" w:hAnsi="Corbel"/>
        </w:rPr>
        <w:t xml:space="preserve"> is the most widely accessed payment and is </w:t>
      </w:r>
      <w:proofErr w:type="gramStart"/>
      <w:r w:rsidRPr="001D6F3C">
        <w:rPr>
          <w:rFonts w:ascii="Corbel" w:hAnsi="Corbel"/>
        </w:rPr>
        <w:t>most commonly received</w:t>
      </w:r>
      <w:proofErr w:type="gramEnd"/>
      <w:r w:rsidRPr="001D6F3C">
        <w:rPr>
          <w:rFonts w:ascii="Corbel" w:hAnsi="Corbel"/>
        </w:rPr>
        <w:t xml:space="preserve"> for medical fees (32%) and prescription charges (20%), followed by gardening/lawns (11%) and medical alarms (11%). DA </w:t>
      </w:r>
      <w:r w:rsidR="00587BFC" w:rsidRPr="001D6F3C">
        <w:rPr>
          <w:rFonts w:ascii="Corbel" w:hAnsi="Corbel"/>
        </w:rPr>
        <w:t>receipt</w:t>
      </w:r>
      <w:r w:rsidRPr="001D6F3C">
        <w:rPr>
          <w:rFonts w:ascii="Corbel" w:hAnsi="Corbel"/>
        </w:rPr>
        <w:t xml:space="preserve"> has declined significantly from around 25% of </w:t>
      </w:r>
      <w:r w:rsidRPr="001D6F3C">
        <w:rPr>
          <w:rFonts w:ascii="Corbel" w:hAnsi="Corbel"/>
        </w:rPr>
        <w:lastRenderedPageBreak/>
        <w:t xml:space="preserve">NZS/VP clients in the mid-2000s to around 13%. Uptake has likely been constrained by issues with administrative complexity, accessibility and awareness. In addition, the indexation of </w:t>
      </w:r>
      <w:r w:rsidR="00223D34" w:rsidRPr="001D6F3C">
        <w:rPr>
          <w:rFonts w:ascii="Corbel" w:hAnsi="Corbel"/>
        </w:rPr>
        <w:t xml:space="preserve">DA </w:t>
      </w:r>
      <w:r w:rsidRPr="001D6F3C">
        <w:rPr>
          <w:rFonts w:ascii="Corbel" w:hAnsi="Corbel"/>
        </w:rPr>
        <w:t>income thresholds</w:t>
      </w:r>
      <w:r w:rsidR="00587BFC" w:rsidRPr="001D6F3C">
        <w:rPr>
          <w:rFonts w:ascii="Corbel" w:hAnsi="Corbel"/>
        </w:rPr>
        <w:t xml:space="preserve"> to CPI rather than wages</w:t>
      </w:r>
      <w:r w:rsidRPr="001D6F3C">
        <w:rPr>
          <w:rFonts w:ascii="Corbel" w:hAnsi="Corbel"/>
        </w:rPr>
        <w:t xml:space="preserve"> has likely meant a reduction in</w:t>
      </w:r>
      <w:r w:rsidR="00223D34" w:rsidRPr="001D6F3C">
        <w:rPr>
          <w:rFonts w:ascii="Corbel" w:hAnsi="Corbel"/>
        </w:rPr>
        <w:t xml:space="preserve"> the</w:t>
      </w:r>
      <w:r w:rsidRPr="001D6F3C">
        <w:rPr>
          <w:rFonts w:ascii="Corbel" w:hAnsi="Corbel"/>
        </w:rPr>
        <w:t xml:space="preserve"> number of hours people can work while still receiving DA.</w:t>
      </w:r>
    </w:p>
    <w:p w14:paraId="76EDAF25" w14:textId="1310E3FE" w:rsidR="00EF575B" w:rsidRPr="001D6F3C" w:rsidRDefault="00EF575B" w:rsidP="00D404C5">
      <w:pPr>
        <w:pStyle w:val="ListParagraph"/>
        <w:numPr>
          <w:ilvl w:val="0"/>
          <w:numId w:val="35"/>
        </w:numPr>
        <w:ind w:left="714" w:hanging="357"/>
        <w:contextualSpacing w:val="0"/>
        <w:jc w:val="both"/>
        <w:rPr>
          <w:rFonts w:ascii="Corbel" w:hAnsi="Corbel"/>
        </w:rPr>
      </w:pPr>
      <w:r w:rsidRPr="001D6F3C">
        <w:rPr>
          <w:rFonts w:ascii="Corbel" w:hAnsi="Corbel"/>
        </w:rPr>
        <w:t xml:space="preserve">The </w:t>
      </w:r>
      <w:r w:rsidRPr="001D6F3C">
        <w:rPr>
          <w:rFonts w:ascii="Corbel" w:hAnsi="Corbel"/>
          <w:b/>
          <w:bCs/>
        </w:rPr>
        <w:t xml:space="preserve">Accommodation Supplement </w:t>
      </w:r>
      <w:r w:rsidR="005D47B8" w:rsidRPr="001D6F3C">
        <w:rPr>
          <w:rFonts w:ascii="Corbel" w:hAnsi="Corbel"/>
        </w:rPr>
        <w:t xml:space="preserve">(AS) </w:t>
      </w:r>
      <w:r w:rsidRPr="001D6F3C">
        <w:rPr>
          <w:rFonts w:ascii="Corbel" w:hAnsi="Corbel"/>
        </w:rPr>
        <w:t>and</w:t>
      </w:r>
      <w:r w:rsidRPr="001D6F3C">
        <w:rPr>
          <w:rFonts w:ascii="Corbel" w:hAnsi="Corbel"/>
          <w:b/>
          <w:bCs/>
        </w:rPr>
        <w:t xml:space="preserve"> Temporary Additional Support </w:t>
      </w:r>
      <w:r w:rsidR="005D47B8" w:rsidRPr="001D6F3C">
        <w:rPr>
          <w:rFonts w:ascii="Corbel" w:hAnsi="Corbel"/>
        </w:rPr>
        <w:t xml:space="preserve">(TAS) </w:t>
      </w:r>
      <w:r w:rsidRPr="001D6F3C">
        <w:rPr>
          <w:rFonts w:ascii="Corbel" w:hAnsi="Corbel"/>
        </w:rPr>
        <w:t xml:space="preserve">are received by a relatively small proportion of clients, though this number has been growing, likely due to an increase in those facing high housing costs and low residual incomes. One factor that is likely limiting wider </w:t>
      </w:r>
      <w:r w:rsidR="005D47B8" w:rsidRPr="001D6F3C">
        <w:rPr>
          <w:rFonts w:ascii="Corbel" w:hAnsi="Corbel"/>
        </w:rPr>
        <w:t>AS</w:t>
      </w:r>
      <w:r w:rsidRPr="001D6F3C">
        <w:rPr>
          <w:rFonts w:ascii="Corbel" w:hAnsi="Corbel"/>
        </w:rPr>
        <w:t xml:space="preserve"> uptake is the fact that it is subject to a cash asset test of $8,100 for a single person and $16,200 for a couple - these limits have not changed since AS </w:t>
      </w:r>
      <w:r w:rsidR="00223D34" w:rsidRPr="001D6F3C">
        <w:rPr>
          <w:rFonts w:ascii="Corbel" w:hAnsi="Corbel"/>
        </w:rPr>
        <w:t xml:space="preserve">was introduced </w:t>
      </w:r>
      <w:r w:rsidRPr="001D6F3C">
        <w:rPr>
          <w:rFonts w:ascii="Corbel" w:hAnsi="Corbel"/>
        </w:rPr>
        <w:t xml:space="preserve">in 1993 (if adjusted for inflation, they would now be $16,800 and $33,500). This means older people who continue to receive AS can have relatively </w:t>
      </w:r>
      <w:r w:rsidR="00B777B9" w:rsidRPr="001D6F3C">
        <w:rPr>
          <w:rFonts w:ascii="Corbel" w:hAnsi="Corbel"/>
        </w:rPr>
        <w:t xml:space="preserve">few </w:t>
      </w:r>
      <w:r w:rsidRPr="001D6F3C">
        <w:rPr>
          <w:rFonts w:ascii="Corbel" w:hAnsi="Corbel"/>
        </w:rPr>
        <w:t xml:space="preserve">savings for </w:t>
      </w:r>
      <w:r w:rsidR="00B777B9" w:rsidRPr="001D6F3C">
        <w:rPr>
          <w:rFonts w:ascii="Corbel" w:hAnsi="Corbel"/>
        </w:rPr>
        <w:t xml:space="preserve">later in life </w:t>
      </w:r>
      <w:r w:rsidRPr="001D6F3C">
        <w:rPr>
          <w:rFonts w:ascii="Corbel" w:hAnsi="Corbel"/>
        </w:rPr>
        <w:t xml:space="preserve">or even emergencies - the amount is also below what is </w:t>
      </w:r>
      <w:r w:rsidR="002F2573" w:rsidRPr="001D6F3C">
        <w:rPr>
          <w:rFonts w:ascii="Corbel" w:hAnsi="Corbel"/>
        </w:rPr>
        <w:t xml:space="preserve">typically </w:t>
      </w:r>
      <w:r w:rsidRPr="001D6F3C">
        <w:rPr>
          <w:rFonts w:ascii="Corbel" w:hAnsi="Corbel"/>
        </w:rPr>
        <w:t>spent on funeral costs alone.</w:t>
      </w:r>
    </w:p>
    <w:p w14:paraId="17651A87" w14:textId="69A607D3" w:rsidR="00EF575B" w:rsidRPr="001D6F3C" w:rsidRDefault="00970EA4" w:rsidP="00D404C5">
      <w:pPr>
        <w:pStyle w:val="ListParagraph"/>
        <w:numPr>
          <w:ilvl w:val="0"/>
          <w:numId w:val="35"/>
        </w:numPr>
        <w:ind w:left="714" w:hanging="357"/>
        <w:contextualSpacing w:val="0"/>
        <w:jc w:val="both"/>
        <w:rPr>
          <w:rFonts w:ascii="Corbel" w:hAnsi="Corbel"/>
        </w:rPr>
      </w:pPr>
      <w:r w:rsidRPr="001D6F3C">
        <w:rPr>
          <w:rFonts w:ascii="Corbel" w:hAnsi="Corbel"/>
        </w:rPr>
        <w:t>The</w:t>
      </w:r>
      <w:r w:rsidRPr="001D6F3C">
        <w:rPr>
          <w:rFonts w:ascii="Corbel" w:hAnsi="Corbel"/>
          <w:b/>
          <w:bCs/>
        </w:rPr>
        <w:t xml:space="preserve"> Income Related Rent Subsidy</w:t>
      </w:r>
      <w:r w:rsidR="005D47B8" w:rsidRPr="001D6F3C">
        <w:rPr>
          <w:rFonts w:ascii="Corbel" w:hAnsi="Corbel"/>
        </w:rPr>
        <w:t xml:space="preserve"> (IRR</w:t>
      </w:r>
      <w:r w:rsidR="001708AB" w:rsidRPr="001D6F3C">
        <w:rPr>
          <w:rFonts w:ascii="Corbel" w:hAnsi="Corbel"/>
        </w:rPr>
        <w:t>S</w:t>
      </w:r>
      <w:r w:rsidR="005D47B8" w:rsidRPr="001D6F3C">
        <w:rPr>
          <w:rFonts w:ascii="Corbel" w:hAnsi="Corbel"/>
        </w:rPr>
        <w:t>)</w:t>
      </w:r>
      <w:r w:rsidRPr="001D6F3C">
        <w:rPr>
          <w:rFonts w:ascii="Corbel" w:hAnsi="Corbel"/>
          <w:b/>
          <w:bCs/>
        </w:rPr>
        <w:t>.</w:t>
      </w:r>
      <w:r w:rsidRPr="001D6F3C">
        <w:rPr>
          <w:rFonts w:ascii="Corbel" w:hAnsi="Corbel"/>
        </w:rPr>
        <w:t xml:space="preserve"> </w:t>
      </w:r>
      <w:r w:rsidR="008B1396" w:rsidRPr="001D6F3C">
        <w:rPr>
          <w:rFonts w:ascii="Corbel" w:hAnsi="Corbel"/>
        </w:rPr>
        <w:t xml:space="preserve">The number of </w:t>
      </w:r>
      <w:r w:rsidR="00E519D5" w:rsidRPr="001D6F3C">
        <w:rPr>
          <w:rFonts w:ascii="Corbel" w:hAnsi="Corbel"/>
        </w:rPr>
        <w:t xml:space="preserve">older </w:t>
      </w:r>
      <w:r w:rsidR="008B1396" w:rsidRPr="001D6F3C">
        <w:rPr>
          <w:rFonts w:ascii="Corbel" w:hAnsi="Corbel"/>
        </w:rPr>
        <w:t>social housing tenants receiving IRR</w:t>
      </w:r>
      <w:r w:rsidR="001708AB" w:rsidRPr="001D6F3C">
        <w:rPr>
          <w:rFonts w:ascii="Corbel" w:hAnsi="Corbel"/>
        </w:rPr>
        <w:t>S</w:t>
      </w:r>
      <w:r w:rsidR="008B1396" w:rsidRPr="001D6F3C">
        <w:rPr>
          <w:rFonts w:ascii="Corbel" w:hAnsi="Corbel"/>
        </w:rPr>
        <w:t xml:space="preserve"> </w:t>
      </w:r>
      <w:r w:rsidR="00B461B3" w:rsidRPr="001D6F3C">
        <w:rPr>
          <w:rFonts w:ascii="Corbel" w:hAnsi="Corbel"/>
        </w:rPr>
        <w:t xml:space="preserve">in either Housing NZ / Kainga Ora or Community Housing Provider </w:t>
      </w:r>
      <w:r w:rsidR="00B40351" w:rsidRPr="001D6F3C">
        <w:rPr>
          <w:rFonts w:ascii="Corbel" w:hAnsi="Corbel"/>
        </w:rPr>
        <w:t xml:space="preserve">(CHP) </w:t>
      </w:r>
      <w:r w:rsidR="00B461B3" w:rsidRPr="001D6F3C">
        <w:rPr>
          <w:rFonts w:ascii="Corbel" w:hAnsi="Corbel"/>
        </w:rPr>
        <w:t>properties</w:t>
      </w:r>
      <w:r w:rsidR="0034279C" w:rsidRPr="001D6F3C">
        <w:rPr>
          <w:rFonts w:ascii="Corbel" w:hAnsi="Corbel"/>
        </w:rPr>
        <w:t xml:space="preserve"> increased from</w:t>
      </w:r>
      <w:r w:rsidR="00B461B3" w:rsidRPr="001D6F3C">
        <w:rPr>
          <w:rFonts w:ascii="Corbel" w:hAnsi="Corbel"/>
        </w:rPr>
        <w:t xml:space="preserve"> 12</w:t>
      </w:r>
      <w:r w:rsidR="0034279C" w:rsidRPr="001D6F3C">
        <w:rPr>
          <w:rFonts w:ascii="Corbel" w:hAnsi="Corbel"/>
        </w:rPr>
        <w:t>,</w:t>
      </w:r>
      <w:r w:rsidR="00B461B3" w:rsidRPr="001D6F3C">
        <w:rPr>
          <w:rFonts w:ascii="Corbel" w:hAnsi="Corbel"/>
        </w:rPr>
        <w:t>3</w:t>
      </w:r>
      <w:r w:rsidR="0034279C" w:rsidRPr="001D6F3C">
        <w:rPr>
          <w:rFonts w:ascii="Corbel" w:hAnsi="Corbel"/>
        </w:rPr>
        <w:t xml:space="preserve">00 in August 2012 to </w:t>
      </w:r>
      <w:r w:rsidR="00856CB2" w:rsidRPr="001D6F3C">
        <w:rPr>
          <w:rFonts w:ascii="Corbel" w:hAnsi="Corbel"/>
        </w:rPr>
        <w:t>1</w:t>
      </w:r>
      <w:r w:rsidR="00C43DBD" w:rsidRPr="001D6F3C">
        <w:rPr>
          <w:rFonts w:ascii="Corbel" w:hAnsi="Corbel"/>
        </w:rPr>
        <w:t>8</w:t>
      </w:r>
      <w:r w:rsidR="00856CB2" w:rsidRPr="001D6F3C">
        <w:rPr>
          <w:rFonts w:ascii="Corbel" w:hAnsi="Corbel"/>
        </w:rPr>
        <w:t>,</w:t>
      </w:r>
      <w:r w:rsidR="00C43DBD" w:rsidRPr="001D6F3C">
        <w:rPr>
          <w:rFonts w:ascii="Corbel" w:hAnsi="Corbel"/>
        </w:rPr>
        <w:t>000</w:t>
      </w:r>
      <w:r w:rsidR="00856CB2" w:rsidRPr="001D6F3C">
        <w:rPr>
          <w:rFonts w:ascii="Corbel" w:hAnsi="Corbel"/>
        </w:rPr>
        <w:t xml:space="preserve"> in December 2023</w:t>
      </w:r>
      <w:r w:rsidR="00E519D5" w:rsidRPr="001D6F3C">
        <w:rPr>
          <w:rFonts w:ascii="Corbel" w:hAnsi="Corbel"/>
        </w:rPr>
        <w:t>.</w:t>
      </w:r>
      <w:r w:rsidR="0062283B" w:rsidRPr="001D6F3C">
        <w:rPr>
          <w:rFonts w:ascii="Corbel" w:hAnsi="Corbel"/>
        </w:rPr>
        <w:t xml:space="preserve"> </w:t>
      </w:r>
      <w:r w:rsidR="00E519D5" w:rsidRPr="001D6F3C">
        <w:rPr>
          <w:rFonts w:ascii="Corbel" w:hAnsi="Corbel"/>
        </w:rPr>
        <w:t xml:space="preserve">Some </w:t>
      </w:r>
      <w:r w:rsidR="0062283B" w:rsidRPr="001D6F3C">
        <w:rPr>
          <w:rFonts w:ascii="Corbel" w:hAnsi="Corbel"/>
        </w:rPr>
        <w:t xml:space="preserve">of this growth </w:t>
      </w:r>
      <w:r w:rsidR="00974195" w:rsidRPr="001D6F3C">
        <w:rPr>
          <w:rFonts w:ascii="Corbel" w:hAnsi="Corbel"/>
        </w:rPr>
        <w:t>may</w:t>
      </w:r>
      <w:r w:rsidR="0062283B" w:rsidRPr="001D6F3C">
        <w:rPr>
          <w:rFonts w:ascii="Corbel" w:hAnsi="Corbel"/>
        </w:rPr>
        <w:t xml:space="preserve"> have been </w:t>
      </w:r>
      <w:r w:rsidR="00452192" w:rsidRPr="001D6F3C">
        <w:rPr>
          <w:rFonts w:ascii="Corbel" w:hAnsi="Corbel"/>
        </w:rPr>
        <w:t>the result of</w:t>
      </w:r>
      <w:r w:rsidR="002D0C0C" w:rsidRPr="001D6F3C">
        <w:rPr>
          <w:rFonts w:ascii="Corbel" w:hAnsi="Corbel"/>
        </w:rPr>
        <w:t xml:space="preserve"> local government</w:t>
      </w:r>
      <w:r w:rsidR="00452192" w:rsidRPr="001D6F3C">
        <w:rPr>
          <w:rFonts w:ascii="Corbel" w:hAnsi="Corbel"/>
        </w:rPr>
        <w:t xml:space="preserve"> ‘pensioner housing’</w:t>
      </w:r>
      <w:r w:rsidR="002D0C0C" w:rsidRPr="001D6F3C">
        <w:rPr>
          <w:rFonts w:ascii="Corbel" w:hAnsi="Corbel"/>
        </w:rPr>
        <w:t xml:space="preserve"> </w:t>
      </w:r>
      <w:r w:rsidR="00452192" w:rsidRPr="001D6F3C">
        <w:rPr>
          <w:rFonts w:ascii="Corbel" w:hAnsi="Corbel"/>
        </w:rPr>
        <w:t>be</w:t>
      </w:r>
      <w:r w:rsidR="00562032" w:rsidRPr="001D6F3C">
        <w:rPr>
          <w:rFonts w:ascii="Corbel" w:hAnsi="Corbel"/>
        </w:rPr>
        <w:t>ing transferred to CHPs and becoming eligible for IRR</w:t>
      </w:r>
      <w:r w:rsidR="001708AB" w:rsidRPr="001D6F3C">
        <w:rPr>
          <w:rFonts w:ascii="Corbel" w:hAnsi="Corbel"/>
        </w:rPr>
        <w:t>S</w:t>
      </w:r>
      <w:r w:rsidR="00562032" w:rsidRPr="001D6F3C">
        <w:rPr>
          <w:rFonts w:ascii="Corbel" w:hAnsi="Corbel"/>
        </w:rPr>
        <w:t xml:space="preserve"> for new tenants. </w:t>
      </w:r>
      <w:r w:rsidR="00F20FAB" w:rsidRPr="001D6F3C">
        <w:rPr>
          <w:rFonts w:ascii="Corbel" w:hAnsi="Corbel"/>
        </w:rPr>
        <w:t>This has meant that, a</w:t>
      </w:r>
      <w:r w:rsidR="00C43DBD" w:rsidRPr="001D6F3C">
        <w:rPr>
          <w:rFonts w:ascii="Corbel" w:hAnsi="Corbel"/>
        </w:rPr>
        <w:t xml:space="preserve">s a percentage of the overall </w:t>
      </w:r>
      <w:r w:rsidR="00F20FAB" w:rsidRPr="001D6F3C">
        <w:rPr>
          <w:rFonts w:ascii="Corbel" w:hAnsi="Corbel"/>
        </w:rPr>
        <w:t xml:space="preserve">65+ </w:t>
      </w:r>
      <w:r w:rsidR="00C43DBD" w:rsidRPr="001D6F3C">
        <w:rPr>
          <w:rFonts w:ascii="Corbel" w:hAnsi="Corbel"/>
        </w:rPr>
        <w:t xml:space="preserve">population, </w:t>
      </w:r>
      <w:r w:rsidR="00F20FAB" w:rsidRPr="001D6F3C">
        <w:rPr>
          <w:rFonts w:ascii="Corbel" w:hAnsi="Corbel"/>
        </w:rPr>
        <w:t>the proportion of older people receiving</w:t>
      </w:r>
      <w:r w:rsidR="00724EEF" w:rsidRPr="001D6F3C">
        <w:rPr>
          <w:rFonts w:ascii="Corbel" w:hAnsi="Corbel"/>
        </w:rPr>
        <w:t xml:space="preserve"> IRR</w:t>
      </w:r>
      <w:r w:rsidR="001708AB" w:rsidRPr="001D6F3C">
        <w:rPr>
          <w:rFonts w:ascii="Corbel" w:hAnsi="Corbel"/>
        </w:rPr>
        <w:t>S</w:t>
      </w:r>
      <w:r w:rsidR="00724EEF" w:rsidRPr="001D6F3C">
        <w:rPr>
          <w:rFonts w:ascii="Corbel" w:hAnsi="Corbel"/>
        </w:rPr>
        <w:t xml:space="preserve"> has remained at around 2%. </w:t>
      </w:r>
      <w:r w:rsidR="00F20FAB" w:rsidRPr="001D6F3C">
        <w:rPr>
          <w:rFonts w:ascii="Corbel" w:hAnsi="Corbel"/>
        </w:rPr>
        <w:t xml:space="preserve"> </w:t>
      </w:r>
    </w:p>
    <w:p w14:paraId="1CB758BB" w14:textId="76C636A9" w:rsidR="00EF575B" w:rsidRPr="001D6F3C" w:rsidRDefault="00EF575B" w:rsidP="00D404C5">
      <w:pPr>
        <w:pStyle w:val="ListParagraph"/>
        <w:numPr>
          <w:ilvl w:val="0"/>
          <w:numId w:val="35"/>
        </w:numPr>
        <w:ind w:left="714" w:hanging="357"/>
        <w:contextualSpacing w:val="0"/>
        <w:jc w:val="both"/>
        <w:rPr>
          <w:rFonts w:ascii="Corbel" w:hAnsi="Corbel"/>
        </w:rPr>
      </w:pPr>
      <w:r w:rsidRPr="001D6F3C">
        <w:rPr>
          <w:rFonts w:ascii="Corbel" w:hAnsi="Corbel"/>
        </w:rPr>
        <w:t xml:space="preserve">The number of </w:t>
      </w:r>
      <w:r w:rsidRPr="001D6F3C">
        <w:rPr>
          <w:rFonts w:ascii="Corbel" w:hAnsi="Corbel"/>
          <w:b/>
          <w:bCs/>
        </w:rPr>
        <w:t xml:space="preserve">one-off hardship grants </w:t>
      </w:r>
      <w:r w:rsidRPr="001D6F3C">
        <w:rPr>
          <w:rFonts w:ascii="Corbel" w:hAnsi="Corbel"/>
        </w:rPr>
        <w:t xml:space="preserve">received by NZS/VP clients has more than doubled since 2016. This </w:t>
      </w:r>
      <w:r w:rsidR="00E519D5" w:rsidRPr="001D6F3C">
        <w:rPr>
          <w:rFonts w:ascii="Corbel" w:hAnsi="Corbel"/>
        </w:rPr>
        <w:t xml:space="preserve">mirrors </w:t>
      </w:r>
      <w:r w:rsidRPr="001D6F3C">
        <w:rPr>
          <w:rFonts w:ascii="Corbel" w:hAnsi="Corbel"/>
        </w:rPr>
        <w:t xml:space="preserve">trends for working age benefit recipients, and likely reflects a combination of increased accessibility (2016-2020), temporary COVID-specific factors (2020-2021) and pressures associated with the </w:t>
      </w:r>
      <w:r w:rsidR="009F7557" w:rsidRPr="001D6F3C">
        <w:rPr>
          <w:rFonts w:ascii="Corbel" w:hAnsi="Corbel"/>
        </w:rPr>
        <w:t>‘</w:t>
      </w:r>
      <w:r w:rsidRPr="001D6F3C">
        <w:rPr>
          <w:rFonts w:ascii="Corbel" w:hAnsi="Corbel"/>
        </w:rPr>
        <w:t xml:space="preserve">cost of living crisis’ (2022-2024). </w:t>
      </w:r>
      <w:bookmarkStart w:id="69" w:name="_Hlk200976168"/>
      <w:r w:rsidRPr="001D6F3C">
        <w:rPr>
          <w:rFonts w:ascii="Corbel" w:hAnsi="Corbel"/>
        </w:rPr>
        <w:t xml:space="preserve">Māori and Pacific older people have considerably higher rates of hardship receipt, compared with other ethnicities. </w:t>
      </w:r>
      <w:bookmarkEnd w:id="69"/>
    </w:p>
    <w:p w14:paraId="6EB61F40" w14:textId="5E1B848A" w:rsidR="00970EA4" w:rsidRPr="001D6F3C" w:rsidRDefault="00970EA4" w:rsidP="00A60862">
      <w:pPr>
        <w:pStyle w:val="Caption"/>
        <w:keepNext/>
        <w:jc w:val="both"/>
        <w:rPr>
          <w:rFonts w:ascii="Corbel" w:hAnsi="Corbel"/>
        </w:rPr>
      </w:pPr>
      <w:bookmarkStart w:id="70" w:name="_Toc203142292"/>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32</w:t>
      </w:r>
      <w:r w:rsidR="00585542" w:rsidRPr="001D6F3C">
        <w:rPr>
          <w:rFonts w:ascii="Corbel" w:hAnsi="Corbel"/>
        </w:rPr>
        <w:fldChar w:fldCharType="end"/>
      </w:r>
      <w:r w:rsidRPr="001D6F3C">
        <w:rPr>
          <w:rFonts w:ascii="Corbel" w:hAnsi="Corbel"/>
        </w:rPr>
        <w:t xml:space="preserve"> - change in hardship assistance usage - NZS vs working age clients</w:t>
      </w:r>
      <w:bookmarkEnd w:id="70"/>
    </w:p>
    <w:p w14:paraId="42538A2C" w14:textId="54AA6B47" w:rsidR="00EF575B" w:rsidRPr="001D6F3C" w:rsidRDefault="00EF575B" w:rsidP="00685399">
      <w:pPr>
        <w:jc w:val="center"/>
        <w:rPr>
          <w:rFonts w:ascii="Corbel" w:hAnsi="Corbel"/>
        </w:rPr>
      </w:pPr>
      <w:r w:rsidRPr="001D6F3C">
        <w:rPr>
          <w:rFonts w:ascii="Corbel" w:hAnsi="Corbel"/>
          <w:noProof/>
        </w:rPr>
        <w:drawing>
          <wp:inline distT="0" distB="0" distL="0" distR="0" wp14:anchorId="28E26A6C" wp14:editId="693CDFF4">
            <wp:extent cx="3764478" cy="2121623"/>
            <wp:effectExtent l="0" t="0" r="7620" b="0"/>
            <wp:docPr id="26348288" name="Picture 15">
              <a:extLst xmlns:a="http://schemas.openxmlformats.org/drawingml/2006/main">
                <a:ext uri="{FF2B5EF4-FFF2-40B4-BE49-F238E27FC236}">
                  <a16:creationId xmlns:a16="http://schemas.microsoft.com/office/drawing/2014/main" id="{094EE418-AE5E-3E98-4C71-71F30E249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94EE418-AE5E-3E98-4C71-71F30E249026}"/>
                        </a:ext>
                      </a:extLst>
                    </pic:cNvPr>
                    <pic:cNvPicPr>
                      <a:picLocks noChangeAspect="1"/>
                    </pic:cNvPicPr>
                  </pic:nvPicPr>
                  <pic:blipFill rotWithShape="1">
                    <a:blip r:embed="rId66"/>
                    <a:srcRect t="5907"/>
                    <a:stretch/>
                  </pic:blipFill>
                  <pic:spPr bwMode="auto">
                    <a:xfrm>
                      <a:off x="0" y="0"/>
                      <a:ext cx="3767580" cy="2123371"/>
                    </a:xfrm>
                    <a:prstGeom prst="rect">
                      <a:avLst/>
                    </a:prstGeom>
                    <a:ln>
                      <a:noFill/>
                    </a:ln>
                    <a:extLst>
                      <a:ext uri="{53640926-AAD7-44D8-BBD7-CCE9431645EC}">
                        <a14:shadowObscured xmlns:a14="http://schemas.microsoft.com/office/drawing/2010/main"/>
                      </a:ext>
                    </a:extLst>
                  </pic:spPr>
                </pic:pic>
              </a:graphicData>
            </a:graphic>
          </wp:inline>
        </w:drawing>
      </w:r>
    </w:p>
    <w:p w14:paraId="44232F72" w14:textId="78D11087" w:rsidR="00252CDC" w:rsidRPr="001D6F3C" w:rsidRDefault="00252CDC" w:rsidP="00252CDC">
      <w:pPr>
        <w:jc w:val="both"/>
        <w:rPr>
          <w:rFonts w:ascii="Corbel" w:hAnsi="Corbel"/>
        </w:rPr>
      </w:pPr>
      <w:r w:rsidRPr="001D6F3C">
        <w:rPr>
          <w:rFonts w:ascii="Corbel" w:hAnsi="Corbel"/>
        </w:rPr>
        <w:t xml:space="preserve">The </w:t>
      </w:r>
      <w:r w:rsidRPr="001D6F3C">
        <w:rPr>
          <w:rFonts w:ascii="Corbel" w:hAnsi="Corbel"/>
          <w:b/>
          <w:bCs/>
        </w:rPr>
        <w:t xml:space="preserve">SuperGold </w:t>
      </w:r>
      <w:r w:rsidRPr="001D6F3C">
        <w:rPr>
          <w:rFonts w:ascii="Corbel" w:hAnsi="Corbel"/>
        </w:rPr>
        <w:t xml:space="preserve">card, which is universally available to those aged 65+, makes available a range of discounts and subsidies that can help to moderate costs for older people. This includes free travel on most off-peak public transport as well as discounts at a range of businesses. </w:t>
      </w:r>
    </w:p>
    <w:p w14:paraId="73002301" w14:textId="77777777" w:rsidR="005D47B8" w:rsidRPr="001D6F3C" w:rsidRDefault="005D47B8" w:rsidP="00252CDC">
      <w:pPr>
        <w:jc w:val="both"/>
        <w:rPr>
          <w:rFonts w:ascii="Corbel" w:hAnsi="Corbel"/>
        </w:rPr>
      </w:pPr>
    </w:p>
    <w:p w14:paraId="42499583" w14:textId="76E81EEA" w:rsidR="00DD341A" w:rsidRPr="001D6F3C" w:rsidRDefault="00EF575B" w:rsidP="00DD341A">
      <w:pPr>
        <w:jc w:val="both"/>
        <w:rPr>
          <w:rStyle w:val="Heading2Char"/>
          <w:rFonts w:ascii="Corbel" w:hAnsi="Corbel"/>
          <w:i/>
          <w:iCs/>
        </w:rPr>
      </w:pPr>
      <w:bookmarkStart w:id="71" w:name="_Toc207783000"/>
      <w:r w:rsidRPr="001D6F3C">
        <w:rPr>
          <w:rStyle w:val="Heading2Char"/>
          <w:rFonts w:ascii="Corbel" w:hAnsi="Corbel"/>
        </w:rPr>
        <w:lastRenderedPageBreak/>
        <w:t>3.</w:t>
      </w:r>
      <w:r w:rsidR="00382E63">
        <w:rPr>
          <w:rStyle w:val="Heading2Char"/>
          <w:rFonts w:ascii="Corbel" w:hAnsi="Corbel"/>
        </w:rPr>
        <w:t>6</w:t>
      </w:r>
      <w:r w:rsidR="00045651" w:rsidRPr="001D6F3C">
        <w:rPr>
          <w:rStyle w:val="Heading2Char"/>
          <w:rFonts w:ascii="Corbel" w:hAnsi="Corbel"/>
        </w:rPr>
        <w:t xml:space="preserve"> </w:t>
      </w:r>
      <w:r w:rsidRPr="001D6F3C">
        <w:rPr>
          <w:rStyle w:val="Heading2Char"/>
          <w:rFonts w:ascii="Corbel" w:hAnsi="Corbel"/>
          <w:b/>
          <w:bCs/>
        </w:rPr>
        <w:t xml:space="preserve">Income </w:t>
      </w:r>
      <w:r w:rsidR="00226447" w:rsidRPr="001D6F3C">
        <w:rPr>
          <w:rStyle w:val="Heading2Char"/>
          <w:rFonts w:ascii="Corbel" w:hAnsi="Corbel"/>
          <w:b/>
          <w:bCs/>
        </w:rPr>
        <w:t>s</w:t>
      </w:r>
      <w:r w:rsidRPr="001D6F3C">
        <w:rPr>
          <w:rStyle w:val="Heading2Char"/>
          <w:rFonts w:ascii="Corbel" w:hAnsi="Corbel"/>
          <w:b/>
          <w:bCs/>
        </w:rPr>
        <w:t>upport</w:t>
      </w:r>
      <w:r w:rsidR="00BE5D57" w:rsidRPr="001D6F3C">
        <w:rPr>
          <w:rStyle w:val="Heading2Char"/>
          <w:rFonts w:ascii="Corbel" w:hAnsi="Corbel"/>
        </w:rPr>
        <w:t xml:space="preserve"> – </w:t>
      </w:r>
      <w:r w:rsidR="00226447" w:rsidRPr="001D6F3C">
        <w:rPr>
          <w:rStyle w:val="Heading2Char"/>
          <w:rFonts w:ascii="Corbel" w:hAnsi="Corbel"/>
        </w:rPr>
        <w:t>f</w:t>
      </w:r>
      <w:r w:rsidR="00BE5D57" w:rsidRPr="001D6F3C">
        <w:rPr>
          <w:rStyle w:val="Heading2Char"/>
          <w:rFonts w:ascii="Corbel" w:hAnsi="Corbel"/>
        </w:rPr>
        <w:t xml:space="preserve">uture </w:t>
      </w:r>
      <w:r w:rsidR="00226447" w:rsidRPr="001D6F3C">
        <w:rPr>
          <w:rStyle w:val="Heading2Char"/>
          <w:rFonts w:ascii="Corbel" w:hAnsi="Corbel"/>
        </w:rPr>
        <w:t>p</w:t>
      </w:r>
      <w:r w:rsidR="00BE5D57" w:rsidRPr="001D6F3C">
        <w:rPr>
          <w:rStyle w:val="Heading2Char"/>
          <w:rFonts w:ascii="Corbel" w:hAnsi="Corbel"/>
        </w:rPr>
        <w:t>ossibilities</w:t>
      </w:r>
      <w:bookmarkEnd w:id="71"/>
    </w:p>
    <w:p w14:paraId="603889EF" w14:textId="38695083" w:rsidR="00EF575B" w:rsidRPr="001D6F3C" w:rsidRDefault="00EF575B" w:rsidP="00DD341A">
      <w:pPr>
        <w:jc w:val="both"/>
        <w:rPr>
          <w:rFonts w:ascii="Corbel" w:hAnsi="Corbel"/>
        </w:rPr>
      </w:pPr>
      <w:r w:rsidRPr="001D6F3C">
        <w:rPr>
          <w:rFonts w:ascii="Corbel" w:hAnsi="Corbel"/>
        </w:rPr>
        <w:t>Demographic changes are likely to put additional pressure on the Government’s long-term fiscal position, and it is possible that future Governments may explore changes to NZS settings in response. For example, the</w:t>
      </w:r>
      <w:r w:rsidR="00060765" w:rsidRPr="001D6F3C">
        <w:rPr>
          <w:rFonts w:ascii="Corbel" w:hAnsi="Corbel"/>
        </w:rPr>
        <w:t xml:space="preserve"> Treasury’s 2021 combined </w:t>
      </w:r>
      <w:r w:rsidR="005D47B8" w:rsidRPr="001D6F3C">
        <w:rPr>
          <w:rFonts w:ascii="Corbel" w:hAnsi="Corbel"/>
        </w:rPr>
        <w:t>LTIB</w:t>
      </w:r>
      <w:r w:rsidR="00060765" w:rsidRPr="001D6F3C">
        <w:rPr>
          <w:rFonts w:ascii="Corbel" w:hAnsi="Corbel"/>
        </w:rPr>
        <w:t xml:space="preserve">/Long-term Fiscal Statement, </w:t>
      </w:r>
      <w:r w:rsidR="00060765" w:rsidRPr="001D6F3C">
        <w:rPr>
          <w:rFonts w:ascii="Corbel" w:hAnsi="Corbel"/>
          <w:i/>
          <w:iCs/>
        </w:rPr>
        <w:t xml:space="preserve">He </w:t>
      </w:r>
      <w:proofErr w:type="spellStart"/>
      <w:r w:rsidR="00060765" w:rsidRPr="001D6F3C">
        <w:rPr>
          <w:rFonts w:ascii="Corbel" w:hAnsi="Corbel"/>
          <w:i/>
          <w:iCs/>
        </w:rPr>
        <w:t>Tirohanga</w:t>
      </w:r>
      <w:proofErr w:type="spellEnd"/>
      <w:r w:rsidR="00060765" w:rsidRPr="001D6F3C">
        <w:rPr>
          <w:rFonts w:ascii="Corbel" w:hAnsi="Corbel"/>
          <w:i/>
          <w:iCs/>
        </w:rPr>
        <w:t xml:space="preserve"> Mokopuna, </w:t>
      </w:r>
      <w:r w:rsidRPr="001D6F3C">
        <w:rPr>
          <w:rFonts w:ascii="Corbel" w:hAnsi="Corbel"/>
        </w:rPr>
        <w:t>explored two policy changes</w:t>
      </w:r>
      <w:r w:rsidR="00BE192E" w:rsidRPr="001D6F3C">
        <w:rPr>
          <w:rFonts w:ascii="Corbel" w:hAnsi="Corbel"/>
        </w:rPr>
        <w:t xml:space="preserve"> in particular</w:t>
      </w:r>
      <w:r w:rsidRPr="001D6F3C">
        <w:rPr>
          <w:rFonts w:ascii="Corbel" w:hAnsi="Corbel"/>
        </w:rPr>
        <w:t xml:space="preserve">: changing indexation arrangements, and raising the age of eligibility. There is a third </w:t>
      </w:r>
      <w:r w:rsidR="008F56D2" w:rsidRPr="001D6F3C">
        <w:rPr>
          <w:rFonts w:ascii="Corbel" w:hAnsi="Corbel"/>
        </w:rPr>
        <w:t xml:space="preserve">category of </w:t>
      </w:r>
      <w:r w:rsidRPr="001D6F3C">
        <w:rPr>
          <w:rFonts w:ascii="Corbel" w:hAnsi="Corbel"/>
        </w:rPr>
        <w:t>option</w:t>
      </w:r>
      <w:r w:rsidR="008F56D2" w:rsidRPr="001D6F3C">
        <w:rPr>
          <w:rFonts w:ascii="Corbel" w:hAnsi="Corbel"/>
        </w:rPr>
        <w:t>s</w:t>
      </w:r>
      <w:r w:rsidRPr="001D6F3C">
        <w:rPr>
          <w:rFonts w:ascii="Corbel" w:hAnsi="Corbel"/>
        </w:rPr>
        <w:t xml:space="preserve"> not explored</w:t>
      </w:r>
      <w:r w:rsidR="008F56D2" w:rsidRPr="001D6F3C">
        <w:rPr>
          <w:rFonts w:ascii="Corbel" w:hAnsi="Corbel"/>
        </w:rPr>
        <w:t xml:space="preserve"> in detail</w:t>
      </w:r>
      <w:r w:rsidRPr="001D6F3C">
        <w:rPr>
          <w:rFonts w:ascii="Corbel" w:hAnsi="Corbel"/>
        </w:rPr>
        <w:t xml:space="preserve"> by </w:t>
      </w:r>
      <w:r w:rsidR="00B85BFA" w:rsidRPr="001D6F3C">
        <w:rPr>
          <w:rFonts w:ascii="Corbel" w:hAnsi="Corbel"/>
        </w:rPr>
        <w:t xml:space="preserve">the </w:t>
      </w:r>
      <w:r w:rsidRPr="001D6F3C">
        <w:rPr>
          <w:rFonts w:ascii="Corbel" w:hAnsi="Corbel"/>
        </w:rPr>
        <w:t xml:space="preserve">Treasury but often raised in debates on NZS sustainability, which involves exploring greater targeting of expenditure. </w:t>
      </w:r>
    </w:p>
    <w:p w14:paraId="74108264" w14:textId="0774113E" w:rsidR="00EF575B" w:rsidRPr="001D6F3C" w:rsidRDefault="00EF575B" w:rsidP="00D404C5">
      <w:pPr>
        <w:numPr>
          <w:ilvl w:val="0"/>
          <w:numId w:val="25"/>
        </w:numPr>
        <w:jc w:val="both"/>
        <w:rPr>
          <w:rFonts w:ascii="Corbel" w:hAnsi="Corbel"/>
        </w:rPr>
      </w:pPr>
      <w:r w:rsidRPr="001D6F3C">
        <w:rPr>
          <w:rFonts w:ascii="Corbel" w:hAnsi="Corbel"/>
          <w:b/>
          <w:bCs/>
        </w:rPr>
        <w:t xml:space="preserve">Switching to CPI indexation only </w:t>
      </w:r>
      <w:r w:rsidRPr="001D6F3C">
        <w:rPr>
          <w:rFonts w:ascii="Corbel" w:hAnsi="Corbel"/>
        </w:rPr>
        <w:t>- The Treasury explored linking the rate at which NZS payments grow to inflation only rather than wages. This would significantly reduce the growth of NZS expenditure but would also likely “</w:t>
      </w:r>
      <w:r w:rsidRPr="001D6F3C">
        <w:rPr>
          <w:rFonts w:ascii="Corbel" w:hAnsi="Corbel"/>
          <w:i/>
          <w:iCs/>
        </w:rPr>
        <w:t>undermine the effectiveness of the present system at preventing poverty in old age</w:t>
      </w:r>
      <w:r w:rsidR="00F77FDE" w:rsidRPr="001D6F3C">
        <w:rPr>
          <w:rFonts w:ascii="Corbel" w:hAnsi="Corbel"/>
          <w:i/>
          <w:iCs/>
        </w:rPr>
        <w:t xml:space="preserve"> and enabling </w:t>
      </w:r>
      <w:r w:rsidR="00BD0462" w:rsidRPr="001D6F3C">
        <w:rPr>
          <w:rFonts w:ascii="Corbel" w:hAnsi="Corbel"/>
          <w:i/>
          <w:iCs/>
        </w:rPr>
        <w:t>older New Zealanders to share in increases in national income which their labour and investment have helped create.</w:t>
      </w:r>
      <w:r w:rsidR="00F77FDE" w:rsidRPr="001D6F3C">
        <w:rPr>
          <w:rFonts w:ascii="Corbel" w:hAnsi="Corbel"/>
          <w:i/>
          <w:iCs/>
        </w:rPr>
        <w:t xml:space="preserve"> </w:t>
      </w:r>
      <w:r w:rsidRPr="001D6F3C">
        <w:rPr>
          <w:rFonts w:ascii="Corbel" w:hAnsi="Corbel"/>
          <w:i/>
          <w:iCs/>
        </w:rPr>
        <w:t>Changing patterns of home ownership are likely to add to concerns around old age poverty as we see an increase in the number of people not owning their own home. Given this, more people are likely to find NZS insufficient to live on if they are renting. This would disproportionately impact those on low incomes</w:t>
      </w:r>
      <w:r w:rsidR="008F29D8" w:rsidRPr="001D6F3C">
        <w:rPr>
          <w:rFonts w:ascii="Corbel" w:hAnsi="Corbel"/>
          <w:i/>
          <w:iCs/>
        </w:rPr>
        <w:t xml:space="preserve"> throughout their working life</w:t>
      </w:r>
      <w:r w:rsidR="00551920" w:rsidRPr="001D6F3C">
        <w:rPr>
          <w:rFonts w:ascii="Corbel" w:hAnsi="Corbel"/>
          <w:i/>
          <w:iCs/>
        </w:rPr>
        <w:t>”</w:t>
      </w:r>
      <w:r w:rsidR="00E8757C" w:rsidRPr="001D6F3C">
        <w:rPr>
          <w:rFonts w:ascii="Corbel" w:hAnsi="Corbel"/>
          <w:i/>
          <w:iCs/>
        </w:rPr>
        <w:t xml:space="preserve"> </w:t>
      </w:r>
      <w:r w:rsidR="00DC721A" w:rsidRPr="001D6F3C">
        <w:rPr>
          <w:rFonts w:ascii="Corbel" w:hAnsi="Corbel"/>
        </w:rPr>
        <w:t>(Treasury 2021, p.61)</w:t>
      </w:r>
      <w:r w:rsidR="00E8757C" w:rsidRPr="001D6F3C">
        <w:rPr>
          <w:rFonts w:ascii="Corbel" w:hAnsi="Corbel"/>
        </w:rPr>
        <w:t>.</w:t>
      </w:r>
    </w:p>
    <w:p w14:paraId="38673E19" w14:textId="7F7C6CCB" w:rsidR="00EF575B" w:rsidRPr="001D6F3C" w:rsidRDefault="00EF575B" w:rsidP="00D404C5">
      <w:pPr>
        <w:numPr>
          <w:ilvl w:val="0"/>
          <w:numId w:val="25"/>
        </w:numPr>
        <w:jc w:val="both"/>
        <w:rPr>
          <w:rFonts w:ascii="Corbel" w:hAnsi="Corbel"/>
        </w:rPr>
      </w:pPr>
      <w:r w:rsidRPr="001D6F3C">
        <w:rPr>
          <w:rFonts w:ascii="Corbel" w:hAnsi="Corbel"/>
          <w:b/>
          <w:bCs/>
        </w:rPr>
        <w:t xml:space="preserve">Raising the age of eligibility for NZS </w:t>
      </w:r>
      <w:r w:rsidRPr="001D6F3C">
        <w:rPr>
          <w:rFonts w:ascii="Corbel" w:hAnsi="Corbel"/>
        </w:rPr>
        <w:t xml:space="preserve">- The Treasury also explored raising the age of eligibility for NZS from 65 to 67 by 2030. They argued that individuals could respond in various ways, including working longer, or living more frugally and increasing their savings so they could continue to retire at 65. </w:t>
      </w:r>
      <w:r w:rsidR="00A07E54" w:rsidRPr="001D6F3C">
        <w:rPr>
          <w:rFonts w:ascii="Corbel" w:hAnsi="Corbel"/>
        </w:rPr>
        <w:t>However, they</w:t>
      </w:r>
      <w:r w:rsidRPr="001D6F3C">
        <w:rPr>
          <w:rFonts w:ascii="Corbel" w:hAnsi="Corbel"/>
        </w:rPr>
        <w:t xml:space="preserve"> noted that the change would have a greater impact on those with limited ability to work in </w:t>
      </w:r>
      <w:r w:rsidR="00776FA3" w:rsidRPr="001D6F3C">
        <w:rPr>
          <w:rFonts w:ascii="Corbel" w:hAnsi="Corbel"/>
        </w:rPr>
        <w:t xml:space="preserve">the </w:t>
      </w:r>
      <w:r w:rsidRPr="001D6F3C">
        <w:rPr>
          <w:rFonts w:ascii="Corbel" w:hAnsi="Corbel"/>
        </w:rPr>
        <w:t>later stages of their lives, especially those in physically demanding jobs. Increasing the NZS age of eligibility also has</w:t>
      </w:r>
      <w:r w:rsidR="00BF763F" w:rsidRPr="001D6F3C">
        <w:rPr>
          <w:rFonts w:ascii="Corbel" w:hAnsi="Corbel"/>
        </w:rPr>
        <w:t xml:space="preserve"> equity</w:t>
      </w:r>
      <w:r w:rsidRPr="001D6F3C">
        <w:rPr>
          <w:rFonts w:ascii="Corbel" w:hAnsi="Corbel"/>
        </w:rPr>
        <w:t xml:space="preserve"> implications for ethnic groups such as Māori and Pacific </w:t>
      </w:r>
      <w:r w:rsidR="1B469D2F" w:rsidRPr="001D6F3C">
        <w:rPr>
          <w:rFonts w:ascii="Corbel" w:hAnsi="Corbel"/>
        </w:rPr>
        <w:t>p</w:t>
      </w:r>
      <w:r w:rsidR="10624F6E" w:rsidRPr="001D6F3C">
        <w:rPr>
          <w:rFonts w:ascii="Corbel" w:hAnsi="Corbel"/>
        </w:rPr>
        <w:t>eople</w:t>
      </w:r>
      <w:r w:rsidRPr="001D6F3C">
        <w:rPr>
          <w:rFonts w:ascii="Corbel" w:hAnsi="Corbel"/>
        </w:rPr>
        <w:t xml:space="preserve"> who have lower life expectancies.</w:t>
      </w:r>
    </w:p>
    <w:p w14:paraId="6BC62404" w14:textId="1BB66DA0" w:rsidR="00EF575B" w:rsidRPr="001D6F3C" w:rsidRDefault="00A07E54" w:rsidP="00D404C5">
      <w:pPr>
        <w:numPr>
          <w:ilvl w:val="0"/>
          <w:numId w:val="25"/>
        </w:numPr>
        <w:jc w:val="both"/>
        <w:rPr>
          <w:rFonts w:ascii="Corbel" w:hAnsi="Corbel"/>
        </w:rPr>
      </w:pPr>
      <w:r w:rsidRPr="001D6F3C">
        <w:rPr>
          <w:rFonts w:ascii="Corbel" w:hAnsi="Corbel"/>
          <w:b/>
          <w:bCs/>
        </w:rPr>
        <w:t>O</w:t>
      </w:r>
      <w:r w:rsidR="00EF575B" w:rsidRPr="001D6F3C">
        <w:rPr>
          <w:rFonts w:ascii="Corbel" w:hAnsi="Corbel"/>
          <w:b/>
          <w:bCs/>
        </w:rPr>
        <w:t xml:space="preserve">ther changes that Governments could explore </w:t>
      </w:r>
      <w:r w:rsidR="00F320B6">
        <w:rPr>
          <w:rFonts w:ascii="Corbel" w:hAnsi="Corbel"/>
          <w:b/>
          <w:bCs/>
        </w:rPr>
        <w:t xml:space="preserve">- </w:t>
      </w:r>
      <w:r w:rsidR="00EF575B" w:rsidRPr="001D6F3C">
        <w:rPr>
          <w:rFonts w:ascii="Corbel" w:hAnsi="Corbel"/>
        </w:rPr>
        <w:t xml:space="preserve">Governments might </w:t>
      </w:r>
      <w:r w:rsidR="00776FA3" w:rsidRPr="001D6F3C">
        <w:rPr>
          <w:rFonts w:ascii="Corbel" w:hAnsi="Corbel"/>
        </w:rPr>
        <w:t xml:space="preserve">also </w:t>
      </w:r>
      <w:r w:rsidR="00EF575B" w:rsidRPr="001D6F3C">
        <w:rPr>
          <w:rFonts w:ascii="Corbel" w:hAnsi="Corbel"/>
        </w:rPr>
        <w:t>explore greater targeting of payments - either by abating NZS with income received or by changing tax settings on other income received by NZS recipients.</w:t>
      </w:r>
      <w:r w:rsidR="008F56D2" w:rsidRPr="001D6F3C">
        <w:rPr>
          <w:rStyle w:val="FootnoteReference"/>
          <w:rFonts w:ascii="Corbel" w:hAnsi="Corbel"/>
        </w:rPr>
        <w:t xml:space="preserve"> </w:t>
      </w:r>
      <w:r w:rsidR="008F56D2" w:rsidRPr="001D6F3C">
        <w:rPr>
          <w:rStyle w:val="FootnoteReference"/>
          <w:rFonts w:ascii="Corbel" w:hAnsi="Corbel"/>
        </w:rPr>
        <w:footnoteReference w:id="8"/>
      </w:r>
      <w:r w:rsidR="008F56D2" w:rsidRPr="001D6F3C">
        <w:rPr>
          <w:rFonts w:ascii="Corbel" w:hAnsi="Corbel"/>
        </w:rPr>
        <w:t xml:space="preserve"> </w:t>
      </w:r>
      <w:r w:rsidR="00EF575B" w:rsidRPr="001D6F3C">
        <w:rPr>
          <w:rFonts w:ascii="Corbel" w:hAnsi="Corbel"/>
        </w:rPr>
        <w:t>These changes would have less impact on those on the lowest incomes but would entail other policy trade-offs, such as reducing financial incentives to continue working beyond 65</w:t>
      </w:r>
      <w:r w:rsidR="00AF5C79" w:rsidRPr="001D6F3C">
        <w:rPr>
          <w:rFonts w:ascii="Corbel" w:hAnsi="Corbel"/>
        </w:rPr>
        <w:t>, discouraging savings</w:t>
      </w:r>
      <w:r w:rsidR="6C0BDC7B" w:rsidRPr="001D6F3C">
        <w:rPr>
          <w:rFonts w:ascii="Corbel" w:hAnsi="Corbel"/>
        </w:rPr>
        <w:t xml:space="preserve"> and increasing the complexity of the scheme</w:t>
      </w:r>
      <w:r w:rsidR="00EF575B" w:rsidRPr="001D6F3C">
        <w:rPr>
          <w:rFonts w:ascii="Corbel" w:hAnsi="Corbel"/>
        </w:rPr>
        <w:t>.</w:t>
      </w:r>
    </w:p>
    <w:p w14:paraId="1589581D" w14:textId="0028AC73" w:rsidR="00A955BA" w:rsidRPr="001D6F3C" w:rsidRDefault="00EF575B" w:rsidP="00A60862">
      <w:pPr>
        <w:jc w:val="both"/>
        <w:rPr>
          <w:rFonts w:ascii="Corbel" w:hAnsi="Corbel"/>
        </w:rPr>
      </w:pPr>
      <w:r w:rsidRPr="001D6F3C">
        <w:rPr>
          <w:rFonts w:ascii="Corbel" w:hAnsi="Corbel"/>
        </w:rPr>
        <w:t xml:space="preserve">The graphs below show the impact of switching from current indexation arrangements to CPI indexation only. Over time, the difference between the two accumulates, and becomes substantial: under CPI indexation, the couple rate would be $392 lower by 2050 than it would be under </w:t>
      </w:r>
      <w:r w:rsidR="0008539A" w:rsidRPr="001D6F3C">
        <w:rPr>
          <w:rFonts w:ascii="Corbel" w:hAnsi="Corbel"/>
        </w:rPr>
        <w:t xml:space="preserve">current </w:t>
      </w:r>
      <w:r w:rsidRPr="001D6F3C">
        <w:rPr>
          <w:rFonts w:ascii="Corbel" w:hAnsi="Corbel"/>
        </w:rPr>
        <w:t>settings (</w:t>
      </w:r>
      <w:r w:rsidR="0008539A" w:rsidRPr="001D6F3C">
        <w:rPr>
          <w:rFonts w:ascii="Corbel" w:hAnsi="Corbel"/>
        </w:rPr>
        <w:t>figure 3</w:t>
      </w:r>
      <w:r w:rsidR="00AD2CCE" w:rsidRPr="001D6F3C">
        <w:rPr>
          <w:rFonts w:ascii="Corbel" w:hAnsi="Corbel"/>
        </w:rPr>
        <w:t>3</w:t>
      </w:r>
      <w:r w:rsidRPr="001D6F3C">
        <w:rPr>
          <w:rFonts w:ascii="Corbel" w:hAnsi="Corbel"/>
        </w:rPr>
        <w:t>), which equates to $234 lower in 2024 prices (</w:t>
      </w:r>
      <w:r w:rsidR="0008539A" w:rsidRPr="001D6F3C">
        <w:rPr>
          <w:rFonts w:ascii="Corbel" w:hAnsi="Corbel"/>
        </w:rPr>
        <w:t>figure 3</w:t>
      </w:r>
      <w:r w:rsidR="00AD2CCE" w:rsidRPr="001D6F3C">
        <w:rPr>
          <w:rFonts w:ascii="Corbel" w:hAnsi="Corbel"/>
        </w:rPr>
        <w:t>4</w:t>
      </w:r>
      <w:r w:rsidRPr="001D6F3C">
        <w:rPr>
          <w:rFonts w:ascii="Corbel" w:hAnsi="Corbel"/>
        </w:rPr>
        <w:t>). Under CPI indexation, NZS would decline as a proportion of average wages to around 50% by 2050, below the 65-70% where it has historically been for the past three decades (</w:t>
      </w:r>
      <w:r w:rsidR="00B44B17" w:rsidRPr="001D6F3C">
        <w:rPr>
          <w:rFonts w:ascii="Corbel" w:hAnsi="Corbel"/>
        </w:rPr>
        <w:t xml:space="preserve">figure </w:t>
      </w:r>
      <w:r w:rsidR="005D60AA" w:rsidRPr="001D6F3C">
        <w:rPr>
          <w:rFonts w:ascii="Corbel" w:hAnsi="Corbel"/>
        </w:rPr>
        <w:t>3</w:t>
      </w:r>
      <w:r w:rsidR="005D47B8" w:rsidRPr="001D6F3C">
        <w:rPr>
          <w:rFonts w:ascii="Corbel" w:hAnsi="Corbel"/>
        </w:rPr>
        <w:t>5</w:t>
      </w:r>
      <w:r w:rsidRPr="001D6F3C">
        <w:rPr>
          <w:rFonts w:ascii="Corbel" w:hAnsi="Corbe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54"/>
      </w:tblGrid>
      <w:tr w:rsidR="00D024DE" w:rsidRPr="001D6F3C" w14:paraId="18DA54FA" w14:textId="77777777" w:rsidTr="0067684E">
        <w:trPr>
          <w:jc w:val="center"/>
        </w:trPr>
        <w:tc>
          <w:tcPr>
            <w:tcW w:w="4572" w:type="dxa"/>
          </w:tcPr>
          <w:p w14:paraId="557D978E" w14:textId="1AEFAD17" w:rsidR="00D51CD1" w:rsidRPr="001D6F3C" w:rsidRDefault="00D51CD1">
            <w:pPr>
              <w:pStyle w:val="Caption"/>
              <w:keepNext/>
              <w:jc w:val="both"/>
              <w:rPr>
                <w:rFonts w:ascii="Corbel" w:hAnsi="Corbel"/>
              </w:rPr>
            </w:pPr>
            <w:bookmarkStart w:id="72" w:name="_Toc203142293"/>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33</w:t>
            </w:r>
            <w:r w:rsidR="00585542" w:rsidRPr="001D6F3C">
              <w:rPr>
                <w:rFonts w:ascii="Corbel" w:hAnsi="Corbel"/>
              </w:rPr>
              <w:fldChar w:fldCharType="end"/>
            </w:r>
            <w:r w:rsidRPr="001D6F3C">
              <w:rPr>
                <w:rFonts w:ascii="Corbel" w:hAnsi="Corbel"/>
              </w:rPr>
              <w:t xml:space="preserve"> - NZS indexation - Status quo vs CPI - nominal</w:t>
            </w:r>
            <w:bookmarkEnd w:id="72"/>
          </w:p>
          <w:p w14:paraId="4E2BFDA0" w14:textId="77777777" w:rsidR="00D51CD1" w:rsidRPr="001D6F3C" w:rsidRDefault="00D51CD1">
            <w:pPr>
              <w:jc w:val="both"/>
              <w:rPr>
                <w:rFonts w:ascii="Corbel" w:hAnsi="Corbel"/>
              </w:rPr>
            </w:pPr>
            <w:r w:rsidRPr="001D6F3C">
              <w:rPr>
                <w:rFonts w:ascii="Corbel" w:hAnsi="Corbel"/>
                <w:noProof/>
              </w:rPr>
              <w:drawing>
                <wp:inline distT="0" distB="0" distL="0" distR="0" wp14:anchorId="24A51582" wp14:editId="2F033E1B">
                  <wp:extent cx="2920719" cy="1971924"/>
                  <wp:effectExtent l="0" t="0" r="0" b="9525"/>
                  <wp:docPr id="20" name="Picture 19">
                    <a:extLst xmlns:a="http://schemas.openxmlformats.org/drawingml/2006/main">
                      <a:ext uri="{FF2B5EF4-FFF2-40B4-BE49-F238E27FC236}">
                        <a16:creationId xmlns:a16="http://schemas.microsoft.com/office/drawing/2014/main" id="{13150CF1-6532-C50C-CBA5-BF8DFCAE2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3150CF1-6532-C50C-CBA5-BF8DFCAE21F8}"/>
                              </a:ext>
                            </a:extLst>
                          </pic:cNvPr>
                          <pic:cNvPicPr>
                            <a:picLocks noChangeAspect="1"/>
                          </pic:cNvPicPr>
                        </pic:nvPicPr>
                        <pic:blipFill rotWithShape="1">
                          <a:blip r:embed="rId67"/>
                          <a:srcRect l="3213" t="14411" b="3995"/>
                          <a:stretch/>
                        </pic:blipFill>
                        <pic:spPr bwMode="auto">
                          <a:xfrm>
                            <a:off x="0" y="0"/>
                            <a:ext cx="2971056" cy="2005909"/>
                          </a:xfrm>
                          <a:prstGeom prst="rect">
                            <a:avLst/>
                          </a:prstGeom>
                          <a:ln>
                            <a:noFill/>
                          </a:ln>
                          <a:extLst>
                            <a:ext uri="{53640926-AAD7-44D8-BBD7-CCE9431645EC}">
                              <a14:shadowObscured xmlns:a14="http://schemas.microsoft.com/office/drawing/2010/main"/>
                            </a:ext>
                          </a:extLst>
                        </pic:spPr>
                      </pic:pic>
                    </a:graphicData>
                  </a:graphic>
                </wp:inline>
              </w:drawing>
            </w:r>
          </w:p>
        </w:tc>
        <w:tc>
          <w:tcPr>
            <w:tcW w:w="4454" w:type="dxa"/>
          </w:tcPr>
          <w:p w14:paraId="08ADB134" w14:textId="0D9E0B68" w:rsidR="00D51CD1" w:rsidRPr="001D6F3C" w:rsidRDefault="00D51CD1">
            <w:pPr>
              <w:pStyle w:val="Caption"/>
              <w:keepNext/>
              <w:jc w:val="both"/>
              <w:rPr>
                <w:rFonts w:ascii="Corbel" w:hAnsi="Corbel"/>
              </w:rPr>
            </w:pPr>
            <w:bookmarkStart w:id="73" w:name="_Toc203142294"/>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34</w:t>
            </w:r>
            <w:r w:rsidR="00585542" w:rsidRPr="001D6F3C">
              <w:rPr>
                <w:rFonts w:ascii="Corbel" w:hAnsi="Corbel"/>
              </w:rPr>
              <w:fldChar w:fldCharType="end"/>
            </w:r>
            <w:r w:rsidRPr="001D6F3C">
              <w:rPr>
                <w:rFonts w:ascii="Corbel" w:hAnsi="Corbel"/>
              </w:rPr>
              <w:t xml:space="preserve"> - NZS indexation - Status quo vs CPI - Real</w:t>
            </w:r>
            <w:bookmarkEnd w:id="73"/>
          </w:p>
          <w:p w14:paraId="0A73D5B6" w14:textId="77777777" w:rsidR="00D51CD1" w:rsidRPr="001D6F3C" w:rsidRDefault="00D51CD1">
            <w:pPr>
              <w:jc w:val="both"/>
              <w:rPr>
                <w:rFonts w:ascii="Corbel" w:hAnsi="Corbel"/>
              </w:rPr>
            </w:pPr>
            <w:r w:rsidRPr="001D6F3C">
              <w:rPr>
                <w:rFonts w:ascii="Corbel" w:hAnsi="Corbel"/>
                <w:noProof/>
              </w:rPr>
              <w:drawing>
                <wp:inline distT="0" distB="0" distL="0" distR="0" wp14:anchorId="0F6EAB2F" wp14:editId="75732F76">
                  <wp:extent cx="2841430" cy="1940118"/>
                  <wp:effectExtent l="0" t="0" r="0" b="3175"/>
                  <wp:docPr id="24" name="Picture 23">
                    <a:extLst xmlns:a="http://schemas.openxmlformats.org/drawingml/2006/main">
                      <a:ext uri="{FF2B5EF4-FFF2-40B4-BE49-F238E27FC236}">
                        <a16:creationId xmlns:a16="http://schemas.microsoft.com/office/drawing/2014/main" id="{BD8C519D-9EBC-0586-44FB-51DF02AAB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BD8C519D-9EBC-0586-44FB-51DF02AAB126}"/>
                              </a:ext>
                            </a:extLst>
                          </pic:cNvPr>
                          <pic:cNvPicPr>
                            <a:picLocks noChangeAspect="1"/>
                          </pic:cNvPicPr>
                        </pic:nvPicPr>
                        <pic:blipFill rotWithShape="1">
                          <a:blip r:embed="rId68"/>
                          <a:srcRect l="5193" t="15260" b="7509"/>
                          <a:stretch/>
                        </pic:blipFill>
                        <pic:spPr bwMode="auto">
                          <a:xfrm>
                            <a:off x="0" y="0"/>
                            <a:ext cx="2862966" cy="1954823"/>
                          </a:xfrm>
                          <a:prstGeom prst="rect">
                            <a:avLst/>
                          </a:prstGeom>
                          <a:ln>
                            <a:noFill/>
                          </a:ln>
                          <a:extLst>
                            <a:ext uri="{53640926-AAD7-44D8-BBD7-CCE9431645EC}">
                              <a14:shadowObscured xmlns:a14="http://schemas.microsoft.com/office/drawing/2010/main"/>
                            </a:ext>
                          </a:extLst>
                        </pic:spPr>
                      </pic:pic>
                    </a:graphicData>
                  </a:graphic>
                </wp:inline>
              </w:drawing>
            </w:r>
          </w:p>
        </w:tc>
      </w:tr>
      <w:tr w:rsidR="00D024DE" w:rsidRPr="001D6F3C" w14:paraId="2F63D9BE" w14:textId="77777777">
        <w:trPr>
          <w:jc w:val="center"/>
        </w:trPr>
        <w:tc>
          <w:tcPr>
            <w:tcW w:w="9026" w:type="dxa"/>
            <w:gridSpan w:val="2"/>
          </w:tcPr>
          <w:p w14:paraId="3E240299" w14:textId="4CCF7462" w:rsidR="00AD2CCE" w:rsidRPr="001D6F3C" w:rsidRDefault="00AD2CCE" w:rsidP="00AD2CCE">
            <w:pPr>
              <w:pStyle w:val="Caption"/>
              <w:keepNext/>
              <w:jc w:val="center"/>
              <w:rPr>
                <w:rFonts w:ascii="Corbel" w:hAnsi="Corbel"/>
                <w:szCs w:val="18"/>
              </w:rPr>
            </w:pPr>
            <w:bookmarkStart w:id="74" w:name="_Toc203142295"/>
            <w:r w:rsidRPr="001D6F3C">
              <w:rPr>
                <w:rFonts w:ascii="Corbel" w:hAnsi="Corbel"/>
                <w:szCs w:val="18"/>
              </w:rPr>
              <w:t xml:space="preserve">Figure </w:t>
            </w:r>
            <w:r w:rsidRPr="001D6F3C">
              <w:rPr>
                <w:rFonts w:ascii="Corbel" w:hAnsi="Corbel"/>
                <w:szCs w:val="18"/>
              </w:rPr>
              <w:fldChar w:fldCharType="begin"/>
            </w:r>
            <w:r w:rsidRPr="001D6F3C">
              <w:rPr>
                <w:rFonts w:ascii="Corbel" w:hAnsi="Corbel"/>
                <w:szCs w:val="18"/>
              </w:rPr>
              <w:instrText xml:space="preserve"> SEQ Figure \* ARABIC </w:instrText>
            </w:r>
            <w:r w:rsidRPr="001D6F3C">
              <w:rPr>
                <w:rFonts w:ascii="Corbel" w:hAnsi="Corbel"/>
                <w:szCs w:val="18"/>
              </w:rPr>
              <w:fldChar w:fldCharType="separate"/>
            </w:r>
            <w:r w:rsidRPr="001D6F3C">
              <w:rPr>
                <w:rFonts w:ascii="Corbel" w:hAnsi="Corbel"/>
                <w:noProof/>
                <w:szCs w:val="18"/>
              </w:rPr>
              <w:t>35</w:t>
            </w:r>
            <w:r w:rsidRPr="001D6F3C">
              <w:rPr>
                <w:rFonts w:ascii="Corbel" w:hAnsi="Corbel"/>
                <w:szCs w:val="18"/>
              </w:rPr>
              <w:fldChar w:fldCharType="end"/>
            </w:r>
            <w:r w:rsidRPr="001D6F3C">
              <w:rPr>
                <w:rFonts w:ascii="Corbel" w:hAnsi="Corbel"/>
                <w:szCs w:val="18"/>
              </w:rPr>
              <w:t>- INDEXATION - STATUS QUO VS CPI - % OF NET AVERAGE WAGE</w:t>
            </w:r>
            <w:bookmarkEnd w:id="74"/>
          </w:p>
          <w:p w14:paraId="641AE3F0" w14:textId="43E6BE04" w:rsidR="00127E8F" w:rsidRPr="001D6F3C" w:rsidRDefault="00127E8F" w:rsidP="0067684E">
            <w:pPr>
              <w:jc w:val="center"/>
              <w:rPr>
                <w:rFonts w:ascii="Corbel" w:hAnsi="Corbel"/>
              </w:rPr>
            </w:pPr>
            <w:r w:rsidRPr="001D6F3C">
              <w:rPr>
                <w:rFonts w:ascii="Corbel" w:hAnsi="Corbel"/>
                <w:noProof/>
              </w:rPr>
              <w:drawing>
                <wp:inline distT="0" distB="0" distL="0" distR="0" wp14:anchorId="50E71AD4" wp14:editId="4CFD2323">
                  <wp:extent cx="2655735" cy="1872475"/>
                  <wp:effectExtent l="0" t="0" r="0" b="0"/>
                  <wp:docPr id="535359519" name="Picture 26">
                    <a:extLst xmlns:a="http://schemas.openxmlformats.org/drawingml/2006/main">
                      <a:ext uri="{FF2B5EF4-FFF2-40B4-BE49-F238E27FC236}">
                        <a16:creationId xmlns:a16="http://schemas.microsoft.com/office/drawing/2014/main" id="{E39B0E7F-FCA3-350F-22CB-B948FBA75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39B0E7F-FCA3-350F-22CB-B948FBA75CDD}"/>
                              </a:ext>
                            </a:extLst>
                          </pic:cNvPr>
                          <pic:cNvPicPr>
                            <a:picLocks noChangeAspect="1"/>
                          </pic:cNvPicPr>
                        </pic:nvPicPr>
                        <pic:blipFill rotWithShape="1">
                          <a:blip r:embed="rId69"/>
                          <a:srcRect t="13400" b="6810"/>
                          <a:stretch/>
                        </pic:blipFill>
                        <pic:spPr bwMode="auto">
                          <a:xfrm>
                            <a:off x="0" y="0"/>
                            <a:ext cx="2707776" cy="1909168"/>
                          </a:xfrm>
                          <a:prstGeom prst="rect">
                            <a:avLst/>
                          </a:prstGeom>
                          <a:ln>
                            <a:noFill/>
                          </a:ln>
                          <a:extLst>
                            <a:ext uri="{53640926-AAD7-44D8-BBD7-CCE9431645EC}">
                              <a14:shadowObscured xmlns:a14="http://schemas.microsoft.com/office/drawing/2010/main"/>
                            </a:ext>
                          </a:extLst>
                        </pic:spPr>
                      </pic:pic>
                    </a:graphicData>
                  </a:graphic>
                </wp:inline>
              </w:drawing>
            </w:r>
          </w:p>
          <w:p w14:paraId="32EC541E" w14:textId="55F813FC" w:rsidR="00D51CD1" w:rsidRPr="001D6F3C" w:rsidRDefault="00D51CD1" w:rsidP="0067684E">
            <w:pPr>
              <w:rPr>
                <w:rFonts w:ascii="Corbel" w:hAnsi="Corbel"/>
              </w:rPr>
            </w:pPr>
          </w:p>
        </w:tc>
      </w:tr>
    </w:tbl>
    <w:p w14:paraId="6FBACFC5" w14:textId="77777777" w:rsidR="007E6E63" w:rsidRPr="001D6F3C" w:rsidRDefault="003B7654" w:rsidP="008F56D2">
      <w:pPr>
        <w:shd w:val="clear" w:color="auto" w:fill="FFFFFF" w:themeFill="background1"/>
        <w:jc w:val="both"/>
        <w:rPr>
          <w:rFonts w:ascii="Corbel" w:hAnsi="Corbel"/>
        </w:rPr>
      </w:pPr>
      <w:r w:rsidRPr="001D6F3C">
        <w:rPr>
          <w:rFonts w:ascii="Corbel" w:hAnsi="Corbel"/>
        </w:rPr>
        <w:t xml:space="preserve">There are other considerations </w:t>
      </w:r>
      <w:r w:rsidR="00AF5C79" w:rsidRPr="001D6F3C">
        <w:rPr>
          <w:rFonts w:ascii="Corbel" w:hAnsi="Corbel"/>
        </w:rPr>
        <w:t xml:space="preserve">that Governments may wish to </w:t>
      </w:r>
      <w:proofErr w:type="gramStart"/>
      <w:r w:rsidR="007E6E63" w:rsidRPr="001D6F3C">
        <w:rPr>
          <w:rFonts w:ascii="Corbel" w:hAnsi="Corbel"/>
        </w:rPr>
        <w:t>take into account</w:t>
      </w:r>
      <w:proofErr w:type="gramEnd"/>
      <w:r w:rsidR="00AF5C79" w:rsidRPr="001D6F3C">
        <w:rPr>
          <w:rFonts w:ascii="Corbel" w:hAnsi="Corbel"/>
        </w:rPr>
        <w:t xml:space="preserve"> when considering the different</w:t>
      </w:r>
      <w:r w:rsidRPr="001D6F3C">
        <w:rPr>
          <w:rFonts w:ascii="Corbel" w:hAnsi="Corbel"/>
        </w:rPr>
        <w:t xml:space="preserve"> cost saving measures</w:t>
      </w:r>
      <w:r w:rsidR="00AF5C79" w:rsidRPr="001D6F3C">
        <w:rPr>
          <w:rFonts w:ascii="Corbel" w:hAnsi="Corbel"/>
        </w:rPr>
        <w:t xml:space="preserve"> described above. This includes</w:t>
      </w:r>
      <w:r w:rsidR="007E6E63" w:rsidRPr="001D6F3C">
        <w:rPr>
          <w:rFonts w:ascii="Corbel" w:hAnsi="Corbel"/>
        </w:rPr>
        <w:t xml:space="preserve">: </w:t>
      </w:r>
    </w:p>
    <w:p w14:paraId="34B2DADB" w14:textId="455193DF" w:rsidR="007E6E63" w:rsidRPr="001D6F3C" w:rsidRDefault="00AF5C79" w:rsidP="00D51CD1">
      <w:pPr>
        <w:pStyle w:val="ListParagraph"/>
        <w:numPr>
          <w:ilvl w:val="0"/>
          <w:numId w:val="41"/>
        </w:numPr>
        <w:shd w:val="clear" w:color="auto" w:fill="FFFFFF" w:themeFill="background1"/>
        <w:jc w:val="both"/>
        <w:rPr>
          <w:rFonts w:ascii="Corbel" w:hAnsi="Corbel"/>
        </w:rPr>
      </w:pPr>
      <w:r w:rsidRPr="001D6F3C">
        <w:rPr>
          <w:rFonts w:ascii="Corbel" w:hAnsi="Corbel"/>
        </w:rPr>
        <w:t>the different levels of savings that can be achieved under the various options</w:t>
      </w:r>
      <w:r w:rsidR="00A14DFE" w:rsidRPr="001D6F3C">
        <w:rPr>
          <w:rFonts w:ascii="Corbel" w:hAnsi="Corbel"/>
        </w:rPr>
        <w:t xml:space="preserve"> – </w:t>
      </w:r>
      <w:r w:rsidR="008F56D2" w:rsidRPr="001D6F3C">
        <w:rPr>
          <w:rFonts w:ascii="Corbel" w:hAnsi="Corbel"/>
        </w:rPr>
        <w:t xml:space="preserve">for example, </w:t>
      </w:r>
      <w:r w:rsidR="00B85BFA" w:rsidRPr="001D6F3C">
        <w:rPr>
          <w:rFonts w:ascii="Corbel" w:hAnsi="Corbel"/>
        </w:rPr>
        <w:t xml:space="preserve">the </w:t>
      </w:r>
      <w:r w:rsidR="00A14DFE" w:rsidRPr="001D6F3C">
        <w:rPr>
          <w:rFonts w:ascii="Corbel" w:hAnsi="Corbel"/>
        </w:rPr>
        <w:t>Treasury estimated raising the age to 67 would reduce Crown expenditure in 2050 from 33.7% of GDP to 33%, whereas CPI indexation reduced it to 32.2%.</w:t>
      </w:r>
    </w:p>
    <w:p w14:paraId="49BE98D5" w14:textId="21B37EEF" w:rsidR="00C5669A" w:rsidRPr="001D6F3C" w:rsidRDefault="003B7654" w:rsidP="00D51CD1">
      <w:pPr>
        <w:pStyle w:val="ListParagraph"/>
        <w:numPr>
          <w:ilvl w:val="0"/>
          <w:numId w:val="41"/>
        </w:numPr>
        <w:shd w:val="clear" w:color="auto" w:fill="FFFFFF" w:themeFill="background1"/>
        <w:jc w:val="both"/>
        <w:rPr>
          <w:rFonts w:ascii="Corbel" w:hAnsi="Corbel"/>
        </w:rPr>
      </w:pPr>
      <w:r w:rsidRPr="001D6F3C">
        <w:rPr>
          <w:rFonts w:ascii="Corbel" w:hAnsi="Corbel"/>
        </w:rPr>
        <w:t>any arrangements</w:t>
      </w:r>
      <w:r w:rsidR="00AF5C79" w:rsidRPr="001D6F3C">
        <w:rPr>
          <w:rFonts w:ascii="Corbel" w:hAnsi="Corbel"/>
        </w:rPr>
        <w:t xml:space="preserve"> necessary </w:t>
      </w:r>
      <w:r w:rsidRPr="001D6F3C">
        <w:rPr>
          <w:rFonts w:ascii="Corbel" w:hAnsi="Corbel"/>
        </w:rPr>
        <w:t xml:space="preserve">to support a transition to alternative settings. </w:t>
      </w:r>
      <w:r w:rsidR="008F56D2" w:rsidRPr="001D6F3C">
        <w:rPr>
          <w:rFonts w:ascii="Corbel" w:hAnsi="Corbel"/>
        </w:rPr>
        <w:t>For example, when the age of eligibility was increased from 60 to 65 in the 1990s, a Transitional Retirement Benefit (TRB)</w:t>
      </w:r>
      <w:r w:rsidR="00364A55" w:rsidRPr="001D6F3C">
        <w:rPr>
          <w:rFonts w:ascii="Corbel" w:hAnsi="Corbel"/>
        </w:rPr>
        <w:t xml:space="preserve"> provided income-tested support to those who had not yet reached the qualifying age of NZS, and who were </w:t>
      </w:r>
      <w:r w:rsidR="00467F49" w:rsidRPr="001D6F3C">
        <w:rPr>
          <w:rFonts w:ascii="Corbel" w:hAnsi="Corbel"/>
        </w:rPr>
        <w:t xml:space="preserve">to be </w:t>
      </w:r>
      <w:r w:rsidR="008F56D2" w:rsidRPr="001D6F3C">
        <w:rPr>
          <w:rFonts w:ascii="Corbel" w:hAnsi="Corbel"/>
        </w:rPr>
        <w:t>most financially affected</w:t>
      </w:r>
      <w:r w:rsidR="00364A55" w:rsidRPr="001D6F3C">
        <w:rPr>
          <w:rFonts w:ascii="Corbel" w:hAnsi="Corbel"/>
        </w:rPr>
        <w:t xml:space="preserve">. The qualifying age </w:t>
      </w:r>
      <w:r w:rsidR="00467F49" w:rsidRPr="001D6F3C">
        <w:rPr>
          <w:rFonts w:ascii="Corbel" w:hAnsi="Corbel"/>
        </w:rPr>
        <w:t xml:space="preserve">was </w:t>
      </w:r>
      <w:r w:rsidR="00364A55" w:rsidRPr="001D6F3C">
        <w:rPr>
          <w:rFonts w:ascii="Corbel" w:hAnsi="Corbel"/>
        </w:rPr>
        <w:t>gradually increas</w:t>
      </w:r>
      <w:r w:rsidR="00467F49" w:rsidRPr="001D6F3C">
        <w:rPr>
          <w:rFonts w:ascii="Corbel" w:hAnsi="Corbel"/>
        </w:rPr>
        <w:t>ed</w:t>
      </w:r>
      <w:r w:rsidR="00364A55" w:rsidRPr="001D6F3C">
        <w:rPr>
          <w:rFonts w:ascii="Corbel" w:hAnsi="Corbel"/>
        </w:rPr>
        <w:t xml:space="preserve"> so that it </w:t>
      </w:r>
      <w:r w:rsidR="2AA2B82F" w:rsidRPr="001D6F3C">
        <w:rPr>
          <w:rFonts w:ascii="Corbel" w:hAnsi="Corbel"/>
        </w:rPr>
        <w:t>w</w:t>
      </w:r>
      <w:r w:rsidR="2EFF5E80" w:rsidRPr="001D6F3C">
        <w:rPr>
          <w:rFonts w:ascii="Corbel" w:hAnsi="Corbel"/>
        </w:rPr>
        <w:t>ould</w:t>
      </w:r>
      <w:r w:rsidR="00364A55" w:rsidRPr="001D6F3C">
        <w:rPr>
          <w:rFonts w:ascii="Corbel" w:hAnsi="Corbel"/>
        </w:rPr>
        <w:t xml:space="preserve"> reach 65 years in 2004, at which time TRB</w:t>
      </w:r>
      <w:r w:rsidR="00467F49" w:rsidRPr="001D6F3C">
        <w:rPr>
          <w:rFonts w:ascii="Corbel" w:hAnsi="Corbel"/>
        </w:rPr>
        <w:t xml:space="preserve"> ended</w:t>
      </w:r>
      <w:r w:rsidR="008F56D2" w:rsidRPr="001D6F3C">
        <w:rPr>
          <w:rFonts w:ascii="Corbel" w:hAnsi="Corbel"/>
        </w:rPr>
        <w:t>.</w:t>
      </w:r>
      <w:r w:rsidR="00D51CD1" w:rsidRPr="001D6F3C">
        <w:rPr>
          <w:rFonts w:ascii="Corbel" w:hAnsi="Corbel"/>
          <w:b/>
          <w:bCs/>
        </w:rPr>
        <w:t xml:space="preserve"> </w:t>
      </w:r>
    </w:p>
    <w:p w14:paraId="2226D988" w14:textId="77777777" w:rsidR="00C5669A" w:rsidRPr="001D6F3C" w:rsidRDefault="00C5669A" w:rsidP="00D51CD1">
      <w:pPr>
        <w:shd w:val="clear" w:color="auto" w:fill="FFFFFF" w:themeFill="background1"/>
        <w:jc w:val="both"/>
        <w:rPr>
          <w:rFonts w:ascii="Corbel" w:hAnsi="Corbel"/>
          <w:b/>
          <w:bCs/>
        </w:rPr>
      </w:pPr>
    </w:p>
    <w:p w14:paraId="4A425911" w14:textId="0D2F579D" w:rsidR="0078778E" w:rsidRPr="001D6F3C" w:rsidRDefault="0078778E">
      <w:pPr>
        <w:spacing w:before="0"/>
        <w:rPr>
          <w:rFonts w:ascii="Corbel" w:eastAsiaTheme="majorEastAsia" w:hAnsi="Corbel" w:cstheme="majorBidi"/>
          <w:color w:val="365F91" w:themeColor="accent1" w:themeShade="BF"/>
          <w:sz w:val="32"/>
          <w:szCs w:val="32"/>
        </w:rPr>
      </w:pPr>
      <w:r w:rsidRPr="001D6F3C">
        <w:rPr>
          <w:rFonts w:ascii="Corbel" w:hAnsi="Corbel"/>
        </w:rPr>
        <w:br w:type="page"/>
      </w:r>
    </w:p>
    <w:p w14:paraId="07FD65C2" w14:textId="38CA57B6" w:rsidR="00EF575B" w:rsidRPr="001D6F3C" w:rsidRDefault="00EF575B" w:rsidP="00A60862">
      <w:pPr>
        <w:pStyle w:val="Heading2"/>
        <w:jc w:val="both"/>
        <w:rPr>
          <w:rFonts w:ascii="Corbel" w:hAnsi="Corbel"/>
        </w:rPr>
      </w:pPr>
      <w:bookmarkStart w:id="75" w:name="_Toc207783001"/>
      <w:r w:rsidRPr="001D6F3C">
        <w:rPr>
          <w:rFonts w:ascii="Corbel" w:hAnsi="Corbel"/>
        </w:rPr>
        <w:lastRenderedPageBreak/>
        <w:t>3.</w:t>
      </w:r>
      <w:r w:rsidR="00382E63">
        <w:rPr>
          <w:rFonts w:ascii="Corbel" w:hAnsi="Corbel"/>
        </w:rPr>
        <w:t>7</w:t>
      </w:r>
      <w:r w:rsidR="00045651" w:rsidRPr="001D6F3C">
        <w:rPr>
          <w:rFonts w:ascii="Corbel" w:hAnsi="Corbel"/>
        </w:rPr>
        <w:t xml:space="preserve"> </w:t>
      </w:r>
      <w:r w:rsidRPr="001D6F3C">
        <w:rPr>
          <w:rFonts w:ascii="Corbel" w:hAnsi="Corbel"/>
          <w:b/>
          <w:bCs/>
        </w:rPr>
        <w:t>Housing</w:t>
      </w:r>
      <w:r w:rsidR="00BE5D57" w:rsidRPr="001D6F3C">
        <w:rPr>
          <w:rFonts w:ascii="Corbel" w:hAnsi="Corbel"/>
          <w:b/>
          <w:bCs/>
        </w:rPr>
        <w:t xml:space="preserve"> </w:t>
      </w:r>
      <w:r w:rsidR="00BE5D57" w:rsidRPr="001D6F3C">
        <w:rPr>
          <w:rStyle w:val="Emphasis"/>
          <w:rFonts w:ascii="Corbel" w:hAnsi="Corbel"/>
          <w:i w:val="0"/>
          <w:iCs w:val="0"/>
        </w:rPr>
        <w:t xml:space="preserve">- </w:t>
      </w:r>
      <w:r w:rsidR="00226447" w:rsidRPr="001D6F3C">
        <w:rPr>
          <w:rStyle w:val="Emphasis"/>
          <w:rFonts w:ascii="Corbel" w:hAnsi="Corbel"/>
          <w:i w:val="0"/>
          <w:iCs w:val="0"/>
        </w:rPr>
        <w:t>r</w:t>
      </w:r>
      <w:r w:rsidRPr="001D6F3C">
        <w:rPr>
          <w:rStyle w:val="Emphasis"/>
          <w:rFonts w:ascii="Corbel" w:hAnsi="Corbel"/>
          <w:i w:val="0"/>
          <w:iCs w:val="0"/>
        </w:rPr>
        <w:t xml:space="preserve">ecent </w:t>
      </w:r>
      <w:r w:rsidR="00226447" w:rsidRPr="001D6F3C">
        <w:rPr>
          <w:rStyle w:val="Emphasis"/>
          <w:rFonts w:ascii="Corbel" w:hAnsi="Corbel"/>
          <w:i w:val="0"/>
          <w:iCs w:val="0"/>
        </w:rPr>
        <w:t>t</w:t>
      </w:r>
      <w:r w:rsidRPr="001D6F3C">
        <w:rPr>
          <w:rStyle w:val="Emphasis"/>
          <w:rFonts w:ascii="Corbel" w:hAnsi="Corbel"/>
          <w:i w:val="0"/>
          <w:iCs w:val="0"/>
        </w:rPr>
        <w:t>rends</w:t>
      </w:r>
      <w:bookmarkEnd w:id="75"/>
    </w:p>
    <w:p w14:paraId="33D30738" w14:textId="47D4D212" w:rsidR="00EF575B" w:rsidRPr="001D6F3C" w:rsidRDefault="00EF575B" w:rsidP="00A60862">
      <w:pPr>
        <w:jc w:val="both"/>
        <w:rPr>
          <w:rFonts w:ascii="Corbel" w:hAnsi="Corbel"/>
        </w:rPr>
      </w:pPr>
      <w:r w:rsidRPr="001D6F3C">
        <w:rPr>
          <w:rFonts w:ascii="Corbel" w:hAnsi="Corbel"/>
        </w:rPr>
        <w:t>The most striking emerging trend</w:t>
      </w:r>
      <w:r w:rsidR="005D5489" w:rsidRPr="001D6F3C">
        <w:rPr>
          <w:rFonts w:ascii="Corbel" w:hAnsi="Corbel"/>
        </w:rPr>
        <w:t>s</w:t>
      </w:r>
      <w:r w:rsidRPr="001D6F3C">
        <w:rPr>
          <w:rFonts w:ascii="Corbel" w:hAnsi="Corbel"/>
        </w:rPr>
        <w:t xml:space="preserve"> in older people’s housing </w:t>
      </w:r>
      <w:r w:rsidR="004209A3" w:rsidRPr="001D6F3C">
        <w:rPr>
          <w:rFonts w:ascii="Corbel" w:hAnsi="Corbel"/>
        </w:rPr>
        <w:t xml:space="preserve">are </w:t>
      </w:r>
      <w:r w:rsidRPr="001D6F3C">
        <w:rPr>
          <w:rFonts w:ascii="Corbel" w:hAnsi="Corbel"/>
        </w:rPr>
        <w:t>the growth in the number of life-long renters</w:t>
      </w:r>
      <w:r w:rsidR="005D5489" w:rsidRPr="001D6F3C">
        <w:rPr>
          <w:rFonts w:ascii="Corbel" w:hAnsi="Corbel"/>
        </w:rPr>
        <w:t xml:space="preserve"> and those paying a mortgage in to later life</w:t>
      </w:r>
      <w:r w:rsidRPr="001D6F3C">
        <w:rPr>
          <w:rFonts w:ascii="Corbel" w:hAnsi="Corbel"/>
        </w:rPr>
        <w:t xml:space="preserve">. While mortgage-free home ownership in later life </w:t>
      </w:r>
      <w:r w:rsidR="002C58FF" w:rsidRPr="001D6F3C">
        <w:rPr>
          <w:rFonts w:ascii="Corbel" w:hAnsi="Corbel"/>
        </w:rPr>
        <w:t xml:space="preserve">had </w:t>
      </w:r>
      <w:r w:rsidRPr="001D6F3C">
        <w:rPr>
          <w:rFonts w:ascii="Corbel" w:hAnsi="Corbel"/>
        </w:rPr>
        <w:t>been the historic norm, rates have been slowly declining across the population.</w:t>
      </w:r>
      <w:r w:rsidR="002C58FF" w:rsidRPr="001D6F3C">
        <w:rPr>
          <w:rStyle w:val="FootnoteReference"/>
          <w:rFonts w:ascii="Corbel" w:hAnsi="Corbel"/>
        </w:rPr>
        <w:footnoteReference w:id="9"/>
      </w:r>
      <w:r w:rsidRPr="001D6F3C">
        <w:rPr>
          <w:rFonts w:ascii="Corbel" w:hAnsi="Corbel"/>
        </w:rPr>
        <w:t xml:space="preserve"> </w:t>
      </w:r>
      <w:r w:rsidR="00087D38" w:rsidRPr="001D6F3C">
        <w:rPr>
          <w:rFonts w:ascii="Corbel" w:hAnsi="Corbel"/>
        </w:rPr>
        <w:t xml:space="preserve">As at the 2023 Census, 16.62% of older people lived in a house they did not own. </w:t>
      </w:r>
      <w:r w:rsidRPr="001D6F3C">
        <w:rPr>
          <w:rFonts w:ascii="Corbel" w:hAnsi="Corbel"/>
        </w:rPr>
        <w:t>The decline has been particularly marked for kaumātua Māori and older Pacific people</w:t>
      </w:r>
      <w:r w:rsidR="002802DD" w:rsidRPr="001D6F3C">
        <w:rPr>
          <w:rFonts w:ascii="Corbel" w:hAnsi="Corbel"/>
        </w:rPr>
        <w:t xml:space="preserve">; </w:t>
      </w:r>
      <w:r w:rsidRPr="001D6F3C">
        <w:rPr>
          <w:rFonts w:ascii="Corbel" w:hAnsi="Corbel"/>
        </w:rPr>
        <w:t>home ownership rates for these groups are notably lower than the total older population.</w:t>
      </w:r>
    </w:p>
    <w:p w14:paraId="6D6549D4" w14:textId="5668B224" w:rsidR="00AD2CCE" w:rsidRPr="001D6F3C" w:rsidRDefault="00AD2CCE" w:rsidP="00AD2CCE">
      <w:pPr>
        <w:pStyle w:val="Caption"/>
        <w:keepNext/>
      </w:pPr>
      <w:bookmarkStart w:id="76" w:name="_Toc203142296"/>
      <w:r w:rsidRPr="001D6F3C">
        <w:t xml:space="preserve">Figure </w:t>
      </w:r>
      <w:r w:rsidRPr="001D6F3C">
        <w:fldChar w:fldCharType="begin"/>
      </w:r>
      <w:r w:rsidRPr="001D6F3C">
        <w:instrText xml:space="preserve"> SEQ Figure \* ARABIC </w:instrText>
      </w:r>
      <w:r w:rsidRPr="001D6F3C">
        <w:fldChar w:fldCharType="separate"/>
      </w:r>
      <w:r w:rsidRPr="001D6F3C">
        <w:rPr>
          <w:noProof/>
        </w:rPr>
        <w:t>36</w:t>
      </w:r>
      <w:r w:rsidRPr="001D6F3C">
        <w:fldChar w:fldCharType="end"/>
      </w:r>
      <w:r w:rsidRPr="001D6F3C">
        <w:t xml:space="preserve"> - PROPORTIONS OF INDIVIDUAL TENURE AGED 65+ (CENSUS 1996 – 2023)</w:t>
      </w:r>
      <w:bookmarkEnd w:id="76"/>
    </w:p>
    <w:p w14:paraId="5F4D80E1" w14:textId="2425A6B2" w:rsidR="002C7B5F" w:rsidRPr="001D6F3C" w:rsidRDefault="002C7B5F" w:rsidP="00BF148A">
      <w:pPr>
        <w:jc w:val="center"/>
        <w:rPr>
          <w:rFonts w:ascii="Corbel" w:hAnsi="Corbel"/>
        </w:rPr>
      </w:pPr>
      <w:r w:rsidRPr="001D6F3C">
        <w:rPr>
          <w:rFonts w:ascii="Corbel" w:hAnsi="Corbel"/>
          <w:noProof/>
        </w:rPr>
        <w:drawing>
          <wp:inline distT="0" distB="0" distL="0" distR="0" wp14:anchorId="51770B31" wp14:editId="6ACBA38B">
            <wp:extent cx="3009014" cy="2018958"/>
            <wp:effectExtent l="0" t="0" r="1270" b="635"/>
            <wp:docPr id="115380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58283" cy="2052016"/>
                    </a:xfrm>
                    <a:prstGeom prst="rect">
                      <a:avLst/>
                    </a:prstGeom>
                    <a:noFill/>
                  </pic:spPr>
                </pic:pic>
              </a:graphicData>
            </a:graphic>
          </wp:inline>
        </w:drawing>
      </w:r>
    </w:p>
    <w:p w14:paraId="148510D1" w14:textId="0712D1F6" w:rsidR="008574EC" w:rsidRPr="001D6F3C" w:rsidRDefault="008574EC" w:rsidP="008574EC">
      <w:pPr>
        <w:jc w:val="both"/>
        <w:rPr>
          <w:rFonts w:ascii="Corbel" w:hAnsi="Corbel"/>
        </w:rPr>
      </w:pPr>
      <w:r w:rsidRPr="001D6F3C">
        <w:rPr>
          <w:rFonts w:ascii="Corbel" w:hAnsi="Corbel"/>
        </w:rPr>
        <w:t xml:space="preserve">The number of older people paying a mortgage has also risen significantly. As at the 2023 Census 18.9% of homeowners aged 65+ (or 15.7% of the total population) were doing so. The graph below shows that growth in the numbers of older individuals paying mortgages has taken place across all older age brackets but is most pronounced among those aged 65 – 74. This points to a trend of “tailing off” mortgages into later life, perhaps linked to later entry </w:t>
      </w:r>
      <w:r w:rsidR="00BE192E" w:rsidRPr="001D6F3C">
        <w:rPr>
          <w:rFonts w:ascii="Corbel" w:hAnsi="Corbel"/>
        </w:rPr>
        <w:t>into</w:t>
      </w:r>
      <w:r w:rsidRPr="001D6F3C">
        <w:rPr>
          <w:rFonts w:ascii="Corbel" w:hAnsi="Corbel"/>
        </w:rPr>
        <w:t xml:space="preserve"> home ownership</w:t>
      </w:r>
      <w:r w:rsidR="0078113F" w:rsidRPr="001D6F3C">
        <w:rPr>
          <w:rFonts w:ascii="Corbel" w:hAnsi="Corbel"/>
        </w:rPr>
        <w:t xml:space="preserve"> and generally higher house prices</w:t>
      </w:r>
      <w:r w:rsidRPr="001D6F3C">
        <w:rPr>
          <w:rFonts w:ascii="Corbel" w:hAnsi="Corbel"/>
        </w:rPr>
        <w:t xml:space="preserve">. More recent data on </w:t>
      </w:r>
      <w:r w:rsidR="00FD5019" w:rsidRPr="001D6F3C">
        <w:rPr>
          <w:rFonts w:ascii="Corbel" w:hAnsi="Corbel"/>
        </w:rPr>
        <w:t xml:space="preserve">average </w:t>
      </w:r>
      <w:r w:rsidRPr="001D6F3C">
        <w:rPr>
          <w:rFonts w:ascii="Corbel" w:hAnsi="Corbel"/>
        </w:rPr>
        <w:t xml:space="preserve">mortgage balances indicates that these have grown across all older age groups but continue to follow a trend of diminishing with age. </w:t>
      </w:r>
    </w:p>
    <w:p w14:paraId="4FE2E8CF" w14:textId="55580DA5" w:rsidR="008574EC" w:rsidRPr="001D6F3C" w:rsidRDefault="008574EC" w:rsidP="008574EC">
      <w:pPr>
        <w:pStyle w:val="Caption"/>
        <w:keepNext/>
        <w:jc w:val="both"/>
        <w:rPr>
          <w:rFonts w:ascii="Corbel" w:hAnsi="Corbel"/>
        </w:rPr>
      </w:pPr>
      <w:bookmarkStart w:id="77" w:name="_Toc203142297"/>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37</w:t>
      </w:r>
      <w:r w:rsidR="00585542" w:rsidRPr="001D6F3C">
        <w:rPr>
          <w:rFonts w:ascii="Corbel" w:hAnsi="Corbel"/>
        </w:rPr>
        <w:fldChar w:fldCharType="end"/>
      </w:r>
      <w:r w:rsidRPr="001D6F3C">
        <w:rPr>
          <w:rFonts w:ascii="Corbel" w:hAnsi="Corbel"/>
        </w:rPr>
        <w:t xml:space="preserve"> – Proportion of individual homeowners Aged 65+ paying a mortgage</w:t>
      </w:r>
      <w:bookmarkEnd w:id="77"/>
    </w:p>
    <w:p w14:paraId="4F0A2098" w14:textId="77777777" w:rsidR="008574EC" w:rsidRPr="001D6F3C" w:rsidRDefault="008574EC" w:rsidP="008574EC">
      <w:pPr>
        <w:jc w:val="center"/>
        <w:rPr>
          <w:rFonts w:ascii="Corbel" w:hAnsi="Corbel"/>
        </w:rPr>
      </w:pPr>
      <w:r w:rsidRPr="001D6F3C">
        <w:rPr>
          <w:rFonts w:ascii="Corbel" w:hAnsi="Corbel"/>
          <w:noProof/>
        </w:rPr>
        <w:drawing>
          <wp:inline distT="0" distB="0" distL="0" distR="0" wp14:anchorId="2A6E0321" wp14:editId="1BE9A2BA">
            <wp:extent cx="3472825" cy="2078182"/>
            <wp:effectExtent l="0" t="0" r="0" b="0"/>
            <wp:docPr id="558519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78241" cy="2081423"/>
                    </a:xfrm>
                    <a:prstGeom prst="rect">
                      <a:avLst/>
                    </a:prstGeom>
                    <a:noFill/>
                  </pic:spPr>
                </pic:pic>
              </a:graphicData>
            </a:graphic>
          </wp:inline>
        </w:drawing>
      </w:r>
    </w:p>
    <w:p w14:paraId="628DB6DA" w14:textId="1617308B" w:rsidR="007164C4" w:rsidRPr="001D6F3C" w:rsidRDefault="00DC449D" w:rsidP="00A60862">
      <w:pPr>
        <w:jc w:val="both"/>
        <w:rPr>
          <w:rFonts w:ascii="Corbel" w:hAnsi="Corbel"/>
        </w:rPr>
      </w:pPr>
      <w:r w:rsidRPr="001D6F3C">
        <w:rPr>
          <w:rFonts w:ascii="Corbel" w:hAnsi="Corbel"/>
        </w:rPr>
        <w:lastRenderedPageBreak/>
        <w:t xml:space="preserve">The </w:t>
      </w:r>
      <w:r w:rsidR="00E209E6" w:rsidRPr="001D6F3C">
        <w:rPr>
          <w:rFonts w:ascii="Corbel" w:hAnsi="Corbel"/>
        </w:rPr>
        <w:t>group</w:t>
      </w:r>
      <w:r w:rsidRPr="001D6F3C">
        <w:rPr>
          <w:rFonts w:ascii="Corbel" w:hAnsi="Corbel"/>
        </w:rPr>
        <w:t xml:space="preserve"> of older people who d</w:t>
      </w:r>
      <w:r w:rsidR="00E209E6" w:rsidRPr="001D6F3C">
        <w:rPr>
          <w:rFonts w:ascii="Corbel" w:hAnsi="Corbel"/>
        </w:rPr>
        <w:t>o</w:t>
      </w:r>
      <w:r w:rsidRPr="001D6F3C">
        <w:rPr>
          <w:rFonts w:ascii="Corbel" w:hAnsi="Corbel"/>
        </w:rPr>
        <w:t xml:space="preserve"> not own their home or </w:t>
      </w:r>
      <w:r w:rsidR="00E209E6" w:rsidRPr="001D6F3C">
        <w:rPr>
          <w:rFonts w:ascii="Corbel" w:hAnsi="Corbel"/>
        </w:rPr>
        <w:t>are</w:t>
      </w:r>
      <w:r w:rsidRPr="001D6F3C">
        <w:rPr>
          <w:rFonts w:ascii="Corbel" w:hAnsi="Corbel"/>
        </w:rPr>
        <w:t xml:space="preserve"> paying a </w:t>
      </w:r>
      <w:proofErr w:type="gramStart"/>
      <w:r w:rsidRPr="001D6F3C">
        <w:rPr>
          <w:rFonts w:ascii="Corbel" w:hAnsi="Corbel"/>
        </w:rPr>
        <w:t xml:space="preserve">mortgage </w:t>
      </w:r>
      <w:r w:rsidR="0029210A" w:rsidRPr="001D6F3C">
        <w:rPr>
          <w:rFonts w:ascii="Corbel" w:hAnsi="Corbel"/>
        </w:rPr>
        <w:t xml:space="preserve"> makes</w:t>
      </w:r>
      <w:proofErr w:type="gramEnd"/>
      <w:r w:rsidR="0029210A" w:rsidRPr="001D6F3C">
        <w:rPr>
          <w:rFonts w:ascii="Corbel" w:hAnsi="Corbel"/>
        </w:rPr>
        <w:t xml:space="preserve"> up </w:t>
      </w:r>
      <w:r w:rsidR="00935B3B" w:rsidRPr="001D6F3C">
        <w:rPr>
          <w:rFonts w:ascii="Corbel" w:hAnsi="Corbel"/>
        </w:rPr>
        <w:t xml:space="preserve">a </w:t>
      </w:r>
      <w:r w:rsidR="00CB1046" w:rsidRPr="001D6F3C">
        <w:rPr>
          <w:rFonts w:ascii="Corbel" w:hAnsi="Corbel"/>
        </w:rPr>
        <w:t xml:space="preserve">sizeable proportion </w:t>
      </w:r>
      <w:r w:rsidR="00F86AF3" w:rsidRPr="001D6F3C">
        <w:rPr>
          <w:rFonts w:ascii="Corbel" w:hAnsi="Corbel"/>
        </w:rPr>
        <w:t>(2</w:t>
      </w:r>
      <w:r w:rsidR="00804251" w:rsidRPr="001D6F3C">
        <w:rPr>
          <w:rFonts w:ascii="Corbel" w:hAnsi="Corbel"/>
        </w:rPr>
        <w:t>3%)</w:t>
      </w:r>
      <w:r w:rsidR="00CB1046" w:rsidRPr="001D6F3C">
        <w:rPr>
          <w:rFonts w:ascii="Corbel" w:hAnsi="Corbel"/>
        </w:rPr>
        <w:t xml:space="preserve"> of the </w:t>
      </w:r>
      <w:r w:rsidR="00E479F3" w:rsidRPr="001D6F3C">
        <w:rPr>
          <w:rFonts w:ascii="Corbel" w:hAnsi="Corbel"/>
        </w:rPr>
        <w:t>approximately 40% of the older population</w:t>
      </w:r>
      <w:r w:rsidR="005934A2" w:rsidRPr="001D6F3C">
        <w:rPr>
          <w:rFonts w:ascii="Corbel" w:hAnsi="Corbel"/>
        </w:rPr>
        <w:t xml:space="preserve"> </w:t>
      </w:r>
      <w:r w:rsidR="007C6180" w:rsidRPr="001D6F3C">
        <w:rPr>
          <w:rFonts w:ascii="Corbel" w:hAnsi="Corbel"/>
        </w:rPr>
        <w:t xml:space="preserve">who </w:t>
      </w:r>
      <w:r w:rsidR="004D1839" w:rsidRPr="001D6F3C">
        <w:rPr>
          <w:rFonts w:ascii="Corbel" w:hAnsi="Corbel"/>
        </w:rPr>
        <w:t>entirely or mostly rel</w:t>
      </w:r>
      <w:r w:rsidR="00E209E6" w:rsidRPr="001D6F3C">
        <w:rPr>
          <w:rFonts w:ascii="Corbel" w:hAnsi="Corbel"/>
        </w:rPr>
        <w:t>y</w:t>
      </w:r>
      <w:r w:rsidR="004D1839" w:rsidRPr="001D6F3C">
        <w:rPr>
          <w:rFonts w:ascii="Corbel" w:hAnsi="Corbel"/>
        </w:rPr>
        <w:t xml:space="preserve"> on NZS </w:t>
      </w:r>
      <w:r w:rsidR="00E479F3" w:rsidRPr="001D6F3C">
        <w:rPr>
          <w:rFonts w:ascii="Corbel" w:hAnsi="Corbel"/>
        </w:rPr>
        <w:t xml:space="preserve">as their source of income. </w:t>
      </w:r>
      <w:r w:rsidR="006A112C" w:rsidRPr="001D6F3C">
        <w:rPr>
          <w:rFonts w:ascii="Corbel" w:hAnsi="Corbel"/>
        </w:rPr>
        <w:t xml:space="preserve">This suggests that around </w:t>
      </w:r>
      <w:r w:rsidR="00ED7FFB" w:rsidRPr="001D6F3C">
        <w:rPr>
          <w:rFonts w:ascii="Corbel" w:hAnsi="Corbel"/>
        </w:rPr>
        <w:t>one</w:t>
      </w:r>
      <w:r w:rsidR="006A112C" w:rsidRPr="001D6F3C">
        <w:rPr>
          <w:rFonts w:ascii="Corbel" w:hAnsi="Corbel"/>
        </w:rPr>
        <w:t xml:space="preserve"> in </w:t>
      </w:r>
      <w:r w:rsidR="00045749" w:rsidRPr="001D6F3C">
        <w:rPr>
          <w:rFonts w:ascii="Corbel" w:hAnsi="Corbel"/>
        </w:rPr>
        <w:t>ten</w:t>
      </w:r>
      <w:r w:rsidR="006A112C" w:rsidRPr="001D6F3C">
        <w:rPr>
          <w:rFonts w:ascii="Corbel" w:hAnsi="Corbel"/>
        </w:rPr>
        <w:t xml:space="preserve"> older people </w:t>
      </w:r>
      <w:r w:rsidR="006A0E03" w:rsidRPr="001D6F3C">
        <w:rPr>
          <w:rFonts w:ascii="Corbel" w:hAnsi="Corbel"/>
        </w:rPr>
        <w:t xml:space="preserve">are </w:t>
      </w:r>
      <w:r w:rsidR="008231D4" w:rsidRPr="001D6F3C">
        <w:rPr>
          <w:rFonts w:ascii="Corbel" w:hAnsi="Corbel"/>
        </w:rPr>
        <w:t>both</w:t>
      </w:r>
      <w:r w:rsidR="006A0E03" w:rsidRPr="001D6F3C">
        <w:rPr>
          <w:rFonts w:ascii="Corbel" w:hAnsi="Corbel"/>
        </w:rPr>
        <w:t xml:space="preserve"> </w:t>
      </w:r>
      <w:r w:rsidR="006D1E2D" w:rsidRPr="001D6F3C">
        <w:rPr>
          <w:rFonts w:ascii="Corbel" w:hAnsi="Corbel"/>
        </w:rPr>
        <w:t xml:space="preserve">primarily reliant on NZS </w:t>
      </w:r>
      <w:r w:rsidR="0090171B" w:rsidRPr="001D6F3C">
        <w:rPr>
          <w:rFonts w:ascii="Corbel" w:hAnsi="Corbel"/>
        </w:rPr>
        <w:t xml:space="preserve">for income </w:t>
      </w:r>
      <w:r w:rsidR="006D1E2D" w:rsidRPr="001D6F3C">
        <w:rPr>
          <w:rFonts w:ascii="Corbel" w:hAnsi="Corbel"/>
        </w:rPr>
        <w:t xml:space="preserve">and have </w:t>
      </w:r>
      <w:r w:rsidR="00CF0662" w:rsidRPr="001D6F3C">
        <w:rPr>
          <w:rFonts w:ascii="Corbel" w:hAnsi="Corbel"/>
        </w:rPr>
        <w:t xml:space="preserve">higher </w:t>
      </w:r>
      <w:r w:rsidR="006D1E2D" w:rsidRPr="001D6F3C">
        <w:rPr>
          <w:rFonts w:ascii="Corbel" w:hAnsi="Corbel"/>
        </w:rPr>
        <w:t>ongoing housing costs</w:t>
      </w:r>
      <w:r w:rsidR="003E1B96" w:rsidRPr="001D6F3C">
        <w:rPr>
          <w:rFonts w:ascii="Corbel" w:hAnsi="Corbel"/>
        </w:rPr>
        <w:t xml:space="preserve"> in the form of rent or </w:t>
      </w:r>
      <w:r w:rsidR="00E209E6" w:rsidRPr="001D6F3C">
        <w:rPr>
          <w:rFonts w:ascii="Corbel" w:hAnsi="Corbel"/>
        </w:rPr>
        <w:t>a</w:t>
      </w:r>
      <w:r w:rsidR="003E1B96" w:rsidRPr="001D6F3C">
        <w:rPr>
          <w:rFonts w:ascii="Corbel" w:hAnsi="Corbel"/>
        </w:rPr>
        <w:t xml:space="preserve"> mortgage</w:t>
      </w:r>
      <w:r w:rsidR="0085526D" w:rsidRPr="001D6F3C">
        <w:rPr>
          <w:rFonts w:ascii="Corbel" w:hAnsi="Corbel"/>
        </w:rPr>
        <w:t>.</w:t>
      </w:r>
      <w:r w:rsidR="0085526D" w:rsidRPr="001D6F3C">
        <w:rPr>
          <w:rStyle w:val="FootnoteReference"/>
          <w:rFonts w:ascii="Corbel" w:hAnsi="Corbel"/>
        </w:rPr>
        <w:footnoteReference w:id="10"/>
      </w:r>
      <w:r w:rsidR="006A0E03" w:rsidRPr="001D6F3C">
        <w:rPr>
          <w:rFonts w:ascii="Corbel" w:hAnsi="Corbel"/>
        </w:rPr>
        <w:t xml:space="preserve"> </w:t>
      </w:r>
    </w:p>
    <w:p w14:paraId="41C8C762" w14:textId="7ECA0508" w:rsidR="00EF575B" w:rsidRPr="001D6F3C" w:rsidRDefault="00EF575B" w:rsidP="00A60862">
      <w:pPr>
        <w:jc w:val="both"/>
        <w:rPr>
          <w:rFonts w:ascii="Corbel" w:hAnsi="Corbel"/>
        </w:rPr>
      </w:pPr>
      <w:r w:rsidRPr="001D6F3C">
        <w:rPr>
          <w:rFonts w:ascii="Corbel" w:hAnsi="Corbel"/>
        </w:rPr>
        <w:t>The graph below show</w:t>
      </w:r>
      <w:r w:rsidR="00FC31C5" w:rsidRPr="001D6F3C">
        <w:rPr>
          <w:rFonts w:ascii="Corbel" w:hAnsi="Corbel"/>
        </w:rPr>
        <w:t>s</w:t>
      </w:r>
      <w:r w:rsidRPr="001D6F3C">
        <w:rPr>
          <w:rFonts w:ascii="Corbel" w:hAnsi="Corbel"/>
        </w:rPr>
        <w:t xml:space="preserve"> lower quartile rents as a proportion of NZ</w:t>
      </w:r>
      <w:r w:rsidR="004B16F2" w:rsidRPr="001D6F3C">
        <w:rPr>
          <w:rFonts w:ascii="Corbel" w:hAnsi="Corbel"/>
        </w:rPr>
        <w:t>S</w:t>
      </w:r>
      <w:r w:rsidRPr="001D6F3C">
        <w:rPr>
          <w:rFonts w:ascii="Corbel" w:hAnsi="Corbel"/>
        </w:rPr>
        <w:t xml:space="preserve"> since the early 1990s. Renting has become steadily less affordable for those relying on </w:t>
      </w:r>
      <w:r w:rsidR="004B16F2" w:rsidRPr="001D6F3C">
        <w:rPr>
          <w:rFonts w:ascii="Corbel" w:hAnsi="Corbel"/>
        </w:rPr>
        <w:t>NZS</w:t>
      </w:r>
      <w:r w:rsidR="005D5489" w:rsidRPr="001D6F3C">
        <w:rPr>
          <w:rFonts w:ascii="Corbel" w:hAnsi="Corbel"/>
        </w:rPr>
        <w:t xml:space="preserve"> as their sole or main source of income</w:t>
      </w:r>
      <w:r w:rsidRPr="001D6F3C">
        <w:rPr>
          <w:rFonts w:ascii="Corbel" w:hAnsi="Corbel"/>
        </w:rPr>
        <w:t>. This is in line with the overall trend in rental growth during this period, which has run slightly ahead of wage growth (to which NZ</w:t>
      </w:r>
      <w:r w:rsidR="004B16F2" w:rsidRPr="001D6F3C">
        <w:rPr>
          <w:rFonts w:ascii="Corbel" w:hAnsi="Corbel"/>
        </w:rPr>
        <w:t xml:space="preserve">S </w:t>
      </w:r>
      <w:r w:rsidRPr="001D6F3C">
        <w:rPr>
          <w:rFonts w:ascii="Corbel" w:hAnsi="Corbel"/>
        </w:rPr>
        <w:t xml:space="preserve">is for the most part indexed). </w:t>
      </w:r>
    </w:p>
    <w:p w14:paraId="3E17B2E5" w14:textId="5DC5D64F" w:rsidR="008370CE" w:rsidRPr="001D6F3C" w:rsidRDefault="008370CE" w:rsidP="00A60862">
      <w:pPr>
        <w:pStyle w:val="Caption"/>
        <w:keepNext/>
        <w:jc w:val="both"/>
        <w:rPr>
          <w:rFonts w:ascii="Corbel" w:hAnsi="Corbel"/>
        </w:rPr>
      </w:pPr>
      <w:bookmarkStart w:id="78" w:name="_Toc203142298"/>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38</w:t>
      </w:r>
      <w:r w:rsidR="00585542" w:rsidRPr="001D6F3C">
        <w:rPr>
          <w:rFonts w:ascii="Corbel" w:hAnsi="Corbel"/>
        </w:rPr>
        <w:fldChar w:fldCharType="end"/>
      </w:r>
      <w:r w:rsidRPr="001D6F3C">
        <w:rPr>
          <w:rFonts w:ascii="Corbel" w:hAnsi="Corbel"/>
        </w:rPr>
        <w:t xml:space="preserve"> - Lower quartile rent as % of NZS</w:t>
      </w:r>
      <w:bookmarkEnd w:id="78"/>
    </w:p>
    <w:p w14:paraId="4EF9B838" w14:textId="4DFD47CA" w:rsidR="00EF575B" w:rsidRPr="001D6F3C" w:rsidRDefault="00EF575B" w:rsidP="00685399">
      <w:pPr>
        <w:jc w:val="center"/>
        <w:rPr>
          <w:rFonts w:ascii="Corbel" w:hAnsi="Corbel"/>
        </w:rPr>
      </w:pPr>
      <w:r w:rsidRPr="001D6F3C">
        <w:rPr>
          <w:rFonts w:ascii="Corbel" w:hAnsi="Corbel"/>
          <w:noProof/>
        </w:rPr>
        <w:drawing>
          <wp:inline distT="0" distB="0" distL="0" distR="0" wp14:anchorId="08B7DD30" wp14:editId="4A85DDDB">
            <wp:extent cx="3984231" cy="2101933"/>
            <wp:effectExtent l="0" t="0" r="0" b="0"/>
            <wp:docPr id="23" name="Picture 22">
              <a:extLst xmlns:a="http://schemas.openxmlformats.org/drawingml/2006/main">
                <a:ext uri="{FF2B5EF4-FFF2-40B4-BE49-F238E27FC236}">
                  <a16:creationId xmlns:a16="http://schemas.microsoft.com/office/drawing/2014/main" id="{C28732BA-6D66-E4F4-D0B4-BBB644424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28732BA-6D66-E4F4-D0B4-BBB644424D60}"/>
                        </a:ext>
                      </a:extLst>
                    </pic:cNvPr>
                    <pic:cNvPicPr>
                      <a:picLocks noChangeAspect="1"/>
                    </pic:cNvPicPr>
                  </pic:nvPicPr>
                  <pic:blipFill rotWithShape="1">
                    <a:blip r:embed="rId72"/>
                    <a:srcRect t="7861"/>
                    <a:stretch/>
                  </pic:blipFill>
                  <pic:spPr bwMode="auto">
                    <a:xfrm>
                      <a:off x="0" y="0"/>
                      <a:ext cx="3995968" cy="2108125"/>
                    </a:xfrm>
                    <a:prstGeom prst="rect">
                      <a:avLst/>
                    </a:prstGeom>
                    <a:ln>
                      <a:noFill/>
                    </a:ln>
                    <a:extLst>
                      <a:ext uri="{53640926-AAD7-44D8-BBD7-CCE9431645EC}">
                        <a14:shadowObscured xmlns:a14="http://schemas.microsoft.com/office/drawing/2010/main"/>
                      </a:ext>
                    </a:extLst>
                  </pic:spPr>
                </pic:pic>
              </a:graphicData>
            </a:graphic>
          </wp:inline>
        </w:drawing>
      </w:r>
    </w:p>
    <w:p w14:paraId="63E8FD15" w14:textId="33BBA59A" w:rsidR="00EF575B" w:rsidRPr="001D6F3C" w:rsidRDefault="00EF575B" w:rsidP="00A60862">
      <w:pPr>
        <w:jc w:val="both"/>
        <w:rPr>
          <w:rFonts w:ascii="Corbel" w:hAnsi="Corbel"/>
        </w:rPr>
      </w:pPr>
      <w:r w:rsidRPr="001D6F3C">
        <w:rPr>
          <w:rFonts w:ascii="Corbel" w:hAnsi="Corbel"/>
        </w:rPr>
        <w:t xml:space="preserve">Rental tenure can present other challenges for older tenants. Research has shown that rental housing </w:t>
      </w:r>
      <w:r w:rsidR="00B735EC" w:rsidRPr="001D6F3C">
        <w:rPr>
          <w:rFonts w:ascii="Corbel" w:hAnsi="Corbel"/>
        </w:rPr>
        <w:t xml:space="preserve">in Zealand </w:t>
      </w:r>
      <w:r w:rsidRPr="001D6F3C">
        <w:rPr>
          <w:rFonts w:ascii="Corbel" w:hAnsi="Corbel"/>
        </w:rPr>
        <w:t xml:space="preserve">is less healthy than owner-occupier, and survey results indicate that </w:t>
      </w:r>
      <w:r w:rsidR="002C0BD6" w:rsidRPr="001D6F3C">
        <w:rPr>
          <w:rFonts w:ascii="Corbel" w:hAnsi="Corbel"/>
        </w:rPr>
        <w:t>most</w:t>
      </w:r>
      <w:r w:rsidRPr="001D6F3C">
        <w:rPr>
          <w:rFonts w:ascii="Corbel" w:hAnsi="Corbel"/>
        </w:rPr>
        <w:t xml:space="preserve"> landlords have little appreciation of older tenants’ needs. Rental tenure is also less secure than </w:t>
      </w:r>
      <w:proofErr w:type="gramStart"/>
      <w:r w:rsidRPr="001D6F3C">
        <w:rPr>
          <w:rFonts w:ascii="Corbel" w:hAnsi="Corbel"/>
        </w:rPr>
        <w:t>home-ownership</w:t>
      </w:r>
      <w:proofErr w:type="gramEnd"/>
      <w:r w:rsidR="0DAED2FC" w:rsidRPr="001D6F3C">
        <w:rPr>
          <w:rFonts w:ascii="Corbel" w:hAnsi="Corbel"/>
        </w:rPr>
        <w:t xml:space="preserve"> </w:t>
      </w:r>
      <w:r w:rsidR="003A4744" w:rsidRPr="001D6F3C">
        <w:rPr>
          <w:rFonts w:ascii="Corbel" w:hAnsi="Corbel"/>
        </w:rPr>
        <w:t xml:space="preserve">as older renters have usually live </w:t>
      </w:r>
      <w:r w:rsidRPr="001D6F3C">
        <w:rPr>
          <w:rFonts w:ascii="Corbel" w:hAnsi="Corbel"/>
        </w:rPr>
        <w:t>in their dwelling for significantly shorter period</w:t>
      </w:r>
      <w:r w:rsidR="003A4744" w:rsidRPr="001D6F3C">
        <w:rPr>
          <w:rFonts w:ascii="Corbel" w:hAnsi="Corbel"/>
        </w:rPr>
        <w:t>s</w:t>
      </w:r>
      <w:r w:rsidRPr="001D6F3C">
        <w:rPr>
          <w:rFonts w:ascii="Corbel" w:hAnsi="Corbel"/>
        </w:rPr>
        <w:t xml:space="preserve">. This can present challenges for establishing and maintaining connections to community, family and friends, which can become especially important in later life. </w:t>
      </w:r>
    </w:p>
    <w:p w14:paraId="16E1DBE8" w14:textId="3ABAD2D7" w:rsidR="00EF575B" w:rsidRPr="001D6F3C" w:rsidRDefault="00EF575B" w:rsidP="00A60862">
      <w:pPr>
        <w:jc w:val="both"/>
        <w:rPr>
          <w:rFonts w:ascii="Corbel" w:hAnsi="Corbel"/>
        </w:rPr>
      </w:pPr>
      <w:r w:rsidRPr="001D6F3C">
        <w:rPr>
          <w:rFonts w:ascii="Corbel" w:hAnsi="Corbel"/>
        </w:rPr>
        <w:t xml:space="preserve">Historically, the small proportion renting in later life were partly insulated from the private rental market by social housing – notably </w:t>
      </w:r>
      <w:r w:rsidR="002A03A8" w:rsidRPr="001D6F3C">
        <w:rPr>
          <w:rFonts w:ascii="Corbel" w:hAnsi="Corbel"/>
        </w:rPr>
        <w:t>‘</w:t>
      </w:r>
      <w:r w:rsidRPr="001D6F3C">
        <w:rPr>
          <w:rFonts w:ascii="Corbel" w:hAnsi="Corbel"/>
        </w:rPr>
        <w:t>pensioner housing</w:t>
      </w:r>
      <w:r w:rsidR="002A03A8" w:rsidRPr="001D6F3C">
        <w:rPr>
          <w:rFonts w:ascii="Corbel" w:hAnsi="Corbel"/>
        </w:rPr>
        <w:t>’</w:t>
      </w:r>
      <w:r w:rsidRPr="001D6F3C">
        <w:rPr>
          <w:rFonts w:ascii="Corbel" w:hAnsi="Corbel"/>
        </w:rPr>
        <w:t xml:space="preserve"> provided by local councils. However, this form of social housing </w:t>
      </w:r>
      <w:r w:rsidR="008016B4" w:rsidRPr="001D6F3C">
        <w:rPr>
          <w:rFonts w:ascii="Corbel" w:hAnsi="Corbel"/>
        </w:rPr>
        <w:t>appears to be</w:t>
      </w:r>
      <w:r w:rsidRPr="001D6F3C">
        <w:rPr>
          <w:rFonts w:ascii="Corbel" w:hAnsi="Corbel"/>
        </w:rPr>
        <w:t xml:space="preserve"> in long term decline</w:t>
      </w:r>
      <w:r w:rsidR="007C472E" w:rsidRPr="001D6F3C">
        <w:rPr>
          <w:rFonts w:ascii="Corbel" w:hAnsi="Corbel"/>
        </w:rPr>
        <w:t xml:space="preserve">, particularly </w:t>
      </w:r>
      <w:r w:rsidR="002621AC" w:rsidRPr="001D6F3C">
        <w:rPr>
          <w:rFonts w:ascii="Corbel" w:hAnsi="Corbel"/>
        </w:rPr>
        <w:t>relative to the size of the older</w:t>
      </w:r>
      <w:r w:rsidR="00AA261C" w:rsidRPr="001D6F3C">
        <w:rPr>
          <w:rFonts w:ascii="Corbel" w:hAnsi="Corbel"/>
        </w:rPr>
        <w:t xml:space="preserve"> population</w:t>
      </w:r>
      <w:r w:rsidR="002621AC" w:rsidRPr="001D6F3C">
        <w:rPr>
          <w:rFonts w:ascii="Corbel" w:hAnsi="Corbel"/>
        </w:rPr>
        <w:t>. T</w:t>
      </w:r>
      <w:r w:rsidRPr="001D6F3C">
        <w:rPr>
          <w:rFonts w:ascii="Corbel" w:hAnsi="Corbel"/>
        </w:rPr>
        <w:t xml:space="preserve">he number of council housing units declined from approximately 13,400 in 2016 to approximately 6,400 in 2023. </w:t>
      </w:r>
      <w:r w:rsidR="00C96251" w:rsidRPr="001D6F3C">
        <w:rPr>
          <w:rFonts w:ascii="Corbel" w:hAnsi="Corbel"/>
        </w:rPr>
        <w:t>Of</w:t>
      </w:r>
      <w:r w:rsidR="001C72F4" w:rsidRPr="001D6F3C">
        <w:rPr>
          <w:rFonts w:ascii="Corbel" w:hAnsi="Corbel"/>
        </w:rPr>
        <w:t xml:space="preserve"> the</w:t>
      </w:r>
      <w:r w:rsidR="00475250" w:rsidRPr="001D6F3C">
        <w:rPr>
          <w:rFonts w:ascii="Corbel" w:hAnsi="Corbel"/>
        </w:rPr>
        <w:t xml:space="preserve"> 7</w:t>
      </w:r>
      <w:r w:rsidR="008C1181" w:rsidRPr="001D6F3C">
        <w:rPr>
          <w:rFonts w:ascii="Corbel" w:hAnsi="Corbel"/>
        </w:rPr>
        <w:t>,</w:t>
      </w:r>
      <w:r w:rsidR="00475250" w:rsidRPr="001D6F3C">
        <w:rPr>
          <w:rFonts w:ascii="Corbel" w:hAnsi="Corbel"/>
        </w:rPr>
        <w:t>000</w:t>
      </w:r>
      <w:r w:rsidR="008D1ED2" w:rsidRPr="001D6F3C">
        <w:rPr>
          <w:rFonts w:ascii="Corbel" w:hAnsi="Corbel"/>
        </w:rPr>
        <w:t xml:space="preserve"> no longer under direct council </w:t>
      </w:r>
      <w:r w:rsidR="005D5924" w:rsidRPr="001D6F3C">
        <w:rPr>
          <w:rFonts w:ascii="Corbel" w:hAnsi="Corbel"/>
        </w:rPr>
        <w:t>management</w:t>
      </w:r>
      <w:r w:rsidR="00C96251" w:rsidRPr="001D6F3C">
        <w:rPr>
          <w:rFonts w:ascii="Corbel" w:hAnsi="Corbel"/>
        </w:rPr>
        <w:t xml:space="preserve">, the vast majority </w:t>
      </w:r>
      <w:r w:rsidR="008132A3" w:rsidRPr="001D6F3C">
        <w:rPr>
          <w:rFonts w:ascii="Corbel" w:hAnsi="Corbel"/>
        </w:rPr>
        <w:t xml:space="preserve">were transferred </w:t>
      </w:r>
      <w:r w:rsidR="00B71017" w:rsidRPr="001D6F3C">
        <w:rPr>
          <w:rFonts w:ascii="Corbel" w:hAnsi="Corbel"/>
        </w:rPr>
        <w:t>to CHPs</w:t>
      </w:r>
      <w:r w:rsidR="008016B4" w:rsidRPr="001D6F3C">
        <w:rPr>
          <w:rFonts w:ascii="Corbel" w:hAnsi="Corbel"/>
        </w:rPr>
        <w:t xml:space="preserve">, and the extent to which these </w:t>
      </w:r>
      <w:r w:rsidR="00B077AB" w:rsidRPr="001D6F3C">
        <w:rPr>
          <w:rFonts w:ascii="Corbel" w:hAnsi="Corbel"/>
        </w:rPr>
        <w:t xml:space="preserve">will continue to </w:t>
      </w:r>
      <w:r w:rsidR="00237AA5" w:rsidRPr="001D6F3C">
        <w:rPr>
          <w:rFonts w:ascii="Corbel" w:hAnsi="Corbel"/>
        </w:rPr>
        <w:t xml:space="preserve">be earmarked for older people is unclear. </w:t>
      </w:r>
      <w:r w:rsidR="004D5AC2" w:rsidRPr="001D6F3C">
        <w:rPr>
          <w:rFonts w:ascii="Corbel" w:hAnsi="Corbel"/>
        </w:rPr>
        <w:t xml:space="preserve"> </w:t>
      </w:r>
    </w:p>
    <w:p w14:paraId="71BE1417" w14:textId="5FE2FDBF" w:rsidR="00EF575B" w:rsidRPr="001D6F3C" w:rsidRDefault="00EF575B" w:rsidP="00A60862">
      <w:pPr>
        <w:jc w:val="both"/>
        <w:rPr>
          <w:rFonts w:ascii="Corbel" w:hAnsi="Corbel"/>
        </w:rPr>
      </w:pPr>
      <w:r w:rsidRPr="001D6F3C">
        <w:rPr>
          <w:rFonts w:ascii="Corbel" w:hAnsi="Corbel"/>
        </w:rPr>
        <w:t xml:space="preserve">Older people are less likely than other age groups to experience severe housing deprivation, but there is some indication of increasing rates. </w:t>
      </w:r>
    </w:p>
    <w:p w14:paraId="2415BB21" w14:textId="4AC5B493" w:rsidR="00EF575B" w:rsidRPr="001D6F3C" w:rsidRDefault="002C0BD6" w:rsidP="00A60862">
      <w:pPr>
        <w:jc w:val="both"/>
        <w:rPr>
          <w:rFonts w:ascii="Corbel" w:hAnsi="Corbel"/>
        </w:rPr>
      </w:pPr>
      <w:r w:rsidRPr="001D6F3C">
        <w:rPr>
          <w:rFonts w:ascii="Corbel" w:hAnsi="Corbel"/>
        </w:rPr>
        <w:t>Most</w:t>
      </w:r>
      <w:r w:rsidR="00EF575B" w:rsidRPr="001D6F3C">
        <w:rPr>
          <w:rFonts w:ascii="Corbel" w:hAnsi="Corbel"/>
        </w:rPr>
        <w:t xml:space="preserve"> older people who own their own home are less likely to face housing affordability issues. The</w:t>
      </w:r>
      <w:r w:rsidR="00115618" w:rsidRPr="001D6F3C">
        <w:rPr>
          <w:rFonts w:ascii="Corbel" w:hAnsi="Corbel"/>
        </w:rPr>
        <w:t xml:space="preserve"> ongoing</w:t>
      </w:r>
      <w:r w:rsidR="00EF575B" w:rsidRPr="001D6F3C">
        <w:rPr>
          <w:rFonts w:ascii="Corbel" w:hAnsi="Corbel"/>
        </w:rPr>
        <w:t xml:space="preserve"> costs of home ownership are generally lower than renting. A mortgage-free home is also a significant store of equity for many older New Zealanders, which can be accessed through </w:t>
      </w:r>
      <w:r w:rsidR="00EF575B" w:rsidRPr="001D6F3C">
        <w:rPr>
          <w:rFonts w:ascii="Corbel" w:hAnsi="Corbel"/>
        </w:rPr>
        <w:lastRenderedPageBreak/>
        <w:t>instruments such as reverse mortgages, although these remain uncommon. Nonetheless, the costs of home ownership have been increasing disproportionately as shown in the graph below. This will have placed pressure on the household budgets of some older homeowners</w:t>
      </w:r>
      <w:r w:rsidR="00070B3A" w:rsidRPr="001D6F3C">
        <w:rPr>
          <w:rFonts w:ascii="Corbel" w:hAnsi="Corbel"/>
        </w:rPr>
        <w:t>.</w:t>
      </w:r>
      <w:r w:rsidR="00EF575B" w:rsidRPr="001D6F3C">
        <w:rPr>
          <w:rFonts w:ascii="Corbel" w:hAnsi="Corbe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18"/>
        <w:gridCol w:w="90"/>
      </w:tblGrid>
      <w:tr w:rsidR="008370CE" w:rsidRPr="001D6F3C" w14:paraId="684D27D9" w14:textId="77777777" w:rsidTr="0067684E">
        <w:tc>
          <w:tcPr>
            <w:tcW w:w="4508" w:type="dxa"/>
          </w:tcPr>
          <w:p w14:paraId="19EAEE58" w14:textId="1CBA1597" w:rsidR="008370CE" w:rsidRPr="001D6F3C" w:rsidRDefault="008370CE" w:rsidP="00A60862">
            <w:pPr>
              <w:pStyle w:val="Caption"/>
              <w:keepNext/>
              <w:jc w:val="both"/>
              <w:rPr>
                <w:rFonts w:ascii="Corbel" w:hAnsi="Corbel"/>
                <w:noProof/>
              </w:rPr>
            </w:pPr>
            <w:bookmarkStart w:id="79" w:name="_Toc203142299"/>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39</w:t>
            </w:r>
            <w:r w:rsidR="00585542" w:rsidRPr="001D6F3C">
              <w:rPr>
                <w:rFonts w:ascii="Corbel" w:hAnsi="Corbel"/>
              </w:rPr>
              <w:fldChar w:fldCharType="end"/>
            </w:r>
            <w:r w:rsidRPr="001D6F3C">
              <w:rPr>
                <w:rFonts w:ascii="Corbel" w:hAnsi="Corbel"/>
              </w:rPr>
              <w:t xml:space="preserve"> - cumulative price increases for home ownership costs</w:t>
            </w:r>
            <w:r w:rsidRPr="001D6F3C">
              <w:rPr>
                <w:rFonts w:ascii="Corbel" w:hAnsi="Corbel"/>
                <w:noProof/>
              </w:rPr>
              <w:t>, adjusted for CPI 1981-2024</w:t>
            </w:r>
            <w:bookmarkEnd w:id="79"/>
          </w:p>
          <w:p w14:paraId="7A617763" w14:textId="613BD552" w:rsidR="008370CE" w:rsidRPr="001D6F3C" w:rsidRDefault="008370CE" w:rsidP="00A60862">
            <w:pPr>
              <w:jc w:val="both"/>
              <w:rPr>
                <w:rFonts w:ascii="Corbel" w:hAnsi="Corbel"/>
              </w:rPr>
            </w:pPr>
            <w:r w:rsidRPr="001D6F3C">
              <w:rPr>
                <w:rFonts w:ascii="Corbel" w:hAnsi="Corbel"/>
                <w:noProof/>
              </w:rPr>
              <w:drawing>
                <wp:inline distT="0" distB="0" distL="0" distR="0" wp14:anchorId="4F7389DF" wp14:editId="2BBC22F1">
                  <wp:extent cx="2296633" cy="1368605"/>
                  <wp:effectExtent l="0" t="0" r="8890" b="3175"/>
                  <wp:docPr id="170136966" name="Picture 19">
                    <a:extLst xmlns:a="http://schemas.openxmlformats.org/drawingml/2006/main">
                      <a:ext uri="{FF2B5EF4-FFF2-40B4-BE49-F238E27FC236}">
                        <a16:creationId xmlns:a16="http://schemas.microsoft.com/office/drawing/2014/main" id="{1B4AE2B3-1845-449C-2489-793791CFB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B4AE2B3-1845-449C-2489-793791CFB45B}"/>
                              </a:ext>
                            </a:extLst>
                          </pic:cNvPr>
                          <pic:cNvPicPr>
                            <a:picLocks noChangeAspect="1"/>
                          </pic:cNvPicPr>
                        </pic:nvPicPr>
                        <pic:blipFill rotWithShape="1">
                          <a:blip r:embed="rId73"/>
                          <a:srcRect t="14488"/>
                          <a:stretch/>
                        </pic:blipFill>
                        <pic:spPr bwMode="auto">
                          <a:xfrm>
                            <a:off x="0" y="0"/>
                            <a:ext cx="2335594" cy="139182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Pr>
          <w:p w14:paraId="2444E35B" w14:textId="256BB9A3" w:rsidR="008370CE" w:rsidRPr="001D6F3C" w:rsidRDefault="008370CE" w:rsidP="00A60862">
            <w:pPr>
              <w:pStyle w:val="Caption"/>
              <w:keepNext/>
              <w:jc w:val="both"/>
              <w:rPr>
                <w:rFonts w:ascii="Corbel" w:hAnsi="Corbel"/>
              </w:rPr>
            </w:pPr>
            <w:bookmarkStart w:id="80" w:name="_Toc203142300"/>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40</w:t>
            </w:r>
            <w:r w:rsidR="00585542" w:rsidRPr="001D6F3C">
              <w:rPr>
                <w:rFonts w:ascii="Corbel" w:hAnsi="Corbel"/>
              </w:rPr>
              <w:fldChar w:fldCharType="end"/>
            </w:r>
            <w:r w:rsidRPr="001D6F3C">
              <w:rPr>
                <w:rFonts w:ascii="Corbel" w:hAnsi="Corbel"/>
              </w:rPr>
              <w:t xml:space="preserve"> - Annual change in home ownership costs (CPI) 2010-2024</w:t>
            </w:r>
            <w:bookmarkEnd w:id="80"/>
          </w:p>
          <w:p w14:paraId="082E039C" w14:textId="4DE377D6" w:rsidR="008370CE" w:rsidRPr="001D6F3C" w:rsidRDefault="008370CE" w:rsidP="00A60862">
            <w:pPr>
              <w:jc w:val="both"/>
              <w:rPr>
                <w:rFonts w:ascii="Corbel" w:hAnsi="Corbel"/>
              </w:rPr>
            </w:pPr>
            <w:r w:rsidRPr="001D6F3C">
              <w:rPr>
                <w:rFonts w:ascii="Corbel" w:hAnsi="Corbel"/>
                <w:noProof/>
              </w:rPr>
              <w:drawing>
                <wp:inline distT="0" distB="0" distL="0" distR="0" wp14:anchorId="2A793AD9" wp14:editId="0A51EBFC">
                  <wp:extent cx="2371061" cy="1347109"/>
                  <wp:effectExtent l="0" t="0" r="0" b="5715"/>
                  <wp:docPr id="857910519" name="Picture 17">
                    <a:extLst xmlns:a="http://schemas.openxmlformats.org/drawingml/2006/main">
                      <a:ext uri="{FF2B5EF4-FFF2-40B4-BE49-F238E27FC236}">
                        <a16:creationId xmlns:a16="http://schemas.microsoft.com/office/drawing/2014/main" id="{96CFB160-BD74-A053-CBF6-6656C1292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CFB160-BD74-A053-CBF6-6656C12929CD}"/>
                              </a:ext>
                            </a:extLst>
                          </pic:cNvPr>
                          <pic:cNvPicPr>
                            <a:picLocks noChangeAspect="1"/>
                          </pic:cNvPicPr>
                        </pic:nvPicPr>
                        <pic:blipFill rotWithShape="1">
                          <a:blip r:embed="rId74"/>
                          <a:srcRect t="15123" b="7067"/>
                          <a:stretch/>
                        </pic:blipFill>
                        <pic:spPr bwMode="auto">
                          <a:xfrm>
                            <a:off x="0" y="0"/>
                            <a:ext cx="2392652" cy="1359376"/>
                          </a:xfrm>
                          <a:prstGeom prst="rect">
                            <a:avLst/>
                          </a:prstGeom>
                          <a:ln>
                            <a:noFill/>
                          </a:ln>
                          <a:extLst>
                            <a:ext uri="{53640926-AAD7-44D8-BBD7-CCE9431645EC}">
                              <a14:shadowObscured xmlns:a14="http://schemas.microsoft.com/office/drawing/2010/main"/>
                            </a:ext>
                          </a:extLst>
                        </pic:spPr>
                      </pic:pic>
                    </a:graphicData>
                  </a:graphic>
                </wp:inline>
              </w:drawing>
            </w:r>
          </w:p>
        </w:tc>
      </w:tr>
      <w:tr w:rsidR="00A53DAB" w:rsidRPr="001D6F3C" w14:paraId="3779DCAD" w14:textId="77777777" w:rsidTr="00676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Pr>
        <w:tc>
          <w:tcPr>
            <w:tcW w:w="8926" w:type="dxa"/>
            <w:gridSpan w:val="2"/>
            <w:shd w:val="clear" w:color="auto" w:fill="F2F2F2" w:themeFill="background1" w:themeFillShade="F2"/>
          </w:tcPr>
          <w:p w14:paraId="495AB260" w14:textId="6BEEC910" w:rsidR="00A53DAB" w:rsidRPr="001D6F3C" w:rsidRDefault="00EF575B" w:rsidP="00A60862">
            <w:pPr>
              <w:jc w:val="both"/>
              <w:rPr>
                <w:rFonts w:ascii="Corbel" w:hAnsi="Corbel"/>
              </w:rPr>
            </w:pPr>
            <w:r w:rsidRPr="001D6F3C">
              <w:rPr>
                <w:rFonts w:ascii="Corbel" w:hAnsi="Corbel"/>
              </w:rPr>
              <w:t xml:space="preserve"> </w:t>
            </w:r>
            <w:r w:rsidR="00A53DAB" w:rsidRPr="001D6F3C">
              <w:rPr>
                <w:rFonts w:ascii="Corbel" w:hAnsi="Corbel"/>
              </w:rPr>
              <w:t xml:space="preserve">The Ministry of Housing and Urban Development’s 2023 Long Term Insights Briefing considers the implications of the ageing population for housing tenure. It can be found here: </w:t>
            </w:r>
            <w:hyperlink r:id="rId75" w:history="1">
              <w:r w:rsidR="00A53DAB" w:rsidRPr="001D6F3C">
                <w:rPr>
                  <w:rStyle w:val="Hyperlink"/>
                  <w:rFonts w:ascii="Corbel" w:hAnsi="Corbel"/>
                </w:rPr>
                <w:t>https://www.hud.govt.nz/our-work/long-term-insights-briefing-2023</w:t>
              </w:r>
            </w:hyperlink>
          </w:p>
        </w:tc>
      </w:tr>
    </w:tbl>
    <w:p w14:paraId="5ACE0C4F" w14:textId="77777777" w:rsidR="00AC3CDD" w:rsidRPr="001D6F3C" w:rsidRDefault="00AC3CDD" w:rsidP="00A60862">
      <w:pPr>
        <w:pStyle w:val="Heading2"/>
        <w:jc w:val="both"/>
        <w:rPr>
          <w:rFonts w:ascii="Corbel" w:hAnsi="Corbel"/>
        </w:rPr>
      </w:pPr>
    </w:p>
    <w:p w14:paraId="295B9E46" w14:textId="4BC66539" w:rsidR="00EF575B" w:rsidRPr="001D6F3C" w:rsidRDefault="00A62EE9" w:rsidP="00A60862">
      <w:pPr>
        <w:pStyle w:val="Heading2"/>
        <w:jc w:val="both"/>
        <w:rPr>
          <w:rFonts w:ascii="Corbel" w:hAnsi="Corbel"/>
        </w:rPr>
      </w:pPr>
      <w:bookmarkStart w:id="81" w:name="_Toc207783002"/>
      <w:r w:rsidRPr="001D6F3C">
        <w:rPr>
          <w:rFonts w:ascii="Corbel" w:hAnsi="Corbel"/>
        </w:rPr>
        <w:t>3.</w:t>
      </w:r>
      <w:r w:rsidR="00382E63">
        <w:rPr>
          <w:rFonts w:ascii="Corbel" w:hAnsi="Corbel"/>
        </w:rPr>
        <w:t>8</w:t>
      </w:r>
      <w:r w:rsidR="00045651" w:rsidRPr="001D6F3C">
        <w:rPr>
          <w:rFonts w:ascii="Corbel" w:hAnsi="Corbel"/>
        </w:rPr>
        <w:t xml:space="preserve"> </w:t>
      </w:r>
      <w:r w:rsidRPr="001D6F3C">
        <w:rPr>
          <w:rFonts w:ascii="Corbel" w:hAnsi="Corbel"/>
          <w:b/>
          <w:bCs/>
        </w:rPr>
        <w:t>Housing</w:t>
      </w:r>
      <w:r w:rsidR="00BE5D57" w:rsidRPr="001D6F3C">
        <w:rPr>
          <w:rFonts w:ascii="Corbel" w:hAnsi="Corbel"/>
          <w:b/>
          <w:bCs/>
        </w:rPr>
        <w:t xml:space="preserve"> </w:t>
      </w:r>
      <w:r w:rsidR="00BE5D57" w:rsidRPr="001D6F3C">
        <w:rPr>
          <w:rFonts w:ascii="Corbel" w:hAnsi="Corbel"/>
          <w:b/>
          <w:bCs/>
          <w:i/>
          <w:iCs/>
        </w:rPr>
        <w:t xml:space="preserve">- </w:t>
      </w:r>
      <w:r w:rsidR="00226447" w:rsidRPr="001D6F3C">
        <w:rPr>
          <w:rStyle w:val="Emphasis"/>
          <w:rFonts w:ascii="Corbel" w:hAnsi="Corbel"/>
          <w:i w:val="0"/>
        </w:rPr>
        <w:t>f</w:t>
      </w:r>
      <w:r w:rsidRPr="001D6F3C">
        <w:rPr>
          <w:rStyle w:val="Emphasis"/>
          <w:rFonts w:ascii="Corbel" w:hAnsi="Corbel"/>
          <w:i w:val="0"/>
        </w:rPr>
        <w:t xml:space="preserve">uture </w:t>
      </w:r>
      <w:r w:rsidR="00226447" w:rsidRPr="001D6F3C">
        <w:rPr>
          <w:rStyle w:val="Emphasis"/>
          <w:rFonts w:ascii="Corbel" w:hAnsi="Corbel"/>
          <w:i w:val="0"/>
        </w:rPr>
        <w:t>p</w:t>
      </w:r>
      <w:r w:rsidRPr="001D6F3C">
        <w:rPr>
          <w:rStyle w:val="Emphasis"/>
          <w:rFonts w:ascii="Corbel" w:hAnsi="Corbel"/>
          <w:i w:val="0"/>
        </w:rPr>
        <w:t>ossibilities</w:t>
      </w:r>
      <w:bookmarkEnd w:id="81"/>
    </w:p>
    <w:p w14:paraId="63ADFE04" w14:textId="2C3756A0" w:rsidR="00A62EE9" w:rsidRPr="001D6F3C" w:rsidRDefault="00A62EE9" w:rsidP="00A60862">
      <w:pPr>
        <w:jc w:val="both"/>
        <w:rPr>
          <w:rFonts w:ascii="Corbel" w:hAnsi="Corbel"/>
        </w:rPr>
      </w:pPr>
      <w:r w:rsidRPr="001D6F3C">
        <w:rPr>
          <w:rFonts w:ascii="Corbel" w:hAnsi="Corbel"/>
        </w:rPr>
        <w:t xml:space="preserve">The decline in home ownership rates among older people will likely </w:t>
      </w:r>
      <w:r w:rsidR="00660924" w:rsidRPr="001D6F3C">
        <w:rPr>
          <w:rFonts w:ascii="Corbel" w:hAnsi="Corbel"/>
        </w:rPr>
        <w:t>continue</w:t>
      </w:r>
      <w:r w:rsidRPr="001D6F3C">
        <w:rPr>
          <w:rFonts w:ascii="Corbel" w:hAnsi="Corbel"/>
        </w:rPr>
        <w:t xml:space="preserve">. Home ownership rates for successive </w:t>
      </w:r>
      <w:r w:rsidR="00463B60" w:rsidRPr="001D6F3C">
        <w:rPr>
          <w:rFonts w:ascii="Corbel" w:hAnsi="Corbel"/>
        </w:rPr>
        <w:t>birth cohorts</w:t>
      </w:r>
      <w:r w:rsidRPr="001D6F3C">
        <w:rPr>
          <w:rFonts w:ascii="Corbel" w:hAnsi="Corbel"/>
        </w:rPr>
        <w:t xml:space="preserve"> </w:t>
      </w:r>
      <w:r w:rsidR="00660924" w:rsidRPr="001D6F3C">
        <w:rPr>
          <w:rFonts w:ascii="Corbel" w:hAnsi="Corbel"/>
        </w:rPr>
        <w:t xml:space="preserve">follow a common </w:t>
      </w:r>
      <w:proofErr w:type="gramStart"/>
      <w:r w:rsidR="00660924" w:rsidRPr="001D6F3C">
        <w:rPr>
          <w:rFonts w:ascii="Corbel" w:hAnsi="Corbel"/>
        </w:rPr>
        <w:t>trend;</w:t>
      </w:r>
      <w:proofErr w:type="gramEnd"/>
      <w:r w:rsidR="00660924" w:rsidRPr="001D6F3C">
        <w:rPr>
          <w:rFonts w:ascii="Corbel" w:hAnsi="Corbel"/>
        </w:rPr>
        <w:t xml:space="preserve"> growing throughout mid-life, slowing with the approach to later life and declining </w:t>
      </w:r>
      <w:r w:rsidR="00042E10" w:rsidRPr="001D6F3C">
        <w:rPr>
          <w:rFonts w:ascii="Corbel" w:hAnsi="Corbel"/>
        </w:rPr>
        <w:t xml:space="preserve">very </w:t>
      </w:r>
      <w:r w:rsidR="00660924" w:rsidRPr="001D6F3C">
        <w:rPr>
          <w:rFonts w:ascii="Corbel" w:hAnsi="Corbel"/>
        </w:rPr>
        <w:t>slightly during later life</w:t>
      </w:r>
      <w:r w:rsidRPr="001D6F3C">
        <w:rPr>
          <w:rFonts w:ascii="Corbel" w:hAnsi="Corbel"/>
        </w:rPr>
        <w:t xml:space="preserve">. We can therefore predict with some certainty home ownership outcomes for those who will join the 65+ cohort in coming decades. </w:t>
      </w:r>
    </w:p>
    <w:p w14:paraId="31E7EAFD" w14:textId="00026B5D" w:rsidR="002C13CB" w:rsidRPr="001D6F3C" w:rsidRDefault="002C13CB" w:rsidP="00A60862">
      <w:pPr>
        <w:pStyle w:val="Caption"/>
        <w:keepNext/>
        <w:jc w:val="both"/>
        <w:rPr>
          <w:rFonts w:ascii="Corbel" w:hAnsi="Corbel"/>
        </w:rPr>
      </w:pPr>
      <w:bookmarkStart w:id="82" w:name="_Toc203142301"/>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41</w:t>
      </w:r>
      <w:r w:rsidR="00585542" w:rsidRPr="001D6F3C">
        <w:rPr>
          <w:rFonts w:ascii="Corbel" w:hAnsi="Corbel"/>
        </w:rPr>
        <w:fldChar w:fldCharType="end"/>
      </w:r>
      <w:r w:rsidRPr="001D6F3C">
        <w:rPr>
          <w:rFonts w:ascii="Corbel" w:hAnsi="Corbel"/>
        </w:rPr>
        <w:t xml:space="preserve"> - home ownership rates by age for birth cohorts</w:t>
      </w:r>
      <w:bookmarkEnd w:id="82"/>
    </w:p>
    <w:p w14:paraId="399EB4BA" w14:textId="08CC6440" w:rsidR="00A62EE9" w:rsidRPr="001D6F3C" w:rsidRDefault="0051652E" w:rsidP="0051652E">
      <w:pPr>
        <w:jc w:val="center"/>
      </w:pPr>
      <w:r w:rsidRPr="001D6F3C">
        <w:rPr>
          <w:noProof/>
        </w:rPr>
        <w:drawing>
          <wp:inline distT="0" distB="0" distL="0" distR="0" wp14:anchorId="709D29BA" wp14:editId="22C0C26B">
            <wp:extent cx="4100606" cy="2249967"/>
            <wp:effectExtent l="0" t="0" r="635" b="0"/>
            <wp:docPr id="96522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00606" cy="2249967"/>
                    </a:xfrm>
                    <a:prstGeom prst="rect">
                      <a:avLst/>
                    </a:prstGeom>
                    <a:noFill/>
                  </pic:spPr>
                </pic:pic>
              </a:graphicData>
            </a:graphic>
          </wp:inline>
        </w:drawing>
      </w:r>
    </w:p>
    <w:p w14:paraId="7EEFFA4D" w14:textId="3645FF8C" w:rsidR="00A62EE9" w:rsidRPr="001D6F3C" w:rsidRDefault="00660924" w:rsidP="00A60862">
      <w:pPr>
        <w:jc w:val="both"/>
        <w:rPr>
          <w:rFonts w:ascii="Corbel" w:hAnsi="Corbel"/>
        </w:rPr>
      </w:pPr>
      <w:r w:rsidRPr="001D6F3C">
        <w:rPr>
          <w:rFonts w:ascii="Corbel" w:hAnsi="Corbel"/>
        </w:rPr>
        <w:t>Based on existing cohort home ownership rates and historic cohort trends, we</w:t>
      </w:r>
      <w:r w:rsidR="00A62EE9" w:rsidRPr="001D6F3C">
        <w:rPr>
          <w:rFonts w:ascii="Corbel" w:hAnsi="Corbel"/>
        </w:rPr>
        <w:t xml:space="preserve"> estimate that around </w:t>
      </w:r>
      <w:r w:rsidRPr="001D6F3C">
        <w:rPr>
          <w:rFonts w:ascii="Corbel" w:hAnsi="Corbel"/>
        </w:rPr>
        <w:t>26</w:t>
      </w:r>
      <w:r w:rsidR="00A62EE9" w:rsidRPr="001D6F3C">
        <w:rPr>
          <w:rFonts w:ascii="Corbel" w:hAnsi="Corbel"/>
        </w:rPr>
        <w:t xml:space="preserve">% of </w:t>
      </w:r>
      <w:r w:rsidRPr="001D6F3C">
        <w:rPr>
          <w:rFonts w:ascii="Corbel" w:hAnsi="Corbel"/>
        </w:rPr>
        <w:t>those aged 65+</w:t>
      </w:r>
      <w:r w:rsidR="00A62EE9" w:rsidRPr="001D6F3C">
        <w:rPr>
          <w:rFonts w:ascii="Corbel" w:hAnsi="Corbel"/>
        </w:rPr>
        <w:t xml:space="preserve"> will be </w:t>
      </w:r>
      <w:r w:rsidRPr="001D6F3C">
        <w:rPr>
          <w:rFonts w:ascii="Corbel" w:hAnsi="Corbel"/>
        </w:rPr>
        <w:t>non-homeowners</w:t>
      </w:r>
      <w:r w:rsidR="00A62EE9" w:rsidRPr="001D6F3C">
        <w:rPr>
          <w:rFonts w:ascii="Corbel" w:hAnsi="Corbel"/>
        </w:rPr>
        <w:t xml:space="preserve"> by 2050</w:t>
      </w:r>
      <w:r w:rsidR="00A11251" w:rsidRPr="001D6F3C">
        <w:rPr>
          <w:rFonts w:ascii="Corbel" w:hAnsi="Corbel"/>
        </w:rPr>
        <w:t xml:space="preserve"> (</w:t>
      </w:r>
      <w:r w:rsidR="005E57D4" w:rsidRPr="001D6F3C">
        <w:rPr>
          <w:rFonts w:ascii="Corbel" w:hAnsi="Corbel"/>
        </w:rPr>
        <w:t>up from 16.62% in 2023)</w:t>
      </w:r>
      <w:r w:rsidR="00A62EE9" w:rsidRPr="001D6F3C">
        <w:rPr>
          <w:rFonts w:ascii="Corbel" w:hAnsi="Corbel"/>
        </w:rPr>
        <w:t>. The overwhelming majority of these will likely be renting on the private market. This represents a dramatic increase in numerical terms: from around 1</w:t>
      </w:r>
      <w:r w:rsidR="007A68DE" w:rsidRPr="001D6F3C">
        <w:rPr>
          <w:rFonts w:ascii="Corbel" w:hAnsi="Corbel"/>
        </w:rPr>
        <w:t>38</w:t>
      </w:r>
      <w:r w:rsidR="00A62EE9" w:rsidRPr="001D6F3C">
        <w:rPr>
          <w:rFonts w:ascii="Corbel" w:hAnsi="Corbel"/>
        </w:rPr>
        <w:t xml:space="preserve">,000 older people </w:t>
      </w:r>
      <w:r w:rsidR="007A68DE" w:rsidRPr="001D6F3C">
        <w:rPr>
          <w:rFonts w:ascii="Corbel" w:hAnsi="Corbel"/>
        </w:rPr>
        <w:t>as at the 2023 Census</w:t>
      </w:r>
      <w:r w:rsidR="00A62EE9" w:rsidRPr="001D6F3C">
        <w:rPr>
          <w:rFonts w:ascii="Corbel" w:hAnsi="Corbel"/>
        </w:rPr>
        <w:t xml:space="preserve"> to approximately </w:t>
      </w:r>
      <w:r w:rsidRPr="001D6F3C">
        <w:rPr>
          <w:rFonts w:ascii="Corbel" w:hAnsi="Corbel"/>
        </w:rPr>
        <w:t>3</w:t>
      </w:r>
      <w:r w:rsidR="00D86C63" w:rsidRPr="001D6F3C">
        <w:rPr>
          <w:rFonts w:ascii="Corbel" w:hAnsi="Corbel"/>
        </w:rPr>
        <w:t>9</w:t>
      </w:r>
      <w:r w:rsidR="00A62EE9" w:rsidRPr="001D6F3C">
        <w:rPr>
          <w:rFonts w:ascii="Corbel" w:hAnsi="Corbel"/>
        </w:rPr>
        <w:t xml:space="preserve">0,000. </w:t>
      </w:r>
    </w:p>
    <w:p w14:paraId="05C44ED1" w14:textId="62030DC4" w:rsidR="002C13CB" w:rsidRPr="001D6F3C" w:rsidRDefault="00A62EE9" w:rsidP="00A60862">
      <w:pPr>
        <w:jc w:val="both"/>
        <w:rPr>
          <w:rFonts w:ascii="Corbel" w:hAnsi="Corbel"/>
        </w:rPr>
      </w:pPr>
      <w:r w:rsidRPr="001D6F3C">
        <w:rPr>
          <w:rFonts w:ascii="Corbel" w:hAnsi="Corbel"/>
        </w:rPr>
        <w:t>Based on trends to date, affordability is unlikely to improve for these households. The graph below shows how the two scenarios for NZ</w:t>
      </w:r>
      <w:r w:rsidR="004B16F2" w:rsidRPr="001D6F3C">
        <w:rPr>
          <w:rFonts w:ascii="Corbel" w:hAnsi="Corbel"/>
        </w:rPr>
        <w:t>S</w:t>
      </w:r>
      <w:r w:rsidRPr="001D6F3C">
        <w:rPr>
          <w:rFonts w:ascii="Corbel" w:hAnsi="Corbel"/>
        </w:rPr>
        <w:t xml:space="preserve"> indexation described at 3.4 above</w:t>
      </w:r>
      <w:r w:rsidR="00C65AC6" w:rsidRPr="001D6F3C">
        <w:rPr>
          <w:rFonts w:ascii="Corbel" w:hAnsi="Corbel"/>
        </w:rPr>
        <w:t xml:space="preserve"> (to average wages or CPI </w:t>
      </w:r>
      <w:r w:rsidR="00C65AC6" w:rsidRPr="001D6F3C">
        <w:rPr>
          <w:rFonts w:ascii="Corbel" w:hAnsi="Corbel"/>
        </w:rPr>
        <w:lastRenderedPageBreak/>
        <w:t>inflation)</w:t>
      </w:r>
      <w:r w:rsidRPr="001D6F3C">
        <w:rPr>
          <w:rFonts w:ascii="Corbel" w:hAnsi="Corbel"/>
        </w:rPr>
        <w:t xml:space="preserve"> interact with two scenarios around rental increases: growth in line with wages (3% pa)</w:t>
      </w:r>
      <w:r w:rsidR="0009080E" w:rsidRPr="001D6F3C">
        <w:rPr>
          <w:rFonts w:ascii="Corbel" w:hAnsi="Corbel"/>
        </w:rPr>
        <w:t>;</w:t>
      </w:r>
      <w:r w:rsidRPr="001D6F3C">
        <w:rPr>
          <w:rFonts w:ascii="Corbel" w:hAnsi="Corbel"/>
        </w:rPr>
        <w:t xml:space="preserve"> and </w:t>
      </w:r>
      <w:r w:rsidR="00366728" w:rsidRPr="001D6F3C">
        <w:rPr>
          <w:rFonts w:ascii="Corbel" w:hAnsi="Corbel"/>
        </w:rPr>
        <w:t xml:space="preserve">growth </w:t>
      </w:r>
      <w:r w:rsidRPr="001D6F3C">
        <w:rPr>
          <w:rFonts w:ascii="Corbel" w:hAnsi="Corbel"/>
        </w:rPr>
        <w:t>in line with average annual increase for the past 30 years (4.7%). These are sensitive to the assumptions used but illustrate that more people who are renting are likely to find NZS insufficient to live on if CPI is used and/or rents increase quickly.</w:t>
      </w:r>
      <w:r w:rsidR="00C21577" w:rsidRPr="001D6F3C">
        <w:rPr>
          <w:rFonts w:ascii="Corbel" w:hAnsi="Corbel"/>
        </w:rPr>
        <w:t xml:space="preserve"> The only scenario in which the financial situation of older renters does not deteriorate is where both rents and NZS rates move together with wage rates – this scenario essentially guarantees rents will remain a constant proportion of NZS income. </w:t>
      </w:r>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28"/>
      </w:tblGrid>
      <w:tr w:rsidR="002C13CB" w:rsidRPr="001D6F3C" w14:paraId="72D43B5F" w14:textId="77777777" w:rsidTr="0067684E">
        <w:trPr>
          <w:trHeight w:val="3297"/>
        </w:trPr>
        <w:tc>
          <w:tcPr>
            <w:tcW w:w="4628" w:type="dxa"/>
          </w:tcPr>
          <w:p w14:paraId="5B8891E5" w14:textId="01CB7ABB" w:rsidR="004262D3" w:rsidRPr="001D6F3C" w:rsidRDefault="002C13CB" w:rsidP="00510519">
            <w:pPr>
              <w:pStyle w:val="Caption"/>
              <w:jc w:val="center"/>
              <w:rPr>
                <w:rFonts w:ascii="Corbel" w:hAnsi="Corbel"/>
              </w:rPr>
            </w:pPr>
            <w:bookmarkStart w:id="83" w:name="_Toc203142302"/>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42</w:t>
            </w:r>
            <w:r w:rsidR="00585542" w:rsidRPr="001D6F3C">
              <w:rPr>
                <w:rFonts w:ascii="Corbel" w:hAnsi="Corbel"/>
              </w:rPr>
              <w:fldChar w:fldCharType="end"/>
            </w:r>
            <w:r w:rsidRPr="001D6F3C">
              <w:rPr>
                <w:rFonts w:ascii="Corbel" w:hAnsi="Corbel"/>
                <w:szCs w:val="18"/>
              </w:rPr>
              <w:t xml:space="preserve"> - housing costs as % of NZS - couple paying lower quartile rent</w:t>
            </w:r>
            <w:bookmarkEnd w:id="83"/>
          </w:p>
          <w:p w14:paraId="391BC793" w14:textId="03C5EFAE" w:rsidR="002C13CB" w:rsidRPr="001D6F3C" w:rsidRDefault="002C13CB" w:rsidP="00DD341A">
            <w:pPr>
              <w:jc w:val="center"/>
              <w:rPr>
                <w:rFonts w:ascii="Corbel" w:hAnsi="Corbel"/>
              </w:rPr>
            </w:pPr>
            <w:r w:rsidRPr="001D6F3C">
              <w:rPr>
                <w:rFonts w:ascii="Corbel" w:hAnsi="Corbel"/>
                <w:noProof/>
              </w:rPr>
              <w:drawing>
                <wp:inline distT="0" distB="0" distL="0" distR="0" wp14:anchorId="7689E176" wp14:editId="25528E29">
                  <wp:extent cx="2481942" cy="1586864"/>
                  <wp:effectExtent l="0" t="0" r="0" b="0"/>
                  <wp:docPr id="2119625676" name="Picture 3">
                    <a:extLst xmlns:a="http://schemas.openxmlformats.org/drawingml/2006/main">
                      <a:ext uri="{FF2B5EF4-FFF2-40B4-BE49-F238E27FC236}">
                        <a16:creationId xmlns:a16="http://schemas.microsoft.com/office/drawing/2014/main" id="{184E4272-8381-0641-C390-48CC9E816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84E4272-8381-0641-C390-48CC9E816D46}"/>
                              </a:ext>
                            </a:extLst>
                          </pic:cNvPr>
                          <pic:cNvPicPr>
                            <a:picLocks noChangeAspect="1"/>
                          </pic:cNvPicPr>
                        </pic:nvPicPr>
                        <pic:blipFill rotWithShape="1">
                          <a:blip r:embed="rId77"/>
                          <a:srcRect t="12003"/>
                          <a:stretch/>
                        </pic:blipFill>
                        <pic:spPr bwMode="auto">
                          <a:xfrm>
                            <a:off x="0" y="0"/>
                            <a:ext cx="2488601" cy="1591122"/>
                          </a:xfrm>
                          <a:prstGeom prst="rect">
                            <a:avLst/>
                          </a:prstGeom>
                          <a:ln>
                            <a:noFill/>
                          </a:ln>
                          <a:extLst>
                            <a:ext uri="{53640926-AAD7-44D8-BBD7-CCE9431645EC}">
                              <a14:shadowObscured xmlns:a14="http://schemas.microsoft.com/office/drawing/2010/main"/>
                            </a:ext>
                          </a:extLst>
                        </pic:spPr>
                      </pic:pic>
                    </a:graphicData>
                  </a:graphic>
                </wp:inline>
              </w:drawing>
            </w:r>
          </w:p>
        </w:tc>
        <w:tc>
          <w:tcPr>
            <w:tcW w:w="4628" w:type="dxa"/>
          </w:tcPr>
          <w:p w14:paraId="5B41236E" w14:textId="4090B122" w:rsidR="004262D3" w:rsidRPr="001D6F3C" w:rsidRDefault="002C13CB" w:rsidP="00DD341A">
            <w:pPr>
              <w:jc w:val="center"/>
              <w:rPr>
                <w:rFonts w:ascii="Corbel" w:hAnsi="Corbel"/>
                <w:b/>
                <w:bCs/>
                <w:smallCaps/>
                <w:color w:val="1F497D" w:themeColor="text2"/>
              </w:rPr>
            </w:pPr>
            <w:bookmarkStart w:id="84" w:name="_Toc203142303"/>
            <w:r w:rsidRPr="001D6F3C">
              <w:rPr>
                <w:rFonts w:ascii="Corbel" w:hAnsi="Corbel"/>
                <w:b/>
                <w:smallCaps/>
                <w:color w:val="1F497D" w:themeColor="text2"/>
              </w:rPr>
              <w:t xml:space="preserve">Figure </w:t>
            </w:r>
            <w:r w:rsidR="00585542" w:rsidRPr="001D6F3C">
              <w:rPr>
                <w:rFonts w:ascii="Corbel" w:hAnsi="Corbel"/>
                <w:b/>
                <w:smallCaps/>
                <w:color w:val="1F497D" w:themeColor="text2"/>
              </w:rPr>
              <w:fldChar w:fldCharType="begin"/>
            </w:r>
            <w:r w:rsidR="00585542" w:rsidRPr="001D6F3C">
              <w:rPr>
                <w:rFonts w:ascii="Corbel" w:hAnsi="Corbel"/>
                <w:b/>
                <w:smallCaps/>
                <w:color w:val="1F497D" w:themeColor="text2"/>
              </w:rPr>
              <w:instrText xml:space="preserve"> SEQ Figure \* ARABIC </w:instrText>
            </w:r>
            <w:r w:rsidR="00585542" w:rsidRPr="001D6F3C">
              <w:rPr>
                <w:rFonts w:ascii="Corbel" w:hAnsi="Corbel"/>
                <w:b/>
                <w:smallCaps/>
                <w:color w:val="1F497D" w:themeColor="text2"/>
              </w:rPr>
              <w:fldChar w:fldCharType="separate"/>
            </w:r>
            <w:r w:rsidR="00AD2CCE" w:rsidRPr="001D6F3C">
              <w:rPr>
                <w:rFonts w:ascii="Corbel" w:hAnsi="Corbel"/>
                <w:b/>
                <w:smallCaps/>
                <w:noProof/>
                <w:color w:val="1F497D" w:themeColor="text2"/>
              </w:rPr>
              <w:t>43</w:t>
            </w:r>
            <w:r w:rsidR="00585542" w:rsidRPr="001D6F3C">
              <w:rPr>
                <w:rFonts w:ascii="Corbel" w:hAnsi="Corbel"/>
                <w:b/>
                <w:smallCaps/>
                <w:color w:val="1F497D" w:themeColor="text2"/>
              </w:rPr>
              <w:fldChar w:fldCharType="end"/>
            </w:r>
            <w:r w:rsidRPr="001D6F3C">
              <w:rPr>
                <w:rFonts w:ascii="Corbel" w:hAnsi="Corbel"/>
                <w:b/>
                <w:smallCaps/>
                <w:color w:val="1F497D" w:themeColor="text2"/>
              </w:rPr>
              <w:t xml:space="preserve"> - residual income for a NZS couple paying lower quartile rent</w:t>
            </w:r>
            <w:r w:rsidR="00D45273" w:rsidRPr="001D6F3C">
              <w:rPr>
                <w:rFonts w:ascii="Corbel" w:hAnsi="Corbel"/>
                <w:b/>
                <w:smallCaps/>
                <w:color w:val="1F497D" w:themeColor="text2"/>
              </w:rPr>
              <w:t xml:space="preserve"> </w:t>
            </w:r>
            <w:r w:rsidRPr="001D6F3C">
              <w:rPr>
                <w:rFonts w:ascii="Corbel" w:hAnsi="Corbel"/>
                <w:b/>
                <w:smallCaps/>
                <w:color w:val="1F497D" w:themeColor="text2"/>
              </w:rPr>
              <w:t>($2024)</w:t>
            </w:r>
            <w:bookmarkEnd w:id="84"/>
          </w:p>
          <w:p w14:paraId="79C417DC" w14:textId="2151D410" w:rsidR="002C13CB" w:rsidRPr="001D6F3C" w:rsidRDefault="002C13CB" w:rsidP="00DD341A">
            <w:pPr>
              <w:jc w:val="center"/>
              <w:rPr>
                <w:rFonts w:ascii="Corbel" w:hAnsi="Corbel"/>
              </w:rPr>
            </w:pPr>
            <w:r w:rsidRPr="001D6F3C">
              <w:rPr>
                <w:rFonts w:ascii="Corbel" w:hAnsi="Corbel"/>
                <w:b/>
                <w:bCs/>
                <w:smallCaps/>
                <w:noProof/>
                <w:color w:val="1F497D" w:themeColor="text2"/>
              </w:rPr>
              <w:drawing>
                <wp:inline distT="0" distB="0" distL="0" distR="0" wp14:anchorId="5F0938A6" wp14:editId="7C2FF381">
                  <wp:extent cx="2530020" cy="1603169"/>
                  <wp:effectExtent l="0" t="0" r="3810" b="0"/>
                  <wp:docPr id="1724356269" name="Picture 8">
                    <a:extLst xmlns:a="http://schemas.openxmlformats.org/drawingml/2006/main">
                      <a:ext uri="{FF2B5EF4-FFF2-40B4-BE49-F238E27FC236}">
                        <a16:creationId xmlns:a16="http://schemas.microsoft.com/office/drawing/2014/main" id="{B26F1C52-7B1D-ABCA-CC6F-88CDFC1CE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26F1C52-7B1D-ABCA-CC6F-88CDFC1CE9E4}"/>
                              </a:ext>
                            </a:extLst>
                          </pic:cNvPr>
                          <pic:cNvPicPr>
                            <a:picLocks noChangeAspect="1"/>
                          </pic:cNvPicPr>
                        </pic:nvPicPr>
                        <pic:blipFill rotWithShape="1">
                          <a:blip r:embed="rId78"/>
                          <a:srcRect t="13420"/>
                          <a:stretch/>
                        </pic:blipFill>
                        <pic:spPr bwMode="auto">
                          <a:xfrm>
                            <a:off x="0" y="0"/>
                            <a:ext cx="2543297" cy="16115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B0DF05" w14:textId="3323F930" w:rsidR="00A62EE9" w:rsidRPr="001D6F3C" w:rsidRDefault="00A62EE9" w:rsidP="00A60862">
      <w:pPr>
        <w:jc w:val="both"/>
        <w:rPr>
          <w:rFonts w:ascii="Corbel" w:hAnsi="Corbel"/>
        </w:rPr>
      </w:pPr>
      <w:r w:rsidRPr="001D6F3C">
        <w:rPr>
          <w:rFonts w:ascii="Corbel" w:hAnsi="Corbel"/>
        </w:rPr>
        <w:t xml:space="preserve">The impacts of unaffordable rental housing on this large cohort depend on a range of other factors but are likely to be significant. If the </w:t>
      </w:r>
      <w:r w:rsidR="00CD3F27" w:rsidRPr="001D6F3C">
        <w:rPr>
          <w:rFonts w:ascii="Corbel" w:hAnsi="Corbel"/>
        </w:rPr>
        <w:t>proportion</w:t>
      </w:r>
      <w:r w:rsidRPr="001D6F3C">
        <w:rPr>
          <w:rFonts w:ascii="Corbel" w:hAnsi="Corbel"/>
        </w:rPr>
        <w:t xml:space="preserve"> of older renters receiving </w:t>
      </w:r>
      <w:r w:rsidR="005D47B8" w:rsidRPr="001D6F3C">
        <w:rPr>
          <w:rFonts w:ascii="Corbel" w:hAnsi="Corbel"/>
        </w:rPr>
        <w:t>AS</w:t>
      </w:r>
      <w:r w:rsidRPr="001D6F3C">
        <w:rPr>
          <w:rFonts w:ascii="Corbel" w:hAnsi="Corbel"/>
        </w:rPr>
        <w:t xml:space="preserve"> </w:t>
      </w:r>
      <w:r w:rsidR="00540C00" w:rsidRPr="001D6F3C">
        <w:rPr>
          <w:rFonts w:ascii="Corbel" w:hAnsi="Corbel"/>
        </w:rPr>
        <w:t>in 2050 matched the current proportion</w:t>
      </w:r>
      <w:r w:rsidRPr="001D6F3C">
        <w:rPr>
          <w:rFonts w:ascii="Corbel" w:hAnsi="Corbel"/>
        </w:rPr>
        <w:t xml:space="preserve"> for example, this would </w:t>
      </w:r>
      <w:r w:rsidR="00463B60" w:rsidRPr="001D6F3C">
        <w:rPr>
          <w:rFonts w:ascii="Corbel" w:hAnsi="Corbel"/>
        </w:rPr>
        <w:t xml:space="preserve">mean </w:t>
      </w:r>
      <w:r w:rsidR="00A9401C" w:rsidRPr="001D6F3C">
        <w:rPr>
          <w:rFonts w:ascii="Corbel" w:hAnsi="Corbel"/>
        </w:rPr>
        <w:t>74</w:t>
      </w:r>
      <w:r w:rsidRPr="001D6F3C">
        <w:rPr>
          <w:rFonts w:ascii="Corbel" w:hAnsi="Corbel"/>
        </w:rPr>
        <w:t>,000 additional recipients,</w:t>
      </w:r>
      <w:r w:rsidR="00A9401C" w:rsidRPr="001D6F3C">
        <w:rPr>
          <w:rFonts w:ascii="Corbel" w:hAnsi="Corbel"/>
        </w:rPr>
        <w:t xml:space="preserve"> an almost three</w:t>
      </w:r>
      <w:r w:rsidR="00C22CEB" w:rsidRPr="001D6F3C">
        <w:rPr>
          <w:rFonts w:ascii="Corbel" w:hAnsi="Corbel"/>
        </w:rPr>
        <w:t>-</w:t>
      </w:r>
      <w:r w:rsidR="00A9401C" w:rsidRPr="001D6F3C">
        <w:rPr>
          <w:rFonts w:ascii="Corbel" w:hAnsi="Corbel"/>
        </w:rPr>
        <w:t>fold increase</w:t>
      </w:r>
      <w:r w:rsidRPr="001D6F3C">
        <w:rPr>
          <w:rFonts w:ascii="Corbel" w:hAnsi="Corbel"/>
        </w:rPr>
        <w:t>. This would in turn mean a substantial increase in expenditure on</w:t>
      </w:r>
      <w:r w:rsidR="00FC41C8" w:rsidRPr="001D6F3C">
        <w:rPr>
          <w:rFonts w:ascii="Corbel" w:hAnsi="Corbel"/>
        </w:rPr>
        <w:t xml:space="preserve"> </w:t>
      </w:r>
      <w:r w:rsidR="005D47B8" w:rsidRPr="001D6F3C">
        <w:rPr>
          <w:rFonts w:ascii="Corbel" w:hAnsi="Corbel"/>
        </w:rPr>
        <w:t>AS</w:t>
      </w:r>
      <w:r w:rsidR="00FC41C8" w:rsidRPr="001D6F3C">
        <w:rPr>
          <w:rFonts w:ascii="Corbel" w:hAnsi="Corbel"/>
        </w:rPr>
        <w:t xml:space="preserve"> </w:t>
      </w:r>
      <w:r w:rsidRPr="001D6F3C">
        <w:rPr>
          <w:rFonts w:ascii="Corbel" w:hAnsi="Corbel"/>
        </w:rPr>
        <w:t>for the older population, which is currently $50-60m per year</w:t>
      </w:r>
      <w:r w:rsidR="00B735EC" w:rsidRPr="001D6F3C">
        <w:rPr>
          <w:rFonts w:ascii="Corbel" w:hAnsi="Corbel"/>
        </w:rPr>
        <w:t xml:space="preserve"> (a relatively small proportion of the $2.2b spent on this payment overall)</w:t>
      </w:r>
      <w:r w:rsidRPr="001D6F3C">
        <w:rPr>
          <w:rFonts w:ascii="Corbel" w:hAnsi="Corbel"/>
        </w:rPr>
        <w:t>.</w:t>
      </w:r>
    </w:p>
    <w:p w14:paraId="0F688AC0" w14:textId="021AD433" w:rsidR="00A62EE9" w:rsidRPr="001D6F3C" w:rsidRDefault="00A62EE9" w:rsidP="00A60862">
      <w:pPr>
        <w:jc w:val="both"/>
        <w:rPr>
          <w:rFonts w:ascii="Corbel" w:hAnsi="Corbel"/>
        </w:rPr>
      </w:pPr>
      <w:r w:rsidRPr="001D6F3C">
        <w:rPr>
          <w:rFonts w:ascii="Corbel" w:hAnsi="Corbel"/>
        </w:rPr>
        <w:t>The relationship between rental costs and severe housing deprivation is not straightforward</w:t>
      </w:r>
      <w:r w:rsidR="003B2886" w:rsidRPr="001D6F3C">
        <w:rPr>
          <w:rFonts w:ascii="Corbel" w:hAnsi="Corbel"/>
        </w:rPr>
        <w:t xml:space="preserve">, but nevertheless rising rents </w:t>
      </w:r>
      <w:r w:rsidR="00DF112F" w:rsidRPr="001D6F3C">
        <w:rPr>
          <w:rFonts w:ascii="Corbel" w:hAnsi="Corbel"/>
        </w:rPr>
        <w:t xml:space="preserve">may well </w:t>
      </w:r>
      <w:r w:rsidR="00F4266A" w:rsidRPr="001D6F3C">
        <w:rPr>
          <w:rFonts w:ascii="Corbel" w:hAnsi="Corbel"/>
        </w:rPr>
        <w:t>lead to</w:t>
      </w:r>
      <w:r w:rsidRPr="001D6F3C">
        <w:rPr>
          <w:rFonts w:ascii="Corbel" w:hAnsi="Corbel"/>
        </w:rPr>
        <w:t xml:space="preserve"> an increase in the proportion of older people experiencing severe housing deprivation</w:t>
      </w:r>
      <w:r w:rsidR="004F58C4" w:rsidRPr="001D6F3C">
        <w:rPr>
          <w:rFonts w:ascii="Corbel" w:hAnsi="Corbel"/>
        </w:rPr>
        <w:t xml:space="preserve">. </w:t>
      </w:r>
      <w:r w:rsidRPr="001D6F3C">
        <w:rPr>
          <w:rFonts w:ascii="Corbel" w:hAnsi="Corbel"/>
        </w:rPr>
        <w:t xml:space="preserve"> </w:t>
      </w:r>
    </w:p>
    <w:p w14:paraId="389FA99D" w14:textId="305A517F" w:rsidR="00A62EE9" w:rsidRPr="001D6F3C" w:rsidRDefault="00A62EE9" w:rsidP="00A60862">
      <w:pPr>
        <w:jc w:val="both"/>
        <w:rPr>
          <w:rFonts w:ascii="Corbel" w:hAnsi="Corbel"/>
        </w:rPr>
      </w:pPr>
      <w:r w:rsidRPr="001D6F3C">
        <w:rPr>
          <w:rFonts w:ascii="Corbel" w:hAnsi="Corbel"/>
        </w:rPr>
        <w:t xml:space="preserve">Without a significant shift in policy, social housing is </w:t>
      </w:r>
      <w:r w:rsidR="00E723BA" w:rsidRPr="001D6F3C">
        <w:rPr>
          <w:rFonts w:ascii="Corbel" w:hAnsi="Corbel"/>
        </w:rPr>
        <w:t xml:space="preserve">only </w:t>
      </w:r>
      <w:r w:rsidRPr="001D6F3C">
        <w:rPr>
          <w:rFonts w:ascii="Corbel" w:hAnsi="Corbel"/>
        </w:rPr>
        <w:t xml:space="preserve">likely to </w:t>
      </w:r>
      <w:r w:rsidR="00E723BA" w:rsidRPr="001D6F3C">
        <w:rPr>
          <w:rFonts w:ascii="Corbel" w:hAnsi="Corbel"/>
        </w:rPr>
        <w:t>support</w:t>
      </w:r>
      <w:r w:rsidRPr="001D6F3C">
        <w:rPr>
          <w:rFonts w:ascii="Corbel" w:hAnsi="Corbel"/>
        </w:rPr>
        <w:t xml:space="preserve"> a small proportion of older non-homeowners </w:t>
      </w:r>
      <w:r w:rsidR="00E723BA" w:rsidRPr="001D6F3C">
        <w:rPr>
          <w:rFonts w:ascii="Corbel" w:hAnsi="Corbel"/>
        </w:rPr>
        <w:t>unable to afford housing in</w:t>
      </w:r>
      <w:r w:rsidRPr="001D6F3C">
        <w:rPr>
          <w:rFonts w:ascii="Corbel" w:hAnsi="Corbel"/>
        </w:rPr>
        <w:t xml:space="preserve"> the private rental market. </w:t>
      </w:r>
      <w:r w:rsidR="00E723BA" w:rsidRPr="001D6F3C">
        <w:rPr>
          <w:rFonts w:ascii="Corbel" w:hAnsi="Corbel"/>
        </w:rPr>
        <w:t>In 2023 a</w:t>
      </w:r>
      <w:r w:rsidRPr="001D6F3C">
        <w:rPr>
          <w:rFonts w:ascii="Corbel" w:hAnsi="Corbel"/>
        </w:rPr>
        <w:t>round 19,500 people, or 2.</w:t>
      </w:r>
      <w:r w:rsidR="0015614F" w:rsidRPr="001D6F3C">
        <w:rPr>
          <w:rFonts w:ascii="Corbel" w:hAnsi="Corbel"/>
        </w:rPr>
        <w:t>4</w:t>
      </w:r>
      <w:r w:rsidRPr="001D6F3C">
        <w:rPr>
          <w:rFonts w:ascii="Corbel" w:hAnsi="Corbel"/>
        </w:rPr>
        <w:t>% of the older population</w:t>
      </w:r>
      <w:r w:rsidR="008018D1" w:rsidRPr="001D6F3C">
        <w:rPr>
          <w:rFonts w:ascii="Corbel" w:hAnsi="Corbel"/>
        </w:rPr>
        <w:t>,</w:t>
      </w:r>
      <w:r w:rsidRPr="001D6F3C">
        <w:rPr>
          <w:rFonts w:ascii="Corbel" w:hAnsi="Corbel"/>
        </w:rPr>
        <w:t xml:space="preserve"> resided in social housing of all kinds. </w:t>
      </w:r>
      <w:r w:rsidR="00D711BE" w:rsidRPr="001D6F3C">
        <w:rPr>
          <w:rFonts w:ascii="Corbel" w:hAnsi="Corbel"/>
        </w:rPr>
        <w:t>M</w:t>
      </w:r>
      <w:r w:rsidRPr="001D6F3C">
        <w:rPr>
          <w:rFonts w:ascii="Corbel" w:hAnsi="Corbel"/>
        </w:rPr>
        <w:t xml:space="preserve">aintaining this proportion of the </w:t>
      </w:r>
      <w:r w:rsidR="008018D1" w:rsidRPr="001D6F3C">
        <w:rPr>
          <w:rFonts w:ascii="Corbel" w:hAnsi="Corbel"/>
        </w:rPr>
        <w:t xml:space="preserve">total </w:t>
      </w:r>
      <w:r w:rsidRPr="001D6F3C">
        <w:rPr>
          <w:rFonts w:ascii="Corbel" w:hAnsi="Corbel"/>
        </w:rPr>
        <w:t>population would require construction or acquisition of around 11,</w:t>
      </w:r>
      <w:r w:rsidR="008F33CB" w:rsidRPr="001D6F3C">
        <w:rPr>
          <w:rFonts w:ascii="Corbel" w:hAnsi="Corbel"/>
        </w:rPr>
        <w:t>6</w:t>
      </w:r>
      <w:r w:rsidRPr="001D6F3C">
        <w:rPr>
          <w:rFonts w:ascii="Corbel" w:hAnsi="Corbel"/>
        </w:rPr>
        <w:t xml:space="preserve">00 additional </w:t>
      </w:r>
      <w:r w:rsidR="008018D1" w:rsidRPr="001D6F3C">
        <w:rPr>
          <w:rFonts w:ascii="Corbel" w:hAnsi="Corbel"/>
        </w:rPr>
        <w:t xml:space="preserve">social housing </w:t>
      </w:r>
      <w:r w:rsidRPr="001D6F3C">
        <w:rPr>
          <w:rFonts w:ascii="Corbel" w:hAnsi="Corbel"/>
        </w:rPr>
        <w:t xml:space="preserve">units solely for older people by 2050. Maintaining the proportion of </w:t>
      </w:r>
      <w:r w:rsidR="00922906" w:rsidRPr="001D6F3C">
        <w:rPr>
          <w:rFonts w:ascii="Corbel" w:hAnsi="Corbel"/>
        </w:rPr>
        <w:t>older non-homeowners housed in social housing (currently approximately 1</w:t>
      </w:r>
      <w:r w:rsidR="008F33CB" w:rsidRPr="001D6F3C">
        <w:rPr>
          <w:rFonts w:ascii="Corbel" w:hAnsi="Corbel"/>
        </w:rPr>
        <w:t>4</w:t>
      </w:r>
      <w:r w:rsidR="00922906" w:rsidRPr="001D6F3C">
        <w:rPr>
          <w:rFonts w:ascii="Corbel" w:hAnsi="Corbel"/>
        </w:rPr>
        <w:t>%) would require approximately 2</w:t>
      </w:r>
      <w:r w:rsidR="008F33CB" w:rsidRPr="001D6F3C">
        <w:rPr>
          <w:rFonts w:ascii="Corbel" w:hAnsi="Corbel"/>
        </w:rPr>
        <w:t>7</w:t>
      </w:r>
      <w:r w:rsidR="00922906" w:rsidRPr="001D6F3C">
        <w:rPr>
          <w:rFonts w:ascii="Corbel" w:hAnsi="Corbel"/>
        </w:rPr>
        <w:t>,</w:t>
      </w:r>
      <w:r w:rsidR="008F33CB" w:rsidRPr="001D6F3C">
        <w:rPr>
          <w:rFonts w:ascii="Corbel" w:hAnsi="Corbel"/>
        </w:rPr>
        <w:t>5</w:t>
      </w:r>
      <w:r w:rsidR="00922906" w:rsidRPr="001D6F3C">
        <w:rPr>
          <w:rFonts w:ascii="Corbel" w:hAnsi="Corbel"/>
        </w:rPr>
        <w:t>00 additional units</w:t>
      </w:r>
      <w:r w:rsidR="008018D1" w:rsidRPr="001D6F3C">
        <w:rPr>
          <w:rFonts w:ascii="Corbel" w:hAnsi="Corbel"/>
        </w:rPr>
        <w:t xml:space="preserve"> over the same </w:t>
      </w:r>
      <w:proofErr w:type="gramStart"/>
      <w:r w:rsidR="008018D1" w:rsidRPr="001D6F3C">
        <w:rPr>
          <w:rFonts w:ascii="Corbel" w:hAnsi="Corbel"/>
        </w:rPr>
        <w:t>time period</w:t>
      </w:r>
      <w:proofErr w:type="gramEnd"/>
      <w:r w:rsidR="00922906" w:rsidRPr="001D6F3C">
        <w:rPr>
          <w:rFonts w:ascii="Corbel" w:hAnsi="Corbel"/>
        </w:rPr>
        <w:t>.</w:t>
      </w:r>
    </w:p>
    <w:p w14:paraId="603AB8E9" w14:textId="49FBB0AF" w:rsidR="00A62EE9" w:rsidRPr="001D6F3C" w:rsidRDefault="00E723BA" w:rsidP="00A60862">
      <w:pPr>
        <w:jc w:val="both"/>
        <w:rPr>
          <w:rFonts w:ascii="Corbel" w:hAnsi="Corbel"/>
        </w:rPr>
      </w:pPr>
      <w:r w:rsidRPr="001D6F3C">
        <w:rPr>
          <w:rFonts w:ascii="Corbel" w:hAnsi="Corbel"/>
        </w:rPr>
        <w:t>Alternatives to private rental housing</w:t>
      </w:r>
      <w:r w:rsidR="00A62EE9" w:rsidRPr="001D6F3C">
        <w:rPr>
          <w:rFonts w:ascii="Corbel" w:hAnsi="Corbel"/>
        </w:rPr>
        <w:t xml:space="preserve"> will continue to form a small but important component of the housing market for older people but are unlikely to expand to provide an at-scale alternative to private rentals. Some social housing providers </w:t>
      </w:r>
      <w:r w:rsidRPr="001D6F3C">
        <w:rPr>
          <w:rFonts w:ascii="Corbel" w:hAnsi="Corbel"/>
        </w:rPr>
        <w:t>with a focus on older people</w:t>
      </w:r>
      <w:r w:rsidR="00F30DA2" w:rsidRPr="001D6F3C">
        <w:rPr>
          <w:rFonts w:ascii="Corbel" w:hAnsi="Corbel"/>
        </w:rPr>
        <w:t>,</w:t>
      </w:r>
      <w:r w:rsidRPr="001D6F3C">
        <w:rPr>
          <w:rFonts w:ascii="Corbel" w:hAnsi="Corbel"/>
        </w:rPr>
        <w:t xml:space="preserve"> </w:t>
      </w:r>
      <w:r w:rsidR="00A62EE9" w:rsidRPr="001D6F3C">
        <w:rPr>
          <w:rFonts w:ascii="Corbel" w:hAnsi="Corbel"/>
        </w:rPr>
        <w:t xml:space="preserve">such as </w:t>
      </w:r>
      <w:proofErr w:type="spellStart"/>
      <w:r w:rsidR="00A62EE9" w:rsidRPr="001D6F3C">
        <w:rPr>
          <w:rFonts w:ascii="Corbel" w:hAnsi="Corbel"/>
        </w:rPr>
        <w:t>Abbeyfields</w:t>
      </w:r>
      <w:proofErr w:type="spellEnd"/>
      <w:r w:rsidR="00A62EE9" w:rsidRPr="001D6F3C">
        <w:rPr>
          <w:rFonts w:ascii="Corbel" w:hAnsi="Corbel"/>
        </w:rPr>
        <w:t xml:space="preserve"> NZ and </w:t>
      </w:r>
      <w:proofErr w:type="spellStart"/>
      <w:r w:rsidR="00A62EE9" w:rsidRPr="001D6F3C">
        <w:rPr>
          <w:rFonts w:ascii="Corbel" w:hAnsi="Corbel"/>
        </w:rPr>
        <w:t>Haumaru</w:t>
      </w:r>
      <w:proofErr w:type="spellEnd"/>
      <w:r w:rsidR="00A62EE9" w:rsidRPr="001D6F3C">
        <w:rPr>
          <w:rFonts w:ascii="Corbel" w:hAnsi="Corbel"/>
        </w:rPr>
        <w:t xml:space="preserve"> Housing</w:t>
      </w:r>
      <w:r w:rsidR="00F30DA2" w:rsidRPr="001D6F3C">
        <w:rPr>
          <w:rFonts w:ascii="Corbel" w:hAnsi="Corbel"/>
        </w:rPr>
        <w:t>,</w:t>
      </w:r>
      <w:r w:rsidR="00A62EE9" w:rsidRPr="001D6F3C">
        <w:rPr>
          <w:rFonts w:ascii="Corbel" w:hAnsi="Corbel"/>
        </w:rPr>
        <w:t xml:space="preserve"> have ambitious plans to expand their operations</w:t>
      </w:r>
      <w:r w:rsidRPr="001D6F3C">
        <w:rPr>
          <w:rFonts w:ascii="Corbel" w:hAnsi="Corbel"/>
        </w:rPr>
        <w:t>. However,</w:t>
      </w:r>
      <w:r w:rsidR="00A62EE9" w:rsidRPr="001D6F3C">
        <w:rPr>
          <w:rFonts w:ascii="Corbel" w:hAnsi="Corbel"/>
        </w:rPr>
        <w:t xml:space="preserve"> additional units that they will add in the foreseeable future number in the hundreds and thousands. In a similar vein, </w:t>
      </w:r>
      <w:r w:rsidRPr="001D6F3C">
        <w:rPr>
          <w:rFonts w:ascii="Corbel" w:hAnsi="Corbel"/>
        </w:rPr>
        <w:t xml:space="preserve">while </w:t>
      </w:r>
      <w:r w:rsidR="00A62EE9" w:rsidRPr="001D6F3C">
        <w:rPr>
          <w:rFonts w:ascii="Corbel" w:hAnsi="Corbel"/>
        </w:rPr>
        <w:t>a range of M</w:t>
      </w:r>
      <w:r w:rsidR="00A62EE9" w:rsidRPr="001D6F3C">
        <w:rPr>
          <w:rFonts w:ascii="Corbel" w:hAnsi="Corbel"/>
          <w:lang w:val="mi-NZ"/>
        </w:rPr>
        <w:t xml:space="preserve">āori-led kaumātua and papakāinga developments will provide positive housing solutions </w:t>
      </w:r>
      <w:proofErr w:type="gramStart"/>
      <w:r w:rsidR="00A62EE9" w:rsidRPr="001D6F3C">
        <w:rPr>
          <w:rFonts w:ascii="Corbel" w:hAnsi="Corbel"/>
          <w:lang w:val="mi-NZ"/>
        </w:rPr>
        <w:t>in particular</w:t>
      </w:r>
      <w:proofErr w:type="gramEnd"/>
      <w:r w:rsidR="00A62EE9" w:rsidRPr="001D6F3C">
        <w:rPr>
          <w:rFonts w:ascii="Corbel" w:hAnsi="Corbel"/>
          <w:lang w:val="mi-NZ"/>
        </w:rPr>
        <w:t xml:space="preserve"> rohe, </w:t>
      </w:r>
      <w:r w:rsidRPr="001D6F3C">
        <w:rPr>
          <w:rFonts w:ascii="Corbel" w:hAnsi="Corbel"/>
          <w:lang w:val="mi-NZ"/>
        </w:rPr>
        <w:t>they</w:t>
      </w:r>
      <w:r w:rsidR="00A62EE9" w:rsidRPr="001D6F3C">
        <w:rPr>
          <w:rFonts w:ascii="Corbel" w:hAnsi="Corbel"/>
          <w:lang w:val="mi-NZ"/>
        </w:rPr>
        <w:t xml:space="preserve"> are unlikely to </w:t>
      </w:r>
      <w:r w:rsidRPr="001D6F3C">
        <w:rPr>
          <w:rFonts w:ascii="Corbel" w:hAnsi="Corbel"/>
          <w:lang w:val="mi-NZ"/>
        </w:rPr>
        <w:t>provide housing</w:t>
      </w:r>
      <w:r w:rsidR="00A62EE9" w:rsidRPr="001D6F3C">
        <w:rPr>
          <w:rFonts w:ascii="Corbel" w:hAnsi="Corbel"/>
          <w:lang w:val="mi-NZ"/>
        </w:rPr>
        <w:t xml:space="preserve"> at significant scale. </w:t>
      </w:r>
    </w:p>
    <w:p w14:paraId="47D4AA6C" w14:textId="19F13D1B" w:rsidR="00A62EE9" w:rsidRPr="001D6F3C" w:rsidRDefault="00A62EE9" w:rsidP="00A60862">
      <w:pPr>
        <w:jc w:val="both"/>
        <w:rPr>
          <w:rFonts w:ascii="Corbel" w:hAnsi="Corbel"/>
        </w:rPr>
      </w:pPr>
      <w:r w:rsidRPr="001D6F3C">
        <w:rPr>
          <w:rFonts w:ascii="Corbel" w:hAnsi="Corbel"/>
        </w:rPr>
        <w:t>The retirement village industry estimates that its development pipeline will fall short of the current population proportion served (</w:t>
      </w:r>
      <w:r w:rsidR="007E7B0F" w:rsidRPr="001D6F3C">
        <w:rPr>
          <w:rFonts w:ascii="Corbel" w:hAnsi="Corbel"/>
        </w:rPr>
        <w:t xml:space="preserve">approximately </w:t>
      </w:r>
      <w:r w:rsidRPr="001D6F3C">
        <w:rPr>
          <w:rFonts w:ascii="Corbel" w:hAnsi="Corbel"/>
        </w:rPr>
        <w:t xml:space="preserve">14% of those aged 75+) by 23,242 units by 2048. These are likely to continue to be positioned as a premium product equivalent in cost to home ownership. </w:t>
      </w:r>
    </w:p>
    <w:p w14:paraId="4424BDAB" w14:textId="429EF89E" w:rsidR="00514E46" w:rsidRPr="001D6F3C" w:rsidRDefault="00514E46" w:rsidP="00A60862">
      <w:pPr>
        <w:jc w:val="both"/>
        <w:rPr>
          <w:rFonts w:ascii="Corbel" w:hAnsi="Corbel"/>
        </w:rPr>
      </w:pPr>
      <w:r w:rsidRPr="001D6F3C">
        <w:rPr>
          <w:rFonts w:ascii="Corbel" w:hAnsi="Corbel"/>
        </w:rPr>
        <w:lastRenderedPageBreak/>
        <w:t xml:space="preserve">It is not clear that </w:t>
      </w:r>
      <w:r w:rsidR="00A915FC" w:rsidRPr="001D6F3C">
        <w:rPr>
          <w:rFonts w:ascii="Corbel" w:hAnsi="Corbel"/>
        </w:rPr>
        <w:t xml:space="preserve">the housing stock currently being constructed will be well suited to the needs of an </w:t>
      </w:r>
      <w:r w:rsidR="00383F5A" w:rsidRPr="001D6F3C">
        <w:rPr>
          <w:rFonts w:ascii="Corbel" w:hAnsi="Corbel"/>
        </w:rPr>
        <w:t>ageing p</w:t>
      </w:r>
      <w:r w:rsidR="00A915FC" w:rsidRPr="001D6F3C">
        <w:rPr>
          <w:rFonts w:ascii="Corbel" w:hAnsi="Corbel"/>
        </w:rPr>
        <w:t xml:space="preserve">opulation. </w:t>
      </w:r>
      <w:proofErr w:type="gramStart"/>
      <w:r w:rsidR="00BB745F" w:rsidRPr="001D6F3C">
        <w:rPr>
          <w:rFonts w:ascii="Corbel" w:hAnsi="Corbel"/>
        </w:rPr>
        <w:t>Three and four bedroom</w:t>
      </w:r>
      <w:proofErr w:type="gramEnd"/>
      <w:r w:rsidR="00BB745F" w:rsidRPr="001D6F3C">
        <w:rPr>
          <w:rFonts w:ascii="Corbel" w:hAnsi="Corbel"/>
        </w:rPr>
        <w:t xml:space="preserve"> family homes predominate, and </w:t>
      </w:r>
      <w:r w:rsidR="001A743F" w:rsidRPr="001D6F3C">
        <w:rPr>
          <w:rFonts w:ascii="Corbel" w:hAnsi="Corbel"/>
        </w:rPr>
        <w:t xml:space="preserve">very few </w:t>
      </w:r>
      <w:r w:rsidR="002F405D" w:rsidRPr="001D6F3C">
        <w:rPr>
          <w:rFonts w:ascii="Corbel" w:hAnsi="Corbel"/>
        </w:rPr>
        <w:t xml:space="preserve">new builds meet accessibility standards. </w:t>
      </w:r>
      <w:r w:rsidR="008D09B2" w:rsidRPr="001D6F3C">
        <w:rPr>
          <w:rFonts w:ascii="Corbel" w:hAnsi="Corbel"/>
        </w:rPr>
        <w:t>N</w:t>
      </w:r>
      <w:r w:rsidR="003C43D4" w:rsidRPr="001D6F3C">
        <w:rPr>
          <w:rFonts w:ascii="Corbel" w:hAnsi="Corbel"/>
        </w:rPr>
        <w:t xml:space="preserve">atural </w:t>
      </w:r>
      <w:r w:rsidR="008D09B2" w:rsidRPr="001D6F3C">
        <w:rPr>
          <w:rFonts w:ascii="Corbel" w:hAnsi="Corbel"/>
        </w:rPr>
        <w:t>inertia</w:t>
      </w:r>
      <w:r w:rsidR="003C43D4" w:rsidRPr="001D6F3C">
        <w:rPr>
          <w:rFonts w:ascii="Corbel" w:hAnsi="Corbel"/>
        </w:rPr>
        <w:t xml:space="preserve"> in </w:t>
      </w:r>
      <w:r w:rsidR="00B86F19" w:rsidRPr="001D6F3C">
        <w:rPr>
          <w:rFonts w:ascii="Corbel" w:hAnsi="Corbel"/>
        </w:rPr>
        <w:t xml:space="preserve">the makeup of housing stock means that </w:t>
      </w:r>
      <w:r w:rsidR="006D1090" w:rsidRPr="001D6F3C">
        <w:rPr>
          <w:rFonts w:ascii="Corbel" w:hAnsi="Corbel"/>
        </w:rPr>
        <w:t xml:space="preserve">even an immediate and dramatic shift in construction practices is unlikely to </w:t>
      </w:r>
      <w:r w:rsidR="00E943BA" w:rsidRPr="001D6F3C">
        <w:rPr>
          <w:rFonts w:ascii="Corbel" w:hAnsi="Corbel"/>
        </w:rPr>
        <w:t xml:space="preserve">make </w:t>
      </w:r>
      <w:r w:rsidR="009D254A" w:rsidRPr="001D6F3C">
        <w:rPr>
          <w:rFonts w:ascii="Corbel" w:hAnsi="Corbel"/>
        </w:rPr>
        <w:t xml:space="preserve">appropriate stock sufficiently available. </w:t>
      </w:r>
    </w:p>
    <w:p w14:paraId="1203B417" w14:textId="7C0981AF" w:rsidR="00A955BA" w:rsidRPr="001D6F3C" w:rsidRDefault="00A62EE9" w:rsidP="00A60862">
      <w:pPr>
        <w:jc w:val="both"/>
        <w:rPr>
          <w:rFonts w:ascii="Corbel" w:hAnsi="Corbel"/>
        </w:rPr>
      </w:pPr>
      <w:r w:rsidRPr="001D6F3C">
        <w:rPr>
          <w:rFonts w:ascii="Corbel" w:hAnsi="Corbel"/>
        </w:rPr>
        <w:t xml:space="preserve">The changing makeup of the ageing population means that more older people are likely to live in multigenerational households. This carries a range of implications for these older people as well as the families who they live with. </w:t>
      </w:r>
      <w:r w:rsidR="001B6E81" w:rsidRPr="001D6F3C">
        <w:rPr>
          <w:rFonts w:ascii="Corbel" w:hAnsi="Corbel"/>
        </w:rPr>
        <w:t xml:space="preserve">If multigenerational living is seen as a desirable outcome there could be policy solutions to support it, including supporting the construction or conversion of appropriately configured housing stock. </w:t>
      </w:r>
    </w:p>
    <w:p w14:paraId="4829338F" w14:textId="72FB37AC" w:rsidR="00A62EE9" w:rsidRPr="001D6F3C" w:rsidRDefault="00A62EE9" w:rsidP="00A60862">
      <w:pPr>
        <w:pStyle w:val="Heading2"/>
        <w:jc w:val="both"/>
        <w:rPr>
          <w:rFonts w:ascii="Corbel" w:hAnsi="Corbel"/>
        </w:rPr>
      </w:pPr>
      <w:bookmarkStart w:id="85" w:name="_Toc207783003"/>
      <w:r w:rsidRPr="001D6F3C">
        <w:rPr>
          <w:rFonts w:ascii="Corbel" w:hAnsi="Corbel"/>
        </w:rPr>
        <w:t>3.</w:t>
      </w:r>
      <w:r w:rsidR="00382E63">
        <w:rPr>
          <w:rFonts w:ascii="Corbel" w:hAnsi="Corbel"/>
        </w:rPr>
        <w:t>9</w:t>
      </w:r>
      <w:r w:rsidR="00045651" w:rsidRPr="001D6F3C">
        <w:rPr>
          <w:rFonts w:ascii="Corbel" w:hAnsi="Corbel"/>
        </w:rPr>
        <w:t xml:space="preserve"> </w:t>
      </w:r>
      <w:r w:rsidRPr="001D6F3C">
        <w:rPr>
          <w:rFonts w:ascii="Corbel" w:hAnsi="Corbel"/>
          <w:b/>
          <w:bCs/>
        </w:rPr>
        <w:t>Wealth</w:t>
      </w:r>
      <w:r w:rsidR="00BE5D57" w:rsidRPr="001D6F3C">
        <w:rPr>
          <w:rFonts w:ascii="Corbel" w:hAnsi="Corbel"/>
          <w:b/>
          <w:bCs/>
        </w:rPr>
        <w:t xml:space="preserve"> </w:t>
      </w:r>
      <w:r w:rsidR="00BE5D57" w:rsidRPr="001D6F3C">
        <w:rPr>
          <w:rFonts w:ascii="Corbel" w:hAnsi="Corbel"/>
          <w:b/>
          <w:bCs/>
          <w:i/>
          <w:iCs/>
        </w:rPr>
        <w:t xml:space="preserve">- </w:t>
      </w:r>
      <w:r w:rsidR="00226447" w:rsidRPr="001D6F3C">
        <w:rPr>
          <w:rStyle w:val="Emphasis"/>
          <w:rFonts w:ascii="Corbel" w:hAnsi="Corbel"/>
          <w:i w:val="0"/>
        </w:rPr>
        <w:t>n</w:t>
      </w:r>
      <w:r w:rsidRPr="001D6F3C">
        <w:rPr>
          <w:rStyle w:val="Emphasis"/>
          <w:rFonts w:ascii="Corbel" w:hAnsi="Corbel"/>
          <w:i w:val="0"/>
        </w:rPr>
        <w:t xml:space="preserve">et worth </w:t>
      </w:r>
      <w:r w:rsidR="00125F2F" w:rsidRPr="001D6F3C">
        <w:rPr>
          <w:rStyle w:val="Emphasis"/>
          <w:rFonts w:ascii="Corbel" w:hAnsi="Corbel"/>
          <w:i w:val="0"/>
        </w:rPr>
        <w:t>and</w:t>
      </w:r>
      <w:r w:rsidRPr="001D6F3C">
        <w:rPr>
          <w:rStyle w:val="Emphasis"/>
          <w:rFonts w:ascii="Corbel" w:hAnsi="Corbel"/>
          <w:i w:val="0"/>
        </w:rPr>
        <w:t xml:space="preserve"> inheritances</w:t>
      </w:r>
      <w:bookmarkEnd w:id="85"/>
    </w:p>
    <w:p w14:paraId="764D63F0" w14:textId="69E678F9" w:rsidR="00D45273" w:rsidRPr="001D6F3C" w:rsidRDefault="00D45273" w:rsidP="00A60862">
      <w:pPr>
        <w:pStyle w:val="Heading4"/>
        <w:jc w:val="both"/>
        <w:rPr>
          <w:rFonts w:ascii="Corbel" w:hAnsi="Corbel"/>
        </w:rPr>
      </w:pPr>
      <w:r w:rsidRPr="001D6F3C">
        <w:rPr>
          <w:rFonts w:ascii="Corbel" w:hAnsi="Corbel"/>
        </w:rPr>
        <w:t xml:space="preserve">The current distribution of wealth in New Zealand </w:t>
      </w:r>
    </w:p>
    <w:p w14:paraId="4B3BEE8C" w14:textId="1298FCCB" w:rsidR="00A62EE9" w:rsidRPr="001D6F3C" w:rsidRDefault="00A62EE9" w:rsidP="00A60862">
      <w:pPr>
        <w:jc w:val="both"/>
        <w:rPr>
          <w:rFonts w:ascii="Corbel" w:hAnsi="Corbel"/>
        </w:rPr>
      </w:pPr>
      <w:r w:rsidRPr="001D6F3C">
        <w:rPr>
          <w:rFonts w:ascii="Corbel" w:hAnsi="Corbel"/>
        </w:rPr>
        <w:t xml:space="preserve">MSD analysis indicates levels of wealth held by a household </w:t>
      </w:r>
      <w:r w:rsidR="004A0368" w:rsidRPr="001D6F3C">
        <w:rPr>
          <w:rFonts w:ascii="Corbel" w:hAnsi="Corbel"/>
        </w:rPr>
        <w:t xml:space="preserve">has </w:t>
      </w:r>
      <w:r w:rsidRPr="001D6F3C">
        <w:rPr>
          <w:rFonts w:ascii="Corbel" w:hAnsi="Corbel"/>
        </w:rPr>
        <w:t xml:space="preserve">a significant impact on material wellbeing and hardship for older New Zealanders. This wealth can be held as </w:t>
      </w:r>
      <w:proofErr w:type="gramStart"/>
      <w:r w:rsidRPr="001D6F3C">
        <w:rPr>
          <w:rFonts w:ascii="Corbel" w:hAnsi="Corbel"/>
        </w:rPr>
        <w:t>savings, but</w:t>
      </w:r>
      <w:proofErr w:type="gramEnd"/>
      <w:r w:rsidRPr="001D6F3C">
        <w:rPr>
          <w:rFonts w:ascii="Corbel" w:hAnsi="Corbel"/>
        </w:rPr>
        <w:t xml:space="preserve"> is also often held as housing</w:t>
      </w:r>
      <w:r w:rsidR="00C93014" w:rsidRPr="001D6F3C">
        <w:rPr>
          <w:rFonts w:ascii="Corbel" w:hAnsi="Corbel"/>
        </w:rPr>
        <w:t xml:space="preserve">. </w:t>
      </w:r>
      <w:r w:rsidR="00F34DEA" w:rsidRPr="001D6F3C">
        <w:rPr>
          <w:rFonts w:ascii="Corbel" w:hAnsi="Corbel"/>
        </w:rPr>
        <w:t>H</w:t>
      </w:r>
      <w:r w:rsidR="00C93014" w:rsidRPr="001D6F3C">
        <w:rPr>
          <w:rFonts w:ascii="Corbel" w:hAnsi="Corbel"/>
        </w:rPr>
        <w:t>ousing wealth</w:t>
      </w:r>
      <w:r w:rsidR="00F34DEA" w:rsidRPr="001D6F3C">
        <w:rPr>
          <w:rFonts w:ascii="Corbel" w:hAnsi="Corbel"/>
        </w:rPr>
        <w:t xml:space="preserve"> can minimise</w:t>
      </w:r>
      <w:r w:rsidRPr="001D6F3C">
        <w:rPr>
          <w:rFonts w:ascii="Corbel" w:hAnsi="Corbel"/>
        </w:rPr>
        <w:t xml:space="preserve"> housing costs and</w:t>
      </w:r>
      <w:r w:rsidR="00F34DEA" w:rsidRPr="001D6F3C">
        <w:rPr>
          <w:rFonts w:ascii="Corbel" w:hAnsi="Corbel"/>
        </w:rPr>
        <w:t xml:space="preserve"> be</w:t>
      </w:r>
      <w:r w:rsidRPr="001D6F3C">
        <w:rPr>
          <w:rFonts w:ascii="Corbel" w:hAnsi="Corbel"/>
        </w:rPr>
        <w:t xml:space="preserve"> liquidate</w:t>
      </w:r>
      <w:r w:rsidR="00F34DEA" w:rsidRPr="001D6F3C">
        <w:rPr>
          <w:rFonts w:ascii="Corbel" w:hAnsi="Corbel"/>
        </w:rPr>
        <w:t>d</w:t>
      </w:r>
      <w:r w:rsidR="00C93014" w:rsidRPr="001D6F3C">
        <w:rPr>
          <w:rFonts w:ascii="Corbel" w:hAnsi="Corbel"/>
        </w:rPr>
        <w:t xml:space="preserve"> it</w:t>
      </w:r>
      <w:r w:rsidRPr="001D6F3C">
        <w:rPr>
          <w:rFonts w:ascii="Corbel" w:hAnsi="Corbel"/>
        </w:rPr>
        <w:t xml:space="preserve"> to sustain living standards. </w:t>
      </w:r>
    </w:p>
    <w:p w14:paraId="553B4740" w14:textId="0E29DA58" w:rsidR="00A62EE9" w:rsidRPr="001D6F3C" w:rsidRDefault="00EC58A0" w:rsidP="00A60862">
      <w:pPr>
        <w:jc w:val="both"/>
        <w:rPr>
          <w:rFonts w:ascii="Corbel" w:hAnsi="Corbel"/>
        </w:rPr>
      </w:pPr>
      <w:r w:rsidRPr="001D6F3C">
        <w:rPr>
          <w:rFonts w:ascii="Corbel" w:hAnsi="Corbel"/>
        </w:rPr>
        <w:t xml:space="preserve">While wealth can be difficult to </w:t>
      </w:r>
      <w:r w:rsidR="00B97A1E" w:rsidRPr="001D6F3C">
        <w:rPr>
          <w:rFonts w:ascii="Corbel" w:hAnsi="Corbel"/>
        </w:rPr>
        <w:t>measure, various data sources indicate systematically lower</w:t>
      </w:r>
      <w:r w:rsidR="00A51CAE" w:rsidRPr="001D6F3C">
        <w:rPr>
          <w:rFonts w:ascii="Corbel" w:hAnsi="Corbel"/>
        </w:rPr>
        <w:t xml:space="preserve"> average</w:t>
      </w:r>
      <w:r w:rsidR="00B97A1E" w:rsidRPr="001D6F3C">
        <w:rPr>
          <w:rFonts w:ascii="Corbel" w:hAnsi="Corbel"/>
        </w:rPr>
        <w:t xml:space="preserve"> levels of wealth</w:t>
      </w:r>
      <w:r w:rsidR="00CB0F98" w:rsidRPr="001D6F3C">
        <w:rPr>
          <w:rFonts w:ascii="Corbel" w:hAnsi="Corbel"/>
        </w:rPr>
        <w:t xml:space="preserve"> </w:t>
      </w:r>
      <w:r w:rsidR="00353F5C" w:rsidRPr="001D6F3C">
        <w:rPr>
          <w:rFonts w:ascii="Corbel" w:hAnsi="Corbel"/>
        </w:rPr>
        <w:t>for some</w:t>
      </w:r>
      <w:r w:rsidR="00CB0F98" w:rsidRPr="001D6F3C">
        <w:rPr>
          <w:rFonts w:ascii="Corbel" w:hAnsi="Corbel"/>
        </w:rPr>
        <w:t xml:space="preserve"> ethnicities, for disabled people and women. </w:t>
      </w:r>
      <w:r w:rsidR="00A62EE9" w:rsidRPr="001D6F3C">
        <w:rPr>
          <w:rFonts w:ascii="Corbel" w:hAnsi="Corbel"/>
        </w:rPr>
        <w:t>Stats NZ net worth data</w:t>
      </w:r>
      <w:r w:rsidR="00B12201" w:rsidRPr="001D6F3C">
        <w:rPr>
          <w:rFonts w:ascii="Corbel" w:hAnsi="Corbel"/>
        </w:rPr>
        <w:t xml:space="preserve"> (2021)</w:t>
      </w:r>
      <w:r w:rsidR="00A62EE9" w:rsidRPr="001D6F3C">
        <w:rPr>
          <w:rFonts w:ascii="Corbel" w:hAnsi="Corbel"/>
        </w:rPr>
        <w:t xml:space="preserve"> suggests there are significant differences in the distribution of wealth in New Zealand, including:</w:t>
      </w:r>
    </w:p>
    <w:p w14:paraId="5E294CA6" w14:textId="7C478898" w:rsidR="00A62EE9" w:rsidRPr="001D6F3C" w:rsidRDefault="00A62EE9" w:rsidP="00D404C5">
      <w:pPr>
        <w:numPr>
          <w:ilvl w:val="0"/>
          <w:numId w:val="26"/>
        </w:numPr>
        <w:jc w:val="both"/>
        <w:rPr>
          <w:rFonts w:ascii="Corbel" w:hAnsi="Corbel"/>
        </w:rPr>
      </w:pPr>
      <w:r w:rsidRPr="001D6F3C">
        <w:rPr>
          <w:rFonts w:ascii="Corbel" w:hAnsi="Corbel"/>
          <w:i/>
          <w:iCs/>
        </w:rPr>
        <w:t>By net worth quintile</w:t>
      </w:r>
      <w:r w:rsidRPr="001D6F3C">
        <w:rPr>
          <w:rFonts w:ascii="Corbel" w:hAnsi="Corbel"/>
        </w:rPr>
        <w:t xml:space="preserve"> – mean</w:t>
      </w:r>
      <w:r w:rsidR="00B12201" w:rsidRPr="001D6F3C">
        <w:rPr>
          <w:rFonts w:ascii="Corbel" w:hAnsi="Corbel"/>
        </w:rPr>
        <w:t xml:space="preserve"> household</w:t>
      </w:r>
      <w:r w:rsidRPr="001D6F3C">
        <w:rPr>
          <w:rFonts w:ascii="Corbel" w:hAnsi="Corbel"/>
        </w:rPr>
        <w:t xml:space="preserve"> net worth for is $6,000 those in the lowest quintile, $403,000 for those in the middle quintile, and $3 million for those in the highest. </w:t>
      </w:r>
    </w:p>
    <w:p w14:paraId="716E5372" w14:textId="591B670D" w:rsidR="00A62EE9" w:rsidRPr="001D6F3C" w:rsidRDefault="00A62EE9" w:rsidP="00D404C5">
      <w:pPr>
        <w:numPr>
          <w:ilvl w:val="0"/>
          <w:numId w:val="26"/>
        </w:numPr>
        <w:jc w:val="both"/>
        <w:rPr>
          <w:rFonts w:ascii="Corbel" w:hAnsi="Corbel"/>
        </w:rPr>
      </w:pPr>
      <w:r w:rsidRPr="001D6F3C">
        <w:rPr>
          <w:rFonts w:ascii="Corbel" w:hAnsi="Corbel"/>
          <w:i/>
          <w:iCs/>
        </w:rPr>
        <w:t>By ethnicity</w:t>
      </w:r>
      <w:r w:rsidRPr="001D6F3C">
        <w:rPr>
          <w:rFonts w:ascii="Corbel" w:hAnsi="Corbel"/>
        </w:rPr>
        <w:t xml:space="preserve"> – median </w:t>
      </w:r>
      <w:r w:rsidR="00B12201" w:rsidRPr="001D6F3C">
        <w:rPr>
          <w:rFonts w:ascii="Corbel" w:hAnsi="Corbel"/>
        </w:rPr>
        <w:t xml:space="preserve">household </w:t>
      </w:r>
      <w:r w:rsidRPr="001D6F3C">
        <w:rPr>
          <w:rFonts w:ascii="Corbel" w:hAnsi="Corbel"/>
        </w:rPr>
        <w:t>net worth is $456,000 for a European household, $350,000 for Asian, $220,000 for Māori, and $160,000 for Pacific.</w:t>
      </w:r>
    </w:p>
    <w:p w14:paraId="1B301625" w14:textId="308787CB" w:rsidR="005C328A" w:rsidRPr="001D6F3C" w:rsidRDefault="00B12201" w:rsidP="00D404C5">
      <w:pPr>
        <w:numPr>
          <w:ilvl w:val="0"/>
          <w:numId w:val="26"/>
        </w:numPr>
        <w:jc w:val="both"/>
        <w:rPr>
          <w:rFonts w:ascii="Corbel" w:hAnsi="Corbel"/>
        </w:rPr>
      </w:pPr>
      <w:r w:rsidRPr="001D6F3C">
        <w:rPr>
          <w:rFonts w:ascii="Corbel" w:hAnsi="Corbel"/>
          <w:i/>
          <w:iCs/>
        </w:rPr>
        <w:t>By gender</w:t>
      </w:r>
      <w:r w:rsidRPr="001D6F3C">
        <w:rPr>
          <w:rFonts w:ascii="Corbel" w:hAnsi="Corbel"/>
        </w:rPr>
        <w:t xml:space="preserve"> – median individual net worth is $113,000 for men and $100,000 for women.</w:t>
      </w:r>
    </w:p>
    <w:p w14:paraId="13D7E0B2" w14:textId="652820BC" w:rsidR="002C13CB" w:rsidRPr="001D6F3C" w:rsidRDefault="002C13CB" w:rsidP="00A60862">
      <w:pPr>
        <w:pStyle w:val="Caption"/>
        <w:keepNext/>
        <w:jc w:val="both"/>
        <w:rPr>
          <w:rFonts w:ascii="Corbel" w:hAnsi="Corbel"/>
        </w:rPr>
      </w:pPr>
      <w:bookmarkStart w:id="86" w:name="_Toc203142304"/>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44</w:t>
      </w:r>
      <w:r w:rsidR="00585542" w:rsidRPr="001D6F3C">
        <w:rPr>
          <w:rFonts w:ascii="Corbel" w:hAnsi="Corbel"/>
        </w:rPr>
        <w:fldChar w:fldCharType="end"/>
      </w:r>
      <w:r w:rsidRPr="001D6F3C">
        <w:rPr>
          <w:rFonts w:ascii="Corbel" w:hAnsi="Corbel"/>
        </w:rPr>
        <w:t xml:space="preserve"> - household assets and liabilities - mean value by net worth quintile</w:t>
      </w:r>
      <w:bookmarkEnd w:id="86"/>
    </w:p>
    <w:p w14:paraId="73900AF6" w14:textId="399CB9D4" w:rsidR="00A62EE9" w:rsidRPr="001D6F3C" w:rsidRDefault="00E55F57" w:rsidP="00685399">
      <w:pPr>
        <w:jc w:val="center"/>
        <w:rPr>
          <w:rFonts w:ascii="Corbel" w:hAnsi="Corbel"/>
        </w:rPr>
      </w:pPr>
      <w:r w:rsidRPr="001D6F3C">
        <w:rPr>
          <w:rFonts w:ascii="Corbel" w:hAnsi="Corbel"/>
          <w:noProof/>
        </w:rPr>
        <w:drawing>
          <wp:inline distT="0" distB="0" distL="0" distR="0" wp14:anchorId="0B2C0DBB" wp14:editId="5FE649D5">
            <wp:extent cx="4574038" cy="3137480"/>
            <wp:effectExtent l="0" t="0" r="0" b="6350"/>
            <wp:docPr id="1643820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8729" cy="3140698"/>
                    </a:xfrm>
                    <a:prstGeom prst="rect">
                      <a:avLst/>
                    </a:prstGeom>
                    <a:noFill/>
                  </pic:spPr>
                </pic:pic>
              </a:graphicData>
            </a:graphic>
          </wp:inline>
        </w:drawing>
      </w:r>
    </w:p>
    <w:p w14:paraId="4164D355" w14:textId="35AECF31" w:rsidR="002C13CB" w:rsidRPr="001D6F3C" w:rsidRDefault="002C13CB" w:rsidP="00A60862">
      <w:pPr>
        <w:pStyle w:val="Caption"/>
        <w:keepNext/>
        <w:jc w:val="both"/>
        <w:rPr>
          <w:rFonts w:ascii="Corbel" w:hAnsi="Corbel"/>
        </w:rPr>
      </w:pPr>
      <w:bookmarkStart w:id="87" w:name="_Toc203142305"/>
      <w:r w:rsidRPr="001D6F3C">
        <w:rPr>
          <w:rFonts w:ascii="Corbel" w:hAnsi="Corbel"/>
        </w:rPr>
        <w:lastRenderedPageBreak/>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45</w:t>
      </w:r>
      <w:r w:rsidR="00585542" w:rsidRPr="001D6F3C">
        <w:rPr>
          <w:rFonts w:ascii="Corbel" w:hAnsi="Corbel"/>
        </w:rPr>
        <w:fldChar w:fldCharType="end"/>
      </w:r>
      <w:r w:rsidRPr="001D6F3C">
        <w:rPr>
          <w:rFonts w:ascii="Corbel" w:hAnsi="Corbel"/>
        </w:rPr>
        <w:t xml:space="preserve"> - median net worth for individuals - by ethnicity and age</w:t>
      </w:r>
      <w:bookmarkEnd w:id="87"/>
    </w:p>
    <w:p w14:paraId="33ED23DB" w14:textId="67D22403" w:rsidR="00A62EE9" w:rsidRPr="001D6F3C" w:rsidRDefault="00A62EE9" w:rsidP="00685399">
      <w:pPr>
        <w:jc w:val="center"/>
        <w:rPr>
          <w:rFonts w:ascii="Corbel" w:hAnsi="Corbel"/>
        </w:rPr>
      </w:pPr>
      <w:r w:rsidRPr="001D6F3C">
        <w:rPr>
          <w:rFonts w:ascii="Corbel" w:hAnsi="Corbel"/>
          <w:noProof/>
        </w:rPr>
        <w:drawing>
          <wp:inline distT="0" distB="0" distL="0" distR="0" wp14:anchorId="03BC8845" wp14:editId="29C5AC17">
            <wp:extent cx="3906981" cy="1785371"/>
            <wp:effectExtent l="0" t="0" r="0" b="5715"/>
            <wp:docPr id="99761187" name="Picture 4">
              <a:extLst xmlns:a="http://schemas.openxmlformats.org/drawingml/2006/main">
                <a:ext uri="{FF2B5EF4-FFF2-40B4-BE49-F238E27FC236}">
                  <a16:creationId xmlns:a16="http://schemas.microsoft.com/office/drawing/2014/main" id="{89BDE47B-D0E3-2817-3B6E-809DE858C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9BDE47B-D0E3-2817-3B6E-809DE858C899}"/>
                        </a:ext>
                      </a:extLst>
                    </pic:cNvPr>
                    <pic:cNvPicPr>
                      <a:picLocks noChangeAspect="1"/>
                    </pic:cNvPicPr>
                  </pic:nvPicPr>
                  <pic:blipFill rotWithShape="1">
                    <a:blip r:embed="rId80"/>
                    <a:srcRect t="11467"/>
                    <a:stretch/>
                  </pic:blipFill>
                  <pic:spPr bwMode="auto">
                    <a:xfrm>
                      <a:off x="0" y="0"/>
                      <a:ext cx="3948553" cy="1804368"/>
                    </a:xfrm>
                    <a:prstGeom prst="rect">
                      <a:avLst/>
                    </a:prstGeom>
                    <a:ln>
                      <a:noFill/>
                    </a:ln>
                    <a:extLst>
                      <a:ext uri="{53640926-AAD7-44D8-BBD7-CCE9431645EC}">
                        <a14:shadowObscured xmlns:a14="http://schemas.microsoft.com/office/drawing/2010/main"/>
                      </a:ext>
                    </a:extLst>
                  </pic:spPr>
                </pic:pic>
              </a:graphicData>
            </a:graphic>
          </wp:inline>
        </w:drawing>
      </w:r>
    </w:p>
    <w:p w14:paraId="23579B8B" w14:textId="15B35ABF" w:rsidR="00D45273" w:rsidRPr="001D6F3C" w:rsidRDefault="00D45273" w:rsidP="00A60862">
      <w:pPr>
        <w:pStyle w:val="Heading4"/>
        <w:jc w:val="both"/>
        <w:rPr>
          <w:rFonts w:ascii="Corbel" w:hAnsi="Corbel"/>
        </w:rPr>
      </w:pPr>
      <w:r w:rsidRPr="001D6F3C">
        <w:rPr>
          <w:rFonts w:ascii="Corbel" w:hAnsi="Corbel"/>
        </w:rPr>
        <w:t>Intergenerational wealth transfer</w:t>
      </w:r>
    </w:p>
    <w:p w14:paraId="30841FC5" w14:textId="6F24CB27" w:rsidR="00A62EE9" w:rsidRPr="001D6F3C" w:rsidRDefault="00A62EE9" w:rsidP="00A60862">
      <w:pPr>
        <w:jc w:val="both"/>
        <w:rPr>
          <w:rFonts w:ascii="Corbel" w:hAnsi="Corbel"/>
        </w:rPr>
      </w:pPr>
      <w:r w:rsidRPr="001D6F3C">
        <w:rPr>
          <w:rFonts w:ascii="Corbel" w:hAnsi="Corbel"/>
        </w:rPr>
        <w:t>When thinking about wealth in the future, an important consideration is ‘intergenerational wealth transfer’ via inheritances, which are an important contributor to the retirement savings of future older people. Those aged over 55 currently hold 60</w:t>
      </w:r>
      <w:r w:rsidR="00034AB1" w:rsidRPr="001D6F3C">
        <w:rPr>
          <w:rFonts w:ascii="Corbel" w:hAnsi="Corbel"/>
        </w:rPr>
        <w:t>%</w:t>
      </w:r>
      <w:r w:rsidRPr="001D6F3C">
        <w:rPr>
          <w:rFonts w:ascii="Corbel" w:hAnsi="Corbel"/>
        </w:rPr>
        <w:t xml:space="preserve"> of New Zealand’s $2.29 trillion total individual net wealth, and BERL has estimated that the value transferred by them in the next 20 years will be ~$1.11 trillion</w:t>
      </w:r>
      <w:r w:rsidR="0080223F" w:rsidRPr="001D6F3C">
        <w:rPr>
          <w:rFonts w:ascii="Corbel" w:hAnsi="Corbel"/>
        </w:rPr>
        <w:t xml:space="preserve"> (BERL 2024)</w:t>
      </w:r>
      <w:r w:rsidR="00034AB1" w:rsidRPr="001D6F3C">
        <w:rPr>
          <w:rFonts w:ascii="Corbel" w:hAnsi="Corbel"/>
        </w:rPr>
        <w:t>.</w:t>
      </w:r>
      <w:r w:rsidRPr="001D6F3C">
        <w:rPr>
          <w:rFonts w:ascii="Corbel" w:hAnsi="Corbel"/>
        </w:rPr>
        <w:t xml:space="preserve"> They conclude that the impact of ‘the great wealth transfer’ is “unlikely to be even” </w:t>
      </w:r>
      <w:proofErr w:type="gramStart"/>
      <w:r w:rsidR="00D255C2" w:rsidRPr="001D6F3C">
        <w:rPr>
          <w:rFonts w:ascii="Corbel" w:hAnsi="Corbel"/>
        </w:rPr>
        <w:t>in light of</w:t>
      </w:r>
      <w:proofErr w:type="gramEnd"/>
      <w:r w:rsidRPr="001D6F3C">
        <w:rPr>
          <w:rFonts w:ascii="Corbel" w:hAnsi="Corbel"/>
        </w:rPr>
        <w:t xml:space="preserve"> existing wealth inequalities, particularly when ethnicity is taken into account. </w:t>
      </w:r>
    </w:p>
    <w:p w14:paraId="57C39D02" w14:textId="51790837" w:rsidR="00A62EE9" w:rsidRPr="001D6F3C" w:rsidRDefault="00A62EE9" w:rsidP="00A60862">
      <w:pPr>
        <w:jc w:val="both"/>
        <w:rPr>
          <w:rFonts w:ascii="Corbel" w:hAnsi="Corbel"/>
        </w:rPr>
      </w:pPr>
      <w:r w:rsidRPr="001D6F3C">
        <w:rPr>
          <w:rFonts w:ascii="Corbel" w:hAnsi="Corbel"/>
        </w:rPr>
        <w:t>The OECD has noted that inheritances are becoming an increasing share of private wealth in many countries, and in the future are expected to grow in value if trends in asset prices continue. This could “further increase wealth inequality and widen the gap between, for instance, the older asset-owning generations and younger generations, who might face increasingly high housing prices”.</w:t>
      </w:r>
    </w:p>
    <w:p w14:paraId="066B4AC5" w14:textId="4B02682F" w:rsidR="00A62EE9" w:rsidRPr="001D6F3C" w:rsidRDefault="00A62EE9" w:rsidP="00A60862">
      <w:pPr>
        <w:jc w:val="both"/>
        <w:rPr>
          <w:rFonts w:ascii="Corbel" w:hAnsi="Corbel"/>
        </w:rPr>
      </w:pPr>
      <w:r w:rsidRPr="001D6F3C">
        <w:rPr>
          <w:rFonts w:ascii="Corbel" w:hAnsi="Corbel"/>
        </w:rPr>
        <w:t>As people inherit later in life, this could exacerbate disparities</w:t>
      </w:r>
      <w:r w:rsidRPr="001D6F3C">
        <w:rPr>
          <w:rFonts w:ascii="Corbel" w:hAnsi="Corbel"/>
          <w:i/>
          <w:iCs/>
        </w:rPr>
        <w:t xml:space="preserve"> within </w:t>
      </w:r>
      <w:r w:rsidRPr="001D6F3C">
        <w:rPr>
          <w:rFonts w:ascii="Corbel" w:hAnsi="Corbel"/>
        </w:rPr>
        <w:t>generations too: “Because wealth is increasingly concentrated and wealthy households tend to receive more and higher value inheritances, intra-generational inequality is also likely to increase. Low fertility rates and smaller families may also mean that there are fewer close family members amongst whom wealth may be divided, so heirs receive a larger share of the donor’s estate.”</w:t>
      </w:r>
      <w:r w:rsidR="0080223F" w:rsidRPr="001D6F3C">
        <w:rPr>
          <w:rFonts w:ascii="Corbel" w:hAnsi="Corbel"/>
        </w:rPr>
        <w:t xml:space="preserve"> (OECD 2021)</w:t>
      </w:r>
      <w:r w:rsidRPr="001D6F3C">
        <w:rPr>
          <w:rFonts w:ascii="Corbel" w:hAnsi="Corbel"/>
        </w:rPr>
        <w:t xml:space="preserve"> </w:t>
      </w:r>
    </w:p>
    <w:p w14:paraId="5D201067" w14:textId="1F3B8B06" w:rsidR="00A62EE9" w:rsidRPr="001D6F3C" w:rsidRDefault="00C93014" w:rsidP="00A60862">
      <w:pPr>
        <w:jc w:val="both"/>
        <w:rPr>
          <w:rFonts w:ascii="Corbel" w:hAnsi="Corbel"/>
        </w:rPr>
      </w:pPr>
      <w:r w:rsidRPr="001D6F3C">
        <w:rPr>
          <w:rFonts w:ascii="Corbel" w:hAnsi="Corbel"/>
        </w:rPr>
        <w:t>In New Zealand, t</w:t>
      </w:r>
      <w:r w:rsidR="00A62EE9" w:rsidRPr="001D6F3C">
        <w:rPr>
          <w:rFonts w:ascii="Corbel" w:hAnsi="Corbel"/>
        </w:rPr>
        <w:t xml:space="preserve">here is evidence to suggest wealth has become even more concentrated in those who are older. As shown in </w:t>
      </w:r>
      <w:r w:rsidR="007C108B" w:rsidRPr="001D6F3C">
        <w:rPr>
          <w:rFonts w:ascii="Corbel" w:hAnsi="Corbel"/>
        </w:rPr>
        <w:fldChar w:fldCharType="begin"/>
      </w:r>
      <w:r w:rsidR="007C108B" w:rsidRPr="001D6F3C">
        <w:rPr>
          <w:rFonts w:ascii="Corbel" w:hAnsi="Corbel"/>
        </w:rPr>
        <w:instrText xml:space="preserve"> REF _Ref203142450 \h </w:instrText>
      </w:r>
      <w:r w:rsidR="001D6F3C">
        <w:rPr>
          <w:rFonts w:ascii="Corbel" w:hAnsi="Corbel"/>
        </w:rPr>
        <w:instrText xml:space="preserve"> \* MERGEFORMAT </w:instrText>
      </w:r>
      <w:r w:rsidR="007C108B" w:rsidRPr="001D6F3C">
        <w:rPr>
          <w:rFonts w:ascii="Corbel" w:hAnsi="Corbel"/>
        </w:rPr>
      </w:r>
      <w:r w:rsidR="007C108B" w:rsidRPr="001D6F3C">
        <w:rPr>
          <w:rFonts w:ascii="Corbel" w:hAnsi="Corbel"/>
        </w:rPr>
        <w:fldChar w:fldCharType="separate"/>
      </w:r>
      <w:r w:rsidR="007C108B" w:rsidRPr="001D6F3C">
        <w:rPr>
          <w:rFonts w:ascii="Corbel" w:hAnsi="Corbel"/>
        </w:rPr>
        <w:t xml:space="preserve">Figure </w:t>
      </w:r>
      <w:r w:rsidR="007C108B" w:rsidRPr="001D6F3C">
        <w:rPr>
          <w:rFonts w:ascii="Corbel" w:hAnsi="Corbel"/>
          <w:noProof/>
        </w:rPr>
        <w:t>46</w:t>
      </w:r>
      <w:r w:rsidR="007C108B" w:rsidRPr="001D6F3C">
        <w:rPr>
          <w:rFonts w:ascii="Corbel" w:hAnsi="Corbel"/>
        </w:rPr>
        <w:fldChar w:fldCharType="end"/>
      </w:r>
      <w:r w:rsidR="00095E20" w:rsidRPr="001D6F3C">
        <w:rPr>
          <w:rFonts w:ascii="Corbel" w:hAnsi="Corbel"/>
        </w:rPr>
        <w:t xml:space="preserve"> below</w:t>
      </w:r>
      <w:r w:rsidR="00A62EE9" w:rsidRPr="001D6F3C">
        <w:rPr>
          <w:rFonts w:ascii="Corbel" w:hAnsi="Corbel"/>
        </w:rPr>
        <w:t>, between 2001 and 2018, older people gained substantially more than younger people from wealth increases, due to trends in house prices, capital gains, and other factors</w:t>
      </w:r>
      <w:r w:rsidR="00EE50E2" w:rsidRPr="001D6F3C">
        <w:rPr>
          <w:rFonts w:ascii="Corbel" w:hAnsi="Corbel"/>
        </w:rPr>
        <w:t xml:space="preserve"> (Symes 2021)</w:t>
      </w:r>
      <w:r w:rsidR="00A62EE9" w:rsidRPr="001D6F3C">
        <w:rPr>
          <w:rFonts w:ascii="Corbel" w:hAnsi="Corbel"/>
        </w:rPr>
        <w:t>.</w:t>
      </w:r>
      <w:r w:rsidR="00A62EE9" w:rsidRPr="001D6F3C">
        <w:rPr>
          <w:rFonts w:ascii="Corbel" w:hAnsi="Corbel"/>
          <w:vertAlign w:val="superscript"/>
        </w:rPr>
        <w:t xml:space="preserve"> </w:t>
      </w:r>
      <w:r w:rsidR="00A62EE9" w:rsidRPr="001D6F3C">
        <w:rPr>
          <w:rFonts w:ascii="Corbel" w:hAnsi="Corbel"/>
        </w:rPr>
        <w:t>This is likely to have significant implications for intergenerational wealth transfer and for differences in savings for future older people.</w:t>
      </w:r>
    </w:p>
    <w:p w14:paraId="2446C7A7" w14:textId="7FEE1793" w:rsidR="00A62EE9" w:rsidRPr="001D6F3C" w:rsidRDefault="002C13CB" w:rsidP="00A60862">
      <w:pPr>
        <w:pStyle w:val="Caption"/>
        <w:jc w:val="both"/>
        <w:rPr>
          <w:rFonts w:ascii="Corbel" w:hAnsi="Corbel"/>
        </w:rPr>
      </w:pPr>
      <w:bookmarkStart w:id="88" w:name="_Ref203142450"/>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46</w:t>
      </w:r>
      <w:r w:rsidR="00585542" w:rsidRPr="001D6F3C">
        <w:rPr>
          <w:rFonts w:ascii="Corbel" w:hAnsi="Corbel"/>
        </w:rPr>
        <w:fldChar w:fldCharType="end"/>
      </w:r>
      <w:bookmarkEnd w:id="88"/>
      <w:r w:rsidRPr="001D6F3C">
        <w:rPr>
          <w:rFonts w:ascii="Corbel" w:hAnsi="Corbel"/>
        </w:rPr>
        <w:t xml:space="preserve"> - median wealth by age in 2001 and 2018</w:t>
      </w:r>
      <w:bookmarkStart w:id="89" w:name="_Toc203142306"/>
      <w:r w:rsidR="003D30FF" w:rsidRPr="001D6F3C">
        <w:rPr>
          <w:rFonts w:ascii="Corbel" w:hAnsi="Corbel"/>
        </w:rPr>
        <w:t xml:space="preserve"> ($2018)</w:t>
      </w:r>
      <w:bookmarkEnd w:id="89"/>
    </w:p>
    <w:p w14:paraId="44C95754" w14:textId="59E3AA31" w:rsidR="00A62EE9" w:rsidRPr="001D6F3C" w:rsidRDefault="00A62EE9" w:rsidP="00685399">
      <w:pPr>
        <w:jc w:val="center"/>
        <w:rPr>
          <w:rFonts w:ascii="Corbel" w:hAnsi="Corbel"/>
        </w:rPr>
      </w:pPr>
      <w:r w:rsidRPr="001D6F3C">
        <w:rPr>
          <w:rFonts w:ascii="Corbel" w:hAnsi="Corbel"/>
          <w:noProof/>
        </w:rPr>
        <w:drawing>
          <wp:inline distT="0" distB="0" distL="0" distR="0" wp14:anchorId="0E04F5AB" wp14:editId="12B50F01">
            <wp:extent cx="4025735" cy="1786425"/>
            <wp:effectExtent l="0" t="0" r="0" b="4445"/>
            <wp:docPr id="790922878" name="Picture 14">
              <a:extLst xmlns:a="http://schemas.openxmlformats.org/drawingml/2006/main">
                <a:ext uri="{FF2B5EF4-FFF2-40B4-BE49-F238E27FC236}">
                  <a16:creationId xmlns:a16="http://schemas.microsoft.com/office/drawing/2014/main" id="{9A7BC85B-A90A-B87D-C1B4-E58248DF8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A7BC85B-A90A-B87D-C1B4-E58248DF8D90}"/>
                        </a:ext>
                      </a:extLst>
                    </pic:cNvPr>
                    <pic:cNvPicPr>
                      <a:picLocks noChangeAspect="1"/>
                    </pic:cNvPicPr>
                  </pic:nvPicPr>
                  <pic:blipFill rotWithShape="1">
                    <a:blip r:embed="rId81"/>
                    <a:srcRect t="11174"/>
                    <a:stretch/>
                  </pic:blipFill>
                  <pic:spPr bwMode="auto">
                    <a:xfrm>
                      <a:off x="0" y="0"/>
                      <a:ext cx="4049936" cy="1797164"/>
                    </a:xfrm>
                    <a:prstGeom prst="rect">
                      <a:avLst/>
                    </a:prstGeom>
                    <a:ln>
                      <a:noFill/>
                    </a:ln>
                    <a:extLst>
                      <a:ext uri="{53640926-AAD7-44D8-BBD7-CCE9431645EC}">
                        <a14:shadowObscured xmlns:a14="http://schemas.microsoft.com/office/drawing/2010/main"/>
                      </a:ext>
                    </a:extLst>
                  </pic:spPr>
                </pic:pic>
              </a:graphicData>
            </a:graphic>
          </wp:inline>
        </w:drawing>
      </w:r>
    </w:p>
    <w:p w14:paraId="07DA42F8" w14:textId="2ECB2719" w:rsidR="00BE5D57" w:rsidRPr="001D6F3C" w:rsidRDefault="00BE5D57" w:rsidP="00A60862">
      <w:pPr>
        <w:pStyle w:val="Heading2"/>
        <w:jc w:val="both"/>
        <w:rPr>
          <w:rStyle w:val="Emphasis"/>
          <w:rFonts w:ascii="Corbel" w:hAnsi="Corbel"/>
        </w:rPr>
      </w:pPr>
      <w:bookmarkStart w:id="90" w:name="_Toc207783004"/>
      <w:r w:rsidRPr="001D6F3C">
        <w:rPr>
          <w:rFonts w:ascii="Corbel" w:hAnsi="Corbel"/>
        </w:rPr>
        <w:lastRenderedPageBreak/>
        <w:t>3.</w:t>
      </w:r>
      <w:r w:rsidR="00382E63">
        <w:rPr>
          <w:rFonts w:ascii="Corbel" w:hAnsi="Corbel"/>
        </w:rPr>
        <w:t>10</w:t>
      </w:r>
      <w:r w:rsidRPr="001D6F3C">
        <w:rPr>
          <w:rFonts w:ascii="Corbel" w:hAnsi="Corbel"/>
        </w:rPr>
        <w:t xml:space="preserve"> </w:t>
      </w:r>
      <w:r w:rsidRPr="001D6F3C">
        <w:rPr>
          <w:rFonts w:ascii="Corbel" w:hAnsi="Corbel"/>
          <w:b/>
          <w:bCs/>
        </w:rPr>
        <w:t xml:space="preserve">Wealth </w:t>
      </w:r>
      <w:r w:rsidRPr="001D6F3C">
        <w:rPr>
          <w:rFonts w:ascii="Corbel" w:hAnsi="Corbel"/>
          <w:b/>
          <w:bCs/>
          <w:i/>
          <w:iCs/>
        </w:rPr>
        <w:t xml:space="preserve">– </w:t>
      </w:r>
      <w:r w:rsidR="009E0D92" w:rsidRPr="001D6F3C">
        <w:rPr>
          <w:rStyle w:val="Emphasis"/>
          <w:rFonts w:ascii="Corbel" w:hAnsi="Corbel"/>
          <w:i w:val="0"/>
        </w:rPr>
        <w:t>KiwiSaver</w:t>
      </w:r>
      <w:bookmarkEnd w:id="90"/>
    </w:p>
    <w:p w14:paraId="26D878A0" w14:textId="629B71D1" w:rsidR="00D45273" w:rsidRPr="001D6F3C" w:rsidRDefault="00D45273" w:rsidP="00A60862">
      <w:pPr>
        <w:pStyle w:val="Heading4"/>
        <w:jc w:val="both"/>
        <w:rPr>
          <w:rFonts w:ascii="Corbel" w:hAnsi="Corbel"/>
        </w:rPr>
      </w:pPr>
      <w:r w:rsidRPr="001D6F3C">
        <w:rPr>
          <w:rFonts w:ascii="Corbel" w:hAnsi="Corbel"/>
        </w:rPr>
        <w:t>Overall trends in contributions and balances</w:t>
      </w:r>
    </w:p>
    <w:p w14:paraId="2745B925" w14:textId="5DCBEAA2" w:rsidR="00BE5D57" w:rsidRPr="001D6F3C" w:rsidRDefault="009E0D92" w:rsidP="00A60862">
      <w:pPr>
        <w:jc w:val="both"/>
        <w:rPr>
          <w:rFonts w:ascii="Corbel" w:hAnsi="Corbel"/>
        </w:rPr>
      </w:pPr>
      <w:r w:rsidRPr="001D6F3C">
        <w:rPr>
          <w:rFonts w:ascii="Corbel" w:hAnsi="Corbel"/>
        </w:rPr>
        <w:t>KiwiSaver</w:t>
      </w:r>
      <w:r w:rsidR="00BE5D57" w:rsidRPr="001D6F3C">
        <w:rPr>
          <w:rFonts w:ascii="Corbel" w:hAnsi="Corbel"/>
        </w:rPr>
        <w:t xml:space="preserve"> is an increasingly important part of the retirement income picture - contributions have been steadily rising in real terms since the scheme began, reaching $10.5 billion in 2024. </w:t>
      </w:r>
    </w:p>
    <w:p w14:paraId="4B8BB94E" w14:textId="54CD5042" w:rsidR="002C13CB" w:rsidRPr="001D6F3C" w:rsidRDefault="002C13CB" w:rsidP="00A60862">
      <w:pPr>
        <w:pStyle w:val="Caption"/>
        <w:keepNext/>
        <w:jc w:val="both"/>
        <w:rPr>
          <w:rFonts w:ascii="Corbel" w:hAnsi="Corbel"/>
        </w:rPr>
      </w:pPr>
      <w:bookmarkStart w:id="91" w:name="_Toc203142307"/>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47</w:t>
      </w:r>
      <w:r w:rsidR="00585542" w:rsidRPr="001D6F3C">
        <w:rPr>
          <w:rFonts w:ascii="Corbel" w:hAnsi="Corbel"/>
        </w:rPr>
        <w:fldChar w:fldCharType="end"/>
      </w:r>
      <w:r w:rsidRPr="001D6F3C">
        <w:rPr>
          <w:rFonts w:ascii="Corbel" w:hAnsi="Corbel"/>
        </w:rPr>
        <w:t xml:space="preserve"> - total </w:t>
      </w:r>
      <w:proofErr w:type="spellStart"/>
      <w:r w:rsidRPr="001D6F3C">
        <w:rPr>
          <w:rFonts w:ascii="Corbel" w:hAnsi="Corbel"/>
        </w:rPr>
        <w:t>kiwisaver</w:t>
      </w:r>
      <w:proofErr w:type="spellEnd"/>
      <w:r w:rsidRPr="001D6F3C">
        <w:rPr>
          <w:rFonts w:ascii="Corbel" w:hAnsi="Corbel"/>
        </w:rPr>
        <w:t xml:space="preserve"> contributions 2008-2024 ($2024</w:t>
      </w:r>
      <w:r w:rsidRPr="001D6F3C">
        <w:rPr>
          <w:rFonts w:ascii="Corbel" w:hAnsi="Corbel"/>
          <w:noProof/>
        </w:rPr>
        <w:t>)</w:t>
      </w:r>
      <w:bookmarkEnd w:id="91"/>
    </w:p>
    <w:p w14:paraId="0D0CF869" w14:textId="66632D0A" w:rsidR="00BE5D57" w:rsidRPr="001D6F3C" w:rsidRDefault="00BE5D57" w:rsidP="00DD341A">
      <w:pPr>
        <w:jc w:val="center"/>
        <w:rPr>
          <w:rFonts w:ascii="Corbel" w:hAnsi="Corbel"/>
        </w:rPr>
      </w:pPr>
      <w:r w:rsidRPr="001D6F3C">
        <w:rPr>
          <w:rFonts w:ascii="Corbel" w:hAnsi="Corbel"/>
          <w:noProof/>
        </w:rPr>
        <w:drawing>
          <wp:inline distT="0" distB="0" distL="0" distR="0" wp14:anchorId="05C3D072" wp14:editId="47A084F3">
            <wp:extent cx="4840014" cy="1936387"/>
            <wp:effectExtent l="0" t="0" r="0" b="6985"/>
            <wp:docPr id="1413384337" name="Picture 9">
              <a:extLst xmlns:a="http://schemas.openxmlformats.org/drawingml/2006/main">
                <a:ext uri="{FF2B5EF4-FFF2-40B4-BE49-F238E27FC236}">
                  <a16:creationId xmlns:a16="http://schemas.microsoft.com/office/drawing/2014/main" id="{A0693F25-F61D-C26D-8AA9-011692CEF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0693F25-F61D-C26D-8AA9-011692CEFF94}"/>
                        </a:ext>
                      </a:extLst>
                    </pic:cNvPr>
                    <pic:cNvPicPr>
                      <a:picLocks noChangeAspect="1"/>
                    </pic:cNvPicPr>
                  </pic:nvPicPr>
                  <pic:blipFill rotWithShape="1">
                    <a:blip r:embed="rId82"/>
                    <a:srcRect t="16744"/>
                    <a:stretch/>
                  </pic:blipFill>
                  <pic:spPr bwMode="auto">
                    <a:xfrm>
                      <a:off x="0" y="0"/>
                      <a:ext cx="4859303" cy="1944104"/>
                    </a:xfrm>
                    <a:prstGeom prst="rect">
                      <a:avLst/>
                    </a:prstGeom>
                    <a:ln>
                      <a:noFill/>
                    </a:ln>
                    <a:extLst>
                      <a:ext uri="{53640926-AAD7-44D8-BBD7-CCE9431645EC}">
                        <a14:shadowObscured xmlns:a14="http://schemas.microsoft.com/office/drawing/2010/main"/>
                      </a:ext>
                    </a:extLst>
                  </pic:spPr>
                </pic:pic>
              </a:graphicData>
            </a:graphic>
          </wp:inline>
        </w:drawing>
      </w:r>
    </w:p>
    <w:p w14:paraId="38EC991A" w14:textId="3C4DDF97" w:rsidR="00BE5D57" w:rsidRPr="001D6F3C" w:rsidRDefault="00BE5D57" w:rsidP="00A60862">
      <w:pPr>
        <w:jc w:val="both"/>
        <w:rPr>
          <w:rFonts w:ascii="Corbel" w:hAnsi="Corbel"/>
        </w:rPr>
      </w:pPr>
      <w:r w:rsidRPr="001D6F3C">
        <w:rPr>
          <w:rFonts w:ascii="Corbel" w:hAnsi="Corbel"/>
        </w:rPr>
        <w:t xml:space="preserve">Because the scheme was only established in 2006, its full impact on the retirement income system is yet to be seen – we have not yet had generations reaching 65 </w:t>
      </w:r>
      <w:r w:rsidR="00C930B6" w:rsidRPr="001D6F3C">
        <w:rPr>
          <w:rFonts w:ascii="Corbel" w:hAnsi="Corbel"/>
        </w:rPr>
        <w:t xml:space="preserve">who </w:t>
      </w:r>
      <w:r w:rsidRPr="001D6F3C">
        <w:rPr>
          <w:rFonts w:ascii="Corbel" w:hAnsi="Corbel"/>
        </w:rPr>
        <w:t xml:space="preserve">have contributed to the scheme </w:t>
      </w:r>
      <w:r w:rsidR="00795117" w:rsidRPr="001D6F3C">
        <w:rPr>
          <w:rFonts w:ascii="Corbel" w:hAnsi="Corbel"/>
        </w:rPr>
        <w:t xml:space="preserve">for </w:t>
      </w:r>
      <w:r w:rsidR="00C930B6" w:rsidRPr="001D6F3C">
        <w:rPr>
          <w:rFonts w:ascii="Corbel" w:hAnsi="Corbel"/>
        </w:rPr>
        <w:t xml:space="preserve">all or </w:t>
      </w:r>
      <w:r w:rsidR="00795117" w:rsidRPr="001D6F3C">
        <w:rPr>
          <w:rFonts w:ascii="Corbel" w:hAnsi="Corbel"/>
        </w:rPr>
        <w:t>most of</w:t>
      </w:r>
      <w:r w:rsidRPr="001D6F3C">
        <w:rPr>
          <w:rFonts w:ascii="Corbel" w:hAnsi="Corbel"/>
        </w:rPr>
        <w:t xml:space="preserve"> their working lives.</w:t>
      </w:r>
    </w:p>
    <w:p w14:paraId="700FBF68" w14:textId="44A41343" w:rsidR="00BE5D57" w:rsidRPr="001D6F3C" w:rsidRDefault="00BE5D57" w:rsidP="00A60862">
      <w:pPr>
        <w:jc w:val="both"/>
        <w:rPr>
          <w:rFonts w:ascii="Corbel" w:hAnsi="Corbel"/>
        </w:rPr>
      </w:pPr>
      <w:r w:rsidRPr="001D6F3C">
        <w:rPr>
          <w:rFonts w:ascii="Corbel" w:hAnsi="Corbel"/>
        </w:rPr>
        <w:t xml:space="preserve">The Retirement Commission has released various data on contributions and balances which shows how the scheme is currently working. </w:t>
      </w:r>
      <w:r w:rsidR="00795117" w:rsidRPr="001D6F3C">
        <w:rPr>
          <w:rFonts w:ascii="Corbel" w:hAnsi="Corbel"/>
        </w:rPr>
        <w:t>T</w:t>
      </w:r>
      <w:r w:rsidRPr="001D6F3C">
        <w:rPr>
          <w:rFonts w:ascii="Corbel" w:hAnsi="Corbel"/>
        </w:rPr>
        <w:t xml:space="preserve">he average balance is $37,079, and higher for men ($42,700) than women ($34,200). This average is brought up by a small group with higher balances - 12% have balances over $80,000. </w:t>
      </w:r>
      <w:r w:rsidR="00795117" w:rsidRPr="001D6F3C">
        <w:rPr>
          <w:rFonts w:ascii="Corbel" w:hAnsi="Corbel"/>
        </w:rPr>
        <w:t xml:space="preserve">In comparison, </w:t>
      </w:r>
      <w:r w:rsidRPr="001D6F3C">
        <w:rPr>
          <w:rFonts w:ascii="Corbel" w:hAnsi="Corbel"/>
        </w:rPr>
        <w:t>50% have balances under $20,000, and 70% have balances under $</w:t>
      </w:r>
      <w:r w:rsidR="00CE3CE5" w:rsidRPr="001D6F3C">
        <w:rPr>
          <w:rFonts w:ascii="Corbel" w:hAnsi="Corbel"/>
        </w:rPr>
        <w:t>40</w:t>
      </w:r>
      <w:r w:rsidRPr="001D6F3C">
        <w:rPr>
          <w:rFonts w:ascii="Corbel" w:hAnsi="Corbel"/>
        </w:rPr>
        <w:t>,000. Data by age bracket shows a steady increase in savings for older members, with those approaching 65 having higher average balances - $50,000-60,000 for women, and $70,000-80,000 for men. As the scheme matures, these balances can be expected to be higher for older members</w:t>
      </w:r>
      <w:r w:rsidR="008C44B3" w:rsidRPr="001D6F3C">
        <w:rPr>
          <w:rFonts w:ascii="Corbel" w:hAnsi="Corbel"/>
        </w:rPr>
        <w:t xml:space="preserve"> (Retirement Commission 2025)</w:t>
      </w:r>
      <w:r w:rsidR="00E955F6" w:rsidRPr="001D6F3C">
        <w:rPr>
          <w:rFonts w:ascii="Corbel" w:hAnsi="Corbel"/>
        </w:rPr>
        <w:t>.</w:t>
      </w:r>
    </w:p>
    <w:p w14:paraId="5F074C66" w14:textId="0476F542" w:rsidR="002C13CB" w:rsidRPr="001D6F3C" w:rsidRDefault="002C13CB" w:rsidP="00A60862">
      <w:pPr>
        <w:pStyle w:val="Caption"/>
        <w:keepNext/>
        <w:jc w:val="both"/>
        <w:rPr>
          <w:rFonts w:ascii="Corbel" w:hAnsi="Corbel"/>
        </w:rPr>
      </w:pPr>
      <w:bookmarkStart w:id="92" w:name="_Toc203142308"/>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48</w:t>
      </w:r>
      <w:r w:rsidR="00585542" w:rsidRPr="001D6F3C">
        <w:rPr>
          <w:rFonts w:ascii="Corbel" w:hAnsi="Corbel"/>
        </w:rPr>
        <w:fldChar w:fldCharType="end"/>
      </w:r>
      <w:r w:rsidRPr="001D6F3C">
        <w:rPr>
          <w:rFonts w:ascii="Corbel" w:hAnsi="Corbel"/>
        </w:rPr>
        <w:t xml:space="preserve"> - </w:t>
      </w:r>
      <w:proofErr w:type="spellStart"/>
      <w:r w:rsidRPr="001D6F3C">
        <w:rPr>
          <w:rFonts w:ascii="Corbel" w:hAnsi="Corbel"/>
        </w:rPr>
        <w:t>Kiwisaver</w:t>
      </w:r>
      <w:proofErr w:type="spellEnd"/>
      <w:r w:rsidRPr="001D6F3C">
        <w:rPr>
          <w:rFonts w:ascii="Corbel" w:hAnsi="Corbel"/>
        </w:rPr>
        <w:t xml:space="preserve"> - average balance by age and gender</w:t>
      </w:r>
      <w:bookmarkEnd w:id="92"/>
    </w:p>
    <w:p w14:paraId="4E907905" w14:textId="1549980D" w:rsidR="00BE5D57" w:rsidRPr="001D6F3C" w:rsidRDefault="00BE5D57" w:rsidP="00DD341A">
      <w:pPr>
        <w:jc w:val="center"/>
        <w:rPr>
          <w:rFonts w:ascii="Corbel" w:hAnsi="Corbel"/>
        </w:rPr>
      </w:pPr>
      <w:r w:rsidRPr="001D6F3C">
        <w:rPr>
          <w:rFonts w:ascii="Corbel" w:hAnsi="Corbel"/>
          <w:noProof/>
        </w:rPr>
        <w:drawing>
          <wp:inline distT="0" distB="0" distL="0" distR="0" wp14:anchorId="435AE29F" wp14:editId="62B2969C">
            <wp:extent cx="3752603" cy="2031068"/>
            <wp:effectExtent l="0" t="0" r="635" b="7620"/>
            <wp:docPr id="14" name="Picture 13">
              <a:extLst xmlns:a="http://schemas.openxmlformats.org/drawingml/2006/main">
                <a:ext uri="{FF2B5EF4-FFF2-40B4-BE49-F238E27FC236}">
                  <a16:creationId xmlns:a16="http://schemas.microsoft.com/office/drawing/2014/main" id="{B9810994-5878-C670-81AF-4FBAB2AC1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9810994-5878-C670-81AF-4FBAB2AC1F4D}"/>
                        </a:ext>
                      </a:extLst>
                    </pic:cNvPr>
                    <pic:cNvPicPr>
                      <a:picLocks noChangeAspect="1"/>
                    </pic:cNvPicPr>
                  </pic:nvPicPr>
                  <pic:blipFill rotWithShape="1">
                    <a:blip r:embed="rId83"/>
                    <a:srcRect t="12763"/>
                    <a:stretch/>
                  </pic:blipFill>
                  <pic:spPr bwMode="auto">
                    <a:xfrm>
                      <a:off x="0" y="0"/>
                      <a:ext cx="3781022" cy="2046450"/>
                    </a:xfrm>
                    <a:prstGeom prst="rect">
                      <a:avLst/>
                    </a:prstGeom>
                    <a:ln>
                      <a:noFill/>
                    </a:ln>
                    <a:extLst>
                      <a:ext uri="{53640926-AAD7-44D8-BBD7-CCE9431645EC}">
                        <a14:shadowObscured xmlns:a14="http://schemas.microsoft.com/office/drawing/2010/main"/>
                      </a:ext>
                    </a:extLst>
                  </pic:spPr>
                </pic:pic>
              </a:graphicData>
            </a:graphic>
          </wp:inline>
        </w:drawing>
      </w:r>
    </w:p>
    <w:p w14:paraId="08E2EEAC" w14:textId="485EA8AA" w:rsidR="00D45273" w:rsidRPr="001D6F3C" w:rsidRDefault="00D45273" w:rsidP="00A60862">
      <w:pPr>
        <w:pStyle w:val="Heading4"/>
        <w:jc w:val="both"/>
        <w:rPr>
          <w:rFonts w:ascii="Corbel" w:hAnsi="Corbel"/>
        </w:rPr>
      </w:pPr>
      <w:r w:rsidRPr="001D6F3C">
        <w:rPr>
          <w:rFonts w:ascii="Corbel" w:hAnsi="Corbel"/>
        </w:rPr>
        <w:lastRenderedPageBreak/>
        <w:t>Impact for those on lower incomes</w:t>
      </w:r>
    </w:p>
    <w:p w14:paraId="65D5096F" w14:textId="313CAD24" w:rsidR="00BE5D57" w:rsidRPr="001D6F3C" w:rsidRDefault="00BE5D57" w:rsidP="00A60862">
      <w:pPr>
        <w:jc w:val="both"/>
        <w:rPr>
          <w:rFonts w:ascii="Corbel" w:hAnsi="Corbel"/>
        </w:rPr>
      </w:pPr>
      <w:r w:rsidRPr="001D6F3C">
        <w:rPr>
          <w:rFonts w:ascii="Corbel" w:hAnsi="Corbel"/>
        </w:rPr>
        <w:t>While Kiwi</w:t>
      </w:r>
      <w:r w:rsidR="009E0D92" w:rsidRPr="001D6F3C">
        <w:rPr>
          <w:rFonts w:ascii="Corbel" w:hAnsi="Corbel"/>
        </w:rPr>
        <w:t>S</w:t>
      </w:r>
      <w:r w:rsidRPr="001D6F3C">
        <w:rPr>
          <w:rFonts w:ascii="Corbel" w:hAnsi="Corbel"/>
        </w:rPr>
        <w:t>aver is likely to have an increasingly beneficial role in supporting retirement</w:t>
      </w:r>
      <w:r w:rsidR="00AE0290" w:rsidRPr="001D6F3C">
        <w:rPr>
          <w:rFonts w:ascii="Corbel" w:hAnsi="Corbel"/>
        </w:rPr>
        <w:t xml:space="preserve"> income</w:t>
      </w:r>
      <w:r w:rsidRPr="001D6F3C">
        <w:rPr>
          <w:rFonts w:ascii="Corbel" w:hAnsi="Corbel"/>
        </w:rPr>
        <w:t xml:space="preserve"> for a broad range of New Zealanders, it appears to be playing a more limited role for those on lower incomes. </w:t>
      </w:r>
    </w:p>
    <w:p w14:paraId="38D7C19D" w14:textId="062085FC" w:rsidR="00BE5D57" w:rsidRPr="001D6F3C" w:rsidRDefault="00BE5D57" w:rsidP="0067684E">
      <w:pPr>
        <w:jc w:val="both"/>
        <w:rPr>
          <w:rFonts w:ascii="Corbel" w:hAnsi="Corbel"/>
        </w:rPr>
      </w:pPr>
      <w:r w:rsidRPr="001D6F3C">
        <w:rPr>
          <w:rFonts w:ascii="Corbel" w:hAnsi="Corbel"/>
        </w:rPr>
        <w:t xml:space="preserve">Because employment contributions are based on a percentage of earnings basis, </w:t>
      </w:r>
      <w:r w:rsidR="009E0D92" w:rsidRPr="001D6F3C">
        <w:rPr>
          <w:rFonts w:ascii="Corbel" w:hAnsi="Corbel"/>
        </w:rPr>
        <w:t xml:space="preserve">KiwiSaver </w:t>
      </w:r>
      <w:r w:rsidRPr="001D6F3C">
        <w:rPr>
          <w:rFonts w:ascii="Corbel" w:hAnsi="Corbel"/>
        </w:rPr>
        <w:t xml:space="preserve">contributions are likely to perpetuate existing disparities in earnings - those earning less and/or working fewer paid hours will likely accrue a lower KiwiSaver balance than those earning more and/or working more paid hours. </w:t>
      </w:r>
      <w:r w:rsidR="003B2B7F" w:rsidRPr="001D6F3C">
        <w:rPr>
          <w:rFonts w:ascii="Corbel" w:hAnsi="Corbel"/>
        </w:rPr>
        <w:t xml:space="preserve">This particularly impacts women, Māori and Pacific </w:t>
      </w:r>
      <w:r w:rsidR="7DB6047F" w:rsidRPr="001D6F3C">
        <w:rPr>
          <w:rFonts w:ascii="Corbel" w:hAnsi="Corbel"/>
        </w:rPr>
        <w:t>p</w:t>
      </w:r>
      <w:r w:rsidR="7E17D51A" w:rsidRPr="001D6F3C">
        <w:rPr>
          <w:rFonts w:ascii="Corbel" w:hAnsi="Corbel"/>
        </w:rPr>
        <w:t>eople</w:t>
      </w:r>
      <w:r w:rsidR="003B2B7F" w:rsidRPr="001D6F3C">
        <w:rPr>
          <w:rFonts w:ascii="Corbel" w:hAnsi="Corbel"/>
        </w:rPr>
        <w:t xml:space="preserve">. </w:t>
      </w:r>
    </w:p>
    <w:p w14:paraId="482B7927" w14:textId="0E039A38" w:rsidR="00BE5D57" w:rsidRPr="001D6F3C" w:rsidRDefault="00D63B28" w:rsidP="0067684E">
      <w:pPr>
        <w:jc w:val="both"/>
        <w:rPr>
          <w:rFonts w:ascii="Corbel" w:hAnsi="Corbel"/>
        </w:rPr>
      </w:pPr>
      <w:r w:rsidRPr="001D6F3C">
        <w:rPr>
          <w:rFonts w:ascii="Corbel" w:hAnsi="Corbel"/>
        </w:rPr>
        <w:t>Inland Revenue d</w:t>
      </w:r>
      <w:r w:rsidR="00BE5D57" w:rsidRPr="001D6F3C">
        <w:rPr>
          <w:rFonts w:ascii="Corbel" w:hAnsi="Corbel"/>
        </w:rPr>
        <w:t xml:space="preserve">ata on </w:t>
      </w:r>
      <w:r w:rsidR="009E0D92" w:rsidRPr="001D6F3C">
        <w:rPr>
          <w:rFonts w:ascii="Corbel" w:hAnsi="Corbel"/>
        </w:rPr>
        <w:t xml:space="preserve">KiwiSaver </w:t>
      </w:r>
      <w:r w:rsidR="00BE5D57" w:rsidRPr="001D6F3C">
        <w:rPr>
          <w:rFonts w:ascii="Corbel" w:hAnsi="Corbel"/>
        </w:rPr>
        <w:t xml:space="preserve">indicates that those on lower incomes </w:t>
      </w:r>
      <w:proofErr w:type="gramStart"/>
      <w:r w:rsidR="00BE5D57" w:rsidRPr="001D6F3C">
        <w:rPr>
          <w:rFonts w:ascii="Corbel" w:hAnsi="Corbel"/>
        </w:rPr>
        <w:t>are:</w:t>
      </w:r>
      <w:proofErr w:type="gramEnd"/>
      <w:r w:rsidR="00BE5D57" w:rsidRPr="001D6F3C">
        <w:rPr>
          <w:rFonts w:ascii="Corbel" w:hAnsi="Corbel"/>
        </w:rPr>
        <w:t xml:space="preserve"> much more likely to opt out of the scheme and not be members; be members but not actively contribute; contribute but only the minimum percentage amount; and be amongst the small group that withdraw for hardship reasons</w:t>
      </w:r>
      <w:r w:rsidR="008C44B3" w:rsidRPr="001D6F3C">
        <w:rPr>
          <w:rFonts w:ascii="Corbel" w:hAnsi="Corbel"/>
        </w:rPr>
        <w:t xml:space="preserve"> (Retirement Commission 2025)</w:t>
      </w:r>
      <w:r w:rsidR="00BE5D57" w:rsidRPr="001D6F3C">
        <w:rPr>
          <w:rFonts w:ascii="Corbel" w:hAnsi="Corbel"/>
        </w:rPr>
        <w:t xml:space="preserve">. </w:t>
      </w:r>
    </w:p>
    <w:p w14:paraId="46D3B432" w14:textId="4D9DC4B4" w:rsidR="00BE5D57" w:rsidRPr="001D6F3C" w:rsidRDefault="00BE5D57" w:rsidP="00A60862">
      <w:pPr>
        <w:jc w:val="both"/>
        <w:rPr>
          <w:rFonts w:ascii="Corbel" w:hAnsi="Corbel"/>
        </w:rPr>
      </w:pPr>
      <w:r w:rsidRPr="001D6F3C">
        <w:rPr>
          <w:rFonts w:ascii="Corbel" w:hAnsi="Corbel"/>
        </w:rPr>
        <w:t>It</w:t>
      </w:r>
      <w:r w:rsidR="00F651AB" w:rsidRPr="001D6F3C">
        <w:rPr>
          <w:rFonts w:ascii="Corbel" w:hAnsi="Corbel"/>
        </w:rPr>
        <w:t xml:space="preserve"> is</w:t>
      </w:r>
      <w:r w:rsidRPr="001D6F3C">
        <w:rPr>
          <w:rFonts w:ascii="Corbel" w:hAnsi="Corbel"/>
        </w:rPr>
        <w:t xml:space="preserve"> reasonable to assume that the scheme will </w:t>
      </w:r>
      <w:r w:rsidR="00795117" w:rsidRPr="001D6F3C">
        <w:rPr>
          <w:rFonts w:ascii="Corbel" w:hAnsi="Corbel"/>
        </w:rPr>
        <w:t xml:space="preserve">both </w:t>
      </w:r>
      <w:r w:rsidRPr="001D6F3C">
        <w:rPr>
          <w:rFonts w:ascii="Corbel" w:hAnsi="Corbel"/>
        </w:rPr>
        <w:t xml:space="preserve">support retirement savings </w:t>
      </w:r>
      <w:r w:rsidR="00795117" w:rsidRPr="001D6F3C">
        <w:rPr>
          <w:rFonts w:ascii="Corbel" w:hAnsi="Corbel"/>
        </w:rPr>
        <w:t>and</w:t>
      </w:r>
      <w:r w:rsidRPr="001D6F3C">
        <w:rPr>
          <w:rFonts w:ascii="Corbel" w:hAnsi="Corbel"/>
        </w:rPr>
        <w:t xml:space="preserve"> perpetuate differences in wealth, contribut</w:t>
      </w:r>
      <w:r w:rsidR="003C03DC" w:rsidRPr="001D6F3C">
        <w:rPr>
          <w:rFonts w:ascii="Corbel" w:hAnsi="Corbel"/>
        </w:rPr>
        <w:t>ing</w:t>
      </w:r>
      <w:r w:rsidRPr="001D6F3C">
        <w:rPr>
          <w:rFonts w:ascii="Corbel" w:hAnsi="Corbel"/>
        </w:rPr>
        <w:t xml:space="preserve"> to greater inequality of living standards in older age.</w:t>
      </w:r>
    </w:p>
    <w:p w14:paraId="278F012E" w14:textId="074C6FDD" w:rsidR="000B11C7" w:rsidRPr="001D6F3C" w:rsidRDefault="000B11C7" w:rsidP="00A60862">
      <w:pPr>
        <w:pStyle w:val="Caption"/>
        <w:keepNext/>
        <w:jc w:val="both"/>
        <w:rPr>
          <w:rFonts w:ascii="Corbel" w:hAnsi="Corbel"/>
        </w:rPr>
      </w:pPr>
      <w:bookmarkStart w:id="93" w:name="_Toc203142309"/>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49</w:t>
      </w:r>
      <w:r w:rsidR="00585542" w:rsidRPr="001D6F3C">
        <w:rPr>
          <w:rFonts w:ascii="Corbel" w:hAnsi="Corbel"/>
        </w:rPr>
        <w:fldChar w:fldCharType="end"/>
      </w:r>
      <w:r w:rsidRPr="001D6F3C">
        <w:rPr>
          <w:rFonts w:ascii="Corbel" w:hAnsi="Corbel"/>
        </w:rPr>
        <w:t xml:space="preserve"> - percentage of non-contributors by income level</w:t>
      </w:r>
      <w:bookmarkEnd w:id="93"/>
    </w:p>
    <w:p w14:paraId="33D9D07C" w14:textId="24BA3DD2" w:rsidR="00BE5D57" w:rsidRPr="001D6F3C" w:rsidRDefault="00AF00D9" w:rsidP="00DD341A">
      <w:pPr>
        <w:jc w:val="center"/>
        <w:rPr>
          <w:rFonts w:ascii="Corbel" w:hAnsi="Corbel"/>
        </w:rPr>
      </w:pPr>
      <w:r w:rsidRPr="001D6F3C">
        <w:rPr>
          <w:rFonts w:ascii="Corbel" w:hAnsi="Corbel"/>
          <w:noProof/>
        </w:rPr>
        <w:drawing>
          <wp:inline distT="0" distB="0" distL="0" distR="0" wp14:anchorId="17E262C7" wp14:editId="7B949CDA">
            <wp:extent cx="5352112" cy="2137559"/>
            <wp:effectExtent l="0" t="0" r="1270" b="0"/>
            <wp:docPr id="942521343" name="Picture 8">
              <a:extLst xmlns:a="http://schemas.openxmlformats.org/drawingml/2006/main">
                <a:ext uri="{FF2B5EF4-FFF2-40B4-BE49-F238E27FC236}">
                  <a16:creationId xmlns:a16="http://schemas.microsoft.com/office/drawing/2014/main" id="{1D301D70-4A1F-6142-FCD3-277F70D5E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D301D70-4A1F-6142-FCD3-277F70D5E448}"/>
                        </a:ext>
                      </a:extLst>
                    </pic:cNvPr>
                    <pic:cNvPicPr>
                      <a:picLocks noChangeAspect="1"/>
                    </pic:cNvPicPr>
                  </pic:nvPicPr>
                  <pic:blipFill rotWithShape="1">
                    <a:blip r:embed="rId84"/>
                    <a:srcRect t="12980"/>
                    <a:stretch/>
                  </pic:blipFill>
                  <pic:spPr bwMode="auto">
                    <a:xfrm>
                      <a:off x="0" y="0"/>
                      <a:ext cx="5424944" cy="2166647"/>
                    </a:xfrm>
                    <a:prstGeom prst="rect">
                      <a:avLst/>
                    </a:prstGeom>
                    <a:ln>
                      <a:noFill/>
                    </a:ln>
                    <a:extLst>
                      <a:ext uri="{53640926-AAD7-44D8-BBD7-CCE9431645EC}">
                        <a14:shadowObscured xmlns:a14="http://schemas.microsoft.com/office/drawing/2010/main"/>
                      </a:ext>
                    </a:extLst>
                  </pic:spPr>
                </pic:pic>
              </a:graphicData>
            </a:graphic>
          </wp:inline>
        </w:drawing>
      </w:r>
    </w:p>
    <w:p w14:paraId="7613C283" w14:textId="6EDA0E98" w:rsidR="000B11C7" w:rsidRPr="001D6F3C" w:rsidRDefault="000B11C7" w:rsidP="00A60862">
      <w:pPr>
        <w:pStyle w:val="Caption"/>
        <w:keepNext/>
        <w:jc w:val="both"/>
        <w:rPr>
          <w:rFonts w:ascii="Corbel" w:hAnsi="Corbel"/>
        </w:rPr>
      </w:pPr>
      <w:bookmarkStart w:id="94" w:name="_Toc203142310"/>
      <w:r w:rsidRPr="001D6F3C">
        <w:rPr>
          <w:rFonts w:ascii="Corbel" w:hAnsi="Corbel"/>
        </w:rPr>
        <w:t xml:space="preserve">Figure </w:t>
      </w:r>
      <w:r w:rsidR="00585542" w:rsidRPr="001D6F3C">
        <w:rPr>
          <w:rFonts w:ascii="Corbel" w:hAnsi="Corbel"/>
        </w:rPr>
        <w:fldChar w:fldCharType="begin"/>
      </w:r>
      <w:r w:rsidR="00585542" w:rsidRPr="001D6F3C">
        <w:rPr>
          <w:rFonts w:ascii="Corbel" w:hAnsi="Corbel"/>
        </w:rPr>
        <w:instrText xml:space="preserve"> SEQ Figure \* ARABIC </w:instrText>
      </w:r>
      <w:r w:rsidR="00585542" w:rsidRPr="001D6F3C">
        <w:rPr>
          <w:rFonts w:ascii="Corbel" w:hAnsi="Corbel"/>
        </w:rPr>
        <w:fldChar w:fldCharType="separate"/>
      </w:r>
      <w:r w:rsidR="00AD2CCE" w:rsidRPr="001D6F3C">
        <w:rPr>
          <w:rFonts w:ascii="Corbel" w:hAnsi="Corbel"/>
          <w:noProof/>
        </w:rPr>
        <w:t>50</w:t>
      </w:r>
      <w:r w:rsidR="00585542" w:rsidRPr="001D6F3C">
        <w:rPr>
          <w:rFonts w:ascii="Corbel" w:hAnsi="Corbel"/>
        </w:rPr>
        <w:fldChar w:fldCharType="end"/>
      </w:r>
      <w:r w:rsidRPr="001D6F3C">
        <w:rPr>
          <w:rFonts w:ascii="Corbel" w:hAnsi="Corbel"/>
        </w:rPr>
        <w:t xml:space="preserve"> - proportion per contribution rate by income band</w:t>
      </w:r>
      <w:bookmarkEnd w:id="94"/>
    </w:p>
    <w:p w14:paraId="02E23806" w14:textId="77777777" w:rsidR="005D06E3" w:rsidRPr="001D6F3C" w:rsidRDefault="005D06E3" w:rsidP="00DD341A">
      <w:pPr>
        <w:jc w:val="center"/>
        <w:rPr>
          <w:rFonts w:ascii="Corbel" w:hAnsi="Corbel"/>
        </w:rPr>
      </w:pPr>
      <w:r w:rsidRPr="001D6F3C">
        <w:rPr>
          <w:rFonts w:ascii="Corbel" w:hAnsi="Corbel"/>
          <w:noProof/>
        </w:rPr>
        <w:drawing>
          <wp:inline distT="0" distB="0" distL="0" distR="0" wp14:anchorId="6862A85F" wp14:editId="14BC36A7">
            <wp:extent cx="5258175" cy="2158409"/>
            <wp:effectExtent l="0" t="0" r="0" b="0"/>
            <wp:docPr id="781657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84757" cy="2210369"/>
                    </a:xfrm>
                    <a:prstGeom prst="rect">
                      <a:avLst/>
                    </a:prstGeom>
                    <a:noFill/>
                  </pic:spPr>
                </pic:pic>
              </a:graphicData>
            </a:graphic>
          </wp:inline>
        </w:drawing>
      </w:r>
    </w:p>
    <w:p w14:paraId="2D92CDEF" w14:textId="728F0B9A" w:rsidR="00D45273" w:rsidRPr="001D6F3C" w:rsidRDefault="00D45273" w:rsidP="00A60862">
      <w:pPr>
        <w:jc w:val="both"/>
        <w:rPr>
          <w:rFonts w:ascii="Corbel" w:hAnsi="Corbel"/>
          <w:b/>
          <w:bCs/>
        </w:rPr>
      </w:pPr>
      <w:r w:rsidRPr="001D6F3C">
        <w:rPr>
          <w:rFonts w:ascii="Corbel" w:hAnsi="Corbel"/>
        </w:rPr>
        <w:t xml:space="preserve">It is a matter of debate the extent to which </w:t>
      </w:r>
      <w:r w:rsidR="008A19B7" w:rsidRPr="001D6F3C">
        <w:rPr>
          <w:rFonts w:ascii="Corbel" w:hAnsi="Corbel"/>
        </w:rPr>
        <w:t>the Kiwi</w:t>
      </w:r>
      <w:r w:rsidR="003C03DC" w:rsidRPr="001D6F3C">
        <w:rPr>
          <w:rFonts w:ascii="Corbel" w:hAnsi="Corbel"/>
        </w:rPr>
        <w:t>S</w:t>
      </w:r>
      <w:r w:rsidR="008A19B7" w:rsidRPr="001D6F3C">
        <w:rPr>
          <w:rFonts w:ascii="Corbel" w:hAnsi="Corbel"/>
        </w:rPr>
        <w:t>aver scheme</w:t>
      </w:r>
      <w:r w:rsidRPr="001D6F3C">
        <w:rPr>
          <w:rFonts w:ascii="Corbel" w:hAnsi="Corbel"/>
        </w:rPr>
        <w:t xml:space="preserve"> is intended to support those on the lowest incomes</w:t>
      </w:r>
      <w:r w:rsidR="002515DD" w:rsidRPr="001D6F3C">
        <w:rPr>
          <w:rFonts w:ascii="Corbel" w:hAnsi="Corbel"/>
        </w:rPr>
        <w:t>.</w:t>
      </w:r>
      <w:r w:rsidRPr="001D6F3C">
        <w:rPr>
          <w:rFonts w:ascii="Corbel" w:hAnsi="Corbel"/>
        </w:rPr>
        <w:t xml:space="preserve"> </w:t>
      </w:r>
      <w:r w:rsidR="002515DD" w:rsidRPr="001D6F3C">
        <w:rPr>
          <w:rFonts w:ascii="Corbel" w:hAnsi="Corbel"/>
        </w:rPr>
        <w:t xml:space="preserve"> Its</w:t>
      </w:r>
      <w:r w:rsidRPr="001D6F3C">
        <w:rPr>
          <w:rFonts w:ascii="Corbel" w:hAnsi="Corbel"/>
        </w:rPr>
        <w:t xml:space="preserve"> stated purpose</w:t>
      </w:r>
      <w:r w:rsidR="00102797" w:rsidRPr="001D6F3C">
        <w:rPr>
          <w:rFonts w:ascii="Corbel" w:hAnsi="Corbel"/>
        </w:rPr>
        <w:t xml:space="preserve"> in the legislation</w:t>
      </w:r>
      <w:r w:rsidRPr="001D6F3C">
        <w:rPr>
          <w:rFonts w:ascii="Corbel" w:hAnsi="Corbel"/>
        </w:rPr>
        <w:t xml:space="preserve"> includes “to encourage a long-term savings habit </w:t>
      </w:r>
      <w:r w:rsidRPr="001D6F3C">
        <w:rPr>
          <w:rFonts w:ascii="Corbel" w:hAnsi="Corbel"/>
        </w:rPr>
        <w:lastRenderedPageBreak/>
        <w:t>and asset accumulation by individuals who are not in a position to enjoy standards of living in retirement similar to those in pre-retirement”.</w:t>
      </w:r>
    </w:p>
    <w:p w14:paraId="4F1C66B5" w14:textId="250A38BF" w:rsidR="00A62EE9" w:rsidRPr="001D6F3C" w:rsidRDefault="00A62EE9" w:rsidP="00A60862">
      <w:pPr>
        <w:pStyle w:val="Heading2"/>
        <w:jc w:val="both"/>
        <w:rPr>
          <w:rStyle w:val="Emphasis"/>
          <w:rFonts w:ascii="Corbel" w:hAnsi="Corbel"/>
        </w:rPr>
      </w:pPr>
      <w:bookmarkStart w:id="95" w:name="_Toc207783005"/>
      <w:r w:rsidRPr="001D6F3C">
        <w:rPr>
          <w:rFonts w:ascii="Corbel" w:hAnsi="Corbel"/>
        </w:rPr>
        <w:t>3.</w:t>
      </w:r>
      <w:r w:rsidR="00382E63">
        <w:rPr>
          <w:rFonts w:ascii="Corbel" w:hAnsi="Corbel"/>
        </w:rPr>
        <w:t>11</w:t>
      </w:r>
      <w:r w:rsidR="00045651" w:rsidRPr="001D6F3C">
        <w:rPr>
          <w:rFonts w:ascii="Corbel" w:hAnsi="Corbel"/>
        </w:rPr>
        <w:t xml:space="preserve"> </w:t>
      </w:r>
      <w:r w:rsidRPr="001D6F3C">
        <w:rPr>
          <w:rFonts w:ascii="Corbel" w:hAnsi="Corbel"/>
          <w:b/>
          <w:bCs/>
        </w:rPr>
        <w:t xml:space="preserve">Health, </w:t>
      </w:r>
      <w:r w:rsidR="00226447" w:rsidRPr="001D6F3C">
        <w:rPr>
          <w:rFonts w:ascii="Corbel" w:hAnsi="Corbel"/>
          <w:b/>
          <w:bCs/>
        </w:rPr>
        <w:t>d</w:t>
      </w:r>
      <w:r w:rsidRPr="001D6F3C">
        <w:rPr>
          <w:rFonts w:ascii="Corbel" w:hAnsi="Corbel"/>
          <w:b/>
          <w:bCs/>
        </w:rPr>
        <w:t xml:space="preserve">isability and </w:t>
      </w:r>
      <w:r w:rsidR="00226447" w:rsidRPr="001D6F3C">
        <w:rPr>
          <w:rFonts w:ascii="Corbel" w:hAnsi="Corbel"/>
          <w:b/>
          <w:bCs/>
        </w:rPr>
        <w:t>c</w:t>
      </w:r>
      <w:r w:rsidRPr="001D6F3C">
        <w:rPr>
          <w:rFonts w:ascii="Corbel" w:hAnsi="Corbel"/>
          <w:b/>
          <w:bCs/>
        </w:rPr>
        <w:t>are</w:t>
      </w:r>
      <w:r w:rsidR="00BE5D57" w:rsidRPr="001D6F3C">
        <w:rPr>
          <w:rFonts w:ascii="Corbel" w:hAnsi="Corbel"/>
          <w:b/>
          <w:bCs/>
        </w:rPr>
        <w:t xml:space="preserve"> </w:t>
      </w:r>
      <w:r w:rsidR="00BE5D57" w:rsidRPr="001D6F3C">
        <w:rPr>
          <w:rFonts w:ascii="Corbel" w:hAnsi="Corbel"/>
          <w:b/>
          <w:bCs/>
          <w:i/>
          <w:iCs/>
        </w:rPr>
        <w:t xml:space="preserve">- </w:t>
      </w:r>
      <w:r w:rsidR="00226447" w:rsidRPr="001D6F3C">
        <w:rPr>
          <w:rStyle w:val="Emphasis"/>
          <w:rFonts w:ascii="Corbel" w:hAnsi="Corbel"/>
          <w:i w:val="0"/>
        </w:rPr>
        <w:t>r</w:t>
      </w:r>
      <w:r w:rsidRPr="001D6F3C">
        <w:rPr>
          <w:rStyle w:val="Emphasis"/>
          <w:rFonts w:ascii="Corbel" w:hAnsi="Corbel"/>
          <w:i w:val="0"/>
        </w:rPr>
        <w:t>ecent trends</w:t>
      </w:r>
      <w:bookmarkEnd w:id="95"/>
    </w:p>
    <w:p w14:paraId="0ABFEE01" w14:textId="3E77DE94" w:rsidR="004302F4" w:rsidRPr="001D6F3C" w:rsidRDefault="004302F4" w:rsidP="004302F4">
      <w:pPr>
        <w:pStyle w:val="Heading4"/>
        <w:jc w:val="both"/>
        <w:rPr>
          <w:rFonts w:ascii="Corbel" w:hAnsi="Corbel"/>
        </w:rPr>
      </w:pPr>
      <w:r w:rsidRPr="001D6F3C">
        <w:rPr>
          <w:rFonts w:ascii="Corbel" w:hAnsi="Corbel"/>
        </w:rPr>
        <w:t>Health and disability</w:t>
      </w:r>
    </w:p>
    <w:p w14:paraId="236F8A58" w14:textId="3709E092" w:rsidR="00A62EE9" w:rsidRPr="001D6F3C" w:rsidRDefault="00A62EE9" w:rsidP="00A60862">
      <w:pPr>
        <w:jc w:val="both"/>
        <w:rPr>
          <w:rFonts w:ascii="Corbel" w:hAnsi="Corbel"/>
        </w:rPr>
      </w:pPr>
      <w:r w:rsidRPr="001D6F3C">
        <w:rPr>
          <w:rFonts w:ascii="Corbel" w:hAnsi="Corbel"/>
        </w:rPr>
        <w:t xml:space="preserve">Life expectancy at birth has continued to grow steadily to 81 for males and 84 for females in 2022. Health-adjusted life expectancy has grown, but more slowly. This means that New Zealanders are spending more time in later life living in both good health and poor health. </w:t>
      </w:r>
    </w:p>
    <w:p w14:paraId="409CF235" w14:textId="77777777" w:rsidR="00371FC4" w:rsidRPr="001D6F3C" w:rsidRDefault="00A62EE9" w:rsidP="00A60862">
      <w:pPr>
        <w:jc w:val="both"/>
        <w:rPr>
          <w:rFonts w:ascii="Corbel" w:hAnsi="Corbel"/>
        </w:rPr>
      </w:pPr>
      <w:r w:rsidRPr="001D6F3C">
        <w:rPr>
          <w:rFonts w:ascii="Corbel" w:hAnsi="Corbel"/>
        </w:rPr>
        <w:t xml:space="preserve">There continue to be discrepancies in life expectancy between gender and ethnic groups. These discrepancies are largely driven by inequality experienced across the life course, as well as in later life. </w:t>
      </w:r>
    </w:p>
    <w:p w14:paraId="091B0706" w14:textId="0B61C880" w:rsidR="00A62EE9" w:rsidRPr="001D6F3C" w:rsidRDefault="00A62EE9" w:rsidP="00D404C5">
      <w:pPr>
        <w:pStyle w:val="ListParagraph"/>
        <w:numPr>
          <w:ilvl w:val="0"/>
          <w:numId w:val="39"/>
        </w:numPr>
        <w:jc w:val="both"/>
        <w:rPr>
          <w:rFonts w:ascii="Corbel" w:hAnsi="Corbel"/>
        </w:rPr>
      </w:pPr>
      <w:r w:rsidRPr="001D6F3C">
        <w:rPr>
          <w:rFonts w:ascii="Corbel" w:hAnsi="Corbel"/>
        </w:rPr>
        <w:t>As well as having lower life expectancy, Māori and P</w:t>
      </w:r>
      <w:r w:rsidR="0016436A" w:rsidRPr="001D6F3C">
        <w:rPr>
          <w:rFonts w:ascii="Corbel" w:hAnsi="Corbel"/>
        </w:rPr>
        <w:t xml:space="preserve">acific </w:t>
      </w:r>
      <w:r w:rsidR="042BFA80" w:rsidRPr="001D6F3C">
        <w:rPr>
          <w:rFonts w:ascii="Corbel" w:hAnsi="Corbel"/>
        </w:rPr>
        <w:t>p</w:t>
      </w:r>
      <w:r w:rsidR="52801259" w:rsidRPr="001D6F3C">
        <w:rPr>
          <w:rFonts w:ascii="Corbel" w:hAnsi="Corbel"/>
        </w:rPr>
        <w:t>e</w:t>
      </w:r>
      <w:r w:rsidR="7BD44AD4" w:rsidRPr="001D6F3C">
        <w:rPr>
          <w:rFonts w:ascii="Corbel" w:hAnsi="Corbel"/>
        </w:rPr>
        <w:t>ople</w:t>
      </w:r>
      <w:r w:rsidRPr="001D6F3C">
        <w:rPr>
          <w:rFonts w:ascii="Corbel" w:hAnsi="Corbel"/>
        </w:rPr>
        <w:t xml:space="preserve"> also experience higher rates of disability and long-term conditions and live fewer years in good health. Amenable mortality is substantially higher for Māori and P</w:t>
      </w:r>
      <w:r w:rsidR="00125F2F" w:rsidRPr="001D6F3C">
        <w:rPr>
          <w:rFonts w:ascii="Corbel" w:hAnsi="Corbel"/>
        </w:rPr>
        <w:t xml:space="preserve">acific </w:t>
      </w:r>
      <w:r w:rsidR="2BF2DC0D" w:rsidRPr="001D6F3C">
        <w:rPr>
          <w:rFonts w:ascii="Corbel" w:hAnsi="Corbel"/>
        </w:rPr>
        <w:t>p</w:t>
      </w:r>
      <w:r w:rsidR="7BD44AD4" w:rsidRPr="001D6F3C">
        <w:rPr>
          <w:rFonts w:ascii="Corbel" w:hAnsi="Corbel"/>
        </w:rPr>
        <w:t>eople</w:t>
      </w:r>
      <w:r w:rsidRPr="001D6F3C">
        <w:rPr>
          <w:rFonts w:ascii="Corbel" w:hAnsi="Corbel"/>
        </w:rPr>
        <w:t xml:space="preserve">. </w:t>
      </w:r>
    </w:p>
    <w:p w14:paraId="77CFD5B1" w14:textId="66D8A24D" w:rsidR="00371FC4" w:rsidRPr="001D6F3C" w:rsidRDefault="00371FC4" w:rsidP="00D404C5">
      <w:pPr>
        <w:pStyle w:val="ListParagraph"/>
        <w:numPr>
          <w:ilvl w:val="0"/>
          <w:numId w:val="39"/>
        </w:numPr>
        <w:jc w:val="both"/>
        <w:rPr>
          <w:rFonts w:ascii="Corbel" w:hAnsi="Corbel"/>
        </w:rPr>
      </w:pPr>
      <w:r w:rsidRPr="001D6F3C">
        <w:rPr>
          <w:rFonts w:ascii="Corbel" w:hAnsi="Corbel"/>
        </w:rPr>
        <w:t>While men have a shorter life and health expectancy than women, women spend more time living in poor health. In 2019, women spent 13.4 years living in poor health, with men spending 11 years living in poor health.</w:t>
      </w:r>
    </w:p>
    <w:p w14:paraId="6DCBE5AB" w14:textId="213A41BE" w:rsidR="003B2B7F" w:rsidRPr="001D6F3C" w:rsidRDefault="00A62EE9" w:rsidP="003B2B7F">
      <w:pPr>
        <w:jc w:val="both"/>
        <w:rPr>
          <w:rFonts w:ascii="Corbel" w:hAnsi="Corbel"/>
        </w:rPr>
      </w:pPr>
      <w:r w:rsidRPr="001D6F3C">
        <w:rPr>
          <w:rFonts w:ascii="Corbel" w:hAnsi="Corbel"/>
        </w:rPr>
        <w:t>Adults aged 65+ sustain 40</w:t>
      </w:r>
      <w:r w:rsidR="001F2226" w:rsidRPr="001D6F3C">
        <w:rPr>
          <w:rFonts w:ascii="Corbel" w:hAnsi="Corbel"/>
        </w:rPr>
        <w:t>%</w:t>
      </w:r>
      <w:r w:rsidR="712A6494" w:rsidRPr="001D6F3C">
        <w:rPr>
          <w:rFonts w:ascii="Corbel" w:hAnsi="Corbel"/>
        </w:rPr>
        <w:t xml:space="preserve"> </w:t>
      </w:r>
      <w:r w:rsidRPr="001D6F3C">
        <w:rPr>
          <w:rFonts w:ascii="Corbel" w:hAnsi="Corbel"/>
        </w:rPr>
        <w:t>of the burden of disease in New Zealand. The long-term conditions</w:t>
      </w:r>
      <w:r w:rsidR="003C03DC" w:rsidRPr="001D6F3C">
        <w:rPr>
          <w:rFonts w:ascii="Corbel" w:hAnsi="Corbel"/>
        </w:rPr>
        <w:t xml:space="preserve"> (LTCs)</w:t>
      </w:r>
      <w:r w:rsidRPr="001D6F3C">
        <w:rPr>
          <w:rFonts w:ascii="Corbel" w:hAnsi="Corbel"/>
        </w:rPr>
        <w:t xml:space="preserve"> that contribute most to health loss are cancer, cardiovascular and cerebrovascular disease, musculoskeletal conditions, mental illness, respiratory conditions and diabetes. </w:t>
      </w:r>
      <w:r w:rsidR="003B2B7F" w:rsidRPr="001D6F3C">
        <w:rPr>
          <w:rFonts w:ascii="Corbel" w:hAnsi="Corbel"/>
        </w:rPr>
        <w:t xml:space="preserve">LTCs are caused by a combination of individual lifestyle choices, environmental </w:t>
      </w:r>
      <w:r w:rsidR="00165A7B" w:rsidRPr="001D6F3C">
        <w:rPr>
          <w:rFonts w:ascii="Corbel" w:hAnsi="Corbel"/>
        </w:rPr>
        <w:t>factors</w:t>
      </w:r>
      <w:r w:rsidR="003B2B7F" w:rsidRPr="001D6F3C">
        <w:rPr>
          <w:rFonts w:ascii="Corbel" w:hAnsi="Corbel"/>
        </w:rPr>
        <w:t xml:space="preserve"> and genetic predispositions. The social determinants of health are an important factor in who develops LTCs. LTCs contribute significant</w:t>
      </w:r>
      <w:r w:rsidR="003C03DC" w:rsidRPr="001D6F3C">
        <w:rPr>
          <w:rFonts w:ascii="Corbel" w:hAnsi="Corbel"/>
        </w:rPr>
        <w:t>ly</w:t>
      </w:r>
      <w:r w:rsidR="003B2B7F" w:rsidRPr="001D6F3C">
        <w:rPr>
          <w:rFonts w:ascii="Corbel" w:hAnsi="Corbel"/>
        </w:rPr>
        <w:t xml:space="preserve"> to functional limitation or disability amongst older people. </w:t>
      </w:r>
    </w:p>
    <w:p w14:paraId="28FCD269" w14:textId="4C6ABF7B" w:rsidR="4E23CD6F" w:rsidRPr="001D6F3C" w:rsidRDefault="4E23CD6F" w:rsidP="6E816A7D">
      <w:pPr>
        <w:jc w:val="both"/>
        <w:rPr>
          <w:rFonts w:ascii="Corbel" w:hAnsi="Corbel"/>
        </w:rPr>
      </w:pPr>
      <w:r w:rsidRPr="001D6F3C">
        <w:rPr>
          <w:rFonts w:ascii="Corbel" w:hAnsi="Corbel"/>
        </w:rPr>
        <w:t xml:space="preserve">The Household Disability Survey 2023 found that 35% of people aged 65+ had a disability. Rates of disability increase with age; 17% of the total population </w:t>
      </w:r>
      <w:r w:rsidR="4FC06FF7" w:rsidRPr="001D6F3C">
        <w:rPr>
          <w:rFonts w:ascii="Corbel" w:hAnsi="Corbel"/>
        </w:rPr>
        <w:t>were disabled.</w:t>
      </w:r>
      <w:r w:rsidR="1B4DF0C0" w:rsidRPr="001D6F3C">
        <w:rPr>
          <w:rFonts w:ascii="Corbel" w:hAnsi="Corbel"/>
        </w:rPr>
        <w:t xml:space="preserve"> Those experiencing a disability earlier in life may experience significant disparities in many life outcomes compared to their non-disabled counterparts, as they are less likely to be employed or have qualifications, have lower average earnings, and are more likely to experience hardship. This means they are at much greater risk of experiencing hardship and disadvantage in older age.</w:t>
      </w:r>
    </w:p>
    <w:p w14:paraId="08D43CE3" w14:textId="606C7F45" w:rsidR="004302F4" w:rsidRPr="001D6F3C" w:rsidRDefault="004302F4" w:rsidP="004302F4">
      <w:pPr>
        <w:pStyle w:val="Heading4"/>
        <w:jc w:val="both"/>
        <w:rPr>
          <w:rFonts w:ascii="Corbel" w:hAnsi="Corbel"/>
        </w:rPr>
      </w:pPr>
      <w:r w:rsidRPr="001D6F3C">
        <w:rPr>
          <w:rFonts w:ascii="Corbel" w:hAnsi="Corbel"/>
        </w:rPr>
        <w:t>Support and care</w:t>
      </w:r>
    </w:p>
    <w:p w14:paraId="37AEC0B0" w14:textId="3578EB73" w:rsidR="00A62EE9" w:rsidRPr="001D6F3C" w:rsidRDefault="00A62EE9" w:rsidP="00A60862">
      <w:pPr>
        <w:jc w:val="both"/>
        <w:rPr>
          <w:rFonts w:ascii="Corbel" w:hAnsi="Corbel"/>
        </w:rPr>
      </w:pPr>
      <w:r w:rsidRPr="001D6F3C">
        <w:rPr>
          <w:rFonts w:ascii="Corbel" w:hAnsi="Corbel"/>
        </w:rPr>
        <w:t>Support services for people aged 65</w:t>
      </w:r>
      <w:r w:rsidR="006E4FCD" w:rsidRPr="001D6F3C">
        <w:rPr>
          <w:rFonts w:ascii="Corbel" w:hAnsi="Corbel"/>
        </w:rPr>
        <w:t>+</w:t>
      </w:r>
      <w:r w:rsidRPr="001D6F3C">
        <w:rPr>
          <w:rFonts w:ascii="Corbel" w:hAnsi="Corbel"/>
        </w:rPr>
        <w:t xml:space="preserve"> are administered differently to services for those aged under 65. For those under 65, MSD purchases ‘disability support services’ directly from non-government service providers. For over 65s, funding is delivered by Health NZ, which in turn purchases services from non-government service providers. A range of supports are available</w:t>
      </w:r>
      <w:r w:rsidR="000F408E" w:rsidRPr="001D6F3C">
        <w:rPr>
          <w:rFonts w:ascii="Corbel" w:hAnsi="Corbel"/>
        </w:rPr>
        <w:t xml:space="preserve"> for those over 65</w:t>
      </w:r>
      <w:r w:rsidRPr="001D6F3C">
        <w:rPr>
          <w:rFonts w:ascii="Corbel" w:hAnsi="Corbel"/>
        </w:rPr>
        <w:t xml:space="preserve"> through Health NZ, including home and community support services (HCSS) and aged residential care (ARC). Around 80,000 older people receive Health NZ funded HCSS, which includes household management (</w:t>
      </w:r>
      <w:r w:rsidR="00501E98" w:rsidRPr="001D6F3C">
        <w:rPr>
          <w:rFonts w:ascii="Corbel" w:hAnsi="Corbel"/>
        </w:rPr>
        <w:t xml:space="preserve">meal </w:t>
      </w:r>
      <w:r w:rsidR="003C03DC" w:rsidRPr="001D6F3C">
        <w:rPr>
          <w:rFonts w:ascii="Corbel" w:hAnsi="Corbel"/>
        </w:rPr>
        <w:t>preparation</w:t>
      </w:r>
      <w:r w:rsidRPr="001D6F3C">
        <w:rPr>
          <w:rFonts w:ascii="Corbel" w:hAnsi="Corbel"/>
        </w:rPr>
        <w:t xml:space="preserve">) and personal care (bathing, dressing, medicine management). </w:t>
      </w:r>
      <w:r w:rsidR="003C03DC" w:rsidRPr="001D6F3C">
        <w:rPr>
          <w:rFonts w:ascii="Corbel" w:hAnsi="Corbel"/>
        </w:rPr>
        <w:t>There are</w:t>
      </w:r>
      <w:r w:rsidR="42BDBD93" w:rsidRPr="001D6F3C">
        <w:rPr>
          <w:rFonts w:ascii="Corbel" w:hAnsi="Corbel"/>
        </w:rPr>
        <w:t xml:space="preserve"> </w:t>
      </w:r>
      <w:r w:rsidR="6E58BBCD" w:rsidRPr="001D6F3C">
        <w:rPr>
          <w:rFonts w:ascii="Corbel" w:hAnsi="Corbel"/>
        </w:rPr>
        <w:t>around</w:t>
      </w:r>
      <w:r w:rsidR="003C03DC" w:rsidRPr="001D6F3C">
        <w:rPr>
          <w:rFonts w:ascii="Corbel" w:hAnsi="Corbel"/>
        </w:rPr>
        <w:t xml:space="preserve"> </w:t>
      </w:r>
      <w:r w:rsidR="009549F8" w:rsidRPr="001D6F3C">
        <w:rPr>
          <w:rFonts w:ascii="Corbel" w:hAnsi="Corbel"/>
        </w:rPr>
        <w:t>33</w:t>
      </w:r>
      <w:r w:rsidRPr="001D6F3C">
        <w:rPr>
          <w:rFonts w:ascii="Corbel" w:hAnsi="Corbel"/>
        </w:rPr>
        <w:t xml:space="preserve">,000 </w:t>
      </w:r>
      <w:r w:rsidR="009549F8" w:rsidRPr="001D6F3C">
        <w:rPr>
          <w:rFonts w:ascii="Corbel" w:hAnsi="Corbel"/>
        </w:rPr>
        <w:t xml:space="preserve">older </w:t>
      </w:r>
      <w:r w:rsidRPr="001D6F3C">
        <w:rPr>
          <w:rFonts w:ascii="Corbel" w:hAnsi="Corbel"/>
        </w:rPr>
        <w:t>people in ARC, which has different levels of care: rest home care (13,000),</w:t>
      </w:r>
      <w:r w:rsidR="00E85F0E" w:rsidRPr="001D6F3C">
        <w:rPr>
          <w:rFonts w:ascii="Corbel" w:hAnsi="Corbel"/>
        </w:rPr>
        <w:t xml:space="preserve"> continuing</w:t>
      </w:r>
      <w:r w:rsidRPr="001D6F3C">
        <w:rPr>
          <w:rFonts w:ascii="Corbel" w:hAnsi="Corbel"/>
        </w:rPr>
        <w:t xml:space="preserve"> hospital care (1</w:t>
      </w:r>
      <w:r w:rsidR="00E85F0E" w:rsidRPr="001D6F3C">
        <w:rPr>
          <w:rFonts w:ascii="Corbel" w:hAnsi="Corbel"/>
        </w:rPr>
        <w:t>4</w:t>
      </w:r>
      <w:r w:rsidRPr="001D6F3C">
        <w:rPr>
          <w:rFonts w:ascii="Corbel" w:hAnsi="Corbel"/>
        </w:rPr>
        <w:t xml:space="preserve">,000), </w:t>
      </w:r>
      <w:r w:rsidR="000F2DDA" w:rsidRPr="001D6F3C">
        <w:rPr>
          <w:rFonts w:ascii="Corbel" w:hAnsi="Corbel"/>
        </w:rPr>
        <w:t xml:space="preserve">and </w:t>
      </w:r>
      <w:r w:rsidRPr="001D6F3C">
        <w:rPr>
          <w:rFonts w:ascii="Corbel" w:hAnsi="Corbel"/>
        </w:rPr>
        <w:t>dementia care and psychogeriatric care (5,</w:t>
      </w:r>
      <w:r w:rsidR="00151444" w:rsidRPr="001D6F3C">
        <w:rPr>
          <w:rFonts w:ascii="Corbel" w:hAnsi="Corbel"/>
        </w:rPr>
        <w:t>8</w:t>
      </w:r>
      <w:r w:rsidRPr="001D6F3C">
        <w:rPr>
          <w:rFonts w:ascii="Corbel" w:hAnsi="Corbel"/>
        </w:rPr>
        <w:t xml:space="preserve">00). </w:t>
      </w:r>
    </w:p>
    <w:p w14:paraId="4622F3A2" w14:textId="677677D8" w:rsidR="00A62EE9" w:rsidRPr="001D6F3C" w:rsidRDefault="00A62EE9" w:rsidP="00A60862">
      <w:pPr>
        <w:jc w:val="both"/>
        <w:rPr>
          <w:rFonts w:ascii="Corbel" w:hAnsi="Corbel"/>
        </w:rPr>
      </w:pPr>
      <w:r w:rsidRPr="001D6F3C">
        <w:rPr>
          <w:rFonts w:ascii="Corbel" w:hAnsi="Corbel"/>
        </w:rPr>
        <w:t>ARC is means-tested, meaning that individuals with assets above the threshold will pay the cost of care up to a maximum contribution amount (which is set annually and varies by region)</w:t>
      </w:r>
      <w:r w:rsidR="003C03DC" w:rsidRPr="001D6F3C">
        <w:rPr>
          <w:rFonts w:ascii="Corbel" w:hAnsi="Corbel"/>
        </w:rPr>
        <w:t>. Those</w:t>
      </w:r>
      <w:r w:rsidRPr="001D6F3C">
        <w:rPr>
          <w:rFonts w:ascii="Corbel" w:hAnsi="Corbel"/>
        </w:rPr>
        <w:t xml:space="preserve"> below the threshold will qualify for the Residential Care Subsidy. For those not eligible for the residential care subsidy, an interest-free residential care loan is available, secured against their home. </w:t>
      </w:r>
    </w:p>
    <w:p w14:paraId="45E96392" w14:textId="6D751F8F" w:rsidR="00A62EE9" w:rsidRPr="001D6F3C" w:rsidRDefault="00A62EE9" w:rsidP="00A60862">
      <w:pPr>
        <w:jc w:val="both"/>
        <w:rPr>
          <w:rFonts w:ascii="Corbel" w:hAnsi="Corbel"/>
        </w:rPr>
      </w:pPr>
      <w:r w:rsidRPr="001D6F3C">
        <w:rPr>
          <w:rFonts w:ascii="Corbel" w:hAnsi="Corbel"/>
        </w:rPr>
        <w:lastRenderedPageBreak/>
        <w:t>Most people aged 65-74 live at home without any formal assistance from health services. However, around half the population aged 85+ live at home and receive HCSS. Another 28</w:t>
      </w:r>
      <w:r w:rsidR="003C03DC" w:rsidRPr="001D6F3C">
        <w:rPr>
          <w:rFonts w:ascii="Corbel" w:hAnsi="Corbel"/>
        </w:rPr>
        <w:t>%</w:t>
      </w:r>
      <w:r w:rsidR="0029357B" w:rsidRPr="001D6F3C">
        <w:rPr>
          <w:rFonts w:ascii="Corbel" w:hAnsi="Corbel"/>
        </w:rPr>
        <w:t xml:space="preserve"> </w:t>
      </w:r>
      <w:r w:rsidRPr="001D6F3C">
        <w:rPr>
          <w:rFonts w:ascii="Corbel" w:hAnsi="Corbel"/>
        </w:rPr>
        <w:t xml:space="preserve">live in ARC. </w:t>
      </w:r>
    </w:p>
    <w:p w14:paraId="4C2A53CF" w14:textId="4D2E38FE" w:rsidR="005B3097" w:rsidRPr="001D6F3C" w:rsidRDefault="00956FA3" w:rsidP="005B3097">
      <w:pPr>
        <w:jc w:val="both"/>
        <w:rPr>
          <w:rFonts w:ascii="Corbel" w:hAnsi="Corbel"/>
        </w:rPr>
      </w:pPr>
      <w:r w:rsidRPr="001D6F3C">
        <w:rPr>
          <w:rFonts w:ascii="Corbel" w:hAnsi="Corbel"/>
        </w:rPr>
        <w:t xml:space="preserve">Others within this age group will receive support from family, whānau or privately paid carers. The carer population as a </w:t>
      </w:r>
      <w:proofErr w:type="gramStart"/>
      <w:r w:rsidRPr="001D6F3C">
        <w:rPr>
          <w:rFonts w:ascii="Corbel" w:hAnsi="Corbel"/>
        </w:rPr>
        <w:t>whole</w:t>
      </w:r>
      <w:r w:rsidR="005C6B44" w:rsidRPr="001D6F3C">
        <w:rPr>
          <w:rFonts w:ascii="Corbel" w:hAnsi="Corbel"/>
        </w:rPr>
        <w:t xml:space="preserve"> </w:t>
      </w:r>
      <w:r w:rsidRPr="001D6F3C">
        <w:rPr>
          <w:rFonts w:ascii="Corbel" w:hAnsi="Corbel"/>
        </w:rPr>
        <w:t xml:space="preserve"> was</w:t>
      </w:r>
      <w:proofErr w:type="gramEnd"/>
      <w:r w:rsidRPr="001D6F3C">
        <w:rPr>
          <w:rFonts w:ascii="Corbel" w:hAnsi="Corbel"/>
        </w:rPr>
        <w:t xml:space="preserve"> estimated to be at least </w:t>
      </w:r>
      <w:r w:rsidR="00677430" w:rsidRPr="001D6F3C">
        <w:rPr>
          <w:rFonts w:ascii="Corbel" w:hAnsi="Corbel"/>
        </w:rPr>
        <w:t>530</w:t>
      </w:r>
      <w:r w:rsidRPr="001D6F3C">
        <w:rPr>
          <w:rFonts w:ascii="Corbel" w:hAnsi="Corbel"/>
        </w:rPr>
        <w:t xml:space="preserve">,000 in </w:t>
      </w:r>
      <w:r w:rsidR="00677430" w:rsidRPr="001D6F3C">
        <w:rPr>
          <w:rFonts w:ascii="Corbel" w:hAnsi="Corbel"/>
        </w:rPr>
        <w:t>2023</w:t>
      </w:r>
      <w:r w:rsidRPr="001D6F3C">
        <w:rPr>
          <w:rFonts w:ascii="Corbel" w:hAnsi="Corbel"/>
        </w:rPr>
        <w:t xml:space="preserve">. </w:t>
      </w:r>
      <w:r w:rsidR="0044665B" w:rsidRPr="001D6F3C">
        <w:rPr>
          <w:rFonts w:ascii="Corbel" w:hAnsi="Corbel"/>
        </w:rPr>
        <w:t>Earlier statistics</w:t>
      </w:r>
      <w:r w:rsidR="00794D9A" w:rsidRPr="001D6F3C">
        <w:rPr>
          <w:rFonts w:ascii="Corbel" w:hAnsi="Corbel"/>
        </w:rPr>
        <w:t xml:space="preserve"> suggest t</w:t>
      </w:r>
      <w:r w:rsidRPr="001D6F3C">
        <w:rPr>
          <w:rFonts w:ascii="Corbel" w:hAnsi="Corbel"/>
        </w:rPr>
        <w:t xml:space="preserve">his group is older than the general population, with 20% aged 65+. It is also primarily (63%) female. </w:t>
      </w:r>
      <w:r w:rsidR="005B3097" w:rsidRPr="001D6F3C">
        <w:rPr>
          <w:rFonts w:ascii="Corbel" w:hAnsi="Corbel"/>
        </w:rPr>
        <w:t>Providing care within the family can have significant life course effects that increase the likelihood of vulnerability in later life. These include foregone earnings, social isolation and physical injury.</w:t>
      </w:r>
    </w:p>
    <w:p w14:paraId="3E149571" w14:textId="33536190" w:rsidR="009537D0" w:rsidRPr="001D6F3C" w:rsidRDefault="000B2941" w:rsidP="00A60862">
      <w:pPr>
        <w:jc w:val="both"/>
        <w:rPr>
          <w:rFonts w:ascii="Corbel" w:hAnsi="Corbel"/>
        </w:rPr>
      </w:pPr>
      <w:r w:rsidRPr="001D6F3C">
        <w:rPr>
          <w:rFonts w:ascii="Corbel" w:hAnsi="Corbel"/>
        </w:rPr>
        <w:t>Māori, P</w:t>
      </w:r>
      <w:r w:rsidR="00125F2F" w:rsidRPr="001D6F3C">
        <w:rPr>
          <w:rFonts w:ascii="Corbel" w:hAnsi="Corbel"/>
        </w:rPr>
        <w:t>acific People</w:t>
      </w:r>
      <w:r w:rsidRPr="001D6F3C">
        <w:rPr>
          <w:rFonts w:ascii="Corbel" w:hAnsi="Corbel"/>
        </w:rPr>
        <w:t xml:space="preserve"> and Asian populations are much less likely to be admitted to</w:t>
      </w:r>
      <w:r w:rsidR="003C03DC" w:rsidRPr="001D6F3C">
        <w:rPr>
          <w:rFonts w:ascii="Corbel" w:hAnsi="Corbel"/>
        </w:rPr>
        <w:t xml:space="preserve"> </w:t>
      </w:r>
      <w:r w:rsidRPr="001D6F3C">
        <w:rPr>
          <w:rFonts w:ascii="Corbel" w:hAnsi="Corbel"/>
        </w:rPr>
        <w:t xml:space="preserve">ARC than NZ Europeans. For those who have been assessed as having a high priority for moving out of a home environment, NZ European individuals are twice as likely to be admitted into an </w:t>
      </w:r>
      <w:r w:rsidR="003C03DC" w:rsidRPr="001D6F3C">
        <w:rPr>
          <w:rFonts w:ascii="Corbel" w:hAnsi="Corbel"/>
        </w:rPr>
        <w:t xml:space="preserve">ARC </w:t>
      </w:r>
      <w:r w:rsidRPr="001D6F3C">
        <w:rPr>
          <w:rFonts w:ascii="Corbel" w:hAnsi="Corbel"/>
        </w:rPr>
        <w:t>facility within 12 months than Māori individuals with a similar high priority assessment. Pa</w:t>
      </w:r>
      <w:r w:rsidR="00BC6CD2" w:rsidRPr="001D6F3C">
        <w:rPr>
          <w:rFonts w:ascii="Corbel" w:hAnsi="Corbel"/>
        </w:rPr>
        <w:t>cific</w:t>
      </w:r>
      <w:r w:rsidRPr="001D6F3C">
        <w:rPr>
          <w:rFonts w:ascii="Corbel" w:hAnsi="Corbel"/>
        </w:rPr>
        <w:t xml:space="preserve"> and Asian people also face inequity in prompt admittance to ARC.</w:t>
      </w:r>
      <w:r w:rsidR="00117CB8" w:rsidRPr="001D6F3C">
        <w:rPr>
          <w:rFonts w:ascii="Corbel" w:hAnsi="Corbel"/>
        </w:rPr>
        <w:t xml:space="preserve"> Māori and Pa</w:t>
      </w:r>
      <w:r w:rsidR="00BC6CD2" w:rsidRPr="001D6F3C">
        <w:rPr>
          <w:rFonts w:ascii="Corbel" w:hAnsi="Corbel"/>
        </w:rPr>
        <w:t>cific people</w:t>
      </w:r>
      <w:r w:rsidR="00117CB8" w:rsidRPr="001D6F3C">
        <w:rPr>
          <w:rFonts w:ascii="Corbel" w:hAnsi="Corbel"/>
        </w:rPr>
        <w:t xml:space="preserve"> are more likely to receive HCSS, but it is unclear whether this is at equitable rates. </w:t>
      </w:r>
      <w:r w:rsidR="00F72143" w:rsidRPr="001D6F3C">
        <w:rPr>
          <w:rFonts w:ascii="Corbel" w:hAnsi="Corbel"/>
        </w:rPr>
        <w:t xml:space="preserve">The Asian population group is accessing ARC and HCSS at </w:t>
      </w:r>
      <w:r w:rsidR="00B75DDE" w:rsidRPr="001D6F3C">
        <w:rPr>
          <w:rFonts w:ascii="Corbel" w:hAnsi="Corbel"/>
        </w:rPr>
        <w:t xml:space="preserve">much </w:t>
      </w:r>
      <w:r w:rsidR="00F72143" w:rsidRPr="001D6F3C">
        <w:rPr>
          <w:rFonts w:ascii="Corbel" w:hAnsi="Corbel"/>
        </w:rPr>
        <w:t>lower rates than other population groups.</w:t>
      </w:r>
      <w:r w:rsidR="004B5A16" w:rsidRPr="001D6F3C">
        <w:rPr>
          <w:rFonts w:ascii="Corbel" w:hAnsi="Corbel"/>
        </w:rPr>
        <w:t xml:space="preserve"> </w:t>
      </w:r>
    </w:p>
    <w:p w14:paraId="1FA5C756" w14:textId="00B5CDAD" w:rsidR="009537D0" w:rsidRPr="001D6F3C" w:rsidDel="00956FA3" w:rsidRDefault="009537D0" w:rsidP="00A60862">
      <w:pPr>
        <w:jc w:val="both"/>
        <w:rPr>
          <w:rFonts w:ascii="Corbel" w:hAnsi="Corbel"/>
        </w:rPr>
      </w:pPr>
      <w:r w:rsidRPr="001D6F3C">
        <w:rPr>
          <w:rFonts w:ascii="Corbel" w:hAnsi="Corbel"/>
        </w:rPr>
        <w:t xml:space="preserve">Higher utilisation of in-home services by Māori and Pacific populations is influenced by </w:t>
      </w:r>
      <w:proofErr w:type="gramStart"/>
      <w:r w:rsidRPr="001D6F3C">
        <w:rPr>
          <w:rFonts w:ascii="Corbel" w:hAnsi="Corbel"/>
        </w:rPr>
        <w:t>a number of</w:t>
      </w:r>
      <w:proofErr w:type="gramEnd"/>
      <w:r w:rsidRPr="001D6F3C">
        <w:rPr>
          <w:rFonts w:ascii="Corbel" w:hAnsi="Corbel"/>
        </w:rPr>
        <w:t xml:space="preserve"> factors including greater health needs, cultural preferences to stay at home longer, and possibly barriers in accessing ARC services</w:t>
      </w:r>
    </w:p>
    <w:p w14:paraId="6D31E641" w14:textId="3DA61C2F" w:rsidR="00A62EE9" w:rsidRPr="001D6F3C" w:rsidRDefault="00A62EE9" w:rsidP="007D5F66">
      <w:pPr>
        <w:pStyle w:val="Heading2"/>
        <w:jc w:val="both"/>
        <w:rPr>
          <w:rFonts w:ascii="Corbel" w:hAnsi="Corbel"/>
        </w:rPr>
      </w:pPr>
      <w:bookmarkStart w:id="96" w:name="_Toc207783006"/>
      <w:r w:rsidRPr="001D6F3C">
        <w:rPr>
          <w:rFonts w:ascii="Corbel" w:hAnsi="Corbel"/>
          <w:b/>
          <w:bCs/>
        </w:rPr>
        <w:t>3.</w:t>
      </w:r>
      <w:r w:rsidR="00382E63">
        <w:rPr>
          <w:rFonts w:ascii="Corbel" w:hAnsi="Corbel"/>
          <w:b/>
          <w:bCs/>
        </w:rPr>
        <w:t>12</w:t>
      </w:r>
      <w:r w:rsidR="00045651" w:rsidRPr="001D6F3C">
        <w:rPr>
          <w:rFonts w:ascii="Corbel" w:hAnsi="Corbel"/>
          <w:b/>
          <w:bCs/>
        </w:rPr>
        <w:t xml:space="preserve"> </w:t>
      </w:r>
      <w:r w:rsidRPr="001D6F3C">
        <w:rPr>
          <w:rFonts w:ascii="Corbel" w:hAnsi="Corbel"/>
          <w:b/>
          <w:bCs/>
        </w:rPr>
        <w:t xml:space="preserve">Health, </w:t>
      </w:r>
      <w:r w:rsidR="00226447" w:rsidRPr="001D6F3C">
        <w:rPr>
          <w:rFonts w:ascii="Corbel" w:hAnsi="Corbel"/>
          <w:b/>
          <w:bCs/>
        </w:rPr>
        <w:t>d</w:t>
      </w:r>
      <w:r w:rsidRPr="001D6F3C">
        <w:rPr>
          <w:rFonts w:ascii="Corbel" w:hAnsi="Corbel"/>
          <w:b/>
          <w:bCs/>
        </w:rPr>
        <w:t xml:space="preserve">isability and </w:t>
      </w:r>
      <w:r w:rsidR="00226447" w:rsidRPr="001D6F3C">
        <w:rPr>
          <w:rFonts w:ascii="Corbel" w:hAnsi="Corbel"/>
          <w:b/>
          <w:bCs/>
        </w:rPr>
        <w:t>c</w:t>
      </w:r>
      <w:r w:rsidRPr="001D6F3C">
        <w:rPr>
          <w:rFonts w:ascii="Corbel" w:hAnsi="Corbel"/>
          <w:b/>
          <w:bCs/>
        </w:rPr>
        <w:t>are</w:t>
      </w:r>
      <w:r w:rsidR="00BE5D57" w:rsidRPr="001D6F3C">
        <w:rPr>
          <w:rFonts w:ascii="Corbel" w:hAnsi="Corbel"/>
        </w:rPr>
        <w:t xml:space="preserve"> - </w:t>
      </w:r>
      <w:r w:rsidR="00226447" w:rsidRPr="001D6F3C">
        <w:rPr>
          <w:rFonts w:ascii="Corbel" w:hAnsi="Corbel"/>
        </w:rPr>
        <w:t>f</w:t>
      </w:r>
      <w:r w:rsidRPr="001D6F3C">
        <w:rPr>
          <w:rFonts w:ascii="Corbel" w:hAnsi="Corbel"/>
        </w:rPr>
        <w:t>uture possibilities</w:t>
      </w:r>
      <w:bookmarkEnd w:id="96"/>
    </w:p>
    <w:p w14:paraId="0B456766" w14:textId="72B7B51F" w:rsidR="00A62EE9" w:rsidRPr="001D6F3C" w:rsidRDefault="16971C16" w:rsidP="3464A8F5">
      <w:pPr>
        <w:jc w:val="both"/>
        <w:rPr>
          <w:rFonts w:ascii="Corbel" w:hAnsi="Corbel"/>
        </w:rPr>
      </w:pPr>
      <w:r w:rsidRPr="001D6F3C">
        <w:rPr>
          <w:rFonts w:ascii="Corbel" w:hAnsi="Corbel"/>
        </w:rPr>
        <w:t xml:space="preserve">The trend for life expectancy growth to outstrip expected healthy years will </w:t>
      </w:r>
      <w:r w:rsidR="1AF5BF33" w:rsidRPr="001D6F3C">
        <w:rPr>
          <w:rFonts w:ascii="Corbel" w:hAnsi="Corbel"/>
        </w:rPr>
        <w:t xml:space="preserve">likely </w:t>
      </w:r>
      <w:r w:rsidRPr="001D6F3C">
        <w:rPr>
          <w:rFonts w:ascii="Corbel" w:hAnsi="Corbel"/>
        </w:rPr>
        <w:t xml:space="preserve">continue. The </w:t>
      </w:r>
      <w:r w:rsidR="00AC2024" w:rsidRPr="001D6F3C">
        <w:rPr>
          <w:rFonts w:ascii="Corbel" w:hAnsi="Corbel"/>
        </w:rPr>
        <w:t>World Health Organisation</w:t>
      </w:r>
      <w:r w:rsidRPr="001D6F3C">
        <w:rPr>
          <w:rFonts w:ascii="Corbel" w:hAnsi="Corbel"/>
        </w:rPr>
        <w:t xml:space="preserve"> predicts that life expectancy will grow to 82.9 for males and 85.3 for females by 2050. During the same period, </w:t>
      </w:r>
      <w:r w:rsidR="67A3428F" w:rsidRPr="001D6F3C">
        <w:rPr>
          <w:rFonts w:ascii="Corbel" w:hAnsi="Corbel"/>
        </w:rPr>
        <w:t>h</w:t>
      </w:r>
      <w:r w:rsidRPr="001D6F3C">
        <w:rPr>
          <w:rFonts w:ascii="Corbel" w:hAnsi="Corbel"/>
        </w:rPr>
        <w:t>ealth-</w:t>
      </w:r>
      <w:r w:rsidR="5AECEFFB" w:rsidRPr="001D6F3C">
        <w:rPr>
          <w:rFonts w:ascii="Corbel" w:hAnsi="Corbel"/>
        </w:rPr>
        <w:t>a</w:t>
      </w:r>
      <w:r w:rsidRPr="001D6F3C">
        <w:rPr>
          <w:rFonts w:ascii="Corbel" w:hAnsi="Corbel"/>
        </w:rPr>
        <w:t xml:space="preserve">djusted </w:t>
      </w:r>
      <w:r w:rsidR="2BC15FC5" w:rsidRPr="001D6F3C">
        <w:rPr>
          <w:rFonts w:ascii="Corbel" w:hAnsi="Corbel"/>
        </w:rPr>
        <w:t>l</w:t>
      </w:r>
      <w:r w:rsidRPr="001D6F3C">
        <w:rPr>
          <w:rFonts w:ascii="Corbel" w:hAnsi="Corbel"/>
        </w:rPr>
        <w:t xml:space="preserve">ife </w:t>
      </w:r>
      <w:r w:rsidR="7531644C" w:rsidRPr="001D6F3C">
        <w:rPr>
          <w:rFonts w:ascii="Corbel" w:hAnsi="Corbel"/>
        </w:rPr>
        <w:t>e</w:t>
      </w:r>
      <w:r w:rsidRPr="001D6F3C">
        <w:rPr>
          <w:rFonts w:ascii="Corbel" w:hAnsi="Corbel"/>
        </w:rPr>
        <w:t xml:space="preserve">xpectancy is forecast to grow to only 71.4 for both genders (up from 69.6 for males and 70.1 for females in 2021). </w:t>
      </w:r>
      <w:r w:rsidR="56D9339A" w:rsidRPr="001D6F3C">
        <w:rPr>
          <w:rFonts w:ascii="Corbel" w:hAnsi="Corbel"/>
        </w:rPr>
        <w:t>Despite improvements in health and life expectancy people tend to use more health services as they age.</w:t>
      </w:r>
    </w:p>
    <w:p w14:paraId="4BAC607D" w14:textId="1BAF4DEE" w:rsidR="00A62EE9" w:rsidRPr="001D6F3C" w:rsidRDefault="00A62EE9" w:rsidP="6E816A7D">
      <w:pPr>
        <w:jc w:val="both"/>
        <w:rPr>
          <w:rFonts w:ascii="Corbel" w:hAnsi="Corbel"/>
        </w:rPr>
      </w:pPr>
      <w:r w:rsidRPr="001D6F3C">
        <w:rPr>
          <w:rFonts w:ascii="Corbel" w:hAnsi="Corbel"/>
        </w:rPr>
        <w:t xml:space="preserve">The incidence of the most prevalent long-term conditions will increase steadily in coming decades. </w:t>
      </w:r>
      <w:r w:rsidR="7429FCEF" w:rsidRPr="001D6F3C">
        <w:rPr>
          <w:rFonts w:ascii="Corbel" w:hAnsi="Corbel"/>
        </w:rPr>
        <w:t>Notably, d</w:t>
      </w:r>
      <w:r w:rsidRPr="001D6F3C">
        <w:rPr>
          <w:rFonts w:ascii="Corbel" w:hAnsi="Corbel"/>
        </w:rPr>
        <w:t xml:space="preserve">ementia is expected to more than double to approximately 167,500 people in 2050, comprising 10.8 percent of the population aged 65+. </w:t>
      </w:r>
      <w:r w:rsidR="7E0512B3" w:rsidRPr="001D6F3C">
        <w:rPr>
          <w:rFonts w:ascii="Corbel" w:hAnsi="Corbel"/>
        </w:rPr>
        <w:t>The increase i</w:t>
      </w:r>
      <w:r w:rsidR="7B142B99" w:rsidRPr="001D6F3C">
        <w:rPr>
          <w:rFonts w:ascii="Corbel" w:hAnsi="Corbel"/>
        </w:rPr>
        <w:t xml:space="preserve">s not solely a result of an ageing </w:t>
      </w:r>
      <w:r w:rsidR="6887637F" w:rsidRPr="001D6F3C">
        <w:rPr>
          <w:rFonts w:ascii="Corbel" w:hAnsi="Corbel"/>
        </w:rPr>
        <w:t>population but</w:t>
      </w:r>
      <w:r w:rsidR="7B142B99" w:rsidRPr="001D6F3C">
        <w:rPr>
          <w:rFonts w:ascii="Corbel" w:hAnsi="Corbel"/>
        </w:rPr>
        <w:t xml:space="preserve"> also reflects the prevalence of young</w:t>
      </w:r>
      <w:r w:rsidR="000B0543" w:rsidRPr="001D6F3C">
        <w:rPr>
          <w:rFonts w:ascii="Corbel" w:hAnsi="Corbel"/>
        </w:rPr>
        <w:t>er</w:t>
      </w:r>
      <w:r w:rsidR="7B142B99" w:rsidRPr="001D6F3C">
        <w:rPr>
          <w:rFonts w:ascii="Corbel" w:hAnsi="Corbel"/>
        </w:rPr>
        <w:t xml:space="preserve"> onset dementia in Māori, Pacific and Asian populations compared to Europeans. </w:t>
      </w:r>
      <w:r w:rsidR="759131AA" w:rsidRPr="001D6F3C">
        <w:rPr>
          <w:rFonts w:ascii="Corbel" w:hAnsi="Corbel"/>
        </w:rPr>
        <w:t xml:space="preserve">Dementia among </w:t>
      </w:r>
      <w:r w:rsidR="7EEF72B4" w:rsidRPr="001D6F3C">
        <w:rPr>
          <w:rFonts w:ascii="Corbel" w:hAnsi="Corbel"/>
        </w:rPr>
        <w:t>Māori</w:t>
      </w:r>
      <w:r w:rsidR="759131AA" w:rsidRPr="001D6F3C">
        <w:rPr>
          <w:rFonts w:ascii="Corbel" w:hAnsi="Corbel"/>
        </w:rPr>
        <w:t>, Pacific and Asian population groups is expected to triple by 2050.</w:t>
      </w:r>
    </w:p>
    <w:p w14:paraId="1FEC50EE" w14:textId="7C007D3B" w:rsidR="00A62EE9" w:rsidRPr="001D6F3C" w:rsidRDefault="00A62EE9" w:rsidP="4E6F3A8D">
      <w:pPr>
        <w:jc w:val="both"/>
        <w:rPr>
          <w:rFonts w:ascii="Corbel" w:hAnsi="Corbel"/>
        </w:rPr>
      </w:pPr>
      <w:r w:rsidRPr="001D6F3C">
        <w:rPr>
          <w:rFonts w:ascii="Corbel" w:hAnsi="Corbel"/>
        </w:rPr>
        <w:t xml:space="preserve">Health NZ forecasts a need for between 4,000 and 17,000 more ARC beds by 2040. The lower forecast relies on increased care provided in the community and preventative approaches. This is in line with the stated preference of virtually all older New Zealanders to age in place for as long as possible. By 2050 Health NZ also forecasts an increase in demand for </w:t>
      </w:r>
      <w:r w:rsidR="00C920D7" w:rsidRPr="001D6F3C">
        <w:rPr>
          <w:rFonts w:ascii="Corbel" w:hAnsi="Corbel"/>
        </w:rPr>
        <w:t>HCSS</w:t>
      </w:r>
      <w:r w:rsidRPr="001D6F3C">
        <w:rPr>
          <w:rFonts w:ascii="Corbel" w:hAnsi="Corbel"/>
        </w:rPr>
        <w:t xml:space="preserve"> to around 15 million hours annually, up from around 9 million in 2023/24 (assuming no change to current funding and eligibility settings). </w:t>
      </w:r>
    </w:p>
    <w:p w14:paraId="47E98910" w14:textId="408B5A07" w:rsidR="00A62EE9" w:rsidRPr="001D6F3C" w:rsidRDefault="00A62EE9" w:rsidP="00A60862">
      <w:pPr>
        <w:jc w:val="both"/>
        <w:rPr>
          <w:rFonts w:ascii="Corbel" w:hAnsi="Corbel"/>
        </w:rPr>
      </w:pPr>
      <w:r w:rsidRPr="001D6F3C">
        <w:rPr>
          <w:rFonts w:ascii="Corbel" w:hAnsi="Corbel"/>
        </w:rPr>
        <w:t xml:space="preserve">While the acuity of those entering ARC (typically supported by the MSD-administered Residential Care Subsidy) is increasing, the level of care required in the community through </w:t>
      </w:r>
      <w:proofErr w:type="gramStart"/>
      <w:r w:rsidRPr="001D6F3C">
        <w:rPr>
          <w:rFonts w:ascii="Corbel" w:hAnsi="Corbel"/>
        </w:rPr>
        <w:t>HCSS</w:t>
      </w:r>
      <w:proofErr w:type="gramEnd"/>
      <w:r w:rsidRPr="001D6F3C">
        <w:rPr>
          <w:rFonts w:ascii="Corbel" w:hAnsi="Corbel"/>
        </w:rPr>
        <w:t xml:space="preserve"> and informal care is also increasing. This trend will likely continue, meaning that older people are likely to continue to live in the community for longer with higher and more complex needs.</w:t>
      </w:r>
      <w:r w:rsidR="00D92330" w:rsidRPr="001D6F3C">
        <w:rPr>
          <w:rFonts w:ascii="Corbel" w:hAnsi="Corbel"/>
        </w:rPr>
        <w:t xml:space="preserve"> This has significant implications for those caring for them. </w:t>
      </w:r>
    </w:p>
    <w:p w14:paraId="653BF30B" w14:textId="255E1507" w:rsidR="00A62EE9" w:rsidRPr="001D6F3C" w:rsidRDefault="002B06E9" w:rsidP="00A60862">
      <w:pPr>
        <w:jc w:val="both"/>
        <w:rPr>
          <w:rFonts w:ascii="Corbel" w:hAnsi="Corbel"/>
        </w:rPr>
      </w:pPr>
      <w:r w:rsidRPr="001D6F3C">
        <w:rPr>
          <w:rFonts w:ascii="Corbel" w:hAnsi="Corbel"/>
        </w:rPr>
        <w:t xml:space="preserve">In addition to HCSS and ARC, other services </w:t>
      </w:r>
      <w:r w:rsidR="0041454E" w:rsidRPr="001D6F3C">
        <w:rPr>
          <w:rFonts w:ascii="Corbel" w:hAnsi="Corbel"/>
        </w:rPr>
        <w:t xml:space="preserve">are likely to face increased pressure, including </w:t>
      </w:r>
      <w:r w:rsidR="00A8478A" w:rsidRPr="001D6F3C">
        <w:rPr>
          <w:rFonts w:ascii="Corbel" w:hAnsi="Corbel"/>
        </w:rPr>
        <w:t xml:space="preserve">primary health care and hospital services. </w:t>
      </w:r>
      <w:r w:rsidR="00A62EE9" w:rsidRPr="001D6F3C">
        <w:rPr>
          <w:rFonts w:ascii="Corbel" w:hAnsi="Corbel"/>
        </w:rPr>
        <w:t xml:space="preserve">Increased need will challenge the capacity of the health system to respond. It imposes an obvious direct fiscal cost, but other constraints such as availability of skilled staff and physical infrastructure also impose limits. </w:t>
      </w:r>
    </w:p>
    <w:p w14:paraId="78F78124" w14:textId="17C7CF66" w:rsidR="00D92330" w:rsidRPr="001D6F3C" w:rsidRDefault="00A62EE9" w:rsidP="00D92330">
      <w:pPr>
        <w:jc w:val="both"/>
        <w:rPr>
          <w:rFonts w:ascii="Corbel" w:hAnsi="Corbel"/>
        </w:rPr>
      </w:pPr>
      <w:r w:rsidRPr="001D6F3C">
        <w:rPr>
          <w:rFonts w:ascii="Corbel" w:hAnsi="Corbel"/>
        </w:rPr>
        <w:lastRenderedPageBreak/>
        <w:t xml:space="preserve">The </w:t>
      </w:r>
      <w:r w:rsidR="00D92330" w:rsidRPr="001D6F3C">
        <w:rPr>
          <w:rFonts w:ascii="Corbel" w:hAnsi="Corbel"/>
        </w:rPr>
        <w:t>health status</w:t>
      </w:r>
      <w:r w:rsidRPr="001D6F3C">
        <w:rPr>
          <w:rFonts w:ascii="Corbel" w:hAnsi="Corbel"/>
        </w:rPr>
        <w:t xml:space="preserve"> of the growing older population primarily imp</w:t>
      </w:r>
      <w:r w:rsidR="00D92330" w:rsidRPr="001D6F3C">
        <w:rPr>
          <w:rFonts w:ascii="Corbel" w:hAnsi="Corbel"/>
        </w:rPr>
        <w:t>acts</w:t>
      </w:r>
      <w:r w:rsidRPr="001D6F3C">
        <w:rPr>
          <w:rFonts w:ascii="Corbel" w:hAnsi="Corbel"/>
        </w:rPr>
        <w:t xml:space="preserve"> the health sector. </w:t>
      </w:r>
      <w:r w:rsidR="00D92330" w:rsidRPr="001D6F3C">
        <w:rPr>
          <w:rFonts w:ascii="Corbel" w:hAnsi="Corbel"/>
        </w:rPr>
        <w:t xml:space="preserve">However, the social and economic conditions in which people are born, grow, live, work, and age significantly impact their health outcomes. Important determinants include housing, transportation, education, job opportunities, income, and access to nutritious food and healthcare. These determinants not only affect individuals but also generate highly patterned health differences in populations that reflect inequalities in society. In New Zealand there is a strong association between poverty and poor health outcomes, particularly where poverty is persistent. Poor health and social and economic determinants can also have an ongoing negative impact on each other. </w:t>
      </w:r>
    </w:p>
    <w:p w14:paraId="4A222A27" w14:textId="6CF7519C" w:rsidR="00D92330" w:rsidRPr="001D6F3C" w:rsidRDefault="00D92330" w:rsidP="00D92330">
      <w:pPr>
        <w:jc w:val="both"/>
        <w:rPr>
          <w:rFonts w:ascii="Corbel" w:hAnsi="Corbel"/>
        </w:rPr>
      </w:pPr>
      <w:r w:rsidRPr="001D6F3C">
        <w:rPr>
          <w:rFonts w:ascii="Corbel" w:hAnsi="Corbel"/>
        </w:rPr>
        <w:t xml:space="preserve">The relationship between health and </w:t>
      </w:r>
      <w:r w:rsidR="00A52244" w:rsidRPr="001D6F3C">
        <w:rPr>
          <w:rFonts w:ascii="Corbel" w:hAnsi="Corbel"/>
        </w:rPr>
        <w:t xml:space="preserve">its </w:t>
      </w:r>
      <w:r w:rsidRPr="001D6F3C">
        <w:rPr>
          <w:rFonts w:ascii="Corbel" w:hAnsi="Corbel"/>
        </w:rPr>
        <w:t xml:space="preserve">social and economic determinants has implications for MSD. Trends suggest that MSD will need to respond to a growing number of older people facing multiple and interrelated problems that require a coordinated and sustained response. These needs can be both broad (multiple issues) and deep (severe or intense). This is likely to entail increased demand for a range of MSD services, notably </w:t>
      </w:r>
      <w:r w:rsidR="00AC2024" w:rsidRPr="001D6F3C">
        <w:rPr>
          <w:rFonts w:ascii="Corbel" w:hAnsi="Corbel"/>
        </w:rPr>
        <w:t>DA.</w:t>
      </w:r>
      <w:r w:rsidRPr="001D6F3C">
        <w:rPr>
          <w:rFonts w:ascii="Corbel" w:hAnsi="Corbel"/>
        </w:rPr>
        <w:t xml:space="preserve"> </w:t>
      </w:r>
    </w:p>
    <w:p w14:paraId="56932B36" w14:textId="07331078" w:rsidR="00A62EE9" w:rsidRPr="001D6F3C" w:rsidRDefault="00A62EE9" w:rsidP="00A60862">
      <w:pPr>
        <w:jc w:val="both"/>
        <w:rPr>
          <w:rFonts w:ascii="Corbel" w:hAnsi="Corbel"/>
        </w:rPr>
      </w:pPr>
      <w:r w:rsidRPr="001D6F3C">
        <w:rPr>
          <w:rFonts w:ascii="Corbel" w:hAnsi="Corbel"/>
        </w:rPr>
        <w:t>The need to care for older people in the community also has significant implications for family carers,</w:t>
      </w:r>
      <w:r w:rsidR="004F456A" w:rsidRPr="001D6F3C">
        <w:rPr>
          <w:rFonts w:ascii="Corbel" w:hAnsi="Corbel"/>
        </w:rPr>
        <w:t xml:space="preserve"> most of whom are women and</w:t>
      </w:r>
      <w:r w:rsidRPr="001D6F3C">
        <w:rPr>
          <w:rFonts w:ascii="Corbel" w:hAnsi="Corbel"/>
        </w:rPr>
        <w:t xml:space="preserve"> many of whom are older themselves. Caring for a family member can have well-documented impacts on the finances, health and social wellbeing of carers. Increased </w:t>
      </w:r>
      <w:r w:rsidR="00A52244" w:rsidRPr="001D6F3C">
        <w:rPr>
          <w:rFonts w:ascii="Corbel" w:hAnsi="Corbel"/>
        </w:rPr>
        <w:t>‘</w:t>
      </w:r>
      <w:r w:rsidRPr="001D6F3C">
        <w:rPr>
          <w:rFonts w:ascii="Corbel" w:hAnsi="Corbel"/>
        </w:rPr>
        <w:t>demand</w:t>
      </w:r>
      <w:r w:rsidR="00A52244" w:rsidRPr="001D6F3C">
        <w:rPr>
          <w:rFonts w:ascii="Corbel" w:hAnsi="Corbel"/>
        </w:rPr>
        <w:t>’</w:t>
      </w:r>
      <w:r w:rsidRPr="001D6F3C">
        <w:rPr>
          <w:rFonts w:ascii="Corbel" w:hAnsi="Corbel"/>
        </w:rPr>
        <w:t xml:space="preserve"> for family carers by a growing vulnerable older population risks itself contributing to further need by increasing the later life vulnerability of those who provide that care.</w:t>
      </w:r>
    </w:p>
    <w:tbl>
      <w:tblPr>
        <w:tblStyle w:val="TableGrid"/>
        <w:tblW w:w="0" w:type="auto"/>
        <w:tblInd w:w="-5" w:type="dxa"/>
        <w:tblLook w:val="04A0" w:firstRow="1" w:lastRow="0" w:firstColumn="1" w:lastColumn="0" w:noHBand="0" w:noVBand="1"/>
      </w:tblPr>
      <w:tblGrid>
        <w:gridCol w:w="8926"/>
      </w:tblGrid>
      <w:tr w:rsidR="0033218C" w:rsidRPr="001D6F3C" w14:paraId="20E40F7E" w14:textId="77777777" w:rsidTr="0067684E">
        <w:tc>
          <w:tcPr>
            <w:tcW w:w="8926" w:type="dxa"/>
            <w:shd w:val="clear" w:color="auto" w:fill="F2F2F2" w:themeFill="background1" w:themeFillShade="F2"/>
          </w:tcPr>
          <w:p w14:paraId="13D65769" w14:textId="3DBE4F28" w:rsidR="009C26A2" w:rsidRPr="001D6F3C" w:rsidRDefault="009C26A2" w:rsidP="00A60862">
            <w:pPr>
              <w:jc w:val="both"/>
              <w:rPr>
                <w:rFonts w:ascii="Corbel" w:hAnsi="Corbel"/>
                <w:sz w:val="22"/>
              </w:rPr>
            </w:pPr>
            <w:r w:rsidRPr="001D6F3C">
              <w:rPr>
                <w:rFonts w:ascii="Corbel" w:hAnsi="Corbel"/>
              </w:rPr>
              <w:t xml:space="preserve">The Ministry of Health’s 2025 Long Term Insights Briefing “Ageing Well” considers options to improve long-term health outcomes for older people. It can be found here: </w:t>
            </w:r>
            <w:hyperlink r:id="rId86" w:history="1">
              <w:r w:rsidRPr="001D6F3C">
                <w:rPr>
                  <w:rStyle w:val="Hyperlink"/>
                  <w:rFonts w:ascii="Corbel" w:hAnsi="Corbel"/>
                </w:rPr>
                <w:t>https://www.health.govt.nz/publications/unlocking-the-potential-of-active-ageing</w:t>
              </w:r>
            </w:hyperlink>
          </w:p>
        </w:tc>
      </w:tr>
    </w:tbl>
    <w:p w14:paraId="6F5F5412" w14:textId="2BAC2374" w:rsidR="00A62EE9" w:rsidRPr="001D6F3C" w:rsidRDefault="00A62EE9" w:rsidP="00A60862">
      <w:pPr>
        <w:pStyle w:val="Heading2"/>
        <w:jc w:val="both"/>
        <w:rPr>
          <w:rFonts w:ascii="Corbel" w:hAnsi="Corbel"/>
        </w:rPr>
      </w:pPr>
      <w:bookmarkStart w:id="97" w:name="_Toc207783007"/>
      <w:r w:rsidRPr="001D6F3C">
        <w:rPr>
          <w:rFonts w:ascii="Corbel" w:hAnsi="Corbel"/>
        </w:rPr>
        <w:t>3.</w:t>
      </w:r>
      <w:r w:rsidR="00382E63">
        <w:rPr>
          <w:rFonts w:ascii="Corbel" w:hAnsi="Corbel"/>
        </w:rPr>
        <w:t>13</w:t>
      </w:r>
      <w:r w:rsidR="00045651" w:rsidRPr="001D6F3C">
        <w:rPr>
          <w:rFonts w:ascii="Corbel" w:hAnsi="Corbel"/>
        </w:rPr>
        <w:t xml:space="preserve"> </w:t>
      </w:r>
      <w:r w:rsidRPr="001D6F3C">
        <w:rPr>
          <w:rFonts w:ascii="Corbel" w:hAnsi="Corbel"/>
          <w:b/>
          <w:bCs/>
        </w:rPr>
        <w:t>Communities</w:t>
      </w:r>
      <w:r w:rsidR="009C26A2" w:rsidRPr="001D6F3C">
        <w:rPr>
          <w:rFonts w:ascii="Corbel" w:hAnsi="Corbel"/>
          <w:b/>
          <w:bCs/>
        </w:rPr>
        <w:t xml:space="preserve"> - </w:t>
      </w:r>
      <w:r w:rsidR="00226447" w:rsidRPr="001D6F3C">
        <w:rPr>
          <w:rFonts w:ascii="Corbel" w:hAnsi="Corbel"/>
          <w:b/>
          <w:bCs/>
        </w:rPr>
        <w:t>s</w:t>
      </w:r>
      <w:r w:rsidRPr="001D6F3C">
        <w:rPr>
          <w:rStyle w:val="Emphasis"/>
          <w:rFonts w:ascii="Corbel" w:hAnsi="Corbel"/>
          <w:i w:val="0"/>
          <w:iCs w:val="0"/>
        </w:rPr>
        <w:t>ocial connection and isolation</w:t>
      </w:r>
      <w:bookmarkEnd w:id="97"/>
    </w:p>
    <w:p w14:paraId="560270EE" w14:textId="50EA0056" w:rsidR="00A62EE9" w:rsidRPr="001D6F3C" w:rsidRDefault="00C93014" w:rsidP="00A60862">
      <w:pPr>
        <w:jc w:val="both"/>
        <w:rPr>
          <w:rFonts w:ascii="Corbel" w:hAnsi="Corbel"/>
        </w:rPr>
      </w:pPr>
      <w:r w:rsidRPr="001D6F3C">
        <w:rPr>
          <w:rFonts w:ascii="Corbel" w:hAnsi="Corbel"/>
        </w:rPr>
        <w:t>Studies have shown that both the quality and quantity of our social ties are critical to wellbeing, shaping our mental and physical health, health behaviours, and mortality risk.</w:t>
      </w:r>
      <w:r w:rsidR="004A75BB" w:rsidRPr="001D6F3C">
        <w:rPr>
          <w:rFonts w:ascii="Corbel" w:hAnsi="Corbel"/>
        </w:rPr>
        <w:t xml:space="preserve"> </w:t>
      </w:r>
      <w:r w:rsidR="00A62EE9" w:rsidRPr="001D6F3C">
        <w:rPr>
          <w:rFonts w:ascii="Corbel" w:hAnsi="Corbel"/>
        </w:rPr>
        <w:t>Overall, older people report they are lonely less frequently than younger people. According to the 2021 G</w:t>
      </w:r>
      <w:r w:rsidR="00AC2024" w:rsidRPr="001D6F3C">
        <w:rPr>
          <w:rFonts w:ascii="Corbel" w:hAnsi="Corbel"/>
        </w:rPr>
        <w:t>SS</w:t>
      </w:r>
      <w:r w:rsidR="00A62EE9" w:rsidRPr="001D6F3C">
        <w:rPr>
          <w:rFonts w:ascii="Corbel" w:hAnsi="Corbel"/>
        </w:rPr>
        <w:t>, 73.4% of the 65-74 age group felt they had good social support.</w:t>
      </w:r>
    </w:p>
    <w:p w14:paraId="3283589B" w14:textId="65E31644" w:rsidR="00583FE1" w:rsidRPr="001D6F3C" w:rsidRDefault="00583FE1" w:rsidP="00583FE1">
      <w:pPr>
        <w:jc w:val="both"/>
        <w:rPr>
          <w:rFonts w:ascii="Corbel" w:hAnsi="Corbel"/>
        </w:rPr>
      </w:pPr>
      <w:r w:rsidRPr="001D6F3C">
        <w:rPr>
          <w:rFonts w:ascii="Corbel" w:hAnsi="Corbel"/>
        </w:rPr>
        <w:t>While older people report lower levels of loneliness, there are factors that can put older people at greater risk of experiencing social isolation and loneliness, though these are not determinative. These factors include living alone, having poor family and partner relationships, experiencing caregiver burden, bereavement, having poor mental and physical health or a disability, leaving paid work and being an immigrant.</w:t>
      </w:r>
      <w:r w:rsidR="003E1CBA" w:rsidRPr="001D6F3C">
        <w:rPr>
          <w:rFonts w:ascii="Corbel" w:hAnsi="Corbel"/>
        </w:rPr>
        <w:t xml:space="preserve"> Social isolation can also contribute to a lack of ability for older people to meet their needs, as they are cut off from support.</w:t>
      </w:r>
    </w:p>
    <w:p w14:paraId="5D2882B7" w14:textId="77777777" w:rsidR="00583FE1" w:rsidRPr="001D6F3C" w:rsidRDefault="00583FE1" w:rsidP="00583FE1">
      <w:pPr>
        <w:jc w:val="both"/>
        <w:rPr>
          <w:rFonts w:ascii="Corbel" w:hAnsi="Corbel"/>
        </w:rPr>
      </w:pPr>
      <w:r w:rsidRPr="001D6F3C">
        <w:rPr>
          <w:rFonts w:ascii="Corbel" w:hAnsi="Corbel"/>
        </w:rPr>
        <w:t>Trends point to an increasing number of older people living alone</w:t>
      </w:r>
      <w:r w:rsidRPr="001D6F3C">
        <w:rPr>
          <w:rFonts w:ascii="Corbel" w:hAnsi="Corbel"/>
          <w:b/>
          <w:bCs/>
        </w:rPr>
        <w:t xml:space="preserve">. </w:t>
      </w:r>
      <w:r w:rsidRPr="001D6F3C">
        <w:rPr>
          <w:rFonts w:ascii="Corbel" w:hAnsi="Corbel"/>
        </w:rPr>
        <w:t xml:space="preserve">The 2023 Census revealed that women and people aged 65 and older were more likely to live alone. Approximately 1 in 4 people aged 65 years and older live alone. The number of people aged 65 and older who live alone is projected to increase to 2 in 3 people by 2043. </w:t>
      </w:r>
    </w:p>
    <w:p w14:paraId="38FC0E46" w14:textId="6F215D7A" w:rsidR="3BF2442C" w:rsidRPr="001D6F3C" w:rsidRDefault="3BF2442C" w:rsidP="0B6023DE">
      <w:pPr>
        <w:jc w:val="both"/>
        <w:rPr>
          <w:rFonts w:ascii="Corbel" w:hAnsi="Corbel"/>
        </w:rPr>
      </w:pPr>
      <w:r w:rsidRPr="001D6F3C">
        <w:rPr>
          <w:rFonts w:ascii="Corbel" w:hAnsi="Corbel"/>
        </w:rPr>
        <w:t xml:space="preserve">Older people </w:t>
      </w:r>
      <w:r w:rsidR="36300194" w:rsidRPr="001D6F3C">
        <w:rPr>
          <w:rFonts w:ascii="Corbel" w:hAnsi="Corbel"/>
        </w:rPr>
        <w:t xml:space="preserve">often contribute actively to </w:t>
      </w:r>
      <w:r w:rsidRPr="001D6F3C">
        <w:rPr>
          <w:rFonts w:ascii="Corbel" w:hAnsi="Corbel"/>
        </w:rPr>
        <w:t>their whānau and community. In the 2021 G</w:t>
      </w:r>
      <w:r w:rsidR="00AC2024" w:rsidRPr="001D6F3C">
        <w:rPr>
          <w:rFonts w:ascii="Corbel" w:hAnsi="Corbel"/>
        </w:rPr>
        <w:t>SS</w:t>
      </w:r>
      <w:r w:rsidRPr="001D6F3C">
        <w:rPr>
          <w:rFonts w:ascii="Corbel" w:hAnsi="Corbel"/>
        </w:rPr>
        <w:t xml:space="preserve"> 60% of those aged 65-74 volunteered regularly in their communities. Volunteering rates drop off for the 75+ age group, with 42.4 percent volunteering. When asked about barriers to volunteering, 46.1 percent of those aged 75+ agreed that health</w:t>
      </w:r>
      <w:r w:rsidR="02D86A17" w:rsidRPr="001D6F3C">
        <w:rPr>
          <w:rFonts w:ascii="Corbel" w:hAnsi="Corbel"/>
        </w:rPr>
        <w:t xml:space="preserve"> and mobility</w:t>
      </w:r>
      <w:r w:rsidRPr="001D6F3C">
        <w:rPr>
          <w:rFonts w:ascii="Corbel" w:hAnsi="Corbel"/>
        </w:rPr>
        <w:t xml:space="preserve"> problems </w:t>
      </w:r>
      <w:r w:rsidR="00AC1C58" w:rsidRPr="001D6F3C">
        <w:rPr>
          <w:rFonts w:ascii="Corbel" w:hAnsi="Corbel"/>
        </w:rPr>
        <w:t xml:space="preserve">were </w:t>
      </w:r>
      <w:r w:rsidRPr="001D6F3C">
        <w:rPr>
          <w:rFonts w:ascii="Corbel" w:hAnsi="Corbel"/>
        </w:rPr>
        <w:t>barri</w:t>
      </w:r>
      <w:r w:rsidR="623B379D" w:rsidRPr="001D6F3C">
        <w:rPr>
          <w:rFonts w:ascii="Corbel" w:hAnsi="Corbel"/>
        </w:rPr>
        <w:t>ers</w:t>
      </w:r>
      <w:r w:rsidRPr="001D6F3C">
        <w:rPr>
          <w:rFonts w:ascii="Corbel" w:hAnsi="Corbel"/>
        </w:rPr>
        <w:t>.</w:t>
      </w:r>
    </w:p>
    <w:p w14:paraId="31E19A5B" w14:textId="25FB3FF0" w:rsidR="00A62EE9" w:rsidRPr="001D6F3C" w:rsidRDefault="3BF2442C" w:rsidP="00A60862">
      <w:pPr>
        <w:jc w:val="both"/>
        <w:rPr>
          <w:rFonts w:ascii="Corbel" w:hAnsi="Corbel"/>
        </w:rPr>
      </w:pPr>
      <w:r w:rsidRPr="001D6F3C">
        <w:rPr>
          <w:rFonts w:ascii="Corbel" w:hAnsi="Corbel"/>
        </w:rPr>
        <w:t xml:space="preserve">Caring for family and whānau keeps older people actively involved with those that they love, which can be good for social connection. However, many older people care for their spouses who are also </w:t>
      </w:r>
      <w:r w:rsidRPr="001D6F3C">
        <w:rPr>
          <w:rFonts w:ascii="Corbel" w:hAnsi="Corbel"/>
        </w:rPr>
        <w:lastRenderedPageBreak/>
        <w:t>older. While caring for family and whānau can be extremely rewarding, caring responsibilities can also impact the ability for older people to foster social connections outside of the home.</w:t>
      </w:r>
    </w:p>
    <w:p w14:paraId="25E9D011" w14:textId="669C9968" w:rsidR="009E5CD0" w:rsidRPr="001D6F3C" w:rsidRDefault="6A8E0F7C" w:rsidP="00E20771">
      <w:pPr>
        <w:spacing w:line="257" w:lineRule="auto"/>
        <w:jc w:val="both"/>
        <w:rPr>
          <w:rFonts w:ascii="Corbel" w:hAnsi="Corbel"/>
        </w:rPr>
      </w:pPr>
      <w:r w:rsidRPr="001D6F3C">
        <w:rPr>
          <w:rFonts w:ascii="Corbel" w:hAnsi="Corbel"/>
        </w:rPr>
        <w:t>Some</w:t>
      </w:r>
      <w:r w:rsidR="3A64913F" w:rsidRPr="001D6F3C">
        <w:rPr>
          <w:rFonts w:ascii="Corbel" w:hAnsi="Corbel"/>
        </w:rPr>
        <w:t xml:space="preserve"> </w:t>
      </w:r>
      <w:r w:rsidR="7BAE0CAF" w:rsidRPr="001D6F3C">
        <w:rPr>
          <w:rFonts w:ascii="Corbel" w:hAnsi="Corbel"/>
        </w:rPr>
        <w:t>older</w:t>
      </w:r>
      <w:r w:rsidRPr="001D6F3C">
        <w:rPr>
          <w:rFonts w:ascii="Corbel" w:hAnsi="Corbel"/>
        </w:rPr>
        <w:t xml:space="preserve"> people may experience complex support needs, such as difficulty completing basic tasks</w:t>
      </w:r>
      <w:r w:rsidR="005E1C9C" w:rsidRPr="001D6F3C">
        <w:rPr>
          <w:rFonts w:ascii="Corbel" w:hAnsi="Corbel"/>
        </w:rPr>
        <w:t xml:space="preserve"> including self-care or household management</w:t>
      </w:r>
      <w:r w:rsidR="00DD5D55" w:rsidRPr="001D6F3C">
        <w:rPr>
          <w:rFonts w:ascii="Corbel" w:hAnsi="Corbel"/>
        </w:rPr>
        <w:t xml:space="preserve"> or</w:t>
      </w:r>
      <w:r w:rsidRPr="001D6F3C">
        <w:rPr>
          <w:rFonts w:ascii="Corbel" w:hAnsi="Corbel"/>
        </w:rPr>
        <w:t xml:space="preserve"> neglecting their mental and physical health. This presentation is known as “self-neglect” or “complex unmet support needs”, as the cohort of people experiencing these symptoms are not able to access support systems. Older people with complex unmet support needs</w:t>
      </w:r>
      <w:r w:rsidRPr="001D6F3C">
        <w:rPr>
          <w:rFonts w:ascii="Corbel" w:hAnsi="Corbel"/>
          <w:b/>
          <w:bCs/>
        </w:rPr>
        <w:t xml:space="preserve"> </w:t>
      </w:r>
      <w:r w:rsidRPr="001D6F3C">
        <w:rPr>
          <w:rFonts w:ascii="Corbel" w:hAnsi="Corbel"/>
        </w:rPr>
        <w:t>are sometimes referred for help through existing pathways such as MSD’s Elder Abuse Response Providers</w:t>
      </w:r>
      <w:r w:rsidR="00AC1C58" w:rsidRPr="001D6F3C">
        <w:rPr>
          <w:rFonts w:ascii="Corbel" w:hAnsi="Corbel"/>
        </w:rPr>
        <w:t xml:space="preserve"> (EARS)</w:t>
      </w:r>
      <w:r w:rsidRPr="001D6F3C">
        <w:rPr>
          <w:rFonts w:ascii="Corbel" w:hAnsi="Corbel"/>
        </w:rPr>
        <w:t>.</w:t>
      </w:r>
      <w:r w:rsidR="4168632A" w:rsidRPr="001D6F3C">
        <w:rPr>
          <w:rFonts w:ascii="Corbel" w:hAnsi="Corbel"/>
        </w:rPr>
        <w:t xml:space="preserve"> </w:t>
      </w:r>
      <w:r w:rsidR="4168632A" w:rsidRPr="001D6F3C">
        <w:rPr>
          <w:rFonts w:ascii="Corbel" w:eastAsia="Corbel" w:hAnsi="Corbel" w:cs="Corbel"/>
        </w:rPr>
        <w:t xml:space="preserve">This cohort are generally not well understood in current research in New Zealand and their needs may not be well addressed by current </w:t>
      </w:r>
      <w:r w:rsidR="00AC1C58" w:rsidRPr="001D6F3C">
        <w:rPr>
          <w:rFonts w:ascii="Corbel" w:eastAsia="Corbel" w:hAnsi="Corbel" w:cs="Corbel"/>
        </w:rPr>
        <w:t>g</w:t>
      </w:r>
      <w:r w:rsidR="4168632A" w:rsidRPr="001D6F3C">
        <w:rPr>
          <w:rFonts w:ascii="Corbel" w:eastAsia="Corbel" w:hAnsi="Corbel" w:cs="Corbel"/>
        </w:rPr>
        <w:t xml:space="preserve">overnment supports.  </w:t>
      </w:r>
    </w:p>
    <w:tbl>
      <w:tblPr>
        <w:tblStyle w:val="TableGrid"/>
        <w:tblW w:w="9214" w:type="dxa"/>
        <w:tblInd w:w="-5" w:type="dxa"/>
        <w:tblLook w:val="04A0" w:firstRow="1" w:lastRow="0" w:firstColumn="1" w:lastColumn="0" w:noHBand="0" w:noVBand="1"/>
      </w:tblPr>
      <w:tblGrid>
        <w:gridCol w:w="9214"/>
      </w:tblGrid>
      <w:tr w:rsidR="009E5CD0" w:rsidRPr="001D6F3C" w14:paraId="7F09A87B" w14:textId="77777777" w:rsidTr="2009C0B2">
        <w:tc>
          <w:tcPr>
            <w:tcW w:w="9214" w:type="dxa"/>
            <w:shd w:val="clear" w:color="auto" w:fill="EAF1DD" w:themeFill="accent3" w:themeFillTint="33"/>
          </w:tcPr>
          <w:p w14:paraId="1A1E9F99" w14:textId="595A2625" w:rsidR="009E5CD0" w:rsidRPr="001D6F3C" w:rsidRDefault="009E5CD0" w:rsidP="009A2088">
            <w:pPr>
              <w:pStyle w:val="Heading4"/>
              <w:jc w:val="both"/>
              <w:rPr>
                <w:rFonts w:ascii="Corbel" w:hAnsi="Corbel"/>
                <w:b/>
                <w:bCs/>
                <w:color w:val="000000" w:themeColor="text1"/>
                <w:sz w:val="20"/>
                <w:szCs w:val="20"/>
              </w:rPr>
            </w:pPr>
            <w:r w:rsidRPr="001D6F3C">
              <w:rPr>
                <w:rFonts w:ascii="Corbel" w:hAnsi="Corbel"/>
                <w:b/>
                <w:bCs/>
                <w:color w:val="000000" w:themeColor="text1"/>
                <w:sz w:val="20"/>
                <w:szCs w:val="20"/>
              </w:rPr>
              <w:t xml:space="preserve">Community services </w:t>
            </w:r>
            <w:r w:rsidR="00660B01" w:rsidRPr="001D6F3C">
              <w:rPr>
                <w:rFonts w:ascii="Corbel" w:hAnsi="Corbel"/>
                <w:b/>
                <w:bCs/>
                <w:color w:val="000000" w:themeColor="text1"/>
                <w:sz w:val="20"/>
                <w:szCs w:val="20"/>
              </w:rPr>
              <w:t xml:space="preserve">funded by </w:t>
            </w:r>
            <w:r w:rsidR="00AC1C58" w:rsidRPr="001D6F3C">
              <w:rPr>
                <w:rFonts w:ascii="Corbel" w:hAnsi="Corbel"/>
                <w:b/>
                <w:bCs/>
                <w:color w:val="000000" w:themeColor="text1"/>
                <w:sz w:val="20"/>
                <w:szCs w:val="20"/>
              </w:rPr>
              <w:t>MSD</w:t>
            </w:r>
            <w:r w:rsidR="00660B01" w:rsidRPr="001D6F3C">
              <w:rPr>
                <w:rFonts w:ascii="Corbel" w:hAnsi="Corbel"/>
                <w:b/>
                <w:bCs/>
                <w:color w:val="000000" w:themeColor="text1"/>
                <w:sz w:val="20"/>
                <w:szCs w:val="20"/>
              </w:rPr>
              <w:t xml:space="preserve"> </w:t>
            </w:r>
          </w:p>
          <w:p w14:paraId="1EDAD090" w14:textId="7C2FD1F0" w:rsidR="006E07BC" w:rsidRPr="001D6F3C" w:rsidRDefault="00AC1C58" w:rsidP="006F497B">
            <w:pPr>
              <w:spacing w:after="120" w:line="257" w:lineRule="auto"/>
              <w:rPr>
                <w:rFonts w:ascii="Corbel" w:hAnsi="Corbel"/>
                <w:sz w:val="20"/>
                <w:szCs w:val="20"/>
              </w:rPr>
            </w:pPr>
            <w:r w:rsidRPr="001D6F3C">
              <w:rPr>
                <w:rFonts w:ascii="Corbel" w:eastAsia="Corbel" w:hAnsi="Corbel" w:cs="Corbel"/>
                <w:sz w:val="20"/>
                <w:szCs w:val="20"/>
              </w:rPr>
              <w:t>MSD</w:t>
            </w:r>
            <w:r w:rsidR="00291568" w:rsidRPr="001D6F3C">
              <w:rPr>
                <w:rFonts w:ascii="Corbel" w:eastAsia="Corbel" w:hAnsi="Corbel" w:cs="Corbel"/>
                <w:sz w:val="20"/>
                <w:szCs w:val="20"/>
              </w:rPr>
              <w:t xml:space="preserve"> funds a range of community services </w:t>
            </w:r>
            <w:r w:rsidR="00BB11EE" w:rsidRPr="001D6F3C">
              <w:rPr>
                <w:rFonts w:ascii="Corbel" w:eastAsia="Corbel" w:hAnsi="Corbel" w:cs="Corbel"/>
                <w:sz w:val="20"/>
                <w:szCs w:val="20"/>
              </w:rPr>
              <w:t xml:space="preserve">that support older people in New Zealand. </w:t>
            </w:r>
            <w:r w:rsidR="006F497B" w:rsidRPr="001D6F3C">
              <w:rPr>
                <w:rFonts w:ascii="Corbel" w:eastAsia="Corbel" w:hAnsi="Corbel" w:cs="Corbel"/>
                <w:sz w:val="20"/>
                <w:szCs w:val="20"/>
              </w:rPr>
              <w:t xml:space="preserve"> </w:t>
            </w:r>
            <w:r w:rsidR="006E07BC" w:rsidRPr="001D6F3C">
              <w:rPr>
                <w:rFonts w:ascii="Corbel" w:hAnsi="Corbel"/>
                <w:sz w:val="20"/>
                <w:szCs w:val="20"/>
              </w:rPr>
              <w:t>MSD fund</w:t>
            </w:r>
            <w:r w:rsidR="01F80A6D" w:rsidRPr="001D6F3C">
              <w:rPr>
                <w:rFonts w:ascii="Corbel" w:hAnsi="Corbel"/>
                <w:sz w:val="20"/>
                <w:szCs w:val="20"/>
              </w:rPr>
              <w:t>ed</w:t>
            </w:r>
            <w:r w:rsidR="006E07BC" w:rsidRPr="001D6F3C">
              <w:rPr>
                <w:rFonts w:ascii="Corbel" w:hAnsi="Corbel"/>
                <w:sz w:val="20"/>
                <w:szCs w:val="20"/>
              </w:rPr>
              <w:t xml:space="preserve"> providers deliver EARS that address the immediate needs of older people experiencing</w:t>
            </w:r>
            <w:r w:rsidR="00AA5495" w:rsidRPr="001D6F3C">
              <w:rPr>
                <w:rFonts w:ascii="Corbel" w:hAnsi="Corbel"/>
                <w:sz w:val="20"/>
                <w:szCs w:val="20"/>
              </w:rPr>
              <w:t>,</w:t>
            </w:r>
            <w:r w:rsidR="006E07BC" w:rsidRPr="001D6F3C">
              <w:rPr>
                <w:rFonts w:ascii="Corbel" w:hAnsi="Corbel"/>
                <w:sz w:val="20"/>
                <w:szCs w:val="20"/>
              </w:rPr>
              <w:t xml:space="preserve"> or at risk of experiencing</w:t>
            </w:r>
            <w:r w:rsidR="00AA5495" w:rsidRPr="001D6F3C">
              <w:rPr>
                <w:rFonts w:ascii="Corbel" w:hAnsi="Corbel"/>
                <w:sz w:val="20"/>
                <w:szCs w:val="20"/>
              </w:rPr>
              <w:t>,</w:t>
            </w:r>
            <w:r w:rsidR="006E07BC" w:rsidRPr="001D6F3C">
              <w:rPr>
                <w:rFonts w:ascii="Corbel" w:hAnsi="Corbel"/>
                <w:sz w:val="20"/>
                <w:szCs w:val="20"/>
              </w:rPr>
              <w:t xml:space="preserve"> abuse and neglect</w:t>
            </w:r>
            <w:r w:rsidR="00795DF2" w:rsidRPr="001D6F3C">
              <w:rPr>
                <w:rFonts w:ascii="Corbel" w:hAnsi="Corbel"/>
                <w:sz w:val="20"/>
                <w:szCs w:val="20"/>
              </w:rPr>
              <w:t xml:space="preserve">. </w:t>
            </w:r>
            <w:r w:rsidR="00637B84" w:rsidRPr="001D6F3C">
              <w:rPr>
                <w:rFonts w:ascii="Corbel" w:hAnsi="Corbel"/>
                <w:sz w:val="20"/>
                <w:szCs w:val="20"/>
              </w:rPr>
              <w:t xml:space="preserve">MSD also administers the SuperGold and </w:t>
            </w:r>
            <w:r w:rsidR="00CA6C3F" w:rsidRPr="001D6F3C">
              <w:rPr>
                <w:rFonts w:ascii="Corbel" w:hAnsi="Corbel"/>
                <w:sz w:val="20"/>
                <w:szCs w:val="20"/>
              </w:rPr>
              <w:t>Veterans SuperGold cards</w:t>
            </w:r>
            <w:r w:rsidR="00602468" w:rsidRPr="001D6F3C">
              <w:rPr>
                <w:rFonts w:ascii="Corbel" w:hAnsi="Corbel"/>
                <w:sz w:val="20"/>
                <w:szCs w:val="20"/>
              </w:rPr>
              <w:t>, which enable cardholders to access free travel on most off-peak public transport in New Zealand, as well as discounts at a range of businesses.</w:t>
            </w:r>
          </w:p>
          <w:p w14:paraId="4BF56E59" w14:textId="5195ECA2" w:rsidR="007D7A78" w:rsidRPr="001D6F3C" w:rsidRDefault="0081673A" w:rsidP="000709F6">
            <w:pPr>
              <w:spacing w:after="120" w:line="257" w:lineRule="auto"/>
              <w:rPr>
                <w:rFonts w:ascii="Corbel" w:hAnsi="Corbel"/>
                <w:sz w:val="20"/>
                <w:szCs w:val="20"/>
              </w:rPr>
            </w:pPr>
            <w:r w:rsidRPr="001D6F3C">
              <w:rPr>
                <w:rFonts w:ascii="Corbel" w:hAnsi="Corbel"/>
                <w:sz w:val="20"/>
                <w:szCs w:val="20"/>
              </w:rPr>
              <w:t xml:space="preserve">There are also a wider range of services that are not explicitly targeted towards </w:t>
            </w:r>
            <w:r w:rsidR="002612A4" w:rsidRPr="001D6F3C">
              <w:rPr>
                <w:rFonts w:ascii="Corbel" w:hAnsi="Corbel"/>
                <w:sz w:val="20"/>
                <w:szCs w:val="20"/>
              </w:rPr>
              <w:t>those over 65</w:t>
            </w:r>
            <w:r w:rsidRPr="001D6F3C">
              <w:rPr>
                <w:rFonts w:ascii="Corbel" w:hAnsi="Corbel"/>
                <w:sz w:val="20"/>
                <w:szCs w:val="20"/>
              </w:rPr>
              <w:t xml:space="preserve"> but </w:t>
            </w:r>
            <w:r w:rsidR="009E04D2" w:rsidRPr="001D6F3C">
              <w:rPr>
                <w:rFonts w:ascii="Corbel" w:hAnsi="Corbel"/>
                <w:sz w:val="20"/>
                <w:szCs w:val="20"/>
              </w:rPr>
              <w:t xml:space="preserve">which </w:t>
            </w:r>
            <w:r w:rsidR="002612A4" w:rsidRPr="001D6F3C">
              <w:rPr>
                <w:rFonts w:ascii="Corbel" w:hAnsi="Corbel"/>
                <w:sz w:val="20"/>
                <w:szCs w:val="20"/>
              </w:rPr>
              <w:t>provide support to many older people</w:t>
            </w:r>
            <w:r w:rsidR="00147657" w:rsidRPr="001D6F3C">
              <w:rPr>
                <w:rFonts w:ascii="Corbel" w:hAnsi="Corbel"/>
                <w:sz w:val="20"/>
                <w:szCs w:val="20"/>
              </w:rPr>
              <w:t>, including those facing hardship and disadvantage</w:t>
            </w:r>
            <w:r w:rsidR="002612A4" w:rsidRPr="001D6F3C">
              <w:rPr>
                <w:rFonts w:ascii="Corbel" w:hAnsi="Corbel"/>
                <w:sz w:val="20"/>
                <w:szCs w:val="20"/>
              </w:rPr>
              <w:t>. These inc</w:t>
            </w:r>
            <w:r w:rsidR="00147657" w:rsidRPr="001D6F3C">
              <w:rPr>
                <w:rFonts w:ascii="Corbel" w:hAnsi="Corbel"/>
                <w:sz w:val="20"/>
                <w:szCs w:val="20"/>
              </w:rPr>
              <w:t xml:space="preserve">lude </w:t>
            </w:r>
            <w:r w:rsidR="00986B1B" w:rsidRPr="001D6F3C">
              <w:rPr>
                <w:rFonts w:ascii="Corbel" w:hAnsi="Corbel"/>
                <w:sz w:val="20"/>
                <w:szCs w:val="20"/>
              </w:rPr>
              <w:t xml:space="preserve">services to build financial capability, community food provision, </w:t>
            </w:r>
            <w:r w:rsidR="000709F6" w:rsidRPr="001D6F3C">
              <w:rPr>
                <w:rFonts w:ascii="Corbel" w:hAnsi="Corbel"/>
                <w:sz w:val="20"/>
                <w:szCs w:val="20"/>
              </w:rPr>
              <w:t xml:space="preserve">and interventions to address family violence. </w:t>
            </w:r>
            <w:r w:rsidR="00980971" w:rsidRPr="001D6F3C">
              <w:rPr>
                <w:rFonts w:ascii="Corbel" w:hAnsi="Corbel"/>
                <w:sz w:val="20"/>
                <w:szCs w:val="20"/>
              </w:rPr>
              <w:t xml:space="preserve">In rural communities, </w:t>
            </w:r>
            <w:r w:rsidR="007D7A78" w:rsidRPr="001D6F3C">
              <w:rPr>
                <w:rFonts w:ascii="Corbel" w:hAnsi="Corbel"/>
                <w:sz w:val="20"/>
                <w:szCs w:val="20"/>
              </w:rPr>
              <w:t xml:space="preserve">Heartlands </w:t>
            </w:r>
            <w:r w:rsidR="00980971" w:rsidRPr="001D6F3C">
              <w:rPr>
                <w:rFonts w:ascii="Corbel" w:hAnsi="Corbel"/>
                <w:sz w:val="20"/>
                <w:szCs w:val="20"/>
              </w:rPr>
              <w:t xml:space="preserve">Services </w:t>
            </w:r>
            <w:r w:rsidR="00380635" w:rsidRPr="001D6F3C">
              <w:rPr>
                <w:rFonts w:ascii="Corbel" w:hAnsi="Corbel"/>
                <w:sz w:val="20"/>
                <w:szCs w:val="20"/>
              </w:rPr>
              <w:t xml:space="preserve">community hubs </w:t>
            </w:r>
            <w:r w:rsidR="00980971" w:rsidRPr="001D6F3C">
              <w:rPr>
                <w:rFonts w:ascii="Corbel" w:hAnsi="Corbel"/>
                <w:sz w:val="20"/>
                <w:szCs w:val="20"/>
              </w:rPr>
              <w:t>provide access to government and community services</w:t>
            </w:r>
            <w:r w:rsidR="002B6DFF" w:rsidRPr="001D6F3C">
              <w:rPr>
                <w:rFonts w:ascii="Corbel" w:hAnsi="Corbel"/>
                <w:sz w:val="20"/>
                <w:szCs w:val="20"/>
              </w:rPr>
              <w:t xml:space="preserve">, </w:t>
            </w:r>
            <w:r w:rsidR="004F0829" w:rsidRPr="001D6F3C">
              <w:rPr>
                <w:rFonts w:ascii="Corbel" w:hAnsi="Corbel"/>
                <w:sz w:val="20"/>
                <w:szCs w:val="20"/>
              </w:rPr>
              <w:t>as well as advice, support, and access to free technology</w:t>
            </w:r>
            <w:r w:rsidR="000709F6" w:rsidRPr="001D6F3C">
              <w:rPr>
                <w:rFonts w:ascii="Corbel" w:hAnsi="Corbel"/>
                <w:sz w:val="20"/>
                <w:szCs w:val="20"/>
              </w:rPr>
              <w:t xml:space="preserve">. </w:t>
            </w:r>
          </w:p>
          <w:p w14:paraId="23DD621D" w14:textId="7FA3D3D8" w:rsidR="008C4590" w:rsidRPr="001D6F3C" w:rsidRDefault="00EA2162" w:rsidP="00ED6786">
            <w:pPr>
              <w:spacing w:after="120" w:line="257" w:lineRule="auto"/>
              <w:rPr>
                <w:rFonts w:ascii="Corbel" w:hAnsi="Corbel"/>
                <w:sz w:val="20"/>
                <w:szCs w:val="20"/>
              </w:rPr>
            </w:pPr>
            <w:r w:rsidRPr="001D6F3C">
              <w:rPr>
                <w:rFonts w:ascii="Corbel" w:hAnsi="Corbel"/>
                <w:sz w:val="20"/>
                <w:szCs w:val="20"/>
              </w:rPr>
              <w:t xml:space="preserve">The changing age profile </w:t>
            </w:r>
            <w:r w:rsidR="00E00288" w:rsidRPr="001D6F3C">
              <w:rPr>
                <w:rFonts w:ascii="Corbel" w:hAnsi="Corbel"/>
                <w:sz w:val="20"/>
                <w:szCs w:val="20"/>
              </w:rPr>
              <w:t xml:space="preserve">of NZ, </w:t>
            </w:r>
            <w:r w:rsidR="00585C7D" w:rsidRPr="001D6F3C">
              <w:rPr>
                <w:rFonts w:ascii="Corbel" w:hAnsi="Corbel"/>
                <w:sz w:val="20"/>
                <w:szCs w:val="20"/>
              </w:rPr>
              <w:t>and the</w:t>
            </w:r>
            <w:r w:rsidR="00B353F2" w:rsidRPr="001D6F3C">
              <w:rPr>
                <w:rFonts w:ascii="Corbel" w:hAnsi="Corbel"/>
                <w:sz w:val="20"/>
                <w:szCs w:val="20"/>
              </w:rPr>
              <w:t xml:space="preserve"> potential for</w:t>
            </w:r>
            <w:r w:rsidR="00AA5495" w:rsidRPr="001D6F3C">
              <w:rPr>
                <w:rFonts w:ascii="Corbel" w:hAnsi="Corbel"/>
                <w:sz w:val="20"/>
                <w:szCs w:val="20"/>
              </w:rPr>
              <w:t xml:space="preserve"> an</w:t>
            </w:r>
            <w:r w:rsidR="00585C7D" w:rsidRPr="001D6F3C">
              <w:rPr>
                <w:rFonts w:ascii="Corbel" w:hAnsi="Corbel"/>
                <w:sz w:val="20"/>
                <w:szCs w:val="20"/>
              </w:rPr>
              <w:t xml:space="preserve"> increasing number of </w:t>
            </w:r>
            <w:r w:rsidR="00E00288" w:rsidRPr="001D6F3C">
              <w:rPr>
                <w:rFonts w:ascii="Corbel" w:hAnsi="Corbel"/>
                <w:sz w:val="20"/>
                <w:szCs w:val="20"/>
              </w:rPr>
              <w:t xml:space="preserve">older people facing </w:t>
            </w:r>
            <w:r w:rsidR="00B353F2" w:rsidRPr="001D6F3C">
              <w:rPr>
                <w:rFonts w:ascii="Corbel" w:hAnsi="Corbel"/>
                <w:sz w:val="20"/>
                <w:szCs w:val="20"/>
              </w:rPr>
              <w:t xml:space="preserve">hardship and </w:t>
            </w:r>
            <w:r w:rsidR="00E00288" w:rsidRPr="001D6F3C">
              <w:rPr>
                <w:rFonts w:ascii="Corbel" w:hAnsi="Corbel"/>
                <w:sz w:val="20"/>
                <w:szCs w:val="20"/>
              </w:rPr>
              <w:t>disadvantage</w:t>
            </w:r>
            <w:r w:rsidR="00B353F2" w:rsidRPr="001D6F3C">
              <w:rPr>
                <w:rFonts w:ascii="Corbel" w:hAnsi="Corbel"/>
                <w:sz w:val="20"/>
                <w:szCs w:val="20"/>
              </w:rPr>
              <w:t>, will have impacts on these services</w:t>
            </w:r>
            <w:r w:rsidR="00092D4E" w:rsidRPr="001D6F3C">
              <w:rPr>
                <w:rFonts w:ascii="Corbel" w:hAnsi="Corbel"/>
                <w:sz w:val="20"/>
                <w:szCs w:val="20"/>
              </w:rPr>
              <w:t>.</w:t>
            </w:r>
            <w:r w:rsidR="28D626CF" w:rsidRPr="001D6F3C">
              <w:rPr>
                <w:rFonts w:ascii="Corbel" w:hAnsi="Corbel"/>
                <w:sz w:val="20"/>
                <w:szCs w:val="20"/>
              </w:rPr>
              <w:t xml:space="preserve"> In addition to a likely overall increase in demand for many of these services, the needs of older </w:t>
            </w:r>
            <w:r w:rsidR="00AA5495" w:rsidRPr="001D6F3C">
              <w:rPr>
                <w:rFonts w:ascii="Corbel" w:hAnsi="Corbel"/>
                <w:sz w:val="20"/>
                <w:szCs w:val="20"/>
              </w:rPr>
              <w:t xml:space="preserve">people </w:t>
            </w:r>
            <w:r w:rsidR="28D626CF" w:rsidRPr="001D6F3C">
              <w:rPr>
                <w:rFonts w:ascii="Corbel" w:hAnsi="Corbel"/>
                <w:sz w:val="20"/>
                <w:szCs w:val="20"/>
              </w:rPr>
              <w:t xml:space="preserve">are likely to be more complex </w:t>
            </w:r>
            <w:r w:rsidR="211ED7C2" w:rsidRPr="001D6F3C">
              <w:rPr>
                <w:rFonts w:ascii="Corbel" w:hAnsi="Corbel"/>
                <w:sz w:val="20"/>
                <w:szCs w:val="20"/>
              </w:rPr>
              <w:t xml:space="preserve">in future. </w:t>
            </w:r>
          </w:p>
        </w:tc>
      </w:tr>
    </w:tbl>
    <w:p w14:paraId="7D96F0C8" w14:textId="6FEB0AB8" w:rsidR="0154D5EF" w:rsidRPr="001D6F3C" w:rsidRDefault="0154D5EF" w:rsidP="30AF505C">
      <w:pPr>
        <w:jc w:val="both"/>
        <w:rPr>
          <w:rFonts w:ascii="Corbel" w:hAnsi="Corbel"/>
        </w:rPr>
      </w:pPr>
      <w:r w:rsidRPr="001D6F3C">
        <w:rPr>
          <w:rFonts w:ascii="Corbel" w:hAnsi="Corbel"/>
          <w:b/>
          <w:bCs/>
        </w:rPr>
        <w:br w:type="page"/>
      </w:r>
    </w:p>
    <w:p w14:paraId="0B8D9A4B" w14:textId="786AD630" w:rsidR="009C26A2" w:rsidRPr="001D6F3C" w:rsidRDefault="00685399" w:rsidP="00F51D6A">
      <w:pPr>
        <w:pStyle w:val="Heading2"/>
        <w:rPr>
          <w:rStyle w:val="Emphasis"/>
          <w:rFonts w:ascii="Corbel" w:hAnsi="Corbel"/>
        </w:rPr>
      </w:pPr>
      <w:bookmarkStart w:id="98" w:name="_Toc207783008"/>
      <w:r w:rsidRPr="00382E63">
        <w:rPr>
          <w:rStyle w:val="Emphasis"/>
          <w:rFonts w:ascii="Corbel" w:hAnsi="Corbel"/>
          <w:i w:val="0"/>
          <w:iCs w:val="0"/>
        </w:rPr>
        <w:lastRenderedPageBreak/>
        <w:t>3.</w:t>
      </w:r>
      <w:r w:rsidR="00382E63">
        <w:rPr>
          <w:rStyle w:val="Emphasis"/>
          <w:rFonts w:ascii="Corbel" w:hAnsi="Corbel"/>
          <w:i w:val="0"/>
          <w:iCs w:val="0"/>
        </w:rPr>
        <w:t>14</w:t>
      </w:r>
      <w:r w:rsidRPr="001D6F3C">
        <w:rPr>
          <w:rStyle w:val="Emphasis"/>
          <w:rFonts w:ascii="Corbel" w:hAnsi="Corbel"/>
          <w:b/>
          <w:bCs/>
          <w:i w:val="0"/>
          <w:iCs w:val="0"/>
        </w:rPr>
        <w:t xml:space="preserve"> Communities</w:t>
      </w:r>
      <w:r w:rsidRPr="001D6F3C">
        <w:rPr>
          <w:rStyle w:val="Emphasis"/>
          <w:rFonts w:ascii="Corbel" w:hAnsi="Corbel"/>
        </w:rPr>
        <w:t xml:space="preserve"> - </w:t>
      </w:r>
      <w:r w:rsidR="00226447" w:rsidRPr="001D6F3C">
        <w:rPr>
          <w:rStyle w:val="Emphasis"/>
          <w:rFonts w:ascii="Corbel" w:hAnsi="Corbel"/>
          <w:i w:val="0"/>
          <w:iCs w:val="0"/>
        </w:rPr>
        <w:t>e</w:t>
      </w:r>
      <w:r w:rsidR="009C26A2" w:rsidRPr="001D6F3C">
        <w:rPr>
          <w:rStyle w:val="Emphasis"/>
          <w:rFonts w:ascii="Corbel" w:hAnsi="Corbel"/>
          <w:i w:val="0"/>
          <w:iCs w:val="0"/>
        </w:rPr>
        <w:t xml:space="preserve">lder </w:t>
      </w:r>
      <w:r w:rsidR="00226447" w:rsidRPr="001D6F3C">
        <w:rPr>
          <w:rStyle w:val="Emphasis"/>
          <w:rFonts w:ascii="Corbel" w:hAnsi="Corbel"/>
          <w:i w:val="0"/>
          <w:iCs w:val="0"/>
        </w:rPr>
        <w:t>a</w:t>
      </w:r>
      <w:r w:rsidR="009C26A2" w:rsidRPr="001D6F3C">
        <w:rPr>
          <w:rStyle w:val="Emphasis"/>
          <w:rFonts w:ascii="Corbel" w:hAnsi="Corbel"/>
          <w:i w:val="0"/>
          <w:iCs w:val="0"/>
        </w:rPr>
        <w:t>buse</w:t>
      </w:r>
      <w:bookmarkEnd w:id="98"/>
    </w:p>
    <w:p w14:paraId="5C59477A" w14:textId="6A2E8206" w:rsidR="00A62EE9" w:rsidRPr="001D6F3C" w:rsidRDefault="0018314F" w:rsidP="00A60862">
      <w:pPr>
        <w:jc w:val="both"/>
        <w:rPr>
          <w:rFonts w:ascii="Corbel" w:hAnsi="Corbel"/>
        </w:rPr>
      </w:pPr>
      <w:r w:rsidRPr="001D6F3C">
        <w:rPr>
          <w:rFonts w:ascii="Corbel" w:hAnsi="Corbel"/>
        </w:rPr>
        <w:t>Around one in ten</w:t>
      </w:r>
      <w:r w:rsidR="00A62EE9" w:rsidRPr="001D6F3C">
        <w:rPr>
          <w:rFonts w:ascii="Corbel" w:hAnsi="Corbel"/>
        </w:rPr>
        <w:t xml:space="preserve"> older New Zealanders experience </w:t>
      </w:r>
      <w:r w:rsidRPr="001D6F3C">
        <w:rPr>
          <w:rFonts w:ascii="Corbel" w:hAnsi="Corbel"/>
        </w:rPr>
        <w:t xml:space="preserve">elder </w:t>
      </w:r>
      <w:r w:rsidR="00A62EE9" w:rsidRPr="001D6F3C">
        <w:rPr>
          <w:rFonts w:ascii="Corbel" w:hAnsi="Corbel"/>
        </w:rPr>
        <w:t>abuse. The abuse of older people can happen once or repeatedly. It comes in many forms, including psychological, financial, physical, sexual</w:t>
      </w:r>
      <w:r w:rsidR="00DD5D55" w:rsidRPr="001D6F3C">
        <w:rPr>
          <w:rFonts w:ascii="Corbel" w:hAnsi="Corbel"/>
        </w:rPr>
        <w:t xml:space="preserve"> </w:t>
      </w:r>
      <w:r w:rsidR="00A62EE9" w:rsidRPr="001D6F3C">
        <w:rPr>
          <w:rFonts w:ascii="Corbel" w:hAnsi="Corbel"/>
        </w:rPr>
        <w:t xml:space="preserve">and neglect. Older people may be reluctant to report abuse because of shame or putting critical relationships at risk. Some may feel that staying in abusive situations is preferrable to losing contact with family or putting the perpetrator at risk. </w:t>
      </w:r>
    </w:p>
    <w:p w14:paraId="0D6D87A7" w14:textId="6C637C26" w:rsidR="48519095" w:rsidRPr="001D6F3C" w:rsidRDefault="48519095" w:rsidP="3464A8F5">
      <w:pPr>
        <w:jc w:val="both"/>
        <w:rPr>
          <w:rFonts w:ascii="Corbel" w:hAnsi="Corbel"/>
        </w:rPr>
      </w:pPr>
      <w:r w:rsidRPr="001D6F3C">
        <w:rPr>
          <w:rFonts w:ascii="Corbel" w:hAnsi="Corbel"/>
        </w:rPr>
        <w:t xml:space="preserve">Experiences of elder abuse interact with other forms of disadvantage experienced both in later life and throughout the life course. </w:t>
      </w:r>
      <w:r w:rsidR="3DE5C5F8" w:rsidRPr="001D6F3C">
        <w:rPr>
          <w:rFonts w:ascii="Corbel" w:hAnsi="Corbel"/>
        </w:rPr>
        <w:t>Common risk factors for experiencing elder abuse include social isolation</w:t>
      </w:r>
      <w:r w:rsidR="59F2FB77" w:rsidRPr="001D6F3C">
        <w:rPr>
          <w:rFonts w:ascii="Corbel" w:hAnsi="Corbel"/>
        </w:rPr>
        <w:t xml:space="preserve"> and</w:t>
      </w:r>
      <w:r w:rsidR="3DE5C5F8" w:rsidRPr="001D6F3C">
        <w:rPr>
          <w:rFonts w:ascii="Corbel" w:hAnsi="Corbel"/>
        </w:rPr>
        <w:t xml:space="preserve"> poor health (</w:t>
      </w:r>
      <w:r w:rsidR="0A8AF854" w:rsidRPr="001D6F3C">
        <w:rPr>
          <w:rFonts w:ascii="Corbel" w:hAnsi="Corbel"/>
        </w:rPr>
        <w:t>particularly</w:t>
      </w:r>
      <w:r w:rsidR="3DE5C5F8" w:rsidRPr="001D6F3C">
        <w:rPr>
          <w:rFonts w:ascii="Corbel" w:hAnsi="Corbel"/>
        </w:rPr>
        <w:t xml:space="preserve"> dementia and ot</w:t>
      </w:r>
      <w:r w:rsidR="01E0EE59" w:rsidRPr="001D6F3C">
        <w:rPr>
          <w:rFonts w:ascii="Corbel" w:hAnsi="Corbel"/>
        </w:rPr>
        <w:t>her conditions that affect cognition</w:t>
      </w:r>
      <w:r w:rsidR="63E06E9C" w:rsidRPr="001D6F3C">
        <w:rPr>
          <w:rFonts w:ascii="Corbel" w:hAnsi="Corbel"/>
        </w:rPr>
        <w:t xml:space="preserve">). There is some evidence to suggest that Māori, Pacific and Asian people are more at risk of experiencing abuse. </w:t>
      </w:r>
    </w:p>
    <w:p w14:paraId="681806DC" w14:textId="11CDAD31" w:rsidR="00A62EE9" w:rsidRPr="001D6F3C" w:rsidRDefault="00A62EE9" w:rsidP="00A60862">
      <w:pPr>
        <w:jc w:val="both"/>
        <w:rPr>
          <w:rFonts w:ascii="Corbel" w:hAnsi="Corbel"/>
        </w:rPr>
      </w:pPr>
      <w:r w:rsidRPr="001D6F3C">
        <w:rPr>
          <w:rFonts w:ascii="Corbel" w:hAnsi="Corbel"/>
        </w:rPr>
        <w:t xml:space="preserve">MSD funds the </w:t>
      </w:r>
      <w:r w:rsidR="00AA5495" w:rsidRPr="001D6F3C">
        <w:rPr>
          <w:rFonts w:ascii="Corbel" w:hAnsi="Corbel"/>
        </w:rPr>
        <w:t>EARS.</w:t>
      </w:r>
      <w:r w:rsidRPr="001D6F3C">
        <w:rPr>
          <w:rFonts w:ascii="Corbel" w:hAnsi="Corbel"/>
        </w:rPr>
        <w:t xml:space="preserve"> This includes a free national helpline, where callers are provided with information and advice, and connected to their local provider if required. 37 local providers receive referrals from the helpline, police, doctors, banks, neighbours, friends and family </w:t>
      </w:r>
      <w:proofErr w:type="gramStart"/>
      <w:r w:rsidRPr="001D6F3C">
        <w:rPr>
          <w:rFonts w:ascii="Corbel" w:hAnsi="Corbel"/>
        </w:rPr>
        <w:t>and also</w:t>
      </w:r>
      <w:proofErr w:type="gramEnd"/>
      <w:r w:rsidRPr="001D6F3C">
        <w:rPr>
          <w:rFonts w:ascii="Corbel" w:hAnsi="Corbel"/>
        </w:rPr>
        <w:t xml:space="preserve"> receive some self-referrals. They take a case management approach and often work with other providers to ensure older people’s needs are met (e.g. government agencies, health providers, lawyers, banks). </w:t>
      </w:r>
    </w:p>
    <w:tbl>
      <w:tblPr>
        <w:tblStyle w:val="TableGrid"/>
        <w:tblW w:w="0" w:type="auto"/>
        <w:tblInd w:w="-5" w:type="dxa"/>
        <w:tblLook w:val="04A0" w:firstRow="1" w:lastRow="0" w:firstColumn="1" w:lastColumn="0" w:noHBand="0" w:noVBand="1"/>
      </w:tblPr>
      <w:tblGrid>
        <w:gridCol w:w="8926"/>
      </w:tblGrid>
      <w:tr w:rsidR="00AB1453" w:rsidRPr="001D6F3C" w14:paraId="5783373C" w14:textId="77777777" w:rsidTr="3464A8F5">
        <w:tc>
          <w:tcPr>
            <w:tcW w:w="8926" w:type="dxa"/>
            <w:shd w:val="clear" w:color="auto" w:fill="F2F2F2" w:themeFill="background1" w:themeFillShade="F2"/>
          </w:tcPr>
          <w:p w14:paraId="3D6B46AD" w14:textId="41B760CB" w:rsidR="009C26A2" w:rsidRPr="001D6F3C" w:rsidRDefault="00AA5495" w:rsidP="00A60862">
            <w:pPr>
              <w:jc w:val="both"/>
              <w:rPr>
                <w:rFonts w:ascii="Corbel" w:hAnsi="Corbel"/>
                <w:sz w:val="22"/>
              </w:rPr>
            </w:pPr>
            <w:r w:rsidRPr="001D6F3C">
              <w:rPr>
                <w:rFonts w:ascii="Corbel" w:hAnsi="Corbel"/>
              </w:rPr>
              <w:t>MSD</w:t>
            </w:r>
            <w:r w:rsidR="561939C7" w:rsidRPr="001D6F3C">
              <w:rPr>
                <w:rFonts w:ascii="Corbel" w:hAnsi="Corbel"/>
              </w:rPr>
              <w:t xml:space="preserve"> is </w:t>
            </w:r>
            <w:r w:rsidRPr="001D6F3C">
              <w:rPr>
                <w:rFonts w:ascii="Corbel" w:hAnsi="Corbel"/>
              </w:rPr>
              <w:t xml:space="preserve">funding </w:t>
            </w:r>
            <w:r w:rsidR="561939C7" w:rsidRPr="001D6F3C">
              <w:rPr>
                <w:rFonts w:ascii="Corbel" w:hAnsi="Corbel"/>
              </w:rPr>
              <w:t>AUT to conduct a first-of-its-kind national study with people aged 55</w:t>
            </w:r>
            <w:r w:rsidR="3BD3A7CA" w:rsidRPr="001D6F3C">
              <w:rPr>
                <w:rFonts w:ascii="Corbel" w:hAnsi="Corbel"/>
              </w:rPr>
              <w:t>+</w:t>
            </w:r>
            <w:r w:rsidR="41BEA8DF" w:rsidRPr="001D6F3C">
              <w:rPr>
                <w:rFonts w:ascii="Corbel" w:hAnsi="Corbel"/>
              </w:rPr>
              <w:t>,</w:t>
            </w:r>
            <w:r w:rsidR="561939C7" w:rsidRPr="001D6F3C">
              <w:rPr>
                <w:rFonts w:ascii="Corbel" w:hAnsi="Corbel"/>
              </w:rPr>
              <w:t xml:space="preserve"> about their wellbeing and how they are treated by others. </w:t>
            </w:r>
            <w:r w:rsidR="6C273CF4" w:rsidRPr="001D6F3C">
              <w:rPr>
                <w:rFonts w:ascii="Corbel" w:hAnsi="Corbel"/>
              </w:rPr>
              <w:t xml:space="preserve">A summary of its results will be included as part of the final version of this report. </w:t>
            </w:r>
          </w:p>
        </w:tc>
      </w:tr>
    </w:tbl>
    <w:p w14:paraId="0D9A33A2" w14:textId="77777777" w:rsidR="00045651" w:rsidRPr="001D6F3C" w:rsidRDefault="00045651" w:rsidP="00A60862">
      <w:pPr>
        <w:jc w:val="both"/>
        <w:rPr>
          <w:rFonts w:ascii="Corbel" w:hAnsi="Corbel"/>
          <w:b/>
          <w:bCs/>
        </w:rPr>
      </w:pPr>
      <w:r w:rsidRPr="001D6F3C">
        <w:rPr>
          <w:rFonts w:ascii="Corbel" w:hAnsi="Corbel"/>
          <w:b/>
          <w:bCs/>
        </w:rPr>
        <w:br w:type="page"/>
      </w:r>
    </w:p>
    <w:p w14:paraId="4220E4FE" w14:textId="77777777" w:rsidR="00690192" w:rsidRPr="001D6F3C" w:rsidRDefault="00690192" w:rsidP="00A60862">
      <w:pPr>
        <w:pStyle w:val="Heading1"/>
        <w:jc w:val="both"/>
        <w:rPr>
          <w:rFonts w:ascii="Corbel" w:hAnsi="Corbel"/>
        </w:rPr>
      </w:pPr>
    </w:p>
    <w:p w14:paraId="2819F347" w14:textId="5E6AF9EF" w:rsidR="00D0415F" w:rsidRDefault="00A62EE9" w:rsidP="6D72E943">
      <w:pPr>
        <w:pStyle w:val="Heading1"/>
        <w:jc w:val="both"/>
        <w:rPr>
          <w:rFonts w:asciiTheme="minorHAnsi" w:hAnsiTheme="minorHAnsi" w:cstheme="minorBidi"/>
        </w:rPr>
      </w:pPr>
      <w:bookmarkStart w:id="99" w:name="_Toc207783009"/>
      <w:r w:rsidRPr="001D6F3C">
        <w:rPr>
          <w:rFonts w:asciiTheme="minorHAnsi" w:hAnsiTheme="minorHAnsi" w:cstheme="minorBidi"/>
        </w:rPr>
        <w:t xml:space="preserve">Part </w:t>
      </w:r>
      <w:r w:rsidR="00B75A7B" w:rsidRPr="001D6F3C">
        <w:rPr>
          <w:rFonts w:asciiTheme="minorHAnsi" w:hAnsiTheme="minorHAnsi" w:cstheme="minorBidi"/>
        </w:rPr>
        <w:t>f</w:t>
      </w:r>
      <w:r w:rsidRPr="001D6F3C">
        <w:rPr>
          <w:rFonts w:asciiTheme="minorHAnsi" w:hAnsiTheme="minorHAnsi" w:cstheme="minorBidi"/>
        </w:rPr>
        <w:t xml:space="preserve">our: </w:t>
      </w:r>
      <w:r w:rsidR="00D0415F">
        <w:rPr>
          <w:rFonts w:asciiTheme="minorHAnsi" w:hAnsiTheme="minorHAnsi" w:cstheme="minorBidi"/>
        </w:rPr>
        <w:t>preventing and responding to hardship and disadvantage</w:t>
      </w:r>
      <w:bookmarkEnd w:id="99"/>
      <w:r w:rsidR="00D0415F">
        <w:rPr>
          <w:rFonts w:asciiTheme="minorHAnsi" w:hAnsiTheme="minorHAnsi" w:cstheme="minorBidi"/>
        </w:rPr>
        <w:t xml:space="preserve"> </w:t>
      </w:r>
    </w:p>
    <w:p w14:paraId="655F1EA1" w14:textId="68A994BB" w:rsidR="6D72E943" w:rsidRPr="001D6F3C" w:rsidRDefault="6D72E943">
      <w:r w:rsidRPr="001D6F3C">
        <w:br w:type="page"/>
      </w:r>
    </w:p>
    <w:p w14:paraId="652DBD3A" w14:textId="39404A0F" w:rsidR="006A193B" w:rsidRDefault="2D3F228D" w:rsidP="00BA573E">
      <w:pPr>
        <w:rPr>
          <w:rFonts w:ascii="Corbel" w:hAnsi="Corbel"/>
        </w:rPr>
      </w:pPr>
      <w:r w:rsidRPr="001D6F3C">
        <w:rPr>
          <w:rFonts w:ascii="Corbel" w:hAnsi="Corbel"/>
        </w:rPr>
        <w:lastRenderedPageBreak/>
        <w:t>This section</w:t>
      </w:r>
      <w:r w:rsidR="00D0415F">
        <w:rPr>
          <w:rFonts w:ascii="Corbel" w:hAnsi="Corbel"/>
        </w:rPr>
        <w:t xml:space="preserve"> looks at how a potentially growing group of older New Zealanders experiencing hardship in later life could be supported. Consideration of trade-offs is needed, </w:t>
      </w:r>
      <w:r w:rsidR="006A193B">
        <w:rPr>
          <w:rFonts w:ascii="Corbel" w:hAnsi="Corbel"/>
        </w:rPr>
        <w:t xml:space="preserve">particularly in relation to costs and savings, the complexity of </w:t>
      </w:r>
      <w:r w:rsidR="00D0415F">
        <w:rPr>
          <w:rFonts w:ascii="Corbel" w:hAnsi="Corbel"/>
        </w:rPr>
        <w:t>income support</w:t>
      </w:r>
      <w:r w:rsidR="006A193B">
        <w:rPr>
          <w:rFonts w:ascii="Corbel" w:hAnsi="Corbel"/>
        </w:rPr>
        <w:t xml:space="preserve"> </w:t>
      </w:r>
      <w:r w:rsidR="00691603">
        <w:rPr>
          <w:rFonts w:ascii="Corbel" w:hAnsi="Corbel"/>
        </w:rPr>
        <w:t xml:space="preserve">settings </w:t>
      </w:r>
      <w:r w:rsidR="006A193B">
        <w:rPr>
          <w:rFonts w:ascii="Corbel" w:hAnsi="Corbel"/>
        </w:rPr>
        <w:t xml:space="preserve">and </w:t>
      </w:r>
      <w:r w:rsidR="00691603">
        <w:rPr>
          <w:rFonts w:ascii="Corbel" w:hAnsi="Corbel"/>
        </w:rPr>
        <w:t xml:space="preserve">expected </w:t>
      </w:r>
      <w:r w:rsidR="006A193B">
        <w:rPr>
          <w:rFonts w:ascii="Corbel" w:hAnsi="Corbel"/>
        </w:rPr>
        <w:t>outcomes for older people.</w:t>
      </w:r>
    </w:p>
    <w:p w14:paraId="47C30287" w14:textId="669B0B9B" w:rsidR="00A62EE9" w:rsidRPr="001D6F3C" w:rsidRDefault="00A62EE9" w:rsidP="00A60862">
      <w:pPr>
        <w:pStyle w:val="Heading2"/>
        <w:jc w:val="both"/>
        <w:rPr>
          <w:rFonts w:ascii="Corbel" w:hAnsi="Corbel"/>
        </w:rPr>
      </w:pPr>
      <w:bookmarkStart w:id="100" w:name="_Toc207783010"/>
      <w:r w:rsidRPr="001D6F3C">
        <w:rPr>
          <w:rFonts w:ascii="Corbel" w:hAnsi="Corbel"/>
        </w:rPr>
        <w:t>4.</w:t>
      </w:r>
      <w:r w:rsidR="00045651" w:rsidRPr="001D6F3C">
        <w:rPr>
          <w:rFonts w:ascii="Corbel" w:hAnsi="Corbel"/>
        </w:rPr>
        <w:t xml:space="preserve">1 </w:t>
      </w:r>
      <w:r w:rsidRPr="001D6F3C">
        <w:rPr>
          <w:rFonts w:ascii="Corbel" w:hAnsi="Corbel"/>
        </w:rPr>
        <w:t>Preventing hardship and disadvantage</w:t>
      </w:r>
      <w:bookmarkEnd w:id="100"/>
    </w:p>
    <w:p w14:paraId="42C2DA10" w14:textId="0CE3DCBD" w:rsidR="00E13CD0" w:rsidRDefault="00E13CD0" w:rsidP="00A60862">
      <w:pPr>
        <w:jc w:val="both"/>
        <w:rPr>
          <w:rFonts w:ascii="Corbel" w:hAnsi="Corbel"/>
        </w:rPr>
      </w:pPr>
      <w:r>
        <w:rPr>
          <w:rFonts w:ascii="Corbel" w:hAnsi="Corbel"/>
        </w:rPr>
        <w:t>Disadvantage experienced across the life course drives inequality in later life. This could be prevented by:</w:t>
      </w:r>
    </w:p>
    <w:p w14:paraId="6D7E5BF0" w14:textId="4883EBC6" w:rsidR="00E13CD0" w:rsidRDefault="00E13CD0" w:rsidP="00D404C5">
      <w:pPr>
        <w:numPr>
          <w:ilvl w:val="0"/>
          <w:numId w:val="27"/>
        </w:numPr>
        <w:jc w:val="both"/>
        <w:rPr>
          <w:rFonts w:ascii="Corbel" w:hAnsi="Corbel"/>
        </w:rPr>
      </w:pPr>
      <w:r w:rsidRPr="00E649B6">
        <w:rPr>
          <w:rFonts w:ascii="Corbel" w:hAnsi="Corbel"/>
          <w:b/>
          <w:bCs/>
        </w:rPr>
        <w:t>mitigating the impact of socio-economic disadvantage</w:t>
      </w:r>
      <w:r w:rsidR="00A843F1">
        <w:rPr>
          <w:rFonts w:ascii="Corbel" w:hAnsi="Corbel"/>
          <w:b/>
          <w:bCs/>
        </w:rPr>
        <w:t xml:space="preserve"> across the life course</w:t>
      </w:r>
      <w:r>
        <w:rPr>
          <w:rFonts w:ascii="Corbel" w:hAnsi="Corbel"/>
        </w:rPr>
        <w:t xml:space="preserve"> </w:t>
      </w:r>
      <w:r w:rsidR="00E649B6">
        <w:rPr>
          <w:rFonts w:ascii="Corbel" w:hAnsi="Corbel"/>
        </w:rPr>
        <w:t xml:space="preserve">– </w:t>
      </w:r>
      <w:r w:rsidR="003E55B8">
        <w:rPr>
          <w:rFonts w:ascii="Corbel" w:hAnsi="Corbel"/>
        </w:rPr>
        <w:t xml:space="preserve">this could be done </w:t>
      </w:r>
      <w:r>
        <w:rPr>
          <w:rFonts w:ascii="Corbel" w:hAnsi="Corbel"/>
        </w:rPr>
        <w:t>by supporting children’s development, expanding wh</w:t>
      </w:r>
      <w:r>
        <w:rPr>
          <w:rFonts w:ascii="Corbel" w:hAnsi="Corbel"/>
          <w:lang w:val="mi-NZ"/>
        </w:rPr>
        <w:t xml:space="preserve">ānau and community-based </w:t>
      </w:r>
      <w:r>
        <w:rPr>
          <w:rFonts w:ascii="Corbel" w:hAnsi="Corbel"/>
          <w:lang w:val="en-US"/>
        </w:rPr>
        <w:t>supports and</w:t>
      </w:r>
      <w:r>
        <w:rPr>
          <w:rFonts w:ascii="Corbel" w:hAnsi="Corbel"/>
        </w:rPr>
        <w:t xml:space="preserve"> improving health outcomes</w:t>
      </w:r>
    </w:p>
    <w:p w14:paraId="4DF0B8FA" w14:textId="112ED03E" w:rsidR="00835F45" w:rsidRDefault="003E55B8" w:rsidP="00D404C5">
      <w:pPr>
        <w:numPr>
          <w:ilvl w:val="0"/>
          <w:numId w:val="27"/>
        </w:numPr>
        <w:jc w:val="both"/>
        <w:rPr>
          <w:rFonts w:ascii="Corbel" w:hAnsi="Corbel"/>
        </w:rPr>
      </w:pPr>
      <w:r>
        <w:rPr>
          <w:rFonts w:ascii="Corbel" w:hAnsi="Corbel"/>
          <w:b/>
          <w:bCs/>
        </w:rPr>
        <w:t>improv</w:t>
      </w:r>
      <w:r w:rsidR="00835F45">
        <w:rPr>
          <w:rFonts w:ascii="Corbel" w:hAnsi="Corbel"/>
          <w:b/>
          <w:bCs/>
        </w:rPr>
        <w:t>ing</w:t>
      </w:r>
      <w:r>
        <w:rPr>
          <w:rFonts w:ascii="Corbel" w:hAnsi="Corbel"/>
          <w:b/>
          <w:bCs/>
        </w:rPr>
        <w:t xml:space="preserve"> housing supply and affordability – </w:t>
      </w:r>
      <w:r>
        <w:rPr>
          <w:rFonts w:ascii="Corbel" w:hAnsi="Corbel"/>
        </w:rPr>
        <w:t>Governments could consider how to improve housing outcomes across the ‘housing continuum’</w:t>
      </w:r>
      <w:r w:rsidR="00691603">
        <w:rPr>
          <w:rFonts w:ascii="Corbel" w:hAnsi="Corbel"/>
        </w:rPr>
        <w:t>, including looking at affordability</w:t>
      </w:r>
      <w:r w:rsidR="00A843F1">
        <w:rPr>
          <w:rFonts w:ascii="Corbel" w:hAnsi="Corbel"/>
        </w:rPr>
        <w:t>, adequacy and accessibility.</w:t>
      </w:r>
    </w:p>
    <w:p w14:paraId="1283269B" w14:textId="1709A70A" w:rsidR="00A62EE9" w:rsidRPr="001D6F3C" w:rsidRDefault="003E55B8" w:rsidP="00D404C5">
      <w:pPr>
        <w:numPr>
          <w:ilvl w:val="0"/>
          <w:numId w:val="27"/>
        </w:numPr>
        <w:jc w:val="both"/>
        <w:rPr>
          <w:rFonts w:ascii="Corbel" w:hAnsi="Corbel"/>
        </w:rPr>
      </w:pPr>
      <w:r>
        <w:rPr>
          <w:rFonts w:ascii="Corbel" w:hAnsi="Corbel"/>
          <w:b/>
          <w:bCs/>
        </w:rPr>
        <w:t>i</w:t>
      </w:r>
      <w:r w:rsidR="00A62EE9" w:rsidRPr="001D6F3C">
        <w:rPr>
          <w:rFonts w:ascii="Corbel" w:hAnsi="Corbel"/>
          <w:b/>
          <w:bCs/>
        </w:rPr>
        <w:t>mprov</w:t>
      </w:r>
      <w:r w:rsidR="00835F45">
        <w:rPr>
          <w:rFonts w:ascii="Corbel" w:hAnsi="Corbel"/>
          <w:b/>
          <w:bCs/>
        </w:rPr>
        <w:t>ing</w:t>
      </w:r>
      <w:r w:rsidR="00A62EE9" w:rsidRPr="001D6F3C">
        <w:rPr>
          <w:rFonts w:ascii="Corbel" w:hAnsi="Corbel"/>
          <w:b/>
          <w:bCs/>
        </w:rPr>
        <w:t xml:space="preserve"> the accumulation of savings, assets, and wealth</w:t>
      </w:r>
      <w:r w:rsidR="00A62EE9" w:rsidRPr="00835F45">
        <w:rPr>
          <w:rFonts w:ascii="Corbel" w:hAnsi="Corbel"/>
        </w:rPr>
        <w:t xml:space="preserve"> </w:t>
      </w:r>
      <w:r w:rsidR="00835F45" w:rsidRPr="00835F45">
        <w:rPr>
          <w:rFonts w:ascii="Corbel" w:hAnsi="Corbel"/>
        </w:rPr>
        <w:t xml:space="preserve">– particularly </w:t>
      </w:r>
      <w:r w:rsidR="00A62EE9" w:rsidRPr="00835F45">
        <w:rPr>
          <w:rFonts w:ascii="Corbel" w:hAnsi="Corbel"/>
        </w:rPr>
        <w:t xml:space="preserve">for those on lower incomes, including through </w:t>
      </w:r>
      <w:r w:rsidR="009E0D92" w:rsidRPr="00835F45">
        <w:rPr>
          <w:rFonts w:ascii="Corbel" w:hAnsi="Corbel"/>
        </w:rPr>
        <w:t>KiwiSaver</w:t>
      </w:r>
      <w:r w:rsidR="009E0D92" w:rsidRPr="001D6F3C">
        <w:rPr>
          <w:rFonts w:ascii="Corbel" w:hAnsi="Corbel"/>
          <w:b/>
          <w:bCs/>
        </w:rPr>
        <w:t xml:space="preserve"> </w:t>
      </w:r>
    </w:p>
    <w:p w14:paraId="151863A3" w14:textId="7D82F123" w:rsidR="00A62EE9" w:rsidRPr="00835F45" w:rsidRDefault="003E55B8" w:rsidP="00691603">
      <w:pPr>
        <w:numPr>
          <w:ilvl w:val="0"/>
          <w:numId w:val="27"/>
        </w:numPr>
        <w:jc w:val="both"/>
        <w:rPr>
          <w:rFonts w:ascii="Corbel" w:hAnsi="Corbel"/>
        </w:rPr>
      </w:pPr>
      <w:r w:rsidRPr="00835F45">
        <w:rPr>
          <w:rFonts w:ascii="Corbel" w:hAnsi="Corbel"/>
          <w:b/>
          <w:bCs/>
        </w:rPr>
        <w:t>s</w:t>
      </w:r>
      <w:r w:rsidR="00A62EE9" w:rsidRPr="00835F45">
        <w:rPr>
          <w:rFonts w:ascii="Corbel" w:hAnsi="Corbel"/>
          <w:b/>
          <w:bCs/>
        </w:rPr>
        <w:t>upport</w:t>
      </w:r>
      <w:r w:rsidR="00835F45" w:rsidRPr="00835F45">
        <w:rPr>
          <w:rFonts w:ascii="Corbel" w:hAnsi="Corbel"/>
          <w:b/>
          <w:bCs/>
        </w:rPr>
        <w:t>ing</w:t>
      </w:r>
      <w:r w:rsidR="00A62EE9" w:rsidRPr="00835F45">
        <w:rPr>
          <w:rFonts w:ascii="Corbel" w:hAnsi="Corbel"/>
          <w:b/>
          <w:bCs/>
        </w:rPr>
        <w:t xml:space="preserve"> employment outcomes </w:t>
      </w:r>
      <w:r w:rsidR="00835F45" w:rsidRPr="00835F45">
        <w:rPr>
          <w:rFonts w:ascii="Corbel" w:hAnsi="Corbel"/>
        </w:rPr>
        <w:t>–</w:t>
      </w:r>
      <w:r w:rsidR="00C63553">
        <w:rPr>
          <w:rFonts w:ascii="Corbel" w:hAnsi="Corbel"/>
        </w:rPr>
        <w:t xml:space="preserve"> </w:t>
      </w:r>
      <w:r w:rsidR="00691603">
        <w:rPr>
          <w:rFonts w:ascii="Corbel" w:hAnsi="Corbel"/>
        </w:rPr>
        <w:t>by improving lifetime employment outcomes amongst disadvantaged groups</w:t>
      </w:r>
      <w:r w:rsidR="00C63553">
        <w:rPr>
          <w:rFonts w:ascii="Corbel" w:hAnsi="Corbel"/>
        </w:rPr>
        <w:t xml:space="preserve">, </w:t>
      </w:r>
      <w:r w:rsidR="00691603">
        <w:rPr>
          <w:rFonts w:ascii="Corbel" w:hAnsi="Corbel"/>
        </w:rPr>
        <w:t xml:space="preserve">increasing employment assistance for people aged </w:t>
      </w:r>
      <w:r w:rsidRPr="00835F45">
        <w:rPr>
          <w:rFonts w:ascii="Corbel" w:hAnsi="Corbel"/>
        </w:rPr>
        <w:t>50 and over or expanding availability of employment services to include those aged 65 and over.</w:t>
      </w:r>
      <w:r w:rsidR="00A62EE9" w:rsidRPr="00835F45">
        <w:rPr>
          <w:rFonts w:ascii="Corbel" w:hAnsi="Corbel"/>
        </w:rPr>
        <w:t xml:space="preserve"> </w:t>
      </w:r>
    </w:p>
    <w:tbl>
      <w:tblPr>
        <w:tblStyle w:val="TableGrid"/>
        <w:tblW w:w="8930" w:type="dxa"/>
        <w:tblInd w:w="137" w:type="dxa"/>
        <w:tblLook w:val="04A0" w:firstRow="1" w:lastRow="0" w:firstColumn="1" w:lastColumn="0" w:noHBand="0" w:noVBand="1"/>
      </w:tblPr>
      <w:tblGrid>
        <w:gridCol w:w="8930"/>
      </w:tblGrid>
      <w:tr w:rsidR="000B11C7" w:rsidRPr="001D6F3C" w14:paraId="2062C9B4" w14:textId="77777777" w:rsidTr="009851B4">
        <w:tc>
          <w:tcPr>
            <w:tcW w:w="8930" w:type="dxa"/>
            <w:shd w:val="clear" w:color="auto" w:fill="DAEEF3" w:themeFill="accent5" w:themeFillTint="33"/>
          </w:tcPr>
          <w:p w14:paraId="311793A5" w14:textId="13B37D67" w:rsidR="00A53DAB" w:rsidRPr="001D6F3C" w:rsidRDefault="00A53DAB" w:rsidP="00A60862">
            <w:pPr>
              <w:jc w:val="both"/>
              <w:rPr>
                <w:rFonts w:ascii="Corbel" w:hAnsi="Corbel"/>
                <w:b/>
                <w:bCs/>
                <w:sz w:val="19"/>
                <w:szCs w:val="19"/>
              </w:rPr>
            </w:pPr>
            <w:r w:rsidRPr="001D6F3C">
              <w:rPr>
                <w:rFonts w:ascii="Corbel" w:hAnsi="Corbel"/>
                <w:b/>
                <w:bCs/>
                <w:sz w:val="19"/>
                <w:szCs w:val="19"/>
              </w:rPr>
              <w:t>Support tailored to the needs of Māori and Pacific people</w:t>
            </w:r>
          </w:p>
          <w:p w14:paraId="7B6FE260" w14:textId="7B3DB122" w:rsidR="000B11C7" w:rsidRPr="001D6F3C" w:rsidRDefault="000B11C7" w:rsidP="00A60862">
            <w:pPr>
              <w:jc w:val="both"/>
              <w:rPr>
                <w:rFonts w:ascii="Corbel" w:hAnsi="Corbel"/>
                <w:sz w:val="19"/>
                <w:szCs w:val="19"/>
              </w:rPr>
            </w:pPr>
            <w:r w:rsidRPr="001D6F3C">
              <w:rPr>
                <w:rFonts w:ascii="Corbel" w:hAnsi="Corbel"/>
                <w:sz w:val="19"/>
                <w:szCs w:val="19"/>
              </w:rPr>
              <w:t xml:space="preserve">Māori and Pacific older people are over-represented among those experiencing hardship and disadvantage. Addressing disadvantage for these groups requires a combination of more general approaches, as well as policies and services that are more explicitly tailored to meeting the needs of Māori and Pacific older people. </w:t>
            </w:r>
            <w:r w:rsidR="00691603">
              <w:rPr>
                <w:rFonts w:ascii="Corbel" w:hAnsi="Corbel"/>
                <w:sz w:val="19"/>
                <w:szCs w:val="19"/>
              </w:rPr>
              <w:t>Examples of existing initiatives include:</w:t>
            </w:r>
          </w:p>
          <w:p w14:paraId="0E4C725E" w14:textId="77777777" w:rsidR="000B11C7" w:rsidRPr="001D6F3C" w:rsidRDefault="000B11C7" w:rsidP="00A60862">
            <w:pPr>
              <w:pStyle w:val="Heading4"/>
              <w:jc w:val="both"/>
              <w:rPr>
                <w:rFonts w:ascii="Corbel" w:hAnsi="Corbel"/>
                <w:sz w:val="19"/>
                <w:szCs w:val="19"/>
              </w:rPr>
            </w:pPr>
            <w:r w:rsidRPr="001D6F3C">
              <w:rPr>
                <w:rFonts w:ascii="Corbel" w:hAnsi="Corbel"/>
                <w:sz w:val="19"/>
                <w:szCs w:val="19"/>
              </w:rPr>
              <w:t>Wealth and assets</w:t>
            </w:r>
          </w:p>
          <w:p w14:paraId="29CA2B2E" w14:textId="77777777" w:rsidR="00A21453" w:rsidRDefault="000B11C7" w:rsidP="00A60862">
            <w:pPr>
              <w:pStyle w:val="ListParagraph"/>
              <w:numPr>
                <w:ilvl w:val="0"/>
                <w:numId w:val="43"/>
              </w:numPr>
              <w:jc w:val="both"/>
              <w:rPr>
                <w:rFonts w:ascii="Corbel" w:hAnsi="Corbel"/>
                <w:sz w:val="19"/>
                <w:szCs w:val="19"/>
              </w:rPr>
            </w:pPr>
            <w:r w:rsidRPr="00A21453">
              <w:rPr>
                <w:rFonts w:ascii="Corbel" w:hAnsi="Corbel"/>
                <w:sz w:val="19"/>
                <w:szCs w:val="19"/>
              </w:rPr>
              <w:t xml:space="preserve">Ngāi Tahu’s </w:t>
            </w:r>
            <w:proofErr w:type="spellStart"/>
            <w:r w:rsidRPr="00A21453">
              <w:rPr>
                <w:rFonts w:ascii="Corbel" w:hAnsi="Corbel"/>
                <w:sz w:val="19"/>
                <w:szCs w:val="19"/>
              </w:rPr>
              <w:t>Whai</w:t>
            </w:r>
            <w:proofErr w:type="spellEnd"/>
            <w:r w:rsidRPr="00A21453">
              <w:rPr>
                <w:rFonts w:ascii="Corbel" w:hAnsi="Corbel"/>
                <w:sz w:val="19"/>
                <w:szCs w:val="19"/>
              </w:rPr>
              <w:t xml:space="preserve"> Rawa iwi-based retirement savings and investment plan with matched savings and distributions made by Ngāi Tahu. </w:t>
            </w:r>
          </w:p>
          <w:p w14:paraId="24D15F37" w14:textId="675FCBE4" w:rsidR="000B11C7" w:rsidRPr="00A21453" w:rsidRDefault="000B11C7" w:rsidP="00A60862">
            <w:pPr>
              <w:pStyle w:val="ListParagraph"/>
              <w:numPr>
                <w:ilvl w:val="0"/>
                <w:numId w:val="43"/>
              </w:numPr>
              <w:jc w:val="both"/>
              <w:rPr>
                <w:rFonts w:ascii="Corbel" w:hAnsi="Corbel"/>
                <w:sz w:val="19"/>
                <w:szCs w:val="19"/>
              </w:rPr>
            </w:pPr>
            <w:r w:rsidRPr="00A21453">
              <w:rPr>
                <w:rFonts w:ascii="Corbel" w:hAnsi="Corbel"/>
                <w:sz w:val="19"/>
                <w:szCs w:val="19"/>
              </w:rPr>
              <w:t xml:space="preserve">The Pacific Financial Capability Development Programme (PFC), funded by Ministry for Pacific Peoples, </w:t>
            </w:r>
            <w:r w:rsidR="00A21453">
              <w:rPr>
                <w:rFonts w:ascii="Corbel" w:hAnsi="Corbel"/>
                <w:sz w:val="19"/>
                <w:szCs w:val="19"/>
              </w:rPr>
              <w:t xml:space="preserve">which </w:t>
            </w:r>
            <w:r w:rsidRPr="00A21453">
              <w:rPr>
                <w:rFonts w:ascii="Corbel" w:hAnsi="Corbel"/>
                <w:sz w:val="19"/>
                <w:szCs w:val="19"/>
              </w:rPr>
              <w:t xml:space="preserve">supports Pacific families’ ability to establish homeownership through financial literacy and financial management. </w:t>
            </w:r>
          </w:p>
          <w:p w14:paraId="0F3E8000" w14:textId="77777777" w:rsidR="000B11C7" w:rsidRPr="001D6F3C" w:rsidRDefault="000B11C7" w:rsidP="00A60862">
            <w:pPr>
              <w:pStyle w:val="Heading4"/>
              <w:jc w:val="both"/>
              <w:rPr>
                <w:rFonts w:ascii="Corbel" w:hAnsi="Corbel"/>
                <w:sz w:val="19"/>
                <w:szCs w:val="19"/>
              </w:rPr>
            </w:pPr>
            <w:r w:rsidRPr="001D6F3C">
              <w:rPr>
                <w:rFonts w:ascii="Corbel" w:hAnsi="Corbel"/>
                <w:sz w:val="19"/>
                <w:szCs w:val="19"/>
              </w:rPr>
              <w:t>Housing</w:t>
            </w:r>
          </w:p>
          <w:p w14:paraId="3F8E56F0" w14:textId="5180B8A4" w:rsidR="00044C91" w:rsidRDefault="00A21453" w:rsidP="00A21453">
            <w:pPr>
              <w:pStyle w:val="ListParagraph"/>
              <w:numPr>
                <w:ilvl w:val="0"/>
                <w:numId w:val="44"/>
              </w:numPr>
              <w:jc w:val="both"/>
              <w:rPr>
                <w:rFonts w:ascii="Corbel" w:hAnsi="Corbel"/>
                <w:sz w:val="19"/>
                <w:szCs w:val="19"/>
              </w:rPr>
            </w:pPr>
            <w:r>
              <w:rPr>
                <w:rFonts w:ascii="Corbel" w:hAnsi="Corbel"/>
                <w:sz w:val="19"/>
                <w:szCs w:val="19"/>
              </w:rPr>
              <w:t xml:space="preserve">The development of </w:t>
            </w:r>
            <w:proofErr w:type="spellStart"/>
            <w:r>
              <w:rPr>
                <w:rFonts w:ascii="Corbel" w:hAnsi="Corbel"/>
                <w:sz w:val="19"/>
                <w:szCs w:val="19"/>
              </w:rPr>
              <w:t>papak</w:t>
            </w:r>
            <w:proofErr w:type="spellEnd"/>
            <w:r>
              <w:rPr>
                <w:rFonts w:ascii="Corbel" w:hAnsi="Corbel"/>
                <w:sz w:val="19"/>
                <w:szCs w:val="19"/>
                <w:lang w:val="mi-NZ"/>
              </w:rPr>
              <w:t>ā</w:t>
            </w:r>
            <w:r>
              <w:rPr>
                <w:rFonts w:ascii="Corbel" w:hAnsi="Corbel"/>
                <w:sz w:val="19"/>
                <w:szCs w:val="19"/>
                <w:lang w:val="en-US"/>
              </w:rPr>
              <w:t xml:space="preserve">inga on whenua </w:t>
            </w:r>
            <w:r w:rsidRPr="00A21453">
              <w:rPr>
                <w:rFonts w:ascii="Corbel" w:hAnsi="Corbel"/>
                <w:sz w:val="19"/>
                <w:szCs w:val="19"/>
              </w:rPr>
              <w:t>Māori</w:t>
            </w:r>
            <w:r>
              <w:rPr>
                <w:rFonts w:ascii="Corbel" w:hAnsi="Corbel"/>
                <w:sz w:val="19"/>
                <w:szCs w:val="19"/>
              </w:rPr>
              <w:t>, including those supported by</w:t>
            </w:r>
            <w:r>
              <w:rPr>
                <w:rFonts w:ascii="Corbel" w:hAnsi="Corbel"/>
                <w:sz w:val="19"/>
                <w:szCs w:val="19"/>
                <w:lang w:val="en-US"/>
              </w:rPr>
              <w:t xml:space="preserve"> </w:t>
            </w:r>
            <w:r w:rsidR="000B11C7" w:rsidRPr="00A21453">
              <w:rPr>
                <w:rFonts w:ascii="Corbel" w:hAnsi="Corbel"/>
                <w:sz w:val="19"/>
                <w:szCs w:val="19"/>
              </w:rPr>
              <w:t>Te Puni Kōkiri</w:t>
            </w:r>
            <w:r>
              <w:rPr>
                <w:rFonts w:ascii="Corbel" w:hAnsi="Corbel"/>
                <w:sz w:val="19"/>
                <w:szCs w:val="19"/>
              </w:rPr>
              <w:t>.</w:t>
            </w:r>
          </w:p>
          <w:p w14:paraId="6C7F10E6" w14:textId="6B5E4AD8" w:rsidR="000B11C7" w:rsidRPr="00A21453" w:rsidRDefault="00A21453" w:rsidP="00837B6B">
            <w:pPr>
              <w:pStyle w:val="ListParagraph"/>
              <w:numPr>
                <w:ilvl w:val="0"/>
                <w:numId w:val="44"/>
              </w:numPr>
              <w:jc w:val="both"/>
              <w:rPr>
                <w:rFonts w:ascii="Corbel" w:hAnsi="Corbel"/>
                <w:sz w:val="19"/>
                <w:szCs w:val="19"/>
              </w:rPr>
            </w:pPr>
            <w:r w:rsidRPr="00A21453">
              <w:rPr>
                <w:rFonts w:ascii="Corbel" w:hAnsi="Corbel"/>
                <w:sz w:val="19"/>
                <w:szCs w:val="19"/>
              </w:rPr>
              <w:t xml:space="preserve">The </w:t>
            </w:r>
            <w:r w:rsidR="000B11C7" w:rsidRPr="00A21453">
              <w:rPr>
                <w:rFonts w:ascii="Corbel" w:hAnsi="Corbel"/>
                <w:sz w:val="19"/>
                <w:szCs w:val="19"/>
              </w:rPr>
              <w:t xml:space="preserve">Penina Trust’s </w:t>
            </w:r>
            <w:r w:rsidR="000B11C7" w:rsidRPr="004F40C7">
              <w:rPr>
                <w:rFonts w:ascii="Corbel" w:hAnsi="Corbel"/>
                <w:sz w:val="19"/>
                <w:szCs w:val="19"/>
              </w:rPr>
              <w:t>multigenerational social housing</w:t>
            </w:r>
            <w:r w:rsidR="000B11C7" w:rsidRPr="00A21453">
              <w:rPr>
                <w:rFonts w:ascii="Corbel" w:hAnsi="Corbel"/>
                <w:b/>
                <w:bCs/>
                <w:sz w:val="19"/>
                <w:szCs w:val="19"/>
              </w:rPr>
              <w:t xml:space="preserve"> </w:t>
            </w:r>
            <w:r w:rsidR="000B11C7" w:rsidRPr="00A21453">
              <w:rPr>
                <w:rFonts w:ascii="Corbel" w:hAnsi="Corbel"/>
                <w:sz w:val="19"/>
                <w:szCs w:val="19"/>
              </w:rPr>
              <w:t>development in Papakura</w:t>
            </w:r>
            <w:r>
              <w:rPr>
                <w:rFonts w:ascii="Corbel" w:hAnsi="Corbel"/>
                <w:sz w:val="19"/>
                <w:szCs w:val="19"/>
              </w:rPr>
              <w:t xml:space="preserve">, with homes that enable privacy and autonomy for Pacific </w:t>
            </w:r>
            <w:proofErr w:type="gramStart"/>
            <w:r>
              <w:rPr>
                <w:rFonts w:ascii="Corbel" w:hAnsi="Corbel"/>
                <w:sz w:val="19"/>
                <w:szCs w:val="19"/>
              </w:rPr>
              <w:t>elders</w:t>
            </w:r>
            <w:proofErr w:type="gramEnd"/>
            <w:r>
              <w:rPr>
                <w:rFonts w:ascii="Corbel" w:hAnsi="Corbel"/>
                <w:sz w:val="19"/>
                <w:szCs w:val="19"/>
              </w:rPr>
              <w:t xml:space="preserve"> but which are connected to shared living areas. </w:t>
            </w:r>
          </w:p>
          <w:p w14:paraId="61B8292F" w14:textId="77777777" w:rsidR="000B11C7" w:rsidRPr="001D6F3C" w:rsidRDefault="000B11C7" w:rsidP="00A60862">
            <w:pPr>
              <w:pStyle w:val="Heading4"/>
              <w:jc w:val="both"/>
              <w:rPr>
                <w:rFonts w:ascii="Corbel" w:hAnsi="Corbel"/>
                <w:sz w:val="19"/>
                <w:szCs w:val="19"/>
              </w:rPr>
            </w:pPr>
            <w:r w:rsidRPr="001D6F3C">
              <w:rPr>
                <w:rFonts w:ascii="Corbel" w:hAnsi="Corbel"/>
                <w:sz w:val="19"/>
                <w:szCs w:val="19"/>
              </w:rPr>
              <w:t>Integrated support</w:t>
            </w:r>
          </w:p>
          <w:p w14:paraId="22D14FF6" w14:textId="77777777" w:rsidR="00147586" w:rsidRDefault="000B11C7" w:rsidP="00A60862">
            <w:pPr>
              <w:pStyle w:val="ListParagraph"/>
              <w:numPr>
                <w:ilvl w:val="0"/>
                <w:numId w:val="45"/>
              </w:numPr>
              <w:jc w:val="both"/>
              <w:rPr>
                <w:rFonts w:ascii="Corbel" w:hAnsi="Corbel"/>
                <w:sz w:val="19"/>
                <w:szCs w:val="19"/>
              </w:rPr>
            </w:pPr>
            <w:r w:rsidRPr="00147586">
              <w:rPr>
                <w:rFonts w:ascii="Corbel" w:hAnsi="Corbel"/>
                <w:sz w:val="19"/>
                <w:szCs w:val="19"/>
              </w:rPr>
              <w:t xml:space="preserve">Funded by Whānau Ora, the Rauawaawa Kaumātua </w:t>
            </w:r>
            <w:r w:rsidR="00A86EA6" w:rsidRPr="00147586">
              <w:rPr>
                <w:rFonts w:ascii="Corbel" w:hAnsi="Corbel"/>
                <w:sz w:val="19"/>
                <w:szCs w:val="19"/>
              </w:rPr>
              <w:t xml:space="preserve">Charitable </w:t>
            </w:r>
            <w:r w:rsidRPr="00147586">
              <w:rPr>
                <w:rFonts w:ascii="Corbel" w:hAnsi="Corbel"/>
                <w:sz w:val="19"/>
                <w:szCs w:val="19"/>
              </w:rPr>
              <w:t>Trust delivers culturally focused and integrated health, social and community</w:t>
            </w:r>
            <w:r w:rsidR="005F230C" w:rsidRPr="00147586">
              <w:rPr>
                <w:rFonts w:ascii="Corbel" w:hAnsi="Corbel"/>
                <w:sz w:val="19"/>
                <w:szCs w:val="19"/>
              </w:rPr>
              <w:t>-</w:t>
            </w:r>
            <w:r w:rsidRPr="00147586">
              <w:rPr>
                <w:rFonts w:ascii="Corbel" w:hAnsi="Corbel"/>
                <w:sz w:val="19"/>
                <w:szCs w:val="19"/>
              </w:rPr>
              <w:t xml:space="preserve">based support for older people, including social enterprise opportunities. </w:t>
            </w:r>
          </w:p>
          <w:p w14:paraId="30073AAD" w14:textId="256EB2E2" w:rsidR="000B11C7" w:rsidRPr="00147586" w:rsidRDefault="00147586" w:rsidP="00A60862">
            <w:pPr>
              <w:pStyle w:val="ListParagraph"/>
              <w:numPr>
                <w:ilvl w:val="0"/>
                <w:numId w:val="45"/>
              </w:numPr>
              <w:jc w:val="both"/>
              <w:rPr>
                <w:rFonts w:ascii="Corbel" w:hAnsi="Corbel"/>
                <w:sz w:val="19"/>
                <w:szCs w:val="19"/>
              </w:rPr>
            </w:pPr>
            <w:r w:rsidRPr="00147586">
              <w:rPr>
                <w:rFonts w:ascii="Corbel" w:hAnsi="Corbel"/>
                <w:sz w:val="19"/>
                <w:szCs w:val="19"/>
              </w:rPr>
              <w:t xml:space="preserve">TOA Pacific provides a range of services to Pacific older people and Aiga carers, including </w:t>
            </w:r>
            <w:r w:rsidR="000B11C7" w:rsidRPr="00147586">
              <w:rPr>
                <w:rFonts w:ascii="Corbel" w:hAnsi="Corbel"/>
                <w:sz w:val="19"/>
                <w:szCs w:val="19"/>
              </w:rPr>
              <w:t>direct health support, exercise programmes using traditional Pacific music and dance, services to strengthen family safety and capacity, coordination and support for caregivers, and a programme to prevent abuse and neglect of elders.</w:t>
            </w:r>
            <w:r w:rsidR="000B11C7" w:rsidRPr="00147586">
              <w:rPr>
                <w:rFonts w:ascii="Corbel" w:hAnsi="Corbel"/>
              </w:rPr>
              <w:t xml:space="preserve"> </w:t>
            </w:r>
          </w:p>
        </w:tc>
      </w:tr>
    </w:tbl>
    <w:p w14:paraId="003DE77C" w14:textId="528CE738" w:rsidR="00A62EE9" w:rsidRPr="001D6F3C" w:rsidRDefault="00A62EE9" w:rsidP="00A60862">
      <w:pPr>
        <w:pStyle w:val="Heading2"/>
        <w:jc w:val="both"/>
        <w:rPr>
          <w:rFonts w:ascii="Corbel" w:hAnsi="Corbel"/>
        </w:rPr>
      </w:pPr>
      <w:bookmarkStart w:id="101" w:name="_Toc207783011"/>
      <w:r w:rsidRPr="001D6F3C">
        <w:rPr>
          <w:rFonts w:ascii="Corbel" w:hAnsi="Corbel"/>
        </w:rPr>
        <w:lastRenderedPageBreak/>
        <w:t>4.2</w:t>
      </w:r>
      <w:r w:rsidR="00045651" w:rsidRPr="001D6F3C">
        <w:rPr>
          <w:rFonts w:ascii="Corbel" w:hAnsi="Corbel"/>
        </w:rPr>
        <w:t xml:space="preserve"> </w:t>
      </w:r>
      <w:r w:rsidRPr="001D6F3C">
        <w:rPr>
          <w:rFonts w:ascii="Corbel" w:hAnsi="Corbel"/>
        </w:rPr>
        <w:t>Responding through income support</w:t>
      </w:r>
      <w:bookmarkEnd w:id="101"/>
    </w:p>
    <w:p w14:paraId="7865DF5D" w14:textId="115E9F3E" w:rsidR="003E55B8" w:rsidRDefault="003E55B8" w:rsidP="00A60862">
      <w:pPr>
        <w:jc w:val="both"/>
        <w:rPr>
          <w:rFonts w:ascii="Corbel" w:hAnsi="Corbel"/>
        </w:rPr>
      </w:pPr>
      <w:r>
        <w:rPr>
          <w:rFonts w:ascii="Corbel" w:hAnsi="Corbel"/>
        </w:rPr>
        <w:t xml:space="preserve">To reduce pressures on long-term fiscals, Governments may explore changes to reduce the overall cost of NZS. </w:t>
      </w:r>
      <w:r w:rsidR="00A843F1">
        <w:rPr>
          <w:rFonts w:ascii="Corbel" w:hAnsi="Corbel"/>
        </w:rPr>
        <w:t>T</w:t>
      </w:r>
      <w:r>
        <w:rPr>
          <w:rFonts w:ascii="Corbel" w:hAnsi="Corbel"/>
        </w:rPr>
        <w:t xml:space="preserve">he available options that have the least impact on hardship and disadvantage are those that introduce some form of targeting so that support for those with the lowest incomes is maintained. </w:t>
      </w:r>
    </w:p>
    <w:p w14:paraId="3521C194" w14:textId="5A2B6F0B" w:rsidR="00915B83" w:rsidRDefault="00915B83" w:rsidP="00A60862">
      <w:pPr>
        <w:jc w:val="both"/>
        <w:rPr>
          <w:rFonts w:ascii="Corbel" w:hAnsi="Corbel"/>
        </w:rPr>
      </w:pPr>
      <w:r>
        <w:rPr>
          <w:rFonts w:ascii="Corbel" w:hAnsi="Corbel"/>
        </w:rPr>
        <w:t xml:space="preserve">There are a range of income support options that Governments could explore to rebalance support towards those with higher needs. </w:t>
      </w:r>
      <w:r w:rsidR="00A14552">
        <w:rPr>
          <w:rFonts w:ascii="Corbel" w:hAnsi="Corbel"/>
        </w:rPr>
        <w:t xml:space="preserve">These </w:t>
      </w:r>
      <w:r>
        <w:rPr>
          <w:rFonts w:ascii="Corbel" w:hAnsi="Corbel"/>
        </w:rPr>
        <w:t>include:</w:t>
      </w:r>
    </w:p>
    <w:p w14:paraId="44BA1417" w14:textId="38699708" w:rsidR="00672C78" w:rsidRDefault="00A21453" w:rsidP="00672C78">
      <w:pPr>
        <w:numPr>
          <w:ilvl w:val="0"/>
          <w:numId w:val="27"/>
        </w:numPr>
        <w:jc w:val="both"/>
        <w:rPr>
          <w:rFonts w:ascii="Corbel" w:hAnsi="Corbel"/>
        </w:rPr>
      </w:pPr>
      <w:r w:rsidRPr="00F06342">
        <w:rPr>
          <w:rFonts w:ascii="Corbel" w:hAnsi="Corbel"/>
          <w:b/>
          <w:bCs/>
        </w:rPr>
        <w:t>considering</w:t>
      </w:r>
      <w:r w:rsidR="006A193B" w:rsidRPr="00F06342">
        <w:rPr>
          <w:rFonts w:ascii="Corbel" w:hAnsi="Corbel"/>
          <w:b/>
          <w:bCs/>
        </w:rPr>
        <w:t xml:space="preserve"> </w:t>
      </w:r>
      <w:r w:rsidRPr="00F06342">
        <w:rPr>
          <w:rFonts w:ascii="Corbel" w:hAnsi="Corbel"/>
          <w:b/>
          <w:bCs/>
        </w:rPr>
        <w:t xml:space="preserve">relativities between </w:t>
      </w:r>
      <w:r w:rsidR="00672C78" w:rsidRPr="00F06342">
        <w:rPr>
          <w:rFonts w:ascii="Corbel" w:hAnsi="Corbel"/>
          <w:b/>
          <w:bCs/>
        </w:rPr>
        <w:t>different NZS rates</w:t>
      </w:r>
      <w:r w:rsidR="00070DB3">
        <w:rPr>
          <w:rFonts w:ascii="Corbel" w:hAnsi="Corbel"/>
        </w:rPr>
        <w:t xml:space="preserve">, including how </w:t>
      </w:r>
      <w:proofErr w:type="gramStart"/>
      <w:r w:rsidR="00070DB3">
        <w:rPr>
          <w:rFonts w:ascii="Corbel" w:hAnsi="Corbel"/>
        </w:rPr>
        <w:t>these</w:t>
      </w:r>
      <w:r w:rsidR="00672C78">
        <w:rPr>
          <w:rFonts w:ascii="Corbel" w:hAnsi="Corbel"/>
        </w:rPr>
        <w:t xml:space="preserve"> support</w:t>
      </w:r>
      <w:proofErr w:type="gramEnd"/>
      <w:r w:rsidR="00672C78">
        <w:rPr>
          <w:rFonts w:ascii="Corbel" w:hAnsi="Corbel"/>
        </w:rPr>
        <w:t xml:space="preserve"> </w:t>
      </w:r>
      <w:r w:rsidR="00070DB3">
        <w:rPr>
          <w:rFonts w:ascii="Corbel" w:hAnsi="Corbel"/>
        </w:rPr>
        <w:t xml:space="preserve">a variety of </w:t>
      </w:r>
      <w:r w:rsidR="00672C78">
        <w:rPr>
          <w:rFonts w:ascii="Corbel" w:hAnsi="Corbel"/>
        </w:rPr>
        <w:t>living arrangements in later life</w:t>
      </w:r>
    </w:p>
    <w:p w14:paraId="44BF8E3B" w14:textId="44360C87" w:rsidR="00915B83" w:rsidRDefault="00915B83" w:rsidP="00672C78">
      <w:pPr>
        <w:numPr>
          <w:ilvl w:val="0"/>
          <w:numId w:val="27"/>
        </w:numPr>
        <w:jc w:val="both"/>
        <w:rPr>
          <w:rFonts w:ascii="Corbel" w:hAnsi="Corbel"/>
        </w:rPr>
      </w:pPr>
      <w:r w:rsidRPr="00F06342">
        <w:rPr>
          <w:rFonts w:ascii="Corbel" w:hAnsi="Corbel"/>
          <w:b/>
          <w:bCs/>
        </w:rPr>
        <w:t>providing targeted support to those with high housing costs</w:t>
      </w:r>
      <w:r>
        <w:rPr>
          <w:rFonts w:ascii="Corbel" w:hAnsi="Corbel"/>
        </w:rPr>
        <w:t>, for example through changes to AS (considerations include the cash asset test, payment rates and uptake)</w:t>
      </w:r>
    </w:p>
    <w:p w14:paraId="173E122C" w14:textId="3E633CF1" w:rsidR="00915B83" w:rsidRDefault="00915B83" w:rsidP="00672C78">
      <w:pPr>
        <w:numPr>
          <w:ilvl w:val="0"/>
          <w:numId w:val="27"/>
        </w:numPr>
        <w:jc w:val="both"/>
        <w:rPr>
          <w:rFonts w:ascii="Corbel" w:hAnsi="Corbel"/>
        </w:rPr>
      </w:pPr>
      <w:r w:rsidRPr="00F06342">
        <w:rPr>
          <w:rFonts w:ascii="Corbel" w:hAnsi="Corbel"/>
          <w:b/>
          <w:bCs/>
        </w:rPr>
        <w:t>providing targeted support to those with high costs associated with health, disability and caring responsibilities</w:t>
      </w:r>
      <w:r>
        <w:rPr>
          <w:rFonts w:ascii="Corbel" w:hAnsi="Corbel"/>
        </w:rPr>
        <w:t xml:space="preserve">, for example through changes to DA (considerations include abatement settings, targeting and streamlining administration). </w:t>
      </w:r>
    </w:p>
    <w:p w14:paraId="5E05093F" w14:textId="23202435" w:rsidR="00C63553" w:rsidRDefault="00C63553" w:rsidP="00C63553">
      <w:pPr>
        <w:jc w:val="both"/>
        <w:rPr>
          <w:rFonts w:ascii="Corbel" w:hAnsi="Corbel"/>
        </w:rPr>
      </w:pPr>
      <w:r>
        <w:rPr>
          <w:rFonts w:ascii="Corbel" w:hAnsi="Corbel"/>
        </w:rPr>
        <w:t xml:space="preserve">These options involve consideration of specific design issues and trade-offs, but an overarching issue is the substantial fiscal implications of even minor changes to income support settings. Options for supplementary payments could be considered alongside cost-saving measures, although this would reduce the level of fiscal savings achieved. </w:t>
      </w:r>
    </w:p>
    <w:p w14:paraId="09E1BC44" w14:textId="1EC3A9DF" w:rsidR="00A62EE9" w:rsidRPr="001D6F3C" w:rsidRDefault="00A62EE9" w:rsidP="00A60862">
      <w:pPr>
        <w:pStyle w:val="Heading2"/>
        <w:jc w:val="both"/>
        <w:rPr>
          <w:rFonts w:ascii="Corbel" w:hAnsi="Corbel"/>
        </w:rPr>
      </w:pPr>
      <w:bookmarkStart w:id="102" w:name="_Toc207783012"/>
      <w:r w:rsidRPr="001D6F3C">
        <w:rPr>
          <w:rFonts w:ascii="Corbel" w:hAnsi="Corbel"/>
        </w:rPr>
        <w:t>4.3</w:t>
      </w:r>
      <w:r w:rsidR="00045651" w:rsidRPr="001D6F3C">
        <w:rPr>
          <w:rFonts w:ascii="Corbel" w:hAnsi="Corbel"/>
        </w:rPr>
        <w:t xml:space="preserve"> </w:t>
      </w:r>
      <w:r w:rsidRPr="001D6F3C">
        <w:rPr>
          <w:rFonts w:ascii="Corbel" w:hAnsi="Corbel"/>
        </w:rPr>
        <w:t>Responding through service delivery</w:t>
      </w:r>
      <w:bookmarkEnd w:id="102"/>
    </w:p>
    <w:p w14:paraId="2DA14329" w14:textId="288F4198" w:rsidR="0095007B" w:rsidRDefault="00A62EE9" w:rsidP="00A60862">
      <w:pPr>
        <w:jc w:val="both"/>
        <w:rPr>
          <w:rFonts w:ascii="Corbel" w:hAnsi="Corbel"/>
        </w:rPr>
      </w:pPr>
      <w:r w:rsidRPr="001D6F3C">
        <w:rPr>
          <w:rFonts w:ascii="Corbel" w:hAnsi="Corbel"/>
        </w:rPr>
        <w:t>Independent</w:t>
      </w:r>
      <w:r w:rsidRPr="001D6F3C">
        <w:rPr>
          <w:rFonts w:ascii="Corbel" w:hAnsi="Corbel"/>
          <w:b/>
          <w:bCs/>
        </w:rPr>
        <w:t xml:space="preserve"> </w:t>
      </w:r>
      <w:r w:rsidRPr="001D6F3C">
        <w:rPr>
          <w:rFonts w:ascii="Corbel" w:hAnsi="Corbel"/>
        </w:rPr>
        <w:t>of any policy changes discussed above, population ageing will</w:t>
      </w:r>
      <w:r w:rsidR="0095007B">
        <w:rPr>
          <w:rFonts w:ascii="Corbel" w:hAnsi="Corbel"/>
        </w:rPr>
        <w:t xml:space="preserve"> grow</w:t>
      </w:r>
      <w:r w:rsidR="00A843F1">
        <w:rPr>
          <w:rFonts w:ascii="Corbel" w:hAnsi="Corbel"/>
        </w:rPr>
        <w:t xml:space="preserve"> and change</w:t>
      </w:r>
      <w:r w:rsidR="0095007B">
        <w:rPr>
          <w:rFonts w:ascii="Corbel" w:hAnsi="Corbel"/>
        </w:rPr>
        <w:t xml:space="preserve"> MSD’s client base. Considerations include:</w:t>
      </w:r>
    </w:p>
    <w:p w14:paraId="2261D8C3" w14:textId="6CF08061" w:rsidR="0095007B" w:rsidRDefault="0095007B" w:rsidP="0095007B">
      <w:pPr>
        <w:numPr>
          <w:ilvl w:val="0"/>
          <w:numId w:val="27"/>
        </w:numPr>
        <w:jc w:val="both"/>
        <w:rPr>
          <w:rFonts w:ascii="Corbel" w:hAnsi="Corbel"/>
        </w:rPr>
      </w:pPr>
      <w:r w:rsidRPr="00F06342">
        <w:rPr>
          <w:rFonts w:ascii="Corbel" w:hAnsi="Corbel"/>
          <w:b/>
          <w:bCs/>
        </w:rPr>
        <w:t>planning for increased demand and ensuring access to services</w:t>
      </w:r>
      <w:r>
        <w:rPr>
          <w:rFonts w:ascii="Corbel" w:hAnsi="Corbel"/>
        </w:rPr>
        <w:t xml:space="preserve"> (including both in-person, </w:t>
      </w:r>
      <w:r w:rsidR="00F455F1">
        <w:rPr>
          <w:rFonts w:ascii="Corbel" w:hAnsi="Corbel"/>
        </w:rPr>
        <w:t>phone,</w:t>
      </w:r>
      <w:r>
        <w:rPr>
          <w:rFonts w:ascii="Corbel" w:hAnsi="Corbel"/>
        </w:rPr>
        <w:t xml:space="preserve"> and digital options)</w:t>
      </w:r>
    </w:p>
    <w:p w14:paraId="63ACBDB0" w14:textId="1C6ACB88" w:rsidR="0095007B" w:rsidRPr="0095007B" w:rsidRDefault="0095007B" w:rsidP="0095007B">
      <w:pPr>
        <w:numPr>
          <w:ilvl w:val="0"/>
          <w:numId w:val="27"/>
        </w:numPr>
        <w:jc w:val="both"/>
        <w:rPr>
          <w:rFonts w:ascii="Corbel" w:hAnsi="Corbel"/>
        </w:rPr>
      </w:pPr>
      <w:r w:rsidRPr="00F06342">
        <w:rPr>
          <w:rFonts w:ascii="Corbel" w:hAnsi="Corbel"/>
          <w:b/>
          <w:bCs/>
        </w:rPr>
        <w:t>integrating services</w:t>
      </w:r>
      <w:r>
        <w:rPr>
          <w:rFonts w:ascii="Corbel" w:hAnsi="Corbel"/>
        </w:rPr>
        <w:t xml:space="preserve"> for example through co-location, individualised services plans and alternative approaches tailored to </w:t>
      </w:r>
      <w:r>
        <w:rPr>
          <w:rFonts w:ascii="Corbel" w:hAnsi="Corbel"/>
          <w:lang w:val="mi-NZ"/>
        </w:rPr>
        <w:t xml:space="preserve">Māori </w:t>
      </w:r>
      <w:r>
        <w:rPr>
          <w:rFonts w:ascii="Corbel" w:hAnsi="Corbel"/>
          <w:lang w:val="en-US"/>
        </w:rPr>
        <w:t>and Pacific older people (see above for examples)</w:t>
      </w:r>
    </w:p>
    <w:p w14:paraId="13D917B2" w14:textId="7188E609" w:rsidR="0095007B" w:rsidRDefault="0095007B" w:rsidP="0095007B">
      <w:pPr>
        <w:numPr>
          <w:ilvl w:val="0"/>
          <w:numId w:val="27"/>
        </w:numPr>
        <w:jc w:val="both"/>
        <w:rPr>
          <w:rFonts w:ascii="Corbel" w:hAnsi="Corbel"/>
        </w:rPr>
      </w:pPr>
      <w:r w:rsidRPr="00F06342">
        <w:rPr>
          <w:rFonts w:ascii="Corbel" w:hAnsi="Corbel"/>
          <w:b/>
          <w:bCs/>
          <w:lang w:val="en-US"/>
        </w:rPr>
        <w:t>addressing potential gaps in services</w:t>
      </w:r>
      <w:r>
        <w:rPr>
          <w:rFonts w:ascii="Corbel" w:hAnsi="Corbel"/>
          <w:lang w:val="en-US"/>
        </w:rPr>
        <w:t>, for example those related to ‘self-neglect’ or unmet support needs</w:t>
      </w:r>
      <w:r w:rsidR="007263A6">
        <w:rPr>
          <w:rFonts w:ascii="Corbel" w:hAnsi="Corbel"/>
          <w:lang w:val="en-US"/>
        </w:rPr>
        <w:t>.</w:t>
      </w:r>
    </w:p>
    <w:p w14:paraId="4D17C06A" w14:textId="12274479" w:rsidR="3464A8F5" w:rsidRPr="001D6F3C" w:rsidRDefault="3464A8F5">
      <w:r w:rsidRPr="001D6F3C">
        <w:br w:type="page"/>
      </w:r>
    </w:p>
    <w:p w14:paraId="5FFE8A7F" w14:textId="0364D302" w:rsidR="00B7108A" w:rsidRPr="001D6F3C" w:rsidRDefault="00B7108A" w:rsidP="00B7108A">
      <w:pPr>
        <w:pStyle w:val="Heading1"/>
        <w:jc w:val="both"/>
        <w:rPr>
          <w:rFonts w:asciiTheme="minorHAnsi" w:hAnsiTheme="minorHAnsi" w:cstheme="minorHAnsi"/>
        </w:rPr>
      </w:pPr>
      <w:bookmarkStart w:id="103" w:name="_Toc207783013"/>
      <w:r w:rsidRPr="001D6F3C">
        <w:rPr>
          <w:rFonts w:asciiTheme="minorHAnsi" w:hAnsiTheme="minorHAnsi" w:cstheme="minorHAnsi"/>
        </w:rPr>
        <w:lastRenderedPageBreak/>
        <w:t>Appendices</w:t>
      </w:r>
      <w:bookmarkEnd w:id="103"/>
    </w:p>
    <w:p w14:paraId="2E3F50DA" w14:textId="42B01FC9" w:rsidR="00B27D4C" w:rsidRPr="001D6F3C" w:rsidRDefault="00B27D4C" w:rsidP="00B27D4C">
      <w:pPr>
        <w:pStyle w:val="Heading2"/>
        <w:jc w:val="both"/>
        <w:rPr>
          <w:rFonts w:ascii="Corbel" w:hAnsi="Corbel"/>
        </w:rPr>
      </w:pPr>
      <w:bookmarkStart w:id="104" w:name="_Toc207783014"/>
      <w:r w:rsidRPr="001D6F3C">
        <w:rPr>
          <w:rFonts w:ascii="Corbel" w:hAnsi="Corbel"/>
        </w:rPr>
        <w:t>List of tables and figures</w:t>
      </w:r>
      <w:bookmarkEnd w:id="104"/>
    </w:p>
    <w:p w14:paraId="5FD8C79B" w14:textId="25F69EE3" w:rsidR="0024204C" w:rsidRPr="001D6F3C" w:rsidRDefault="0024204C" w:rsidP="0024204C">
      <w:pPr>
        <w:pStyle w:val="TOCHeading"/>
        <w:jc w:val="both"/>
        <w:rPr>
          <w:rFonts w:ascii="Corbel" w:hAnsi="Corbel"/>
          <w:sz w:val="24"/>
          <w:szCs w:val="24"/>
        </w:rPr>
      </w:pPr>
      <w:r w:rsidRPr="001D6F3C">
        <w:rPr>
          <w:rFonts w:ascii="Corbel" w:hAnsi="Corbel"/>
          <w:sz w:val="24"/>
          <w:szCs w:val="24"/>
        </w:rPr>
        <w:t>List of Tables</w:t>
      </w:r>
    </w:p>
    <w:p w14:paraId="4439E114" w14:textId="39875557" w:rsidR="000D187D" w:rsidRPr="001D6F3C" w:rsidRDefault="0024204C">
      <w:pPr>
        <w:pStyle w:val="TableofFigures"/>
        <w:tabs>
          <w:tab w:val="right" w:leader="dot" w:pos="9016"/>
        </w:tabs>
        <w:rPr>
          <w:noProof/>
          <w:kern w:val="2"/>
          <w:lang w:eastAsia="en-NZ"/>
          <w14:ligatures w14:val="standardContextual"/>
        </w:rPr>
      </w:pPr>
      <w:r w:rsidRPr="001D6F3C">
        <w:rPr>
          <w:rStyle w:val="Heading2Char"/>
          <w:rFonts w:ascii="Corbel" w:hAnsi="Corbel"/>
        </w:rPr>
        <w:fldChar w:fldCharType="begin"/>
      </w:r>
      <w:r w:rsidRPr="001D6F3C">
        <w:rPr>
          <w:rStyle w:val="Heading2Char"/>
          <w:rFonts w:ascii="Corbel" w:hAnsi="Corbel"/>
        </w:rPr>
        <w:instrText xml:space="preserve"> TOC \h \z \c "Table" </w:instrText>
      </w:r>
      <w:r w:rsidRPr="001D6F3C">
        <w:rPr>
          <w:rStyle w:val="Heading2Char"/>
          <w:rFonts w:ascii="Corbel" w:hAnsi="Corbel"/>
        </w:rPr>
        <w:fldChar w:fldCharType="separate"/>
      </w:r>
      <w:hyperlink w:anchor="_Toc203647398" w:history="1">
        <w:r w:rsidR="000D187D" w:rsidRPr="001D6F3C">
          <w:rPr>
            <w:rStyle w:val="Hyperlink"/>
            <w:rFonts w:ascii="Corbel" w:hAnsi="Corbel"/>
            <w:noProof/>
          </w:rPr>
          <w:t>Table 1: Projected Distribution of Older people by ethnic group in 2043</w:t>
        </w:r>
        <w:r w:rsidR="000D187D" w:rsidRPr="001D6F3C">
          <w:rPr>
            <w:noProof/>
            <w:webHidden/>
          </w:rPr>
          <w:tab/>
        </w:r>
        <w:r w:rsidR="000D187D" w:rsidRPr="001D6F3C">
          <w:rPr>
            <w:noProof/>
            <w:webHidden/>
          </w:rPr>
          <w:fldChar w:fldCharType="begin"/>
        </w:r>
        <w:r w:rsidR="000D187D" w:rsidRPr="001D6F3C">
          <w:rPr>
            <w:noProof/>
            <w:webHidden/>
          </w:rPr>
          <w:instrText xml:space="preserve"> PAGEREF _Toc203647398 \h </w:instrText>
        </w:r>
        <w:r w:rsidR="000D187D" w:rsidRPr="001D6F3C">
          <w:rPr>
            <w:noProof/>
            <w:webHidden/>
          </w:rPr>
        </w:r>
        <w:r w:rsidR="000D187D" w:rsidRPr="001D6F3C">
          <w:rPr>
            <w:noProof/>
            <w:webHidden/>
          </w:rPr>
          <w:fldChar w:fldCharType="separate"/>
        </w:r>
        <w:r w:rsidR="000D187D" w:rsidRPr="001D6F3C">
          <w:rPr>
            <w:noProof/>
            <w:webHidden/>
          </w:rPr>
          <w:t>19</w:t>
        </w:r>
        <w:r w:rsidR="000D187D" w:rsidRPr="001D6F3C">
          <w:rPr>
            <w:noProof/>
            <w:webHidden/>
          </w:rPr>
          <w:fldChar w:fldCharType="end"/>
        </w:r>
      </w:hyperlink>
    </w:p>
    <w:p w14:paraId="7B7C8C83" w14:textId="79E4D05B" w:rsidR="000D187D" w:rsidRPr="001D6F3C" w:rsidRDefault="000D187D">
      <w:pPr>
        <w:pStyle w:val="TableofFigures"/>
        <w:tabs>
          <w:tab w:val="right" w:leader="dot" w:pos="9016"/>
        </w:tabs>
        <w:rPr>
          <w:noProof/>
          <w:kern w:val="2"/>
          <w:lang w:eastAsia="en-NZ"/>
          <w14:ligatures w14:val="standardContextual"/>
        </w:rPr>
      </w:pPr>
      <w:hyperlink w:anchor="_Toc203647399" w:history="1">
        <w:r w:rsidRPr="001D6F3C">
          <w:rPr>
            <w:rStyle w:val="Hyperlink"/>
            <w:noProof/>
          </w:rPr>
          <w:t>Table 2 - Distribution of material hardship using a joint income-savings analysis, HES 2020-21</w:t>
        </w:r>
        <w:r w:rsidRPr="001D6F3C">
          <w:rPr>
            <w:noProof/>
            <w:webHidden/>
          </w:rPr>
          <w:tab/>
        </w:r>
        <w:r w:rsidRPr="001D6F3C">
          <w:rPr>
            <w:noProof/>
            <w:webHidden/>
          </w:rPr>
          <w:fldChar w:fldCharType="begin"/>
        </w:r>
        <w:r w:rsidRPr="001D6F3C">
          <w:rPr>
            <w:noProof/>
            <w:webHidden/>
          </w:rPr>
          <w:instrText xml:space="preserve"> PAGEREF _Toc203647399 \h </w:instrText>
        </w:r>
        <w:r w:rsidRPr="001D6F3C">
          <w:rPr>
            <w:noProof/>
            <w:webHidden/>
          </w:rPr>
        </w:r>
        <w:r w:rsidRPr="001D6F3C">
          <w:rPr>
            <w:noProof/>
            <w:webHidden/>
          </w:rPr>
          <w:fldChar w:fldCharType="separate"/>
        </w:r>
        <w:r w:rsidRPr="001D6F3C">
          <w:rPr>
            <w:noProof/>
            <w:webHidden/>
          </w:rPr>
          <w:t>25</w:t>
        </w:r>
        <w:r w:rsidRPr="001D6F3C">
          <w:rPr>
            <w:noProof/>
            <w:webHidden/>
          </w:rPr>
          <w:fldChar w:fldCharType="end"/>
        </w:r>
      </w:hyperlink>
    </w:p>
    <w:p w14:paraId="74276C08" w14:textId="64D6E238" w:rsidR="000D187D" w:rsidRPr="001D6F3C" w:rsidRDefault="000D187D">
      <w:pPr>
        <w:pStyle w:val="TableofFigures"/>
        <w:tabs>
          <w:tab w:val="right" w:leader="dot" w:pos="9016"/>
        </w:tabs>
        <w:rPr>
          <w:noProof/>
          <w:kern w:val="2"/>
          <w:lang w:eastAsia="en-NZ"/>
          <w14:ligatures w14:val="standardContextual"/>
        </w:rPr>
      </w:pPr>
      <w:hyperlink w:anchor="_Toc203647400" w:history="1">
        <w:r w:rsidRPr="001D6F3C">
          <w:rPr>
            <w:rStyle w:val="Hyperlink"/>
            <w:noProof/>
          </w:rPr>
          <w:t>Table 3: % of population doing poorly on selected GSS indicators – by age group</w:t>
        </w:r>
        <w:r w:rsidRPr="001D6F3C">
          <w:rPr>
            <w:noProof/>
            <w:webHidden/>
          </w:rPr>
          <w:tab/>
        </w:r>
        <w:r w:rsidRPr="001D6F3C">
          <w:rPr>
            <w:noProof/>
            <w:webHidden/>
          </w:rPr>
          <w:fldChar w:fldCharType="begin"/>
        </w:r>
        <w:r w:rsidRPr="001D6F3C">
          <w:rPr>
            <w:noProof/>
            <w:webHidden/>
          </w:rPr>
          <w:instrText xml:space="preserve"> PAGEREF _Toc203647400 \h </w:instrText>
        </w:r>
        <w:r w:rsidRPr="001D6F3C">
          <w:rPr>
            <w:noProof/>
            <w:webHidden/>
          </w:rPr>
        </w:r>
        <w:r w:rsidRPr="001D6F3C">
          <w:rPr>
            <w:noProof/>
            <w:webHidden/>
          </w:rPr>
          <w:fldChar w:fldCharType="separate"/>
        </w:r>
        <w:r w:rsidRPr="001D6F3C">
          <w:rPr>
            <w:noProof/>
            <w:webHidden/>
          </w:rPr>
          <w:t>26</w:t>
        </w:r>
        <w:r w:rsidRPr="001D6F3C">
          <w:rPr>
            <w:noProof/>
            <w:webHidden/>
          </w:rPr>
          <w:fldChar w:fldCharType="end"/>
        </w:r>
      </w:hyperlink>
    </w:p>
    <w:p w14:paraId="27686538" w14:textId="7019EA1F" w:rsidR="000D187D" w:rsidRPr="001D6F3C" w:rsidRDefault="000D187D">
      <w:pPr>
        <w:pStyle w:val="TableofFigures"/>
        <w:tabs>
          <w:tab w:val="right" w:leader="dot" w:pos="9016"/>
        </w:tabs>
        <w:rPr>
          <w:noProof/>
          <w:kern w:val="2"/>
          <w:lang w:eastAsia="en-NZ"/>
          <w14:ligatures w14:val="standardContextual"/>
        </w:rPr>
      </w:pPr>
      <w:hyperlink w:anchor="_Toc203647401" w:history="1">
        <w:r w:rsidRPr="001D6F3C">
          <w:rPr>
            <w:rStyle w:val="Hyperlink"/>
            <w:noProof/>
          </w:rPr>
          <w:t>Table 4 – Number and Percentage of those 65+ - by % of time on benefit when aged 55-65</w:t>
        </w:r>
        <w:r w:rsidRPr="001D6F3C">
          <w:rPr>
            <w:noProof/>
            <w:webHidden/>
          </w:rPr>
          <w:tab/>
        </w:r>
        <w:r w:rsidRPr="001D6F3C">
          <w:rPr>
            <w:noProof/>
            <w:webHidden/>
          </w:rPr>
          <w:fldChar w:fldCharType="begin"/>
        </w:r>
        <w:r w:rsidRPr="001D6F3C">
          <w:rPr>
            <w:noProof/>
            <w:webHidden/>
          </w:rPr>
          <w:instrText xml:space="preserve"> PAGEREF _Toc203647401 \h </w:instrText>
        </w:r>
        <w:r w:rsidRPr="001D6F3C">
          <w:rPr>
            <w:noProof/>
            <w:webHidden/>
          </w:rPr>
        </w:r>
        <w:r w:rsidRPr="001D6F3C">
          <w:rPr>
            <w:noProof/>
            <w:webHidden/>
          </w:rPr>
          <w:fldChar w:fldCharType="separate"/>
        </w:r>
        <w:r w:rsidRPr="001D6F3C">
          <w:rPr>
            <w:noProof/>
            <w:webHidden/>
          </w:rPr>
          <w:t>30</w:t>
        </w:r>
        <w:r w:rsidRPr="001D6F3C">
          <w:rPr>
            <w:noProof/>
            <w:webHidden/>
          </w:rPr>
          <w:fldChar w:fldCharType="end"/>
        </w:r>
      </w:hyperlink>
    </w:p>
    <w:p w14:paraId="6AFFE7FD" w14:textId="7CCBE1B8" w:rsidR="000D187D" w:rsidRPr="001D6F3C" w:rsidRDefault="000D187D">
      <w:pPr>
        <w:pStyle w:val="TableofFigures"/>
        <w:tabs>
          <w:tab w:val="right" w:leader="dot" w:pos="9016"/>
        </w:tabs>
        <w:rPr>
          <w:noProof/>
          <w:kern w:val="2"/>
          <w:lang w:eastAsia="en-NZ"/>
          <w14:ligatures w14:val="standardContextual"/>
        </w:rPr>
      </w:pPr>
      <w:hyperlink w:anchor="_Toc203647402" w:history="1">
        <w:r w:rsidRPr="001D6F3C">
          <w:rPr>
            <w:rStyle w:val="Hyperlink"/>
            <w:noProof/>
          </w:rPr>
          <w:t>Table 5 – Rate of each disadvantage for those 65+ - by % of time on benefit aged 55-65</w:t>
        </w:r>
        <w:r w:rsidRPr="001D6F3C">
          <w:rPr>
            <w:noProof/>
            <w:webHidden/>
          </w:rPr>
          <w:tab/>
        </w:r>
        <w:r w:rsidRPr="001D6F3C">
          <w:rPr>
            <w:noProof/>
            <w:webHidden/>
          </w:rPr>
          <w:fldChar w:fldCharType="begin"/>
        </w:r>
        <w:r w:rsidRPr="001D6F3C">
          <w:rPr>
            <w:noProof/>
            <w:webHidden/>
          </w:rPr>
          <w:instrText xml:space="preserve"> PAGEREF _Toc203647402 \h </w:instrText>
        </w:r>
        <w:r w:rsidRPr="001D6F3C">
          <w:rPr>
            <w:noProof/>
            <w:webHidden/>
          </w:rPr>
        </w:r>
        <w:r w:rsidRPr="001D6F3C">
          <w:rPr>
            <w:noProof/>
            <w:webHidden/>
          </w:rPr>
          <w:fldChar w:fldCharType="separate"/>
        </w:r>
        <w:r w:rsidRPr="001D6F3C">
          <w:rPr>
            <w:noProof/>
            <w:webHidden/>
          </w:rPr>
          <w:t>30</w:t>
        </w:r>
        <w:r w:rsidRPr="001D6F3C">
          <w:rPr>
            <w:noProof/>
            <w:webHidden/>
          </w:rPr>
          <w:fldChar w:fldCharType="end"/>
        </w:r>
      </w:hyperlink>
    </w:p>
    <w:p w14:paraId="7673BC29" w14:textId="0936B981" w:rsidR="000D187D" w:rsidRPr="001D6F3C" w:rsidRDefault="000D187D">
      <w:pPr>
        <w:pStyle w:val="TableofFigures"/>
        <w:tabs>
          <w:tab w:val="right" w:leader="dot" w:pos="9016"/>
        </w:tabs>
        <w:rPr>
          <w:noProof/>
          <w:kern w:val="2"/>
          <w:lang w:eastAsia="en-NZ"/>
          <w14:ligatures w14:val="standardContextual"/>
        </w:rPr>
      </w:pPr>
      <w:hyperlink w:anchor="_Toc203647403" w:history="1">
        <w:r w:rsidRPr="001D6F3C">
          <w:rPr>
            <w:rStyle w:val="Hyperlink"/>
            <w:noProof/>
          </w:rPr>
          <w:t>Table 6 – Composition of 65+ in Multiple disadvantage - by percentage of time on benefit aged 55-65</w:t>
        </w:r>
        <w:r w:rsidRPr="001D6F3C">
          <w:rPr>
            <w:noProof/>
            <w:webHidden/>
          </w:rPr>
          <w:tab/>
        </w:r>
        <w:r w:rsidRPr="001D6F3C">
          <w:rPr>
            <w:noProof/>
            <w:webHidden/>
          </w:rPr>
          <w:fldChar w:fldCharType="begin"/>
        </w:r>
        <w:r w:rsidRPr="001D6F3C">
          <w:rPr>
            <w:noProof/>
            <w:webHidden/>
          </w:rPr>
          <w:instrText xml:space="preserve"> PAGEREF _Toc203647403 \h </w:instrText>
        </w:r>
        <w:r w:rsidRPr="001D6F3C">
          <w:rPr>
            <w:noProof/>
            <w:webHidden/>
          </w:rPr>
        </w:r>
        <w:r w:rsidRPr="001D6F3C">
          <w:rPr>
            <w:noProof/>
            <w:webHidden/>
          </w:rPr>
          <w:fldChar w:fldCharType="separate"/>
        </w:r>
        <w:r w:rsidRPr="001D6F3C">
          <w:rPr>
            <w:noProof/>
            <w:webHidden/>
          </w:rPr>
          <w:t>31</w:t>
        </w:r>
        <w:r w:rsidRPr="001D6F3C">
          <w:rPr>
            <w:noProof/>
            <w:webHidden/>
          </w:rPr>
          <w:fldChar w:fldCharType="end"/>
        </w:r>
      </w:hyperlink>
    </w:p>
    <w:p w14:paraId="68637842" w14:textId="5106566C" w:rsidR="00CF204C" w:rsidRPr="001D6F3C" w:rsidRDefault="0024204C" w:rsidP="00A60862">
      <w:pPr>
        <w:pStyle w:val="TOCHeading"/>
        <w:jc w:val="both"/>
        <w:rPr>
          <w:rFonts w:ascii="Corbel" w:hAnsi="Corbel"/>
          <w:sz w:val="24"/>
          <w:szCs w:val="24"/>
        </w:rPr>
      </w:pPr>
      <w:r w:rsidRPr="001D6F3C">
        <w:rPr>
          <w:rStyle w:val="Heading2Char"/>
          <w:rFonts w:ascii="Corbel" w:hAnsi="Corbel"/>
        </w:rPr>
        <w:fldChar w:fldCharType="end"/>
      </w:r>
      <w:r w:rsidR="00CF204C" w:rsidRPr="001D6F3C">
        <w:rPr>
          <w:rFonts w:ascii="Corbel" w:hAnsi="Corbel"/>
          <w:sz w:val="24"/>
          <w:szCs w:val="24"/>
        </w:rPr>
        <w:t>List of Figures</w:t>
      </w:r>
    </w:p>
    <w:p w14:paraId="087F0456" w14:textId="03F96249" w:rsidR="00AD2CCE" w:rsidRPr="001D6F3C" w:rsidRDefault="00CF204C">
      <w:pPr>
        <w:pStyle w:val="TableofFigures"/>
        <w:tabs>
          <w:tab w:val="right" w:leader="dot" w:pos="9016"/>
        </w:tabs>
        <w:rPr>
          <w:noProof/>
          <w:kern w:val="2"/>
          <w:lang w:eastAsia="en-NZ"/>
          <w14:ligatures w14:val="standardContextual"/>
        </w:rPr>
      </w:pPr>
      <w:r w:rsidRPr="001D6F3C">
        <w:rPr>
          <w:rStyle w:val="Heading2Char"/>
          <w:rFonts w:ascii="Corbel" w:hAnsi="Corbel"/>
        </w:rPr>
        <w:fldChar w:fldCharType="begin"/>
      </w:r>
      <w:r w:rsidRPr="001D6F3C">
        <w:rPr>
          <w:rStyle w:val="Heading2Char"/>
          <w:rFonts w:ascii="Corbel" w:hAnsi="Corbel"/>
        </w:rPr>
        <w:instrText xml:space="preserve"> TOC \h \z \c "Figure" </w:instrText>
      </w:r>
      <w:r w:rsidRPr="001D6F3C">
        <w:rPr>
          <w:rStyle w:val="Heading2Char"/>
          <w:rFonts w:ascii="Corbel" w:hAnsi="Corbel"/>
        </w:rPr>
        <w:fldChar w:fldCharType="separate"/>
      </w:r>
      <w:hyperlink w:anchor="_Toc203142261" w:history="1">
        <w:r w:rsidR="00AD2CCE" w:rsidRPr="001D6F3C">
          <w:rPr>
            <w:rStyle w:val="Hyperlink"/>
            <w:rFonts w:ascii="Corbel" w:hAnsi="Corbel"/>
            <w:noProof/>
          </w:rPr>
          <w:t>Figure 1: Stats NZ Population Projections</w:t>
        </w:r>
        <w:r w:rsidR="00AD2CCE" w:rsidRPr="001D6F3C">
          <w:rPr>
            <w:noProof/>
            <w:webHidden/>
          </w:rPr>
          <w:tab/>
        </w:r>
        <w:r w:rsidR="00AD2CCE" w:rsidRPr="001D6F3C">
          <w:rPr>
            <w:noProof/>
            <w:webHidden/>
          </w:rPr>
          <w:fldChar w:fldCharType="begin"/>
        </w:r>
        <w:r w:rsidR="00AD2CCE" w:rsidRPr="001D6F3C">
          <w:rPr>
            <w:noProof/>
            <w:webHidden/>
          </w:rPr>
          <w:instrText xml:space="preserve"> PAGEREF _Toc203142261 \h </w:instrText>
        </w:r>
        <w:r w:rsidR="00AD2CCE" w:rsidRPr="001D6F3C">
          <w:rPr>
            <w:noProof/>
            <w:webHidden/>
          </w:rPr>
        </w:r>
        <w:r w:rsidR="00AD2CCE" w:rsidRPr="001D6F3C">
          <w:rPr>
            <w:noProof/>
            <w:webHidden/>
          </w:rPr>
          <w:fldChar w:fldCharType="separate"/>
        </w:r>
        <w:r w:rsidR="00AD2CCE" w:rsidRPr="001D6F3C">
          <w:rPr>
            <w:noProof/>
            <w:webHidden/>
          </w:rPr>
          <w:t>15</w:t>
        </w:r>
        <w:r w:rsidR="00AD2CCE" w:rsidRPr="001D6F3C">
          <w:rPr>
            <w:noProof/>
            <w:webHidden/>
          </w:rPr>
          <w:fldChar w:fldCharType="end"/>
        </w:r>
      </w:hyperlink>
    </w:p>
    <w:p w14:paraId="0BD60C25" w14:textId="551AEF1F" w:rsidR="00AD2CCE" w:rsidRPr="001D6F3C" w:rsidRDefault="00AD2CCE">
      <w:pPr>
        <w:pStyle w:val="TableofFigures"/>
        <w:tabs>
          <w:tab w:val="right" w:leader="dot" w:pos="9016"/>
        </w:tabs>
        <w:rPr>
          <w:noProof/>
          <w:kern w:val="2"/>
          <w:lang w:eastAsia="en-NZ"/>
          <w14:ligatures w14:val="standardContextual"/>
        </w:rPr>
      </w:pPr>
      <w:hyperlink w:anchor="_Toc203142262" w:history="1">
        <w:r w:rsidRPr="001D6F3C">
          <w:rPr>
            <w:rStyle w:val="Hyperlink"/>
            <w:noProof/>
          </w:rPr>
          <w:t>Figure 2: Population Projections –</w:t>
        </w:r>
        <w:r w:rsidRPr="001D6F3C">
          <w:rPr>
            <w:noProof/>
            <w:webHidden/>
          </w:rPr>
          <w:tab/>
        </w:r>
        <w:r w:rsidRPr="001D6F3C">
          <w:rPr>
            <w:noProof/>
            <w:webHidden/>
          </w:rPr>
          <w:fldChar w:fldCharType="begin"/>
        </w:r>
        <w:r w:rsidRPr="001D6F3C">
          <w:rPr>
            <w:noProof/>
            <w:webHidden/>
          </w:rPr>
          <w:instrText xml:space="preserve"> PAGEREF _Toc203142262 \h </w:instrText>
        </w:r>
        <w:r w:rsidRPr="001D6F3C">
          <w:rPr>
            <w:noProof/>
            <w:webHidden/>
          </w:rPr>
        </w:r>
        <w:r w:rsidRPr="001D6F3C">
          <w:rPr>
            <w:noProof/>
            <w:webHidden/>
          </w:rPr>
          <w:fldChar w:fldCharType="separate"/>
        </w:r>
        <w:r w:rsidRPr="001D6F3C">
          <w:rPr>
            <w:noProof/>
            <w:webHidden/>
          </w:rPr>
          <w:t>16</w:t>
        </w:r>
        <w:r w:rsidRPr="001D6F3C">
          <w:rPr>
            <w:noProof/>
            <w:webHidden/>
          </w:rPr>
          <w:fldChar w:fldCharType="end"/>
        </w:r>
      </w:hyperlink>
    </w:p>
    <w:p w14:paraId="2D9CA40F" w14:textId="092B5266" w:rsidR="00AD2CCE" w:rsidRPr="001D6F3C" w:rsidRDefault="00AD2CCE">
      <w:pPr>
        <w:pStyle w:val="TableofFigures"/>
        <w:tabs>
          <w:tab w:val="right" w:leader="dot" w:pos="9016"/>
        </w:tabs>
        <w:rPr>
          <w:noProof/>
          <w:kern w:val="2"/>
          <w:lang w:eastAsia="en-NZ"/>
          <w14:ligatures w14:val="standardContextual"/>
        </w:rPr>
      </w:pPr>
      <w:hyperlink w:anchor="_Toc203142263" w:history="1">
        <w:r w:rsidRPr="001D6F3C">
          <w:rPr>
            <w:rStyle w:val="Hyperlink"/>
            <w:noProof/>
          </w:rPr>
          <w:t>Figure 3 – increase in number of older people in  each TA (2023-2048)</w:t>
        </w:r>
        <w:r w:rsidRPr="001D6F3C">
          <w:rPr>
            <w:noProof/>
            <w:webHidden/>
          </w:rPr>
          <w:tab/>
        </w:r>
        <w:r w:rsidRPr="001D6F3C">
          <w:rPr>
            <w:noProof/>
            <w:webHidden/>
          </w:rPr>
          <w:fldChar w:fldCharType="begin"/>
        </w:r>
        <w:r w:rsidRPr="001D6F3C">
          <w:rPr>
            <w:noProof/>
            <w:webHidden/>
          </w:rPr>
          <w:instrText xml:space="preserve"> PAGEREF _Toc203142263 \h </w:instrText>
        </w:r>
        <w:r w:rsidRPr="001D6F3C">
          <w:rPr>
            <w:noProof/>
            <w:webHidden/>
          </w:rPr>
        </w:r>
        <w:r w:rsidRPr="001D6F3C">
          <w:rPr>
            <w:noProof/>
            <w:webHidden/>
          </w:rPr>
          <w:fldChar w:fldCharType="separate"/>
        </w:r>
        <w:r w:rsidRPr="001D6F3C">
          <w:rPr>
            <w:noProof/>
            <w:webHidden/>
          </w:rPr>
          <w:t>16</w:t>
        </w:r>
        <w:r w:rsidRPr="001D6F3C">
          <w:rPr>
            <w:noProof/>
            <w:webHidden/>
          </w:rPr>
          <w:fldChar w:fldCharType="end"/>
        </w:r>
      </w:hyperlink>
    </w:p>
    <w:p w14:paraId="6D4EAB43" w14:textId="3E6C1228" w:rsidR="00AD2CCE" w:rsidRPr="001D6F3C" w:rsidRDefault="00AD2CCE">
      <w:pPr>
        <w:pStyle w:val="TableofFigures"/>
        <w:tabs>
          <w:tab w:val="right" w:leader="dot" w:pos="9016"/>
        </w:tabs>
        <w:rPr>
          <w:noProof/>
          <w:kern w:val="2"/>
          <w:lang w:eastAsia="en-NZ"/>
          <w14:ligatures w14:val="standardContextual"/>
        </w:rPr>
      </w:pPr>
      <w:hyperlink w:anchor="_Toc203142264" w:history="1">
        <w:r w:rsidRPr="001D6F3C">
          <w:rPr>
            <w:rStyle w:val="Hyperlink"/>
            <w:noProof/>
          </w:rPr>
          <w:t>Figure 4 - Proportion of older people in each TA (2048)</w:t>
        </w:r>
        <w:r w:rsidRPr="001D6F3C">
          <w:rPr>
            <w:noProof/>
            <w:webHidden/>
          </w:rPr>
          <w:tab/>
        </w:r>
        <w:r w:rsidRPr="001D6F3C">
          <w:rPr>
            <w:noProof/>
            <w:webHidden/>
          </w:rPr>
          <w:fldChar w:fldCharType="begin"/>
        </w:r>
        <w:r w:rsidRPr="001D6F3C">
          <w:rPr>
            <w:noProof/>
            <w:webHidden/>
          </w:rPr>
          <w:instrText xml:space="preserve"> PAGEREF _Toc203142264 \h </w:instrText>
        </w:r>
        <w:r w:rsidRPr="001D6F3C">
          <w:rPr>
            <w:noProof/>
            <w:webHidden/>
          </w:rPr>
        </w:r>
        <w:r w:rsidRPr="001D6F3C">
          <w:rPr>
            <w:noProof/>
            <w:webHidden/>
          </w:rPr>
          <w:fldChar w:fldCharType="separate"/>
        </w:r>
        <w:r w:rsidRPr="001D6F3C">
          <w:rPr>
            <w:noProof/>
            <w:webHidden/>
          </w:rPr>
          <w:t>17</w:t>
        </w:r>
        <w:r w:rsidRPr="001D6F3C">
          <w:rPr>
            <w:noProof/>
            <w:webHidden/>
          </w:rPr>
          <w:fldChar w:fldCharType="end"/>
        </w:r>
      </w:hyperlink>
    </w:p>
    <w:p w14:paraId="7E0D250B" w14:textId="5D1267CE" w:rsidR="00AD2CCE" w:rsidRPr="001D6F3C" w:rsidRDefault="00AD2CCE">
      <w:pPr>
        <w:pStyle w:val="TableofFigures"/>
        <w:tabs>
          <w:tab w:val="right" w:leader="dot" w:pos="9016"/>
        </w:tabs>
        <w:rPr>
          <w:noProof/>
          <w:kern w:val="2"/>
          <w:lang w:eastAsia="en-NZ"/>
          <w14:ligatures w14:val="standardContextual"/>
        </w:rPr>
      </w:pPr>
      <w:hyperlink w:anchor="_Toc203142265" w:history="1">
        <w:r w:rsidRPr="001D6F3C">
          <w:rPr>
            <w:rStyle w:val="Hyperlink"/>
            <w:rFonts w:ascii="Corbel" w:hAnsi="Corbel"/>
            <w:noProof/>
          </w:rPr>
          <w:t>Figure 5 – Projected Geographical distribution of Māori older people (65+) in 2048</w:t>
        </w:r>
        <w:r w:rsidRPr="001D6F3C">
          <w:rPr>
            <w:noProof/>
            <w:webHidden/>
          </w:rPr>
          <w:tab/>
        </w:r>
        <w:r w:rsidRPr="001D6F3C">
          <w:rPr>
            <w:noProof/>
            <w:webHidden/>
          </w:rPr>
          <w:fldChar w:fldCharType="begin"/>
        </w:r>
        <w:r w:rsidRPr="001D6F3C">
          <w:rPr>
            <w:noProof/>
            <w:webHidden/>
          </w:rPr>
          <w:instrText xml:space="preserve"> PAGEREF _Toc203142265 \h </w:instrText>
        </w:r>
        <w:r w:rsidRPr="001D6F3C">
          <w:rPr>
            <w:noProof/>
            <w:webHidden/>
          </w:rPr>
        </w:r>
        <w:r w:rsidRPr="001D6F3C">
          <w:rPr>
            <w:noProof/>
            <w:webHidden/>
          </w:rPr>
          <w:fldChar w:fldCharType="separate"/>
        </w:r>
        <w:r w:rsidRPr="001D6F3C">
          <w:rPr>
            <w:noProof/>
            <w:webHidden/>
          </w:rPr>
          <w:t>19</w:t>
        </w:r>
        <w:r w:rsidRPr="001D6F3C">
          <w:rPr>
            <w:noProof/>
            <w:webHidden/>
          </w:rPr>
          <w:fldChar w:fldCharType="end"/>
        </w:r>
      </w:hyperlink>
    </w:p>
    <w:p w14:paraId="59531300" w14:textId="561FC648" w:rsidR="00AD2CCE" w:rsidRPr="001D6F3C" w:rsidRDefault="00AD2CCE">
      <w:pPr>
        <w:pStyle w:val="TableofFigures"/>
        <w:tabs>
          <w:tab w:val="right" w:leader="dot" w:pos="9016"/>
        </w:tabs>
        <w:rPr>
          <w:noProof/>
          <w:kern w:val="2"/>
          <w:lang w:eastAsia="en-NZ"/>
          <w14:ligatures w14:val="standardContextual"/>
        </w:rPr>
      </w:pPr>
      <w:hyperlink w:anchor="_Toc203142266" w:history="1">
        <w:r w:rsidRPr="001D6F3C">
          <w:rPr>
            <w:rStyle w:val="Hyperlink"/>
            <w:rFonts w:ascii="Corbel" w:hAnsi="Corbel"/>
            <w:noProof/>
          </w:rPr>
          <w:t>Figure 6 - Projected Geographical distribution of European older people (65+) in 2048</w:t>
        </w:r>
        <w:r w:rsidRPr="001D6F3C">
          <w:rPr>
            <w:noProof/>
            <w:webHidden/>
          </w:rPr>
          <w:tab/>
        </w:r>
        <w:r w:rsidRPr="001D6F3C">
          <w:rPr>
            <w:noProof/>
            <w:webHidden/>
          </w:rPr>
          <w:fldChar w:fldCharType="begin"/>
        </w:r>
        <w:r w:rsidRPr="001D6F3C">
          <w:rPr>
            <w:noProof/>
            <w:webHidden/>
          </w:rPr>
          <w:instrText xml:space="preserve"> PAGEREF _Toc203142266 \h </w:instrText>
        </w:r>
        <w:r w:rsidRPr="001D6F3C">
          <w:rPr>
            <w:noProof/>
            <w:webHidden/>
          </w:rPr>
        </w:r>
        <w:r w:rsidRPr="001D6F3C">
          <w:rPr>
            <w:noProof/>
            <w:webHidden/>
          </w:rPr>
          <w:fldChar w:fldCharType="separate"/>
        </w:r>
        <w:r w:rsidRPr="001D6F3C">
          <w:rPr>
            <w:noProof/>
            <w:webHidden/>
          </w:rPr>
          <w:t>19</w:t>
        </w:r>
        <w:r w:rsidRPr="001D6F3C">
          <w:rPr>
            <w:noProof/>
            <w:webHidden/>
          </w:rPr>
          <w:fldChar w:fldCharType="end"/>
        </w:r>
      </w:hyperlink>
    </w:p>
    <w:p w14:paraId="630CD884" w14:textId="49CAD9C1" w:rsidR="00AD2CCE" w:rsidRPr="001D6F3C" w:rsidRDefault="00AD2CCE">
      <w:pPr>
        <w:pStyle w:val="TableofFigures"/>
        <w:tabs>
          <w:tab w:val="right" w:leader="dot" w:pos="9016"/>
        </w:tabs>
        <w:rPr>
          <w:noProof/>
          <w:kern w:val="2"/>
          <w:lang w:eastAsia="en-NZ"/>
          <w14:ligatures w14:val="standardContextual"/>
        </w:rPr>
      </w:pPr>
      <w:hyperlink w:anchor="_Toc203142267" w:history="1">
        <w:r w:rsidRPr="001D6F3C">
          <w:rPr>
            <w:rStyle w:val="Hyperlink"/>
            <w:rFonts w:ascii="Corbel" w:hAnsi="Corbel"/>
            <w:noProof/>
          </w:rPr>
          <w:t>Figure 7 - Projected Geographical distribution of Asian older people (65+) in 2048</w:t>
        </w:r>
        <w:r w:rsidRPr="001D6F3C">
          <w:rPr>
            <w:noProof/>
            <w:webHidden/>
          </w:rPr>
          <w:tab/>
        </w:r>
        <w:r w:rsidRPr="001D6F3C">
          <w:rPr>
            <w:noProof/>
            <w:webHidden/>
          </w:rPr>
          <w:fldChar w:fldCharType="begin"/>
        </w:r>
        <w:r w:rsidRPr="001D6F3C">
          <w:rPr>
            <w:noProof/>
            <w:webHidden/>
          </w:rPr>
          <w:instrText xml:space="preserve"> PAGEREF _Toc203142267 \h </w:instrText>
        </w:r>
        <w:r w:rsidRPr="001D6F3C">
          <w:rPr>
            <w:noProof/>
            <w:webHidden/>
          </w:rPr>
        </w:r>
        <w:r w:rsidRPr="001D6F3C">
          <w:rPr>
            <w:noProof/>
            <w:webHidden/>
          </w:rPr>
          <w:fldChar w:fldCharType="separate"/>
        </w:r>
        <w:r w:rsidRPr="001D6F3C">
          <w:rPr>
            <w:noProof/>
            <w:webHidden/>
          </w:rPr>
          <w:t>19</w:t>
        </w:r>
        <w:r w:rsidRPr="001D6F3C">
          <w:rPr>
            <w:noProof/>
            <w:webHidden/>
          </w:rPr>
          <w:fldChar w:fldCharType="end"/>
        </w:r>
      </w:hyperlink>
    </w:p>
    <w:p w14:paraId="7EDB20E8" w14:textId="50D7B8B0" w:rsidR="00AD2CCE" w:rsidRPr="001D6F3C" w:rsidRDefault="00AD2CCE">
      <w:pPr>
        <w:pStyle w:val="TableofFigures"/>
        <w:tabs>
          <w:tab w:val="right" w:leader="dot" w:pos="9016"/>
        </w:tabs>
        <w:rPr>
          <w:noProof/>
          <w:kern w:val="2"/>
          <w:lang w:eastAsia="en-NZ"/>
          <w14:ligatures w14:val="standardContextual"/>
        </w:rPr>
      </w:pPr>
      <w:hyperlink w:anchor="_Toc203142268" w:history="1">
        <w:r w:rsidRPr="001D6F3C">
          <w:rPr>
            <w:rStyle w:val="Hyperlink"/>
            <w:rFonts w:ascii="Corbel" w:hAnsi="Corbel"/>
            <w:noProof/>
          </w:rPr>
          <w:t>Figure 8 - Projected Geographical distribution of Pacific older people (65+) in 2048</w:t>
        </w:r>
        <w:r w:rsidRPr="001D6F3C">
          <w:rPr>
            <w:noProof/>
            <w:webHidden/>
          </w:rPr>
          <w:tab/>
        </w:r>
        <w:r w:rsidRPr="001D6F3C">
          <w:rPr>
            <w:noProof/>
            <w:webHidden/>
          </w:rPr>
          <w:fldChar w:fldCharType="begin"/>
        </w:r>
        <w:r w:rsidRPr="001D6F3C">
          <w:rPr>
            <w:noProof/>
            <w:webHidden/>
          </w:rPr>
          <w:instrText xml:space="preserve"> PAGEREF _Toc203142268 \h </w:instrText>
        </w:r>
        <w:r w:rsidRPr="001D6F3C">
          <w:rPr>
            <w:noProof/>
            <w:webHidden/>
          </w:rPr>
        </w:r>
        <w:r w:rsidRPr="001D6F3C">
          <w:rPr>
            <w:noProof/>
            <w:webHidden/>
          </w:rPr>
          <w:fldChar w:fldCharType="separate"/>
        </w:r>
        <w:r w:rsidRPr="001D6F3C">
          <w:rPr>
            <w:noProof/>
            <w:webHidden/>
          </w:rPr>
          <w:t>19</w:t>
        </w:r>
        <w:r w:rsidRPr="001D6F3C">
          <w:rPr>
            <w:noProof/>
            <w:webHidden/>
          </w:rPr>
          <w:fldChar w:fldCharType="end"/>
        </w:r>
      </w:hyperlink>
    </w:p>
    <w:p w14:paraId="378A6622" w14:textId="06BB2768" w:rsidR="00AD2CCE" w:rsidRPr="001D6F3C" w:rsidRDefault="00AD2CCE">
      <w:pPr>
        <w:pStyle w:val="TableofFigures"/>
        <w:tabs>
          <w:tab w:val="right" w:leader="dot" w:pos="9016"/>
        </w:tabs>
        <w:rPr>
          <w:noProof/>
          <w:kern w:val="2"/>
          <w:lang w:eastAsia="en-NZ"/>
          <w14:ligatures w14:val="standardContextual"/>
        </w:rPr>
      </w:pPr>
      <w:hyperlink w:anchor="_Toc203142269" w:history="1">
        <w:r w:rsidRPr="001D6F3C">
          <w:rPr>
            <w:rStyle w:val="Hyperlink"/>
            <w:rFonts w:ascii="Corbel" w:hAnsi="Corbel"/>
            <w:noProof/>
          </w:rPr>
          <w:t>Figure 9 - Poverty and broader disadvantage</w:t>
        </w:r>
        <w:r w:rsidRPr="001D6F3C">
          <w:rPr>
            <w:noProof/>
            <w:webHidden/>
          </w:rPr>
          <w:tab/>
        </w:r>
        <w:r w:rsidRPr="001D6F3C">
          <w:rPr>
            <w:noProof/>
            <w:webHidden/>
          </w:rPr>
          <w:fldChar w:fldCharType="begin"/>
        </w:r>
        <w:r w:rsidRPr="001D6F3C">
          <w:rPr>
            <w:noProof/>
            <w:webHidden/>
          </w:rPr>
          <w:instrText xml:space="preserve"> PAGEREF _Toc203142269 \h </w:instrText>
        </w:r>
        <w:r w:rsidRPr="001D6F3C">
          <w:rPr>
            <w:noProof/>
            <w:webHidden/>
          </w:rPr>
        </w:r>
        <w:r w:rsidRPr="001D6F3C">
          <w:rPr>
            <w:noProof/>
            <w:webHidden/>
          </w:rPr>
          <w:fldChar w:fldCharType="separate"/>
        </w:r>
        <w:r w:rsidRPr="001D6F3C">
          <w:rPr>
            <w:noProof/>
            <w:webHidden/>
          </w:rPr>
          <w:t>21</w:t>
        </w:r>
        <w:r w:rsidRPr="001D6F3C">
          <w:rPr>
            <w:noProof/>
            <w:webHidden/>
          </w:rPr>
          <w:fldChar w:fldCharType="end"/>
        </w:r>
      </w:hyperlink>
    </w:p>
    <w:p w14:paraId="537CF7F3" w14:textId="746A73ED" w:rsidR="00AD2CCE" w:rsidRPr="001D6F3C" w:rsidRDefault="00AD2CCE">
      <w:pPr>
        <w:pStyle w:val="TableofFigures"/>
        <w:tabs>
          <w:tab w:val="right" w:leader="dot" w:pos="9016"/>
        </w:tabs>
        <w:rPr>
          <w:noProof/>
          <w:kern w:val="2"/>
          <w:lang w:eastAsia="en-NZ"/>
          <w14:ligatures w14:val="standardContextual"/>
        </w:rPr>
      </w:pPr>
      <w:hyperlink w:anchor="_Toc203142270" w:history="1">
        <w:r w:rsidRPr="001D6F3C">
          <w:rPr>
            <w:rStyle w:val="Hyperlink"/>
            <w:rFonts w:ascii="Corbel" w:hAnsi="Corbel"/>
            <w:noProof/>
          </w:rPr>
          <w:t>Figure 10 - domains of (multiple) disadvantage</w:t>
        </w:r>
        <w:r w:rsidRPr="001D6F3C">
          <w:rPr>
            <w:noProof/>
            <w:webHidden/>
          </w:rPr>
          <w:tab/>
        </w:r>
        <w:r w:rsidRPr="001D6F3C">
          <w:rPr>
            <w:noProof/>
            <w:webHidden/>
          </w:rPr>
          <w:fldChar w:fldCharType="begin"/>
        </w:r>
        <w:r w:rsidRPr="001D6F3C">
          <w:rPr>
            <w:noProof/>
            <w:webHidden/>
          </w:rPr>
          <w:instrText xml:space="preserve"> PAGEREF _Toc203142270 \h </w:instrText>
        </w:r>
        <w:r w:rsidRPr="001D6F3C">
          <w:rPr>
            <w:noProof/>
            <w:webHidden/>
          </w:rPr>
        </w:r>
        <w:r w:rsidRPr="001D6F3C">
          <w:rPr>
            <w:noProof/>
            <w:webHidden/>
          </w:rPr>
          <w:fldChar w:fldCharType="separate"/>
        </w:r>
        <w:r w:rsidRPr="001D6F3C">
          <w:rPr>
            <w:noProof/>
            <w:webHidden/>
          </w:rPr>
          <w:t>22</w:t>
        </w:r>
        <w:r w:rsidRPr="001D6F3C">
          <w:rPr>
            <w:noProof/>
            <w:webHidden/>
          </w:rPr>
          <w:fldChar w:fldCharType="end"/>
        </w:r>
      </w:hyperlink>
    </w:p>
    <w:p w14:paraId="7C40F7B2" w14:textId="3EF9C253" w:rsidR="00AD2CCE" w:rsidRPr="001D6F3C" w:rsidRDefault="00AD2CCE">
      <w:pPr>
        <w:pStyle w:val="TableofFigures"/>
        <w:tabs>
          <w:tab w:val="right" w:leader="dot" w:pos="9016"/>
        </w:tabs>
        <w:rPr>
          <w:noProof/>
          <w:kern w:val="2"/>
          <w:lang w:eastAsia="en-NZ"/>
          <w14:ligatures w14:val="standardContextual"/>
        </w:rPr>
      </w:pPr>
      <w:hyperlink w:anchor="_Toc203142271" w:history="1">
        <w:r w:rsidRPr="001D6F3C">
          <w:rPr>
            <w:rStyle w:val="Hyperlink"/>
            <w:rFonts w:ascii="Corbel" w:hAnsi="Corbel"/>
            <w:noProof/>
          </w:rPr>
          <w:t>Figure 11 - After-housing-cost poverty for 65+ (50% median, Moving Line)</w:t>
        </w:r>
        <w:r w:rsidRPr="001D6F3C">
          <w:rPr>
            <w:noProof/>
            <w:webHidden/>
          </w:rPr>
          <w:tab/>
        </w:r>
        <w:r w:rsidRPr="001D6F3C">
          <w:rPr>
            <w:noProof/>
            <w:webHidden/>
          </w:rPr>
          <w:fldChar w:fldCharType="begin"/>
        </w:r>
        <w:r w:rsidRPr="001D6F3C">
          <w:rPr>
            <w:noProof/>
            <w:webHidden/>
          </w:rPr>
          <w:instrText xml:space="preserve"> PAGEREF _Toc203142271 \h </w:instrText>
        </w:r>
        <w:r w:rsidRPr="001D6F3C">
          <w:rPr>
            <w:noProof/>
            <w:webHidden/>
          </w:rPr>
        </w:r>
        <w:r w:rsidRPr="001D6F3C">
          <w:rPr>
            <w:noProof/>
            <w:webHidden/>
          </w:rPr>
          <w:fldChar w:fldCharType="separate"/>
        </w:r>
        <w:r w:rsidRPr="001D6F3C">
          <w:rPr>
            <w:noProof/>
            <w:webHidden/>
          </w:rPr>
          <w:t>23</w:t>
        </w:r>
        <w:r w:rsidRPr="001D6F3C">
          <w:rPr>
            <w:noProof/>
            <w:webHidden/>
          </w:rPr>
          <w:fldChar w:fldCharType="end"/>
        </w:r>
      </w:hyperlink>
    </w:p>
    <w:p w14:paraId="636B605F" w14:textId="31D885AB" w:rsidR="00AD2CCE" w:rsidRPr="001D6F3C" w:rsidRDefault="00AD2CCE">
      <w:pPr>
        <w:pStyle w:val="TableofFigures"/>
        <w:tabs>
          <w:tab w:val="right" w:leader="dot" w:pos="9016"/>
        </w:tabs>
        <w:rPr>
          <w:noProof/>
          <w:kern w:val="2"/>
          <w:lang w:eastAsia="en-NZ"/>
          <w14:ligatures w14:val="standardContextual"/>
        </w:rPr>
      </w:pPr>
      <w:hyperlink w:anchor="_Toc203142272" w:history="1">
        <w:r w:rsidRPr="001D6F3C">
          <w:rPr>
            <w:rStyle w:val="Hyperlink"/>
            <w:rFonts w:ascii="Corbel" w:hAnsi="Corbel"/>
            <w:noProof/>
          </w:rPr>
          <w:t>Figure 12 - After-housing-cost poverty for 65+ (50% median, fixed line)</w:t>
        </w:r>
        <w:r w:rsidRPr="001D6F3C">
          <w:rPr>
            <w:noProof/>
            <w:webHidden/>
          </w:rPr>
          <w:tab/>
        </w:r>
        <w:r w:rsidRPr="001D6F3C">
          <w:rPr>
            <w:noProof/>
            <w:webHidden/>
          </w:rPr>
          <w:fldChar w:fldCharType="begin"/>
        </w:r>
        <w:r w:rsidRPr="001D6F3C">
          <w:rPr>
            <w:noProof/>
            <w:webHidden/>
          </w:rPr>
          <w:instrText xml:space="preserve"> PAGEREF _Toc203142272 \h </w:instrText>
        </w:r>
        <w:r w:rsidRPr="001D6F3C">
          <w:rPr>
            <w:noProof/>
            <w:webHidden/>
          </w:rPr>
        </w:r>
        <w:r w:rsidRPr="001D6F3C">
          <w:rPr>
            <w:noProof/>
            <w:webHidden/>
          </w:rPr>
          <w:fldChar w:fldCharType="separate"/>
        </w:r>
        <w:r w:rsidRPr="001D6F3C">
          <w:rPr>
            <w:noProof/>
            <w:webHidden/>
          </w:rPr>
          <w:t>23</w:t>
        </w:r>
        <w:r w:rsidRPr="001D6F3C">
          <w:rPr>
            <w:noProof/>
            <w:webHidden/>
          </w:rPr>
          <w:fldChar w:fldCharType="end"/>
        </w:r>
      </w:hyperlink>
    </w:p>
    <w:p w14:paraId="295D0E54" w14:textId="768692D8" w:rsidR="00AD2CCE" w:rsidRPr="001D6F3C" w:rsidRDefault="00AD2CCE">
      <w:pPr>
        <w:pStyle w:val="TableofFigures"/>
        <w:tabs>
          <w:tab w:val="right" w:leader="dot" w:pos="9016"/>
        </w:tabs>
        <w:rPr>
          <w:noProof/>
          <w:kern w:val="2"/>
          <w:lang w:eastAsia="en-NZ"/>
          <w14:ligatures w14:val="standardContextual"/>
        </w:rPr>
      </w:pPr>
      <w:hyperlink w:anchor="_Toc203142273" w:history="1">
        <w:r w:rsidRPr="001D6F3C">
          <w:rPr>
            <w:rStyle w:val="Hyperlink"/>
            <w:rFonts w:ascii="Corbel" w:hAnsi="Corbel"/>
            <w:noProof/>
          </w:rPr>
          <w:t>Figure 13 - Material hardship trends by age (6+ on Dep-17)</w:t>
        </w:r>
        <w:r w:rsidRPr="001D6F3C">
          <w:rPr>
            <w:noProof/>
            <w:webHidden/>
          </w:rPr>
          <w:tab/>
        </w:r>
        <w:r w:rsidRPr="001D6F3C">
          <w:rPr>
            <w:noProof/>
            <w:webHidden/>
          </w:rPr>
          <w:fldChar w:fldCharType="begin"/>
        </w:r>
        <w:r w:rsidRPr="001D6F3C">
          <w:rPr>
            <w:noProof/>
            <w:webHidden/>
          </w:rPr>
          <w:instrText xml:space="preserve"> PAGEREF _Toc203142273 \h </w:instrText>
        </w:r>
        <w:r w:rsidRPr="001D6F3C">
          <w:rPr>
            <w:noProof/>
            <w:webHidden/>
          </w:rPr>
        </w:r>
        <w:r w:rsidRPr="001D6F3C">
          <w:rPr>
            <w:noProof/>
            <w:webHidden/>
          </w:rPr>
          <w:fldChar w:fldCharType="separate"/>
        </w:r>
        <w:r w:rsidRPr="001D6F3C">
          <w:rPr>
            <w:noProof/>
            <w:webHidden/>
          </w:rPr>
          <w:t>24</w:t>
        </w:r>
        <w:r w:rsidRPr="001D6F3C">
          <w:rPr>
            <w:noProof/>
            <w:webHidden/>
          </w:rPr>
          <w:fldChar w:fldCharType="end"/>
        </w:r>
      </w:hyperlink>
    </w:p>
    <w:p w14:paraId="71FB82FB" w14:textId="006B82E2" w:rsidR="00AD2CCE" w:rsidRPr="001D6F3C" w:rsidRDefault="00AD2CCE">
      <w:pPr>
        <w:pStyle w:val="TableofFigures"/>
        <w:tabs>
          <w:tab w:val="right" w:leader="dot" w:pos="9016"/>
        </w:tabs>
        <w:rPr>
          <w:noProof/>
          <w:kern w:val="2"/>
          <w:lang w:eastAsia="en-NZ"/>
          <w14:ligatures w14:val="standardContextual"/>
        </w:rPr>
      </w:pPr>
      <w:hyperlink w:anchor="_Toc203142274" w:history="1">
        <w:r w:rsidRPr="001D6F3C">
          <w:rPr>
            <w:rStyle w:val="Hyperlink"/>
            <w:rFonts w:ascii="Corbel" w:hAnsi="Corbel"/>
            <w:noProof/>
          </w:rPr>
          <w:t>Figure 14 – % of households within six material wellbeing bands: by age group</w:t>
        </w:r>
        <w:r w:rsidRPr="001D6F3C">
          <w:rPr>
            <w:noProof/>
            <w:webHidden/>
          </w:rPr>
          <w:tab/>
        </w:r>
        <w:r w:rsidRPr="001D6F3C">
          <w:rPr>
            <w:noProof/>
            <w:webHidden/>
          </w:rPr>
          <w:fldChar w:fldCharType="begin"/>
        </w:r>
        <w:r w:rsidRPr="001D6F3C">
          <w:rPr>
            <w:noProof/>
            <w:webHidden/>
          </w:rPr>
          <w:instrText xml:space="preserve"> PAGEREF _Toc203142274 \h </w:instrText>
        </w:r>
        <w:r w:rsidRPr="001D6F3C">
          <w:rPr>
            <w:noProof/>
            <w:webHidden/>
          </w:rPr>
        </w:r>
        <w:r w:rsidRPr="001D6F3C">
          <w:rPr>
            <w:noProof/>
            <w:webHidden/>
          </w:rPr>
          <w:fldChar w:fldCharType="separate"/>
        </w:r>
        <w:r w:rsidRPr="001D6F3C">
          <w:rPr>
            <w:noProof/>
            <w:webHidden/>
          </w:rPr>
          <w:t>25</w:t>
        </w:r>
        <w:r w:rsidRPr="001D6F3C">
          <w:rPr>
            <w:noProof/>
            <w:webHidden/>
          </w:rPr>
          <w:fldChar w:fldCharType="end"/>
        </w:r>
      </w:hyperlink>
    </w:p>
    <w:p w14:paraId="58DCC88D" w14:textId="200FFDFC" w:rsidR="00AD2CCE" w:rsidRPr="001D6F3C" w:rsidRDefault="00AD2CCE">
      <w:pPr>
        <w:pStyle w:val="TableofFigures"/>
        <w:tabs>
          <w:tab w:val="right" w:leader="dot" w:pos="9016"/>
        </w:tabs>
        <w:rPr>
          <w:noProof/>
          <w:kern w:val="2"/>
          <w:lang w:eastAsia="en-NZ"/>
          <w14:ligatures w14:val="standardContextual"/>
        </w:rPr>
      </w:pPr>
      <w:hyperlink w:anchor="_Toc203142275" w:history="1">
        <w:r w:rsidRPr="001D6F3C">
          <w:rPr>
            <w:rStyle w:val="Hyperlink"/>
            <w:rFonts w:ascii="Corbel" w:hAnsi="Corbel"/>
            <w:noProof/>
          </w:rPr>
          <w:t>Figure 15 - % of households within six material wellbeing bands - by household type</w:t>
        </w:r>
        <w:r w:rsidRPr="001D6F3C">
          <w:rPr>
            <w:noProof/>
            <w:webHidden/>
          </w:rPr>
          <w:tab/>
        </w:r>
        <w:r w:rsidRPr="001D6F3C">
          <w:rPr>
            <w:noProof/>
            <w:webHidden/>
          </w:rPr>
          <w:fldChar w:fldCharType="begin"/>
        </w:r>
        <w:r w:rsidRPr="001D6F3C">
          <w:rPr>
            <w:noProof/>
            <w:webHidden/>
          </w:rPr>
          <w:instrText xml:space="preserve"> PAGEREF _Toc203142275 \h </w:instrText>
        </w:r>
        <w:r w:rsidRPr="001D6F3C">
          <w:rPr>
            <w:noProof/>
            <w:webHidden/>
          </w:rPr>
        </w:r>
        <w:r w:rsidRPr="001D6F3C">
          <w:rPr>
            <w:noProof/>
            <w:webHidden/>
          </w:rPr>
          <w:fldChar w:fldCharType="separate"/>
        </w:r>
        <w:r w:rsidRPr="001D6F3C">
          <w:rPr>
            <w:noProof/>
            <w:webHidden/>
          </w:rPr>
          <w:t>25</w:t>
        </w:r>
        <w:r w:rsidRPr="001D6F3C">
          <w:rPr>
            <w:noProof/>
            <w:webHidden/>
          </w:rPr>
          <w:fldChar w:fldCharType="end"/>
        </w:r>
      </w:hyperlink>
    </w:p>
    <w:p w14:paraId="29069C52" w14:textId="393D7471" w:rsidR="00AD2CCE" w:rsidRPr="001D6F3C" w:rsidRDefault="00AD2CCE">
      <w:pPr>
        <w:pStyle w:val="TableofFigures"/>
        <w:tabs>
          <w:tab w:val="right" w:leader="dot" w:pos="9016"/>
        </w:tabs>
        <w:rPr>
          <w:noProof/>
          <w:kern w:val="2"/>
          <w:lang w:eastAsia="en-NZ"/>
          <w14:ligatures w14:val="standardContextual"/>
        </w:rPr>
      </w:pPr>
      <w:hyperlink w:anchor="_Toc203142276" w:history="1">
        <w:r w:rsidRPr="001D6F3C">
          <w:rPr>
            <w:rStyle w:val="Hyperlink"/>
            <w:rFonts w:ascii="Corbel" w:hAnsi="Corbel"/>
            <w:noProof/>
          </w:rPr>
          <w:t>Figure 16 - % of households within six material wellbeing bands: by housing tenure</w:t>
        </w:r>
        <w:r w:rsidRPr="001D6F3C">
          <w:rPr>
            <w:noProof/>
            <w:webHidden/>
          </w:rPr>
          <w:tab/>
        </w:r>
        <w:r w:rsidRPr="001D6F3C">
          <w:rPr>
            <w:noProof/>
            <w:webHidden/>
          </w:rPr>
          <w:fldChar w:fldCharType="begin"/>
        </w:r>
        <w:r w:rsidRPr="001D6F3C">
          <w:rPr>
            <w:noProof/>
            <w:webHidden/>
          </w:rPr>
          <w:instrText xml:space="preserve"> PAGEREF _Toc203142276 \h </w:instrText>
        </w:r>
        <w:r w:rsidRPr="001D6F3C">
          <w:rPr>
            <w:noProof/>
            <w:webHidden/>
          </w:rPr>
        </w:r>
        <w:r w:rsidRPr="001D6F3C">
          <w:rPr>
            <w:noProof/>
            <w:webHidden/>
          </w:rPr>
          <w:fldChar w:fldCharType="separate"/>
        </w:r>
        <w:r w:rsidRPr="001D6F3C">
          <w:rPr>
            <w:noProof/>
            <w:webHidden/>
          </w:rPr>
          <w:t>25</w:t>
        </w:r>
        <w:r w:rsidRPr="001D6F3C">
          <w:rPr>
            <w:noProof/>
            <w:webHidden/>
          </w:rPr>
          <w:fldChar w:fldCharType="end"/>
        </w:r>
      </w:hyperlink>
    </w:p>
    <w:p w14:paraId="7DA7BA1F" w14:textId="55B1D310" w:rsidR="00AD2CCE" w:rsidRPr="001D6F3C" w:rsidRDefault="00AD2CCE">
      <w:pPr>
        <w:pStyle w:val="TableofFigures"/>
        <w:tabs>
          <w:tab w:val="right" w:leader="dot" w:pos="9016"/>
        </w:tabs>
        <w:rPr>
          <w:noProof/>
          <w:kern w:val="2"/>
          <w:lang w:eastAsia="en-NZ"/>
          <w14:ligatures w14:val="standardContextual"/>
        </w:rPr>
      </w:pPr>
      <w:hyperlink w:anchor="_Toc203142277" w:history="1">
        <w:r w:rsidRPr="001D6F3C">
          <w:rPr>
            <w:rStyle w:val="Hyperlink"/>
            <w:rFonts w:ascii="Corbel" w:hAnsi="Corbel"/>
            <w:noProof/>
          </w:rPr>
          <w:t>Figure 17 - life expectancy at birth - by ethnic group and sex (2017-2019)</w:t>
        </w:r>
        <w:r w:rsidRPr="001D6F3C">
          <w:rPr>
            <w:noProof/>
            <w:webHidden/>
          </w:rPr>
          <w:tab/>
        </w:r>
        <w:r w:rsidRPr="001D6F3C">
          <w:rPr>
            <w:noProof/>
            <w:webHidden/>
          </w:rPr>
          <w:fldChar w:fldCharType="begin"/>
        </w:r>
        <w:r w:rsidRPr="001D6F3C">
          <w:rPr>
            <w:noProof/>
            <w:webHidden/>
          </w:rPr>
          <w:instrText xml:space="preserve"> PAGEREF _Toc203142277 \h </w:instrText>
        </w:r>
        <w:r w:rsidRPr="001D6F3C">
          <w:rPr>
            <w:noProof/>
            <w:webHidden/>
          </w:rPr>
        </w:r>
        <w:r w:rsidRPr="001D6F3C">
          <w:rPr>
            <w:noProof/>
            <w:webHidden/>
          </w:rPr>
          <w:fldChar w:fldCharType="separate"/>
        </w:r>
        <w:r w:rsidRPr="001D6F3C">
          <w:rPr>
            <w:noProof/>
            <w:webHidden/>
          </w:rPr>
          <w:t>27</w:t>
        </w:r>
        <w:r w:rsidRPr="001D6F3C">
          <w:rPr>
            <w:noProof/>
            <w:webHidden/>
          </w:rPr>
          <w:fldChar w:fldCharType="end"/>
        </w:r>
      </w:hyperlink>
    </w:p>
    <w:p w14:paraId="269C2A47" w14:textId="0F3A93D3" w:rsidR="00AD2CCE" w:rsidRPr="001D6F3C" w:rsidRDefault="00AD2CCE">
      <w:pPr>
        <w:pStyle w:val="TableofFigures"/>
        <w:tabs>
          <w:tab w:val="right" w:leader="dot" w:pos="9016"/>
        </w:tabs>
        <w:rPr>
          <w:noProof/>
          <w:kern w:val="2"/>
          <w:lang w:eastAsia="en-NZ"/>
          <w14:ligatures w14:val="standardContextual"/>
        </w:rPr>
      </w:pPr>
      <w:hyperlink w:anchor="_Toc203142278" w:history="1">
        <w:r w:rsidRPr="001D6F3C">
          <w:rPr>
            <w:rStyle w:val="Hyperlink"/>
            <w:rFonts w:ascii="Corbel" w:hAnsi="Corbel"/>
            <w:noProof/>
          </w:rPr>
          <w:t>Figure 18 - Number of people - by number of disadvantages</w:t>
        </w:r>
        <w:r w:rsidRPr="001D6F3C">
          <w:rPr>
            <w:noProof/>
            <w:webHidden/>
          </w:rPr>
          <w:tab/>
        </w:r>
        <w:r w:rsidRPr="001D6F3C">
          <w:rPr>
            <w:noProof/>
            <w:webHidden/>
          </w:rPr>
          <w:fldChar w:fldCharType="begin"/>
        </w:r>
        <w:r w:rsidRPr="001D6F3C">
          <w:rPr>
            <w:noProof/>
            <w:webHidden/>
          </w:rPr>
          <w:instrText xml:space="preserve"> PAGEREF _Toc203142278 \h </w:instrText>
        </w:r>
        <w:r w:rsidRPr="001D6F3C">
          <w:rPr>
            <w:noProof/>
            <w:webHidden/>
          </w:rPr>
        </w:r>
        <w:r w:rsidRPr="001D6F3C">
          <w:rPr>
            <w:noProof/>
            <w:webHidden/>
          </w:rPr>
          <w:fldChar w:fldCharType="separate"/>
        </w:r>
        <w:r w:rsidRPr="001D6F3C">
          <w:rPr>
            <w:noProof/>
            <w:webHidden/>
          </w:rPr>
          <w:t>28</w:t>
        </w:r>
        <w:r w:rsidRPr="001D6F3C">
          <w:rPr>
            <w:noProof/>
            <w:webHidden/>
          </w:rPr>
          <w:fldChar w:fldCharType="end"/>
        </w:r>
      </w:hyperlink>
    </w:p>
    <w:p w14:paraId="500EB8BD" w14:textId="6858FDCC" w:rsidR="00AD2CCE" w:rsidRPr="001D6F3C" w:rsidRDefault="00AD2CCE">
      <w:pPr>
        <w:pStyle w:val="TableofFigures"/>
        <w:tabs>
          <w:tab w:val="right" w:leader="dot" w:pos="9016"/>
        </w:tabs>
        <w:rPr>
          <w:noProof/>
          <w:kern w:val="2"/>
          <w:lang w:eastAsia="en-NZ"/>
          <w14:ligatures w14:val="standardContextual"/>
        </w:rPr>
      </w:pPr>
      <w:hyperlink w:anchor="_Toc203142279" w:history="1">
        <w:r w:rsidRPr="001D6F3C">
          <w:rPr>
            <w:rStyle w:val="Hyperlink"/>
            <w:rFonts w:ascii="Corbel" w:hAnsi="Corbel"/>
            <w:noProof/>
          </w:rPr>
          <w:t>Figure 19 - Multiple disadvantage by region</w:t>
        </w:r>
        <w:r w:rsidRPr="001D6F3C">
          <w:rPr>
            <w:noProof/>
            <w:webHidden/>
          </w:rPr>
          <w:tab/>
        </w:r>
        <w:r w:rsidRPr="001D6F3C">
          <w:rPr>
            <w:noProof/>
            <w:webHidden/>
          </w:rPr>
          <w:fldChar w:fldCharType="begin"/>
        </w:r>
        <w:r w:rsidRPr="001D6F3C">
          <w:rPr>
            <w:noProof/>
            <w:webHidden/>
          </w:rPr>
          <w:instrText xml:space="preserve"> PAGEREF _Toc203142279 \h </w:instrText>
        </w:r>
        <w:r w:rsidRPr="001D6F3C">
          <w:rPr>
            <w:noProof/>
            <w:webHidden/>
          </w:rPr>
        </w:r>
        <w:r w:rsidRPr="001D6F3C">
          <w:rPr>
            <w:noProof/>
            <w:webHidden/>
          </w:rPr>
          <w:fldChar w:fldCharType="separate"/>
        </w:r>
        <w:r w:rsidRPr="001D6F3C">
          <w:rPr>
            <w:noProof/>
            <w:webHidden/>
          </w:rPr>
          <w:t>28</w:t>
        </w:r>
        <w:r w:rsidRPr="001D6F3C">
          <w:rPr>
            <w:noProof/>
            <w:webHidden/>
          </w:rPr>
          <w:fldChar w:fldCharType="end"/>
        </w:r>
      </w:hyperlink>
    </w:p>
    <w:p w14:paraId="5FD2076B" w14:textId="206FC27F" w:rsidR="00AD2CCE" w:rsidRPr="001D6F3C" w:rsidRDefault="00AD2CCE">
      <w:pPr>
        <w:pStyle w:val="TableofFigures"/>
        <w:tabs>
          <w:tab w:val="right" w:leader="dot" w:pos="9016"/>
        </w:tabs>
        <w:rPr>
          <w:noProof/>
          <w:kern w:val="2"/>
          <w:lang w:eastAsia="en-NZ"/>
          <w14:ligatures w14:val="standardContextual"/>
        </w:rPr>
      </w:pPr>
      <w:hyperlink w:anchor="_Toc203142280" w:history="1">
        <w:r w:rsidRPr="001D6F3C">
          <w:rPr>
            <w:rStyle w:val="Hyperlink"/>
            <w:rFonts w:ascii="Corbel" w:hAnsi="Corbel"/>
            <w:noProof/>
          </w:rPr>
          <w:t>Figure 20 - Drivers of poverty and material hardship - simplified view</w:t>
        </w:r>
        <w:r w:rsidRPr="001D6F3C">
          <w:rPr>
            <w:noProof/>
            <w:webHidden/>
          </w:rPr>
          <w:tab/>
        </w:r>
        <w:r w:rsidRPr="001D6F3C">
          <w:rPr>
            <w:noProof/>
            <w:webHidden/>
          </w:rPr>
          <w:fldChar w:fldCharType="begin"/>
        </w:r>
        <w:r w:rsidRPr="001D6F3C">
          <w:rPr>
            <w:noProof/>
            <w:webHidden/>
          </w:rPr>
          <w:instrText xml:space="preserve"> PAGEREF _Toc203142280 \h </w:instrText>
        </w:r>
        <w:r w:rsidRPr="001D6F3C">
          <w:rPr>
            <w:noProof/>
            <w:webHidden/>
          </w:rPr>
        </w:r>
        <w:r w:rsidRPr="001D6F3C">
          <w:rPr>
            <w:noProof/>
            <w:webHidden/>
          </w:rPr>
          <w:fldChar w:fldCharType="separate"/>
        </w:r>
        <w:r w:rsidRPr="001D6F3C">
          <w:rPr>
            <w:noProof/>
            <w:webHidden/>
          </w:rPr>
          <w:t>33</w:t>
        </w:r>
        <w:r w:rsidRPr="001D6F3C">
          <w:rPr>
            <w:noProof/>
            <w:webHidden/>
          </w:rPr>
          <w:fldChar w:fldCharType="end"/>
        </w:r>
      </w:hyperlink>
    </w:p>
    <w:p w14:paraId="17738F22" w14:textId="2AA1A440" w:rsidR="00AD2CCE" w:rsidRPr="001D6F3C" w:rsidRDefault="00AD2CCE">
      <w:pPr>
        <w:pStyle w:val="TableofFigures"/>
        <w:tabs>
          <w:tab w:val="right" w:leader="dot" w:pos="9016"/>
        </w:tabs>
        <w:rPr>
          <w:noProof/>
          <w:kern w:val="2"/>
          <w:lang w:eastAsia="en-NZ"/>
          <w14:ligatures w14:val="standardContextual"/>
        </w:rPr>
      </w:pPr>
      <w:hyperlink w:anchor="_Toc203142281" w:history="1">
        <w:r w:rsidRPr="001D6F3C">
          <w:rPr>
            <w:rStyle w:val="Hyperlink"/>
            <w:rFonts w:ascii="Corbel" w:hAnsi="Corbel"/>
            <w:noProof/>
          </w:rPr>
          <w:t>Figure 21 - Drivers of poverty and material hardship - more detailed view</w:t>
        </w:r>
        <w:r w:rsidRPr="001D6F3C">
          <w:rPr>
            <w:noProof/>
            <w:webHidden/>
          </w:rPr>
          <w:tab/>
        </w:r>
        <w:r w:rsidRPr="001D6F3C">
          <w:rPr>
            <w:noProof/>
            <w:webHidden/>
          </w:rPr>
          <w:fldChar w:fldCharType="begin"/>
        </w:r>
        <w:r w:rsidRPr="001D6F3C">
          <w:rPr>
            <w:noProof/>
            <w:webHidden/>
          </w:rPr>
          <w:instrText xml:space="preserve"> PAGEREF _Toc203142281 \h </w:instrText>
        </w:r>
        <w:r w:rsidRPr="001D6F3C">
          <w:rPr>
            <w:noProof/>
            <w:webHidden/>
          </w:rPr>
        </w:r>
        <w:r w:rsidRPr="001D6F3C">
          <w:rPr>
            <w:noProof/>
            <w:webHidden/>
          </w:rPr>
          <w:fldChar w:fldCharType="separate"/>
        </w:r>
        <w:r w:rsidRPr="001D6F3C">
          <w:rPr>
            <w:noProof/>
            <w:webHidden/>
          </w:rPr>
          <w:t>35</w:t>
        </w:r>
        <w:r w:rsidRPr="001D6F3C">
          <w:rPr>
            <w:noProof/>
            <w:webHidden/>
          </w:rPr>
          <w:fldChar w:fldCharType="end"/>
        </w:r>
      </w:hyperlink>
    </w:p>
    <w:p w14:paraId="4746B71C" w14:textId="7A7C2FC5" w:rsidR="00AD2CCE" w:rsidRPr="001D6F3C" w:rsidRDefault="00AD2CCE">
      <w:pPr>
        <w:pStyle w:val="TableofFigures"/>
        <w:tabs>
          <w:tab w:val="right" w:leader="dot" w:pos="9016"/>
        </w:tabs>
        <w:rPr>
          <w:noProof/>
          <w:kern w:val="2"/>
          <w:lang w:eastAsia="en-NZ"/>
          <w14:ligatures w14:val="standardContextual"/>
        </w:rPr>
      </w:pPr>
      <w:hyperlink w:anchor="_Toc203142282" w:history="1">
        <w:r w:rsidRPr="001D6F3C">
          <w:rPr>
            <w:rStyle w:val="Hyperlink"/>
            <w:rFonts w:ascii="Corbel" w:hAnsi="Corbel"/>
            <w:noProof/>
          </w:rPr>
          <w:t>Figure 22 - Trends in employment by age (65+, both sexes)</w:t>
        </w:r>
        <w:r w:rsidRPr="001D6F3C">
          <w:rPr>
            <w:noProof/>
            <w:webHidden/>
          </w:rPr>
          <w:tab/>
        </w:r>
        <w:r w:rsidRPr="001D6F3C">
          <w:rPr>
            <w:noProof/>
            <w:webHidden/>
          </w:rPr>
          <w:fldChar w:fldCharType="begin"/>
        </w:r>
        <w:r w:rsidRPr="001D6F3C">
          <w:rPr>
            <w:noProof/>
            <w:webHidden/>
          </w:rPr>
          <w:instrText xml:space="preserve"> PAGEREF _Toc203142282 \h </w:instrText>
        </w:r>
        <w:r w:rsidRPr="001D6F3C">
          <w:rPr>
            <w:noProof/>
            <w:webHidden/>
          </w:rPr>
        </w:r>
        <w:r w:rsidRPr="001D6F3C">
          <w:rPr>
            <w:noProof/>
            <w:webHidden/>
          </w:rPr>
          <w:fldChar w:fldCharType="separate"/>
        </w:r>
        <w:r w:rsidRPr="001D6F3C">
          <w:rPr>
            <w:noProof/>
            <w:webHidden/>
          </w:rPr>
          <w:t>36</w:t>
        </w:r>
        <w:r w:rsidRPr="001D6F3C">
          <w:rPr>
            <w:noProof/>
            <w:webHidden/>
          </w:rPr>
          <w:fldChar w:fldCharType="end"/>
        </w:r>
      </w:hyperlink>
    </w:p>
    <w:p w14:paraId="7EEB8A01" w14:textId="521DE7AC" w:rsidR="00AD2CCE" w:rsidRPr="001D6F3C" w:rsidRDefault="00AD2CCE">
      <w:pPr>
        <w:pStyle w:val="TableofFigures"/>
        <w:tabs>
          <w:tab w:val="right" w:leader="dot" w:pos="9016"/>
        </w:tabs>
        <w:rPr>
          <w:noProof/>
          <w:kern w:val="2"/>
          <w:lang w:eastAsia="en-NZ"/>
          <w14:ligatures w14:val="standardContextual"/>
        </w:rPr>
      </w:pPr>
      <w:hyperlink w:anchor="_Toc203142283" w:history="1">
        <w:r w:rsidRPr="001D6F3C">
          <w:rPr>
            <w:rStyle w:val="Hyperlink"/>
            <w:rFonts w:ascii="Corbel" w:hAnsi="Corbel"/>
            <w:noProof/>
          </w:rPr>
          <w:t>Figure 23 - Labour force participation rates (65-69) - by ethnicity</w:t>
        </w:r>
        <w:r w:rsidRPr="001D6F3C">
          <w:rPr>
            <w:noProof/>
            <w:webHidden/>
          </w:rPr>
          <w:tab/>
        </w:r>
        <w:r w:rsidRPr="001D6F3C">
          <w:rPr>
            <w:noProof/>
            <w:webHidden/>
          </w:rPr>
          <w:fldChar w:fldCharType="begin"/>
        </w:r>
        <w:r w:rsidRPr="001D6F3C">
          <w:rPr>
            <w:noProof/>
            <w:webHidden/>
          </w:rPr>
          <w:instrText xml:space="preserve"> PAGEREF _Toc203142283 \h </w:instrText>
        </w:r>
        <w:r w:rsidRPr="001D6F3C">
          <w:rPr>
            <w:noProof/>
            <w:webHidden/>
          </w:rPr>
        </w:r>
        <w:r w:rsidRPr="001D6F3C">
          <w:rPr>
            <w:noProof/>
            <w:webHidden/>
          </w:rPr>
          <w:fldChar w:fldCharType="separate"/>
        </w:r>
        <w:r w:rsidRPr="001D6F3C">
          <w:rPr>
            <w:noProof/>
            <w:webHidden/>
          </w:rPr>
          <w:t>37</w:t>
        </w:r>
        <w:r w:rsidRPr="001D6F3C">
          <w:rPr>
            <w:noProof/>
            <w:webHidden/>
          </w:rPr>
          <w:fldChar w:fldCharType="end"/>
        </w:r>
      </w:hyperlink>
    </w:p>
    <w:p w14:paraId="2D1A4A97" w14:textId="1CC2CF45" w:rsidR="00AD2CCE" w:rsidRPr="001D6F3C" w:rsidRDefault="00AD2CCE">
      <w:pPr>
        <w:pStyle w:val="TableofFigures"/>
        <w:tabs>
          <w:tab w:val="right" w:leader="dot" w:pos="9016"/>
        </w:tabs>
        <w:rPr>
          <w:noProof/>
          <w:kern w:val="2"/>
          <w:lang w:eastAsia="en-NZ"/>
          <w14:ligatures w14:val="standardContextual"/>
        </w:rPr>
      </w:pPr>
      <w:hyperlink w:anchor="_Toc203142284" w:history="1">
        <w:r w:rsidRPr="001D6F3C">
          <w:rPr>
            <w:rStyle w:val="Hyperlink"/>
            <w:rFonts w:ascii="Corbel" w:hAnsi="Corbel"/>
            <w:noProof/>
          </w:rPr>
          <w:t>Figure 24 - proportion of gross income from transfers (65+)</w:t>
        </w:r>
        <w:r w:rsidRPr="001D6F3C">
          <w:rPr>
            <w:noProof/>
            <w:webHidden/>
          </w:rPr>
          <w:tab/>
        </w:r>
        <w:r w:rsidRPr="001D6F3C">
          <w:rPr>
            <w:noProof/>
            <w:webHidden/>
          </w:rPr>
          <w:fldChar w:fldCharType="begin"/>
        </w:r>
        <w:r w:rsidRPr="001D6F3C">
          <w:rPr>
            <w:noProof/>
            <w:webHidden/>
          </w:rPr>
          <w:instrText xml:space="preserve"> PAGEREF _Toc203142284 \h </w:instrText>
        </w:r>
        <w:r w:rsidRPr="001D6F3C">
          <w:rPr>
            <w:noProof/>
            <w:webHidden/>
          </w:rPr>
        </w:r>
        <w:r w:rsidRPr="001D6F3C">
          <w:rPr>
            <w:noProof/>
            <w:webHidden/>
          </w:rPr>
          <w:fldChar w:fldCharType="separate"/>
        </w:r>
        <w:r w:rsidRPr="001D6F3C">
          <w:rPr>
            <w:noProof/>
            <w:webHidden/>
          </w:rPr>
          <w:t>37</w:t>
        </w:r>
        <w:r w:rsidRPr="001D6F3C">
          <w:rPr>
            <w:noProof/>
            <w:webHidden/>
          </w:rPr>
          <w:fldChar w:fldCharType="end"/>
        </w:r>
      </w:hyperlink>
    </w:p>
    <w:p w14:paraId="64AC5101" w14:textId="78C68D24" w:rsidR="00AD2CCE" w:rsidRPr="001D6F3C" w:rsidRDefault="00AD2CCE">
      <w:pPr>
        <w:pStyle w:val="TableofFigures"/>
        <w:tabs>
          <w:tab w:val="right" w:leader="dot" w:pos="9016"/>
        </w:tabs>
        <w:rPr>
          <w:noProof/>
          <w:kern w:val="2"/>
          <w:lang w:eastAsia="en-NZ"/>
          <w14:ligatures w14:val="standardContextual"/>
        </w:rPr>
      </w:pPr>
      <w:hyperlink w:anchor="_Toc203142285" w:history="1">
        <w:r w:rsidRPr="001D6F3C">
          <w:rPr>
            <w:rStyle w:val="Hyperlink"/>
            <w:rFonts w:ascii="Corbel" w:hAnsi="Corbel"/>
            <w:noProof/>
          </w:rPr>
          <w:t>Figure 25 - Gini for 65+: BHC disposable income</w:t>
        </w:r>
        <w:r w:rsidRPr="001D6F3C">
          <w:rPr>
            <w:noProof/>
            <w:webHidden/>
          </w:rPr>
          <w:tab/>
        </w:r>
        <w:r w:rsidRPr="001D6F3C">
          <w:rPr>
            <w:noProof/>
            <w:webHidden/>
          </w:rPr>
          <w:fldChar w:fldCharType="begin"/>
        </w:r>
        <w:r w:rsidRPr="001D6F3C">
          <w:rPr>
            <w:noProof/>
            <w:webHidden/>
          </w:rPr>
          <w:instrText xml:space="preserve"> PAGEREF _Toc203142285 \h </w:instrText>
        </w:r>
        <w:r w:rsidRPr="001D6F3C">
          <w:rPr>
            <w:noProof/>
            <w:webHidden/>
          </w:rPr>
        </w:r>
        <w:r w:rsidRPr="001D6F3C">
          <w:rPr>
            <w:noProof/>
            <w:webHidden/>
          </w:rPr>
          <w:fldChar w:fldCharType="separate"/>
        </w:r>
        <w:r w:rsidRPr="001D6F3C">
          <w:rPr>
            <w:noProof/>
            <w:webHidden/>
          </w:rPr>
          <w:t>37</w:t>
        </w:r>
        <w:r w:rsidRPr="001D6F3C">
          <w:rPr>
            <w:noProof/>
            <w:webHidden/>
          </w:rPr>
          <w:fldChar w:fldCharType="end"/>
        </w:r>
      </w:hyperlink>
    </w:p>
    <w:p w14:paraId="41AC7E83" w14:textId="0177497E" w:rsidR="00AD2CCE" w:rsidRPr="001D6F3C" w:rsidRDefault="00AD2CCE">
      <w:pPr>
        <w:pStyle w:val="TableofFigures"/>
        <w:tabs>
          <w:tab w:val="right" w:leader="dot" w:pos="9016"/>
        </w:tabs>
        <w:rPr>
          <w:noProof/>
          <w:kern w:val="2"/>
          <w:lang w:eastAsia="en-NZ"/>
          <w14:ligatures w14:val="standardContextual"/>
        </w:rPr>
      </w:pPr>
      <w:hyperlink w:anchor="_Toc203142286" w:history="1">
        <w:r w:rsidRPr="001D6F3C">
          <w:rPr>
            <w:rStyle w:val="Hyperlink"/>
            <w:rFonts w:ascii="Corbel" w:hAnsi="Corbel"/>
            <w:noProof/>
          </w:rPr>
          <w:t>Figure 26 - Percentage of population 60-64 receiving main benefit</w:t>
        </w:r>
        <w:r w:rsidRPr="001D6F3C">
          <w:rPr>
            <w:noProof/>
            <w:webHidden/>
          </w:rPr>
          <w:tab/>
        </w:r>
        <w:r w:rsidRPr="001D6F3C">
          <w:rPr>
            <w:noProof/>
            <w:webHidden/>
          </w:rPr>
          <w:fldChar w:fldCharType="begin"/>
        </w:r>
        <w:r w:rsidRPr="001D6F3C">
          <w:rPr>
            <w:noProof/>
            <w:webHidden/>
          </w:rPr>
          <w:instrText xml:space="preserve"> PAGEREF _Toc203142286 \h </w:instrText>
        </w:r>
        <w:r w:rsidRPr="001D6F3C">
          <w:rPr>
            <w:noProof/>
            <w:webHidden/>
          </w:rPr>
        </w:r>
        <w:r w:rsidRPr="001D6F3C">
          <w:rPr>
            <w:noProof/>
            <w:webHidden/>
          </w:rPr>
          <w:fldChar w:fldCharType="separate"/>
        </w:r>
        <w:r w:rsidRPr="001D6F3C">
          <w:rPr>
            <w:noProof/>
            <w:webHidden/>
          </w:rPr>
          <w:t>38</w:t>
        </w:r>
        <w:r w:rsidRPr="001D6F3C">
          <w:rPr>
            <w:noProof/>
            <w:webHidden/>
          </w:rPr>
          <w:fldChar w:fldCharType="end"/>
        </w:r>
      </w:hyperlink>
    </w:p>
    <w:p w14:paraId="117E37B1" w14:textId="2FDAE573" w:rsidR="00AD2CCE" w:rsidRPr="001D6F3C" w:rsidRDefault="00AD2CCE">
      <w:pPr>
        <w:pStyle w:val="TableofFigures"/>
        <w:tabs>
          <w:tab w:val="right" w:leader="dot" w:pos="9016"/>
        </w:tabs>
        <w:rPr>
          <w:noProof/>
          <w:kern w:val="2"/>
          <w:lang w:eastAsia="en-NZ"/>
          <w14:ligatures w14:val="standardContextual"/>
        </w:rPr>
      </w:pPr>
      <w:hyperlink w:anchor="_Toc203142287" w:history="1">
        <w:r w:rsidRPr="001D6F3C">
          <w:rPr>
            <w:rStyle w:val="Hyperlink"/>
            <w:rFonts w:ascii="Corbel" w:hAnsi="Corbel"/>
            <w:noProof/>
          </w:rPr>
          <w:t>Figure 27 - Main benefit receipt by type and age</w:t>
        </w:r>
        <w:r w:rsidRPr="001D6F3C">
          <w:rPr>
            <w:noProof/>
            <w:webHidden/>
          </w:rPr>
          <w:tab/>
        </w:r>
        <w:r w:rsidRPr="001D6F3C">
          <w:rPr>
            <w:noProof/>
            <w:webHidden/>
          </w:rPr>
          <w:fldChar w:fldCharType="begin"/>
        </w:r>
        <w:r w:rsidRPr="001D6F3C">
          <w:rPr>
            <w:noProof/>
            <w:webHidden/>
          </w:rPr>
          <w:instrText xml:space="preserve"> PAGEREF _Toc203142287 \h </w:instrText>
        </w:r>
        <w:r w:rsidRPr="001D6F3C">
          <w:rPr>
            <w:noProof/>
            <w:webHidden/>
          </w:rPr>
        </w:r>
        <w:r w:rsidRPr="001D6F3C">
          <w:rPr>
            <w:noProof/>
            <w:webHidden/>
          </w:rPr>
          <w:fldChar w:fldCharType="separate"/>
        </w:r>
        <w:r w:rsidRPr="001D6F3C">
          <w:rPr>
            <w:noProof/>
            <w:webHidden/>
          </w:rPr>
          <w:t>39</w:t>
        </w:r>
        <w:r w:rsidRPr="001D6F3C">
          <w:rPr>
            <w:noProof/>
            <w:webHidden/>
          </w:rPr>
          <w:fldChar w:fldCharType="end"/>
        </w:r>
      </w:hyperlink>
    </w:p>
    <w:p w14:paraId="322B3B72" w14:textId="1D0C79F5" w:rsidR="00AD2CCE" w:rsidRPr="001D6F3C" w:rsidRDefault="00AD2CCE">
      <w:pPr>
        <w:pStyle w:val="TableofFigures"/>
        <w:tabs>
          <w:tab w:val="right" w:leader="dot" w:pos="9016"/>
        </w:tabs>
        <w:rPr>
          <w:noProof/>
          <w:kern w:val="2"/>
          <w:lang w:eastAsia="en-NZ"/>
          <w14:ligatures w14:val="standardContextual"/>
        </w:rPr>
      </w:pPr>
      <w:hyperlink w:anchor="_Toc203142288" w:history="1">
        <w:r w:rsidRPr="001D6F3C">
          <w:rPr>
            <w:rStyle w:val="Hyperlink"/>
            <w:rFonts w:ascii="Corbel" w:hAnsi="Corbel"/>
            <w:noProof/>
          </w:rPr>
          <w:t>Figure 28 – Improved Employment and Social Outcomes Support Multi-Category Appropriation - expenditure by Age</w:t>
        </w:r>
        <w:r w:rsidRPr="001D6F3C">
          <w:rPr>
            <w:noProof/>
            <w:webHidden/>
          </w:rPr>
          <w:tab/>
        </w:r>
        <w:r w:rsidRPr="001D6F3C">
          <w:rPr>
            <w:noProof/>
            <w:webHidden/>
          </w:rPr>
          <w:fldChar w:fldCharType="begin"/>
        </w:r>
        <w:r w:rsidRPr="001D6F3C">
          <w:rPr>
            <w:noProof/>
            <w:webHidden/>
          </w:rPr>
          <w:instrText xml:space="preserve"> PAGEREF _Toc203142288 \h </w:instrText>
        </w:r>
        <w:r w:rsidRPr="001D6F3C">
          <w:rPr>
            <w:noProof/>
            <w:webHidden/>
          </w:rPr>
        </w:r>
        <w:r w:rsidRPr="001D6F3C">
          <w:rPr>
            <w:noProof/>
            <w:webHidden/>
          </w:rPr>
          <w:fldChar w:fldCharType="separate"/>
        </w:r>
        <w:r w:rsidRPr="001D6F3C">
          <w:rPr>
            <w:noProof/>
            <w:webHidden/>
          </w:rPr>
          <w:t>39</w:t>
        </w:r>
        <w:r w:rsidRPr="001D6F3C">
          <w:rPr>
            <w:noProof/>
            <w:webHidden/>
          </w:rPr>
          <w:fldChar w:fldCharType="end"/>
        </w:r>
      </w:hyperlink>
    </w:p>
    <w:p w14:paraId="3F945C75" w14:textId="2DB408E7" w:rsidR="00AD2CCE" w:rsidRPr="001D6F3C" w:rsidRDefault="00AD2CCE">
      <w:pPr>
        <w:pStyle w:val="TableofFigures"/>
        <w:tabs>
          <w:tab w:val="right" w:leader="dot" w:pos="9016"/>
        </w:tabs>
        <w:rPr>
          <w:noProof/>
          <w:kern w:val="2"/>
          <w:lang w:eastAsia="en-NZ"/>
          <w14:ligatures w14:val="standardContextual"/>
        </w:rPr>
      </w:pPr>
      <w:hyperlink w:anchor="_Toc203142289" w:history="1">
        <w:r w:rsidRPr="001D6F3C">
          <w:rPr>
            <w:rStyle w:val="Hyperlink"/>
            <w:rFonts w:ascii="Corbel" w:hAnsi="Corbel"/>
            <w:noProof/>
          </w:rPr>
          <w:t>Figure 29 - first tier benefits in oecd countries - % of gross earnings (2022)</w:t>
        </w:r>
        <w:r w:rsidRPr="001D6F3C">
          <w:rPr>
            <w:noProof/>
            <w:webHidden/>
          </w:rPr>
          <w:tab/>
        </w:r>
        <w:r w:rsidRPr="001D6F3C">
          <w:rPr>
            <w:noProof/>
            <w:webHidden/>
          </w:rPr>
          <w:fldChar w:fldCharType="begin"/>
        </w:r>
        <w:r w:rsidRPr="001D6F3C">
          <w:rPr>
            <w:noProof/>
            <w:webHidden/>
          </w:rPr>
          <w:instrText xml:space="preserve"> PAGEREF _Toc203142289 \h </w:instrText>
        </w:r>
        <w:r w:rsidRPr="001D6F3C">
          <w:rPr>
            <w:noProof/>
            <w:webHidden/>
          </w:rPr>
        </w:r>
        <w:r w:rsidRPr="001D6F3C">
          <w:rPr>
            <w:noProof/>
            <w:webHidden/>
          </w:rPr>
          <w:fldChar w:fldCharType="separate"/>
        </w:r>
        <w:r w:rsidRPr="001D6F3C">
          <w:rPr>
            <w:noProof/>
            <w:webHidden/>
          </w:rPr>
          <w:t>40</w:t>
        </w:r>
        <w:r w:rsidRPr="001D6F3C">
          <w:rPr>
            <w:noProof/>
            <w:webHidden/>
          </w:rPr>
          <w:fldChar w:fldCharType="end"/>
        </w:r>
      </w:hyperlink>
    </w:p>
    <w:p w14:paraId="39ABB864" w14:textId="611B40E5" w:rsidR="00AD2CCE" w:rsidRPr="001D6F3C" w:rsidRDefault="00AD2CCE">
      <w:pPr>
        <w:pStyle w:val="TableofFigures"/>
        <w:tabs>
          <w:tab w:val="right" w:leader="dot" w:pos="9016"/>
        </w:tabs>
        <w:rPr>
          <w:noProof/>
          <w:kern w:val="2"/>
          <w:lang w:eastAsia="en-NZ"/>
          <w14:ligatures w14:val="standardContextual"/>
        </w:rPr>
      </w:pPr>
      <w:hyperlink w:anchor="_Toc203142290" w:history="1">
        <w:r w:rsidRPr="001D6F3C">
          <w:rPr>
            <w:rStyle w:val="Hyperlink"/>
            <w:rFonts w:ascii="Corbel" w:hAnsi="Corbel"/>
            <w:noProof/>
          </w:rPr>
          <w:t>Figure 30 - NZS as % of average wages and median household income</w:t>
        </w:r>
        <w:r w:rsidRPr="001D6F3C">
          <w:rPr>
            <w:noProof/>
            <w:webHidden/>
          </w:rPr>
          <w:tab/>
        </w:r>
        <w:r w:rsidRPr="001D6F3C">
          <w:rPr>
            <w:noProof/>
            <w:webHidden/>
          </w:rPr>
          <w:fldChar w:fldCharType="begin"/>
        </w:r>
        <w:r w:rsidRPr="001D6F3C">
          <w:rPr>
            <w:noProof/>
            <w:webHidden/>
          </w:rPr>
          <w:instrText xml:space="preserve"> PAGEREF _Toc203142290 \h </w:instrText>
        </w:r>
        <w:r w:rsidRPr="001D6F3C">
          <w:rPr>
            <w:noProof/>
            <w:webHidden/>
          </w:rPr>
        </w:r>
        <w:r w:rsidRPr="001D6F3C">
          <w:rPr>
            <w:noProof/>
            <w:webHidden/>
          </w:rPr>
          <w:fldChar w:fldCharType="separate"/>
        </w:r>
        <w:r w:rsidRPr="001D6F3C">
          <w:rPr>
            <w:noProof/>
            <w:webHidden/>
          </w:rPr>
          <w:t>41</w:t>
        </w:r>
        <w:r w:rsidRPr="001D6F3C">
          <w:rPr>
            <w:noProof/>
            <w:webHidden/>
          </w:rPr>
          <w:fldChar w:fldCharType="end"/>
        </w:r>
      </w:hyperlink>
    </w:p>
    <w:p w14:paraId="0BCD9D89" w14:textId="198F1DA7" w:rsidR="00AD2CCE" w:rsidRPr="001D6F3C" w:rsidRDefault="00AD2CCE">
      <w:pPr>
        <w:pStyle w:val="TableofFigures"/>
        <w:tabs>
          <w:tab w:val="right" w:leader="dot" w:pos="9016"/>
        </w:tabs>
        <w:rPr>
          <w:noProof/>
          <w:kern w:val="2"/>
          <w:lang w:eastAsia="en-NZ"/>
          <w14:ligatures w14:val="standardContextual"/>
        </w:rPr>
      </w:pPr>
      <w:hyperlink w:anchor="_Toc203142291" w:history="1">
        <w:r w:rsidRPr="001D6F3C">
          <w:rPr>
            <w:rStyle w:val="Hyperlink"/>
            <w:rFonts w:ascii="Corbel" w:hAnsi="Corbel"/>
            <w:noProof/>
          </w:rPr>
          <w:t>Figure 31 - % of NZS recipients receiving supplementary assistance</w:t>
        </w:r>
        <w:r w:rsidRPr="001D6F3C">
          <w:rPr>
            <w:noProof/>
            <w:webHidden/>
          </w:rPr>
          <w:tab/>
        </w:r>
        <w:r w:rsidRPr="001D6F3C">
          <w:rPr>
            <w:noProof/>
            <w:webHidden/>
          </w:rPr>
          <w:fldChar w:fldCharType="begin"/>
        </w:r>
        <w:r w:rsidRPr="001D6F3C">
          <w:rPr>
            <w:noProof/>
            <w:webHidden/>
          </w:rPr>
          <w:instrText xml:space="preserve"> PAGEREF _Toc203142291 \h </w:instrText>
        </w:r>
        <w:r w:rsidRPr="001D6F3C">
          <w:rPr>
            <w:noProof/>
            <w:webHidden/>
          </w:rPr>
        </w:r>
        <w:r w:rsidRPr="001D6F3C">
          <w:rPr>
            <w:noProof/>
            <w:webHidden/>
          </w:rPr>
          <w:fldChar w:fldCharType="separate"/>
        </w:r>
        <w:r w:rsidRPr="001D6F3C">
          <w:rPr>
            <w:noProof/>
            <w:webHidden/>
          </w:rPr>
          <w:t>41</w:t>
        </w:r>
        <w:r w:rsidRPr="001D6F3C">
          <w:rPr>
            <w:noProof/>
            <w:webHidden/>
          </w:rPr>
          <w:fldChar w:fldCharType="end"/>
        </w:r>
      </w:hyperlink>
    </w:p>
    <w:p w14:paraId="6A215600" w14:textId="28D4D5D5" w:rsidR="00AD2CCE" w:rsidRPr="001D6F3C" w:rsidRDefault="00AD2CCE">
      <w:pPr>
        <w:pStyle w:val="TableofFigures"/>
        <w:tabs>
          <w:tab w:val="right" w:leader="dot" w:pos="9016"/>
        </w:tabs>
        <w:rPr>
          <w:noProof/>
          <w:kern w:val="2"/>
          <w:lang w:eastAsia="en-NZ"/>
          <w14:ligatures w14:val="standardContextual"/>
        </w:rPr>
      </w:pPr>
      <w:hyperlink w:anchor="_Toc203142292" w:history="1">
        <w:r w:rsidRPr="001D6F3C">
          <w:rPr>
            <w:rStyle w:val="Hyperlink"/>
            <w:rFonts w:ascii="Corbel" w:hAnsi="Corbel"/>
            <w:noProof/>
          </w:rPr>
          <w:t>Figure 32 - change in hardship assistance usage - NZS vs working age clients</w:t>
        </w:r>
        <w:r w:rsidRPr="001D6F3C">
          <w:rPr>
            <w:noProof/>
            <w:webHidden/>
          </w:rPr>
          <w:tab/>
        </w:r>
        <w:r w:rsidRPr="001D6F3C">
          <w:rPr>
            <w:noProof/>
            <w:webHidden/>
          </w:rPr>
          <w:fldChar w:fldCharType="begin"/>
        </w:r>
        <w:r w:rsidRPr="001D6F3C">
          <w:rPr>
            <w:noProof/>
            <w:webHidden/>
          </w:rPr>
          <w:instrText xml:space="preserve"> PAGEREF _Toc203142292 \h </w:instrText>
        </w:r>
        <w:r w:rsidRPr="001D6F3C">
          <w:rPr>
            <w:noProof/>
            <w:webHidden/>
          </w:rPr>
        </w:r>
        <w:r w:rsidRPr="001D6F3C">
          <w:rPr>
            <w:noProof/>
            <w:webHidden/>
          </w:rPr>
          <w:fldChar w:fldCharType="separate"/>
        </w:r>
        <w:r w:rsidRPr="001D6F3C">
          <w:rPr>
            <w:noProof/>
            <w:webHidden/>
          </w:rPr>
          <w:t>42</w:t>
        </w:r>
        <w:r w:rsidRPr="001D6F3C">
          <w:rPr>
            <w:noProof/>
            <w:webHidden/>
          </w:rPr>
          <w:fldChar w:fldCharType="end"/>
        </w:r>
      </w:hyperlink>
    </w:p>
    <w:p w14:paraId="1BED37E9" w14:textId="3403BD05" w:rsidR="00AD2CCE" w:rsidRPr="001D6F3C" w:rsidRDefault="00AD2CCE">
      <w:pPr>
        <w:pStyle w:val="TableofFigures"/>
        <w:tabs>
          <w:tab w:val="right" w:leader="dot" w:pos="9016"/>
        </w:tabs>
        <w:rPr>
          <w:noProof/>
          <w:kern w:val="2"/>
          <w:lang w:eastAsia="en-NZ"/>
          <w14:ligatures w14:val="standardContextual"/>
        </w:rPr>
      </w:pPr>
      <w:hyperlink w:anchor="_Toc203142293" w:history="1">
        <w:r w:rsidRPr="001D6F3C">
          <w:rPr>
            <w:rStyle w:val="Hyperlink"/>
            <w:rFonts w:ascii="Corbel" w:hAnsi="Corbel"/>
            <w:noProof/>
          </w:rPr>
          <w:t>Figure 33 - NZS indexation - Status quo vs CPI - nominal</w:t>
        </w:r>
        <w:r w:rsidRPr="001D6F3C">
          <w:rPr>
            <w:noProof/>
            <w:webHidden/>
          </w:rPr>
          <w:tab/>
        </w:r>
        <w:r w:rsidRPr="001D6F3C">
          <w:rPr>
            <w:noProof/>
            <w:webHidden/>
          </w:rPr>
          <w:fldChar w:fldCharType="begin"/>
        </w:r>
        <w:r w:rsidRPr="001D6F3C">
          <w:rPr>
            <w:noProof/>
            <w:webHidden/>
          </w:rPr>
          <w:instrText xml:space="preserve"> PAGEREF _Toc203142293 \h </w:instrText>
        </w:r>
        <w:r w:rsidRPr="001D6F3C">
          <w:rPr>
            <w:noProof/>
            <w:webHidden/>
          </w:rPr>
        </w:r>
        <w:r w:rsidRPr="001D6F3C">
          <w:rPr>
            <w:noProof/>
            <w:webHidden/>
          </w:rPr>
          <w:fldChar w:fldCharType="separate"/>
        </w:r>
        <w:r w:rsidRPr="001D6F3C">
          <w:rPr>
            <w:noProof/>
            <w:webHidden/>
          </w:rPr>
          <w:t>44</w:t>
        </w:r>
        <w:r w:rsidRPr="001D6F3C">
          <w:rPr>
            <w:noProof/>
            <w:webHidden/>
          </w:rPr>
          <w:fldChar w:fldCharType="end"/>
        </w:r>
      </w:hyperlink>
    </w:p>
    <w:p w14:paraId="7686AD6C" w14:textId="2F4C54AC" w:rsidR="00AD2CCE" w:rsidRPr="001D6F3C" w:rsidRDefault="00AD2CCE">
      <w:pPr>
        <w:pStyle w:val="TableofFigures"/>
        <w:tabs>
          <w:tab w:val="right" w:leader="dot" w:pos="9016"/>
        </w:tabs>
        <w:rPr>
          <w:noProof/>
          <w:kern w:val="2"/>
          <w:lang w:eastAsia="en-NZ"/>
          <w14:ligatures w14:val="standardContextual"/>
        </w:rPr>
      </w:pPr>
      <w:hyperlink w:anchor="_Toc203142294" w:history="1">
        <w:r w:rsidRPr="001D6F3C">
          <w:rPr>
            <w:rStyle w:val="Hyperlink"/>
            <w:rFonts w:ascii="Corbel" w:hAnsi="Corbel"/>
            <w:noProof/>
          </w:rPr>
          <w:t>Figure 34 - NZS indexation - Status quo vs CPI - Real</w:t>
        </w:r>
        <w:r w:rsidRPr="001D6F3C">
          <w:rPr>
            <w:noProof/>
            <w:webHidden/>
          </w:rPr>
          <w:tab/>
        </w:r>
        <w:r w:rsidRPr="001D6F3C">
          <w:rPr>
            <w:noProof/>
            <w:webHidden/>
          </w:rPr>
          <w:fldChar w:fldCharType="begin"/>
        </w:r>
        <w:r w:rsidRPr="001D6F3C">
          <w:rPr>
            <w:noProof/>
            <w:webHidden/>
          </w:rPr>
          <w:instrText xml:space="preserve"> PAGEREF _Toc203142294 \h </w:instrText>
        </w:r>
        <w:r w:rsidRPr="001D6F3C">
          <w:rPr>
            <w:noProof/>
            <w:webHidden/>
          </w:rPr>
        </w:r>
        <w:r w:rsidRPr="001D6F3C">
          <w:rPr>
            <w:noProof/>
            <w:webHidden/>
          </w:rPr>
          <w:fldChar w:fldCharType="separate"/>
        </w:r>
        <w:r w:rsidRPr="001D6F3C">
          <w:rPr>
            <w:noProof/>
            <w:webHidden/>
          </w:rPr>
          <w:t>44</w:t>
        </w:r>
        <w:r w:rsidRPr="001D6F3C">
          <w:rPr>
            <w:noProof/>
            <w:webHidden/>
          </w:rPr>
          <w:fldChar w:fldCharType="end"/>
        </w:r>
      </w:hyperlink>
    </w:p>
    <w:p w14:paraId="27B808E3" w14:textId="154E4D72" w:rsidR="00AD2CCE" w:rsidRPr="001D6F3C" w:rsidRDefault="00AD2CCE">
      <w:pPr>
        <w:pStyle w:val="TableofFigures"/>
        <w:tabs>
          <w:tab w:val="right" w:leader="dot" w:pos="9016"/>
        </w:tabs>
        <w:rPr>
          <w:noProof/>
          <w:kern w:val="2"/>
          <w:lang w:eastAsia="en-NZ"/>
          <w14:ligatures w14:val="standardContextual"/>
        </w:rPr>
      </w:pPr>
      <w:hyperlink w:anchor="_Toc203142295" w:history="1">
        <w:r w:rsidRPr="001D6F3C">
          <w:rPr>
            <w:rStyle w:val="Hyperlink"/>
            <w:rFonts w:ascii="Corbel" w:hAnsi="Corbel"/>
            <w:noProof/>
          </w:rPr>
          <w:t>Figure 35- INDEXATION - STATUS QUO VS CPI - % OF NET AVERAGE WAGE</w:t>
        </w:r>
        <w:r w:rsidRPr="001D6F3C">
          <w:rPr>
            <w:noProof/>
            <w:webHidden/>
          </w:rPr>
          <w:tab/>
        </w:r>
        <w:r w:rsidRPr="001D6F3C">
          <w:rPr>
            <w:noProof/>
            <w:webHidden/>
          </w:rPr>
          <w:fldChar w:fldCharType="begin"/>
        </w:r>
        <w:r w:rsidRPr="001D6F3C">
          <w:rPr>
            <w:noProof/>
            <w:webHidden/>
          </w:rPr>
          <w:instrText xml:space="preserve"> PAGEREF _Toc203142295 \h </w:instrText>
        </w:r>
        <w:r w:rsidRPr="001D6F3C">
          <w:rPr>
            <w:noProof/>
            <w:webHidden/>
          </w:rPr>
        </w:r>
        <w:r w:rsidRPr="001D6F3C">
          <w:rPr>
            <w:noProof/>
            <w:webHidden/>
          </w:rPr>
          <w:fldChar w:fldCharType="separate"/>
        </w:r>
        <w:r w:rsidRPr="001D6F3C">
          <w:rPr>
            <w:noProof/>
            <w:webHidden/>
          </w:rPr>
          <w:t>44</w:t>
        </w:r>
        <w:r w:rsidRPr="001D6F3C">
          <w:rPr>
            <w:noProof/>
            <w:webHidden/>
          </w:rPr>
          <w:fldChar w:fldCharType="end"/>
        </w:r>
      </w:hyperlink>
    </w:p>
    <w:p w14:paraId="5A39C1A8" w14:textId="440E55F4" w:rsidR="00AD2CCE" w:rsidRPr="001D6F3C" w:rsidRDefault="00AD2CCE">
      <w:pPr>
        <w:pStyle w:val="TableofFigures"/>
        <w:tabs>
          <w:tab w:val="right" w:leader="dot" w:pos="9016"/>
        </w:tabs>
        <w:rPr>
          <w:noProof/>
          <w:kern w:val="2"/>
          <w:lang w:eastAsia="en-NZ"/>
          <w14:ligatures w14:val="standardContextual"/>
        </w:rPr>
      </w:pPr>
      <w:hyperlink w:anchor="_Toc203142296" w:history="1">
        <w:r w:rsidRPr="001D6F3C">
          <w:rPr>
            <w:rStyle w:val="Hyperlink"/>
            <w:noProof/>
          </w:rPr>
          <w:t>Figure 36 - PROPORTIONS OF INDIVIDUAL TENURE AGED 65+ (CENSUS 1996 – 2023)</w:t>
        </w:r>
        <w:r w:rsidRPr="001D6F3C">
          <w:rPr>
            <w:noProof/>
            <w:webHidden/>
          </w:rPr>
          <w:tab/>
        </w:r>
        <w:r w:rsidRPr="001D6F3C">
          <w:rPr>
            <w:noProof/>
            <w:webHidden/>
          </w:rPr>
          <w:fldChar w:fldCharType="begin"/>
        </w:r>
        <w:r w:rsidRPr="001D6F3C">
          <w:rPr>
            <w:noProof/>
            <w:webHidden/>
          </w:rPr>
          <w:instrText xml:space="preserve"> PAGEREF _Toc203142296 \h </w:instrText>
        </w:r>
        <w:r w:rsidRPr="001D6F3C">
          <w:rPr>
            <w:noProof/>
            <w:webHidden/>
          </w:rPr>
        </w:r>
        <w:r w:rsidRPr="001D6F3C">
          <w:rPr>
            <w:noProof/>
            <w:webHidden/>
          </w:rPr>
          <w:fldChar w:fldCharType="separate"/>
        </w:r>
        <w:r w:rsidRPr="001D6F3C">
          <w:rPr>
            <w:noProof/>
            <w:webHidden/>
          </w:rPr>
          <w:t>45</w:t>
        </w:r>
        <w:r w:rsidRPr="001D6F3C">
          <w:rPr>
            <w:noProof/>
            <w:webHidden/>
          </w:rPr>
          <w:fldChar w:fldCharType="end"/>
        </w:r>
      </w:hyperlink>
    </w:p>
    <w:p w14:paraId="74C73806" w14:textId="25794F3B" w:rsidR="00AD2CCE" w:rsidRPr="001D6F3C" w:rsidRDefault="00AD2CCE">
      <w:pPr>
        <w:pStyle w:val="TableofFigures"/>
        <w:tabs>
          <w:tab w:val="right" w:leader="dot" w:pos="9016"/>
        </w:tabs>
        <w:rPr>
          <w:noProof/>
          <w:kern w:val="2"/>
          <w:lang w:eastAsia="en-NZ"/>
          <w14:ligatures w14:val="standardContextual"/>
        </w:rPr>
      </w:pPr>
      <w:hyperlink w:anchor="_Toc203142297" w:history="1">
        <w:r w:rsidRPr="001D6F3C">
          <w:rPr>
            <w:rStyle w:val="Hyperlink"/>
            <w:rFonts w:ascii="Corbel" w:hAnsi="Corbel"/>
            <w:noProof/>
          </w:rPr>
          <w:t>Figure 37 – Proportion of individual homeowners Aged 65+ paying a mortgage</w:t>
        </w:r>
        <w:r w:rsidRPr="001D6F3C">
          <w:rPr>
            <w:noProof/>
            <w:webHidden/>
          </w:rPr>
          <w:tab/>
        </w:r>
        <w:r w:rsidRPr="001D6F3C">
          <w:rPr>
            <w:noProof/>
            <w:webHidden/>
          </w:rPr>
          <w:fldChar w:fldCharType="begin"/>
        </w:r>
        <w:r w:rsidRPr="001D6F3C">
          <w:rPr>
            <w:noProof/>
            <w:webHidden/>
          </w:rPr>
          <w:instrText xml:space="preserve"> PAGEREF _Toc203142297 \h </w:instrText>
        </w:r>
        <w:r w:rsidRPr="001D6F3C">
          <w:rPr>
            <w:noProof/>
            <w:webHidden/>
          </w:rPr>
        </w:r>
        <w:r w:rsidRPr="001D6F3C">
          <w:rPr>
            <w:noProof/>
            <w:webHidden/>
          </w:rPr>
          <w:fldChar w:fldCharType="separate"/>
        </w:r>
        <w:r w:rsidRPr="001D6F3C">
          <w:rPr>
            <w:noProof/>
            <w:webHidden/>
          </w:rPr>
          <w:t>45</w:t>
        </w:r>
        <w:r w:rsidRPr="001D6F3C">
          <w:rPr>
            <w:noProof/>
            <w:webHidden/>
          </w:rPr>
          <w:fldChar w:fldCharType="end"/>
        </w:r>
      </w:hyperlink>
    </w:p>
    <w:p w14:paraId="19BD30E6" w14:textId="560DF71D" w:rsidR="00AD2CCE" w:rsidRPr="001D6F3C" w:rsidRDefault="00AD2CCE">
      <w:pPr>
        <w:pStyle w:val="TableofFigures"/>
        <w:tabs>
          <w:tab w:val="right" w:leader="dot" w:pos="9016"/>
        </w:tabs>
        <w:rPr>
          <w:noProof/>
          <w:kern w:val="2"/>
          <w:lang w:eastAsia="en-NZ"/>
          <w14:ligatures w14:val="standardContextual"/>
        </w:rPr>
      </w:pPr>
      <w:hyperlink w:anchor="_Toc203142298" w:history="1">
        <w:r w:rsidRPr="001D6F3C">
          <w:rPr>
            <w:rStyle w:val="Hyperlink"/>
            <w:rFonts w:ascii="Corbel" w:hAnsi="Corbel"/>
            <w:noProof/>
          </w:rPr>
          <w:t>Figure 38 - Lower quartile rent as % of NZS</w:t>
        </w:r>
        <w:r w:rsidRPr="001D6F3C">
          <w:rPr>
            <w:noProof/>
            <w:webHidden/>
          </w:rPr>
          <w:tab/>
        </w:r>
        <w:r w:rsidRPr="001D6F3C">
          <w:rPr>
            <w:noProof/>
            <w:webHidden/>
          </w:rPr>
          <w:fldChar w:fldCharType="begin"/>
        </w:r>
        <w:r w:rsidRPr="001D6F3C">
          <w:rPr>
            <w:noProof/>
            <w:webHidden/>
          </w:rPr>
          <w:instrText xml:space="preserve"> PAGEREF _Toc203142298 \h </w:instrText>
        </w:r>
        <w:r w:rsidRPr="001D6F3C">
          <w:rPr>
            <w:noProof/>
            <w:webHidden/>
          </w:rPr>
        </w:r>
        <w:r w:rsidRPr="001D6F3C">
          <w:rPr>
            <w:noProof/>
            <w:webHidden/>
          </w:rPr>
          <w:fldChar w:fldCharType="separate"/>
        </w:r>
        <w:r w:rsidRPr="001D6F3C">
          <w:rPr>
            <w:noProof/>
            <w:webHidden/>
          </w:rPr>
          <w:t>46</w:t>
        </w:r>
        <w:r w:rsidRPr="001D6F3C">
          <w:rPr>
            <w:noProof/>
            <w:webHidden/>
          </w:rPr>
          <w:fldChar w:fldCharType="end"/>
        </w:r>
      </w:hyperlink>
    </w:p>
    <w:p w14:paraId="0A099EA1" w14:textId="42E49ED7" w:rsidR="00AD2CCE" w:rsidRPr="001D6F3C" w:rsidRDefault="00AD2CCE">
      <w:pPr>
        <w:pStyle w:val="TableofFigures"/>
        <w:tabs>
          <w:tab w:val="right" w:leader="dot" w:pos="9016"/>
        </w:tabs>
        <w:rPr>
          <w:noProof/>
          <w:kern w:val="2"/>
          <w:lang w:eastAsia="en-NZ"/>
          <w14:ligatures w14:val="standardContextual"/>
        </w:rPr>
      </w:pPr>
      <w:hyperlink w:anchor="_Toc203142299" w:history="1">
        <w:r w:rsidRPr="001D6F3C">
          <w:rPr>
            <w:rStyle w:val="Hyperlink"/>
            <w:rFonts w:ascii="Corbel" w:hAnsi="Corbel"/>
            <w:noProof/>
          </w:rPr>
          <w:t>Figure 39 - cumulative price increases for home ownership costs, adjusted for CPI 1981-2024</w:t>
        </w:r>
        <w:r w:rsidRPr="001D6F3C">
          <w:rPr>
            <w:noProof/>
            <w:webHidden/>
          </w:rPr>
          <w:tab/>
        </w:r>
        <w:r w:rsidRPr="001D6F3C">
          <w:rPr>
            <w:noProof/>
            <w:webHidden/>
          </w:rPr>
          <w:fldChar w:fldCharType="begin"/>
        </w:r>
        <w:r w:rsidRPr="001D6F3C">
          <w:rPr>
            <w:noProof/>
            <w:webHidden/>
          </w:rPr>
          <w:instrText xml:space="preserve"> PAGEREF _Toc203142299 \h </w:instrText>
        </w:r>
        <w:r w:rsidRPr="001D6F3C">
          <w:rPr>
            <w:noProof/>
            <w:webHidden/>
          </w:rPr>
        </w:r>
        <w:r w:rsidRPr="001D6F3C">
          <w:rPr>
            <w:noProof/>
            <w:webHidden/>
          </w:rPr>
          <w:fldChar w:fldCharType="separate"/>
        </w:r>
        <w:r w:rsidRPr="001D6F3C">
          <w:rPr>
            <w:noProof/>
            <w:webHidden/>
          </w:rPr>
          <w:t>47</w:t>
        </w:r>
        <w:r w:rsidRPr="001D6F3C">
          <w:rPr>
            <w:noProof/>
            <w:webHidden/>
          </w:rPr>
          <w:fldChar w:fldCharType="end"/>
        </w:r>
      </w:hyperlink>
    </w:p>
    <w:p w14:paraId="2E174D5F" w14:textId="3C2385AC" w:rsidR="00AD2CCE" w:rsidRPr="001D6F3C" w:rsidRDefault="00AD2CCE">
      <w:pPr>
        <w:pStyle w:val="TableofFigures"/>
        <w:tabs>
          <w:tab w:val="right" w:leader="dot" w:pos="9016"/>
        </w:tabs>
        <w:rPr>
          <w:noProof/>
          <w:kern w:val="2"/>
          <w:lang w:eastAsia="en-NZ"/>
          <w14:ligatures w14:val="standardContextual"/>
        </w:rPr>
      </w:pPr>
      <w:hyperlink w:anchor="_Toc203142300" w:history="1">
        <w:r w:rsidRPr="001D6F3C">
          <w:rPr>
            <w:rStyle w:val="Hyperlink"/>
            <w:rFonts w:ascii="Corbel" w:hAnsi="Corbel"/>
            <w:noProof/>
          </w:rPr>
          <w:t>Figure 40 - Annual change in home ownership costs (CPI) 2010-2024</w:t>
        </w:r>
        <w:r w:rsidRPr="001D6F3C">
          <w:rPr>
            <w:noProof/>
            <w:webHidden/>
          </w:rPr>
          <w:tab/>
        </w:r>
        <w:r w:rsidRPr="001D6F3C">
          <w:rPr>
            <w:noProof/>
            <w:webHidden/>
          </w:rPr>
          <w:fldChar w:fldCharType="begin"/>
        </w:r>
        <w:r w:rsidRPr="001D6F3C">
          <w:rPr>
            <w:noProof/>
            <w:webHidden/>
          </w:rPr>
          <w:instrText xml:space="preserve"> PAGEREF _Toc203142300 \h </w:instrText>
        </w:r>
        <w:r w:rsidRPr="001D6F3C">
          <w:rPr>
            <w:noProof/>
            <w:webHidden/>
          </w:rPr>
        </w:r>
        <w:r w:rsidRPr="001D6F3C">
          <w:rPr>
            <w:noProof/>
            <w:webHidden/>
          </w:rPr>
          <w:fldChar w:fldCharType="separate"/>
        </w:r>
        <w:r w:rsidRPr="001D6F3C">
          <w:rPr>
            <w:noProof/>
            <w:webHidden/>
          </w:rPr>
          <w:t>47</w:t>
        </w:r>
        <w:r w:rsidRPr="001D6F3C">
          <w:rPr>
            <w:noProof/>
            <w:webHidden/>
          </w:rPr>
          <w:fldChar w:fldCharType="end"/>
        </w:r>
      </w:hyperlink>
    </w:p>
    <w:p w14:paraId="4F0008E8" w14:textId="722569FA" w:rsidR="00AD2CCE" w:rsidRPr="001D6F3C" w:rsidRDefault="00AD2CCE">
      <w:pPr>
        <w:pStyle w:val="TableofFigures"/>
        <w:tabs>
          <w:tab w:val="right" w:leader="dot" w:pos="9016"/>
        </w:tabs>
        <w:rPr>
          <w:noProof/>
          <w:kern w:val="2"/>
          <w:lang w:eastAsia="en-NZ"/>
          <w14:ligatures w14:val="standardContextual"/>
        </w:rPr>
      </w:pPr>
      <w:hyperlink w:anchor="_Toc203142301" w:history="1">
        <w:r w:rsidRPr="001D6F3C">
          <w:rPr>
            <w:rStyle w:val="Hyperlink"/>
            <w:rFonts w:ascii="Corbel" w:hAnsi="Corbel"/>
            <w:noProof/>
          </w:rPr>
          <w:t>Figure 41 - home ownership rates by age for birth cohorts</w:t>
        </w:r>
        <w:r w:rsidRPr="001D6F3C">
          <w:rPr>
            <w:noProof/>
            <w:webHidden/>
          </w:rPr>
          <w:tab/>
        </w:r>
        <w:r w:rsidRPr="001D6F3C">
          <w:rPr>
            <w:noProof/>
            <w:webHidden/>
          </w:rPr>
          <w:fldChar w:fldCharType="begin"/>
        </w:r>
        <w:r w:rsidRPr="001D6F3C">
          <w:rPr>
            <w:noProof/>
            <w:webHidden/>
          </w:rPr>
          <w:instrText xml:space="preserve"> PAGEREF _Toc203142301 \h </w:instrText>
        </w:r>
        <w:r w:rsidRPr="001D6F3C">
          <w:rPr>
            <w:noProof/>
            <w:webHidden/>
          </w:rPr>
        </w:r>
        <w:r w:rsidRPr="001D6F3C">
          <w:rPr>
            <w:noProof/>
            <w:webHidden/>
          </w:rPr>
          <w:fldChar w:fldCharType="separate"/>
        </w:r>
        <w:r w:rsidRPr="001D6F3C">
          <w:rPr>
            <w:noProof/>
            <w:webHidden/>
          </w:rPr>
          <w:t>47</w:t>
        </w:r>
        <w:r w:rsidRPr="001D6F3C">
          <w:rPr>
            <w:noProof/>
            <w:webHidden/>
          </w:rPr>
          <w:fldChar w:fldCharType="end"/>
        </w:r>
      </w:hyperlink>
    </w:p>
    <w:p w14:paraId="4F628C7D" w14:textId="0F6BEA37" w:rsidR="00AD2CCE" w:rsidRPr="001D6F3C" w:rsidRDefault="00AD2CCE">
      <w:pPr>
        <w:pStyle w:val="TableofFigures"/>
        <w:tabs>
          <w:tab w:val="right" w:leader="dot" w:pos="9016"/>
        </w:tabs>
        <w:rPr>
          <w:noProof/>
          <w:kern w:val="2"/>
          <w:lang w:eastAsia="en-NZ"/>
          <w14:ligatures w14:val="standardContextual"/>
        </w:rPr>
      </w:pPr>
      <w:hyperlink w:anchor="_Toc203142302" w:history="1">
        <w:r w:rsidRPr="001D6F3C">
          <w:rPr>
            <w:rStyle w:val="Hyperlink"/>
            <w:rFonts w:ascii="Corbel" w:hAnsi="Corbel"/>
            <w:noProof/>
          </w:rPr>
          <w:t>Figure 42 - housing costs as % of NZS - couple paying lower quartile rent</w:t>
        </w:r>
        <w:r w:rsidRPr="001D6F3C">
          <w:rPr>
            <w:noProof/>
            <w:webHidden/>
          </w:rPr>
          <w:tab/>
        </w:r>
        <w:r w:rsidRPr="001D6F3C">
          <w:rPr>
            <w:noProof/>
            <w:webHidden/>
          </w:rPr>
          <w:fldChar w:fldCharType="begin"/>
        </w:r>
        <w:r w:rsidRPr="001D6F3C">
          <w:rPr>
            <w:noProof/>
            <w:webHidden/>
          </w:rPr>
          <w:instrText xml:space="preserve"> PAGEREF _Toc203142302 \h </w:instrText>
        </w:r>
        <w:r w:rsidRPr="001D6F3C">
          <w:rPr>
            <w:noProof/>
            <w:webHidden/>
          </w:rPr>
        </w:r>
        <w:r w:rsidRPr="001D6F3C">
          <w:rPr>
            <w:noProof/>
            <w:webHidden/>
          </w:rPr>
          <w:fldChar w:fldCharType="separate"/>
        </w:r>
        <w:r w:rsidRPr="001D6F3C">
          <w:rPr>
            <w:noProof/>
            <w:webHidden/>
          </w:rPr>
          <w:t>48</w:t>
        </w:r>
        <w:r w:rsidRPr="001D6F3C">
          <w:rPr>
            <w:noProof/>
            <w:webHidden/>
          </w:rPr>
          <w:fldChar w:fldCharType="end"/>
        </w:r>
      </w:hyperlink>
    </w:p>
    <w:p w14:paraId="12B479F2" w14:textId="60B640E6" w:rsidR="00AD2CCE" w:rsidRPr="004F5D02" w:rsidRDefault="00AD2CCE">
      <w:pPr>
        <w:pStyle w:val="TableofFigures"/>
        <w:tabs>
          <w:tab w:val="right" w:leader="dot" w:pos="9016"/>
        </w:tabs>
        <w:rPr>
          <w:noProof/>
          <w:kern w:val="2"/>
          <w:lang w:eastAsia="en-NZ"/>
          <w14:ligatures w14:val="standardContextual"/>
        </w:rPr>
      </w:pPr>
      <w:hyperlink w:anchor="_Toc203142303" w:history="1">
        <w:r w:rsidRPr="004F5D02">
          <w:rPr>
            <w:rStyle w:val="Hyperlink"/>
            <w:rFonts w:ascii="Corbel" w:hAnsi="Corbel"/>
            <w:smallCaps/>
            <w:noProof/>
          </w:rPr>
          <w:t>Figure 43 - residual income for a NZS couple paying lower quartile rent ($2024)</w:t>
        </w:r>
        <w:r w:rsidRPr="004F5D02">
          <w:rPr>
            <w:noProof/>
            <w:webHidden/>
          </w:rPr>
          <w:tab/>
        </w:r>
        <w:r w:rsidRPr="004F5D02">
          <w:rPr>
            <w:noProof/>
            <w:webHidden/>
          </w:rPr>
          <w:fldChar w:fldCharType="begin"/>
        </w:r>
        <w:r w:rsidRPr="004F5D02">
          <w:rPr>
            <w:noProof/>
            <w:webHidden/>
          </w:rPr>
          <w:instrText xml:space="preserve"> PAGEREF _Toc203142303 \h </w:instrText>
        </w:r>
        <w:r w:rsidRPr="004F5D02">
          <w:rPr>
            <w:noProof/>
            <w:webHidden/>
          </w:rPr>
        </w:r>
        <w:r w:rsidRPr="004F5D02">
          <w:rPr>
            <w:noProof/>
            <w:webHidden/>
          </w:rPr>
          <w:fldChar w:fldCharType="separate"/>
        </w:r>
        <w:r w:rsidRPr="004F5D02">
          <w:rPr>
            <w:noProof/>
            <w:webHidden/>
          </w:rPr>
          <w:t>48</w:t>
        </w:r>
        <w:r w:rsidRPr="004F5D02">
          <w:rPr>
            <w:noProof/>
            <w:webHidden/>
          </w:rPr>
          <w:fldChar w:fldCharType="end"/>
        </w:r>
      </w:hyperlink>
    </w:p>
    <w:p w14:paraId="30B6E6EC" w14:textId="7A9CA7D0" w:rsidR="00AD2CCE" w:rsidRPr="001D6F3C" w:rsidRDefault="00AD2CCE">
      <w:pPr>
        <w:pStyle w:val="TableofFigures"/>
        <w:tabs>
          <w:tab w:val="right" w:leader="dot" w:pos="9016"/>
        </w:tabs>
        <w:rPr>
          <w:noProof/>
          <w:kern w:val="2"/>
          <w:lang w:eastAsia="en-NZ"/>
          <w14:ligatures w14:val="standardContextual"/>
        </w:rPr>
      </w:pPr>
      <w:hyperlink w:anchor="_Toc203142304" w:history="1">
        <w:r w:rsidRPr="001D6F3C">
          <w:rPr>
            <w:rStyle w:val="Hyperlink"/>
            <w:rFonts w:ascii="Corbel" w:hAnsi="Corbel"/>
            <w:noProof/>
          </w:rPr>
          <w:t>Figure 44 - household assets and liabilities - mean value by net worth quintile</w:t>
        </w:r>
        <w:r w:rsidRPr="001D6F3C">
          <w:rPr>
            <w:noProof/>
            <w:webHidden/>
          </w:rPr>
          <w:tab/>
        </w:r>
        <w:r w:rsidRPr="001D6F3C">
          <w:rPr>
            <w:noProof/>
            <w:webHidden/>
          </w:rPr>
          <w:fldChar w:fldCharType="begin"/>
        </w:r>
        <w:r w:rsidRPr="001D6F3C">
          <w:rPr>
            <w:noProof/>
            <w:webHidden/>
          </w:rPr>
          <w:instrText xml:space="preserve"> PAGEREF _Toc203142304 \h </w:instrText>
        </w:r>
        <w:r w:rsidRPr="001D6F3C">
          <w:rPr>
            <w:noProof/>
            <w:webHidden/>
          </w:rPr>
        </w:r>
        <w:r w:rsidRPr="001D6F3C">
          <w:rPr>
            <w:noProof/>
            <w:webHidden/>
          </w:rPr>
          <w:fldChar w:fldCharType="separate"/>
        </w:r>
        <w:r w:rsidRPr="001D6F3C">
          <w:rPr>
            <w:noProof/>
            <w:webHidden/>
          </w:rPr>
          <w:t>49</w:t>
        </w:r>
        <w:r w:rsidRPr="001D6F3C">
          <w:rPr>
            <w:noProof/>
            <w:webHidden/>
          </w:rPr>
          <w:fldChar w:fldCharType="end"/>
        </w:r>
      </w:hyperlink>
    </w:p>
    <w:p w14:paraId="73C5B370" w14:textId="6EC18BD6" w:rsidR="00AD2CCE" w:rsidRPr="001D6F3C" w:rsidRDefault="00AD2CCE">
      <w:pPr>
        <w:pStyle w:val="TableofFigures"/>
        <w:tabs>
          <w:tab w:val="right" w:leader="dot" w:pos="9016"/>
        </w:tabs>
        <w:rPr>
          <w:noProof/>
          <w:kern w:val="2"/>
          <w:lang w:eastAsia="en-NZ"/>
          <w14:ligatures w14:val="standardContextual"/>
        </w:rPr>
      </w:pPr>
      <w:hyperlink w:anchor="_Toc203142305" w:history="1">
        <w:r w:rsidRPr="001D6F3C">
          <w:rPr>
            <w:rStyle w:val="Hyperlink"/>
            <w:rFonts w:ascii="Corbel" w:hAnsi="Corbel"/>
            <w:noProof/>
          </w:rPr>
          <w:t>Figure 45 - median net worth for individuals - by ethnicity and age</w:t>
        </w:r>
        <w:r w:rsidRPr="001D6F3C">
          <w:rPr>
            <w:noProof/>
            <w:webHidden/>
          </w:rPr>
          <w:tab/>
        </w:r>
        <w:r w:rsidRPr="001D6F3C">
          <w:rPr>
            <w:noProof/>
            <w:webHidden/>
          </w:rPr>
          <w:fldChar w:fldCharType="begin"/>
        </w:r>
        <w:r w:rsidRPr="001D6F3C">
          <w:rPr>
            <w:noProof/>
            <w:webHidden/>
          </w:rPr>
          <w:instrText xml:space="preserve"> PAGEREF _Toc203142305 \h </w:instrText>
        </w:r>
        <w:r w:rsidRPr="001D6F3C">
          <w:rPr>
            <w:noProof/>
            <w:webHidden/>
          </w:rPr>
        </w:r>
        <w:r w:rsidRPr="001D6F3C">
          <w:rPr>
            <w:noProof/>
            <w:webHidden/>
          </w:rPr>
          <w:fldChar w:fldCharType="separate"/>
        </w:r>
        <w:r w:rsidRPr="001D6F3C">
          <w:rPr>
            <w:noProof/>
            <w:webHidden/>
          </w:rPr>
          <w:t>50</w:t>
        </w:r>
        <w:r w:rsidRPr="001D6F3C">
          <w:rPr>
            <w:noProof/>
            <w:webHidden/>
          </w:rPr>
          <w:fldChar w:fldCharType="end"/>
        </w:r>
      </w:hyperlink>
    </w:p>
    <w:p w14:paraId="0281C960" w14:textId="0373E719" w:rsidR="00AD2CCE" w:rsidRPr="001D6F3C" w:rsidRDefault="00AD2CCE">
      <w:pPr>
        <w:pStyle w:val="TableofFigures"/>
        <w:tabs>
          <w:tab w:val="right" w:leader="dot" w:pos="9016"/>
        </w:tabs>
        <w:rPr>
          <w:noProof/>
          <w:kern w:val="2"/>
          <w:lang w:eastAsia="en-NZ"/>
          <w14:ligatures w14:val="standardContextual"/>
        </w:rPr>
      </w:pPr>
      <w:hyperlink w:anchor="_Toc203142306" w:history="1">
        <w:r w:rsidRPr="001D6F3C">
          <w:rPr>
            <w:rStyle w:val="Hyperlink"/>
            <w:rFonts w:ascii="Corbel" w:hAnsi="Corbel"/>
            <w:noProof/>
          </w:rPr>
          <w:t>Figure 46 - median wealth by age in 2001 and 2018 ($2018)</w:t>
        </w:r>
        <w:r w:rsidRPr="001D6F3C">
          <w:rPr>
            <w:noProof/>
            <w:webHidden/>
          </w:rPr>
          <w:tab/>
        </w:r>
        <w:r w:rsidRPr="001D6F3C">
          <w:rPr>
            <w:noProof/>
            <w:webHidden/>
          </w:rPr>
          <w:fldChar w:fldCharType="begin"/>
        </w:r>
        <w:r w:rsidRPr="001D6F3C">
          <w:rPr>
            <w:noProof/>
            <w:webHidden/>
          </w:rPr>
          <w:instrText xml:space="preserve"> PAGEREF _Toc203142306 \h </w:instrText>
        </w:r>
        <w:r w:rsidRPr="001D6F3C">
          <w:rPr>
            <w:noProof/>
            <w:webHidden/>
          </w:rPr>
        </w:r>
        <w:r w:rsidRPr="001D6F3C">
          <w:rPr>
            <w:noProof/>
            <w:webHidden/>
          </w:rPr>
          <w:fldChar w:fldCharType="separate"/>
        </w:r>
        <w:r w:rsidRPr="001D6F3C">
          <w:rPr>
            <w:noProof/>
            <w:webHidden/>
          </w:rPr>
          <w:t>50</w:t>
        </w:r>
        <w:r w:rsidRPr="001D6F3C">
          <w:rPr>
            <w:noProof/>
            <w:webHidden/>
          </w:rPr>
          <w:fldChar w:fldCharType="end"/>
        </w:r>
      </w:hyperlink>
    </w:p>
    <w:p w14:paraId="48171AC0" w14:textId="2C0B8BD7" w:rsidR="00AD2CCE" w:rsidRPr="001D6F3C" w:rsidRDefault="00AD2CCE">
      <w:pPr>
        <w:pStyle w:val="TableofFigures"/>
        <w:tabs>
          <w:tab w:val="right" w:leader="dot" w:pos="9016"/>
        </w:tabs>
        <w:rPr>
          <w:noProof/>
          <w:kern w:val="2"/>
          <w:lang w:eastAsia="en-NZ"/>
          <w14:ligatures w14:val="standardContextual"/>
        </w:rPr>
      </w:pPr>
      <w:hyperlink w:anchor="_Toc203142307" w:history="1">
        <w:r w:rsidRPr="001D6F3C">
          <w:rPr>
            <w:rStyle w:val="Hyperlink"/>
            <w:rFonts w:ascii="Corbel" w:hAnsi="Corbel"/>
            <w:noProof/>
          </w:rPr>
          <w:t>Figure 47 - total kiwisaver contributions 2008-2024 ($2024)</w:t>
        </w:r>
        <w:r w:rsidRPr="001D6F3C">
          <w:rPr>
            <w:noProof/>
            <w:webHidden/>
          </w:rPr>
          <w:tab/>
        </w:r>
        <w:r w:rsidRPr="001D6F3C">
          <w:rPr>
            <w:noProof/>
            <w:webHidden/>
          </w:rPr>
          <w:fldChar w:fldCharType="begin"/>
        </w:r>
        <w:r w:rsidRPr="001D6F3C">
          <w:rPr>
            <w:noProof/>
            <w:webHidden/>
          </w:rPr>
          <w:instrText xml:space="preserve"> PAGEREF _Toc203142307 \h </w:instrText>
        </w:r>
        <w:r w:rsidRPr="001D6F3C">
          <w:rPr>
            <w:noProof/>
            <w:webHidden/>
          </w:rPr>
        </w:r>
        <w:r w:rsidRPr="001D6F3C">
          <w:rPr>
            <w:noProof/>
            <w:webHidden/>
          </w:rPr>
          <w:fldChar w:fldCharType="separate"/>
        </w:r>
        <w:r w:rsidRPr="001D6F3C">
          <w:rPr>
            <w:noProof/>
            <w:webHidden/>
          </w:rPr>
          <w:t>51</w:t>
        </w:r>
        <w:r w:rsidRPr="001D6F3C">
          <w:rPr>
            <w:noProof/>
            <w:webHidden/>
          </w:rPr>
          <w:fldChar w:fldCharType="end"/>
        </w:r>
      </w:hyperlink>
    </w:p>
    <w:p w14:paraId="396A1E68" w14:textId="19283191" w:rsidR="00AD2CCE" w:rsidRPr="001D6F3C" w:rsidRDefault="00AD2CCE">
      <w:pPr>
        <w:pStyle w:val="TableofFigures"/>
        <w:tabs>
          <w:tab w:val="right" w:leader="dot" w:pos="9016"/>
        </w:tabs>
        <w:rPr>
          <w:noProof/>
          <w:kern w:val="2"/>
          <w:lang w:eastAsia="en-NZ"/>
          <w14:ligatures w14:val="standardContextual"/>
        </w:rPr>
      </w:pPr>
      <w:hyperlink w:anchor="_Toc203142308" w:history="1">
        <w:r w:rsidRPr="001D6F3C">
          <w:rPr>
            <w:rStyle w:val="Hyperlink"/>
            <w:rFonts w:ascii="Corbel" w:hAnsi="Corbel"/>
            <w:noProof/>
          </w:rPr>
          <w:t>Figure 48 - Kiwisaver - average balance by age and gender</w:t>
        </w:r>
        <w:r w:rsidRPr="001D6F3C">
          <w:rPr>
            <w:noProof/>
            <w:webHidden/>
          </w:rPr>
          <w:tab/>
        </w:r>
        <w:r w:rsidRPr="001D6F3C">
          <w:rPr>
            <w:noProof/>
            <w:webHidden/>
          </w:rPr>
          <w:fldChar w:fldCharType="begin"/>
        </w:r>
        <w:r w:rsidRPr="001D6F3C">
          <w:rPr>
            <w:noProof/>
            <w:webHidden/>
          </w:rPr>
          <w:instrText xml:space="preserve"> PAGEREF _Toc203142308 \h </w:instrText>
        </w:r>
        <w:r w:rsidRPr="001D6F3C">
          <w:rPr>
            <w:noProof/>
            <w:webHidden/>
          </w:rPr>
        </w:r>
        <w:r w:rsidRPr="001D6F3C">
          <w:rPr>
            <w:noProof/>
            <w:webHidden/>
          </w:rPr>
          <w:fldChar w:fldCharType="separate"/>
        </w:r>
        <w:r w:rsidRPr="001D6F3C">
          <w:rPr>
            <w:noProof/>
            <w:webHidden/>
          </w:rPr>
          <w:t>51</w:t>
        </w:r>
        <w:r w:rsidRPr="001D6F3C">
          <w:rPr>
            <w:noProof/>
            <w:webHidden/>
          </w:rPr>
          <w:fldChar w:fldCharType="end"/>
        </w:r>
      </w:hyperlink>
    </w:p>
    <w:p w14:paraId="371D406B" w14:textId="2C05B91B" w:rsidR="00AD2CCE" w:rsidRPr="001D6F3C" w:rsidRDefault="00AD2CCE">
      <w:pPr>
        <w:pStyle w:val="TableofFigures"/>
        <w:tabs>
          <w:tab w:val="right" w:leader="dot" w:pos="9016"/>
        </w:tabs>
        <w:rPr>
          <w:noProof/>
          <w:kern w:val="2"/>
          <w:lang w:eastAsia="en-NZ"/>
          <w14:ligatures w14:val="standardContextual"/>
        </w:rPr>
      </w:pPr>
      <w:hyperlink w:anchor="_Toc203142309" w:history="1">
        <w:r w:rsidRPr="001D6F3C">
          <w:rPr>
            <w:rStyle w:val="Hyperlink"/>
            <w:rFonts w:ascii="Corbel" w:hAnsi="Corbel"/>
            <w:noProof/>
          </w:rPr>
          <w:t>Figure 49 - percentage of non-contributors by income level</w:t>
        </w:r>
        <w:r w:rsidRPr="001D6F3C">
          <w:rPr>
            <w:noProof/>
            <w:webHidden/>
          </w:rPr>
          <w:tab/>
        </w:r>
        <w:r w:rsidRPr="001D6F3C">
          <w:rPr>
            <w:noProof/>
            <w:webHidden/>
          </w:rPr>
          <w:fldChar w:fldCharType="begin"/>
        </w:r>
        <w:r w:rsidRPr="001D6F3C">
          <w:rPr>
            <w:noProof/>
            <w:webHidden/>
          </w:rPr>
          <w:instrText xml:space="preserve"> PAGEREF _Toc203142309 \h </w:instrText>
        </w:r>
        <w:r w:rsidRPr="001D6F3C">
          <w:rPr>
            <w:noProof/>
            <w:webHidden/>
          </w:rPr>
        </w:r>
        <w:r w:rsidRPr="001D6F3C">
          <w:rPr>
            <w:noProof/>
            <w:webHidden/>
          </w:rPr>
          <w:fldChar w:fldCharType="separate"/>
        </w:r>
        <w:r w:rsidRPr="001D6F3C">
          <w:rPr>
            <w:noProof/>
            <w:webHidden/>
          </w:rPr>
          <w:t>52</w:t>
        </w:r>
        <w:r w:rsidRPr="001D6F3C">
          <w:rPr>
            <w:noProof/>
            <w:webHidden/>
          </w:rPr>
          <w:fldChar w:fldCharType="end"/>
        </w:r>
      </w:hyperlink>
    </w:p>
    <w:p w14:paraId="783D0B08" w14:textId="6E8D7833" w:rsidR="00AD2CCE" w:rsidRPr="001D6F3C" w:rsidRDefault="00AD2CCE">
      <w:pPr>
        <w:pStyle w:val="TableofFigures"/>
        <w:tabs>
          <w:tab w:val="right" w:leader="dot" w:pos="9016"/>
        </w:tabs>
        <w:rPr>
          <w:noProof/>
          <w:kern w:val="2"/>
          <w:lang w:eastAsia="en-NZ"/>
          <w14:ligatures w14:val="standardContextual"/>
        </w:rPr>
      </w:pPr>
      <w:hyperlink w:anchor="_Toc203142310" w:history="1">
        <w:r w:rsidRPr="001D6F3C">
          <w:rPr>
            <w:rStyle w:val="Hyperlink"/>
            <w:rFonts w:ascii="Corbel" w:hAnsi="Corbel"/>
            <w:noProof/>
          </w:rPr>
          <w:t>Figure 50 - proportion per contribution rate by income band</w:t>
        </w:r>
        <w:r w:rsidRPr="001D6F3C">
          <w:rPr>
            <w:noProof/>
            <w:webHidden/>
          </w:rPr>
          <w:tab/>
        </w:r>
        <w:r w:rsidRPr="001D6F3C">
          <w:rPr>
            <w:noProof/>
            <w:webHidden/>
          </w:rPr>
          <w:fldChar w:fldCharType="begin"/>
        </w:r>
        <w:r w:rsidRPr="001D6F3C">
          <w:rPr>
            <w:noProof/>
            <w:webHidden/>
          </w:rPr>
          <w:instrText xml:space="preserve"> PAGEREF _Toc203142310 \h </w:instrText>
        </w:r>
        <w:r w:rsidRPr="001D6F3C">
          <w:rPr>
            <w:noProof/>
            <w:webHidden/>
          </w:rPr>
        </w:r>
        <w:r w:rsidRPr="001D6F3C">
          <w:rPr>
            <w:noProof/>
            <w:webHidden/>
          </w:rPr>
          <w:fldChar w:fldCharType="separate"/>
        </w:r>
        <w:r w:rsidRPr="001D6F3C">
          <w:rPr>
            <w:noProof/>
            <w:webHidden/>
          </w:rPr>
          <w:t>52</w:t>
        </w:r>
        <w:r w:rsidRPr="001D6F3C">
          <w:rPr>
            <w:noProof/>
            <w:webHidden/>
          </w:rPr>
          <w:fldChar w:fldCharType="end"/>
        </w:r>
      </w:hyperlink>
    </w:p>
    <w:p w14:paraId="0448580D" w14:textId="58DD1AA8" w:rsidR="00F40F46" w:rsidRPr="001D6F3C" w:rsidRDefault="00CF204C" w:rsidP="00690192">
      <w:pPr>
        <w:jc w:val="both"/>
        <w:rPr>
          <w:rStyle w:val="Heading2Char"/>
          <w:rFonts w:ascii="Corbel" w:hAnsi="Corbel"/>
        </w:rPr>
      </w:pPr>
      <w:r w:rsidRPr="001D6F3C">
        <w:rPr>
          <w:rStyle w:val="Heading2Char"/>
          <w:rFonts w:ascii="Corbel" w:hAnsi="Corbel"/>
        </w:rPr>
        <w:fldChar w:fldCharType="end"/>
      </w:r>
    </w:p>
    <w:p w14:paraId="0C863288" w14:textId="77777777" w:rsidR="00F40F46" w:rsidRPr="001D6F3C" w:rsidRDefault="00F40F46">
      <w:pPr>
        <w:spacing w:before="0"/>
        <w:rPr>
          <w:rStyle w:val="Heading2Char"/>
          <w:rFonts w:ascii="Corbel" w:hAnsi="Corbel"/>
        </w:rPr>
      </w:pPr>
      <w:r w:rsidRPr="001D6F3C">
        <w:rPr>
          <w:rStyle w:val="Heading2Char"/>
          <w:rFonts w:ascii="Corbel" w:hAnsi="Corbel"/>
        </w:rPr>
        <w:br w:type="page"/>
      </w:r>
    </w:p>
    <w:p w14:paraId="3CBF9DF1" w14:textId="1AFF5635" w:rsidR="00A62EE9" w:rsidRPr="001D6F3C" w:rsidRDefault="00F40F46" w:rsidP="00F40F46">
      <w:pPr>
        <w:pStyle w:val="Heading2"/>
        <w:jc w:val="both"/>
        <w:rPr>
          <w:rFonts w:ascii="Corbel" w:hAnsi="Corbel"/>
        </w:rPr>
      </w:pPr>
      <w:bookmarkStart w:id="105" w:name="_Toc207783015"/>
      <w:r w:rsidRPr="001D6F3C">
        <w:rPr>
          <w:rFonts w:ascii="Corbel" w:hAnsi="Corbel"/>
        </w:rPr>
        <w:lastRenderedPageBreak/>
        <w:t>Glossary of key terms</w:t>
      </w:r>
      <w:r w:rsidR="00BA35BA" w:rsidRPr="001D6F3C">
        <w:rPr>
          <w:rFonts w:ascii="Corbel" w:hAnsi="Corbel"/>
        </w:rPr>
        <w:t xml:space="preserve"> and acronyms</w:t>
      </w:r>
      <w:bookmarkEnd w:id="105"/>
    </w:p>
    <w:p w14:paraId="30BDC3ED" w14:textId="06288B7C" w:rsidR="00F40F46" w:rsidRPr="001D6F3C" w:rsidRDefault="00F40F46" w:rsidP="00F40F46">
      <w:pPr>
        <w:rPr>
          <w:rFonts w:ascii="Corbel" w:hAnsi="Corbel"/>
        </w:rPr>
      </w:pPr>
      <w:r w:rsidRPr="001D6F3C">
        <w:rPr>
          <w:rFonts w:ascii="Corbel" w:hAnsi="Corbel"/>
          <w:b/>
          <w:bCs/>
          <w:color w:val="4F81BD" w:themeColor="accent1"/>
        </w:rPr>
        <w:t>Older person/ people</w:t>
      </w:r>
      <w:r w:rsidR="00F10F18" w:rsidRPr="001D6F3C">
        <w:rPr>
          <w:rFonts w:ascii="Corbel" w:hAnsi="Corbel"/>
        </w:rPr>
        <w:t xml:space="preserve"> – </w:t>
      </w:r>
      <w:r w:rsidR="00690780" w:rsidRPr="001D6F3C">
        <w:rPr>
          <w:rFonts w:ascii="Corbel" w:hAnsi="Corbel"/>
        </w:rPr>
        <w:t>t</w:t>
      </w:r>
      <w:r w:rsidR="00F10F18" w:rsidRPr="001D6F3C">
        <w:rPr>
          <w:rFonts w:ascii="Corbel" w:hAnsi="Corbel"/>
        </w:rPr>
        <w:t xml:space="preserve">his generally refers to individuals who are typically aged 65 years or over. </w:t>
      </w:r>
    </w:p>
    <w:p w14:paraId="6DF132AF" w14:textId="683548D6" w:rsidR="00690780" w:rsidRPr="001D6F3C" w:rsidRDefault="00A918E4" w:rsidP="00690780">
      <w:pPr>
        <w:rPr>
          <w:rFonts w:ascii="Corbel" w:hAnsi="Corbel"/>
          <w:b/>
          <w:bCs/>
        </w:rPr>
      </w:pPr>
      <w:r w:rsidRPr="001D6F3C">
        <w:rPr>
          <w:rFonts w:ascii="Corbel" w:hAnsi="Corbel"/>
          <w:b/>
          <w:bCs/>
        </w:rPr>
        <w:t>Concepts and statistical m</w:t>
      </w:r>
      <w:r w:rsidR="00690780" w:rsidRPr="001D6F3C">
        <w:rPr>
          <w:rFonts w:ascii="Corbel" w:hAnsi="Corbel"/>
          <w:b/>
          <w:bCs/>
        </w:rPr>
        <w:t xml:space="preserve">easures of </w:t>
      </w:r>
      <w:r w:rsidR="004B5ACD" w:rsidRPr="001D6F3C">
        <w:rPr>
          <w:rFonts w:ascii="Corbel" w:hAnsi="Corbel"/>
          <w:b/>
          <w:bCs/>
        </w:rPr>
        <w:t>disadvantage</w:t>
      </w:r>
    </w:p>
    <w:p w14:paraId="5F96DBB5" w14:textId="04809FFC" w:rsidR="004B5ACD" w:rsidRPr="001D6F3C" w:rsidRDefault="004B5ACD" w:rsidP="004B5ACD">
      <w:pPr>
        <w:rPr>
          <w:rFonts w:ascii="Corbel" w:hAnsi="Corbel"/>
        </w:rPr>
      </w:pPr>
      <w:r w:rsidRPr="001D6F3C">
        <w:rPr>
          <w:rFonts w:ascii="Corbel" w:hAnsi="Corbel"/>
          <w:b/>
          <w:bCs/>
          <w:color w:val="4F81BD" w:themeColor="accent1"/>
        </w:rPr>
        <w:t xml:space="preserve">Disadvantage - </w:t>
      </w:r>
      <w:r w:rsidRPr="001D6F3C">
        <w:rPr>
          <w:rFonts w:ascii="Corbel" w:hAnsi="Corbel"/>
        </w:rPr>
        <w:t>a broader concept than poverty and hardship, this is where individuals or groups experience compromised wellbeing in any domain (social, economic, educational)</w:t>
      </w:r>
      <w:r w:rsidR="007060C5" w:rsidRPr="001D6F3C">
        <w:rPr>
          <w:rFonts w:ascii="Corbel" w:hAnsi="Corbel"/>
        </w:rPr>
        <w:t>.</w:t>
      </w:r>
    </w:p>
    <w:p w14:paraId="39778BE4" w14:textId="0842C4B2" w:rsidR="004B5ACD" w:rsidRPr="001D6F3C" w:rsidRDefault="004B5ACD" w:rsidP="004B5ACD">
      <w:pPr>
        <w:rPr>
          <w:rFonts w:ascii="Corbel" w:hAnsi="Corbel"/>
        </w:rPr>
      </w:pPr>
      <w:r w:rsidRPr="001D6F3C">
        <w:rPr>
          <w:rFonts w:ascii="Corbel" w:hAnsi="Corbel"/>
          <w:b/>
          <w:bCs/>
          <w:color w:val="4F81BD" w:themeColor="accent1"/>
        </w:rPr>
        <w:t xml:space="preserve">Multiple disadvantage </w:t>
      </w:r>
      <w:r w:rsidRPr="001D6F3C">
        <w:rPr>
          <w:rFonts w:ascii="Corbel" w:hAnsi="Corbel"/>
        </w:rPr>
        <w:t>- Refers to the condition where an individual or household experiences significant challenges in multiple domains.</w:t>
      </w:r>
      <w:r w:rsidR="00173413" w:rsidRPr="001D6F3C">
        <w:rPr>
          <w:rFonts w:ascii="Corbel" w:hAnsi="Corbel"/>
        </w:rPr>
        <w:t xml:space="preserve"> In the IDI analysis included in this paper, it refers to where someone has two or more </w:t>
      </w:r>
      <w:r w:rsidR="001B7DD8" w:rsidRPr="001D6F3C">
        <w:rPr>
          <w:rFonts w:ascii="Corbel" w:hAnsi="Corbel"/>
        </w:rPr>
        <w:t>‘</w:t>
      </w:r>
      <w:proofErr w:type="gramStart"/>
      <w:r w:rsidR="001B7DD8" w:rsidRPr="001D6F3C">
        <w:rPr>
          <w:rFonts w:ascii="Corbel" w:hAnsi="Corbel"/>
        </w:rPr>
        <w:t>disadvantages’</w:t>
      </w:r>
      <w:proofErr w:type="gramEnd"/>
      <w:r w:rsidR="007060C5" w:rsidRPr="001D6F3C">
        <w:rPr>
          <w:rFonts w:ascii="Corbel" w:hAnsi="Corbel"/>
        </w:rPr>
        <w:t>.</w:t>
      </w:r>
    </w:p>
    <w:p w14:paraId="3FA10BD2" w14:textId="20D2B2A6" w:rsidR="004B5ACD" w:rsidRPr="001D6F3C" w:rsidRDefault="004B5ACD" w:rsidP="004B5ACD">
      <w:pPr>
        <w:rPr>
          <w:rFonts w:ascii="Corbel" w:hAnsi="Corbel"/>
          <w:b/>
          <w:bCs/>
          <w:color w:val="4F81BD" w:themeColor="accent1"/>
        </w:rPr>
      </w:pPr>
      <w:r w:rsidRPr="001D6F3C">
        <w:rPr>
          <w:rFonts w:ascii="Corbel" w:hAnsi="Corbel"/>
          <w:b/>
          <w:bCs/>
          <w:color w:val="4F81BD" w:themeColor="accent1"/>
        </w:rPr>
        <w:t xml:space="preserve">Material wellbeing - </w:t>
      </w:r>
      <w:r w:rsidRPr="001D6F3C">
        <w:rPr>
          <w:rFonts w:ascii="Corbel" w:hAnsi="Corbel"/>
        </w:rPr>
        <w:t>refers to the state of having sufficient financial resources and essential items necessary for a comfortable and secure life. This includes having enough money to cover basic needs such as food, clothing, housing, and healthcare, as well as personal satisfaction with one's financial situation</w:t>
      </w:r>
      <w:r w:rsidR="007060C5" w:rsidRPr="001D6F3C">
        <w:rPr>
          <w:rFonts w:ascii="Corbel" w:hAnsi="Corbel"/>
        </w:rPr>
        <w:t>.</w:t>
      </w:r>
    </w:p>
    <w:p w14:paraId="204F478A" w14:textId="0B1B0CFF" w:rsidR="004B5ACD" w:rsidRPr="001D6F3C" w:rsidRDefault="004B5ACD" w:rsidP="004B5ACD">
      <w:pPr>
        <w:rPr>
          <w:rFonts w:ascii="Corbel" w:hAnsi="Corbel"/>
        </w:rPr>
      </w:pPr>
      <w:r w:rsidRPr="001D6F3C">
        <w:rPr>
          <w:rFonts w:ascii="Corbel" w:hAnsi="Corbel"/>
          <w:b/>
          <w:bCs/>
          <w:color w:val="4F81BD" w:themeColor="accent1"/>
        </w:rPr>
        <w:t xml:space="preserve">Material deprivation / hardship </w:t>
      </w:r>
      <w:r w:rsidRPr="001D6F3C">
        <w:rPr>
          <w:rFonts w:ascii="Corbel" w:hAnsi="Corbel"/>
        </w:rPr>
        <w:t>– a measure of where individuals or households lack essential items and services due to financial constraints.</w:t>
      </w:r>
      <w:r w:rsidRPr="001D6F3C">
        <w:t xml:space="preserve"> </w:t>
      </w:r>
      <w:r w:rsidRPr="001D6F3C">
        <w:rPr>
          <w:rFonts w:ascii="Corbel" w:hAnsi="Corbel"/>
        </w:rPr>
        <w:t xml:space="preserve">In New Zealand, material hardship is measured using the DEP-17 </w:t>
      </w:r>
      <w:proofErr w:type="gramStart"/>
      <w:r w:rsidRPr="001D6F3C">
        <w:rPr>
          <w:rFonts w:ascii="Corbel" w:hAnsi="Corbel"/>
        </w:rPr>
        <w:t>index</w:t>
      </w:r>
      <w:r w:rsidR="00C97BD9" w:rsidRPr="001D6F3C">
        <w:rPr>
          <w:rFonts w:ascii="Corbel" w:hAnsi="Corbel"/>
        </w:rPr>
        <w:t>, and</w:t>
      </w:r>
      <w:proofErr w:type="gramEnd"/>
      <w:r w:rsidR="00C97BD9" w:rsidRPr="001D6F3C">
        <w:rPr>
          <w:rFonts w:ascii="Corbel" w:hAnsi="Corbel"/>
        </w:rPr>
        <w:t xml:space="preserve"> refers to when a household is experiencing 6 or more</w:t>
      </w:r>
      <w:r w:rsidR="00590907" w:rsidRPr="001D6F3C">
        <w:rPr>
          <w:rFonts w:ascii="Corbel" w:hAnsi="Corbel"/>
        </w:rPr>
        <w:t xml:space="preserve"> out of 17 ‘deprivations’</w:t>
      </w:r>
      <w:r w:rsidR="00B7074B" w:rsidRPr="001D6F3C">
        <w:rPr>
          <w:rFonts w:ascii="Corbel" w:hAnsi="Corbel"/>
        </w:rPr>
        <w:t>.</w:t>
      </w:r>
    </w:p>
    <w:p w14:paraId="7383F248" w14:textId="66FCF492" w:rsidR="00365F3F" w:rsidRPr="001D6F3C" w:rsidRDefault="00365F3F" w:rsidP="004B5ACD">
      <w:pPr>
        <w:rPr>
          <w:rFonts w:ascii="Corbel" w:hAnsi="Corbel"/>
          <w:b/>
          <w:bCs/>
          <w:color w:val="4F81BD" w:themeColor="accent1"/>
        </w:rPr>
      </w:pPr>
      <w:r w:rsidRPr="001D6F3C">
        <w:rPr>
          <w:rFonts w:ascii="Corbel" w:hAnsi="Corbel"/>
          <w:b/>
          <w:bCs/>
          <w:color w:val="4F81BD" w:themeColor="accent1"/>
        </w:rPr>
        <w:t>Near</w:t>
      </w:r>
      <w:r w:rsidR="00C97BD9" w:rsidRPr="001D6F3C">
        <w:rPr>
          <w:rFonts w:ascii="Corbel" w:hAnsi="Corbel"/>
          <w:b/>
          <w:bCs/>
          <w:color w:val="4F81BD" w:themeColor="accent1"/>
        </w:rPr>
        <w:t>-</w:t>
      </w:r>
      <w:r w:rsidRPr="001D6F3C">
        <w:rPr>
          <w:rFonts w:ascii="Corbel" w:hAnsi="Corbel"/>
          <w:b/>
          <w:bCs/>
          <w:color w:val="4F81BD" w:themeColor="accent1"/>
        </w:rPr>
        <w:t xml:space="preserve">hardship </w:t>
      </w:r>
      <w:r w:rsidR="00C97BD9" w:rsidRPr="001D6F3C">
        <w:rPr>
          <w:rFonts w:ascii="Corbel" w:hAnsi="Corbel"/>
        </w:rPr>
        <w:t>Those who are reporting 4</w:t>
      </w:r>
      <w:r w:rsidR="00985320" w:rsidRPr="001D6F3C">
        <w:rPr>
          <w:rFonts w:ascii="Corbel" w:hAnsi="Corbel"/>
        </w:rPr>
        <w:t>-6</w:t>
      </w:r>
      <w:r w:rsidR="00590907" w:rsidRPr="001D6F3C">
        <w:rPr>
          <w:rFonts w:ascii="Corbel" w:hAnsi="Corbel"/>
        </w:rPr>
        <w:t xml:space="preserve"> deprivations </w:t>
      </w:r>
      <w:r w:rsidR="00985320" w:rsidRPr="001D6F3C">
        <w:rPr>
          <w:rFonts w:ascii="Corbel" w:hAnsi="Corbel"/>
        </w:rPr>
        <w:t>on the DEP-17 index</w:t>
      </w:r>
      <w:r w:rsidR="009851B4" w:rsidRPr="001D6F3C">
        <w:rPr>
          <w:rFonts w:ascii="Corbel" w:hAnsi="Corbel"/>
        </w:rPr>
        <w:t xml:space="preserve">. </w:t>
      </w:r>
    </w:p>
    <w:p w14:paraId="67DD9E3F" w14:textId="357F664A" w:rsidR="004B5ACD" w:rsidRPr="001D6F3C" w:rsidRDefault="004B5ACD" w:rsidP="004B5ACD">
      <w:pPr>
        <w:rPr>
          <w:rFonts w:ascii="Corbel" w:hAnsi="Corbel"/>
        </w:rPr>
      </w:pPr>
      <w:r w:rsidRPr="001D6F3C">
        <w:rPr>
          <w:rFonts w:ascii="Corbel" w:hAnsi="Corbel"/>
          <w:b/>
          <w:bCs/>
          <w:color w:val="4F81BD" w:themeColor="accent1"/>
        </w:rPr>
        <w:t xml:space="preserve">Income poverty </w:t>
      </w:r>
      <w:r w:rsidRPr="001D6F3C">
        <w:rPr>
          <w:rFonts w:ascii="Corbel" w:hAnsi="Corbel"/>
        </w:rPr>
        <w:t xml:space="preserve">- In New Zealand, income poverty is measured using relative income thresholds, such as households living below 50% or 60% of the median income, before or after housing costs. </w:t>
      </w:r>
    </w:p>
    <w:p w14:paraId="63D091E3" w14:textId="55862651" w:rsidR="00690780" w:rsidRPr="001D6F3C" w:rsidRDefault="00690780" w:rsidP="00690780">
      <w:pPr>
        <w:rPr>
          <w:rFonts w:ascii="Corbel" w:hAnsi="Corbel"/>
        </w:rPr>
      </w:pPr>
      <w:r w:rsidRPr="001D6F3C">
        <w:rPr>
          <w:rFonts w:ascii="Corbel" w:hAnsi="Corbel"/>
          <w:b/>
          <w:bCs/>
          <w:color w:val="4F81BD" w:themeColor="accent1"/>
        </w:rPr>
        <w:t>AHC50</w:t>
      </w:r>
      <w:r w:rsidRPr="001D6F3C">
        <w:rPr>
          <w:rFonts w:ascii="Corbel" w:hAnsi="Corbel"/>
        </w:rPr>
        <w:t xml:space="preserve"> – “After Housing Costs 50%." It is a measure of income poverty that calculates the proportion of people living in households with an income below 50% of the median income, after housing costs</w:t>
      </w:r>
      <w:r w:rsidR="007060C5" w:rsidRPr="001D6F3C">
        <w:rPr>
          <w:rFonts w:ascii="Corbel" w:hAnsi="Corbel"/>
        </w:rPr>
        <w:t>.</w:t>
      </w:r>
    </w:p>
    <w:p w14:paraId="34DD7FF8" w14:textId="14F31BA5" w:rsidR="00990853" w:rsidRPr="001D6F3C" w:rsidRDefault="00990853" w:rsidP="0093599A">
      <w:pPr>
        <w:rPr>
          <w:rFonts w:ascii="Corbel" w:hAnsi="Corbel"/>
        </w:rPr>
      </w:pPr>
      <w:r w:rsidRPr="001D6F3C">
        <w:rPr>
          <w:rFonts w:ascii="Corbel" w:hAnsi="Corbel"/>
          <w:b/>
          <w:bCs/>
          <w:color w:val="4F81BD" w:themeColor="accent1"/>
        </w:rPr>
        <w:t>A moving line measure</w:t>
      </w:r>
      <w:r w:rsidRPr="001D6F3C">
        <w:rPr>
          <w:rFonts w:ascii="Corbel" w:hAnsi="Corbel"/>
        </w:rPr>
        <w:t xml:space="preserve"> </w:t>
      </w:r>
      <w:r w:rsidR="0041304A" w:rsidRPr="001D6F3C">
        <w:rPr>
          <w:rFonts w:ascii="Corbel" w:hAnsi="Corbel"/>
        </w:rPr>
        <w:t xml:space="preserve">- </w:t>
      </w:r>
      <w:r w:rsidRPr="001D6F3C">
        <w:rPr>
          <w:rFonts w:ascii="Corbel" w:hAnsi="Corbel"/>
        </w:rPr>
        <w:t>a fully relative measure that adjusts the poverty threshold based on changes average</w:t>
      </w:r>
      <w:r w:rsidR="0041304A" w:rsidRPr="001D6F3C">
        <w:rPr>
          <w:rFonts w:ascii="Corbel" w:hAnsi="Corbel"/>
        </w:rPr>
        <w:t xml:space="preserve"> (median) household</w:t>
      </w:r>
      <w:r w:rsidRPr="001D6F3C">
        <w:rPr>
          <w:rFonts w:ascii="Corbel" w:hAnsi="Corbel"/>
        </w:rPr>
        <w:t xml:space="preserve"> income </w:t>
      </w:r>
      <w:r w:rsidR="0041304A" w:rsidRPr="001D6F3C">
        <w:rPr>
          <w:rFonts w:ascii="Corbel" w:hAnsi="Corbel"/>
        </w:rPr>
        <w:t>each year</w:t>
      </w:r>
      <w:r w:rsidRPr="001D6F3C">
        <w:rPr>
          <w:rFonts w:ascii="Corbel" w:hAnsi="Corbel"/>
        </w:rPr>
        <w:t xml:space="preserve">. </w:t>
      </w:r>
    </w:p>
    <w:p w14:paraId="29125D17" w14:textId="2F90B7C3" w:rsidR="0041304A" w:rsidRPr="001D6F3C" w:rsidRDefault="0041304A" w:rsidP="0041304A">
      <w:pPr>
        <w:rPr>
          <w:rFonts w:ascii="Corbel" w:hAnsi="Corbel"/>
        </w:rPr>
      </w:pPr>
      <w:r w:rsidRPr="001D6F3C">
        <w:rPr>
          <w:rFonts w:ascii="Corbel" w:hAnsi="Corbel"/>
          <w:b/>
          <w:bCs/>
          <w:color w:val="4F81BD" w:themeColor="accent1"/>
        </w:rPr>
        <w:t xml:space="preserve">Fixed line measure </w:t>
      </w:r>
      <w:r w:rsidRPr="001D6F3C">
        <w:rPr>
          <w:rFonts w:ascii="Corbel" w:hAnsi="Corbel"/>
        </w:rPr>
        <w:t>– also called an ‘anchored line’ measure, a fixed line measure of income poverty refers to a poverty threshold that remains constant over time, adjusted only for inflation.</w:t>
      </w:r>
      <w:r w:rsidR="00634045" w:rsidRPr="001D6F3C">
        <w:rPr>
          <w:rFonts w:ascii="Corbel" w:hAnsi="Corbel"/>
        </w:rPr>
        <w:t xml:space="preserve"> </w:t>
      </w:r>
    </w:p>
    <w:p w14:paraId="5C07CB4A" w14:textId="1678CBDE" w:rsidR="00173413" w:rsidRPr="001D6F3C" w:rsidRDefault="00173413" w:rsidP="00173413">
      <w:pPr>
        <w:rPr>
          <w:rFonts w:ascii="Corbel" w:hAnsi="Corbel"/>
        </w:rPr>
      </w:pPr>
      <w:r w:rsidRPr="001D6F3C">
        <w:rPr>
          <w:rFonts w:ascii="Corbel" w:hAnsi="Corbel"/>
          <w:b/>
          <w:bCs/>
          <w:color w:val="4F81BD" w:themeColor="accent1"/>
        </w:rPr>
        <w:t>HES</w:t>
      </w:r>
      <w:r w:rsidRPr="001D6F3C">
        <w:rPr>
          <w:rFonts w:ascii="Corbel" w:hAnsi="Corbel"/>
        </w:rPr>
        <w:t xml:space="preserve"> - Household Economic Survey. An annual survey conducted in New Zealand by Stats NZ that collects information on household income, savings, and expenditure</w:t>
      </w:r>
      <w:r w:rsidR="007060C5" w:rsidRPr="001D6F3C">
        <w:rPr>
          <w:rFonts w:ascii="Corbel" w:hAnsi="Corbel"/>
        </w:rPr>
        <w:t>.</w:t>
      </w:r>
    </w:p>
    <w:p w14:paraId="67EBAE67" w14:textId="4E1C3BE8" w:rsidR="006D5D3C" w:rsidRPr="001D6F3C" w:rsidRDefault="006D5D3C" w:rsidP="006D5D3C">
      <w:pPr>
        <w:rPr>
          <w:rFonts w:ascii="Corbel" w:hAnsi="Corbel"/>
        </w:rPr>
      </w:pPr>
      <w:r w:rsidRPr="001D6F3C">
        <w:rPr>
          <w:rFonts w:ascii="Corbel" w:hAnsi="Corbel"/>
          <w:b/>
          <w:bCs/>
          <w:color w:val="4F81BD" w:themeColor="accent1"/>
        </w:rPr>
        <w:t>GSS</w:t>
      </w:r>
      <w:r w:rsidRPr="001D6F3C">
        <w:rPr>
          <w:rFonts w:ascii="Corbel" w:hAnsi="Corbel"/>
        </w:rPr>
        <w:t xml:space="preserve"> - General Social Survey. This survey is typically carried out every two years by Stats NZ and provides comprehensive information on the wellbeing of New Zealanders aged 15 years and over</w:t>
      </w:r>
      <w:r w:rsidR="007060C5" w:rsidRPr="001D6F3C">
        <w:rPr>
          <w:rFonts w:ascii="Corbel" w:hAnsi="Corbel"/>
        </w:rPr>
        <w:t>.</w:t>
      </w:r>
    </w:p>
    <w:p w14:paraId="116BEAD5" w14:textId="3940F6C1" w:rsidR="00690780" w:rsidRPr="001D6F3C" w:rsidRDefault="00690780" w:rsidP="00F40F46">
      <w:pPr>
        <w:rPr>
          <w:rFonts w:ascii="Corbel" w:hAnsi="Corbel"/>
          <w:b/>
          <w:bCs/>
        </w:rPr>
      </w:pPr>
      <w:r w:rsidRPr="001D6F3C">
        <w:rPr>
          <w:rFonts w:ascii="Corbel" w:hAnsi="Corbel"/>
          <w:b/>
          <w:bCs/>
        </w:rPr>
        <w:t>Payments and Supports</w:t>
      </w:r>
    </w:p>
    <w:p w14:paraId="72C53914" w14:textId="16ACA865" w:rsidR="001B22D6" w:rsidRPr="001D6F3C" w:rsidRDefault="001B22D6" w:rsidP="00F40F46">
      <w:pPr>
        <w:rPr>
          <w:rFonts w:ascii="Corbel" w:hAnsi="Corbel"/>
        </w:rPr>
      </w:pPr>
      <w:r w:rsidRPr="001D6F3C">
        <w:rPr>
          <w:rFonts w:ascii="Corbel" w:hAnsi="Corbel"/>
          <w:b/>
          <w:bCs/>
          <w:color w:val="4F81BD" w:themeColor="accent1"/>
        </w:rPr>
        <w:t>AS</w:t>
      </w:r>
      <w:r w:rsidR="0010266E" w:rsidRPr="001D6F3C">
        <w:rPr>
          <w:rFonts w:ascii="Corbel" w:hAnsi="Corbel"/>
        </w:rPr>
        <w:t xml:space="preserve"> </w:t>
      </w:r>
      <w:r w:rsidR="0035247E" w:rsidRPr="001D6F3C">
        <w:rPr>
          <w:rFonts w:ascii="Corbel" w:hAnsi="Corbel"/>
        </w:rPr>
        <w:t>–</w:t>
      </w:r>
      <w:r w:rsidR="0010266E" w:rsidRPr="001D6F3C">
        <w:rPr>
          <w:rFonts w:ascii="Corbel" w:hAnsi="Corbel"/>
        </w:rPr>
        <w:t xml:space="preserve"> </w:t>
      </w:r>
      <w:r w:rsidR="0035247E" w:rsidRPr="001D6F3C">
        <w:rPr>
          <w:rFonts w:ascii="Corbel" w:hAnsi="Corbel"/>
        </w:rPr>
        <w:t>Accommodation Supplement</w:t>
      </w:r>
      <w:r w:rsidR="007060C5" w:rsidRPr="001D6F3C">
        <w:rPr>
          <w:rFonts w:ascii="Corbel" w:hAnsi="Corbel"/>
        </w:rPr>
        <w:t>.</w:t>
      </w:r>
      <w:r w:rsidR="0035247E" w:rsidRPr="001D6F3C">
        <w:rPr>
          <w:rFonts w:ascii="Corbel" w:hAnsi="Corbel"/>
        </w:rPr>
        <w:t xml:space="preserve"> A weekly payment to help people with their rent, board, or the cost of owning a home. It is available to those who meet certain income and asset criteria</w:t>
      </w:r>
      <w:r w:rsidR="007060C5" w:rsidRPr="001D6F3C">
        <w:rPr>
          <w:rFonts w:ascii="Corbel" w:hAnsi="Corbel"/>
        </w:rPr>
        <w:t>.</w:t>
      </w:r>
    </w:p>
    <w:p w14:paraId="69DBC37A" w14:textId="2360C8A6" w:rsidR="0035247E" w:rsidRPr="001D6F3C" w:rsidRDefault="0035247E" w:rsidP="00F40F46">
      <w:pPr>
        <w:rPr>
          <w:rFonts w:ascii="Corbel" w:hAnsi="Corbel"/>
        </w:rPr>
      </w:pPr>
      <w:r w:rsidRPr="001D6F3C">
        <w:rPr>
          <w:rFonts w:ascii="Corbel" w:hAnsi="Corbel"/>
          <w:b/>
          <w:bCs/>
          <w:color w:val="4F81BD" w:themeColor="accent1"/>
        </w:rPr>
        <w:t>DA</w:t>
      </w:r>
      <w:r w:rsidRPr="001D6F3C">
        <w:rPr>
          <w:rFonts w:ascii="Corbel" w:hAnsi="Corbel"/>
        </w:rPr>
        <w:t xml:space="preserve"> – Disability Allowance</w:t>
      </w:r>
      <w:r w:rsidR="007060C5" w:rsidRPr="001D6F3C">
        <w:rPr>
          <w:rFonts w:ascii="Corbel" w:hAnsi="Corbel"/>
        </w:rPr>
        <w:t>.</w:t>
      </w:r>
      <w:r w:rsidRPr="001D6F3C">
        <w:rPr>
          <w:rFonts w:ascii="Corbel" w:hAnsi="Corbel"/>
        </w:rPr>
        <w:t xml:space="preserve"> A weekly payment for people who have regular, ongoing costs because of a disability.</w:t>
      </w:r>
    </w:p>
    <w:p w14:paraId="54E009DB" w14:textId="60DF21E6" w:rsidR="0093599A" w:rsidRPr="001D6F3C" w:rsidRDefault="0093599A" w:rsidP="0093599A">
      <w:pPr>
        <w:rPr>
          <w:rFonts w:ascii="Corbel" w:hAnsi="Corbel"/>
        </w:rPr>
      </w:pPr>
      <w:r w:rsidRPr="001D6F3C">
        <w:rPr>
          <w:rFonts w:ascii="Corbel" w:hAnsi="Corbel"/>
          <w:b/>
          <w:bCs/>
          <w:color w:val="4F81BD" w:themeColor="accent1"/>
        </w:rPr>
        <w:t xml:space="preserve">IRRS </w:t>
      </w:r>
      <w:r w:rsidR="00012D71" w:rsidRPr="001D6F3C">
        <w:rPr>
          <w:rFonts w:ascii="Corbel" w:hAnsi="Corbel"/>
        </w:rPr>
        <w:t>–</w:t>
      </w:r>
      <w:r w:rsidRPr="001D6F3C">
        <w:rPr>
          <w:rFonts w:ascii="Corbel" w:hAnsi="Corbel"/>
        </w:rPr>
        <w:t xml:space="preserve"> </w:t>
      </w:r>
      <w:r w:rsidR="00012D71" w:rsidRPr="001D6F3C">
        <w:rPr>
          <w:rFonts w:ascii="Corbel" w:hAnsi="Corbel"/>
        </w:rPr>
        <w:t xml:space="preserve">Income Related Rent Subsidy. </w:t>
      </w:r>
      <w:r w:rsidRPr="001D6F3C">
        <w:rPr>
          <w:rFonts w:ascii="Corbel" w:hAnsi="Corbel"/>
        </w:rPr>
        <w:t xml:space="preserve">A subsidy provided to </w:t>
      </w:r>
      <w:r w:rsidR="00012D71" w:rsidRPr="001D6F3C">
        <w:rPr>
          <w:rFonts w:ascii="Corbel" w:hAnsi="Corbel"/>
        </w:rPr>
        <w:t>social</w:t>
      </w:r>
      <w:r w:rsidRPr="001D6F3C">
        <w:rPr>
          <w:rFonts w:ascii="Corbel" w:hAnsi="Corbel"/>
        </w:rPr>
        <w:t xml:space="preserve"> housing landlords, such as </w:t>
      </w:r>
      <w:proofErr w:type="spellStart"/>
      <w:r w:rsidRPr="001D6F3C">
        <w:rPr>
          <w:rFonts w:ascii="Corbel" w:hAnsi="Corbel"/>
        </w:rPr>
        <w:t>Kāinga</w:t>
      </w:r>
      <w:proofErr w:type="spellEnd"/>
      <w:r w:rsidRPr="001D6F3C">
        <w:rPr>
          <w:rFonts w:ascii="Corbel" w:hAnsi="Corbel"/>
        </w:rPr>
        <w:t xml:space="preserve"> Ora and registered Community Housing Providers (CHPs). The IRRS covers the difference between what a public housing tenant pays in rent (set at 25% of net income) and the market rent</w:t>
      </w:r>
      <w:r w:rsidR="00012D71" w:rsidRPr="001D6F3C">
        <w:rPr>
          <w:rFonts w:ascii="Corbel" w:hAnsi="Corbel"/>
        </w:rPr>
        <w:t xml:space="preserve">. </w:t>
      </w:r>
    </w:p>
    <w:p w14:paraId="2DC776CB" w14:textId="78C4D58C" w:rsidR="0093599A" w:rsidRPr="001D6F3C" w:rsidRDefault="0093599A" w:rsidP="0093599A">
      <w:pPr>
        <w:rPr>
          <w:rFonts w:ascii="Corbel" w:hAnsi="Corbel"/>
        </w:rPr>
      </w:pPr>
      <w:r w:rsidRPr="001D6F3C">
        <w:rPr>
          <w:rFonts w:ascii="Corbel" w:hAnsi="Corbel"/>
          <w:b/>
          <w:bCs/>
          <w:color w:val="4F81BD" w:themeColor="accent1"/>
        </w:rPr>
        <w:t>NZS</w:t>
      </w:r>
      <w:r w:rsidRPr="001D6F3C">
        <w:rPr>
          <w:rFonts w:ascii="Corbel" w:hAnsi="Corbel"/>
        </w:rPr>
        <w:t xml:space="preserve"> – New Zealand Superannuation is a payment to help meet the living costs for those over 65</w:t>
      </w:r>
      <w:r w:rsidR="007060C5" w:rsidRPr="001D6F3C">
        <w:rPr>
          <w:rFonts w:ascii="Corbel" w:hAnsi="Corbel"/>
        </w:rPr>
        <w:t>.</w:t>
      </w:r>
    </w:p>
    <w:p w14:paraId="58252190" w14:textId="77777777" w:rsidR="0093599A" w:rsidRPr="001D6F3C" w:rsidRDefault="0093599A" w:rsidP="0093599A">
      <w:pPr>
        <w:rPr>
          <w:rFonts w:ascii="Corbel" w:hAnsi="Corbel"/>
        </w:rPr>
      </w:pPr>
      <w:r w:rsidRPr="001D6F3C">
        <w:rPr>
          <w:rFonts w:ascii="Corbel" w:hAnsi="Corbel"/>
          <w:b/>
          <w:bCs/>
          <w:color w:val="4F81BD" w:themeColor="accent1"/>
        </w:rPr>
        <w:lastRenderedPageBreak/>
        <w:t xml:space="preserve">TAS </w:t>
      </w:r>
      <w:r w:rsidRPr="001D6F3C">
        <w:rPr>
          <w:rFonts w:ascii="Corbel" w:hAnsi="Corbel"/>
        </w:rPr>
        <w:t xml:space="preserve">– Temporary Additional Support. A weekly payment to help people who are struggling to meet their essential living costs. </w:t>
      </w:r>
    </w:p>
    <w:p w14:paraId="54C4208E" w14:textId="3DEE6A99" w:rsidR="0093599A" w:rsidRPr="001D6F3C" w:rsidRDefault="0093599A" w:rsidP="0093599A">
      <w:pPr>
        <w:rPr>
          <w:rFonts w:ascii="Corbel" w:hAnsi="Corbel"/>
        </w:rPr>
      </w:pPr>
      <w:r w:rsidRPr="001D6F3C">
        <w:rPr>
          <w:rFonts w:ascii="Corbel" w:hAnsi="Corbel"/>
          <w:b/>
          <w:bCs/>
          <w:color w:val="4F81BD" w:themeColor="accent1"/>
        </w:rPr>
        <w:t>ARC</w:t>
      </w:r>
      <w:r w:rsidRPr="001D6F3C">
        <w:rPr>
          <w:rFonts w:ascii="Corbel" w:hAnsi="Corbel"/>
        </w:rPr>
        <w:t xml:space="preserve"> - Aged Residential Care. A type of long-term care provided in residential facilities for older people who can no longer live independently.</w:t>
      </w:r>
    </w:p>
    <w:p w14:paraId="26908C37" w14:textId="7527D1AE" w:rsidR="0035167E" w:rsidRPr="001D6F3C" w:rsidRDefault="002B0C12" w:rsidP="00A918E4">
      <w:pPr>
        <w:rPr>
          <w:rFonts w:ascii="Corbel" w:eastAsiaTheme="majorEastAsia" w:hAnsi="Corbel" w:cstheme="majorBidi"/>
          <w:color w:val="365F91" w:themeColor="accent1" w:themeShade="BF"/>
          <w:sz w:val="32"/>
          <w:szCs w:val="32"/>
        </w:rPr>
      </w:pPr>
      <w:r w:rsidRPr="001D6F3C">
        <w:rPr>
          <w:rFonts w:ascii="Corbel" w:hAnsi="Corbel"/>
          <w:b/>
          <w:bCs/>
          <w:color w:val="4F81BD" w:themeColor="accent1"/>
        </w:rPr>
        <w:t>HCSS</w:t>
      </w:r>
      <w:r w:rsidRPr="001D6F3C">
        <w:rPr>
          <w:rFonts w:ascii="Corbel" w:hAnsi="Corbel"/>
        </w:rPr>
        <w:t xml:space="preserve"> - Home and Community Support Services </w:t>
      </w:r>
      <w:r w:rsidR="006D5D3C" w:rsidRPr="001D6F3C">
        <w:rPr>
          <w:rFonts w:ascii="Corbel" w:hAnsi="Corbel"/>
        </w:rPr>
        <w:t xml:space="preserve">- </w:t>
      </w:r>
      <w:r w:rsidRPr="001D6F3C">
        <w:rPr>
          <w:rFonts w:ascii="Corbel" w:hAnsi="Corbel"/>
        </w:rPr>
        <w:t>Services provided to individuals in their own homes or communities to help them live independently</w:t>
      </w:r>
      <w:r w:rsidR="00A918E4" w:rsidRPr="001D6F3C">
        <w:rPr>
          <w:rFonts w:ascii="Corbel" w:hAnsi="Corbel"/>
        </w:rPr>
        <w:t>.</w:t>
      </w:r>
    </w:p>
    <w:p w14:paraId="381AE992" w14:textId="10B14DE4" w:rsidR="008407D4" w:rsidRPr="001D6F3C" w:rsidRDefault="008407D4" w:rsidP="008407D4">
      <w:pPr>
        <w:pStyle w:val="Heading2"/>
        <w:jc w:val="both"/>
        <w:rPr>
          <w:rFonts w:ascii="Corbel" w:hAnsi="Corbel"/>
        </w:rPr>
      </w:pPr>
      <w:bookmarkStart w:id="106" w:name="_Toc207783016"/>
      <w:r w:rsidRPr="001D6F3C">
        <w:rPr>
          <w:rFonts w:ascii="Corbel" w:hAnsi="Corbel"/>
        </w:rPr>
        <w:t>Bibliography</w:t>
      </w:r>
      <w:bookmarkEnd w:id="106"/>
    </w:p>
    <w:p w14:paraId="368FEFA8" w14:textId="681BC076" w:rsidR="005039B9" w:rsidRPr="001D6F3C" w:rsidRDefault="005039B9" w:rsidP="002E1722">
      <w:pPr>
        <w:jc w:val="both"/>
        <w:rPr>
          <w:rFonts w:ascii="Corbel" w:hAnsi="Corbel"/>
        </w:rPr>
      </w:pPr>
      <w:r w:rsidRPr="001D6F3C">
        <w:rPr>
          <w:rFonts w:ascii="Corbel" w:hAnsi="Corbel"/>
        </w:rPr>
        <w:t>Allen</w:t>
      </w:r>
      <w:r w:rsidR="00A047CB" w:rsidRPr="001D6F3C">
        <w:rPr>
          <w:rFonts w:ascii="Corbel" w:hAnsi="Corbel"/>
        </w:rPr>
        <w:t>, J. and Irwin, K. (</w:t>
      </w:r>
      <w:r w:rsidR="007F0201" w:rsidRPr="001D6F3C">
        <w:rPr>
          <w:rFonts w:ascii="Corbel" w:hAnsi="Corbel"/>
        </w:rPr>
        <w:t xml:space="preserve">2023). </w:t>
      </w:r>
      <w:r w:rsidR="007F0201" w:rsidRPr="001D6F3C">
        <w:rPr>
          <w:rFonts w:ascii="Corbel" w:hAnsi="Corbel"/>
          <w:i/>
        </w:rPr>
        <w:t xml:space="preserve">Experiences of Secure and Precarious Employment </w:t>
      </w:r>
      <w:r w:rsidR="00BC24A4" w:rsidRPr="001D6F3C">
        <w:rPr>
          <w:rFonts w:ascii="Corbel" w:hAnsi="Corbel"/>
          <w:i/>
        </w:rPr>
        <w:t>Among Older Māori – Data Insights</w:t>
      </w:r>
      <w:r w:rsidR="00BC24A4" w:rsidRPr="001D6F3C">
        <w:rPr>
          <w:rFonts w:ascii="Corbel" w:hAnsi="Corbel"/>
        </w:rPr>
        <w:t>.</w:t>
      </w:r>
      <w:r w:rsidR="00B946E1" w:rsidRPr="001D6F3C">
        <w:rPr>
          <w:rFonts w:ascii="Corbel" w:hAnsi="Corbel"/>
        </w:rPr>
        <w:t xml:space="preserve"> Office for Seniors.</w:t>
      </w:r>
    </w:p>
    <w:p w14:paraId="637A10D5" w14:textId="79A1F5EB" w:rsidR="00B67092" w:rsidRPr="001D6F3C" w:rsidRDefault="00B67092" w:rsidP="002E1722">
      <w:pPr>
        <w:jc w:val="both"/>
        <w:rPr>
          <w:rFonts w:ascii="Corbel" w:hAnsi="Corbel"/>
        </w:rPr>
      </w:pPr>
      <w:r w:rsidRPr="001D6F3C">
        <w:rPr>
          <w:rFonts w:ascii="Corbel" w:hAnsi="Corbel"/>
        </w:rPr>
        <w:t>Amore, K., Viggers, H.</w:t>
      </w:r>
      <w:r w:rsidR="00FB1F9B" w:rsidRPr="001D6F3C">
        <w:rPr>
          <w:rFonts w:ascii="Corbel" w:hAnsi="Corbel"/>
        </w:rPr>
        <w:t xml:space="preserve"> and Howden Chapman, P. (2021). Severe housing deprivation in Aotearoa New Zealand</w:t>
      </w:r>
      <w:r w:rsidR="007034E4" w:rsidRPr="001D6F3C">
        <w:rPr>
          <w:rFonts w:ascii="Corbel" w:hAnsi="Corbel"/>
        </w:rPr>
        <w:t xml:space="preserve">, 2018. </w:t>
      </w:r>
    </w:p>
    <w:p w14:paraId="305D0565" w14:textId="77777777" w:rsidR="003C4664" w:rsidRPr="001D6F3C" w:rsidRDefault="002E1722" w:rsidP="002E1722">
      <w:pPr>
        <w:jc w:val="both"/>
        <w:rPr>
          <w:rFonts w:ascii="Corbel" w:hAnsi="Corbel"/>
        </w:rPr>
      </w:pPr>
      <w:r w:rsidRPr="001D6F3C">
        <w:rPr>
          <w:rFonts w:ascii="Corbel" w:hAnsi="Corbel"/>
        </w:rPr>
        <w:t xml:space="preserve">Allport, T., Martin, G., &amp; White, H. (2018). </w:t>
      </w:r>
      <w:proofErr w:type="spellStart"/>
      <w:r w:rsidRPr="001D6F3C">
        <w:rPr>
          <w:rFonts w:ascii="Corbel" w:hAnsi="Corbel"/>
        </w:rPr>
        <w:t>Kaumātuatanga</w:t>
      </w:r>
      <w:proofErr w:type="spellEnd"/>
      <w:r w:rsidRPr="001D6F3C">
        <w:rPr>
          <w:rFonts w:ascii="Corbel" w:hAnsi="Corbel"/>
        </w:rPr>
        <w:t>: The needs and wellbeing of older Māori. Te Pou Matakana.</w:t>
      </w:r>
    </w:p>
    <w:p w14:paraId="55CABFDA" w14:textId="244A383C" w:rsidR="002E1722" w:rsidRPr="001D6F3C" w:rsidRDefault="003C4664" w:rsidP="002E1722">
      <w:pPr>
        <w:jc w:val="both"/>
        <w:rPr>
          <w:rFonts w:ascii="Corbel" w:hAnsi="Corbel"/>
        </w:rPr>
      </w:pPr>
      <w:r w:rsidRPr="001D6F3C">
        <w:rPr>
          <w:rFonts w:ascii="Corbel" w:hAnsi="Corbel"/>
        </w:rPr>
        <w:t xml:space="preserve">BNZ. (2022). Digital skills for life in Aotearoa. </w:t>
      </w:r>
      <w:r w:rsidR="002E1722" w:rsidRPr="001D6F3C">
        <w:rPr>
          <w:rFonts w:ascii="Corbel" w:hAnsi="Corbel"/>
        </w:rPr>
        <w:t xml:space="preserve"> </w:t>
      </w:r>
    </w:p>
    <w:p w14:paraId="53280E94" w14:textId="45502D99" w:rsidR="009D4933" w:rsidRPr="001D6F3C" w:rsidRDefault="009D4933" w:rsidP="002E1722">
      <w:pPr>
        <w:jc w:val="both"/>
        <w:rPr>
          <w:rFonts w:ascii="Corbel" w:hAnsi="Corbel"/>
        </w:rPr>
      </w:pPr>
      <w:r w:rsidRPr="001D6F3C">
        <w:t xml:space="preserve">Citizens Advice </w:t>
      </w:r>
      <w:r w:rsidR="3F4AFF06" w:rsidRPr="001D6F3C">
        <w:t>Bureau</w:t>
      </w:r>
      <w:r w:rsidRPr="001D6F3C">
        <w:t xml:space="preserve"> New Zealand</w:t>
      </w:r>
      <w:r w:rsidR="00F40994" w:rsidRPr="001D6F3C">
        <w:t>. (2020). Face to Face with Digital Exclusion</w:t>
      </w:r>
      <w:r w:rsidR="00FB064F" w:rsidRPr="001D6F3C">
        <w:t xml:space="preserve">. </w:t>
      </w:r>
    </w:p>
    <w:p w14:paraId="4C4B679E" w14:textId="295A1382" w:rsidR="002E1722" w:rsidRPr="001D6F3C" w:rsidRDefault="002E1722" w:rsidP="002E1722">
      <w:pPr>
        <w:jc w:val="both"/>
        <w:rPr>
          <w:rFonts w:ascii="Corbel" w:hAnsi="Corbel"/>
        </w:rPr>
      </w:pPr>
      <w:r w:rsidRPr="001D6F3C">
        <w:rPr>
          <w:rFonts w:ascii="Corbel" w:hAnsi="Corbel"/>
        </w:rPr>
        <w:t>Cunningham, C., Durie, M., Fergusson, D., Fitzgerald, E., Hong, B., Horwood, J., Jensen, J., Rochford, M., &amp; Stevenson, B. (2002). Ng</w:t>
      </w:r>
      <w:r w:rsidR="00502CBB" w:rsidRPr="001D6F3C">
        <w:rPr>
          <w:rFonts w:ascii="Corbel" w:hAnsi="Corbel"/>
        </w:rPr>
        <w:t>ā</w:t>
      </w:r>
      <w:r w:rsidRPr="001D6F3C">
        <w:rPr>
          <w:rFonts w:ascii="Corbel" w:hAnsi="Corbel"/>
        </w:rPr>
        <w:t xml:space="preserve"> </w:t>
      </w:r>
      <w:proofErr w:type="spellStart"/>
      <w:r w:rsidR="008540A7" w:rsidRPr="001D6F3C">
        <w:rPr>
          <w:rFonts w:ascii="Corbel" w:hAnsi="Corbel"/>
        </w:rPr>
        <w:t>Ā</w:t>
      </w:r>
      <w:r w:rsidRPr="001D6F3C">
        <w:rPr>
          <w:rFonts w:ascii="Corbel" w:hAnsi="Corbel"/>
        </w:rPr>
        <w:t>huatanga</w:t>
      </w:r>
      <w:proofErr w:type="spellEnd"/>
      <w:r w:rsidRPr="001D6F3C">
        <w:rPr>
          <w:rFonts w:ascii="Corbel" w:hAnsi="Corbel"/>
        </w:rPr>
        <w:t xml:space="preserve"> Noho o te Hunga Pakeke M</w:t>
      </w:r>
      <w:r w:rsidR="004A19A0" w:rsidRPr="001D6F3C">
        <w:rPr>
          <w:rFonts w:ascii="Corbel" w:hAnsi="Corbel"/>
        </w:rPr>
        <w:t>ā</w:t>
      </w:r>
      <w:r w:rsidRPr="001D6F3C">
        <w:rPr>
          <w:rFonts w:ascii="Corbel" w:hAnsi="Corbel"/>
        </w:rPr>
        <w:t xml:space="preserve">ori | Living standards of older </w:t>
      </w:r>
      <w:proofErr w:type="spellStart"/>
      <w:r w:rsidRPr="001D6F3C">
        <w:rPr>
          <w:rFonts w:ascii="Corbel" w:hAnsi="Corbel"/>
        </w:rPr>
        <w:t>Maori</w:t>
      </w:r>
      <w:proofErr w:type="spellEnd"/>
      <w:r w:rsidRPr="001D6F3C">
        <w:rPr>
          <w:rFonts w:ascii="Corbel" w:hAnsi="Corbel"/>
        </w:rPr>
        <w:t>. Ministry of Social Development.</w:t>
      </w:r>
    </w:p>
    <w:p w14:paraId="4EA6BFB4" w14:textId="77777777" w:rsidR="002E1722" w:rsidRPr="001D6F3C" w:rsidRDefault="002E1722" w:rsidP="002E1722">
      <w:pPr>
        <w:jc w:val="both"/>
        <w:rPr>
          <w:rFonts w:ascii="Corbel" w:hAnsi="Corbel"/>
        </w:rPr>
      </w:pPr>
      <w:r w:rsidRPr="001D6F3C">
        <w:rPr>
          <w:rFonts w:ascii="Corbel" w:hAnsi="Corbel"/>
        </w:rPr>
        <w:t>DeJoseph, M., Ellwood-Low, M., Miller-Cotto, D., Silverman, D., Shannon, K., Reyes, G., Rakesh, D., &amp; Frankenhuis, W. (2024). The promise and pitfalls of a strength-based approach to child poverty and neurocognitive development: Implications for policy. Developmental Cognitive Neuroscience, 66.</w:t>
      </w:r>
    </w:p>
    <w:p w14:paraId="47596E4D" w14:textId="1AC9EDFF" w:rsidR="001F2EA2" w:rsidRPr="001D6F3C" w:rsidRDefault="001F2EA2" w:rsidP="002E1722">
      <w:pPr>
        <w:jc w:val="both"/>
        <w:rPr>
          <w:rFonts w:ascii="Corbel" w:hAnsi="Corbel"/>
        </w:rPr>
      </w:pPr>
      <w:r w:rsidRPr="001D6F3C">
        <w:rPr>
          <w:rFonts w:ascii="Corbel" w:hAnsi="Corbel"/>
        </w:rPr>
        <w:t>Department of the Prime Minister and Cabinet. (2019). Te Tiriti o Waitangi / Treaty of Waitangi guidance (CO (19) 5). https://www.dpmc.govt.nz/publications/co-19-5-te-tiriti-o-waitangi-treaty-waitangi-guidance</w:t>
      </w:r>
    </w:p>
    <w:p w14:paraId="3E1EEEFF" w14:textId="40B3A8A4" w:rsidR="002E1722" w:rsidRPr="001D6F3C" w:rsidRDefault="002E1722" w:rsidP="002E1722">
      <w:pPr>
        <w:jc w:val="both"/>
        <w:rPr>
          <w:rFonts w:ascii="Corbel" w:hAnsi="Corbel"/>
        </w:rPr>
      </w:pPr>
      <w:r w:rsidRPr="001D6F3C">
        <w:rPr>
          <w:rFonts w:ascii="Corbel" w:hAnsi="Corbel"/>
        </w:rPr>
        <w:t>Fergusson, D., Hong, B., Horwood, J., Jensen, J., &amp; Travers, P. (2001). Living standards of older New Zealanders. Ministry of Social Policy.</w:t>
      </w:r>
    </w:p>
    <w:p w14:paraId="25B387BF" w14:textId="77777777" w:rsidR="00C95524" w:rsidRPr="001D6F3C" w:rsidRDefault="00C95524" w:rsidP="002E1722">
      <w:pPr>
        <w:jc w:val="both"/>
        <w:rPr>
          <w:rFonts w:ascii="Corbel" w:hAnsi="Corbel"/>
        </w:rPr>
      </w:pPr>
      <w:r w:rsidRPr="001D6F3C">
        <w:rPr>
          <w:rFonts w:ascii="Corbel" w:hAnsi="Corbel"/>
        </w:rPr>
        <w:t xml:space="preserve">Gluckman, P., </w:t>
      </w:r>
      <w:proofErr w:type="spellStart"/>
      <w:r w:rsidRPr="001D6F3C">
        <w:rPr>
          <w:rFonts w:ascii="Corbel" w:hAnsi="Corbel"/>
        </w:rPr>
        <w:t>Spoonley</w:t>
      </w:r>
      <w:proofErr w:type="spellEnd"/>
      <w:r w:rsidRPr="001D6F3C">
        <w:rPr>
          <w:rFonts w:ascii="Corbel" w:hAnsi="Corbel"/>
        </w:rPr>
        <w:t>, P., Bardsley, A., Poulton, R., Royal, T. A. C., Sridhar, H., &amp; Clyne, D. (2023). Addressing the challenges to social cohesion. Koi Tū: The Centre for Informed Futures.</w:t>
      </w:r>
    </w:p>
    <w:p w14:paraId="773DA553" w14:textId="77777777" w:rsidR="00C5515B" w:rsidRPr="001D6F3C" w:rsidRDefault="00C5515B" w:rsidP="002E1722">
      <w:pPr>
        <w:jc w:val="both"/>
        <w:rPr>
          <w:rFonts w:ascii="Corbel" w:eastAsia="Corbel" w:hAnsi="Corbel" w:cs="Corbel"/>
        </w:rPr>
      </w:pPr>
      <w:r w:rsidRPr="001D6F3C">
        <w:rPr>
          <w:rFonts w:ascii="Corbel" w:eastAsia="Corbel" w:hAnsi="Corbel" w:cs="Corbel"/>
        </w:rPr>
        <w:t xml:space="preserve">Gordon, L. (2016). </w:t>
      </w:r>
      <w:r w:rsidRPr="001D6F3C">
        <w:rPr>
          <w:rFonts w:ascii="Corbel" w:eastAsia="Corbel" w:hAnsi="Corbel" w:cs="Corbel"/>
          <w:i/>
          <w:iCs/>
        </w:rPr>
        <w:t>The empty nest is refilled: The joys and tribulations of grandparents raising their grandchildren in Aotearoa</w:t>
      </w:r>
      <w:r w:rsidRPr="001D6F3C">
        <w:rPr>
          <w:rFonts w:ascii="Corbel" w:eastAsia="Corbel" w:hAnsi="Corbel" w:cs="Corbel"/>
        </w:rPr>
        <w:t>. Grandparents Raising Grandchildren Trust NZ.</w:t>
      </w:r>
    </w:p>
    <w:p w14:paraId="6BAD4532" w14:textId="6DCEA66C" w:rsidR="0040022E" w:rsidRPr="001D6F3C" w:rsidRDefault="0040022E" w:rsidP="002E1722">
      <w:pPr>
        <w:jc w:val="both"/>
        <w:rPr>
          <w:rFonts w:ascii="Corbel" w:eastAsia="Corbel" w:hAnsi="Corbel" w:cs="Corbel"/>
        </w:rPr>
      </w:pPr>
      <w:r w:rsidRPr="001D6F3C">
        <w:rPr>
          <w:rFonts w:ascii="Corbel" w:eastAsia="Corbel" w:hAnsi="Corbel" w:cs="Corbel"/>
        </w:rPr>
        <w:t>Grime</w:t>
      </w:r>
      <w:r w:rsidR="00957302" w:rsidRPr="001D6F3C">
        <w:rPr>
          <w:rFonts w:ascii="Corbel" w:eastAsia="Corbel" w:hAnsi="Corbel" w:cs="Corbel"/>
        </w:rPr>
        <w:t>s</w:t>
      </w:r>
      <w:r w:rsidRPr="001D6F3C">
        <w:rPr>
          <w:rFonts w:ascii="Corbel" w:eastAsia="Corbel" w:hAnsi="Corbel" w:cs="Corbel"/>
        </w:rPr>
        <w:t>, A. and White, D. (</w:t>
      </w:r>
      <w:r w:rsidR="00DE3AA6" w:rsidRPr="001D6F3C">
        <w:rPr>
          <w:rFonts w:ascii="Corbel" w:eastAsia="Corbel" w:hAnsi="Corbel" w:cs="Corbel"/>
        </w:rPr>
        <w:t xml:space="preserve">2019). </w:t>
      </w:r>
      <w:r w:rsidR="00DE3AA6" w:rsidRPr="001D6F3C">
        <w:rPr>
          <w:rFonts w:ascii="Corbel" w:eastAsia="Corbel" w:hAnsi="Corbel" w:cs="Corbel"/>
          <w:i/>
          <w:iCs/>
        </w:rPr>
        <w:t>Digital inclusion and wellbeing in New Zealand</w:t>
      </w:r>
      <w:r w:rsidR="00DE3AA6" w:rsidRPr="001D6F3C">
        <w:rPr>
          <w:rFonts w:ascii="Corbel" w:eastAsia="Corbel" w:hAnsi="Corbel" w:cs="Corbel"/>
        </w:rPr>
        <w:t xml:space="preserve">. </w:t>
      </w:r>
      <w:r w:rsidR="00B05758" w:rsidRPr="001D6F3C">
        <w:rPr>
          <w:rFonts w:ascii="Corbel" w:eastAsia="Corbel" w:hAnsi="Corbel" w:cs="Corbel"/>
        </w:rPr>
        <w:t xml:space="preserve">Motu Economic and Public Policy Research. </w:t>
      </w:r>
    </w:p>
    <w:p w14:paraId="3C6A2641" w14:textId="08C7E234" w:rsidR="002E1722" w:rsidRPr="001D6F3C" w:rsidRDefault="002E1722" w:rsidP="002E1722">
      <w:pPr>
        <w:jc w:val="both"/>
        <w:rPr>
          <w:rFonts w:ascii="Corbel" w:hAnsi="Corbel"/>
        </w:rPr>
      </w:pPr>
      <w:r w:rsidRPr="001D6F3C">
        <w:rPr>
          <w:rFonts w:ascii="Corbel" w:hAnsi="Corbel"/>
        </w:rPr>
        <w:t>Hughes, T. (2022). The distribution of advantage in Aotearoa New Zealand: Exploring the evidence (p. 10). The Treasury.</w:t>
      </w:r>
    </w:p>
    <w:p w14:paraId="74DADC88" w14:textId="77777777" w:rsidR="002E1722" w:rsidRPr="001D6F3C" w:rsidRDefault="002E1722" w:rsidP="002E1722">
      <w:pPr>
        <w:jc w:val="both"/>
        <w:rPr>
          <w:rFonts w:ascii="Corbel" w:hAnsi="Corbel"/>
        </w:rPr>
      </w:pPr>
      <w:proofErr w:type="spellStart"/>
      <w:r w:rsidRPr="001D6F3C">
        <w:rPr>
          <w:rFonts w:ascii="Corbel" w:hAnsi="Corbel"/>
        </w:rPr>
        <w:t>Infometrics</w:t>
      </w:r>
      <w:proofErr w:type="spellEnd"/>
      <w:r w:rsidRPr="001D6F3C">
        <w:rPr>
          <w:rFonts w:ascii="Corbel" w:hAnsi="Corbel"/>
        </w:rPr>
        <w:t>. (2014). The economic value and impacts of informal care in New Zealand. The-economic-value-of-informal-care-in-New-Zealand-Final-copy-5.pdf</w:t>
      </w:r>
    </w:p>
    <w:p w14:paraId="6393E3EA" w14:textId="10717537" w:rsidR="002E1722" w:rsidRPr="001D6F3C" w:rsidRDefault="002E1722" w:rsidP="002E1722">
      <w:pPr>
        <w:jc w:val="both"/>
        <w:rPr>
          <w:rFonts w:ascii="Corbel" w:hAnsi="Corbel"/>
        </w:rPr>
      </w:pPr>
      <w:r w:rsidRPr="001D6F3C">
        <w:rPr>
          <w:rFonts w:ascii="Corbel" w:hAnsi="Corbel"/>
        </w:rPr>
        <w:lastRenderedPageBreak/>
        <w:t>Irwin, K. G., &amp; Thompson, E. (2022). What does retirement look like for Māori: What the people said about ‘what does retirement look like for Māori’. Office of the Retirement Commission, Te Ara Ahunga Ora.</w:t>
      </w:r>
    </w:p>
    <w:p w14:paraId="586C354C" w14:textId="77777777" w:rsidR="002E1722" w:rsidRPr="001D6F3C" w:rsidRDefault="002E1722" w:rsidP="002E1722">
      <w:pPr>
        <w:jc w:val="both"/>
        <w:rPr>
          <w:rFonts w:ascii="Corbel" w:hAnsi="Corbel"/>
        </w:rPr>
      </w:pPr>
      <w:r w:rsidRPr="001D6F3C">
        <w:rPr>
          <w:rFonts w:ascii="Corbel" w:hAnsi="Corbel"/>
        </w:rPr>
        <w:t xml:space="preserve">James Henare Research Centre. (2022). </w:t>
      </w:r>
      <w:proofErr w:type="spellStart"/>
      <w:r w:rsidRPr="001D6F3C">
        <w:rPr>
          <w:rFonts w:ascii="Corbel" w:hAnsi="Corbel"/>
        </w:rPr>
        <w:t>Kāinga</w:t>
      </w:r>
      <w:proofErr w:type="spellEnd"/>
      <w:r w:rsidRPr="001D6F3C">
        <w:rPr>
          <w:rFonts w:ascii="Corbel" w:hAnsi="Corbel"/>
        </w:rPr>
        <w:t xml:space="preserve"> Noho – </w:t>
      </w:r>
      <w:proofErr w:type="spellStart"/>
      <w:r w:rsidRPr="001D6F3C">
        <w:rPr>
          <w:rFonts w:ascii="Corbel" w:hAnsi="Corbel"/>
        </w:rPr>
        <w:t>Kāinga</w:t>
      </w:r>
      <w:proofErr w:type="spellEnd"/>
      <w:r w:rsidRPr="001D6F3C">
        <w:rPr>
          <w:rFonts w:ascii="Corbel" w:hAnsi="Corbel"/>
        </w:rPr>
        <w:t xml:space="preserve"> Whenua Housing and Whenua: Kaumātua voices. Office of the Retirement Commission, Te Ara Ahunga Ora.</w:t>
      </w:r>
    </w:p>
    <w:p w14:paraId="695FC7CF" w14:textId="4F8BF87F" w:rsidR="3B1C53A1" w:rsidRPr="001D6F3C" w:rsidRDefault="3B1C53A1" w:rsidP="28F66322">
      <w:pPr>
        <w:spacing w:before="240" w:after="240"/>
        <w:jc w:val="both"/>
        <w:rPr>
          <w:rFonts w:ascii="Corbel" w:eastAsia="Corbel" w:hAnsi="Corbel" w:cs="Corbel"/>
        </w:rPr>
      </w:pPr>
      <w:r w:rsidRPr="001D6F3C">
        <w:rPr>
          <w:rFonts w:ascii="Corbel" w:eastAsia="Corbel" w:hAnsi="Corbel" w:cs="Corbel"/>
        </w:rPr>
        <w:t xml:space="preserve">Jarman J, Naus H, &amp; Turner J, </w:t>
      </w:r>
      <w:r w:rsidR="005509CD" w:rsidRPr="001D6F3C">
        <w:rPr>
          <w:rFonts w:ascii="Corbel" w:eastAsia="Corbel" w:hAnsi="Corbel" w:cs="Corbel"/>
        </w:rPr>
        <w:t>(</w:t>
      </w:r>
      <w:r w:rsidRPr="001D6F3C">
        <w:rPr>
          <w:rFonts w:ascii="Corbel" w:eastAsia="Corbel" w:hAnsi="Corbel" w:cs="Corbel"/>
        </w:rPr>
        <w:t>2024</w:t>
      </w:r>
      <w:r w:rsidR="005509CD" w:rsidRPr="001D6F3C">
        <w:rPr>
          <w:rFonts w:ascii="Corbel" w:eastAsia="Corbel" w:hAnsi="Corbel" w:cs="Corbel"/>
        </w:rPr>
        <w:t>)</w:t>
      </w:r>
      <w:r w:rsidRPr="001D6F3C">
        <w:rPr>
          <w:rFonts w:ascii="Corbel" w:eastAsia="Corbel" w:hAnsi="Corbel" w:cs="Corbel"/>
        </w:rPr>
        <w:t xml:space="preserve">. </w:t>
      </w:r>
      <w:r w:rsidRPr="001D6F3C">
        <w:rPr>
          <w:rFonts w:ascii="Corbel" w:eastAsia="Corbel" w:hAnsi="Corbel" w:cs="Corbel"/>
          <w:i/>
          <w:iCs/>
        </w:rPr>
        <w:t>Severe domestic squalor in Aotearoa New Zealand: A preliminary survey</w:t>
      </w:r>
      <w:r w:rsidRPr="001D6F3C">
        <w:rPr>
          <w:rFonts w:ascii="Corbel" w:eastAsia="Corbel" w:hAnsi="Corbel" w:cs="Corbel"/>
        </w:rPr>
        <w:t>. Severe domestic squalor in Aotearoa New Zealand_ A preliminary survey (1).pdf</w:t>
      </w:r>
    </w:p>
    <w:p w14:paraId="0A17D6CF" w14:textId="4EE981B2" w:rsidR="00A6411C" w:rsidRPr="001D6F3C" w:rsidRDefault="00A6411C" w:rsidP="28F66322">
      <w:pPr>
        <w:spacing w:before="240" w:after="240"/>
        <w:jc w:val="both"/>
      </w:pPr>
      <w:r w:rsidRPr="001D6F3C">
        <w:rPr>
          <w:rFonts w:ascii="Corbel" w:eastAsia="Corbel" w:hAnsi="Corbel" w:cs="Corbel"/>
        </w:rPr>
        <w:t>JLL</w:t>
      </w:r>
      <w:r w:rsidR="005509CD" w:rsidRPr="001D6F3C">
        <w:rPr>
          <w:rFonts w:ascii="Corbel" w:eastAsia="Corbel" w:hAnsi="Corbel" w:cs="Corbel"/>
        </w:rPr>
        <w:t>. (2024)</w:t>
      </w:r>
      <w:r w:rsidR="002516BF" w:rsidRPr="001D6F3C">
        <w:rPr>
          <w:rFonts w:ascii="Corbel" w:eastAsia="Corbel" w:hAnsi="Corbel" w:cs="Corbel"/>
        </w:rPr>
        <w:t>.</w:t>
      </w:r>
      <w:r w:rsidR="005509CD" w:rsidRPr="001D6F3C">
        <w:rPr>
          <w:rFonts w:ascii="Corbel" w:eastAsia="Corbel" w:hAnsi="Corbel" w:cs="Corbel"/>
        </w:rPr>
        <w:t xml:space="preserve"> New Zealand retirement villages whitepaper. </w:t>
      </w:r>
    </w:p>
    <w:p w14:paraId="68E55E5E" w14:textId="04A01104" w:rsidR="002E1722" w:rsidRPr="001D6F3C" w:rsidRDefault="002E1722" w:rsidP="002E1722">
      <w:pPr>
        <w:jc w:val="both"/>
        <w:rPr>
          <w:rFonts w:ascii="Corbel" w:hAnsi="Corbel"/>
        </w:rPr>
      </w:pPr>
      <w:r w:rsidRPr="001D6F3C">
        <w:rPr>
          <w:rFonts w:ascii="Corbel" w:hAnsi="Corbel"/>
        </w:rPr>
        <w:t xml:space="preserve">Kempton, M. (2022). What does retirement look like for Māori: Literature review. Office of the Retirement Commission, Te Ara Ahunga Ora. </w:t>
      </w:r>
    </w:p>
    <w:p w14:paraId="066F611D" w14:textId="09DA75F1" w:rsidR="6F026E8E" w:rsidRPr="001D6F3C" w:rsidRDefault="6F026E8E" w:rsidP="4767B701">
      <w:pPr>
        <w:spacing w:before="0" w:line="257" w:lineRule="auto"/>
        <w:jc w:val="both"/>
      </w:pPr>
      <w:r w:rsidRPr="001D6F3C">
        <w:rPr>
          <w:rFonts w:ascii="Corbel" w:eastAsia="Corbel" w:hAnsi="Corbel" w:cs="Corbel"/>
        </w:rPr>
        <w:t xml:space="preserve">Lapsley H., Hayman K., Muru-Lanning M., Moyes S., Keeling S., Edlin R., &amp; Kerse N., </w:t>
      </w:r>
      <w:r w:rsidR="002238F3" w:rsidRPr="001D6F3C">
        <w:rPr>
          <w:rFonts w:ascii="Corbel" w:eastAsia="Corbel" w:hAnsi="Corbel" w:cs="Corbel"/>
        </w:rPr>
        <w:t>(</w:t>
      </w:r>
      <w:r w:rsidRPr="001D6F3C">
        <w:rPr>
          <w:rFonts w:ascii="Corbel" w:eastAsia="Corbel" w:hAnsi="Corbel" w:cs="Corbel"/>
        </w:rPr>
        <w:t>2019</w:t>
      </w:r>
      <w:r w:rsidR="002238F3" w:rsidRPr="001D6F3C">
        <w:rPr>
          <w:rFonts w:ascii="Corbel" w:eastAsia="Corbel" w:hAnsi="Corbel" w:cs="Corbel"/>
        </w:rPr>
        <w:t>)</w:t>
      </w:r>
      <w:r w:rsidRPr="001D6F3C">
        <w:rPr>
          <w:rFonts w:ascii="Corbel" w:eastAsia="Corbel" w:hAnsi="Corbel" w:cs="Corbel"/>
          <w:i/>
          <w:iCs/>
        </w:rPr>
        <w:t xml:space="preserve">. Caregiving, ethnicity and gender in Māori and non-Māori New Zealanders of advanced age: Findings from </w:t>
      </w:r>
      <w:proofErr w:type="spellStart"/>
      <w:r w:rsidRPr="001D6F3C">
        <w:rPr>
          <w:rFonts w:ascii="Corbel" w:eastAsia="Corbel" w:hAnsi="Corbel" w:cs="Corbel"/>
          <w:i/>
          <w:iCs/>
        </w:rPr>
        <w:t>LiLACS</w:t>
      </w:r>
      <w:proofErr w:type="spellEnd"/>
      <w:r w:rsidRPr="001D6F3C">
        <w:rPr>
          <w:rFonts w:ascii="Corbel" w:eastAsia="Corbel" w:hAnsi="Corbel" w:cs="Corbel"/>
          <w:i/>
          <w:iCs/>
        </w:rPr>
        <w:t xml:space="preserve"> NZ </w:t>
      </w:r>
      <w:proofErr w:type="spellStart"/>
      <w:r w:rsidRPr="001D6F3C">
        <w:rPr>
          <w:rFonts w:ascii="Corbel" w:eastAsia="Corbel" w:hAnsi="Corbel" w:cs="Corbel"/>
          <w:i/>
          <w:iCs/>
        </w:rPr>
        <w:t>Kaiāwhina</w:t>
      </w:r>
      <w:proofErr w:type="spellEnd"/>
      <w:r w:rsidRPr="001D6F3C">
        <w:rPr>
          <w:rFonts w:ascii="Corbel" w:eastAsia="Corbel" w:hAnsi="Corbel" w:cs="Corbel"/>
          <w:i/>
          <w:iCs/>
        </w:rPr>
        <w:t xml:space="preserve"> (Love and Support) study</w:t>
      </w:r>
      <w:r w:rsidRPr="001D6F3C">
        <w:rPr>
          <w:rFonts w:ascii="Corbel" w:eastAsia="Corbel" w:hAnsi="Corbel" w:cs="Corbel"/>
        </w:rPr>
        <w:t xml:space="preserve">. Australasian Journal on Ageing. </w:t>
      </w:r>
      <w:r w:rsidRPr="001D6F3C">
        <w:rPr>
          <w:rFonts w:ascii="Corbel" w:eastAsia="Corbel" w:hAnsi="Corbel" w:cs="Corbel"/>
          <w:color w:val="000000" w:themeColor="text1"/>
        </w:rPr>
        <w:t xml:space="preserve"> </w:t>
      </w:r>
      <w:hyperlink r:id="rId87">
        <w:r w:rsidRPr="001D6F3C">
          <w:rPr>
            <w:rStyle w:val="Hyperlink"/>
            <w:rFonts w:ascii="Corbel" w:eastAsia="Corbel" w:hAnsi="Corbel" w:cs="Corbel"/>
            <w:color w:val="0000FF"/>
          </w:rPr>
          <w:t>https://doi.org/10.1111/ajag.12671</w:t>
        </w:r>
      </w:hyperlink>
    </w:p>
    <w:p w14:paraId="4AB29CE6" w14:textId="77777777" w:rsidR="002E1722" w:rsidRPr="001D6F3C" w:rsidRDefault="002E1722" w:rsidP="002E1722">
      <w:pPr>
        <w:jc w:val="both"/>
        <w:rPr>
          <w:rFonts w:ascii="Corbel" w:hAnsi="Corbel"/>
        </w:rPr>
      </w:pPr>
      <w:r w:rsidRPr="001D6F3C">
        <w:rPr>
          <w:rFonts w:ascii="Corbel" w:hAnsi="Corbel"/>
        </w:rPr>
        <w:t xml:space="preserve">McLachlan, R., </w:t>
      </w:r>
      <w:proofErr w:type="spellStart"/>
      <w:r w:rsidRPr="001D6F3C">
        <w:rPr>
          <w:rFonts w:ascii="Corbel" w:hAnsi="Corbel"/>
        </w:rPr>
        <w:t>Gilfallan</w:t>
      </w:r>
      <w:proofErr w:type="spellEnd"/>
      <w:r w:rsidRPr="001D6F3C">
        <w:rPr>
          <w:rFonts w:ascii="Corbel" w:hAnsi="Corbel"/>
        </w:rPr>
        <w:t>, G., &amp; Gordon, J. (2013). Deep and persistent disadvantage in Australia. Productivity Commission Staff Working Paper.</w:t>
      </w:r>
    </w:p>
    <w:p w14:paraId="66D51338" w14:textId="58BC60BF" w:rsidR="002E1722" w:rsidRPr="001D6F3C" w:rsidRDefault="002E1722" w:rsidP="002E1722">
      <w:pPr>
        <w:jc w:val="both"/>
        <w:rPr>
          <w:rFonts w:ascii="Corbel" w:hAnsi="Corbel"/>
        </w:rPr>
      </w:pPr>
      <w:r w:rsidRPr="001D6F3C">
        <w:rPr>
          <w:rFonts w:ascii="Corbel" w:hAnsi="Corbel"/>
        </w:rPr>
        <w:t xml:space="preserve">Menzies, D., Whitehead, J., Walker, G., Reid, J., &amp; MacFarlane, A. (2019). </w:t>
      </w:r>
      <w:proofErr w:type="spellStart"/>
      <w:r w:rsidRPr="001D6F3C">
        <w:rPr>
          <w:rFonts w:ascii="Corbel" w:hAnsi="Corbel"/>
        </w:rPr>
        <w:t>Whai</w:t>
      </w:r>
      <w:proofErr w:type="spellEnd"/>
      <w:r w:rsidRPr="001D6F3C">
        <w:rPr>
          <w:rFonts w:ascii="Corbel" w:hAnsi="Corbel"/>
        </w:rPr>
        <w:t xml:space="preserve"> Rawa Whenua: Economics and financing of housing for Māori literature review. </w:t>
      </w:r>
    </w:p>
    <w:p w14:paraId="6158193F" w14:textId="0C20D7EC" w:rsidR="760F8A52" w:rsidRPr="001D6F3C" w:rsidRDefault="760F8A52" w:rsidP="65C0EC31">
      <w:pPr>
        <w:spacing w:line="257" w:lineRule="auto"/>
        <w:jc w:val="both"/>
      </w:pPr>
      <w:r w:rsidRPr="001D6F3C">
        <w:rPr>
          <w:rFonts w:ascii="Corbel" w:eastAsia="Corbel" w:hAnsi="Corbel" w:cs="Corbel"/>
        </w:rPr>
        <w:t xml:space="preserve">Ministry of Housing and Urban Development (HUD), 2023. </w:t>
      </w:r>
      <w:r w:rsidRPr="001D6F3C">
        <w:rPr>
          <w:rFonts w:ascii="Corbel" w:eastAsia="Corbel" w:hAnsi="Corbel" w:cs="Corbel"/>
          <w:i/>
          <w:iCs/>
        </w:rPr>
        <w:t>The long-term implications of our ageing population for our housing and urban futures</w:t>
      </w:r>
      <w:r w:rsidRPr="001D6F3C">
        <w:rPr>
          <w:rFonts w:ascii="Corbel" w:eastAsia="Corbel" w:hAnsi="Corbel" w:cs="Corbel"/>
        </w:rPr>
        <w:t xml:space="preserve">. </w:t>
      </w:r>
      <w:hyperlink r:id="rId88">
        <w:r w:rsidRPr="001D6F3C">
          <w:rPr>
            <w:rStyle w:val="Hyperlink"/>
            <w:rFonts w:ascii="Corbel" w:eastAsia="Corbel" w:hAnsi="Corbel" w:cs="Corbel"/>
            <w:color w:val="0000FF"/>
          </w:rPr>
          <w:t>Long-Term Insights Briefing Consultation Document</w:t>
        </w:r>
      </w:hyperlink>
    </w:p>
    <w:p w14:paraId="5324244E" w14:textId="77777777" w:rsidR="002E1722" w:rsidRPr="001D6F3C" w:rsidRDefault="002E1722" w:rsidP="008D6399">
      <w:r w:rsidRPr="001D6F3C">
        <w:t>Ministry of Social Development. (2019). Mahi Aroha: Carer’s strategy action plan 2019-2023. MSD and New Zealand Carer’s Alliance. Carers' Strategy Action Plan 2019-2023</w:t>
      </w:r>
    </w:p>
    <w:p w14:paraId="16867CDF" w14:textId="4E2FC749" w:rsidR="00E52A0E" w:rsidRPr="001D6F3C" w:rsidRDefault="00E52A0E" w:rsidP="002E1722">
      <w:pPr>
        <w:jc w:val="both"/>
        <w:rPr>
          <w:rFonts w:ascii="Corbel" w:hAnsi="Corbel"/>
        </w:rPr>
      </w:pPr>
      <w:r w:rsidRPr="001D6F3C">
        <w:rPr>
          <w:rFonts w:ascii="Corbel" w:hAnsi="Corbel"/>
        </w:rPr>
        <w:t>Napier, J., Neville, S., &amp; Adams, T. (2024). Ageing in place in a rural town in Aotearoa New Zealand: A Deweyan transactional perspective. </w:t>
      </w:r>
      <w:r w:rsidRPr="001D6F3C">
        <w:rPr>
          <w:rFonts w:ascii="Corbel" w:hAnsi="Corbel"/>
          <w:i/>
          <w:iCs/>
        </w:rPr>
        <w:t>Journal of Rural Studies, 111</w:t>
      </w:r>
      <w:r w:rsidRPr="001D6F3C">
        <w:rPr>
          <w:rFonts w:ascii="Corbel" w:hAnsi="Corbel"/>
        </w:rPr>
        <w:t>, 103413. </w:t>
      </w:r>
      <w:hyperlink r:id="rId89" w:history="1">
        <w:r w:rsidRPr="001D6F3C">
          <w:rPr>
            <w:rStyle w:val="Hyperlink"/>
          </w:rPr>
          <w:t>https://doi.org/10.1016/j.jrurstud.2023.103413</w:t>
        </w:r>
      </w:hyperlink>
    </w:p>
    <w:p w14:paraId="6A458C51" w14:textId="4D1AC1B8" w:rsidR="002E1722" w:rsidRPr="001D6F3C" w:rsidRDefault="002E1722" w:rsidP="002E1722">
      <w:pPr>
        <w:jc w:val="both"/>
        <w:rPr>
          <w:rFonts w:ascii="Corbel" w:hAnsi="Corbel"/>
        </w:rPr>
      </w:pPr>
      <w:r w:rsidRPr="001D6F3C">
        <w:rPr>
          <w:rFonts w:ascii="Corbel" w:hAnsi="Corbel"/>
        </w:rPr>
        <w:t>New Zealand Institute of Economic Research. (2024). As safe as houses – Mortgage debt and financial stress in older persons</w:t>
      </w:r>
      <w:r w:rsidR="00170166" w:rsidRPr="001D6F3C">
        <w:rPr>
          <w:rFonts w:ascii="Corbel" w:hAnsi="Corbel"/>
        </w:rPr>
        <w:t>.</w:t>
      </w:r>
    </w:p>
    <w:p w14:paraId="1E80C6A4" w14:textId="12B291FB" w:rsidR="004E6BC8" w:rsidRPr="001D6F3C" w:rsidRDefault="004E6BC8" w:rsidP="004E6BC8">
      <w:pPr>
        <w:jc w:val="both"/>
        <w:rPr>
          <w:rFonts w:ascii="Corbel" w:hAnsi="Corbel"/>
        </w:rPr>
      </w:pPr>
      <w:r w:rsidRPr="001D6F3C">
        <w:rPr>
          <w:rFonts w:ascii="Corbel" w:hAnsi="Corbel"/>
        </w:rPr>
        <w:t>Office for Senior</w:t>
      </w:r>
      <w:r w:rsidR="00781CC7" w:rsidRPr="001D6F3C">
        <w:rPr>
          <w:rFonts w:ascii="Corbel" w:hAnsi="Corbel"/>
        </w:rPr>
        <w:t>s</w:t>
      </w:r>
      <w:r w:rsidRPr="001D6F3C">
        <w:rPr>
          <w:rFonts w:ascii="Corbel" w:hAnsi="Corbel"/>
        </w:rPr>
        <w:t>: Te Tari Kaumātua. (20</w:t>
      </w:r>
      <w:r w:rsidR="00BD4229" w:rsidRPr="001D6F3C">
        <w:rPr>
          <w:rFonts w:ascii="Corbel" w:hAnsi="Corbel"/>
        </w:rPr>
        <w:t>21</w:t>
      </w:r>
      <w:r w:rsidRPr="001D6F3C">
        <w:rPr>
          <w:rFonts w:ascii="Corbel" w:hAnsi="Corbel"/>
        </w:rPr>
        <w:t xml:space="preserve">). </w:t>
      </w:r>
      <w:r w:rsidR="00BD4229" w:rsidRPr="001D6F3C">
        <w:rPr>
          <w:rFonts w:ascii="Corbel" w:hAnsi="Corbel"/>
        </w:rPr>
        <w:t xml:space="preserve">Attitudes to </w:t>
      </w:r>
      <w:r w:rsidR="00B405C3" w:rsidRPr="001D6F3C">
        <w:rPr>
          <w:rFonts w:ascii="Corbel" w:hAnsi="Corbel"/>
        </w:rPr>
        <w:t>Ageing report.</w:t>
      </w:r>
    </w:p>
    <w:p w14:paraId="0C4111F2" w14:textId="068366EA" w:rsidR="00650613" w:rsidRPr="001D6F3C" w:rsidRDefault="00650613" w:rsidP="00650613">
      <w:pPr>
        <w:jc w:val="both"/>
        <w:rPr>
          <w:rFonts w:ascii="Corbel" w:hAnsi="Corbel"/>
        </w:rPr>
      </w:pPr>
      <w:r w:rsidRPr="001D6F3C">
        <w:rPr>
          <w:rFonts w:ascii="Corbel" w:hAnsi="Corbel"/>
        </w:rPr>
        <w:t>Office for Senior</w:t>
      </w:r>
      <w:r w:rsidR="00781CC7" w:rsidRPr="001D6F3C">
        <w:rPr>
          <w:rFonts w:ascii="Corbel" w:hAnsi="Corbel"/>
        </w:rPr>
        <w:t>s</w:t>
      </w:r>
      <w:r w:rsidRPr="001D6F3C">
        <w:rPr>
          <w:rFonts w:ascii="Corbel" w:hAnsi="Corbel"/>
        </w:rPr>
        <w:t>: Te Tari Kaumātua. (201</w:t>
      </w:r>
      <w:r w:rsidR="00BD7C2C" w:rsidRPr="001D6F3C">
        <w:rPr>
          <w:rFonts w:ascii="Corbel" w:hAnsi="Corbel"/>
        </w:rPr>
        <w:t>9</w:t>
      </w:r>
      <w:r w:rsidRPr="001D6F3C">
        <w:rPr>
          <w:rFonts w:ascii="Corbel" w:hAnsi="Corbel"/>
        </w:rPr>
        <w:t>). Better Later Life – He Oranga Kaumātua 2019 to 2034.</w:t>
      </w:r>
    </w:p>
    <w:p w14:paraId="0780137C" w14:textId="2212205C" w:rsidR="00C1595D" w:rsidRPr="001D6F3C" w:rsidRDefault="00C1595D" w:rsidP="00650613">
      <w:pPr>
        <w:jc w:val="both"/>
        <w:rPr>
          <w:rFonts w:ascii="Corbel" w:hAnsi="Corbel"/>
        </w:rPr>
      </w:pPr>
      <w:r w:rsidRPr="001D6F3C">
        <w:rPr>
          <w:rFonts w:ascii="Corbel" w:hAnsi="Corbel"/>
        </w:rPr>
        <w:t>Office for Senior</w:t>
      </w:r>
      <w:r w:rsidR="00781CC7" w:rsidRPr="001D6F3C">
        <w:rPr>
          <w:rFonts w:ascii="Corbel" w:hAnsi="Corbel"/>
        </w:rPr>
        <w:t>s</w:t>
      </w:r>
      <w:r w:rsidRPr="001D6F3C">
        <w:rPr>
          <w:rFonts w:ascii="Corbel" w:hAnsi="Corbel"/>
        </w:rPr>
        <w:t>: Te Tari Kaumātua. (202</w:t>
      </w:r>
      <w:r w:rsidR="00121774" w:rsidRPr="001D6F3C">
        <w:rPr>
          <w:rFonts w:ascii="Corbel" w:hAnsi="Corbel"/>
        </w:rPr>
        <w:t>4</w:t>
      </w:r>
      <w:r w:rsidRPr="001D6F3C">
        <w:rPr>
          <w:rFonts w:ascii="Corbel" w:hAnsi="Corbel"/>
        </w:rPr>
        <w:t xml:space="preserve">). </w:t>
      </w:r>
      <w:r w:rsidR="004613EE" w:rsidRPr="001D6F3C">
        <w:rPr>
          <w:rFonts w:ascii="Corbel" w:hAnsi="Corbel"/>
        </w:rPr>
        <w:t>Business of ageing 202</w:t>
      </w:r>
      <w:r w:rsidR="00121774" w:rsidRPr="001D6F3C">
        <w:rPr>
          <w:rFonts w:ascii="Corbel" w:hAnsi="Corbel"/>
        </w:rPr>
        <w:t>3</w:t>
      </w:r>
      <w:r w:rsidR="004613EE" w:rsidRPr="001D6F3C">
        <w:rPr>
          <w:rFonts w:ascii="Corbel" w:hAnsi="Corbel"/>
        </w:rPr>
        <w:t xml:space="preserve"> update. </w:t>
      </w:r>
    </w:p>
    <w:p w14:paraId="6B0AF9AF" w14:textId="49B9B331" w:rsidR="002E1722" w:rsidRPr="001D6F3C" w:rsidRDefault="002E1722" w:rsidP="002E1722">
      <w:pPr>
        <w:jc w:val="both"/>
        <w:rPr>
          <w:rFonts w:ascii="Corbel" w:hAnsi="Corbel"/>
        </w:rPr>
      </w:pPr>
      <w:r w:rsidRPr="001D6F3C">
        <w:rPr>
          <w:rFonts w:ascii="Corbel" w:hAnsi="Corbel"/>
        </w:rPr>
        <w:t>Office for Senior Citizens: Te Tari Kaumātua. (2015). Towards gaining a greater understanding of elder abuse and neglect. Elder abuse and neglect in New Zealand summary report.</w:t>
      </w:r>
    </w:p>
    <w:p w14:paraId="35E00ACC" w14:textId="77777777" w:rsidR="002E1722" w:rsidRPr="001D6F3C" w:rsidRDefault="002E1722" w:rsidP="002E1722">
      <w:pPr>
        <w:jc w:val="both"/>
        <w:rPr>
          <w:rFonts w:ascii="Corbel" w:hAnsi="Corbel"/>
        </w:rPr>
      </w:pPr>
      <w:r w:rsidRPr="001D6F3C">
        <w:rPr>
          <w:rFonts w:ascii="Corbel" w:hAnsi="Corbel"/>
        </w:rPr>
        <w:t>Organisation for Economic Co-operation and Development. (2021). Inheritance taxation in OECD countries. OECD Tax Policy Studies, No. 28. OECD Publishing.</w:t>
      </w:r>
    </w:p>
    <w:p w14:paraId="3068B7D8" w14:textId="3C61A539" w:rsidR="006262A6" w:rsidRPr="001D6F3C" w:rsidRDefault="00695806" w:rsidP="002E1722">
      <w:pPr>
        <w:jc w:val="both"/>
        <w:rPr>
          <w:rFonts w:ascii="Corbel" w:hAnsi="Corbel"/>
        </w:rPr>
      </w:pPr>
      <w:r w:rsidRPr="001D6F3C">
        <w:rPr>
          <w:rFonts w:ascii="Corbel" w:hAnsi="Corbel"/>
        </w:rPr>
        <w:t xml:space="preserve">Organisation for Economic Co-operation and Development (2023), Pensions </w:t>
      </w:r>
      <w:proofErr w:type="gramStart"/>
      <w:r w:rsidRPr="001D6F3C">
        <w:rPr>
          <w:rFonts w:ascii="Corbel" w:hAnsi="Corbel"/>
        </w:rPr>
        <w:t>at a Glance</w:t>
      </w:r>
      <w:proofErr w:type="gramEnd"/>
      <w:r w:rsidRPr="001D6F3C">
        <w:rPr>
          <w:rFonts w:ascii="Corbel" w:hAnsi="Corbel"/>
        </w:rPr>
        <w:t xml:space="preserve"> 2023: OECD and G20 Indicators, OECD Publishing, Paris</w:t>
      </w:r>
    </w:p>
    <w:p w14:paraId="1756871D" w14:textId="5781FA35" w:rsidR="002E1722" w:rsidRPr="001D6F3C" w:rsidRDefault="002E1722" w:rsidP="002E1722">
      <w:pPr>
        <w:jc w:val="both"/>
        <w:rPr>
          <w:rFonts w:ascii="Corbel" w:hAnsi="Corbel"/>
        </w:rPr>
      </w:pPr>
      <w:r w:rsidRPr="001D6F3C">
        <w:rPr>
          <w:rFonts w:ascii="Corbel" w:hAnsi="Corbel"/>
        </w:rPr>
        <w:lastRenderedPageBreak/>
        <w:t>Organisation for Economic Co-operation and Development. (2017). Preventing ageing unequally. OECD Publishing.</w:t>
      </w:r>
    </w:p>
    <w:p w14:paraId="687BBEE9" w14:textId="7A92F8A4" w:rsidR="002E1722" w:rsidRPr="001D6F3C" w:rsidRDefault="002E1722" w:rsidP="002E1722">
      <w:pPr>
        <w:jc w:val="both"/>
        <w:rPr>
          <w:rFonts w:ascii="Corbel" w:hAnsi="Corbel"/>
        </w:rPr>
      </w:pPr>
      <w:r w:rsidRPr="001D6F3C">
        <w:rPr>
          <w:rFonts w:ascii="Corbel" w:hAnsi="Corbel"/>
        </w:rPr>
        <w:t xml:space="preserve">Perry, B. (forthcoming). </w:t>
      </w:r>
      <w:r w:rsidR="000A1874" w:rsidRPr="001D6F3C">
        <w:rPr>
          <w:rFonts w:ascii="Corbel" w:hAnsi="Corbel"/>
        </w:rPr>
        <w:t xml:space="preserve">Analysis of </w:t>
      </w:r>
      <w:r w:rsidR="00496594" w:rsidRPr="001D6F3C">
        <w:rPr>
          <w:rFonts w:ascii="Corbel" w:hAnsi="Corbel"/>
        </w:rPr>
        <w:t>poverty and hardship for older New Zealanders</w:t>
      </w:r>
      <w:r w:rsidRPr="001D6F3C">
        <w:rPr>
          <w:rFonts w:ascii="Corbel" w:hAnsi="Corbel"/>
        </w:rPr>
        <w:t>.</w:t>
      </w:r>
      <w:r w:rsidR="003A7E6F" w:rsidRPr="001D6F3C">
        <w:rPr>
          <w:rFonts w:ascii="Corbel" w:hAnsi="Corbel"/>
        </w:rPr>
        <w:t xml:space="preserve"> Ministry of Social Development.</w:t>
      </w:r>
    </w:p>
    <w:p w14:paraId="3D0A9A29" w14:textId="188191D6" w:rsidR="002E1722" w:rsidRPr="001D6F3C" w:rsidRDefault="002E1722" w:rsidP="002E1722">
      <w:pPr>
        <w:jc w:val="both"/>
        <w:rPr>
          <w:rFonts w:ascii="Corbel" w:hAnsi="Corbel"/>
        </w:rPr>
      </w:pPr>
      <w:r w:rsidRPr="001D6F3C">
        <w:rPr>
          <w:rFonts w:ascii="Corbel" w:hAnsi="Corbel"/>
        </w:rPr>
        <w:t>Perry, B. (2017). Household incomes in New Zealand.</w:t>
      </w:r>
      <w:r w:rsidR="003A7E6F" w:rsidRPr="001D6F3C">
        <w:rPr>
          <w:rFonts w:ascii="Corbel" w:hAnsi="Corbel"/>
        </w:rPr>
        <w:t xml:space="preserve"> Ministry of Social Development.</w:t>
      </w:r>
    </w:p>
    <w:p w14:paraId="58B6D7A7" w14:textId="5C4F1071" w:rsidR="003A7E6F" w:rsidRPr="001D6F3C" w:rsidRDefault="003A7E6F" w:rsidP="002E1722">
      <w:pPr>
        <w:jc w:val="both"/>
        <w:rPr>
          <w:rFonts w:ascii="Corbel" w:hAnsi="Corbel"/>
        </w:rPr>
      </w:pPr>
      <w:r w:rsidRPr="001D6F3C">
        <w:rPr>
          <w:rFonts w:ascii="Corbel" w:hAnsi="Corbel"/>
        </w:rPr>
        <w:t>Perry, B. (2022). Child poverty in New Zealand. Ministry of Social Development.</w:t>
      </w:r>
    </w:p>
    <w:p w14:paraId="13663AF9" w14:textId="7059486B" w:rsidR="00E365C4" w:rsidRPr="001D6F3C" w:rsidRDefault="00E365C4" w:rsidP="00E365C4">
      <w:pPr>
        <w:jc w:val="both"/>
        <w:rPr>
          <w:rFonts w:ascii="Corbel" w:hAnsi="Corbel"/>
        </w:rPr>
      </w:pPr>
      <w:r w:rsidRPr="001D6F3C">
        <w:rPr>
          <w:rFonts w:ascii="Corbel" w:hAnsi="Corbel"/>
        </w:rPr>
        <w:t>Perry, B. (202</w:t>
      </w:r>
      <w:r w:rsidR="0012615D" w:rsidRPr="001D6F3C">
        <w:rPr>
          <w:rFonts w:ascii="Corbel" w:hAnsi="Corbel"/>
        </w:rPr>
        <w:t>4</w:t>
      </w:r>
      <w:r w:rsidRPr="001D6F3C">
        <w:rPr>
          <w:rFonts w:ascii="Corbel" w:hAnsi="Corbel"/>
        </w:rPr>
        <w:t>). Child poverty in New Zealand: Overview and selected findings. Ministry of Social Development.</w:t>
      </w:r>
    </w:p>
    <w:p w14:paraId="6B9F98C2" w14:textId="77777777" w:rsidR="002E1722" w:rsidRPr="001D6F3C" w:rsidRDefault="002E1722" w:rsidP="002E1722">
      <w:pPr>
        <w:jc w:val="both"/>
        <w:rPr>
          <w:rFonts w:ascii="Corbel" w:hAnsi="Corbel"/>
        </w:rPr>
      </w:pPr>
      <w:r w:rsidRPr="001D6F3C">
        <w:rPr>
          <w:rFonts w:ascii="Corbel" w:hAnsi="Corbel"/>
        </w:rPr>
        <w:t>Robertson, N. (2024). The great wealth transfer and inequality. BERL.</w:t>
      </w:r>
    </w:p>
    <w:p w14:paraId="70043099" w14:textId="0C09E800" w:rsidR="002E1722" w:rsidRPr="001D6F3C" w:rsidRDefault="002E1722" w:rsidP="002E1722">
      <w:pPr>
        <w:jc w:val="both"/>
        <w:rPr>
          <w:rFonts w:ascii="Corbel" w:hAnsi="Corbel"/>
        </w:rPr>
      </w:pPr>
      <w:r w:rsidRPr="001D6F3C">
        <w:rPr>
          <w:rFonts w:ascii="Corbel" w:hAnsi="Corbel"/>
        </w:rPr>
        <w:t xml:space="preserve">Saville-Smith, K. (2019). Housing, New Zealand’s tenure revolution and implications for retirement. </w:t>
      </w:r>
    </w:p>
    <w:p w14:paraId="25BE299A" w14:textId="77777777" w:rsidR="002E1722" w:rsidRPr="001D6F3C" w:rsidRDefault="002E1722" w:rsidP="002E1722">
      <w:pPr>
        <w:jc w:val="both"/>
        <w:rPr>
          <w:rFonts w:ascii="Corbel" w:hAnsi="Corbel"/>
        </w:rPr>
      </w:pPr>
      <w:r w:rsidRPr="001D6F3C">
        <w:rPr>
          <w:rFonts w:ascii="Corbel" w:hAnsi="Corbel"/>
        </w:rPr>
        <w:t xml:space="preserve">Smith, C., </w:t>
      </w:r>
      <w:proofErr w:type="spellStart"/>
      <w:r w:rsidRPr="001D6F3C">
        <w:rPr>
          <w:rFonts w:ascii="Corbel" w:hAnsi="Corbel"/>
        </w:rPr>
        <w:t>Krassoi</w:t>
      </w:r>
      <w:proofErr w:type="spellEnd"/>
      <w:r w:rsidRPr="001D6F3C">
        <w:rPr>
          <w:rFonts w:ascii="Corbel" w:hAnsi="Corbel"/>
        </w:rPr>
        <w:t xml:space="preserve"> Peach, E., &amp; Cording, J. (2019). The impact of multiple disadvantage on subjective wellbeing: New Zealand families. </w:t>
      </w:r>
      <w:proofErr w:type="spellStart"/>
      <w:r w:rsidRPr="001D6F3C">
        <w:rPr>
          <w:rFonts w:ascii="Corbel" w:hAnsi="Corbel"/>
        </w:rPr>
        <w:t>Kotata</w:t>
      </w:r>
      <w:proofErr w:type="spellEnd"/>
      <w:r w:rsidRPr="001D6F3C">
        <w:rPr>
          <w:rFonts w:ascii="Corbel" w:hAnsi="Corbel"/>
        </w:rPr>
        <w:t xml:space="preserve"> Insight.</w:t>
      </w:r>
    </w:p>
    <w:p w14:paraId="65646F74" w14:textId="7BB787D0" w:rsidR="002E1722" w:rsidRPr="001D6F3C" w:rsidRDefault="002E1722" w:rsidP="002E1722">
      <w:pPr>
        <w:jc w:val="both"/>
        <w:rPr>
          <w:rFonts w:ascii="Corbel" w:hAnsi="Corbel"/>
        </w:rPr>
      </w:pPr>
      <w:r w:rsidRPr="001D6F3C">
        <w:rPr>
          <w:rFonts w:ascii="Corbel" w:hAnsi="Corbel"/>
        </w:rPr>
        <w:t xml:space="preserve">Social Investment Agency. (2023). Older people experiencing vulnerability and multiple disadvantage in New Zealand. Ministry of Social Development. </w:t>
      </w:r>
    </w:p>
    <w:p w14:paraId="41E68373" w14:textId="1D8AF7B3" w:rsidR="3EC32BFA" w:rsidRPr="001D6F3C" w:rsidRDefault="3EC32BFA" w:rsidP="05B357AF">
      <w:pPr>
        <w:spacing w:line="257" w:lineRule="auto"/>
        <w:jc w:val="both"/>
      </w:pPr>
      <w:r w:rsidRPr="001D6F3C">
        <w:rPr>
          <w:rFonts w:ascii="Corbel" w:eastAsia="Corbel" w:hAnsi="Corbel" w:cs="Corbel"/>
        </w:rPr>
        <w:t xml:space="preserve">Stats NZ, 2021. </w:t>
      </w:r>
      <w:hyperlink r:id="rId90">
        <w:r w:rsidRPr="001D6F3C">
          <w:rPr>
            <w:rStyle w:val="Hyperlink"/>
            <w:rFonts w:ascii="Corbel" w:eastAsia="Corbel" w:hAnsi="Corbel" w:cs="Corbel"/>
            <w:color w:val="0000FF"/>
          </w:rPr>
          <w:t>Family and household projections: 2018(base)–2043 | Stats NZ</w:t>
        </w:r>
      </w:hyperlink>
    </w:p>
    <w:p w14:paraId="4D12A830" w14:textId="6BC52D4A" w:rsidR="3EC32BFA" w:rsidRPr="001D6F3C" w:rsidRDefault="3EC32BFA" w:rsidP="05B357AF">
      <w:pPr>
        <w:spacing w:line="257" w:lineRule="auto"/>
        <w:jc w:val="both"/>
      </w:pPr>
      <w:r w:rsidRPr="001D6F3C">
        <w:rPr>
          <w:rFonts w:ascii="Corbel" w:eastAsia="Corbel" w:hAnsi="Corbel" w:cs="Corbel"/>
        </w:rPr>
        <w:t xml:space="preserve">Stats NZ, 2024. </w:t>
      </w:r>
      <w:hyperlink r:id="rId91" w:anchor=":~:text=Nearly%201.3%20million%20families%20in%20New%20Zealand,-Overall%2C%20the%20number&amp;text=Couples%20with%20child(ren)%20remained,of%20all%20families%20in%202023.">
        <w:r w:rsidRPr="001D6F3C">
          <w:rPr>
            <w:rStyle w:val="Hyperlink"/>
            <w:rFonts w:ascii="Corbel" w:eastAsia="Corbel" w:hAnsi="Corbel" w:cs="Corbel"/>
            <w:color w:val="0000FF"/>
          </w:rPr>
          <w:t>2023 Census household, family, and extended family highlights | Stats NZ</w:t>
        </w:r>
      </w:hyperlink>
    </w:p>
    <w:p w14:paraId="7901D6E5" w14:textId="467AEDD0" w:rsidR="00240F41" w:rsidRPr="001D6F3C" w:rsidRDefault="75F63874" w:rsidP="05B357AF">
      <w:pPr>
        <w:spacing w:line="257" w:lineRule="auto"/>
        <w:jc w:val="both"/>
      </w:pPr>
      <w:r w:rsidRPr="001D6F3C">
        <w:t>Stats NZ</w:t>
      </w:r>
      <w:r w:rsidR="7FFEB457" w:rsidRPr="001D6F3C">
        <w:t xml:space="preserve">, 2024. </w:t>
      </w:r>
      <w:hyperlink r:id="rId92">
        <w:r w:rsidR="7FFEB457" w:rsidRPr="001D6F3C">
          <w:rPr>
            <w:rStyle w:val="Hyperlink"/>
          </w:rPr>
          <w:t>2023 Census severe housing deprivation (homelessness) estimates</w:t>
        </w:r>
      </w:hyperlink>
      <w:r w:rsidR="49B92F11" w:rsidRPr="001D6F3C">
        <w:t>.</w:t>
      </w:r>
    </w:p>
    <w:p w14:paraId="6C81DD03" w14:textId="69C6D5EE" w:rsidR="00BE4981" w:rsidRPr="001D6F3C" w:rsidRDefault="00BE4981" w:rsidP="002E1722">
      <w:pPr>
        <w:jc w:val="both"/>
        <w:rPr>
          <w:rFonts w:ascii="Corbel" w:hAnsi="Corbel"/>
        </w:rPr>
      </w:pPr>
      <w:r w:rsidRPr="001D6F3C">
        <w:rPr>
          <w:rFonts w:ascii="Corbel" w:hAnsi="Corbel"/>
        </w:rPr>
        <w:t xml:space="preserve">Stephens, D. (2024, September 26). Longevity and the public purse: Fiscal and economic impacts of increasing longevity. The Treasury. </w:t>
      </w:r>
    </w:p>
    <w:p w14:paraId="096F8ECD" w14:textId="77777777" w:rsidR="002E1722" w:rsidRPr="001D6F3C" w:rsidRDefault="002E1722" w:rsidP="002E1722">
      <w:pPr>
        <w:jc w:val="both"/>
        <w:rPr>
          <w:rFonts w:ascii="Corbel" w:hAnsi="Corbel"/>
        </w:rPr>
      </w:pPr>
      <w:r w:rsidRPr="001D6F3C">
        <w:rPr>
          <w:rFonts w:ascii="Corbel" w:hAnsi="Corbel"/>
        </w:rPr>
        <w:t>St John, S., &amp; Dale, C. (2019). Intergenerational impacts: The sustainability of New Zealand superannuation. Commission for Financial Capability. University of Auckland.</w:t>
      </w:r>
    </w:p>
    <w:p w14:paraId="49B5C7AD" w14:textId="5696945F" w:rsidR="00EE50E2" w:rsidRPr="001D6F3C" w:rsidRDefault="00EE50E2" w:rsidP="002E1722">
      <w:pPr>
        <w:jc w:val="both"/>
        <w:rPr>
          <w:rFonts w:ascii="Corbel" w:hAnsi="Corbel"/>
        </w:rPr>
      </w:pPr>
      <w:r w:rsidRPr="001D6F3C">
        <w:rPr>
          <w:rFonts w:ascii="Corbel" w:hAnsi="Corbel"/>
        </w:rPr>
        <w:t xml:space="preserve">Symes, L. (2021). The wealth ladder: House prices and wealth inequality in New Zealand (AN 21/01). The Treasury New Zealand. </w:t>
      </w:r>
    </w:p>
    <w:p w14:paraId="6A252937" w14:textId="6C3E53A2" w:rsidR="30B1391C" w:rsidRPr="001D6F3C" w:rsidRDefault="3E7E588D" w:rsidP="30B1391C">
      <w:pPr>
        <w:jc w:val="both"/>
        <w:rPr>
          <w:rFonts w:ascii="Corbel" w:eastAsia="Corbel" w:hAnsi="Corbel" w:cs="Corbel"/>
        </w:rPr>
      </w:pPr>
      <w:r w:rsidRPr="001D6F3C">
        <w:rPr>
          <w:rFonts w:ascii="Corbel" w:hAnsi="Corbel"/>
        </w:rPr>
        <w:t xml:space="preserve">Synergia (2022). The State of Caring in Aotearoa Survey. </w:t>
      </w:r>
      <w:hyperlink r:id="rId93">
        <w:r w:rsidRPr="001D6F3C">
          <w:rPr>
            <w:rStyle w:val="Hyperlink"/>
            <w:rFonts w:ascii="Corbel" w:eastAsia="Corbel" w:hAnsi="Corbel" w:cs="Corbel"/>
          </w:rPr>
          <w:t>THE STATE OF CARING IN AOTEAROA</w:t>
        </w:r>
      </w:hyperlink>
    </w:p>
    <w:p w14:paraId="2437433C" w14:textId="36893B54" w:rsidR="00545355" w:rsidRPr="001D6F3C" w:rsidRDefault="002E1722" w:rsidP="002E1722">
      <w:pPr>
        <w:jc w:val="both"/>
        <w:rPr>
          <w:rFonts w:ascii="Corbel" w:hAnsi="Corbel"/>
        </w:rPr>
      </w:pPr>
      <w:r w:rsidRPr="001D6F3C">
        <w:rPr>
          <w:rFonts w:ascii="Corbel" w:hAnsi="Corbel"/>
        </w:rPr>
        <w:t xml:space="preserve">Tamasese, T. K., Parsons, T. L., &amp; Waldegrave, C. (2014). Pacific perspectives on ageing in New Zealand: Pacific-focused qualitative research prepared for the New Zealand Longitudinal Study of Ageing (NZLSA). The Family Centre. </w:t>
      </w:r>
    </w:p>
    <w:p w14:paraId="0EF7E645" w14:textId="17744206" w:rsidR="002E1722" w:rsidRPr="001D6F3C" w:rsidRDefault="002E1722" w:rsidP="002E1722">
      <w:pPr>
        <w:jc w:val="both"/>
        <w:rPr>
          <w:rFonts w:ascii="Corbel" w:hAnsi="Corbel"/>
        </w:rPr>
      </w:pPr>
      <w:r w:rsidRPr="001D6F3C">
        <w:rPr>
          <w:rFonts w:ascii="Corbel" w:hAnsi="Corbel"/>
        </w:rPr>
        <w:t xml:space="preserve">Te Ara Ahunga Ora Retirement Commission. (2023). 2022 </w:t>
      </w:r>
      <w:r w:rsidR="0019182A" w:rsidRPr="001D6F3C">
        <w:rPr>
          <w:rFonts w:ascii="Corbel" w:hAnsi="Corbel"/>
        </w:rPr>
        <w:t>R</w:t>
      </w:r>
      <w:r w:rsidRPr="001D6F3C">
        <w:rPr>
          <w:rFonts w:ascii="Corbel" w:hAnsi="Corbel"/>
        </w:rPr>
        <w:t xml:space="preserve">eview of </w:t>
      </w:r>
      <w:r w:rsidR="0019182A" w:rsidRPr="001D6F3C">
        <w:rPr>
          <w:rFonts w:ascii="Corbel" w:hAnsi="Corbel"/>
        </w:rPr>
        <w:t>R</w:t>
      </w:r>
      <w:r w:rsidRPr="001D6F3C">
        <w:rPr>
          <w:rFonts w:ascii="Corbel" w:hAnsi="Corbel"/>
        </w:rPr>
        <w:t xml:space="preserve">etirement </w:t>
      </w:r>
      <w:r w:rsidR="0019182A" w:rsidRPr="001D6F3C">
        <w:rPr>
          <w:rFonts w:ascii="Corbel" w:hAnsi="Corbel"/>
        </w:rPr>
        <w:t>I</w:t>
      </w:r>
      <w:r w:rsidRPr="001D6F3C">
        <w:rPr>
          <w:rFonts w:ascii="Corbel" w:hAnsi="Corbel"/>
        </w:rPr>
        <w:t xml:space="preserve">ncome </w:t>
      </w:r>
      <w:r w:rsidR="0019182A" w:rsidRPr="001D6F3C">
        <w:rPr>
          <w:rFonts w:ascii="Corbel" w:hAnsi="Corbel"/>
        </w:rPr>
        <w:t>P</w:t>
      </w:r>
      <w:r w:rsidRPr="001D6F3C">
        <w:rPr>
          <w:rFonts w:ascii="Corbel" w:hAnsi="Corbel"/>
        </w:rPr>
        <w:t xml:space="preserve">olicies. </w:t>
      </w:r>
      <w:r w:rsidR="0019182A" w:rsidRPr="001D6F3C">
        <w:rPr>
          <w:rFonts w:ascii="Corbel" w:hAnsi="Corbel"/>
        </w:rPr>
        <w:t>Retirement Commission</w:t>
      </w:r>
    </w:p>
    <w:p w14:paraId="40D7B6DA" w14:textId="3EB5FA4B" w:rsidR="002E1722" w:rsidRPr="001D6F3C" w:rsidRDefault="002E1722" w:rsidP="002E1722">
      <w:pPr>
        <w:jc w:val="both"/>
        <w:rPr>
          <w:rFonts w:ascii="Corbel" w:hAnsi="Corbel"/>
        </w:rPr>
      </w:pPr>
      <w:r w:rsidRPr="001D6F3C">
        <w:rPr>
          <w:rFonts w:ascii="Corbel" w:hAnsi="Corbel"/>
        </w:rPr>
        <w:t xml:space="preserve">Te Ara Ahunga Ora Retirement Commission. (2022). New Zealand financial capability, focus on Pacific peoples. </w:t>
      </w:r>
      <w:r w:rsidR="0019182A" w:rsidRPr="001D6F3C">
        <w:rPr>
          <w:rFonts w:ascii="Corbel" w:hAnsi="Corbel"/>
        </w:rPr>
        <w:t>Retirement Commission.</w:t>
      </w:r>
    </w:p>
    <w:p w14:paraId="2420AFC1" w14:textId="5BD9AB5D" w:rsidR="005D78C4" w:rsidRPr="001D6F3C" w:rsidRDefault="005D78C4" w:rsidP="002E1722">
      <w:pPr>
        <w:jc w:val="both"/>
      </w:pPr>
      <w:r w:rsidRPr="001D6F3C">
        <w:rPr>
          <w:rFonts w:ascii="Corbel" w:hAnsi="Corbel"/>
        </w:rPr>
        <w:t xml:space="preserve">Te Ara Ahunga Ora Retirement Commission. (2025). KiwiSaver </w:t>
      </w:r>
      <w:r w:rsidR="00BE085B" w:rsidRPr="001D6F3C">
        <w:rPr>
          <w:rFonts w:ascii="Corbel" w:hAnsi="Corbel"/>
        </w:rPr>
        <w:t>Demographic Study</w:t>
      </w:r>
      <w:r w:rsidRPr="001D6F3C">
        <w:rPr>
          <w:rFonts w:ascii="Corbel" w:hAnsi="Corbel"/>
        </w:rPr>
        <w:t xml:space="preserve">. Retirement Commission. </w:t>
      </w:r>
    </w:p>
    <w:p w14:paraId="208A7E91" w14:textId="47567BD6" w:rsidR="006E137C" w:rsidRPr="001D6F3C" w:rsidRDefault="006E137C" w:rsidP="006E137C">
      <w:pPr>
        <w:jc w:val="both"/>
        <w:rPr>
          <w:rFonts w:ascii="Corbel" w:hAnsi="Corbel"/>
        </w:rPr>
      </w:pPr>
      <w:r w:rsidRPr="001D6F3C">
        <w:rPr>
          <w:rFonts w:ascii="Corbel" w:hAnsi="Corbel"/>
        </w:rPr>
        <w:t xml:space="preserve">Te Ara Ahunga Ora Retirement Commission. (2025). Customised Request to Inland Revenue on </w:t>
      </w:r>
      <w:proofErr w:type="spellStart"/>
      <w:r w:rsidRPr="001D6F3C">
        <w:rPr>
          <w:rFonts w:ascii="Corbel" w:hAnsi="Corbel"/>
        </w:rPr>
        <w:t>Kiwisaver</w:t>
      </w:r>
      <w:proofErr w:type="spellEnd"/>
      <w:r w:rsidRPr="001D6F3C">
        <w:rPr>
          <w:rFonts w:ascii="Corbel" w:hAnsi="Corbel"/>
        </w:rPr>
        <w:t xml:space="preserve">. Retirement Commission. </w:t>
      </w:r>
    </w:p>
    <w:p w14:paraId="61948EA9" w14:textId="7C7E83E2" w:rsidR="004602D4" w:rsidRPr="001D6F3C" w:rsidRDefault="004602D4" w:rsidP="006E137C">
      <w:pPr>
        <w:jc w:val="both"/>
        <w:rPr>
          <w:rFonts w:ascii="Corbel" w:hAnsi="Corbel"/>
        </w:rPr>
      </w:pPr>
      <w:r w:rsidRPr="001D6F3C">
        <w:rPr>
          <w:rFonts w:ascii="Corbel" w:hAnsi="Corbel"/>
        </w:rPr>
        <w:lastRenderedPageBreak/>
        <w:t>Te Ara Ahunga Ora Retirement Commission. (2022). What does retirement look like for women? Retirement Commission.</w:t>
      </w:r>
    </w:p>
    <w:p w14:paraId="349A352E" w14:textId="488FFAD5" w:rsidR="004F6F21" w:rsidRPr="001D6F3C" w:rsidRDefault="004F6F21" w:rsidP="002E1722">
      <w:pPr>
        <w:jc w:val="both"/>
        <w:rPr>
          <w:rFonts w:ascii="Corbel" w:hAnsi="Corbel"/>
        </w:rPr>
      </w:pPr>
      <w:r w:rsidRPr="001D6F3C">
        <w:rPr>
          <w:rFonts w:ascii="Corbel" w:hAnsi="Corbel"/>
        </w:rPr>
        <w:t xml:space="preserve">The Treasury. (2025). Draft briefing for consultation: Te Ara Mokopuna long-term insights briefing 2025. The Treasury. </w:t>
      </w:r>
    </w:p>
    <w:p w14:paraId="41FE915E" w14:textId="79B42AD4" w:rsidR="00610005" w:rsidRPr="001D6F3C" w:rsidRDefault="00610005" w:rsidP="002E1722">
      <w:pPr>
        <w:jc w:val="both"/>
        <w:rPr>
          <w:rFonts w:ascii="Corbel" w:hAnsi="Corbel"/>
        </w:rPr>
      </w:pPr>
      <w:r w:rsidRPr="001D6F3C">
        <w:rPr>
          <w:rFonts w:ascii="Corbel" w:hAnsi="Corbel"/>
        </w:rPr>
        <w:t xml:space="preserve">The Treasury. (2021). He </w:t>
      </w:r>
      <w:proofErr w:type="spellStart"/>
      <w:r w:rsidRPr="001D6F3C">
        <w:rPr>
          <w:rFonts w:ascii="Corbel" w:hAnsi="Corbel"/>
        </w:rPr>
        <w:t>Tirohanga</w:t>
      </w:r>
      <w:proofErr w:type="spellEnd"/>
      <w:r w:rsidRPr="001D6F3C">
        <w:rPr>
          <w:rFonts w:ascii="Corbel" w:hAnsi="Corbel"/>
        </w:rPr>
        <w:t xml:space="preserve"> Mokopuna 2021: The Treasury's combined statement on the long-term fiscal position and long-term insights briefing. The Treasury. https://www.treasury.govt.nz/publications/ltfp/he-tirohanga-mokopuna-2021</w:t>
      </w:r>
    </w:p>
    <w:p w14:paraId="32FA0BF5" w14:textId="77777777" w:rsidR="002E1722" w:rsidRPr="001D6F3C" w:rsidRDefault="002E1722" w:rsidP="002E1722">
      <w:pPr>
        <w:jc w:val="both"/>
        <w:rPr>
          <w:rFonts w:ascii="Corbel" w:hAnsi="Corbel"/>
        </w:rPr>
      </w:pPr>
      <w:r w:rsidRPr="001D6F3C">
        <w:rPr>
          <w:rFonts w:ascii="Corbel" w:hAnsi="Corbel"/>
        </w:rPr>
        <w:t xml:space="preserve">Te Puni Kōkiri. (2023). Understanding climate hazards for </w:t>
      </w:r>
      <w:proofErr w:type="spellStart"/>
      <w:r w:rsidRPr="001D6F3C">
        <w:rPr>
          <w:rFonts w:ascii="Corbel" w:hAnsi="Corbel"/>
        </w:rPr>
        <w:t>Hapori</w:t>
      </w:r>
      <w:proofErr w:type="spellEnd"/>
      <w:r w:rsidRPr="001D6F3C">
        <w:rPr>
          <w:rFonts w:ascii="Corbel" w:hAnsi="Corbel"/>
        </w:rPr>
        <w:t xml:space="preserve"> Māori - Insights for policy makers. 2023 11 09 RP Understanding climate hazards for </w:t>
      </w:r>
      <w:proofErr w:type="spellStart"/>
      <w:r w:rsidRPr="001D6F3C">
        <w:rPr>
          <w:rFonts w:ascii="Corbel" w:hAnsi="Corbel"/>
        </w:rPr>
        <w:t>hapori</w:t>
      </w:r>
      <w:proofErr w:type="spellEnd"/>
      <w:r w:rsidRPr="001D6F3C">
        <w:rPr>
          <w:rFonts w:ascii="Corbel" w:hAnsi="Corbel"/>
        </w:rPr>
        <w:t xml:space="preserve"> Māori - Insights for policy makers.pdf</w:t>
      </w:r>
    </w:p>
    <w:p w14:paraId="0B389368" w14:textId="0E49BA67" w:rsidR="00E32A85" w:rsidRPr="001D6F3C" w:rsidRDefault="24AA2BAC" w:rsidP="3464A8F5">
      <w:pPr>
        <w:spacing w:line="257" w:lineRule="auto"/>
        <w:jc w:val="both"/>
        <w:rPr>
          <w:rFonts w:ascii="Corbel" w:hAnsi="Corbel"/>
        </w:rPr>
      </w:pPr>
      <w:r w:rsidRPr="001D6F3C">
        <w:rPr>
          <w:rFonts w:ascii="Corbel" w:eastAsia="Corbel" w:hAnsi="Corbel" w:cs="Corbel"/>
          <w:color w:val="1B1B1B"/>
        </w:rPr>
        <w:t>Van Hoof J, Kazak JK, Perek-</w:t>
      </w:r>
      <w:proofErr w:type="spellStart"/>
      <w:r w:rsidRPr="001D6F3C">
        <w:rPr>
          <w:rFonts w:ascii="Corbel" w:eastAsia="Corbel" w:hAnsi="Corbel" w:cs="Corbel"/>
          <w:color w:val="1B1B1B"/>
        </w:rPr>
        <w:t>Białas</w:t>
      </w:r>
      <w:proofErr w:type="spellEnd"/>
      <w:r w:rsidRPr="001D6F3C">
        <w:rPr>
          <w:rFonts w:ascii="Corbel" w:eastAsia="Corbel" w:hAnsi="Corbel" w:cs="Corbel"/>
          <w:color w:val="1B1B1B"/>
        </w:rPr>
        <w:t xml:space="preserve"> JM, Peek STM. </w:t>
      </w:r>
      <w:r w:rsidRPr="001D6F3C">
        <w:rPr>
          <w:rFonts w:ascii="Corbel" w:eastAsia="Corbel" w:hAnsi="Corbel" w:cs="Corbel"/>
          <w:i/>
          <w:iCs/>
          <w:color w:val="1B1B1B"/>
        </w:rPr>
        <w:t>The Challenges of Urban Ageing: Making Cities Age-Friendly in Europe</w:t>
      </w:r>
      <w:r w:rsidRPr="001D6F3C">
        <w:rPr>
          <w:rFonts w:ascii="Corbel" w:eastAsia="Corbel" w:hAnsi="Corbel" w:cs="Corbel"/>
          <w:color w:val="1B1B1B"/>
        </w:rPr>
        <w:t xml:space="preserve">. Int J Environ Res Public Health. 2018 Nov 5;15(11):2473. </w:t>
      </w:r>
      <w:proofErr w:type="spellStart"/>
      <w:r w:rsidRPr="001D6F3C">
        <w:rPr>
          <w:rFonts w:ascii="Corbel" w:eastAsia="Corbel" w:hAnsi="Corbel" w:cs="Corbel"/>
          <w:color w:val="1B1B1B"/>
        </w:rPr>
        <w:t>doi</w:t>
      </w:r>
      <w:proofErr w:type="spellEnd"/>
      <w:r w:rsidRPr="001D6F3C">
        <w:rPr>
          <w:rFonts w:ascii="Corbel" w:eastAsia="Corbel" w:hAnsi="Corbel" w:cs="Corbel"/>
          <w:color w:val="1B1B1B"/>
        </w:rPr>
        <w:t>: 10.3390/ijerph15112473. PMID: 30714577; PMCID: PMC6266083.</w:t>
      </w:r>
      <w:r w:rsidR="00E32A85" w:rsidRPr="001D6F3C">
        <w:br/>
      </w:r>
      <w:r w:rsidR="00E32A85" w:rsidRPr="001D6F3C">
        <w:rPr>
          <w:rFonts w:ascii="Corbel" w:hAnsi="Corbel"/>
        </w:rPr>
        <w:t xml:space="preserve">Waddell, C., Van Doorn, G., Power, G., &amp; Statham, D. (2025). From successful ageing to ageing well: A narrative review. </w:t>
      </w:r>
      <w:r w:rsidR="00E32A85" w:rsidRPr="001D6F3C">
        <w:rPr>
          <w:rFonts w:ascii="Corbel" w:hAnsi="Corbel"/>
          <w:i/>
          <w:iCs/>
        </w:rPr>
        <w:t>The Gerontologist</w:t>
      </w:r>
      <w:r w:rsidR="00E32A85" w:rsidRPr="001D6F3C">
        <w:rPr>
          <w:rFonts w:ascii="Corbel" w:hAnsi="Corbel"/>
        </w:rPr>
        <w:t>, 65(1),</w:t>
      </w:r>
    </w:p>
    <w:p w14:paraId="3762E762" w14:textId="6E9CAA27" w:rsidR="00587361" w:rsidRPr="00E32A85" w:rsidRDefault="002E1722" w:rsidP="002E1722">
      <w:pPr>
        <w:jc w:val="both"/>
        <w:rPr>
          <w:rFonts w:ascii="Corbel" w:hAnsi="Corbel"/>
        </w:rPr>
      </w:pPr>
      <w:r w:rsidRPr="001D6F3C">
        <w:rPr>
          <w:rFonts w:ascii="Corbel" w:hAnsi="Corbel"/>
        </w:rPr>
        <w:t xml:space="preserve">Wood, S. (2017). </w:t>
      </w:r>
      <w:proofErr w:type="spellStart"/>
      <w:r w:rsidRPr="001D6F3C">
        <w:rPr>
          <w:rFonts w:ascii="Corbel" w:hAnsi="Corbel"/>
        </w:rPr>
        <w:t>Kaumātuatanga</w:t>
      </w:r>
      <w:proofErr w:type="spellEnd"/>
      <w:r w:rsidRPr="001D6F3C">
        <w:rPr>
          <w:rFonts w:ascii="Corbel" w:hAnsi="Corbel"/>
        </w:rPr>
        <w:t xml:space="preserve"> – Māori and ageing in New Zealand: A literature review. Wai Research. </w:t>
      </w:r>
      <w:proofErr w:type="spellStart"/>
      <w:r w:rsidRPr="001D6F3C">
        <w:rPr>
          <w:rFonts w:ascii="Corbel" w:hAnsi="Corbel"/>
        </w:rPr>
        <w:t>Kaumātuatanga</w:t>
      </w:r>
      <w:proofErr w:type="spellEnd"/>
      <w:r w:rsidRPr="001D6F3C">
        <w:rPr>
          <w:rFonts w:ascii="Corbel" w:hAnsi="Corbel"/>
        </w:rPr>
        <w:t xml:space="preserve"> – Māori and Ageing in New Zealand: A Literature Review - Wai Rangahau</w:t>
      </w:r>
    </w:p>
    <w:sectPr w:rsidR="00587361" w:rsidRPr="00E32A85" w:rsidSect="0073159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6F918" w14:textId="77777777" w:rsidR="00655563" w:rsidRDefault="00655563" w:rsidP="00EF575B">
      <w:pPr>
        <w:spacing w:after="0" w:line="240" w:lineRule="auto"/>
      </w:pPr>
      <w:r>
        <w:separator/>
      </w:r>
    </w:p>
  </w:endnote>
  <w:endnote w:type="continuationSeparator" w:id="0">
    <w:p w14:paraId="1C4F16DA" w14:textId="77777777" w:rsidR="00655563" w:rsidRDefault="00655563" w:rsidP="00EF575B">
      <w:pPr>
        <w:spacing w:after="0" w:line="240" w:lineRule="auto"/>
      </w:pPr>
      <w:r>
        <w:continuationSeparator/>
      </w:r>
    </w:p>
  </w:endnote>
  <w:endnote w:type="continuationNotice" w:id="1">
    <w:p w14:paraId="4219540C" w14:textId="77777777" w:rsidR="00655563" w:rsidRDefault="006555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971632"/>
      <w:docPartObj>
        <w:docPartGallery w:val="Page Numbers (Bottom of Page)"/>
        <w:docPartUnique/>
      </w:docPartObj>
    </w:sdtPr>
    <w:sdtEndPr>
      <w:rPr>
        <w:noProof/>
      </w:rPr>
    </w:sdtEndPr>
    <w:sdtContent>
      <w:p w14:paraId="1661BF57" w14:textId="3F6D27A1" w:rsidR="00575824" w:rsidRDefault="005758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0A769C" w14:textId="77777777" w:rsidR="00575824" w:rsidRDefault="00575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413F9" w14:textId="77777777" w:rsidR="00655563" w:rsidRDefault="00655563" w:rsidP="00EF575B">
      <w:pPr>
        <w:spacing w:after="0" w:line="240" w:lineRule="auto"/>
      </w:pPr>
      <w:r>
        <w:separator/>
      </w:r>
    </w:p>
  </w:footnote>
  <w:footnote w:type="continuationSeparator" w:id="0">
    <w:p w14:paraId="27688079" w14:textId="77777777" w:rsidR="00655563" w:rsidRDefault="00655563" w:rsidP="00EF575B">
      <w:pPr>
        <w:spacing w:after="0" w:line="240" w:lineRule="auto"/>
      </w:pPr>
      <w:r>
        <w:continuationSeparator/>
      </w:r>
    </w:p>
  </w:footnote>
  <w:footnote w:type="continuationNotice" w:id="1">
    <w:p w14:paraId="2660711A" w14:textId="77777777" w:rsidR="00655563" w:rsidRDefault="00655563">
      <w:pPr>
        <w:spacing w:before="0" w:after="0" w:line="240" w:lineRule="auto"/>
      </w:pPr>
    </w:p>
  </w:footnote>
  <w:footnote w:id="2">
    <w:p w14:paraId="000DC633" w14:textId="1F2E7082" w:rsidR="00534273" w:rsidRDefault="00534273">
      <w:pPr>
        <w:pStyle w:val="FootnoteText"/>
      </w:pPr>
      <w:r>
        <w:rPr>
          <w:rStyle w:val="FootnoteReference"/>
        </w:rPr>
        <w:footnoteRef/>
      </w:r>
      <w:r>
        <w:t xml:space="preserve"> </w:t>
      </w:r>
      <w:r>
        <w:rPr>
          <w:rFonts w:ascii="Corbel" w:eastAsia="Corbel" w:hAnsi="Corbel" w:cs="Corbel"/>
        </w:rPr>
        <w:t>I</w:t>
      </w:r>
      <w:r w:rsidRPr="46ED895E">
        <w:rPr>
          <w:rFonts w:ascii="Corbel" w:eastAsia="Corbel" w:hAnsi="Corbel" w:cs="Corbel"/>
        </w:rPr>
        <w:t>nter-regional migration across the life course is likely to play a significant role in age distributions across the country.</w:t>
      </w:r>
      <w:r w:rsidR="00AA1A86">
        <w:rPr>
          <w:rFonts w:ascii="Corbel" w:eastAsia="Corbel" w:hAnsi="Corbel" w:cs="Corbel"/>
        </w:rPr>
        <w:t xml:space="preserve"> T</w:t>
      </w:r>
      <w:r w:rsidRPr="46ED895E">
        <w:rPr>
          <w:rFonts w:ascii="Corbel" w:eastAsia="Corbel" w:hAnsi="Corbel" w:cs="Corbel"/>
        </w:rPr>
        <w:t>rends such as younger people moving to urban centres for education or economic opportunities are well known</w:t>
      </w:r>
      <w:r w:rsidR="00AA1A86">
        <w:rPr>
          <w:rFonts w:ascii="Corbel" w:eastAsia="Corbel" w:hAnsi="Corbel" w:cs="Corbel"/>
        </w:rPr>
        <w:t>, a</w:t>
      </w:r>
      <w:r w:rsidRPr="46ED895E">
        <w:rPr>
          <w:rFonts w:ascii="Corbel" w:eastAsia="Corbel" w:hAnsi="Corbel" w:cs="Corbel"/>
        </w:rPr>
        <w:t>s are some older people mov</w:t>
      </w:r>
      <w:r w:rsidR="00777D18">
        <w:rPr>
          <w:rFonts w:ascii="Corbel" w:eastAsia="Corbel" w:hAnsi="Corbel" w:cs="Corbel"/>
        </w:rPr>
        <w:t>ing</w:t>
      </w:r>
      <w:r w:rsidRPr="46ED895E">
        <w:rPr>
          <w:rFonts w:ascii="Corbel" w:eastAsia="Corbel" w:hAnsi="Corbel" w:cs="Corbel"/>
        </w:rPr>
        <w:t xml:space="preserve"> to the “sunshine belt” regions such as Nelson-Tasman or Kāpiti in later life</w:t>
      </w:r>
    </w:p>
  </w:footnote>
  <w:footnote w:id="3">
    <w:p w14:paraId="5CDF291F" w14:textId="77777777" w:rsidR="00EB2556" w:rsidRDefault="00EB2556" w:rsidP="00EB2556">
      <w:pPr>
        <w:pStyle w:val="FootnoteText"/>
      </w:pPr>
      <w:r>
        <w:rPr>
          <w:rStyle w:val="FootnoteReference"/>
        </w:rPr>
        <w:footnoteRef/>
      </w:r>
      <w:r>
        <w:rPr>
          <w:rFonts w:ascii="Corbel" w:hAnsi="Corbel"/>
        </w:rPr>
        <w:t>E</w:t>
      </w:r>
      <w:r w:rsidRPr="001645BB">
        <w:rPr>
          <w:rFonts w:ascii="Corbel" w:hAnsi="Corbel"/>
        </w:rPr>
        <w:t>ach take</w:t>
      </w:r>
      <w:r>
        <w:rPr>
          <w:rFonts w:ascii="Corbel" w:hAnsi="Corbel"/>
        </w:rPr>
        <w:t>s</w:t>
      </w:r>
      <w:r w:rsidRPr="001645BB">
        <w:rPr>
          <w:rFonts w:ascii="Corbel" w:hAnsi="Corbel"/>
        </w:rPr>
        <w:t xml:space="preserve"> a</w:t>
      </w:r>
      <w:r>
        <w:rPr>
          <w:rFonts w:ascii="Corbel" w:hAnsi="Corbel"/>
        </w:rPr>
        <w:t xml:space="preserve"> similar but</w:t>
      </w:r>
      <w:r w:rsidRPr="001645BB">
        <w:rPr>
          <w:rFonts w:ascii="Corbel" w:hAnsi="Corbel"/>
        </w:rPr>
        <w:t xml:space="preserve"> subtly different approach</w:t>
      </w:r>
      <w:r>
        <w:rPr>
          <w:rFonts w:ascii="Corbel" w:hAnsi="Corbel"/>
        </w:rPr>
        <w:t>.</w:t>
      </w:r>
      <w:r w:rsidRPr="00166855">
        <w:rPr>
          <w:rFonts w:ascii="Corbel" w:hAnsi="Corbel"/>
          <w:i/>
          <w:iCs/>
        </w:rPr>
        <w:t xml:space="preserve"> Successful ageing</w:t>
      </w:r>
      <w:r w:rsidRPr="001645BB">
        <w:rPr>
          <w:rFonts w:ascii="Corbel" w:hAnsi="Corbel"/>
        </w:rPr>
        <w:t xml:space="preserve"> focuses on maintaining physical health, cognitive function, and active engagement in life. </w:t>
      </w:r>
      <w:r w:rsidRPr="00166855">
        <w:rPr>
          <w:rFonts w:ascii="Corbel" w:hAnsi="Corbel"/>
          <w:i/>
          <w:iCs/>
        </w:rPr>
        <w:t>Active ageing</w:t>
      </w:r>
      <w:r w:rsidRPr="001645BB">
        <w:rPr>
          <w:rFonts w:ascii="Corbel" w:hAnsi="Corbel"/>
        </w:rPr>
        <w:t xml:space="preserve"> emphasi</w:t>
      </w:r>
      <w:r>
        <w:rPr>
          <w:rFonts w:ascii="Corbel" w:hAnsi="Corbel"/>
        </w:rPr>
        <w:t>s</w:t>
      </w:r>
      <w:r w:rsidRPr="001645BB">
        <w:rPr>
          <w:rFonts w:ascii="Corbel" w:hAnsi="Corbel"/>
        </w:rPr>
        <w:t xml:space="preserve">es the continued participation of older adults in social, economic, cultural, and civic activities, promoting the benefits of staying engaged and productive. </w:t>
      </w:r>
      <w:r w:rsidRPr="00166855">
        <w:rPr>
          <w:rFonts w:ascii="Corbel" w:hAnsi="Corbel"/>
          <w:i/>
          <w:iCs/>
        </w:rPr>
        <w:t>Positive ageing</w:t>
      </w:r>
      <w:r w:rsidRPr="001645BB">
        <w:rPr>
          <w:rFonts w:ascii="Corbel" w:hAnsi="Corbel"/>
        </w:rPr>
        <w:t xml:space="preserve"> highlights a proactive and optimistic attitude towards ageing, encouraging individuals to embrace the ageing process with a focus on opportunities and strengths rather than limitations. </w:t>
      </w:r>
      <w:r w:rsidRPr="00CB615E">
        <w:rPr>
          <w:rFonts w:ascii="Corbel" w:hAnsi="Corbel"/>
          <w:i/>
          <w:iCs/>
        </w:rPr>
        <w:t>Ageing well</w:t>
      </w:r>
      <w:r w:rsidRPr="001645BB">
        <w:rPr>
          <w:rFonts w:ascii="Corbel" w:hAnsi="Corbel"/>
        </w:rPr>
        <w:t xml:space="preserve"> is a broad concept that encompasses maintaining overall wellbeing, including physical, mental, and social health, to ensure a high quality of life in older age.</w:t>
      </w:r>
    </w:p>
  </w:footnote>
  <w:footnote w:id="4">
    <w:p w14:paraId="1C380B7B" w14:textId="78FF47AD" w:rsidR="008C4F42" w:rsidRDefault="008C4F42">
      <w:pPr>
        <w:pStyle w:val="FootnoteText"/>
      </w:pPr>
      <w:r>
        <w:rPr>
          <w:rStyle w:val="FootnoteReference"/>
        </w:rPr>
        <w:footnoteRef/>
      </w:r>
      <w:r>
        <w:t xml:space="preserve"> </w:t>
      </w:r>
      <w:r w:rsidRPr="008C4F42">
        <w:t xml:space="preserve">The two measures use quite different notions of what it means for a low-income household to improve its situation from one time period to another, whether moving closer to the median or closer to a reference line fixed in real </w:t>
      </w:r>
      <w:r>
        <w:t>(</w:t>
      </w:r>
      <w:r w:rsidRPr="008C4F42">
        <w:t>CPI-adjusted</w:t>
      </w:r>
      <w:r>
        <w:t>)</w:t>
      </w:r>
      <w:r w:rsidRPr="008C4F42">
        <w:t xml:space="preserve"> terms. The fixed line measure generally tracks in a similar way to the more direct material hardship measures.</w:t>
      </w:r>
    </w:p>
  </w:footnote>
  <w:footnote w:id="5">
    <w:p w14:paraId="539E1678" w14:textId="43F0210C" w:rsidR="008D123F" w:rsidRPr="008D123F" w:rsidRDefault="008D123F" w:rsidP="008D123F">
      <w:pPr>
        <w:pStyle w:val="FootnoteText"/>
      </w:pPr>
      <w:r>
        <w:rPr>
          <w:rStyle w:val="FootnoteReference"/>
        </w:rPr>
        <w:footnoteRef/>
      </w:r>
      <w:r>
        <w:t xml:space="preserve"> </w:t>
      </w:r>
      <w:r w:rsidRPr="008D123F">
        <w:t>Access to the data used in this study was provided by Stats NZ under conditions designed to give effect to the security and confidentiality provisions of the Data and Statistics Act 2022. The results presented in this study are the work of the author, not Stats NZ or individual data suppliers.</w:t>
      </w:r>
      <w:r>
        <w:br/>
      </w:r>
      <w:r>
        <w:br/>
      </w:r>
      <w:r w:rsidRPr="008D123F">
        <w:rPr>
          <w:rFonts w:cstheme="minorHAnsi"/>
          <w:color w:val="242424"/>
          <w:szCs w:val="18"/>
          <w:bdr w:val="none" w:sz="0" w:space="0" w:color="auto" w:frame="1"/>
        </w:rPr>
        <w:t>These results are not official statistics. They have been created for research purposes from the Integrated Data Infrastructure (IDI) which is carefully managed by Stats NZ. For more information about the IDI please visit </w:t>
      </w:r>
      <w:hyperlink r:id="rId1" w:tooltip="Original URL: https://www.stats.govt.nz/integrated-data/. Click or tap if you trust this link." w:history="1">
        <w:r w:rsidRPr="008D123F">
          <w:rPr>
            <w:rStyle w:val="Hyperlink"/>
            <w:rFonts w:cstheme="minorHAnsi"/>
            <w:szCs w:val="18"/>
            <w:bdr w:val="none" w:sz="0" w:space="0" w:color="auto" w:frame="1"/>
          </w:rPr>
          <w:t>https://www.stats.govt.nz/integrated-data/</w:t>
        </w:r>
      </w:hyperlink>
      <w:r w:rsidRPr="008D123F">
        <w:rPr>
          <w:rFonts w:cstheme="minorHAnsi"/>
          <w:color w:val="242424"/>
          <w:szCs w:val="18"/>
          <w:bdr w:val="none" w:sz="0" w:space="0" w:color="auto" w:frame="1"/>
        </w:rPr>
        <w:t>.</w:t>
      </w:r>
    </w:p>
    <w:p w14:paraId="72D0E9FC" w14:textId="77777777" w:rsidR="008D123F" w:rsidRPr="008D123F" w:rsidRDefault="008D123F" w:rsidP="008D123F">
      <w:pPr>
        <w:pStyle w:val="NormalWeb"/>
        <w:shd w:val="clear" w:color="auto" w:fill="FFFFFF"/>
        <w:spacing w:before="0" w:after="0"/>
        <w:ind w:left="720"/>
        <w:rPr>
          <w:rFonts w:cstheme="minorHAnsi"/>
          <w:color w:val="242424"/>
          <w:sz w:val="18"/>
          <w:szCs w:val="18"/>
        </w:rPr>
      </w:pPr>
      <w:r w:rsidRPr="008D123F">
        <w:rPr>
          <w:rFonts w:cstheme="minorHAnsi"/>
          <w:color w:val="242424"/>
          <w:sz w:val="18"/>
          <w:szCs w:val="18"/>
          <w:bdr w:val="none" w:sz="0" w:space="0" w:color="auto" w:frame="1"/>
        </w:rPr>
        <w:t> </w:t>
      </w:r>
    </w:p>
    <w:p w14:paraId="53AD5411" w14:textId="580C0E90" w:rsidR="008D123F" w:rsidRPr="008D123F" w:rsidRDefault="008D123F" w:rsidP="008D123F">
      <w:pPr>
        <w:pStyle w:val="NormalWeb"/>
        <w:shd w:val="clear" w:color="auto" w:fill="FFFFFF"/>
        <w:spacing w:before="0" w:after="0"/>
        <w:rPr>
          <w:rFonts w:cstheme="minorHAnsi"/>
          <w:color w:val="242424"/>
          <w:sz w:val="18"/>
          <w:szCs w:val="18"/>
        </w:rPr>
      </w:pPr>
      <w:r w:rsidRPr="008D123F">
        <w:rPr>
          <w:rFonts w:cstheme="minorHAnsi"/>
          <w:color w:val="242424"/>
          <w:sz w:val="18"/>
          <w:szCs w:val="18"/>
          <w:bdr w:val="none" w:sz="0" w:space="0" w:color="auto" w:frame="1"/>
        </w:rPr>
        <w:t>The results are based in part on tax data supplied by Inland Revenue to Stats NZ under the Tax Administration Act 1994 for statistical purposes. Any discussion of data limitations or weaknesses is in the context of using the IDI for statistical purposes, and is not related to the data’s ability to support Inland Revenue’s core operational requirements.</w:t>
      </w:r>
    </w:p>
    <w:p w14:paraId="1C165314" w14:textId="77777777" w:rsidR="008D123F" w:rsidRPr="008D123F" w:rsidRDefault="008D123F">
      <w:pPr>
        <w:pStyle w:val="FootnoteText"/>
        <w:rPr>
          <w:lang w:val="mi-NZ"/>
        </w:rPr>
      </w:pPr>
    </w:p>
  </w:footnote>
  <w:footnote w:id="6">
    <w:p w14:paraId="3EC32E9D" w14:textId="5211B060" w:rsidR="00046B95" w:rsidRDefault="00046B95">
      <w:pPr>
        <w:pStyle w:val="FootnoteText"/>
      </w:pPr>
      <w:r>
        <w:rPr>
          <w:rStyle w:val="FootnoteReference"/>
        </w:rPr>
        <w:footnoteRef/>
      </w:r>
      <w:r>
        <w:t xml:space="preserve"> </w:t>
      </w:r>
      <w:r w:rsidRPr="00046B95">
        <w:t>The Gini coefficient is a statistical measure used to quantify the degree of inequality within a population</w:t>
      </w:r>
      <w:r w:rsidR="00740E00">
        <w:t xml:space="preserve">, </w:t>
      </w:r>
      <w:r w:rsidR="00AF0137">
        <w:rPr>
          <w:rFonts w:ascii="Aptos" w:eastAsia="Times New Roman" w:hAnsi="Aptos"/>
        </w:rPr>
        <w:t>often computed for income, wealth or consumption,</w:t>
      </w:r>
      <w:r w:rsidRPr="00046B95">
        <w:t xml:space="preserve"> with possible scores ranging from 0 (perfect equality) to 1 (perfect inequality</w:t>
      </w:r>
      <w:r w:rsidR="00740E00">
        <w:t>.</w:t>
      </w:r>
    </w:p>
  </w:footnote>
  <w:footnote w:id="7">
    <w:p w14:paraId="0A44247A" w14:textId="77777777" w:rsidR="00DE767F" w:rsidRDefault="00DE767F" w:rsidP="00DE767F">
      <w:pPr>
        <w:pStyle w:val="FootnoteText"/>
      </w:pPr>
      <w:r>
        <w:rPr>
          <w:rStyle w:val="FootnoteReference"/>
        </w:rPr>
        <w:footnoteRef/>
      </w:r>
      <w:r>
        <w:t xml:space="preserve"> </w:t>
      </w:r>
      <w:r>
        <w:rPr>
          <w:rFonts w:ascii="Corbel" w:hAnsi="Corbel"/>
          <w:lang w:val="en-GB"/>
        </w:rPr>
        <w:t xml:space="preserve">Those people will either need to apply for a main benefit, which itself has a residency test, or apply for an emergency benefit, which is paid at the level of Job Seeker Support. </w:t>
      </w:r>
    </w:p>
  </w:footnote>
  <w:footnote w:id="8">
    <w:p w14:paraId="59DD992E" w14:textId="742B761A" w:rsidR="008F56D2" w:rsidRDefault="008F56D2" w:rsidP="00364A55">
      <w:pPr>
        <w:pStyle w:val="FootnoteText"/>
      </w:pPr>
      <w:r>
        <w:rPr>
          <w:rStyle w:val="FootnoteReference"/>
        </w:rPr>
        <w:footnoteRef/>
      </w:r>
      <w:r>
        <w:t xml:space="preserve"> </w:t>
      </w:r>
      <w:r w:rsidRPr="008F56D2">
        <w:rPr>
          <w:rFonts w:ascii="Corbel" w:hAnsi="Corbel"/>
        </w:rPr>
        <w:t xml:space="preserve">For example, </w:t>
      </w:r>
      <w:r>
        <w:rPr>
          <w:rFonts w:ascii="Corbel" w:hAnsi="Corbel"/>
        </w:rPr>
        <w:t>f</w:t>
      </w:r>
      <w:r>
        <w:t>rom 1985 to 1998 New Zealand operated a surcharge on superannuitants’ other income – the fiscal cost of abolishing the surcharge in 1998 was estimated to be 10% of the net cost of NZS.</w:t>
      </w:r>
      <w:r w:rsidR="00364A55">
        <w:t xml:space="preserve"> </w:t>
      </w:r>
      <w:r w:rsidR="000D20E4">
        <w:t xml:space="preserve">The </w:t>
      </w:r>
      <w:r w:rsidR="00364A55">
        <w:t xml:space="preserve">Treasury has also modelled a proposal by St John and Dale, whereby each person receives a universal grant that is not taxable but </w:t>
      </w:r>
      <w:r w:rsidR="00184814">
        <w:t xml:space="preserve">is </w:t>
      </w:r>
      <w:r w:rsidR="00364A55">
        <w:t xml:space="preserve">subject to a progressive tax regime that effectively provides a ‘claw back’ of the grant for those on higher incomes. Savings from this scheme were estimated at between 14% and 9% of net NZS, if net NZS rates </w:t>
      </w:r>
      <w:r w:rsidR="00ED61FD">
        <w:t xml:space="preserve">were </w:t>
      </w:r>
      <w:r w:rsidR="00364A55">
        <w:t xml:space="preserve">not changed at the same time. </w:t>
      </w:r>
    </w:p>
  </w:footnote>
  <w:footnote w:id="9">
    <w:p w14:paraId="0AC357F0" w14:textId="425EB902" w:rsidR="002C58FF" w:rsidRDefault="002C58FF">
      <w:pPr>
        <w:pStyle w:val="FootnoteText"/>
      </w:pPr>
      <w:r>
        <w:rPr>
          <w:rStyle w:val="FootnoteReference"/>
        </w:rPr>
        <w:footnoteRef/>
      </w:r>
      <w:r>
        <w:t xml:space="preserve"> </w:t>
      </w:r>
      <w:r w:rsidR="00E97B32">
        <w:t xml:space="preserve">Although Census 2023 appears to show a significant “rebound” in home ownership rates, there are reasons to doubt this result. </w:t>
      </w:r>
      <w:r w:rsidR="00575DDA">
        <w:t xml:space="preserve">Stats NZ changed the way they count Retirement Village residents in 2023; unambiguously including them in the “own” category. Poor response rates in the 2018 Census may also magnify the apparent change. </w:t>
      </w:r>
    </w:p>
  </w:footnote>
  <w:footnote w:id="10">
    <w:p w14:paraId="2EA9A457" w14:textId="4EA4AAF1" w:rsidR="0085526D" w:rsidRPr="00BF148A" w:rsidRDefault="0085526D">
      <w:pPr>
        <w:pStyle w:val="FootnoteText"/>
        <w:rPr>
          <w:rFonts w:ascii="Corbel" w:hAnsi="Corbel"/>
        </w:rPr>
      </w:pPr>
      <w:r>
        <w:rPr>
          <w:rStyle w:val="FootnoteReference"/>
        </w:rPr>
        <w:footnoteRef/>
      </w:r>
      <w:r>
        <w:t xml:space="preserve"> </w:t>
      </w:r>
      <w:r w:rsidR="00CB0A25">
        <w:t xml:space="preserve">The fact that the rate of </w:t>
      </w:r>
      <w:r w:rsidR="00D56DC2">
        <w:t xml:space="preserve">mortgagees/renters is lower </w:t>
      </w:r>
      <w:r w:rsidR="002E4EF2">
        <w:t>for the</w:t>
      </w:r>
      <w:r>
        <w:t xml:space="preserve"> </w:t>
      </w:r>
      <w:r w:rsidR="00E94142">
        <w:t xml:space="preserve">40% </w:t>
      </w:r>
      <w:r w:rsidR="00697A2A">
        <w:t>with little or no income beyond NZS</w:t>
      </w:r>
      <w:r w:rsidR="00E94142">
        <w:t xml:space="preserve"> than for the </w:t>
      </w:r>
      <w:r w:rsidR="00654C00">
        <w:t xml:space="preserve">overall </w:t>
      </w:r>
      <w:r w:rsidR="00E94142">
        <w:t>population is of interest</w:t>
      </w:r>
      <w:r w:rsidR="00074AD3">
        <w:t>, as one would expect that t</w:t>
      </w:r>
      <w:r w:rsidR="00A24CDB">
        <w:rPr>
          <w:rFonts w:ascii="Corbel" w:hAnsi="Corbel"/>
        </w:rPr>
        <w:t>he life course factors that mean an older person does not own their home mortgage-free could also mean they have constrained income</w:t>
      </w:r>
      <w:r w:rsidR="00D643E7">
        <w:rPr>
          <w:rFonts w:ascii="Corbel" w:hAnsi="Corbel"/>
        </w:rPr>
        <w:t xml:space="preserve">. </w:t>
      </w:r>
      <w:r w:rsidR="00FA64E9">
        <w:rPr>
          <w:rFonts w:ascii="Corbel" w:hAnsi="Corbel"/>
        </w:rPr>
        <w:t>It</w:t>
      </w:r>
      <w:r w:rsidR="0039104D">
        <w:rPr>
          <w:rFonts w:ascii="Corbel" w:hAnsi="Corbel"/>
        </w:rPr>
        <w:t xml:space="preserve"> is likely </w:t>
      </w:r>
      <w:r w:rsidR="00FA64E9">
        <w:rPr>
          <w:rFonts w:ascii="Corbel" w:hAnsi="Corbel"/>
        </w:rPr>
        <w:t>that</w:t>
      </w:r>
      <w:r w:rsidR="00C70A00">
        <w:rPr>
          <w:rFonts w:ascii="Corbel" w:hAnsi="Corbel"/>
        </w:rPr>
        <w:t xml:space="preserve"> the 40% group </w:t>
      </w:r>
      <w:r w:rsidR="00843E2D">
        <w:rPr>
          <w:rFonts w:ascii="Corbel" w:hAnsi="Corbel"/>
        </w:rPr>
        <w:t xml:space="preserve">is </w:t>
      </w:r>
      <w:r w:rsidR="0025450C">
        <w:rPr>
          <w:rFonts w:ascii="Corbel" w:hAnsi="Corbel"/>
        </w:rPr>
        <w:t xml:space="preserve">comparatively </w:t>
      </w:r>
      <w:r w:rsidR="00843E2D">
        <w:rPr>
          <w:rFonts w:ascii="Corbel" w:hAnsi="Corbel"/>
        </w:rPr>
        <w:t xml:space="preserve">older than </w:t>
      </w:r>
      <w:r w:rsidR="00777271">
        <w:rPr>
          <w:rFonts w:ascii="Corbel" w:hAnsi="Corbel"/>
        </w:rPr>
        <w:t>the</w:t>
      </w:r>
      <w:r w:rsidR="0025450C" w:rsidRPr="0025450C">
        <w:rPr>
          <w:rFonts w:ascii="Corbel" w:hAnsi="Corbel"/>
        </w:rPr>
        <w:t xml:space="preserve"> </w:t>
      </w:r>
      <w:r w:rsidR="0025450C">
        <w:rPr>
          <w:rFonts w:ascii="Corbel" w:hAnsi="Corbel"/>
        </w:rPr>
        <w:t>overall</w:t>
      </w:r>
      <w:r w:rsidR="00777271">
        <w:rPr>
          <w:rFonts w:ascii="Corbel" w:hAnsi="Corbel"/>
        </w:rPr>
        <w:t xml:space="preserve"> 65+ population</w:t>
      </w:r>
      <w:r w:rsidR="0025450C">
        <w:rPr>
          <w:rFonts w:ascii="Corbel" w:hAnsi="Corbel"/>
        </w:rPr>
        <w:t xml:space="preserve">, </w:t>
      </w:r>
      <w:r w:rsidR="00104919">
        <w:rPr>
          <w:rFonts w:ascii="Corbel" w:hAnsi="Corbel"/>
        </w:rPr>
        <w:t>and</w:t>
      </w:r>
      <w:r w:rsidR="00542311">
        <w:rPr>
          <w:rFonts w:ascii="Corbel" w:hAnsi="Corbel"/>
        </w:rPr>
        <w:t xml:space="preserve"> mortgage</w:t>
      </w:r>
      <w:r w:rsidR="00697A2A">
        <w:rPr>
          <w:rFonts w:ascii="Corbel" w:hAnsi="Corbel"/>
        </w:rPr>
        <w:t>e</w:t>
      </w:r>
      <w:r w:rsidR="00542311">
        <w:rPr>
          <w:rFonts w:ascii="Corbel" w:hAnsi="Corbel"/>
        </w:rPr>
        <w:t xml:space="preserve">s are more likely to be concentrated </w:t>
      </w:r>
      <w:r w:rsidR="00594F84">
        <w:rPr>
          <w:rFonts w:ascii="Corbel" w:hAnsi="Corbel"/>
        </w:rPr>
        <w:t>in the 65 - 74</w:t>
      </w:r>
      <w:r w:rsidR="00542311">
        <w:rPr>
          <w:rFonts w:ascii="Corbel" w:hAnsi="Corbel"/>
        </w:rPr>
        <w:t xml:space="preserve"> age bracket</w:t>
      </w:r>
      <w:r w:rsidR="00697A2A">
        <w:rPr>
          <w:rFonts w:ascii="Corbel" w:hAnsi="Corbel"/>
        </w:rPr>
        <w:t>, who are more likely to be in employment and therefore earning income in addition to NZS</w:t>
      </w:r>
      <w:r w:rsidR="00542311">
        <w:rPr>
          <w:rFonts w:ascii="Corbel" w:hAnsi="Corbe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E63A" w14:textId="5C3E7836" w:rsidR="00A62EE9" w:rsidRDefault="00A62EE9">
    <w:pPr>
      <w:pStyle w:val="Header"/>
    </w:pPr>
    <w:r>
      <w:rPr>
        <w:noProof/>
      </w:rPr>
      <mc:AlternateContent>
        <mc:Choice Requires="wps">
          <w:drawing>
            <wp:anchor distT="0" distB="0" distL="0" distR="0" simplePos="0" relativeHeight="251658241" behindDoc="0" locked="0" layoutInCell="1" allowOverlap="1" wp14:anchorId="63969033" wp14:editId="22610561">
              <wp:simplePos x="635" y="635"/>
              <wp:positionH relativeFrom="page">
                <wp:align>center</wp:align>
              </wp:positionH>
              <wp:positionV relativeFrom="page">
                <wp:align>top</wp:align>
              </wp:positionV>
              <wp:extent cx="443865" cy="443865"/>
              <wp:effectExtent l="0" t="0" r="10160" b="4445"/>
              <wp:wrapNone/>
              <wp:docPr id="1430982881"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C48522" w14:textId="3534516E" w:rsidR="00A62EE9" w:rsidRPr="00A62EE9" w:rsidRDefault="00A62EE9" w:rsidP="00A62EE9">
                          <w:pPr>
                            <w:spacing w:after="0"/>
                            <w:rPr>
                              <w:rFonts w:ascii="Calibri" w:hAnsi="Calibri" w:cs="Calibri"/>
                              <w:noProof/>
                              <w:color w:val="000000"/>
                              <w:szCs w:val="20"/>
                            </w:rPr>
                          </w:pPr>
                          <w:r w:rsidRPr="00A62EE9">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969033" id="_x0000_t202" coordsize="21600,21600" o:spt="202" path="m,l,21600r21600,l21600,xe">
              <v:stroke joinstyle="miter"/>
              <v:path gradientshapeok="t" o:connecttype="rect"/>
            </v:shapetype>
            <v:shape id="Text Box 2" o:spid="_x0000_s1031" type="#_x0000_t202" alt="IN-CONFIDENCE"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3C48522" w14:textId="3534516E" w:rsidR="00A62EE9" w:rsidRPr="00A62EE9" w:rsidRDefault="00A62EE9" w:rsidP="00A62EE9">
                    <w:pPr>
                      <w:spacing w:after="0"/>
                      <w:rPr>
                        <w:rFonts w:ascii="Calibri" w:hAnsi="Calibri" w:cs="Calibri"/>
                        <w:noProof/>
                        <w:color w:val="000000"/>
                        <w:szCs w:val="20"/>
                      </w:rPr>
                    </w:pPr>
                    <w:r w:rsidRPr="00A62EE9">
                      <w:rPr>
                        <w:rFonts w:ascii="Calibri" w:hAnsi="Calibri" w:cs="Calibri"/>
                        <w:noProof/>
                        <w:color w:val="00000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1A42" w14:textId="5C95EBD4" w:rsidR="00A62EE9" w:rsidRDefault="00A62EE9">
    <w:pPr>
      <w:pStyle w:val="Header"/>
    </w:pPr>
    <w:r>
      <w:rPr>
        <w:noProof/>
      </w:rPr>
      <mc:AlternateContent>
        <mc:Choice Requires="wps">
          <w:drawing>
            <wp:anchor distT="0" distB="0" distL="0" distR="0" simplePos="0" relativeHeight="251658242" behindDoc="0" locked="0" layoutInCell="1" allowOverlap="1" wp14:anchorId="7E84FE00" wp14:editId="7021D074">
              <wp:simplePos x="914400" y="447675"/>
              <wp:positionH relativeFrom="page">
                <wp:align>center</wp:align>
              </wp:positionH>
              <wp:positionV relativeFrom="page">
                <wp:align>top</wp:align>
              </wp:positionV>
              <wp:extent cx="443865" cy="443865"/>
              <wp:effectExtent l="0" t="0" r="10160" b="4445"/>
              <wp:wrapNone/>
              <wp:docPr id="1677507145"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32E949" w14:textId="2B2C5A3B" w:rsidR="00A62EE9" w:rsidRPr="00A62EE9" w:rsidRDefault="00A62EE9" w:rsidP="00A62EE9">
                          <w:pPr>
                            <w:spacing w:after="0"/>
                            <w:rPr>
                              <w:rFonts w:ascii="Calibri" w:hAnsi="Calibri" w:cs="Calibri"/>
                              <w:noProof/>
                              <w:color w:val="000000"/>
                              <w:szCs w:val="20"/>
                            </w:rPr>
                          </w:pPr>
                          <w:r w:rsidRPr="00A62EE9">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4FE00" id="_x0000_t202" coordsize="21600,21600" o:spt="202" path="m,l,21600r21600,l21600,xe">
              <v:stroke joinstyle="miter"/>
              <v:path gradientshapeok="t" o:connecttype="rect"/>
            </v:shapetype>
            <v:shape id="Text Box 3" o:spid="_x0000_s1032" type="#_x0000_t202" alt="IN-CONFIDENCE"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B32E949" w14:textId="2B2C5A3B" w:rsidR="00A62EE9" w:rsidRPr="00A62EE9" w:rsidRDefault="00A62EE9" w:rsidP="00A62EE9">
                    <w:pPr>
                      <w:spacing w:after="0"/>
                      <w:rPr>
                        <w:rFonts w:ascii="Calibri" w:hAnsi="Calibri" w:cs="Calibri"/>
                        <w:noProof/>
                        <w:color w:val="000000"/>
                        <w:szCs w:val="20"/>
                      </w:rPr>
                    </w:pPr>
                    <w:r w:rsidRPr="00A62EE9">
                      <w:rPr>
                        <w:rFonts w:ascii="Calibri" w:hAnsi="Calibri" w:cs="Calibri"/>
                        <w:noProof/>
                        <w:color w:val="00000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D4379" w14:textId="0ABD3D7F" w:rsidR="00A62EE9" w:rsidRDefault="00A62EE9">
    <w:pPr>
      <w:pStyle w:val="Header"/>
    </w:pPr>
    <w:r>
      <w:rPr>
        <w:noProof/>
      </w:rPr>
      <mc:AlternateContent>
        <mc:Choice Requires="wps">
          <w:drawing>
            <wp:anchor distT="0" distB="0" distL="0" distR="0" simplePos="0" relativeHeight="251658240" behindDoc="0" locked="0" layoutInCell="1" allowOverlap="1" wp14:anchorId="18ECE5F7" wp14:editId="2CA25858">
              <wp:simplePos x="635" y="635"/>
              <wp:positionH relativeFrom="page">
                <wp:align>center</wp:align>
              </wp:positionH>
              <wp:positionV relativeFrom="page">
                <wp:align>top</wp:align>
              </wp:positionV>
              <wp:extent cx="443865" cy="443865"/>
              <wp:effectExtent l="0" t="0" r="10160" b="4445"/>
              <wp:wrapNone/>
              <wp:docPr id="41728063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2CFE50" w14:textId="5B254284" w:rsidR="00A62EE9" w:rsidRPr="00A62EE9" w:rsidRDefault="00A62EE9" w:rsidP="00A62EE9">
                          <w:pPr>
                            <w:spacing w:after="0"/>
                            <w:rPr>
                              <w:rFonts w:ascii="Calibri" w:hAnsi="Calibri" w:cs="Calibri"/>
                              <w:noProof/>
                              <w:color w:val="000000"/>
                              <w:szCs w:val="20"/>
                            </w:rPr>
                          </w:pPr>
                          <w:r w:rsidRPr="00A62EE9">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ECE5F7" id="_x0000_t202" coordsize="21600,21600" o:spt="202" path="m,l,21600r21600,l21600,xe">
              <v:stroke joinstyle="miter"/>
              <v:path gradientshapeok="t" o:connecttype="rect"/>
            </v:shapetype>
            <v:shape id="_x0000_s1033"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A2CFE50" w14:textId="5B254284" w:rsidR="00A62EE9" w:rsidRPr="00A62EE9" w:rsidRDefault="00A62EE9" w:rsidP="00A62EE9">
                    <w:pPr>
                      <w:spacing w:after="0"/>
                      <w:rPr>
                        <w:rFonts w:ascii="Calibri" w:hAnsi="Calibri" w:cs="Calibri"/>
                        <w:noProof/>
                        <w:color w:val="000000"/>
                        <w:szCs w:val="20"/>
                      </w:rPr>
                    </w:pPr>
                    <w:r w:rsidRPr="00A62EE9">
                      <w:rPr>
                        <w:rFonts w:ascii="Calibri" w:hAnsi="Calibri" w:cs="Calibri"/>
                        <w:noProof/>
                        <w:color w:val="00000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34723"/>
    <w:multiLevelType w:val="hybridMultilevel"/>
    <w:tmpl w:val="8A2E6B6C"/>
    <w:lvl w:ilvl="0" w:tplc="A12A68D6">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FB4D21"/>
    <w:multiLevelType w:val="hybridMultilevel"/>
    <w:tmpl w:val="54745F9C"/>
    <w:lvl w:ilvl="0" w:tplc="47F023C4">
      <w:start w:val="1"/>
      <w:numFmt w:val="bullet"/>
      <w:lvlText w:val="•"/>
      <w:lvlJc w:val="left"/>
      <w:pPr>
        <w:tabs>
          <w:tab w:val="num" w:pos="720"/>
        </w:tabs>
        <w:ind w:left="720" w:hanging="360"/>
      </w:pPr>
      <w:rPr>
        <w:rFonts w:ascii="Arial" w:hAnsi="Arial" w:hint="default"/>
      </w:rPr>
    </w:lvl>
    <w:lvl w:ilvl="1" w:tplc="7A98BB4C" w:tentative="1">
      <w:start w:val="1"/>
      <w:numFmt w:val="bullet"/>
      <w:lvlText w:val="•"/>
      <w:lvlJc w:val="left"/>
      <w:pPr>
        <w:tabs>
          <w:tab w:val="num" w:pos="1440"/>
        </w:tabs>
        <w:ind w:left="1440" w:hanging="360"/>
      </w:pPr>
      <w:rPr>
        <w:rFonts w:ascii="Arial" w:hAnsi="Arial" w:hint="default"/>
      </w:rPr>
    </w:lvl>
    <w:lvl w:ilvl="2" w:tplc="EB6883F8" w:tentative="1">
      <w:start w:val="1"/>
      <w:numFmt w:val="bullet"/>
      <w:lvlText w:val="•"/>
      <w:lvlJc w:val="left"/>
      <w:pPr>
        <w:tabs>
          <w:tab w:val="num" w:pos="2160"/>
        </w:tabs>
        <w:ind w:left="2160" w:hanging="360"/>
      </w:pPr>
      <w:rPr>
        <w:rFonts w:ascii="Arial" w:hAnsi="Arial" w:hint="default"/>
      </w:rPr>
    </w:lvl>
    <w:lvl w:ilvl="3" w:tplc="691CDBFA" w:tentative="1">
      <w:start w:val="1"/>
      <w:numFmt w:val="bullet"/>
      <w:lvlText w:val="•"/>
      <w:lvlJc w:val="left"/>
      <w:pPr>
        <w:tabs>
          <w:tab w:val="num" w:pos="2880"/>
        </w:tabs>
        <w:ind w:left="2880" w:hanging="360"/>
      </w:pPr>
      <w:rPr>
        <w:rFonts w:ascii="Arial" w:hAnsi="Arial" w:hint="default"/>
      </w:rPr>
    </w:lvl>
    <w:lvl w:ilvl="4" w:tplc="90AA3216" w:tentative="1">
      <w:start w:val="1"/>
      <w:numFmt w:val="bullet"/>
      <w:lvlText w:val="•"/>
      <w:lvlJc w:val="left"/>
      <w:pPr>
        <w:tabs>
          <w:tab w:val="num" w:pos="3600"/>
        </w:tabs>
        <w:ind w:left="3600" w:hanging="360"/>
      </w:pPr>
      <w:rPr>
        <w:rFonts w:ascii="Arial" w:hAnsi="Arial" w:hint="default"/>
      </w:rPr>
    </w:lvl>
    <w:lvl w:ilvl="5" w:tplc="C7DE0436" w:tentative="1">
      <w:start w:val="1"/>
      <w:numFmt w:val="bullet"/>
      <w:lvlText w:val="•"/>
      <w:lvlJc w:val="left"/>
      <w:pPr>
        <w:tabs>
          <w:tab w:val="num" w:pos="4320"/>
        </w:tabs>
        <w:ind w:left="4320" w:hanging="360"/>
      </w:pPr>
      <w:rPr>
        <w:rFonts w:ascii="Arial" w:hAnsi="Arial" w:hint="default"/>
      </w:rPr>
    </w:lvl>
    <w:lvl w:ilvl="6" w:tplc="CEB69E02" w:tentative="1">
      <w:start w:val="1"/>
      <w:numFmt w:val="bullet"/>
      <w:lvlText w:val="•"/>
      <w:lvlJc w:val="left"/>
      <w:pPr>
        <w:tabs>
          <w:tab w:val="num" w:pos="5040"/>
        </w:tabs>
        <w:ind w:left="5040" w:hanging="360"/>
      </w:pPr>
      <w:rPr>
        <w:rFonts w:ascii="Arial" w:hAnsi="Arial" w:hint="default"/>
      </w:rPr>
    </w:lvl>
    <w:lvl w:ilvl="7" w:tplc="451805EA" w:tentative="1">
      <w:start w:val="1"/>
      <w:numFmt w:val="bullet"/>
      <w:lvlText w:val="•"/>
      <w:lvlJc w:val="left"/>
      <w:pPr>
        <w:tabs>
          <w:tab w:val="num" w:pos="5760"/>
        </w:tabs>
        <w:ind w:left="5760" w:hanging="360"/>
      </w:pPr>
      <w:rPr>
        <w:rFonts w:ascii="Arial" w:hAnsi="Arial" w:hint="default"/>
      </w:rPr>
    </w:lvl>
    <w:lvl w:ilvl="8" w:tplc="51BC1B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5A5570"/>
    <w:multiLevelType w:val="hybridMultilevel"/>
    <w:tmpl w:val="847032EC"/>
    <w:lvl w:ilvl="0" w:tplc="A12A68D6">
      <w:start w:val="1"/>
      <w:numFmt w:val="bullet"/>
      <w:lvlText w:val="•"/>
      <w:lvlJc w:val="left"/>
      <w:pPr>
        <w:tabs>
          <w:tab w:val="num" w:pos="720"/>
        </w:tabs>
        <w:ind w:left="720" w:hanging="360"/>
      </w:pPr>
      <w:rPr>
        <w:rFonts w:ascii="Arial" w:hAnsi="Arial" w:hint="default"/>
      </w:rPr>
    </w:lvl>
    <w:lvl w:ilvl="1" w:tplc="39887960" w:tentative="1">
      <w:start w:val="1"/>
      <w:numFmt w:val="bullet"/>
      <w:lvlText w:val="•"/>
      <w:lvlJc w:val="left"/>
      <w:pPr>
        <w:tabs>
          <w:tab w:val="num" w:pos="1440"/>
        </w:tabs>
        <w:ind w:left="1440" w:hanging="360"/>
      </w:pPr>
      <w:rPr>
        <w:rFonts w:ascii="Arial" w:hAnsi="Arial" w:hint="default"/>
      </w:rPr>
    </w:lvl>
    <w:lvl w:ilvl="2" w:tplc="CCB00370" w:tentative="1">
      <w:start w:val="1"/>
      <w:numFmt w:val="bullet"/>
      <w:lvlText w:val="•"/>
      <w:lvlJc w:val="left"/>
      <w:pPr>
        <w:tabs>
          <w:tab w:val="num" w:pos="2160"/>
        </w:tabs>
        <w:ind w:left="2160" w:hanging="360"/>
      </w:pPr>
      <w:rPr>
        <w:rFonts w:ascii="Arial" w:hAnsi="Arial" w:hint="default"/>
      </w:rPr>
    </w:lvl>
    <w:lvl w:ilvl="3" w:tplc="1CE00B20" w:tentative="1">
      <w:start w:val="1"/>
      <w:numFmt w:val="bullet"/>
      <w:lvlText w:val="•"/>
      <w:lvlJc w:val="left"/>
      <w:pPr>
        <w:tabs>
          <w:tab w:val="num" w:pos="2880"/>
        </w:tabs>
        <w:ind w:left="2880" w:hanging="360"/>
      </w:pPr>
      <w:rPr>
        <w:rFonts w:ascii="Arial" w:hAnsi="Arial" w:hint="default"/>
      </w:rPr>
    </w:lvl>
    <w:lvl w:ilvl="4" w:tplc="123A9550" w:tentative="1">
      <w:start w:val="1"/>
      <w:numFmt w:val="bullet"/>
      <w:lvlText w:val="•"/>
      <w:lvlJc w:val="left"/>
      <w:pPr>
        <w:tabs>
          <w:tab w:val="num" w:pos="3600"/>
        </w:tabs>
        <w:ind w:left="3600" w:hanging="360"/>
      </w:pPr>
      <w:rPr>
        <w:rFonts w:ascii="Arial" w:hAnsi="Arial" w:hint="default"/>
      </w:rPr>
    </w:lvl>
    <w:lvl w:ilvl="5" w:tplc="CCA09E96" w:tentative="1">
      <w:start w:val="1"/>
      <w:numFmt w:val="bullet"/>
      <w:lvlText w:val="•"/>
      <w:lvlJc w:val="left"/>
      <w:pPr>
        <w:tabs>
          <w:tab w:val="num" w:pos="4320"/>
        </w:tabs>
        <w:ind w:left="4320" w:hanging="360"/>
      </w:pPr>
      <w:rPr>
        <w:rFonts w:ascii="Arial" w:hAnsi="Arial" w:hint="default"/>
      </w:rPr>
    </w:lvl>
    <w:lvl w:ilvl="6" w:tplc="81180400" w:tentative="1">
      <w:start w:val="1"/>
      <w:numFmt w:val="bullet"/>
      <w:lvlText w:val="•"/>
      <w:lvlJc w:val="left"/>
      <w:pPr>
        <w:tabs>
          <w:tab w:val="num" w:pos="5040"/>
        </w:tabs>
        <w:ind w:left="5040" w:hanging="360"/>
      </w:pPr>
      <w:rPr>
        <w:rFonts w:ascii="Arial" w:hAnsi="Arial" w:hint="default"/>
      </w:rPr>
    </w:lvl>
    <w:lvl w:ilvl="7" w:tplc="C5CC9704" w:tentative="1">
      <w:start w:val="1"/>
      <w:numFmt w:val="bullet"/>
      <w:lvlText w:val="•"/>
      <w:lvlJc w:val="left"/>
      <w:pPr>
        <w:tabs>
          <w:tab w:val="num" w:pos="5760"/>
        </w:tabs>
        <w:ind w:left="5760" w:hanging="360"/>
      </w:pPr>
      <w:rPr>
        <w:rFonts w:ascii="Arial" w:hAnsi="Arial" w:hint="default"/>
      </w:rPr>
    </w:lvl>
    <w:lvl w:ilvl="8" w:tplc="E96215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51D88"/>
    <w:multiLevelType w:val="hybridMultilevel"/>
    <w:tmpl w:val="20582DF8"/>
    <w:lvl w:ilvl="0" w:tplc="EDC07678">
      <w:start w:val="1"/>
      <w:numFmt w:val="bullet"/>
      <w:lvlText w:val="•"/>
      <w:lvlJc w:val="left"/>
      <w:pPr>
        <w:tabs>
          <w:tab w:val="num" w:pos="720"/>
        </w:tabs>
        <w:ind w:left="720" w:hanging="360"/>
      </w:pPr>
      <w:rPr>
        <w:rFonts w:ascii="Arial" w:hAnsi="Arial" w:hint="default"/>
      </w:rPr>
    </w:lvl>
    <w:lvl w:ilvl="1" w:tplc="4ADEBA60" w:tentative="1">
      <w:start w:val="1"/>
      <w:numFmt w:val="bullet"/>
      <w:lvlText w:val="•"/>
      <w:lvlJc w:val="left"/>
      <w:pPr>
        <w:tabs>
          <w:tab w:val="num" w:pos="1440"/>
        </w:tabs>
        <w:ind w:left="1440" w:hanging="360"/>
      </w:pPr>
      <w:rPr>
        <w:rFonts w:ascii="Arial" w:hAnsi="Arial" w:hint="default"/>
      </w:rPr>
    </w:lvl>
    <w:lvl w:ilvl="2" w:tplc="A34633B4" w:tentative="1">
      <w:start w:val="1"/>
      <w:numFmt w:val="bullet"/>
      <w:lvlText w:val="•"/>
      <w:lvlJc w:val="left"/>
      <w:pPr>
        <w:tabs>
          <w:tab w:val="num" w:pos="2160"/>
        </w:tabs>
        <w:ind w:left="2160" w:hanging="360"/>
      </w:pPr>
      <w:rPr>
        <w:rFonts w:ascii="Arial" w:hAnsi="Arial" w:hint="default"/>
      </w:rPr>
    </w:lvl>
    <w:lvl w:ilvl="3" w:tplc="E3D275A2" w:tentative="1">
      <w:start w:val="1"/>
      <w:numFmt w:val="bullet"/>
      <w:lvlText w:val="•"/>
      <w:lvlJc w:val="left"/>
      <w:pPr>
        <w:tabs>
          <w:tab w:val="num" w:pos="2880"/>
        </w:tabs>
        <w:ind w:left="2880" w:hanging="360"/>
      </w:pPr>
      <w:rPr>
        <w:rFonts w:ascii="Arial" w:hAnsi="Arial" w:hint="default"/>
      </w:rPr>
    </w:lvl>
    <w:lvl w:ilvl="4" w:tplc="3DDA2556" w:tentative="1">
      <w:start w:val="1"/>
      <w:numFmt w:val="bullet"/>
      <w:lvlText w:val="•"/>
      <w:lvlJc w:val="left"/>
      <w:pPr>
        <w:tabs>
          <w:tab w:val="num" w:pos="3600"/>
        </w:tabs>
        <w:ind w:left="3600" w:hanging="360"/>
      </w:pPr>
      <w:rPr>
        <w:rFonts w:ascii="Arial" w:hAnsi="Arial" w:hint="default"/>
      </w:rPr>
    </w:lvl>
    <w:lvl w:ilvl="5" w:tplc="DDDE4554" w:tentative="1">
      <w:start w:val="1"/>
      <w:numFmt w:val="bullet"/>
      <w:lvlText w:val="•"/>
      <w:lvlJc w:val="left"/>
      <w:pPr>
        <w:tabs>
          <w:tab w:val="num" w:pos="4320"/>
        </w:tabs>
        <w:ind w:left="4320" w:hanging="360"/>
      </w:pPr>
      <w:rPr>
        <w:rFonts w:ascii="Arial" w:hAnsi="Arial" w:hint="default"/>
      </w:rPr>
    </w:lvl>
    <w:lvl w:ilvl="6" w:tplc="1D72E35E" w:tentative="1">
      <w:start w:val="1"/>
      <w:numFmt w:val="bullet"/>
      <w:lvlText w:val="•"/>
      <w:lvlJc w:val="left"/>
      <w:pPr>
        <w:tabs>
          <w:tab w:val="num" w:pos="5040"/>
        </w:tabs>
        <w:ind w:left="5040" w:hanging="360"/>
      </w:pPr>
      <w:rPr>
        <w:rFonts w:ascii="Arial" w:hAnsi="Arial" w:hint="default"/>
      </w:rPr>
    </w:lvl>
    <w:lvl w:ilvl="7" w:tplc="2E6C2B70" w:tentative="1">
      <w:start w:val="1"/>
      <w:numFmt w:val="bullet"/>
      <w:lvlText w:val="•"/>
      <w:lvlJc w:val="left"/>
      <w:pPr>
        <w:tabs>
          <w:tab w:val="num" w:pos="5760"/>
        </w:tabs>
        <w:ind w:left="5760" w:hanging="360"/>
      </w:pPr>
      <w:rPr>
        <w:rFonts w:ascii="Arial" w:hAnsi="Arial" w:hint="default"/>
      </w:rPr>
    </w:lvl>
    <w:lvl w:ilvl="8" w:tplc="B49440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316BBC"/>
    <w:multiLevelType w:val="hybridMultilevel"/>
    <w:tmpl w:val="9F482366"/>
    <w:lvl w:ilvl="0" w:tplc="75B89D26">
      <w:start w:val="1"/>
      <w:numFmt w:val="bullet"/>
      <w:lvlText w:val="•"/>
      <w:lvlJc w:val="left"/>
      <w:pPr>
        <w:tabs>
          <w:tab w:val="num" w:pos="720"/>
        </w:tabs>
        <w:ind w:left="720" w:hanging="360"/>
      </w:pPr>
      <w:rPr>
        <w:rFonts w:ascii="Arial" w:hAnsi="Arial" w:hint="default"/>
      </w:rPr>
    </w:lvl>
    <w:lvl w:ilvl="1" w:tplc="242CFDA8" w:tentative="1">
      <w:start w:val="1"/>
      <w:numFmt w:val="bullet"/>
      <w:lvlText w:val="•"/>
      <w:lvlJc w:val="left"/>
      <w:pPr>
        <w:tabs>
          <w:tab w:val="num" w:pos="1440"/>
        </w:tabs>
        <w:ind w:left="1440" w:hanging="360"/>
      </w:pPr>
      <w:rPr>
        <w:rFonts w:ascii="Arial" w:hAnsi="Arial" w:hint="default"/>
      </w:rPr>
    </w:lvl>
    <w:lvl w:ilvl="2" w:tplc="B67A1D8A" w:tentative="1">
      <w:start w:val="1"/>
      <w:numFmt w:val="bullet"/>
      <w:lvlText w:val="•"/>
      <w:lvlJc w:val="left"/>
      <w:pPr>
        <w:tabs>
          <w:tab w:val="num" w:pos="2160"/>
        </w:tabs>
        <w:ind w:left="2160" w:hanging="360"/>
      </w:pPr>
      <w:rPr>
        <w:rFonts w:ascii="Arial" w:hAnsi="Arial" w:hint="default"/>
      </w:rPr>
    </w:lvl>
    <w:lvl w:ilvl="3" w:tplc="9A28794E" w:tentative="1">
      <w:start w:val="1"/>
      <w:numFmt w:val="bullet"/>
      <w:lvlText w:val="•"/>
      <w:lvlJc w:val="left"/>
      <w:pPr>
        <w:tabs>
          <w:tab w:val="num" w:pos="2880"/>
        </w:tabs>
        <w:ind w:left="2880" w:hanging="360"/>
      </w:pPr>
      <w:rPr>
        <w:rFonts w:ascii="Arial" w:hAnsi="Arial" w:hint="default"/>
      </w:rPr>
    </w:lvl>
    <w:lvl w:ilvl="4" w:tplc="20DE3330" w:tentative="1">
      <w:start w:val="1"/>
      <w:numFmt w:val="bullet"/>
      <w:lvlText w:val="•"/>
      <w:lvlJc w:val="left"/>
      <w:pPr>
        <w:tabs>
          <w:tab w:val="num" w:pos="3600"/>
        </w:tabs>
        <w:ind w:left="3600" w:hanging="360"/>
      </w:pPr>
      <w:rPr>
        <w:rFonts w:ascii="Arial" w:hAnsi="Arial" w:hint="default"/>
      </w:rPr>
    </w:lvl>
    <w:lvl w:ilvl="5" w:tplc="16422F8E" w:tentative="1">
      <w:start w:val="1"/>
      <w:numFmt w:val="bullet"/>
      <w:lvlText w:val="•"/>
      <w:lvlJc w:val="left"/>
      <w:pPr>
        <w:tabs>
          <w:tab w:val="num" w:pos="4320"/>
        </w:tabs>
        <w:ind w:left="4320" w:hanging="360"/>
      </w:pPr>
      <w:rPr>
        <w:rFonts w:ascii="Arial" w:hAnsi="Arial" w:hint="default"/>
      </w:rPr>
    </w:lvl>
    <w:lvl w:ilvl="6" w:tplc="A3D470BC" w:tentative="1">
      <w:start w:val="1"/>
      <w:numFmt w:val="bullet"/>
      <w:lvlText w:val="•"/>
      <w:lvlJc w:val="left"/>
      <w:pPr>
        <w:tabs>
          <w:tab w:val="num" w:pos="5040"/>
        </w:tabs>
        <w:ind w:left="5040" w:hanging="360"/>
      </w:pPr>
      <w:rPr>
        <w:rFonts w:ascii="Arial" w:hAnsi="Arial" w:hint="default"/>
      </w:rPr>
    </w:lvl>
    <w:lvl w:ilvl="7" w:tplc="7D1406BE" w:tentative="1">
      <w:start w:val="1"/>
      <w:numFmt w:val="bullet"/>
      <w:lvlText w:val="•"/>
      <w:lvlJc w:val="left"/>
      <w:pPr>
        <w:tabs>
          <w:tab w:val="num" w:pos="5760"/>
        </w:tabs>
        <w:ind w:left="5760" w:hanging="360"/>
      </w:pPr>
      <w:rPr>
        <w:rFonts w:ascii="Arial" w:hAnsi="Arial" w:hint="default"/>
      </w:rPr>
    </w:lvl>
    <w:lvl w:ilvl="8" w:tplc="FDA2CC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9A120A"/>
    <w:multiLevelType w:val="hybridMultilevel"/>
    <w:tmpl w:val="6FA22F9E"/>
    <w:lvl w:ilvl="0" w:tplc="32C8713C">
      <w:start w:val="1"/>
      <w:numFmt w:val="bullet"/>
      <w:lvlText w:val="•"/>
      <w:lvlJc w:val="left"/>
      <w:pPr>
        <w:tabs>
          <w:tab w:val="num" w:pos="720"/>
        </w:tabs>
        <w:ind w:left="720" w:hanging="360"/>
      </w:pPr>
      <w:rPr>
        <w:rFonts w:ascii="Arial" w:hAnsi="Arial" w:hint="default"/>
      </w:rPr>
    </w:lvl>
    <w:lvl w:ilvl="1" w:tplc="A3440F78" w:tentative="1">
      <w:start w:val="1"/>
      <w:numFmt w:val="bullet"/>
      <w:lvlText w:val="•"/>
      <w:lvlJc w:val="left"/>
      <w:pPr>
        <w:tabs>
          <w:tab w:val="num" w:pos="1440"/>
        </w:tabs>
        <w:ind w:left="1440" w:hanging="360"/>
      </w:pPr>
      <w:rPr>
        <w:rFonts w:ascii="Arial" w:hAnsi="Arial" w:hint="default"/>
      </w:rPr>
    </w:lvl>
    <w:lvl w:ilvl="2" w:tplc="E1FABE90" w:tentative="1">
      <w:start w:val="1"/>
      <w:numFmt w:val="bullet"/>
      <w:lvlText w:val="•"/>
      <w:lvlJc w:val="left"/>
      <w:pPr>
        <w:tabs>
          <w:tab w:val="num" w:pos="2160"/>
        </w:tabs>
        <w:ind w:left="2160" w:hanging="360"/>
      </w:pPr>
      <w:rPr>
        <w:rFonts w:ascii="Arial" w:hAnsi="Arial" w:hint="default"/>
      </w:rPr>
    </w:lvl>
    <w:lvl w:ilvl="3" w:tplc="439AD7D0" w:tentative="1">
      <w:start w:val="1"/>
      <w:numFmt w:val="bullet"/>
      <w:lvlText w:val="•"/>
      <w:lvlJc w:val="left"/>
      <w:pPr>
        <w:tabs>
          <w:tab w:val="num" w:pos="2880"/>
        </w:tabs>
        <w:ind w:left="2880" w:hanging="360"/>
      </w:pPr>
      <w:rPr>
        <w:rFonts w:ascii="Arial" w:hAnsi="Arial" w:hint="default"/>
      </w:rPr>
    </w:lvl>
    <w:lvl w:ilvl="4" w:tplc="E0D62EA6" w:tentative="1">
      <w:start w:val="1"/>
      <w:numFmt w:val="bullet"/>
      <w:lvlText w:val="•"/>
      <w:lvlJc w:val="left"/>
      <w:pPr>
        <w:tabs>
          <w:tab w:val="num" w:pos="3600"/>
        </w:tabs>
        <w:ind w:left="3600" w:hanging="360"/>
      </w:pPr>
      <w:rPr>
        <w:rFonts w:ascii="Arial" w:hAnsi="Arial" w:hint="default"/>
      </w:rPr>
    </w:lvl>
    <w:lvl w:ilvl="5" w:tplc="FBDCE2FE" w:tentative="1">
      <w:start w:val="1"/>
      <w:numFmt w:val="bullet"/>
      <w:lvlText w:val="•"/>
      <w:lvlJc w:val="left"/>
      <w:pPr>
        <w:tabs>
          <w:tab w:val="num" w:pos="4320"/>
        </w:tabs>
        <w:ind w:left="4320" w:hanging="360"/>
      </w:pPr>
      <w:rPr>
        <w:rFonts w:ascii="Arial" w:hAnsi="Arial" w:hint="default"/>
      </w:rPr>
    </w:lvl>
    <w:lvl w:ilvl="6" w:tplc="DF3824FA" w:tentative="1">
      <w:start w:val="1"/>
      <w:numFmt w:val="bullet"/>
      <w:lvlText w:val="•"/>
      <w:lvlJc w:val="left"/>
      <w:pPr>
        <w:tabs>
          <w:tab w:val="num" w:pos="5040"/>
        </w:tabs>
        <w:ind w:left="5040" w:hanging="360"/>
      </w:pPr>
      <w:rPr>
        <w:rFonts w:ascii="Arial" w:hAnsi="Arial" w:hint="default"/>
      </w:rPr>
    </w:lvl>
    <w:lvl w:ilvl="7" w:tplc="FE9EA8BA" w:tentative="1">
      <w:start w:val="1"/>
      <w:numFmt w:val="bullet"/>
      <w:lvlText w:val="•"/>
      <w:lvlJc w:val="left"/>
      <w:pPr>
        <w:tabs>
          <w:tab w:val="num" w:pos="5760"/>
        </w:tabs>
        <w:ind w:left="5760" w:hanging="360"/>
      </w:pPr>
      <w:rPr>
        <w:rFonts w:ascii="Arial" w:hAnsi="Arial" w:hint="default"/>
      </w:rPr>
    </w:lvl>
    <w:lvl w:ilvl="8" w:tplc="6F6E56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39636F"/>
    <w:multiLevelType w:val="hybridMultilevel"/>
    <w:tmpl w:val="E7C2B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A865A61"/>
    <w:multiLevelType w:val="hybridMultilevel"/>
    <w:tmpl w:val="03B223EA"/>
    <w:lvl w:ilvl="0" w:tplc="48348526">
      <w:start w:val="1"/>
      <w:numFmt w:val="bullet"/>
      <w:lvlText w:val="•"/>
      <w:lvlJc w:val="left"/>
      <w:pPr>
        <w:tabs>
          <w:tab w:val="num" w:pos="720"/>
        </w:tabs>
        <w:ind w:left="720" w:hanging="360"/>
      </w:pPr>
      <w:rPr>
        <w:rFonts w:ascii="Arial" w:hAnsi="Arial" w:hint="default"/>
      </w:rPr>
    </w:lvl>
    <w:lvl w:ilvl="1" w:tplc="7F1A6A1E">
      <w:start w:val="1"/>
      <w:numFmt w:val="bullet"/>
      <w:lvlText w:val="•"/>
      <w:lvlJc w:val="left"/>
      <w:pPr>
        <w:tabs>
          <w:tab w:val="num" w:pos="1440"/>
        </w:tabs>
        <w:ind w:left="1440" w:hanging="360"/>
      </w:pPr>
      <w:rPr>
        <w:rFonts w:ascii="Arial" w:hAnsi="Arial" w:hint="default"/>
      </w:rPr>
    </w:lvl>
    <w:lvl w:ilvl="2" w:tplc="88AEFFE6" w:tentative="1">
      <w:start w:val="1"/>
      <w:numFmt w:val="bullet"/>
      <w:lvlText w:val="•"/>
      <w:lvlJc w:val="left"/>
      <w:pPr>
        <w:tabs>
          <w:tab w:val="num" w:pos="2160"/>
        </w:tabs>
        <w:ind w:left="2160" w:hanging="360"/>
      </w:pPr>
      <w:rPr>
        <w:rFonts w:ascii="Arial" w:hAnsi="Arial" w:hint="default"/>
      </w:rPr>
    </w:lvl>
    <w:lvl w:ilvl="3" w:tplc="DBCE1C70" w:tentative="1">
      <w:start w:val="1"/>
      <w:numFmt w:val="bullet"/>
      <w:lvlText w:val="•"/>
      <w:lvlJc w:val="left"/>
      <w:pPr>
        <w:tabs>
          <w:tab w:val="num" w:pos="2880"/>
        </w:tabs>
        <w:ind w:left="2880" w:hanging="360"/>
      </w:pPr>
      <w:rPr>
        <w:rFonts w:ascii="Arial" w:hAnsi="Arial" w:hint="default"/>
      </w:rPr>
    </w:lvl>
    <w:lvl w:ilvl="4" w:tplc="3A1E14FC" w:tentative="1">
      <w:start w:val="1"/>
      <w:numFmt w:val="bullet"/>
      <w:lvlText w:val="•"/>
      <w:lvlJc w:val="left"/>
      <w:pPr>
        <w:tabs>
          <w:tab w:val="num" w:pos="3600"/>
        </w:tabs>
        <w:ind w:left="3600" w:hanging="360"/>
      </w:pPr>
      <w:rPr>
        <w:rFonts w:ascii="Arial" w:hAnsi="Arial" w:hint="default"/>
      </w:rPr>
    </w:lvl>
    <w:lvl w:ilvl="5" w:tplc="609CA232" w:tentative="1">
      <w:start w:val="1"/>
      <w:numFmt w:val="bullet"/>
      <w:lvlText w:val="•"/>
      <w:lvlJc w:val="left"/>
      <w:pPr>
        <w:tabs>
          <w:tab w:val="num" w:pos="4320"/>
        </w:tabs>
        <w:ind w:left="4320" w:hanging="360"/>
      </w:pPr>
      <w:rPr>
        <w:rFonts w:ascii="Arial" w:hAnsi="Arial" w:hint="default"/>
      </w:rPr>
    </w:lvl>
    <w:lvl w:ilvl="6" w:tplc="05B65E02" w:tentative="1">
      <w:start w:val="1"/>
      <w:numFmt w:val="bullet"/>
      <w:lvlText w:val="•"/>
      <w:lvlJc w:val="left"/>
      <w:pPr>
        <w:tabs>
          <w:tab w:val="num" w:pos="5040"/>
        </w:tabs>
        <w:ind w:left="5040" w:hanging="360"/>
      </w:pPr>
      <w:rPr>
        <w:rFonts w:ascii="Arial" w:hAnsi="Arial" w:hint="default"/>
      </w:rPr>
    </w:lvl>
    <w:lvl w:ilvl="7" w:tplc="F4FADFAC" w:tentative="1">
      <w:start w:val="1"/>
      <w:numFmt w:val="bullet"/>
      <w:lvlText w:val="•"/>
      <w:lvlJc w:val="left"/>
      <w:pPr>
        <w:tabs>
          <w:tab w:val="num" w:pos="5760"/>
        </w:tabs>
        <w:ind w:left="5760" w:hanging="360"/>
      </w:pPr>
      <w:rPr>
        <w:rFonts w:ascii="Arial" w:hAnsi="Arial" w:hint="default"/>
      </w:rPr>
    </w:lvl>
    <w:lvl w:ilvl="8" w:tplc="6FFA5B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182B1C"/>
    <w:multiLevelType w:val="hybridMultilevel"/>
    <w:tmpl w:val="FEEC43C8"/>
    <w:lvl w:ilvl="0" w:tplc="BBA88FC4">
      <w:start w:val="1"/>
      <w:numFmt w:val="bullet"/>
      <w:lvlText w:val="•"/>
      <w:lvlJc w:val="left"/>
      <w:pPr>
        <w:tabs>
          <w:tab w:val="num" w:pos="720"/>
        </w:tabs>
        <w:ind w:left="720" w:hanging="360"/>
      </w:pPr>
      <w:rPr>
        <w:rFonts w:ascii="Arial" w:hAnsi="Arial" w:hint="default"/>
      </w:rPr>
    </w:lvl>
    <w:lvl w:ilvl="1" w:tplc="DB82B28E" w:tentative="1">
      <w:start w:val="1"/>
      <w:numFmt w:val="bullet"/>
      <w:lvlText w:val="•"/>
      <w:lvlJc w:val="left"/>
      <w:pPr>
        <w:tabs>
          <w:tab w:val="num" w:pos="1440"/>
        </w:tabs>
        <w:ind w:left="1440" w:hanging="360"/>
      </w:pPr>
      <w:rPr>
        <w:rFonts w:ascii="Arial" w:hAnsi="Arial" w:hint="default"/>
      </w:rPr>
    </w:lvl>
    <w:lvl w:ilvl="2" w:tplc="96640E06" w:tentative="1">
      <w:start w:val="1"/>
      <w:numFmt w:val="bullet"/>
      <w:lvlText w:val="•"/>
      <w:lvlJc w:val="left"/>
      <w:pPr>
        <w:tabs>
          <w:tab w:val="num" w:pos="2160"/>
        </w:tabs>
        <w:ind w:left="2160" w:hanging="360"/>
      </w:pPr>
      <w:rPr>
        <w:rFonts w:ascii="Arial" w:hAnsi="Arial" w:hint="default"/>
      </w:rPr>
    </w:lvl>
    <w:lvl w:ilvl="3" w:tplc="3E14E572" w:tentative="1">
      <w:start w:val="1"/>
      <w:numFmt w:val="bullet"/>
      <w:lvlText w:val="•"/>
      <w:lvlJc w:val="left"/>
      <w:pPr>
        <w:tabs>
          <w:tab w:val="num" w:pos="2880"/>
        </w:tabs>
        <w:ind w:left="2880" w:hanging="360"/>
      </w:pPr>
      <w:rPr>
        <w:rFonts w:ascii="Arial" w:hAnsi="Arial" w:hint="default"/>
      </w:rPr>
    </w:lvl>
    <w:lvl w:ilvl="4" w:tplc="D5C0E49A" w:tentative="1">
      <w:start w:val="1"/>
      <w:numFmt w:val="bullet"/>
      <w:lvlText w:val="•"/>
      <w:lvlJc w:val="left"/>
      <w:pPr>
        <w:tabs>
          <w:tab w:val="num" w:pos="3600"/>
        </w:tabs>
        <w:ind w:left="3600" w:hanging="360"/>
      </w:pPr>
      <w:rPr>
        <w:rFonts w:ascii="Arial" w:hAnsi="Arial" w:hint="default"/>
      </w:rPr>
    </w:lvl>
    <w:lvl w:ilvl="5" w:tplc="A3986B1E" w:tentative="1">
      <w:start w:val="1"/>
      <w:numFmt w:val="bullet"/>
      <w:lvlText w:val="•"/>
      <w:lvlJc w:val="left"/>
      <w:pPr>
        <w:tabs>
          <w:tab w:val="num" w:pos="4320"/>
        </w:tabs>
        <w:ind w:left="4320" w:hanging="360"/>
      </w:pPr>
      <w:rPr>
        <w:rFonts w:ascii="Arial" w:hAnsi="Arial" w:hint="default"/>
      </w:rPr>
    </w:lvl>
    <w:lvl w:ilvl="6" w:tplc="CAF6D4FE" w:tentative="1">
      <w:start w:val="1"/>
      <w:numFmt w:val="bullet"/>
      <w:lvlText w:val="•"/>
      <w:lvlJc w:val="left"/>
      <w:pPr>
        <w:tabs>
          <w:tab w:val="num" w:pos="5040"/>
        </w:tabs>
        <w:ind w:left="5040" w:hanging="360"/>
      </w:pPr>
      <w:rPr>
        <w:rFonts w:ascii="Arial" w:hAnsi="Arial" w:hint="default"/>
      </w:rPr>
    </w:lvl>
    <w:lvl w:ilvl="7" w:tplc="CDB2DB6A" w:tentative="1">
      <w:start w:val="1"/>
      <w:numFmt w:val="bullet"/>
      <w:lvlText w:val="•"/>
      <w:lvlJc w:val="left"/>
      <w:pPr>
        <w:tabs>
          <w:tab w:val="num" w:pos="5760"/>
        </w:tabs>
        <w:ind w:left="5760" w:hanging="360"/>
      </w:pPr>
      <w:rPr>
        <w:rFonts w:ascii="Arial" w:hAnsi="Arial" w:hint="default"/>
      </w:rPr>
    </w:lvl>
    <w:lvl w:ilvl="8" w:tplc="E9A882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FE6AE1"/>
    <w:multiLevelType w:val="hybridMultilevel"/>
    <w:tmpl w:val="FE443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719463E"/>
    <w:multiLevelType w:val="hybridMultilevel"/>
    <w:tmpl w:val="1688D874"/>
    <w:lvl w:ilvl="0" w:tplc="772AEBD0">
      <w:start w:val="1"/>
      <w:numFmt w:val="bullet"/>
      <w:lvlText w:val="•"/>
      <w:lvlJc w:val="left"/>
      <w:pPr>
        <w:tabs>
          <w:tab w:val="num" w:pos="720"/>
        </w:tabs>
        <w:ind w:left="720" w:hanging="360"/>
      </w:pPr>
      <w:rPr>
        <w:rFonts w:ascii="Arial" w:hAnsi="Arial" w:hint="default"/>
      </w:rPr>
    </w:lvl>
    <w:lvl w:ilvl="1" w:tplc="4978F71C">
      <w:start w:val="1"/>
      <w:numFmt w:val="bullet"/>
      <w:lvlText w:val="•"/>
      <w:lvlJc w:val="left"/>
      <w:pPr>
        <w:tabs>
          <w:tab w:val="num" w:pos="1440"/>
        </w:tabs>
        <w:ind w:left="1440" w:hanging="360"/>
      </w:pPr>
      <w:rPr>
        <w:rFonts w:ascii="Arial" w:hAnsi="Arial" w:hint="default"/>
      </w:rPr>
    </w:lvl>
    <w:lvl w:ilvl="2" w:tplc="B3E8503C" w:tentative="1">
      <w:start w:val="1"/>
      <w:numFmt w:val="bullet"/>
      <w:lvlText w:val="•"/>
      <w:lvlJc w:val="left"/>
      <w:pPr>
        <w:tabs>
          <w:tab w:val="num" w:pos="2160"/>
        </w:tabs>
        <w:ind w:left="2160" w:hanging="360"/>
      </w:pPr>
      <w:rPr>
        <w:rFonts w:ascii="Arial" w:hAnsi="Arial" w:hint="default"/>
      </w:rPr>
    </w:lvl>
    <w:lvl w:ilvl="3" w:tplc="72F23728" w:tentative="1">
      <w:start w:val="1"/>
      <w:numFmt w:val="bullet"/>
      <w:lvlText w:val="•"/>
      <w:lvlJc w:val="left"/>
      <w:pPr>
        <w:tabs>
          <w:tab w:val="num" w:pos="2880"/>
        </w:tabs>
        <w:ind w:left="2880" w:hanging="360"/>
      </w:pPr>
      <w:rPr>
        <w:rFonts w:ascii="Arial" w:hAnsi="Arial" w:hint="default"/>
      </w:rPr>
    </w:lvl>
    <w:lvl w:ilvl="4" w:tplc="5024D864" w:tentative="1">
      <w:start w:val="1"/>
      <w:numFmt w:val="bullet"/>
      <w:lvlText w:val="•"/>
      <w:lvlJc w:val="left"/>
      <w:pPr>
        <w:tabs>
          <w:tab w:val="num" w:pos="3600"/>
        </w:tabs>
        <w:ind w:left="3600" w:hanging="360"/>
      </w:pPr>
      <w:rPr>
        <w:rFonts w:ascii="Arial" w:hAnsi="Arial" w:hint="default"/>
      </w:rPr>
    </w:lvl>
    <w:lvl w:ilvl="5" w:tplc="FF228118" w:tentative="1">
      <w:start w:val="1"/>
      <w:numFmt w:val="bullet"/>
      <w:lvlText w:val="•"/>
      <w:lvlJc w:val="left"/>
      <w:pPr>
        <w:tabs>
          <w:tab w:val="num" w:pos="4320"/>
        </w:tabs>
        <w:ind w:left="4320" w:hanging="360"/>
      </w:pPr>
      <w:rPr>
        <w:rFonts w:ascii="Arial" w:hAnsi="Arial" w:hint="default"/>
      </w:rPr>
    </w:lvl>
    <w:lvl w:ilvl="6" w:tplc="0CF09EA8" w:tentative="1">
      <w:start w:val="1"/>
      <w:numFmt w:val="bullet"/>
      <w:lvlText w:val="•"/>
      <w:lvlJc w:val="left"/>
      <w:pPr>
        <w:tabs>
          <w:tab w:val="num" w:pos="5040"/>
        </w:tabs>
        <w:ind w:left="5040" w:hanging="360"/>
      </w:pPr>
      <w:rPr>
        <w:rFonts w:ascii="Arial" w:hAnsi="Arial" w:hint="default"/>
      </w:rPr>
    </w:lvl>
    <w:lvl w:ilvl="7" w:tplc="054EF3CE" w:tentative="1">
      <w:start w:val="1"/>
      <w:numFmt w:val="bullet"/>
      <w:lvlText w:val="•"/>
      <w:lvlJc w:val="left"/>
      <w:pPr>
        <w:tabs>
          <w:tab w:val="num" w:pos="5760"/>
        </w:tabs>
        <w:ind w:left="5760" w:hanging="360"/>
      </w:pPr>
      <w:rPr>
        <w:rFonts w:ascii="Arial" w:hAnsi="Arial" w:hint="default"/>
      </w:rPr>
    </w:lvl>
    <w:lvl w:ilvl="8" w:tplc="ECD674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5" w15:restartNumberingAfterBreak="0">
    <w:nsid w:val="21CE0947"/>
    <w:multiLevelType w:val="hybridMultilevel"/>
    <w:tmpl w:val="55400532"/>
    <w:lvl w:ilvl="0" w:tplc="C6AE824A">
      <w:start w:val="1"/>
      <w:numFmt w:val="bullet"/>
      <w:lvlText w:val="•"/>
      <w:lvlJc w:val="left"/>
      <w:pPr>
        <w:tabs>
          <w:tab w:val="num" w:pos="720"/>
        </w:tabs>
        <w:ind w:left="720" w:hanging="360"/>
      </w:pPr>
      <w:rPr>
        <w:rFonts w:ascii="Arial" w:hAnsi="Arial" w:hint="default"/>
      </w:rPr>
    </w:lvl>
    <w:lvl w:ilvl="1" w:tplc="C3C4EF5A" w:tentative="1">
      <w:start w:val="1"/>
      <w:numFmt w:val="bullet"/>
      <w:lvlText w:val="•"/>
      <w:lvlJc w:val="left"/>
      <w:pPr>
        <w:tabs>
          <w:tab w:val="num" w:pos="1440"/>
        </w:tabs>
        <w:ind w:left="1440" w:hanging="360"/>
      </w:pPr>
      <w:rPr>
        <w:rFonts w:ascii="Arial" w:hAnsi="Arial" w:hint="default"/>
      </w:rPr>
    </w:lvl>
    <w:lvl w:ilvl="2" w:tplc="F2D22D34" w:tentative="1">
      <w:start w:val="1"/>
      <w:numFmt w:val="bullet"/>
      <w:lvlText w:val="•"/>
      <w:lvlJc w:val="left"/>
      <w:pPr>
        <w:tabs>
          <w:tab w:val="num" w:pos="2160"/>
        </w:tabs>
        <w:ind w:left="2160" w:hanging="360"/>
      </w:pPr>
      <w:rPr>
        <w:rFonts w:ascii="Arial" w:hAnsi="Arial" w:hint="default"/>
      </w:rPr>
    </w:lvl>
    <w:lvl w:ilvl="3" w:tplc="9398A258" w:tentative="1">
      <w:start w:val="1"/>
      <w:numFmt w:val="bullet"/>
      <w:lvlText w:val="•"/>
      <w:lvlJc w:val="left"/>
      <w:pPr>
        <w:tabs>
          <w:tab w:val="num" w:pos="2880"/>
        </w:tabs>
        <w:ind w:left="2880" w:hanging="360"/>
      </w:pPr>
      <w:rPr>
        <w:rFonts w:ascii="Arial" w:hAnsi="Arial" w:hint="default"/>
      </w:rPr>
    </w:lvl>
    <w:lvl w:ilvl="4" w:tplc="9C700964" w:tentative="1">
      <w:start w:val="1"/>
      <w:numFmt w:val="bullet"/>
      <w:lvlText w:val="•"/>
      <w:lvlJc w:val="left"/>
      <w:pPr>
        <w:tabs>
          <w:tab w:val="num" w:pos="3600"/>
        </w:tabs>
        <w:ind w:left="3600" w:hanging="360"/>
      </w:pPr>
      <w:rPr>
        <w:rFonts w:ascii="Arial" w:hAnsi="Arial" w:hint="default"/>
      </w:rPr>
    </w:lvl>
    <w:lvl w:ilvl="5" w:tplc="A104842C" w:tentative="1">
      <w:start w:val="1"/>
      <w:numFmt w:val="bullet"/>
      <w:lvlText w:val="•"/>
      <w:lvlJc w:val="left"/>
      <w:pPr>
        <w:tabs>
          <w:tab w:val="num" w:pos="4320"/>
        </w:tabs>
        <w:ind w:left="4320" w:hanging="360"/>
      </w:pPr>
      <w:rPr>
        <w:rFonts w:ascii="Arial" w:hAnsi="Arial" w:hint="default"/>
      </w:rPr>
    </w:lvl>
    <w:lvl w:ilvl="6" w:tplc="1970203A" w:tentative="1">
      <w:start w:val="1"/>
      <w:numFmt w:val="bullet"/>
      <w:lvlText w:val="•"/>
      <w:lvlJc w:val="left"/>
      <w:pPr>
        <w:tabs>
          <w:tab w:val="num" w:pos="5040"/>
        </w:tabs>
        <w:ind w:left="5040" w:hanging="360"/>
      </w:pPr>
      <w:rPr>
        <w:rFonts w:ascii="Arial" w:hAnsi="Arial" w:hint="default"/>
      </w:rPr>
    </w:lvl>
    <w:lvl w:ilvl="7" w:tplc="D24C6AFA" w:tentative="1">
      <w:start w:val="1"/>
      <w:numFmt w:val="bullet"/>
      <w:lvlText w:val="•"/>
      <w:lvlJc w:val="left"/>
      <w:pPr>
        <w:tabs>
          <w:tab w:val="num" w:pos="5760"/>
        </w:tabs>
        <w:ind w:left="5760" w:hanging="360"/>
      </w:pPr>
      <w:rPr>
        <w:rFonts w:ascii="Arial" w:hAnsi="Arial" w:hint="default"/>
      </w:rPr>
    </w:lvl>
    <w:lvl w:ilvl="8" w:tplc="8710FC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036BE9"/>
    <w:multiLevelType w:val="hybridMultilevel"/>
    <w:tmpl w:val="158AD394"/>
    <w:lvl w:ilvl="0" w:tplc="7076F86A">
      <w:start w:val="1"/>
      <w:numFmt w:val="bullet"/>
      <w:lvlText w:val="•"/>
      <w:lvlJc w:val="left"/>
      <w:pPr>
        <w:tabs>
          <w:tab w:val="num" w:pos="720"/>
        </w:tabs>
        <w:ind w:left="720" w:hanging="360"/>
      </w:pPr>
      <w:rPr>
        <w:rFonts w:ascii="Arial" w:hAnsi="Arial" w:hint="default"/>
      </w:rPr>
    </w:lvl>
    <w:lvl w:ilvl="1" w:tplc="9C98F534" w:tentative="1">
      <w:start w:val="1"/>
      <w:numFmt w:val="bullet"/>
      <w:lvlText w:val="•"/>
      <w:lvlJc w:val="left"/>
      <w:pPr>
        <w:tabs>
          <w:tab w:val="num" w:pos="1440"/>
        </w:tabs>
        <w:ind w:left="1440" w:hanging="360"/>
      </w:pPr>
      <w:rPr>
        <w:rFonts w:ascii="Arial" w:hAnsi="Arial" w:hint="default"/>
      </w:rPr>
    </w:lvl>
    <w:lvl w:ilvl="2" w:tplc="8DEC3620" w:tentative="1">
      <w:start w:val="1"/>
      <w:numFmt w:val="bullet"/>
      <w:lvlText w:val="•"/>
      <w:lvlJc w:val="left"/>
      <w:pPr>
        <w:tabs>
          <w:tab w:val="num" w:pos="2160"/>
        </w:tabs>
        <w:ind w:left="2160" w:hanging="360"/>
      </w:pPr>
      <w:rPr>
        <w:rFonts w:ascii="Arial" w:hAnsi="Arial" w:hint="default"/>
      </w:rPr>
    </w:lvl>
    <w:lvl w:ilvl="3" w:tplc="F1A27F6E" w:tentative="1">
      <w:start w:val="1"/>
      <w:numFmt w:val="bullet"/>
      <w:lvlText w:val="•"/>
      <w:lvlJc w:val="left"/>
      <w:pPr>
        <w:tabs>
          <w:tab w:val="num" w:pos="2880"/>
        </w:tabs>
        <w:ind w:left="2880" w:hanging="360"/>
      </w:pPr>
      <w:rPr>
        <w:rFonts w:ascii="Arial" w:hAnsi="Arial" w:hint="default"/>
      </w:rPr>
    </w:lvl>
    <w:lvl w:ilvl="4" w:tplc="35BE0E8E" w:tentative="1">
      <w:start w:val="1"/>
      <w:numFmt w:val="bullet"/>
      <w:lvlText w:val="•"/>
      <w:lvlJc w:val="left"/>
      <w:pPr>
        <w:tabs>
          <w:tab w:val="num" w:pos="3600"/>
        </w:tabs>
        <w:ind w:left="3600" w:hanging="360"/>
      </w:pPr>
      <w:rPr>
        <w:rFonts w:ascii="Arial" w:hAnsi="Arial" w:hint="default"/>
      </w:rPr>
    </w:lvl>
    <w:lvl w:ilvl="5" w:tplc="DF58B866" w:tentative="1">
      <w:start w:val="1"/>
      <w:numFmt w:val="bullet"/>
      <w:lvlText w:val="•"/>
      <w:lvlJc w:val="left"/>
      <w:pPr>
        <w:tabs>
          <w:tab w:val="num" w:pos="4320"/>
        </w:tabs>
        <w:ind w:left="4320" w:hanging="360"/>
      </w:pPr>
      <w:rPr>
        <w:rFonts w:ascii="Arial" w:hAnsi="Arial" w:hint="default"/>
      </w:rPr>
    </w:lvl>
    <w:lvl w:ilvl="6" w:tplc="BA16747C" w:tentative="1">
      <w:start w:val="1"/>
      <w:numFmt w:val="bullet"/>
      <w:lvlText w:val="•"/>
      <w:lvlJc w:val="left"/>
      <w:pPr>
        <w:tabs>
          <w:tab w:val="num" w:pos="5040"/>
        </w:tabs>
        <w:ind w:left="5040" w:hanging="360"/>
      </w:pPr>
      <w:rPr>
        <w:rFonts w:ascii="Arial" w:hAnsi="Arial" w:hint="default"/>
      </w:rPr>
    </w:lvl>
    <w:lvl w:ilvl="7" w:tplc="223A5502" w:tentative="1">
      <w:start w:val="1"/>
      <w:numFmt w:val="bullet"/>
      <w:lvlText w:val="•"/>
      <w:lvlJc w:val="left"/>
      <w:pPr>
        <w:tabs>
          <w:tab w:val="num" w:pos="5760"/>
        </w:tabs>
        <w:ind w:left="5760" w:hanging="360"/>
      </w:pPr>
      <w:rPr>
        <w:rFonts w:ascii="Arial" w:hAnsi="Arial" w:hint="default"/>
      </w:rPr>
    </w:lvl>
    <w:lvl w:ilvl="8" w:tplc="A5BED6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74259B"/>
    <w:multiLevelType w:val="hybridMultilevel"/>
    <w:tmpl w:val="B64887D6"/>
    <w:lvl w:ilvl="0" w:tplc="B7EE9430">
      <w:start w:val="1"/>
      <w:numFmt w:val="bullet"/>
      <w:lvlText w:val="•"/>
      <w:lvlJc w:val="left"/>
      <w:pPr>
        <w:tabs>
          <w:tab w:val="num" w:pos="720"/>
        </w:tabs>
        <w:ind w:left="720" w:hanging="360"/>
      </w:pPr>
      <w:rPr>
        <w:rFonts w:ascii="Arial" w:hAnsi="Arial" w:hint="default"/>
      </w:rPr>
    </w:lvl>
    <w:lvl w:ilvl="1" w:tplc="69BA5D2E" w:tentative="1">
      <w:start w:val="1"/>
      <w:numFmt w:val="bullet"/>
      <w:lvlText w:val="•"/>
      <w:lvlJc w:val="left"/>
      <w:pPr>
        <w:tabs>
          <w:tab w:val="num" w:pos="1440"/>
        </w:tabs>
        <w:ind w:left="1440" w:hanging="360"/>
      </w:pPr>
      <w:rPr>
        <w:rFonts w:ascii="Arial" w:hAnsi="Arial" w:hint="default"/>
      </w:rPr>
    </w:lvl>
    <w:lvl w:ilvl="2" w:tplc="2054954A" w:tentative="1">
      <w:start w:val="1"/>
      <w:numFmt w:val="bullet"/>
      <w:lvlText w:val="•"/>
      <w:lvlJc w:val="left"/>
      <w:pPr>
        <w:tabs>
          <w:tab w:val="num" w:pos="2160"/>
        </w:tabs>
        <w:ind w:left="2160" w:hanging="360"/>
      </w:pPr>
      <w:rPr>
        <w:rFonts w:ascii="Arial" w:hAnsi="Arial" w:hint="default"/>
      </w:rPr>
    </w:lvl>
    <w:lvl w:ilvl="3" w:tplc="A886C6F2" w:tentative="1">
      <w:start w:val="1"/>
      <w:numFmt w:val="bullet"/>
      <w:lvlText w:val="•"/>
      <w:lvlJc w:val="left"/>
      <w:pPr>
        <w:tabs>
          <w:tab w:val="num" w:pos="2880"/>
        </w:tabs>
        <w:ind w:left="2880" w:hanging="360"/>
      </w:pPr>
      <w:rPr>
        <w:rFonts w:ascii="Arial" w:hAnsi="Arial" w:hint="default"/>
      </w:rPr>
    </w:lvl>
    <w:lvl w:ilvl="4" w:tplc="DA720108" w:tentative="1">
      <w:start w:val="1"/>
      <w:numFmt w:val="bullet"/>
      <w:lvlText w:val="•"/>
      <w:lvlJc w:val="left"/>
      <w:pPr>
        <w:tabs>
          <w:tab w:val="num" w:pos="3600"/>
        </w:tabs>
        <w:ind w:left="3600" w:hanging="360"/>
      </w:pPr>
      <w:rPr>
        <w:rFonts w:ascii="Arial" w:hAnsi="Arial" w:hint="default"/>
      </w:rPr>
    </w:lvl>
    <w:lvl w:ilvl="5" w:tplc="CFAA420A" w:tentative="1">
      <w:start w:val="1"/>
      <w:numFmt w:val="bullet"/>
      <w:lvlText w:val="•"/>
      <w:lvlJc w:val="left"/>
      <w:pPr>
        <w:tabs>
          <w:tab w:val="num" w:pos="4320"/>
        </w:tabs>
        <w:ind w:left="4320" w:hanging="360"/>
      </w:pPr>
      <w:rPr>
        <w:rFonts w:ascii="Arial" w:hAnsi="Arial" w:hint="default"/>
      </w:rPr>
    </w:lvl>
    <w:lvl w:ilvl="6" w:tplc="F41EDAE6" w:tentative="1">
      <w:start w:val="1"/>
      <w:numFmt w:val="bullet"/>
      <w:lvlText w:val="•"/>
      <w:lvlJc w:val="left"/>
      <w:pPr>
        <w:tabs>
          <w:tab w:val="num" w:pos="5040"/>
        </w:tabs>
        <w:ind w:left="5040" w:hanging="360"/>
      </w:pPr>
      <w:rPr>
        <w:rFonts w:ascii="Arial" w:hAnsi="Arial" w:hint="default"/>
      </w:rPr>
    </w:lvl>
    <w:lvl w:ilvl="7" w:tplc="4D423B3C" w:tentative="1">
      <w:start w:val="1"/>
      <w:numFmt w:val="bullet"/>
      <w:lvlText w:val="•"/>
      <w:lvlJc w:val="left"/>
      <w:pPr>
        <w:tabs>
          <w:tab w:val="num" w:pos="5760"/>
        </w:tabs>
        <w:ind w:left="5760" w:hanging="360"/>
      </w:pPr>
      <w:rPr>
        <w:rFonts w:ascii="Arial" w:hAnsi="Arial" w:hint="default"/>
      </w:rPr>
    </w:lvl>
    <w:lvl w:ilvl="8" w:tplc="DA3E12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C512D3"/>
    <w:multiLevelType w:val="hybridMultilevel"/>
    <w:tmpl w:val="D182E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E45074"/>
    <w:multiLevelType w:val="hybridMultilevel"/>
    <w:tmpl w:val="8CE0D0D2"/>
    <w:lvl w:ilvl="0" w:tplc="9EC6961C">
      <w:start w:val="1"/>
      <w:numFmt w:val="bullet"/>
      <w:lvlText w:val="•"/>
      <w:lvlJc w:val="left"/>
      <w:pPr>
        <w:tabs>
          <w:tab w:val="num" w:pos="720"/>
        </w:tabs>
        <w:ind w:left="720" w:hanging="360"/>
      </w:pPr>
      <w:rPr>
        <w:rFonts w:ascii="Arial" w:hAnsi="Arial" w:hint="default"/>
      </w:rPr>
    </w:lvl>
    <w:lvl w:ilvl="1" w:tplc="3CBECD3E" w:tentative="1">
      <w:start w:val="1"/>
      <w:numFmt w:val="bullet"/>
      <w:lvlText w:val="•"/>
      <w:lvlJc w:val="left"/>
      <w:pPr>
        <w:tabs>
          <w:tab w:val="num" w:pos="1440"/>
        </w:tabs>
        <w:ind w:left="1440" w:hanging="360"/>
      </w:pPr>
      <w:rPr>
        <w:rFonts w:ascii="Arial" w:hAnsi="Arial" w:hint="default"/>
      </w:rPr>
    </w:lvl>
    <w:lvl w:ilvl="2" w:tplc="4C0CCA54" w:tentative="1">
      <w:start w:val="1"/>
      <w:numFmt w:val="bullet"/>
      <w:lvlText w:val="•"/>
      <w:lvlJc w:val="left"/>
      <w:pPr>
        <w:tabs>
          <w:tab w:val="num" w:pos="2160"/>
        </w:tabs>
        <w:ind w:left="2160" w:hanging="360"/>
      </w:pPr>
      <w:rPr>
        <w:rFonts w:ascii="Arial" w:hAnsi="Arial" w:hint="default"/>
      </w:rPr>
    </w:lvl>
    <w:lvl w:ilvl="3" w:tplc="B4E441DC" w:tentative="1">
      <w:start w:val="1"/>
      <w:numFmt w:val="bullet"/>
      <w:lvlText w:val="•"/>
      <w:lvlJc w:val="left"/>
      <w:pPr>
        <w:tabs>
          <w:tab w:val="num" w:pos="2880"/>
        </w:tabs>
        <w:ind w:left="2880" w:hanging="360"/>
      </w:pPr>
      <w:rPr>
        <w:rFonts w:ascii="Arial" w:hAnsi="Arial" w:hint="default"/>
      </w:rPr>
    </w:lvl>
    <w:lvl w:ilvl="4" w:tplc="2A9CF16E" w:tentative="1">
      <w:start w:val="1"/>
      <w:numFmt w:val="bullet"/>
      <w:lvlText w:val="•"/>
      <w:lvlJc w:val="left"/>
      <w:pPr>
        <w:tabs>
          <w:tab w:val="num" w:pos="3600"/>
        </w:tabs>
        <w:ind w:left="3600" w:hanging="360"/>
      </w:pPr>
      <w:rPr>
        <w:rFonts w:ascii="Arial" w:hAnsi="Arial" w:hint="default"/>
      </w:rPr>
    </w:lvl>
    <w:lvl w:ilvl="5" w:tplc="A8F6675E" w:tentative="1">
      <w:start w:val="1"/>
      <w:numFmt w:val="bullet"/>
      <w:lvlText w:val="•"/>
      <w:lvlJc w:val="left"/>
      <w:pPr>
        <w:tabs>
          <w:tab w:val="num" w:pos="4320"/>
        </w:tabs>
        <w:ind w:left="4320" w:hanging="360"/>
      </w:pPr>
      <w:rPr>
        <w:rFonts w:ascii="Arial" w:hAnsi="Arial" w:hint="default"/>
      </w:rPr>
    </w:lvl>
    <w:lvl w:ilvl="6" w:tplc="EA3A2FDE" w:tentative="1">
      <w:start w:val="1"/>
      <w:numFmt w:val="bullet"/>
      <w:lvlText w:val="•"/>
      <w:lvlJc w:val="left"/>
      <w:pPr>
        <w:tabs>
          <w:tab w:val="num" w:pos="5040"/>
        </w:tabs>
        <w:ind w:left="5040" w:hanging="360"/>
      </w:pPr>
      <w:rPr>
        <w:rFonts w:ascii="Arial" w:hAnsi="Arial" w:hint="default"/>
      </w:rPr>
    </w:lvl>
    <w:lvl w:ilvl="7" w:tplc="DC9CFA40" w:tentative="1">
      <w:start w:val="1"/>
      <w:numFmt w:val="bullet"/>
      <w:lvlText w:val="•"/>
      <w:lvlJc w:val="left"/>
      <w:pPr>
        <w:tabs>
          <w:tab w:val="num" w:pos="5760"/>
        </w:tabs>
        <w:ind w:left="5760" w:hanging="360"/>
      </w:pPr>
      <w:rPr>
        <w:rFonts w:ascii="Arial" w:hAnsi="Arial" w:hint="default"/>
      </w:rPr>
    </w:lvl>
    <w:lvl w:ilvl="8" w:tplc="10C4A1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726858"/>
    <w:multiLevelType w:val="hybridMultilevel"/>
    <w:tmpl w:val="A5202EF2"/>
    <w:lvl w:ilvl="0" w:tplc="728E191A">
      <w:start w:val="1"/>
      <w:numFmt w:val="bullet"/>
      <w:lvlText w:val="•"/>
      <w:lvlJc w:val="left"/>
      <w:pPr>
        <w:tabs>
          <w:tab w:val="num" w:pos="720"/>
        </w:tabs>
        <w:ind w:left="720" w:hanging="360"/>
      </w:pPr>
      <w:rPr>
        <w:rFonts w:ascii="Arial" w:hAnsi="Arial" w:hint="default"/>
      </w:rPr>
    </w:lvl>
    <w:lvl w:ilvl="1" w:tplc="496ABAFE" w:tentative="1">
      <w:start w:val="1"/>
      <w:numFmt w:val="bullet"/>
      <w:lvlText w:val="•"/>
      <w:lvlJc w:val="left"/>
      <w:pPr>
        <w:tabs>
          <w:tab w:val="num" w:pos="1440"/>
        </w:tabs>
        <w:ind w:left="1440" w:hanging="360"/>
      </w:pPr>
      <w:rPr>
        <w:rFonts w:ascii="Arial" w:hAnsi="Arial" w:hint="default"/>
      </w:rPr>
    </w:lvl>
    <w:lvl w:ilvl="2" w:tplc="23D86DD6" w:tentative="1">
      <w:start w:val="1"/>
      <w:numFmt w:val="bullet"/>
      <w:lvlText w:val="•"/>
      <w:lvlJc w:val="left"/>
      <w:pPr>
        <w:tabs>
          <w:tab w:val="num" w:pos="2160"/>
        </w:tabs>
        <w:ind w:left="2160" w:hanging="360"/>
      </w:pPr>
      <w:rPr>
        <w:rFonts w:ascii="Arial" w:hAnsi="Arial" w:hint="default"/>
      </w:rPr>
    </w:lvl>
    <w:lvl w:ilvl="3" w:tplc="4894CA4C" w:tentative="1">
      <w:start w:val="1"/>
      <w:numFmt w:val="bullet"/>
      <w:lvlText w:val="•"/>
      <w:lvlJc w:val="left"/>
      <w:pPr>
        <w:tabs>
          <w:tab w:val="num" w:pos="2880"/>
        </w:tabs>
        <w:ind w:left="2880" w:hanging="360"/>
      </w:pPr>
      <w:rPr>
        <w:rFonts w:ascii="Arial" w:hAnsi="Arial" w:hint="default"/>
      </w:rPr>
    </w:lvl>
    <w:lvl w:ilvl="4" w:tplc="3A7025C0" w:tentative="1">
      <w:start w:val="1"/>
      <w:numFmt w:val="bullet"/>
      <w:lvlText w:val="•"/>
      <w:lvlJc w:val="left"/>
      <w:pPr>
        <w:tabs>
          <w:tab w:val="num" w:pos="3600"/>
        </w:tabs>
        <w:ind w:left="3600" w:hanging="360"/>
      </w:pPr>
      <w:rPr>
        <w:rFonts w:ascii="Arial" w:hAnsi="Arial" w:hint="default"/>
      </w:rPr>
    </w:lvl>
    <w:lvl w:ilvl="5" w:tplc="8006C93E" w:tentative="1">
      <w:start w:val="1"/>
      <w:numFmt w:val="bullet"/>
      <w:lvlText w:val="•"/>
      <w:lvlJc w:val="left"/>
      <w:pPr>
        <w:tabs>
          <w:tab w:val="num" w:pos="4320"/>
        </w:tabs>
        <w:ind w:left="4320" w:hanging="360"/>
      </w:pPr>
      <w:rPr>
        <w:rFonts w:ascii="Arial" w:hAnsi="Arial" w:hint="default"/>
      </w:rPr>
    </w:lvl>
    <w:lvl w:ilvl="6" w:tplc="C96E0296" w:tentative="1">
      <w:start w:val="1"/>
      <w:numFmt w:val="bullet"/>
      <w:lvlText w:val="•"/>
      <w:lvlJc w:val="left"/>
      <w:pPr>
        <w:tabs>
          <w:tab w:val="num" w:pos="5040"/>
        </w:tabs>
        <w:ind w:left="5040" w:hanging="360"/>
      </w:pPr>
      <w:rPr>
        <w:rFonts w:ascii="Arial" w:hAnsi="Arial" w:hint="default"/>
      </w:rPr>
    </w:lvl>
    <w:lvl w:ilvl="7" w:tplc="9A94A93A" w:tentative="1">
      <w:start w:val="1"/>
      <w:numFmt w:val="bullet"/>
      <w:lvlText w:val="•"/>
      <w:lvlJc w:val="left"/>
      <w:pPr>
        <w:tabs>
          <w:tab w:val="num" w:pos="5760"/>
        </w:tabs>
        <w:ind w:left="5760" w:hanging="360"/>
      </w:pPr>
      <w:rPr>
        <w:rFonts w:ascii="Arial" w:hAnsi="Arial" w:hint="default"/>
      </w:rPr>
    </w:lvl>
    <w:lvl w:ilvl="8" w:tplc="9CACF3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22527B"/>
    <w:multiLevelType w:val="hybridMultilevel"/>
    <w:tmpl w:val="DDD85812"/>
    <w:lvl w:ilvl="0" w:tplc="318E6C2A">
      <w:start w:val="1"/>
      <w:numFmt w:val="bullet"/>
      <w:lvlText w:val="•"/>
      <w:lvlJc w:val="left"/>
      <w:pPr>
        <w:tabs>
          <w:tab w:val="num" w:pos="720"/>
        </w:tabs>
        <w:ind w:left="720" w:hanging="360"/>
      </w:pPr>
      <w:rPr>
        <w:rFonts w:ascii="Arial" w:hAnsi="Arial" w:hint="default"/>
      </w:rPr>
    </w:lvl>
    <w:lvl w:ilvl="1" w:tplc="E1E47FD2" w:tentative="1">
      <w:start w:val="1"/>
      <w:numFmt w:val="bullet"/>
      <w:lvlText w:val="•"/>
      <w:lvlJc w:val="left"/>
      <w:pPr>
        <w:tabs>
          <w:tab w:val="num" w:pos="1440"/>
        </w:tabs>
        <w:ind w:left="1440" w:hanging="360"/>
      </w:pPr>
      <w:rPr>
        <w:rFonts w:ascii="Arial" w:hAnsi="Arial" w:hint="default"/>
      </w:rPr>
    </w:lvl>
    <w:lvl w:ilvl="2" w:tplc="2A1E4556" w:tentative="1">
      <w:start w:val="1"/>
      <w:numFmt w:val="bullet"/>
      <w:lvlText w:val="•"/>
      <w:lvlJc w:val="left"/>
      <w:pPr>
        <w:tabs>
          <w:tab w:val="num" w:pos="2160"/>
        </w:tabs>
        <w:ind w:left="2160" w:hanging="360"/>
      </w:pPr>
      <w:rPr>
        <w:rFonts w:ascii="Arial" w:hAnsi="Arial" w:hint="default"/>
      </w:rPr>
    </w:lvl>
    <w:lvl w:ilvl="3" w:tplc="61B8277A" w:tentative="1">
      <w:start w:val="1"/>
      <w:numFmt w:val="bullet"/>
      <w:lvlText w:val="•"/>
      <w:lvlJc w:val="left"/>
      <w:pPr>
        <w:tabs>
          <w:tab w:val="num" w:pos="2880"/>
        </w:tabs>
        <w:ind w:left="2880" w:hanging="360"/>
      </w:pPr>
      <w:rPr>
        <w:rFonts w:ascii="Arial" w:hAnsi="Arial" w:hint="default"/>
      </w:rPr>
    </w:lvl>
    <w:lvl w:ilvl="4" w:tplc="E33C2E7E" w:tentative="1">
      <w:start w:val="1"/>
      <w:numFmt w:val="bullet"/>
      <w:lvlText w:val="•"/>
      <w:lvlJc w:val="left"/>
      <w:pPr>
        <w:tabs>
          <w:tab w:val="num" w:pos="3600"/>
        </w:tabs>
        <w:ind w:left="3600" w:hanging="360"/>
      </w:pPr>
      <w:rPr>
        <w:rFonts w:ascii="Arial" w:hAnsi="Arial" w:hint="default"/>
      </w:rPr>
    </w:lvl>
    <w:lvl w:ilvl="5" w:tplc="0A443FA4" w:tentative="1">
      <w:start w:val="1"/>
      <w:numFmt w:val="bullet"/>
      <w:lvlText w:val="•"/>
      <w:lvlJc w:val="left"/>
      <w:pPr>
        <w:tabs>
          <w:tab w:val="num" w:pos="4320"/>
        </w:tabs>
        <w:ind w:left="4320" w:hanging="360"/>
      </w:pPr>
      <w:rPr>
        <w:rFonts w:ascii="Arial" w:hAnsi="Arial" w:hint="default"/>
      </w:rPr>
    </w:lvl>
    <w:lvl w:ilvl="6" w:tplc="CE148FBA" w:tentative="1">
      <w:start w:val="1"/>
      <w:numFmt w:val="bullet"/>
      <w:lvlText w:val="•"/>
      <w:lvlJc w:val="left"/>
      <w:pPr>
        <w:tabs>
          <w:tab w:val="num" w:pos="5040"/>
        </w:tabs>
        <w:ind w:left="5040" w:hanging="360"/>
      </w:pPr>
      <w:rPr>
        <w:rFonts w:ascii="Arial" w:hAnsi="Arial" w:hint="default"/>
      </w:rPr>
    </w:lvl>
    <w:lvl w:ilvl="7" w:tplc="429E205E" w:tentative="1">
      <w:start w:val="1"/>
      <w:numFmt w:val="bullet"/>
      <w:lvlText w:val="•"/>
      <w:lvlJc w:val="left"/>
      <w:pPr>
        <w:tabs>
          <w:tab w:val="num" w:pos="5760"/>
        </w:tabs>
        <w:ind w:left="5760" w:hanging="360"/>
      </w:pPr>
      <w:rPr>
        <w:rFonts w:ascii="Arial" w:hAnsi="Arial" w:hint="default"/>
      </w:rPr>
    </w:lvl>
    <w:lvl w:ilvl="8" w:tplc="316669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A86D67"/>
    <w:multiLevelType w:val="hybridMultilevel"/>
    <w:tmpl w:val="B0985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342A6A"/>
    <w:multiLevelType w:val="hybridMultilevel"/>
    <w:tmpl w:val="A492FE92"/>
    <w:lvl w:ilvl="0" w:tplc="CB90FA8C">
      <w:start w:val="1"/>
      <w:numFmt w:val="bullet"/>
      <w:lvlText w:val="•"/>
      <w:lvlJc w:val="left"/>
      <w:pPr>
        <w:tabs>
          <w:tab w:val="num" w:pos="720"/>
        </w:tabs>
        <w:ind w:left="720" w:hanging="360"/>
      </w:pPr>
      <w:rPr>
        <w:rFonts w:ascii="Arial" w:hAnsi="Arial" w:hint="default"/>
      </w:rPr>
    </w:lvl>
    <w:lvl w:ilvl="1" w:tplc="874ACAE2" w:tentative="1">
      <w:start w:val="1"/>
      <w:numFmt w:val="bullet"/>
      <w:lvlText w:val="•"/>
      <w:lvlJc w:val="left"/>
      <w:pPr>
        <w:tabs>
          <w:tab w:val="num" w:pos="1440"/>
        </w:tabs>
        <w:ind w:left="1440" w:hanging="360"/>
      </w:pPr>
      <w:rPr>
        <w:rFonts w:ascii="Arial" w:hAnsi="Arial" w:hint="default"/>
      </w:rPr>
    </w:lvl>
    <w:lvl w:ilvl="2" w:tplc="FC10B8C8" w:tentative="1">
      <w:start w:val="1"/>
      <w:numFmt w:val="bullet"/>
      <w:lvlText w:val="•"/>
      <w:lvlJc w:val="left"/>
      <w:pPr>
        <w:tabs>
          <w:tab w:val="num" w:pos="2160"/>
        </w:tabs>
        <w:ind w:left="2160" w:hanging="360"/>
      </w:pPr>
      <w:rPr>
        <w:rFonts w:ascii="Arial" w:hAnsi="Arial" w:hint="default"/>
      </w:rPr>
    </w:lvl>
    <w:lvl w:ilvl="3" w:tplc="6896A158" w:tentative="1">
      <w:start w:val="1"/>
      <w:numFmt w:val="bullet"/>
      <w:lvlText w:val="•"/>
      <w:lvlJc w:val="left"/>
      <w:pPr>
        <w:tabs>
          <w:tab w:val="num" w:pos="2880"/>
        </w:tabs>
        <w:ind w:left="2880" w:hanging="360"/>
      </w:pPr>
      <w:rPr>
        <w:rFonts w:ascii="Arial" w:hAnsi="Arial" w:hint="default"/>
      </w:rPr>
    </w:lvl>
    <w:lvl w:ilvl="4" w:tplc="58A88568" w:tentative="1">
      <w:start w:val="1"/>
      <w:numFmt w:val="bullet"/>
      <w:lvlText w:val="•"/>
      <w:lvlJc w:val="left"/>
      <w:pPr>
        <w:tabs>
          <w:tab w:val="num" w:pos="3600"/>
        </w:tabs>
        <w:ind w:left="3600" w:hanging="360"/>
      </w:pPr>
      <w:rPr>
        <w:rFonts w:ascii="Arial" w:hAnsi="Arial" w:hint="default"/>
      </w:rPr>
    </w:lvl>
    <w:lvl w:ilvl="5" w:tplc="796CBDB6" w:tentative="1">
      <w:start w:val="1"/>
      <w:numFmt w:val="bullet"/>
      <w:lvlText w:val="•"/>
      <w:lvlJc w:val="left"/>
      <w:pPr>
        <w:tabs>
          <w:tab w:val="num" w:pos="4320"/>
        </w:tabs>
        <w:ind w:left="4320" w:hanging="360"/>
      </w:pPr>
      <w:rPr>
        <w:rFonts w:ascii="Arial" w:hAnsi="Arial" w:hint="default"/>
      </w:rPr>
    </w:lvl>
    <w:lvl w:ilvl="6" w:tplc="82428C6A" w:tentative="1">
      <w:start w:val="1"/>
      <w:numFmt w:val="bullet"/>
      <w:lvlText w:val="•"/>
      <w:lvlJc w:val="left"/>
      <w:pPr>
        <w:tabs>
          <w:tab w:val="num" w:pos="5040"/>
        </w:tabs>
        <w:ind w:left="5040" w:hanging="360"/>
      </w:pPr>
      <w:rPr>
        <w:rFonts w:ascii="Arial" w:hAnsi="Arial" w:hint="default"/>
      </w:rPr>
    </w:lvl>
    <w:lvl w:ilvl="7" w:tplc="652CA98A" w:tentative="1">
      <w:start w:val="1"/>
      <w:numFmt w:val="bullet"/>
      <w:lvlText w:val="•"/>
      <w:lvlJc w:val="left"/>
      <w:pPr>
        <w:tabs>
          <w:tab w:val="num" w:pos="5760"/>
        </w:tabs>
        <w:ind w:left="5760" w:hanging="360"/>
      </w:pPr>
      <w:rPr>
        <w:rFonts w:ascii="Arial" w:hAnsi="Arial" w:hint="default"/>
      </w:rPr>
    </w:lvl>
    <w:lvl w:ilvl="8" w:tplc="AA74932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1F41F0"/>
    <w:multiLevelType w:val="hybridMultilevel"/>
    <w:tmpl w:val="A700148A"/>
    <w:lvl w:ilvl="0" w:tplc="482ACB38">
      <w:start w:val="1"/>
      <w:numFmt w:val="bullet"/>
      <w:lvlText w:val="•"/>
      <w:lvlJc w:val="left"/>
      <w:pPr>
        <w:tabs>
          <w:tab w:val="num" w:pos="720"/>
        </w:tabs>
        <w:ind w:left="720" w:hanging="360"/>
      </w:pPr>
      <w:rPr>
        <w:rFonts w:ascii="Arial" w:hAnsi="Arial" w:hint="default"/>
      </w:rPr>
    </w:lvl>
    <w:lvl w:ilvl="1" w:tplc="995E2AFC">
      <w:numFmt w:val="bullet"/>
      <w:lvlText w:val="•"/>
      <w:lvlJc w:val="left"/>
      <w:pPr>
        <w:tabs>
          <w:tab w:val="num" w:pos="1440"/>
        </w:tabs>
        <w:ind w:left="1440" w:hanging="360"/>
      </w:pPr>
      <w:rPr>
        <w:rFonts w:ascii="Arial" w:hAnsi="Arial" w:hint="default"/>
      </w:rPr>
    </w:lvl>
    <w:lvl w:ilvl="2" w:tplc="74102B50" w:tentative="1">
      <w:start w:val="1"/>
      <w:numFmt w:val="bullet"/>
      <w:lvlText w:val="•"/>
      <w:lvlJc w:val="left"/>
      <w:pPr>
        <w:tabs>
          <w:tab w:val="num" w:pos="2160"/>
        </w:tabs>
        <w:ind w:left="2160" w:hanging="360"/>
      </w:pPr>
      <w:rPr>
        <w:rFonts w:ascii="Arial" w:hAnsi="Arial" w:hint="default"/>
      </w:rPr>
    </w:lvl>
    <w:lvl w:ilvl="3" w:tplc="F196A8DC" w:tentative="1">
      <w:start w:val="1"/>
      <w:numFmt w:val="bullet"/>
      <w:lvlText w:val="•"/>
      <w:lvlJc w:val="left"/>
      <w:pPr>
        <w:tabs>
          <w:tab w:val="num" w:pos="2880"/>
        </w:tabs>
        <w:ind w:left="2880" w:hanging="360"/>
      </w:pPr>
      <w:rPr>
        <w:rFonts w:ascii="Arial" w:hAnsi="Arial" w:hint="default"/>
      </w:rPr>
    </w:lvl>
    <w:lvl w:ilvl="4" w:tplc="B26C7AA8" w:tentative="1">
      <w:start w:val="1"/>
      <w:numFmt w:val="bullet"/>
      <w:lvlText w:val="•"/>
      <w:lvlJc w:val="left"/>
      <w:pPr>
        <w:tabs>
          <w:tab w:val="num" w:pos="3600"/>
        </w:tabs>
        <w:ind w:left="3600" w:hanging="360"/>
      </w:pPr>
      <w:rPr>
        <w:rFonts w:ascii="Arial" w:hAnsi="Arial" w:hint="default"/>
      </w:rPr>
    </w:lvl>
    <w:lvl w:ilvl="5" w:tplc="0F4AD040" w:tentative="1">
      <w:start w:val="1"/>
      <w:numFmt w:val="bullet"/>
      <w:lvlText w:val="•"/>
      <w:lvlJc w:val="left"/>
      <w:pPr>
        <w:tabs>
          <w:tab w:val="num" w:pos="4320"/>
        </w:tabs>
        <w:ind w:left="4320" w:hanging="360"/>
      </w:pPr>
      <w:rPr>
        <w:rFonts w:ascii="Arial" w:hAnsi="Arial" w:hint="default"/>
      </w:rPr>
    </w:lvl>
    <w:lvl w:ilvl="6" w:tplc="AAE8F3AE" w:tentative="1">
      <w:start w:val="1"/>
      <w:numFmt w:val="bullet"/>
      <w:lvlText w:val="•"/>
      <w:lvlJc w:val="left"/>
      <w:pPr>
        <w:tabs>
          <w:tab w:val="num" w:pos="5040"/>
        </w:tabs>
        <w:ind w:left="5040" w:hanging="360"/>
      </w:pPr>
      <w:rPr>
        <w:rFonts w:ascii="Arial" w:hAnsi="Arial" w:hint="default"/>
      </w:rPr>
    </w:lvl>
    <w:lvl w:ilvl="7" w:tplc="2318C656" w:tentative="1">
      <w:start w:val="1"/>
      <w:numFmt w:val="bullet"/>
      <w:lvlText w:val="•"/>
      <w:lvlJc w:val="left"/>
      <w:pPr>
        <w:tabs>
          <w:tab w:val="num" w:pos="5760"/>
        </w:tabs>
        <w:ind w:left="5760" w:hanging="360"/>
      </w:pPr>
      <w:rPr>
        <w:rFonts w:ascii="Arial" w:hAnsi="Arial" w:hint="default"/>
      </w:rPr>
    </w:lvl>
    <w:lvl w:ilvl="8" w:tplc="73A60FD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626CE8"/>
    <w:multiLevelType w:val="hybridMultilevel"/>
    <w:tmpl w:val="B21EA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AAE2E79"/>
    <w:multiLevelType w:val="hybridMultilevel"/>
    <w:tmpl w:val="3EF47D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17632C"/>
    <w:multiLevelType w:val="hybridMultilevel"/>
    <w:tmpl w:val="A7143E7A"/>
    <w:lvl w:ilvl="0" w:tplc="4B0A3C70">
      <w:start w:val="1"/>
      <w:numFmt w:val="bullet"/>
      <w:lvlText w:val="•"/>
      <w:lvlJc w:val="left"/>
      <w:pPr>
        <w:tabs>
          <w:tab w:val="num" w:pos="720"/>
        </w:tabs>
        <w:ind w:left="720" w:hanging="360"/>
      </w:pPr>
      <w:rPr>
        <w:rFonts w:ascii="Arial" w:hAnsi="Arial" w:hint="default"/>
      </w:rPr>
    </w:lvl>
    <w:lvl w:ilvl="1" w:tplc="F90E2E98" w:tentative="1">
      <w:start w:val="1"/>
      <w:numFmt w:val="bullet"/>
      <w:lvlText w:val="•"/>
      <w:lvlJc w:val="left"/>
      <w:pPr>
        <w:tabs>
          <w:tab w:val="num" w:pos="1440"/>
        </w:tabs>
        <w:ind w:left="1440" w:hanging="360"/>
      </w:pPr>
      <w:rPr>
        <w:rFonts w:ascii="Arial" w:hAnsi="Arial" w:hint="default"/>
      </w:rPr>
    </w:lvl>
    <w:lvl w:ilvl="2" w:tplc="D9AAF3A8" w:tentative="1">
      <w:start w:val="1"/>
      <w:numFmt w:val="bullet"/>
      <w:lvlText w:val="•"/>
      <w:lvlJc w:val="left"/>
      <w:pPr>
        <w:tabs>
          <w:tab w:val="num" w:pos="2160"/>
        </w:tabs>
        <w:ind w:left="2160" w:hanging="360"/>
      </w:pPr>
      <w:rPr>
        <w:rFonts w:ascii="Arial" w:hAnsi="Arial" w:hint="default"/>
      </w:rPr>
    </w:lvl>
    <w:lvl w:ilvl="3" w:tplc="0512D686" w:tentative="1">
      <w:start w:val="1"/>
      <w:numFmt w:val="bullet"/>
      <w:lvlText w:val="•"/>
      <w:lvlJc w:val="left"/>
      <w:pPr>
        <w:tabs>
          <w:tab w:val="num" w:pos="2880"/>
        </w:tabs>
        <w:ind w:left="2880" w:hanging="360"/>
      </w:pPr>
      <w:rPr>
        <w:rFonts w:ascii="Arial" w:hAnsi="Arial" w:hint="default"/>
      </w:rPr>
    </w:lvl>
    <w:lvl w:ilvl="4" w:tplc="727C6D2C" w:tentative="1">
      <w:start w:val="1"/>
      <w:numFmt w:val="bullet"/>
      <w:lvlText w:val="•"/>
      <w:lvlJc w:val="left"/>
      <w:pPr>
        <w:tabs>
          <w:tab w:val="num" w:pos="3600"/>
        </w:tabs>
        <w:ind w:left="3600" w:hanging="360"/>
      </w:pPr>
      <w:rPr>
        <w:rFonts w:ascii="Arial" w:hAnsi="Arial" w:hint="default"/>
      </w:rPr>
    </w:lvl>
    <w:lvl w:ilvl="5" w:tplc="A860DCF0" w:tentative="1">
      <w:start w:val="1"/>
      <w:numFmt w:val="bullet"/>
      <w:lvlText w:val="•"/>
      <w:lvlJc w:val="left"/>
      <w:pPr>
        <w:tabs>
          <w:tab w:val="num" w:pos="4320"/>
        </w:tabs>
        <w:ind w:left="4320" w:hanging="360"/>
      </w:pPr>
      <w:rPr>
        <w:rFonts w:ascii="Arial" w:hAnsi="Arial" w:hint="default"/>
      </w:rPr>
    </w:lvl>
    <w:lvl w:ilvl="6" w:tplc="8C0E9F90" w:tentative="1">
      <w:start w:val="1"/>
      <w:numFmt w:val="bullet"/>
      <w:lvlText w:val="•"/>
      <w:lvlJc w:val="left"/>
      <w:pPr>
        <w:tabs>
          <w:tab w:val="num" w:pos="5040"/>
        </w:tabs>
        <w:ind w:left="5040" w:hanging="360"/>
      </w:pPr>
      <w:rPr>
        <w:rFonts w:ascii="Arial" w:hAnsi="Arial" w:hint="default"/>
      </w:rPr>
    </w:lvl>
    <w:lvl w:ilvl="7" w:tplc="ED40356C" w:tentative="1">
      <w:start w:val="1"/>
      <w:numFmt w:val="bullet"/>
      <w:lvlText w:val="•"/>
      <w:lvlJc w:val="left"/>
      <w:pPr>
        <w:tabs>
          <w:tab w:val="num" w:pos="5760"/>
        </w:tabs>
        <w:ind w:left="5760" w:hanging="360"/>
      </w:pPr>
      <w:rPr>
        <w:rFonts w:ascii="Arial" w:hAnsi="Arial" w:hint="default"/>
      </w:rPr>
    </w:lvl>
    <w:lvl w:ilvl="8" w:tplc="DA14D2C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24B5CB0"/>
    <w:multiLevelType w:val="hybridMultilevel"/>
    <w:tmpl w:val="0980C420"/>
    <w:lvl w:ilvl="0" w:tplc="AB50AF42">
      <w:start w:val="1"/>
      <w:numFmt w:val="bullet"/>
      <w:lvlText w:val="•"/>
      <w:lvlJc w:val="left"/>
      <w:pPr>
        <w:tabs>
          <w:tab w:val="num" w:pos="720"/>
        </w:tabs>
        <w:ind w:left="720" w:hanging="360"/>
      </w:pPr>
      <w:rPr>
        <w:rFonts w:ascii="Arial" w:hAnsi="Arial" w:hint="default"/>
      </w:rPr>
    </w:lvl>
    <w:lvl w:ilvl="1" w:tplc="083AEA30" w:tentative="1">
      <w:start w:val="1"/>
      <w:numFmt w:val="bullet"/>
      <w:lvlText w:val="•"/>
      <w:lvlJc w:val="left"/>
      <w:pPr>
        <w:tabs>
          <w:tab w:val="num" w:pos="1440"/>
        </w:tabs>
        <w:ind w:left="1440" w:hanging="360"/>
      </w:pPr>
      <w:rPr>
        <w:rFonts w:ascii="Arial" w:hAnsi="Arial" w:hint="default"/>
      </w:rPr>
    </w:lvl>
    <w:lvl w:ilvl="2" w:tplc="C50871E6" w:tentative="1">
      <w:start w:val="1"/>
      <w:numFmt w:val="bullet"/>
      <w:lvlText w:val="•"/>
      <w:lvlJc w:val="left"/>
      <w:pPr>
        <w:tabs>
          <w:tab w:val="num" w:pos="2160"/>
        </w:tabs>
        <w:ind w:left="2160" w:hanging="360"/>
      </w:pPr>
      <w:rPr>
        <w:rFonts w:ascii="Arial" w:hAnsi="Arial" w:hint="default"/>
      </w:rPr>
    </w:lvl>
    <w:lvl w:ilvl="3" w:tplc="007C1190" w:tentative="1">
      <w:start w:val="1"/>
      <w:numFmt w:val="bullet"/>
      <w:lvlText w:val="•"/>
      <w:lvlJc w:val="left"/>
      <w:pPr>
        <w:tabs>
          <w:tab w:val="num" w:pos="2880"/>
        </w:tabs>
        <w:ind w:left="2880" w:hanging="360"/>
      </w:pPr>
      <w:rPr>
        <w:rFonts w:ascii="Arial" w:hAnsi="Arial" w:hint="default"/>
      </w:rPr>
    </w:lvl>
    <w:lvl w:ilvl="4" w:tplc="2DB4C1B4" w:tentative="1">
      <w:start w:val="1"/>
      <w:numFmt w:val="bullet"/>
      <w:lvlText w:val="•"/>
      <w:lvlJc w:val="left"/>
      <w:pPr>
        <w:tabs>
          <w:tab w:val="num" w:pos="3600"/>
        </w:tabs>
        <w:ind w:left="3600" w:hanging="360"/>
      </w:pPr>
      <w:rPr>
        <w:rFonts w:ascii="Arial" w:hAnsi="Arial" w:hint="default"/>
      </w:rPr>
    </w:lvl>
    <w:lvl w:ilvl="5" w:tplc="8B0E11E2" w:tentative="1">
      <w:start w:val="1"/>
      <w:numFmt w:val="bullet"/>
      <w:lvlText w:val="•"/>
      <w:lvlJc w:val="left"/>
      <w:pPr>
        <w:tabs>
          <w:tab w:val="num" w:pos="4320"/>
        </w:tabs>
        <w:ind w:left="4320" w:hanging="360"/>
      </w:pPr>
      <w:rPr>
        <w:rFonts w:ascii="Arial" w:hAnsi="Arial" w:hint="default"/>
      </w:rPr>
    </w:lvl>
    <w:lvl w:ilvl="6" w:tplc="5E8476D4" w:tentative="1">
      <w:start w:val="1"/>
      <w:numFmt w:val="bullet"/>
      <w:lvlText w:val="•"/>
      <w:lvlJc w:val="left"/>
      <w:pPr>
        <w:tabs>
          <w:tab w:val="num" w:pos="5040"/>
        </w:tabs>
        <w:ind w:left="5040" w:hanging="360"/>
      </w:pPr>
      <w:rPr>
        <w:rFonts w:ascii="Arial" w:hAnsi="Arial" w:hint="default"/>
      </w:rPr>
    </w:lvl>
    <w:lvl w:ilvl="7" w:tplc="17BE4FD4" w:tentative="1">
      <w:start w:val="1"/>
      <w:numFmt w:val="bullet"/>
      <w:lvlText w:val="•"/>
      <w:lvlJc w:val="left"/>
      <w:pPr>
        <w:tabs>
          <w:tab w:val="num" w:pos="5760"/>
        </w:tabs>
        <w:ind w:left="5760" w:hanging="360"/>
      </w:pPr>
      <w:rPr>
        <w:rFonts w:ascii="Arial" w:hAnsi="Arial" w:hint="default"/>
      </w:rPr>
    </w:lvl>
    <w:lvl w:ilvl="8" w:tplc="0B6EDBE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2F05A9"/>
    <w:multiLevelType w:val="hybridMultilevel"/>
    <w:tmpl w:val="C3648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4A4501A"/>
    <w:multiLevelType w:val="hybridMultilevel"/>
    <w:tmpl w:val="2B5E2C44"/>
    <w:lvl w:ilvl="0" w:tplc="2AA8EE22">
      <w:start w:val="1"/>
      <w:numFmt w:val="bullet"/>
      <w:lvlText w:val="-"/>
      <w:lvlJc w:val="left"/>
      <w:pPr>
        <w:ind w:left="720" w:hanging="360"/>
      </w:pPr>
      <w:rPr>
        <w:rFonts w:ascii="Corbel" w:eastAsiaTheme="minorEastAsia" w:hAnsi="Corbe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61653CA"/>
    <w:multiLevelType w:val="hybridMultilevel"/>
    <w:tmpl w:val="7220C37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15:restartNumberingAfterBreak="0">
    <w:nsid w:val="59600A61"/>
    <w:multiLevelType w:val="hybridMultilevel"/>
    <w:tmpl w:val="A934CEA8"/>
    <w:lvl w:ilvl="0" w:tplc="82E4F4A2">
      <w:start w:val="1"/>
      <w:numFmt w:val="bullet"/>
      <w:lvlText w:val="•"/>
      <w:lvlJc w:val="left"/>
      <w:pPr>
        <w:tabs>
          <w:tab w:val="num" w:pos="720"/>
        </w:tabs>
        <w:ind w:left="720" w:hanging="360"/>
      </w:pPr>
      <w:rPr>
        <w:rFonts w:ascii="Arial" w:hAnsi="Arial" w:hint="default"/>
      </w:rPr>
    </w:lvl>
    <w:lvl w:ilvl="1" w:tplc="6B9A8398" w:tentative="1">
      <w:start w:val="1"/>
      <w:numFmt w:val="bullet"/>
      <w:lvlText w:val="•"/>
      <w:lvlJc w:val="left"/>
      <w:pPr>
        <w:tabs>
          <w:tab w:val="num" w:pos="1440"/>
        </w:tabs>
        <w:ind w:left="1440" w:hanging="360"/>
      </w:pPr>
      <w:rPr>
        <w:rFonts w:ascii="Arial" w:hAnsi="Arial" w:hint="default"/>
      </w:rPr>
    </w:lvl>
    <w:lvl w:ilvl="2" w:tplc="DC80C018" w:tentative="1">
      <w:start w:val="1"/>
      <w:numFmt w:val="bullet"/>
      <w:lvlText w:val="•"/>
      <w:lvlJc w:val="left"/>
      <w:pPr>
        <w:tabs>
          <w:tab w:val="num" w:pos="2160"/>
        </w:tabs>
        <w:ind w:left="2160" w:hanging="360"/>
      </w:pPr>
      <w:rPr>
        <w:rFonts w:ascii="Arial" w:hAnsi="Arial" w:hint="default"/>
      </w:rPr>
    </w:lvl>
    <w:lvl w:ilvl="3" w:tplc="DC380850" w:tentative="1">
      <w:start w:val="1"/>
      <w:numFmt w:val="bullet"/>
      <w:lvlText w:val="•"/>
      <w:lvlJc w:val="left"/>
      <w:pPr>
        <w:tabs>
          <w:tab w:val="num" w:pos="2880"/>
        </w:tabs>
        <w:ind w:left="2880" w:hanging="360"/>
      </w:pPr>
      <w:rPr>
        <w:rFonts w:ascii="Arial" w:hAnsi="Arial" w:hint="default"/>
      </w:rPr>
    </w:lvl>
    <w:lvl w:ilvl="4" w:tplc="2ECA5DBC" w:tentative="1">
      <w:start w:val="1"/>
      <w:numFmt w:val="bullet"/>
      <w:lvlText w:val="•"/>
      <w:lvlJc w:val="left"/>
      <w:pPr>
        <w:tabs>
          <w:tab w:val="num" w:pos="3600"/>
        </w:tabs>
        <w:ind w:left="3600" w:hanging="360"/>
      </w:pPr>
      <w:rPr>
        <w:rFonts w:ascii="Arial" w:hAnsi="Arial" w:hint="default"/>
      </w:rPr>
    </w:lvl>
    <w:lvl w:ilvl="5" w:tplc="4B660960" w:tentative="1">
      <w:start w:val="1"/>
      <w:numFmt w:val="bullet"/>
      <w:lvlText w:val="•"/>
      <w:lvlJc w:val="left"/>
      <w:pPr>
        <w:tabs>
          <w:tab w:val="num" w:pos="4320"/>
        </w:tabs>
        <w:ind w:left="4320" w:hanging="360"/>
      </w:pPr>
      <w:rPr>
        <w:rFonts w:ascii="Arial" w:hAnsi="Arial" w:hint="default"/>
      </w:rPr>
    </w:lvl>
    <w:lvl w:ilvl="6" w:tplc="03DECB7A" w:tentative="1">
      <w:start w:val="1"/>
      <w:numFmt w:val="bullet"/>
      <w:lvlText w:val="•"/>
      <w:lvlJc w:val="left"/>
      <w:pPr>
        <w:tabs>
          <w:tab w:val="num" w:pos="5040"/>
        </w:tabs>
        <w:ind w:left="5040" w:hanging="360"/>
      </w:pPr>
      <w:rPr>
        <w:rFonts w:ascii="Arial" w:hAnsi="Arial" w:hint="default"/>
      </w:rPr>
    </w:lvl>
    <w:lvl w:ilvl="7" w:tplc="9C5016B2" w:tentative="1">
      <w:start w:val="1"/>
      <w:numFmt w:val="bullet"/>
      <w:lvlText w:val="•"/>
      <w:lvlJc w:val="left"/>
      <w:pPr>
        <w:tabs>
          <w:tab w:val="num" w:pos="5760"/>
        </w:tabs>
        <w:ind w:left="5760" w:hanging="360"/>
      </w:pPr>
      <w:rPr>
        <w:rFonts w:ascii="Arial" w:hAnsi="Arial" w:hint="default"/>
      </w:rPr>
    </w:lvl>
    <w:lvl w:ilvl="8" w:tplc="F50A3F7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EC0568"/>
    <w:multiLevelType w:val="hybridMultilevel"/>
    <w:tmpl w:val="37BEECC8"/>
    <w:lvl w:ilvl="0" w:tplc="67B05FD0">
      <w:start w:val="1"/>
      <w:numFmt w:val="bullet"/>
      <w:lvlText w:val="•"/>
      <w:lvlJc w:val="left"/>
      <w:pPr>
        <w:tabs>
          <w:tab w:val="num" w:pos="720"/>
        </w:tabs>
        <w:ind w:left="720" w:hanging="360"/>
      </w:pPr>
      <w:rPr>
        <w:rFonts w:ascii="Arial" w:hAnsi="Arial" w:hint="default"/>
      </w:rPr>
    </w:lvl>
    <w:lvl w:ilvl="1" w:tplc="251CF530" w:tentative="1">
      <w:start w:val="1"/>
      <w:numFmt w:val="bullet"/>
      <w:lvlText w:val="•"/>
      <w:lvlJc w:val="left"/>
      <w:pPr>
        <w:tabs>
          <w:tab w:val="num" w:pos="1440"/>
        </w:tabs>
        <w:ind w:left="1440" w:hanging="360"/>
      </w:pPr>
      <w:rPr>
        <w:rFonts w:ascii="Arial" w:hAnsi="Arial" w:hint="default"/>
      </w:rPr>
    </w:lvl>
    <w:lvl w:ilvl="2" w:tplc="BECC4FF2" w:tentative="1">
      <w:start w:val="1"/>
      <w:numFmt w:val="bullet"/>
      <w:lvlText w:val="•"/>
      <w:lvlJc w:val="left"/>
      <w:pPr>
        <w:tabs>
          <w:tab w:val="num" w:pos="2160"/>
        </w:tabs>
        <w:ind w:left="2160" w:hanging="360"/>
      </w:pPr>
      <w:rPr>
        <w:rFonts w:ascii="Arial" w:hAnsi="Arial" w:hint="default"/>
      </w:rPr>
    </w:lvl>
    <w:lvl w:ilvl="3" w:tplc="5B7AE8AA" w:tentative="1">
      <w:start w:val="1"/>
      <w:numFmt w:val="bullet"/>
      <w:lvlText w:val="•"/>
      <w:lvlJc w:val="left"/>
      <w:pPr>
        <w:tabs>
          <w:tab w:val="num" w:pos="2880"/>
        </w:tabs>
        <w:ind w:left="2880" w:hanging="360"/>
      </w:pPr>
      <w:rPr>
        <w:rFonts w:ascii="Arial" w:hAnsi="Arial" w:hint="default"/>
      </w:rPr>
    </w:lvl>
    <w:lvl w:ilvl="4" w:tplc="533CA08E" w:tentative="1">
      <w:start w:val="1"/>
      <w:numFmt w:val="bullet"/>
      <w:lvlText w:val="•"/>
      <w:lvlJc w:val="left"/>
      <w:pPr>
        <w:tabs>
          <w:tab w:val="num" w:pos="3600"/>
        </w:tabs>
        <w:ind w:left="3600" w:hanging="360"/>
      </w:pPr>
      <w:rPr>
        <w:rFonts w:ascii="Arial" w:hAnsi="Arial" w:hint="default"/>
      </w:rPr>
    </w:lvl>
    <w:lvl w:ilvl="5" w:tplc="D1D20BD8" w:tentative="1">
      <w:start w:val="1"/>
      <w:numFmt w:val="bullet"/>
      <w:lvlText w:val="•"/>
      <w:lvlJc w:val="left"/>
      <w:pPr>
        <w:tabs>
          <w:tab w:val="num" w:pos="4320"/>
        </w:tabs>
        <w:ind w:left="4320" w:hanging="360"/>
      </w:pPr>
      <w:rPr>
        <w:rFonts w:ascii="Arial" w:hAnsi="Arial" w:hint="default"/>
      </w:rPr>
    </w:lvl>
    <w:lvl w:ilvl="6" w:tplc="9E6AD63C" w:tentative="1">
      <w:start w:val="1"/>
      <w:numFmt w:val="bullet"/>
      <w:lvlText w:val="•"/>
      <w:lvlJc w:val="left"/>
      <w:pPr>
        <w:tabs>
          <w:tab w:val="num" w:pos="5040"/>
        </w:tabs>
        <w:ind w:left="5040" w:hanging="360"/>
      </w:pPr>
      <w:rPr>
        <w:rFonts w:ascii="Arial" w:hAnsi="Arial" w:hint="default"/>
      </w:rPr>
    </w:lvl>
    <w:lvl w:ilvl="7" w:tplc="5852C814" w:tentative="1">
      <w:start w:val="1"/>
      <w:numFmt w:val="bullet"/>
      <w:lvlText w:val="•"/>
      <w:lvlJc w:val="left"/>
      <w:pPr>
        <w:tabs>
          <w:tab w:val="num" w:pos="5760"/>
        </w:tabs>
        <w:ind w:left="5760" w:hanging="360"/>
      </w:pPr>
      <w:rPr>
        <w:rFonts w:ascii="Arial" w:hAnsi="Arial" w:hint="default"/>
      </w:rPr>
    </w:lvl>
    <w:lvl w:ilvl="8" w:tplc="3482E4D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6C622E"/>
    <w:multiLevelType w:val="hybridMultilevel"/>
    <w:tmpl w:val="B28637A4"/>
    <w:lvl w:ilvl="0" w:tplc="F1167C1A">
      <w:start w:val="1"/>
      <w:numFmt w:val="bullet"/>
      <w:lvlText w:val="•"/>
      <w:lvlJc w:val="left"/>
      <w:pPr>
        <w:tabs>
          <w:tab w:val="num" w:pos="720"/>
        </w:tabs>
        <w:ind w:left="720" w:hanging="360"/>
      </w:pPr>
      <w:rPr>
        <w:rFonts w:ascii="Arial" w:hAnsi="Arial" w:hint="default"/>
      </w:rPr>
    </w:lvl>
    <w:lvl w:ilvl="1" w:tplc="55D4F99E" w:tentative="1">
      <w:start w:val="1"/>
      <w:numFmt w:val="bullet"/>
      <w:lvlText w:val="•"/>
      <w:lvlJc w:val="left"/>
      <w:pPr>
        <w:tabs>
          <w:tab w:val="num" w:pos="1440"/>
        </w:tabs>
        <w:ind w:left="1440" w:hanging="360"/>
      </w:pPr>
      <w:rPr>
        <w:rFonts w:ascii="Arial" w:hAnsi="Arial" w:hint="default"/>
      </w:rPr>
    </w:lvl>
    <w:lvl w:ilvl="2" w:tplc="D74C29DE" w:tentative="1">
      <w:start w:val="1"/>
      <w:numFmt w:val="bullet"/>
      <w:lvlText w:val="•"/>
      <w:lvlJc w:val="left"/>
      <w:pPr>
        <w:tabs>
          <w:tab w:val="num" w:pos="2160"/>
        </w:tabs>
        <w:ind w:left="2160" w:hanging="360"/>
      </w:pPr>
      <w:rPr>
        <w:rFonts w:ascii="Arial" w:hAnsi="Arial" w:hint="default"/>
      </w:rPr>
    </w:lvl>
    <w:lvl w:ilvl="3" w:tplc="7894379E" w:tentative="1">
      <w:start w:val="1"/>
      <w:numFmt w:val="bullet"/>
      <w:lvlText w:val="•"/>
      <w:lvlJc w:val="left"/>
      <w:pPr>
        <w:tabs>
          <w:tab w:val="num" w:pos="2880"/>
        </w:tabs>
        <w:ind w:left="2880" w:hanging="360"/>
      </w:pPr>
      <w:rPr>
        <w:rFonts w:ascii="Arial" w:hAnsi="Arial" w:hint="default"/>
      </w:rPr>
    </w:lvl>
    <w:lvl w:ilvl="4" w:tplc="F5F0A512" w:tentative="1">
      <w:start w:val="1"/>
      <w:numFmt w:val="bullet"/>
      <w:lvlText w:val="•"/>
      <w:lvlJc w:val="left"/>
      <w:pPr>
        <w:tabs>
          <w:tab w:val="num" w:pos="3600"/>
        </w:tabs>
        <w:ind w:left="3600" w:hanging="360"/>
      </w:pPr>
      <w:rPr>
        <w:rFonts w:ascii="Arial" w:hAnsi="Arial" w:hint="default"/>
      </w:rPr>
    </w:lvl>
    <w:lvl w:ilvl="5" w:tplc="22E4E5B8" w:tentative="1">
      <w:start w:val="1"/>
      <w:numFmt w:val="bullet"/>
      <w:lvlText w:val="•"/>
      <w:lvlJc w:val="left"/>
      <w:pPr>
        <w:tabs>
          <w:tab w:val="num" w:pos="4320"/>
        </w:tabs>
        <w:ind w:left="4320" w:hanging="360"/>
      </w:pPr>
      <w:rPr>
        <w:rFonts w:ascii="Arial" w:hAnsi="Arial" w:hint="default"/>
      </w:rPr>
    </w:lvl>
    <w:lvl w:ilvl="6" w:tplc="576635B6" w:tentative="1">
      <w:start w:val="1"/>
      <w:numFmt w:val="bullet"/>
      <w:lvlText w:val="•"/>
      <w:lvlJc w:val="left"/>
      <w:pPr>
        <w:tabs>
          <w:tab w:val="num" w:pos="5040"/>
        </w:tabs>
        <w:ind w:left="5040" w:hanging="360"/>
      </w:pPr>
      <w:rPr>
        <w:rFonts w:ascii="Arial" w:hAnsi="Arial" w:hint="default"/>
      </w:rPr>
    </w:lvl>
    <w:lvl w:ilvl="7" w:tplc="014ABCDC" w:tentative="1">
      <w:start w:val="1"/>
      <w:numFmt w:val="bullet"/>
      <w:lvlText w:val="•"/>
      <w:lvlJc w:val="left"/>
      <w:pPr>
        <w:tabs>
          <w:tab w:val="num" w:pos="5760"/>
        </w:tabs>
        <w:ind w:left="5760" w:hanging="360"/>
      </w:pPr>
      <w:rPr>
        <w:rFonts w:ascii="Arial" w:hAnsi="Arial" w:hint="default"/>
      </w:rPr>
    </w:lvl>
    <w:lvl w:ilvl="8" w:tplc="C420A4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4E86AD6"/>
    <w:multiLevelType w:val="hybridMultilevel"/>
    <w:tmpl w:val="B5E24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736E46"/>
    <w:multiLevelType w:val="hybridMultilevel"/>
    <w:tmpl w:val="61C8BD74"/>
    <w:lvl w:ilvl="0" w:tplc="8C9E1A58">
      <w:start w:val="1"/>
      <w:numFmt w:val="bullet"/>
      <w:lvlText w:val="•"/>
      <w:lvlJc w:val="left"/>
      <w:pPr>
        <w:tabs>
          <w:tab w:val="num" w:pos="720"/>
        </w:tabs>
        <w:ind w:left="720" w:hanging="360"/>
      </w:pPr>
      <w:rPr>
        <w:rFonts w:ascii="Arial" w:hAnsi="Arial" w:hint="default"/>
      </w:rPr>
    </w:lvl>
    <w:lvl w:ilvl="1" w:tplc="14CAC8F2" w:tentative="1">
      <w:start w:val="1"/>
      <w:numFmt w:val="bullet"/>
      <w:lvlText w:val="•"/>
      <w:lvlJc w:val="left"/>
      <w:pPr>
        <w:tabs>
          <w:tab w:val="num" w:pos="1440"/>
        </w:tabs>
        <w:ind w:left="1440" w:hanging="360"/>
      </w:pPr>
      <w:rPr>
        <w:rFonts w:ascii="Arial" w:hAnsi="Arial" w:hint="default"/>
      </w:rPr>
    </w:lvl>
    <w:lvl w:ilvl="2" w:tplc="88C42CF4" w:tentative="1">
      <w:start w:val="1"/>
      <w:numFmt w:val="bullet"/>
      <w:lvlText w:val="•"/>
      <w:lvlJc w:val="left"/>
      <w:pPr>
        <w:tabs>
          <w:tab w:val="num" w:pos="2160"/>
        </w:tabs>
        <w:ind w:left="2160" w:hanging="360"/>
      </w:pPr>
      <w:rPr>
        <w:rFonts w:ascii="Arial" w:hAnsi="Arial" w:hint="default"/>
      </w:rPr>
    </w:lvl>
    <w:lvl w:ilvl="3" w:tplc="DF8C9D02" w:tentative="1">
      <w:start w:val="1"/>
      <w:numFmt w:val="bullet"/>
      <w:lvlText w:val="•"/>
      <w:lvlJc w:val="left"/>
      <w:pPr>
        <w:tabs>
          <w:tab w:val="num" w:pos="2880"/>
        </w:tabs>
        <w:ind w:left="2880" w:hanging="360"/>
      </w:pPr>
      <w:rPr>
        <w:rFonts w:ascii="Arial" w:hAnsi="Arial" w:hint="default"/>
      </w:rPr>
    </w:lvl>
    <w:lvl w:ilvl="4" w:tplc="F5B00A04" w:tentative="1">
      <w:start w:val="1"/>
      <w:numFmt w:val="bullet"/>
      <w:lvlText w:val="•"/>
      <w:lvlJc w:val="left"/>
      <w:pPr>
        <w:tabs>
          <w:tab w:val="num" w:pos="3600"/>
        </w:tabs>
        <w:ind w:left="3600" w:hanging="360"/>
      </w:pPr>
      <w:rPr>
        <w:rFonts w:ascii="Arial" w:hAnsi="Arial" w:hint="default"/>
      </w:rPr>
    </w:lvl>
    <w:lvl w:ilvl="5" w:tplc="87CAC12E" w:tentative="1">
      <w:start w:val="1"/>
      <w:numFmt w:val="bullet"/>
      <w:lvlText w:val="•"/>
      <w:lvlJc w:val="left"/>
      <w:pPr>
        <w:tabs>
          <w:tab w:val="num" w:pos="4320"/>
        </w:tabs>
        <w:ind w:left="4320" w:hanging="360"/>
      </w:pPr>
      <w:rPr>
        <w:rFonts w:ascii="Arial" w:hAnsi="Arial" w:hint="default"/>
      </w:rPr>
    </w:lvl>
    <w:lvl w:ilvl="6" w:tplc="8CF29C94" w:tentative="1">
      <w:start w:val="1"/>
      <w:numFmt w:val="bullet"/>
      <w:lvlText w:val="•"/>
      <w:lvlJc w:val="left"/>
      <w:pPr>
        <w:tabs>
          <w:tab w:val="num" w:pos="5040"/>
        </w:tabs>
        <w:ind w:left="5040" w:hanging="360"/>
      </w:pPr>
      <w:rPr>
        <w:rFonts w:ascii="Arial" w:hAnsi="Arial" w:hint="default"/>
      </w:rPr>
    </w:lvl>
    <w:lvl w:ilvl="7" w:tplc="8AF437B4" w:tentative="1">
      <w:start w:val="1"/>
      <w:numFmt w:val="bullet"/>
      <w:lvlText w:val="•"/>
      <w:lvlJc w:val="left"/>
      <w:pPr>
        <w:tabs>
          <w:tab w:val="num" w:pos="5760"/>
        </w:tabs>
        <w:ind w:left="5760" w:hanging="360"/>
      </w:pPr>
      <w:rPr>
        <w:rFonts w:ascii="Arial" w:hAnsi="Arial" w:hint="default"/>
      </w:rPr>
    </w:lvl>
    <w:lvl w:ilvl="8" w:tplc="4000A59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DB48F5"/>
    <w:multiLevelType w:val="hybridMultilevel"/>
    <w:tmpl w:val="317606BE"/>
    <w:lvl w:ilvl="0" w:tplc="0A5CA6E6">
      <w:start w:val="1"/>
      <w:numFmt w:val="bullet"/>
      <w:lvlText w:val="•"/>
      <w:lvlJc w:val="left"/>
      <w:pPr>
        <w:tabs>
          <w:tab w:val="num" w:pos="720"/>
        </w:tabs>
        <w:ind w:left="720" w:hanging="360"/>
      </w:pPr>
      <w:rPr>
        <w:rFonts w:ascii="Arial" w:hAnsi="Arial" w:hint="default"/>
      </w:rPr>
    </w:lvl>
    <w:lvl w:ilvl="1" w:tplc="3D2C2946" w:tentative="1">
      <w:start w:val="1"/>
      <w:numFmt w:val="bullet"/>
      <w:lvlText w:val="•"/>
      <w:lvlJc w:val="left"/>
      <w:pPr>
        <w:tabs>
          <w:tab w:val="num" w:pos="1440"/>
        </w:tabs>
        <w:ind w:left="1440" w:hanging="360"/>
      </w:pPr>
      <w:rPr>
        <w:rFonts w:ascii="Arial" w:hAnsi="Arial" w:hint="default"/>
      </w:rPr>
    </w:lvl>
    <w:lvl w:ilvl="2" w:tplc="DE8056EC" w:tentative="1">
      <w:start w:val="1"/>
      <w:numFmt w:val="bullet"/>
      <w:lvlText w:val="•"/>
      <w:lvlJc w:val="left"/>
      <w:pPr>
        <w:tabs>
          <w:tab w:val="num" w:pos="2160"/>
        </w:tabs>
        <w:ind w:left="2160" w:hanging="360"/>
      </w:pPr>
      <w:rPr>
        <w:rFonts w:ascii="Arial" w:hAnsi="Arial" w:hint="default"/>
      </w:rPr>
    </w:lvl>
    <w:lvl w:ilvl="3" w:tplc="32427974" w:tentative="1">
      <w:start w:val="1"/>
      <w:numFmt w:val="bullet"/>
      <w:lvlText w:val="•"/>
      <w:lvlJc w:val="left"/>
      <w:pPr>
        <w:tabs>
          <w:tab w:val="num" w:pos="2880"/>
        </w:tabs>
        <w:ind w:left="2880" w:hanging="360"/>
      </w:pPr>
      <w:rPr>
        <w:rFonts w:ascii="Arial" w:hAnsi="Arial" w:hint="default"/>
      </w:rPr>
    </w:lvl>
    <w:lvl w:ilvl="4" w:tplc="E79A917E" w:tentative="1">
      <w:start w:val="1"/>
      <w:numFmt w:val="bullet"/>
      <w:lvlText w:val="•"/>
      <w:lvlJc w:val="left"/>
      <w:pPr>
        <w:tabs>
          <w:tab w:val="num" w:pos="3600"/>
        </w:tabs>
        <w:ind w:left="3600" w:hanging="360"/>
      </w:pPr>
      <w:rPr>
        <w:rFonts w:ascii="Arial" w:hAnsi="Arial" w:hint="default"/>
      </w:rPr>
    </w:lvl>
    <w:lvl w:ilvl="5" w:tplc="31EA53F6" w:tentative="1">
      <w:start w:val="1"/>
      <w:numFmt w:val="bullet"/>
      <w:lvlText w:val="•"/>
      <w:lvlJc w:val="left"/>
      <w:pPr>
        <w:tabs>
          <w:tab w:val="num" w:pos="4320"/>
        </w:tabs>
        <w:ind w:left="4320" w:hanging="360"/>
      </w:pPr>
      <w:rPr>
        <w:rFonts w:ascii="Arial" w:hAnsi="Arial" w:hint="default"/>
      </w:rPr>
    </w:lvl>
    <w:lvl w:ilvl="6" w:tplc="841A3792" w:tentative="1">
      <w:start w:val="1"/>
      <w:numFmt w:val="bullet"/>
      <w:lvlText w:val="•"/>
      <w:lvlJc w:val="left"/>
      <w:pPr>
        <w:tabs>
          <w:tab w:val="num" w:pos="5040"/>
        </w:tabs>
        <w:ind w:left="5040" w:hanging="360"/>
      </w:pPr>
      <w:rPr>
        <w:rFonts w:ascii="Arial" w:hAnsi="Arial" w:hint="default"/>
      </w:rPr>
    </w:lvl>
    <w:lvl w:ilvl="7" w:tplc="352C2FC0" w:tentative="1">
      <w:start w:val="1"/>
      <w:numFmt w:val="bullet"/>
      <w:lvlText w:val="•"/>
      <w:lvlJc w:val="left"/>
      <w:pPr>
        <w:tabs>
          <w:tab w:val="num" w:pos="5760"/>
        </w:tabs>
        <w:ind w:left="5760" w:hanging="360"/>
      </w:pPr>
      <w:rPr>
        <w:rFonts w:ascii="Arial" w:hAnsi="Arial" w:hint="default"/>
      </w:rPr>
    </w:lvl>
    <w:lvl w:ilvl="8" w:tplc="365CE75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BB766B"/>
    <w:multiLevelType w:val="hybridMultilevel"/>
    <w:tmpl w:val="50A8AD8E"/>
    <w:lvl w:ilvl="0" w:tplc="CE94BA32">
      <w:start w:val="1"/>
      <w:numFmt w:val="bullet"/>
      <w:lvlText w:val="•"/>
      <w:lvlJc w:val="left"/>
      <w:pPr>
        <w:tabs>
          <w:tab w:val="num" w:pos="720"/>
        </w:tabs>
        <w:ind w:left="720" w:hanging="360"/>
      </w:pPr>
      <w:rPr>
        <w:rFonts w:ascii="Arial" w:hAnsi="Arial" w:hint="default"/>
      </w:rPr>
    </w:lvl>
    <w:lvl w:ilvl="1" w:tplc="91340C32">
      <w:start w:val="1"/>
      <w:numFmt w:val="bullet"/>
      <w:lvlText w:val="•"/>
      <w:lvlJc w:val="left"/>
      <w:pPr>
        <w:tabs>
          <w:tab w:val="num" w:pos="1440"/>
        </w:tabs>
        <w:ind w:left="1440" w:hanging="360"/>
      </w:pPr>
      <w:rPr>
        <w:rFonts w:ascii="Arial" w:hAnsi="Arial" w:hint="default"/>
      </w:rPr>
    </w:lvl>
    <w:lvl w:ilvl="2" w:tplc="53208D02" w:tentative="1">
      <w:start w:val="1"/>
      <w:numFmt w:val="bullet"/>
      <w:lvlText w:val="•"/>
      <w:lvlJc w:val="left"/>
      <w:pPr>
        <w:tabs>
          <w:tab w:val="num" w:pos="2160"/>
        </w:tabs>
        <w:ind w:left="2160" w:hanging="360"/>
      </w:pPr>
      <w:rPr>
        <w:rFonts w:ascii="Arial" w:hAnsi="Arial" w:hint="default"/>
      </w:rPr>
    </w:lvl>
    <w:lvl w:ilvl="3" w:tplc="1520DA96" w:tentative="1">
      <w:start w:val="1"/>
      <w:numFmt w:val="bullet"/>
      <w:lvlText w:val="•"/>
      <w:lvlJc w:val="left"/>
      <w:pPr>
        <w:tabs>
          <w:tab w:val="num" w:pos="2880"/>
        </w:tabs>
        <w:ind w:left="2880" w:hanging="360"/>
      </w:pPr>
      <w:rPr>
        <w:rFonts w:ascii="Arial" w:hAnsi="Arial" w:hint="default"/>
      </w:rPr>
    </w:lvl>
    <w:lvl w:ilvl="4" w:tplc="242AE3B4" w:tentative="1">
      <w:start w:val="1"/>
      <w:numFmt w:val="bullet"/>
      <w:lvlText w:val="•"/>
      <w:lvlJc w:val="left"/>
      <w:pPr>
        <w:tabs>
          <w:tab w:val="num" w:pos="3600"/>
        </w:tabs>
        <w:ind w:left="3600" w:hanging="360"/>
      </w:pPr>
      <w:rPr>
        <w:rFonts w:ascii="Arial" w:hAnsi="Arial" w:hint="default"/>
      </w:rPr>
    </w:lvl>
    <w:lvl w:ilvl="5" w:tplc="EF1EE3E6" w:tentative="1">
      <w:start w:val="1"/>
      <w:numFmt w:val="bullet"/>
      <w:lvlText w:val="•"/>
      <w:lvlJc w:val="left"/>
      <w:pPr>
        <w:tabs>
          <w:tab w:val="num" w:pos="4320"/>
        </w:tabs>
        <w:ind w:left="4320" w:hanging="360"/>
      </w:pPr>
      <w:rPr>
        <w:rFonts w:ascii="Arial" w:hAnsi="Arial" w:hint="default"/>
      </w:rPr>
    </w:lvl>
    <w:lvl w:ilvl="6" w:tplc="B02AEB7A" w:tentative="1">
      <w:start w:val="1"/>
      <w:numFmt w:val="bullet"/>
      <w:lvlText w:val="•"/>
      <w:lvlJc w:val="left"/>
      <w:pPr>
        <w:tabs>
          <w:tab w:val="num" w:pos="5040"/>
        </w:tabs>
        <w:ind w:left="5040" w:hanging="360"/>
      </w:pPr>
      <w:rPr>
        <w:rFonts w:ascii="Arial" w:hAnsi="Arial" w:hint="default"/>
      </w:rPr>
    </w:lvl>
    <w:lvl w:ilvl="7" w:tplc="3EACA0AE" w:tentative="1">
      <w:start w:val="1"/>
      <w:numFmt w:val="bullet"/>
      <w:lvlText w:val="•"/>
      <w:lvlJc w:val="left"/>
      <w:pPr>
        <w:tabs>
          <w:tab w:val="num" w:pos="5760"/>
        </w:tabs>
        <w:ind w:left="5760" w:hanging="360"/>
      </w:pPr>
      <w:rPr>
        <w:rFonts w:ascii="Arial" w:hAnsi="Arial" w:hint="default"/>
      </w:rPr>
    </w:lvl>
    <w:lvl w:ilvl="8" w:tplc="D28A8B3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5C0C42"/>
    <w:multiLevelType w:val="hybridMultilevel"/>
    <w:tmpl w:val="DBC6C338"/>
    <w:lvl w:ilvl="0" w:tplc="CA524332">
      <w:start w:val="1"/>
      <w:numFmt w:val="bullet"/>
      <w:lvlText w:val="•"/>
      <w:lvlJc w:val="left"/>
      <w:pPr>
        <w:tabs>
          <w:tab w:val="num" w:pos="720"/>
        </w:tabs>
        <w:ind w:left="720" w:hanging="360"/>
      </w:pPr>
      <w:rPr>
        <w:rFonts w:ascii="Arial" w:hAnsi="Arial" w:hint="default"/>
      </w:rPr>
    </w:lvl>
    <w:lvl w:ilvl="1" w:tplc="31B69DB4" w:tentative="1">
      <w:start w:val="1"/>
      <w:numFmt w:val="bullet"/>
      <w:lvlText w:val="•"/>
      <w:lvlJc w:val="left"/>
      <w:pPr>
        <w:tabs>
          <w:tab w:val="num" w:pos="1440"/>
        </w:tabs>
        <w:ind w:left="1440" w:hanging="360"/>
      </w:pPr>
      <w:rPr>
        <w:rFonts w:ascii="Arial" w:hAnsi="Arial" w:hint="default"/>
      </w:rPr>
    </w:lvl>
    <w:lvl w:ilvl="2" w:tplc="78E2DC38" w:tentative="1">
      <w:start w:val="1"/>
      <w:numFmt w:val="bullet"/>
      <w:lvlText w:val="•"/>
      <w:lvlJc w:val="left"/>
      <w:pPr>
        <w:tabs>
          <w:tab w:val="num" w:pos="2160"/>
        </w:tabs>
        <w:ind w:left="2160" w:hanging="360"/>
      </w:pPr>
      <w:rPr>
        <w:rFonts w:ascii="Arial" w:hAnsi="Arial" w:hint="default"/>
      </w:rPr>
    </w:lvl>
    <w:lvl w:ilvl="3" w:tplc="F0406804" w:tentative="1">
      <w:start w:val="1"/>
      <w:numFmt w:val="bullet"/>
      <w:lvlText w:val="•"/>
      <w:lvlJc w:val="left"/>
      <w:pPr>
        <w:tabs>
          <w:tab w:val="num" w:pos="2880"/>
        </w:tabs>
        <w:ind w:left="2880" w:hanging="360"/>
      </w:pPr>
      <w:rPr>
        <w:rFonts w:ascii="Arial" w:hAnsi="Arial" w:hint="default"/>
      </w:rPr>
    </w:lvl>
    <w:lvl w:ilvl="4" w:tplc="FBFA2F8A" w:tentative="1">
      <w:start w:val="1"/>
      <w:numFmt w:val="bullet"/>
      <w:lvlText w:val="•"/>
      <w:lvlJc w:val="left"/>
      <w:pPr>
        <w:tabs>
          <w:tab w:val="num" w:pos="3600"/>
        </w:tabs>
        <w:ind w:left="3600" w:hanging="360"/>
      </w:pPr>
      <w:rPr>
        <w:rFonts w:ascii="Arial" w:hAnsi="Arial" w:hint="default"/>
      </w:rPr>
    </w:lvl>
    <w:lvl w:ilvl="5" w:tplc="46DE0506" w:tentative="1">
      <w:start w:val="1"/>
      <w:numFmt w:val="bullet"/>
      <w:lvlText w:val="•"/>
      <w:lvlJc w:val="left"/>
      <w:pPr>
        <w:tabs>
          <w:tab w:val="num" w:pos="4320"/>
        </w:tabs>
        <w:ind w:left="4320" w:hanging="360"/>
      </w:pPr>
      <w:rPr>
        <w:rFonts w:ascii="Arial" w:hAnsi="Arial" w:hint="default"/>
      </w:rPr>
    </w:lvl>
    <w:lvl w:ilvl="6" w:tplc="32D43BD8" w:tentative="1">
      <w:start w:val="1"/>
      <w:numFmt w:val="bullet"/>
      <w:lvlText w:val="•"/>
      <w:lvlJc w:val="left"/>
      <w:pPr>
        <w:tabs>
          <w:tab w:val="num" w:pos="5040"/>
        </w:tabs>
        <w:ind w:left="5040" w:hanging="360"/>
      </w:pPr>
      <w:rPr>
        <w:rFonts w:ascii="Arial" w:hAnsi="Arial" w:hint="default"/>
      </w:rPr>
    </w:lvl>
    <w:lvl w:ilvl="7" w:tplc="5374DAE0" w:tentative="1">
      <w:start w:val="1"/>
      <w:numFmt w:val="bullet"/>
      <w:lvlText w:val="•"/>
      <w:lvlJc w:val="left"/>
      <w:pPr>
        <w:tabs>
          <w:tab w:val="num" w:pos="5760"/>
        </w:tabs>
        <w:ind w:left="5760" w:hanging="360"/>
      </w:pPr>
      <w:rPr>
        <w:rFonts w:ascii="Arial" w:hAnsi="Arial" w:hint="default"/>
      </w:rPr>
    </w:lvl>
    <w:lvl w:ilvl="8" w:tplc="84A401B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257215"/>
    <w:multiLevelType w:val="hybridMultilevel"/>
    <w:tmpl w:val="B7EA39B2"/>
    <w:lvl w:ilvl="0" w:tplc="BD82C9D4">
      <w:start w:val="1"/>
      <w:numFmt w:val="bullet"/>
      <w:lvlText w:val="•"/>
      <w:lvlJc w:val="left"/>
      <w:pPr>
        <w:tabs>
          <w:tab w:val="num" w:pos="720"/>
        </w:tabs>
        <w:ind w:left="720" w:hanging="360"/>
      </w:pPr>
      <w:rPr>
        <w:rFonts w:ascii="Arial" w:hAnsi="Arial" w:hint="default"/>
      </w:rPr>
    </w:lvl>
    <w:lvl w:ilvl="1" w:tplc="48B496C4" w:tentative="1">
      <w:start w:val="1"/>
      <w:numFmt w:val="bullet"/>
      <w:lvlText w:val="•"/>
      <w:lvlJc w:val="left"/>
      <w:pPr>
        <w:tabs>
          <w:tab w:val="num" w:pos="1440"/>
        </w:tabs>
        <w:ind w:left="1440" w:hanging="360"/>
      </w:pPr>
      <w:rPr>
        <w:rFonts w:ascii="Arial" w:hAnsi="Arial" w:hint="default"/>
      </w:rPr>
    </w:lvl>
    <w:lvl w:ilvl="2" w:tplc="53E4ED7C" w:tentative="1">
      <w:start w:val="1"/>
      <w:numFmt w:val="bullet"/>
      <w:lvlText w:val="•"/>
      <w:lvlJc w:val="left"/>
      <w:pPr>
        <w:tabs>
          <w:tab w:val="num" w:pos="2160"/>
        </w:tabs>
        <w:ind w:left="2160" w:hanging="360"/>
      </w:pPr>
      <w:rPr>
        <w:rFonts w:ascii="Arial" w:hAnsi="Arial" w:hint="default"/>
      </w:rPr>
    </w:lvl>
    <w:lvl w:ilvl="3" w:tplc="3C5E71A2" w:tentative="1">
      <w:start w:val="1"/>
      <w:numFmt w:val="bullet"/>
      <w:lvlText w:val="•"/>
      <w:lvlJc w:val="left"/>
      <w:pPr>
        <w:tabs>
          <w:tab w:val="num" w:pos="2880"/>
        </w:tabs>
        <w:ind w:left="2880" w:hanging="360"/>
      </w:pPr>
      <w:rPr>
        <w:rFonts w:ascii="Arial" w:hAnsi="Arial" w:hint="default"/>
      </w:rPr>
    </w:lvl>
    <w:lvl w:ilvl="4" w:tplc="D99495A0" w:tentative="1">
      <w:start w:val="1"/>
      <w:numFmt w:val="bullet"/>
      <w:lvlText w:val="•"/>
      <w:lvlJc w:val="left"/>
      <w:pPr>
        <w:tabs>
          <w:tab w:val="num" w:pos="3600"/>
        </w:tabs>
        <w:ind w:left="3600" w:hanging="360"/>
      </w:pPr>
      <w:rPr>
        <w:rFonts w:ascii="Arial" w:hAnsi="Arial" w:hint="default"/>
      </w:rPr>
    </w:lvl>
    <w:lvl w:ilvl="5" w:tplc="B57CCE88" w:tentative="1">
      <w:start w:val="1"/>
      <w:numFmt w:val="bullet"/>
      <w:lvlText w:val="•"/>
      <w:lvlJc w:val="left"/>
      <w:pPr>
        <w:tabs>
          <w:tab w:val="num" w:pos="4320"/>
        </w:tabs>
        <w:ind w:left="4320" w:hanging="360"/>
      </w:pPr>
      <w:rPr>
        <w:rFonts w:ascii="Arial" w:hAnsi="Arial" w:hint="default"/>
      </w:rPr>
    </w:lvl>
    <w:lvl w:ilvl="6" w:tplc="C7628B84" w:tentative="1">
      <w:start w:val="1"/>
      <w:numFmt w:val="bullet"/>
      <w:lvlText w:val="•"/>
      <w:lvlJc w:val="left"/>
      <w:pPr>
        <w:tabs>
          <w:tab w:val="num" w:pos="5040"/>
        </w:tabs>
        <w:ind w:left="5040" w:hanging="360"/>
      </w:pPr>
      <w:rPr>
        <w:rFonts w:ascii="Arial" w:hAnsi="Arial" w:hint="default"/>
      </w:rPr>
    </w:lvl>
    <w:lvl w:ilvl="7" w:tplc="DAA0E1D2" w:tentative="1">
      <w:start w:val="1"/>
      <w:numFmt w:val="bullet"/>
      <w:lvlText w:val="•"/>
      <w:lvlJc w:val="left"/>
      <w:pPr>
        <w:tabs>
          <w:tab w:val="num" w:pos="5760"/>
        </w:tabs>
        <w:ind w:left="5760" w:hanging="360"/>
      </w:pPr>
      <w:rPr>
        <w:rFonts w:ascii="Arial" w:hAnsi="Arial" w:hint="default"/>
      </w:rPr>
    </w:lvl>
    <w:lvl w:ilvl="8" w:tplc="F1609A7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76653B"/>
    <w:multiLevelType w:val="hybridMultilevel"/>
    <w:tmpl w:val="9D80C932"/>
    <w:lvl w:ilvl="0" w:tplc="3A02E346">
      <w:start w:val="1"/>
      <w:numFmt w:val="bullet"/>
      <w:lvlText w:val="•"/>
      <w:lvlJc w:val="left"/>
      <w:pPr>
        <w:tabs>
          <w:tab w:val="num" w:pos="720"/>
        </w:tabs>
        <w:ind w:left="720" w:hanging="360"/>
      </w:pPr>
      <w:rPr>
        <w:rFonts w:ascii="Arial" w:hAnsi="Arial" w:hint="default"/>
      </w:rPr>
    </w:lvl>
    <w:lvl w:ilvl="1" w:tplc="84624C96" w:tentative="1">
      <w:start w:val="1"/>
      <w:numFmt w:val="bullet"/>
      <w:lvlText w:val="•"/>
      <w:lvlJc w:val="left"/>
      <w:pPr>
        <w:tabs>
          <w:tab w:val="num" w:pos="1440"/>
        </w:tabs>
        <w:ind w:left="1440" w:hanging="360"/>
      </w:pPr>
      <w:rPr>
        <w:rFonts w:ascii="Arial" w:hAnsi="Arial" w:hint="default"/>
      </w:rPr>
    </w:lvl>
    <w:lvl w:ilvl="2" w:tplc="A17CA398" w:tentative="1">
      <w:start w:val="1"/>
      <w:numFmt w:val="bullet"/>
      <w:lvlText w:val="•"/>
      <w:lvlJc w:val="left"/>
      <w:pPr>
        <w:tabs>
          <w:tab w:val="num" w:pos="2160"/>
        </w:tabs>
        <w:ind w:left="2160" w:hanging="360"/>
      </w:pPr>
      <w:rPr>
        <w:rFonts w:ascii="Arial" w:hAnsi="Arial" w:hint="default"/>
      </w:rPr>
    </w:lvl>
    <w:lvl w:ilvl="3" w:tplc="6F0EC9CC" w:tentative="1">
      <w:start w:val="1"/>
      <w:numFmt w:val="bullet"/>
      <w:lvlText w:val="•"/>
      <w:lvlJc w:val="left"/>
      <w:pPr>
        <w:tabs>
          <w:tab w:val="num" w:pos="2880"/>
        </w:tabs>
        <w:ind w:left="2880" w:hanging="360"/>
      </w:pPr>
      <w:rPr>
        <w:rFonts w:ascii="Arial" w:hAnsi="Arial" w:hint="default"/>
      </w:rPr>
    </w:lvl>
    <w:lvl w:ilvl="4" w:tplc="3204107C" w:tentative="1">
      <w:start w:val="1"/>
      <w:numFmt w:val="bullet"/>
      <w:lvlText w:val="•"/>
      <w:lvlJc w:val="left"/>
      <w:pPr>
        <w:tabs>
          <w:tab w:val="num" w:pos="3600"/>
        </w:tabs>
        <w:ind w:left="3600" w:hanging="360"/>
      </w:pPr>
      <w:rPr>
        <w:rFonts w:ascii="Arial" w:hAnsi="Arial" w:hint="default"/>
      </w:rPr>
    </w:lvl>
    <w:lvl w:ilvl="5" w:tplc="E45C539C" w:tentative="1">
      <w:start w:val="1"/>
      <w:numFmt w:val="bullet"/>
      <w:lvlText w:val="•"/>
      <w:lvlJc w:val="left"/>
      <w:pPr>
        <w:tabs>
          <w:tab w:val="num" w:pos="4320"/>
        </w:tabs>
        <w:ind w:left="4320" w:hanging="360"/>
      </w:pPr>
      <w:rPr>
        <w:rFonts w:ascii="Arial" w:hAnsi="Arial" w:hint="default"/>
      </w:rPr>
    </w:lvl>
    <w:lvl w:ilvl="6" w:tplc="E84C3ECA" w:tentative="1">
      <w:start w:val="1"/>
      <w:numFmt w:val="bullet"/>
      <w:lvlText w:val="•"/>
      <w:lvlJc w:val="left"/>
      <w:pPr>
        <w:tabs>
          <w:tab w:val="num" w:pos="5040"/>
        </w:tabs>
        <w:ind w:left="5040" w:hanging="360"/>
      </w:pPr>
      <w:rPr>
        <w:rFonts w:ascii="Arial" w:hAnsi="Arial" w:hint="default"/>
      </w:rPr>
    </w:lvl>
    <w:lvl w:ilvl="7" w:tplc="35623EA6" w:tentative="1">
      <w:start w:val="1"/>
      <w:numFmt w:val="bullet"/>
      <w:lvlText w:val="•"/>
      <w:lvlJc w:val="left"/>
      <w:pPr>
        <w:tabs>
          <w:tab w:val="num" w:pos="5760"/>
        </w:tabs>
        <w:ind w:left="5760" w:hanging="360"/>
      </w:pPr>
      <w:rPr>
        <w:rFonts w:ascii="Arial" w:hAnsi="Arial" w:hint="default"/>
      </w:rPr>
    </w:lvl>
    <w:lvl w:ilvl="8" w:tplc="D8CC9C8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B603FE"/>
    <w:multiLevelType w:val="hybridMultilevel"/>
    <w:tmpl w:val="D154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B036D6A"/>
    <w:multiLevelType w:val="hybridMultilevel"/>
    <w:tmpl w:val="8C528B8E"/>
    <w:lvl w:ilvl="0" w:tplc="4E28AFAA">
      <w:start w:val="1"/>
      <w:numFmt w:val="bullet"/>
      <w:lvlText w:val="•"/>
      <w:lvlJc w:val="left"/>
      <w:pPr>
        <w:tabs>
          <w:tab w:val="num" w:pos="720"/>
        </w:tabs>
        <w:ind w:left="720" w:hanging="360"/>
      </w:pPr>
      <w:rPr>
        <w:rFonts w:ascii="Arial" w:hAnsi="Arial" w:hint="default"/>
      </w:rPr>
    </w:lvl>
    <w:lvl w:ilvl="1" w:tplc="7A86E144" w:tentative="1">
      <w:start w:val="1"/>
      <w:numFmt w:val="bullet"/>
      <w:lvlText w:val="•"/>
      <w:lvlJc w:val="left"/>
      <w:pPr>
        <w:tabs>
          <w:tab w:val="num" w:pos="1440"/>
        </w:tabs>
        <w:ind w:left="1440" w:hanging="360"/>
      </w:pPr>
      <w:rPr>
        <w:rFonts w:ascii="Arial" w:hAnsi="Arial" w:hint="default"/>
      </w:rPr>
    </w:lvl>
    <w:lvl w:ilvl="2" w:tplc="A8902312" w:tentative="1">
      <w:start w:val="1"/>
      <w:numFmt w:val="bullet"/>
      <w:lvlText w:val="•"/>
      <w:lvlJc w:val="left"/>
      <w:pPr>
        <w:tabs>
          <w:tab w:val="num" w:pos="2160"/>
        </w:tabs>
        <w:ind w:left="2160" w:hanging="360"/>
      </w:pPr>
      <w:rPr>
        <w:rFonts w:ascii="Arial" w:hAnsi="Arial" w:hint="default"/>
      </w:rPr>
    </w:lvl>
    <w:lvl w:ilvl="3" w:tplc="F2EAA914" w:tentative="1">
      <w:start w:val="1"/>
      <w:numFmt w:val="bullet"/>
      <w:lvlText w:val="•"/>
      <w:lvlJc w:val="left"/>
      <w:pPr>
        <w:tabs>
          <w:tab w:val="num" w:pos="2880"/>
        </w:tabs>
        <w:ind w:left="2880" w:hanging="360"/>
      </w:pPr>
      <w:rPr>
        <w:rFonts w:ascii="Arial" w:hAnsi="Arial" w:hint="default"/>
      </w:rPr>
    </w:lvl>
    <w:lvl w:ilvl="4" w:tplc="F2F895D4" w:tentative="1">
      <w:start w:val="1"/>
      <w:numFmt w:val="bullet"/>
      <w:lvlText w:val="•"/>
      <w:lvlJc w:val="left"/>
      <w:pPr>
        <w:tabs>
          <w:tab w:val="num" w:pos="3600"/>
        </w:tabs>
        <w:ind w:left="3600" w:hanging="360"/>
      </w:pPr>
      <w:rPr>
        <w:rFonts w:ascii="Arial" w:hAnsi="Arial" w:hint="default"/>
      </w:rPr>
    </w:lvl>
    <w:lvl w:ilvl="5" w:tplc="4DDEC112" w:tentative="1">
      <w:start w:val="1"/>
      <w:numFmt w:val="bullet"/>
      <w:lvlText w:val="•"/>
      <w:lvlJc w:val="left"/>
      <w:pPr>
        <w:tabs>
          <w:tab w:val="num" w:pos="4320"/>
        </w:tabs>
        <w:ind w:left="4320" w:hanging="360"/>
      </w:pPr>
      <w:rPr>
        <w:rFonts w:ascii="Arial" w:hAnsi="Arial" w:hint="default"/>
      </w:rPr>
    </w:lvl>
    <w:lvl w:ilvl="6" w:tplc="8AC2BC7A" w:tentative="1">
      <w:start w:val="1"/>
      <w:numFmt w:val="bullet"/>
      <w:lvlText w:val="•"/>
      <w:lvlJc w:val="left"/>
      <w:pPr>
        <w:tabs>
          <w:tab w:val="num" w:pos="5040"/>
        </w:tabs>
        <w:ind w:left="5040" w:hanging="360"/>
      </w:pPr>
      <w:rPr>
        <w:rFonts w:ascii="Arial" w:hAnsi="Arial" w:hint="default"/>
      </w:rPr>
    </w:lvl>
    <w:lvl w:ilvl="7" w:tplc="2D1880C0" w:tentative="1">
      <w:start w:val="1"/>
      <w:numFmt w:val="bullet"/>
      <w:lvlText w:val="•"/>
      <w:lvlJc w:val="left"/>
      <w:pPr>
        <w:tabs>
          <w:tab w:val="num" w:pos="5760"/>
        </w:tabs>
        <w:ind w:left="5760" w:hanging="360"/>
      </w:pPr>
      <w:rPr>
        <w:rFonts w:ascii="Arial" w:hAnsi="Arial" w:hint="default"/>
      </w:rPr>
    </w:lvl>
    <w:lvl w:ilvl="8" w:tplc="B8900B50" w:tentative="1">
      <w:start w:val="1"/>
      <w:numFmt w:val="bullet"/>
      <w:lvlText w:val="•"/>
      <w:lvlJc w:val="left"/>
      <w:pPr>
        <w:tabs>
          <w:tab w:val="num" w:pos="6480"/>
        </w:tabs>
        <w:ind w:left="6480" w:hanging="360"/>
      </w:pPr>
      <w:rPr>
        <w:rFonts w:ascii="Arial" w:hAnsi="Arial" w:hint="default"/>
      </w:rPr>
    </w:lvl>
  </w:abstractNum>
  <w:num w:numId="1" w16cid:durableId="1469323159">
    <w:abstractNumId w:val="14"/>
  </w:num>
  <w:num w:numId="2" w16cid:durableId="1337070348">
    <w:abstractNumId w:val="1"/>
  </w:num>
  <w:num w:numId="3" w16cid:durableId="225340234">
    <w:abstractNumId w:val="0"/>
  </w:num>
  <w:num w:numId="4" w16cid:durableId="1327630897">
    <w:abstractNumId w:val="11"/>
  </w:num>
  <w:num w:numId="5" w16cid:durableId="1296250636">
    <w:abstractNumId w:val="28"/>
  </w:num>
  <w:num w:numId="6" w16cid:durableId="1706515152">
    <w:abstractNumId w:val="29"/>
  </w:num>
  <w:num w:numId="7" w16cid:durableId="224681778">
    <w:abstractNumId w:val="16"/>
  </w:num>
  <w:num w:numId="8" w16cid:durableId="525097212">
    <w:abstractNumId w:val="24"/>
  </w:num>
  <w:num w:numId="9" w16cid:durableId="580800021">
    <w:abstractNumId w:val="15"/>
  </w:num>
  <w:num w:numId="10" w16cid:durableId="1345131003">
    <w:abstractNumId w:val="3"/>
  </w:num>
  <w:num w:numId="11" w16cid:durableId="888538992">
    <w:abstractNumId w:val="17"/>
  </w:num>
  <w:num w:numId="12" w16cid:durableId="1969431065">
    <w:abstractNumId w:val="34"/>
  </w:num>
  <w:num w:numId="13" w16cid:durableId="2051371175">
    <w:abstractNumId w:val="6"/>
  </w:num>
  <w:num w:numId="14" w16cid:durableId="247885828">
    <w:abstractNumId w:val="42"/>
  </w:num>
  <w:num w:numId="15" w16cid:durableId="2083982333">
    <w:abstractNumId w:val="23"/>
  </w:num>
  <w:num w:numId="16" w16cid:durableId="447240335">
    <w:abstractNumId w:val="19"/>
  </w:num>
  <w:num w:numId="17" w16cid:durableId="1931501616">
    <w:abstractNumId w:val="25"/>
  </w:num>
  <w:num w:numId="18" w16cid:durableId="1555047180">
    <w:abstractNumId w:val="27"/>
  </w:num>
  <w:num w:numId="19" w16cid:durableId="1211454292">
    <w:abstractNumId w:val="10"/>
  </w:num>
  <w:num w:numId="20" w16cid:durableId="2035224380">
    <w:abstractNumId w:val="35"/>
  </w:num>
  <w:num w:numId="21" w16cid:durableId="428740732">
    <w:abstractNumId w:val="4"/>
  </w:num>
  <w:num w:numId="22" w16cid:durableId="1327905733">
    <w:abstractNumId w:val="38"/>
  </w:num>
  <w:num w:numId="23" w16cid:durableId="1507750844">
    <w:abstractNumId w:val="5"/>
  </w:num>
  <w:num w:numId="24" w16cid:durableId="1865442068">
    <w:abstractNumId w:val="37"/>
  </w:num>
  <w:num w:numId="25" w16cid:durableId="931400511">
    <w:abstractNumId w:val="44"/>
  </w:num>
  <w:num w:numId="26" w16cid:durableId="1271160241">
    <w:abstractNumId w:val="41"/>
  </w:num>
  <w:num w:numId="27" w16cid:durableId="92633726">
    <w:abstractNumId w:val="21"/>
  </w:num>
  <w:num w:numId="28" w16cid:durableId="521865532">
    <w:abstractNumId w:val="33"/>
  </w:num>
  <w:num w:numId="29" w16cid:durableId="191379918">
    <w:abstractNumId w:val="40"/>
  </w:num>
  <w:num w:numId="30" w16cid:durableId="568884682">
    <w:abstractNumId w:val="39"/>
  </w:num>
  <w:num w:numId="31" w16cid:durableId="1918903594">
    <w:abstractNumId w:val="13"/>
  </w:num>
  <w:num w:numId="32" w16cid:durableId="754089836">
    <w:abstractNumId w:val="9"/>
  </w:num>
  <w:num w:numId="33" w16cid:durableId="845707129">
    <w:abstractNumId w:val="7"/>
  </w:num>
  <w:num w:numId="34" w16cid:durableId="754012492">
    <w:abstractNumId w:val="20"/>
  </w:num>
  <w:num w:numId="35" w16cid:durableId="542402442">
    <w:abstractNumId w:val="36"/>
  </w:num>
  <w:num w:numId="36" w16cid:durableId="1834296742">
    <w:abstractNumId w:val="12"/>
  </w:num>
  <w:num w:numId="37" w16cid:durableId="1940483586">
    <w:abstractNumId w:val="31"/>
  </w:num>
  <w:num w:numId="38" w16cid:durableId="1822043061">
    <w:abstractNumId w:val="8"/>
  </w:num>
  <w:num w:numId="39" w16cid:durableId="1033457974">
    <w:abstractNumId w:val="30"/>
  </w:num>
  <w:num w:numId="40" w16cid:durableId="117451965">
    <w:abstractNumId w:val="2"/>
  </w:num>
  <w:num w:numId="41" w16cid:durableId="1574121426">
    <w:abstractNumId w:val="32"/>
  </w:num>
  <w:num w:numId="42" w16cid:durableId="242447531">
    <w:abstractNumId w:val="18"/>
  </w:num>
  <w:num w:numId="43" w16cid:durableId="286592762">
    <w:abstractNumId w:val="26"/>
  </w:num>
  <w:num w:numId="44" w16cid:durableId="1281186246">
    <w:abstractNumId w:val="22"/>
  </w:num>
  <w:num w:numId="45" w16cid:durableId="1255017758">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11A"/>
    <w:rsid w:val="00000B4C"/>
    <w:rsid w:val="000021C3"/>
    <w:rsid w:val="000026E4"/>
    <w:rsid w:val="00003110"/>
    <w:rsid w:val="00003481"/>
    <w:rsid w:val="00003689"/>
    <w:rsid w:val="00003848"/>
    <w:rsid w:val="00003D5F"/>
    <w:rsid w:val="000040DF"/>
    <w:rsid w:val="00004C63"/>
    <w:rsid w:val="00005BBE"/>
    <w:rsid w:val="00005BEB"/>
    <w:rsid w:val="00006874"/>
    <w:rsid w:val="00006F3F"/>
    <w:rsid w:val="00007446"/>
    <w:rsid w:val="000106D0"/>
    <w:rsid w:val="00011809"/>
    <w:rsid w:val="00011B49"/>
    <w:rsid w:val="00011F53"/>
    <w:rsid w:val="0001213D"/>
    <w:rsid w:val="00012345"/>
    <w:rsid w:val="000128C5"/>
    <w:rsid w:val="00012D71"/>
    <w:rsid w:val="0001301A"/>
    <w:rsid w:val="0001448D"/>
    <w:rsid w:val="0001641A"/>
    <w:rsid w:val="00016E34"/>
    <w:rsid w:val="00016FE1"/>
    <w:rsid w:val="00017A9B"/>
    <w:rsid w:val="00017B75"/>
    <w:rsid w:val="00017D5F"/>
    <w:rsid w:val="000201D1"/>
    <w:rsid w:val="00021811"/>
    <w:rsid w:val="00021FBC"/>
    <w:rsid w:val="0002216E"/>
    <w:rsid w:val="00022CD5"/>
    <w:rsid w:val="000243F4"/>
    <w:rsid w:val="0002480C"/>
    <w:rsid w:val="00025279"/>
    <w:rsid w:val="00025D84"/>
    <w:rsid w:val="00026BE7"/>
    <w:rsid w:val="0003105A"/>
    <w:rsid w:val="000311B1"/>
    <w:rsid w:val="0003122A"/>
    <w:rsid w:val="00031B61"/>
    <w:rsid w:val="00032715"/>
    <w:rsid w:val="00032996"/>
    <w:rsid w:val="00032F77"/>
    <w:rsid w:val="0003315C"/>
    <w:rsid w:val="00034336"/>
    <w:rsid w:val="00034667"/>
    <w:rsid w:val="00034680"/>
    <w:rsid w:val="000348FE"/>
    <w:rsid w:val="000349CB"/>
    <w:rsid w:val="00034AB1"/>
    <w:rsid w:val="00035D47"/>
    <w:rsid w:val="00037CB0"/>
    <w:rsid w:val="000404A0"/>
    <w:rsid w:val="0004119A"/>
    <w:rsid w:val="0004136C"/>
    <w:rsid w:val="000414E8"/>
    <w:rsid w:val="00041A4C"/>
    <w:rsid w:val="00041C5F"/>
    <w:rsid w:val="00042A5C"/>
    <w:rsid w:val="00042E10"/>
    <w:rsid w:val="000430BF"/>
    <w:rsid w:val="000431AB"/>
    <w:rsid w:val="00044359"/>
    <w:rsid w:val="00044C91"/>
    <w:rsid w:val="00044D6D"/>
    <w:rsid w:val="00044F42"/>
    <w:rsid w:val="00045651"/>
    <w:rsid w:val="00045749"/>
    <w:rsid w:val="00045760"/>
    <w:rsid w:val="00045FE2"/>
    <w:rsid w:val="000461AF"/>
    <w:rsid w:val="000463E6"/>
    <w:rsid w:val="00046B95"/>
    <w:rsid w:val="000470B2"/>
    <w:rsid w:val="0005038A"/>
    <w:rsid w:val="000509F4"/>
    <w:rsid w:val="00051414"/>
    <w:rsid w:val="0005183B"/>
    <w:rsid w:val="00051BC1"/>
    <w:rsid w:val="00051F16"/>
    <w:rsid w:val="00053201"/>
    <w:rsid w:val="000532A0"/>
    <w:rsid w:val="000538FE"/>
    <w:rsid w:val="00053A80"/>
    <w:rsid w:val="0005404B"/>
    <w:rsid w:val="00054B06"/>
    <w:rsid w:val="00055081"/>
    <w:rsid w:val="00055CFA"/>
    <w:rsid w:val="00055D55"/>
    <w:rsid w:val="00055DD3"/>
    <w:rsid w:val="0005637E"/>
    <w:rsid w:val="0006013B"/>
    <w:rsid w:val="000602A8"/>
    <w:rsid w:val="00060765"/>
    <w:rsid w:val="00061660"/>
    <w:rsid w:val="000624B4"/>
    <w:rsid w:val="000624C6"/>
    <w:rsid w:val="00065209"/>
    <w:rsid w:val="000661C7"/>
    <w:rsid w:val="00066802"/>
    <w:rsid w:val="000709F6"/>
    <w:rsid w:val="00070B3A"/>
    <w:rsid w:val="00070D76"/>
    <w:rsid w:val="00070DB3"/>
    <w:rsid w:val="000717BC"/>
    <w:rsid w:val="00072585"/>
    <w:rsid w:val="000726C6"/>
    <w:rsid w:val="00072CE0"/>
    <w:rsid w:val="00073495"/>
    <w:rsid w:val="00073865"/>
    <w:rsid w:val="000740A5"/>
    <w:rsid w:val="00074549"/>
    <w:rsid w:val="00074AD3"/>
    <w:rsid w:val="00074DD5"/>
    <w:rsid w:val="0007660F"/>
    <w:rsid w:val="00076E7F"/>
    <w:rsid w:val="000778F5"/>
    <w:rsid w:val="00077B92"/>
    <w:rsid w:val="00080267"/>
    <w:rsid w:val="00080CE9"/>
    <w:rsid w:val="000825DF"/>
    <w:rsid w:val="00082D47"/>
    <w:rsid w:val="00082F0B"/>
    <w:rsid w:val="00084441"/>
    <w:rsid w:val="0008539A"/>
    <w:rsid w:val="00085675"/>
    <w:rsid w:val="00085815"/>
    <w:rsid w:val="00085A34"/>
    <w:rsid w:val="00086023"/>
    <w:rsid w:val="00086147"/>
    <w:rsid w:val="0008631B"/>
    <w:rsid w:val="00086559"/>
    <w:rsid w:val="00087D38"/>
    <w:rsid w:val="0009080E"/>
    <w:rsid w:val="00091746"/>
    <w:rsid w:val="00091D78"/>
    <w:rsid w:val="000924D4"/>
    <w:rsid w:val="00092579"/>
    <w:rsid w:val="00092D4E"/>
    <w:rsid w:val="00092D81"/>
    <w:rsid w:val="0009316F"/>
    <w:rsid w:val="000937C6"/>
    <w:rsid w:val="00094AC5"/>
    <w:rsid w:val="000952D2"/>
    <w:rsid w:val="00095E20"/>
    <w:rsid w:val="00097A1F"/>
    <w:rsid w:val="000A0865"/>
    <w:rsid w:val="000A0FA0"/>
    <w:rsid w:val="000A1112"/>
    <w:rsid w:val="000A1874"/>
    <w:rsid w:val="000A40D5"/>
    <w:rsid w:val="000A4C1D"/>
    <w:rsid w:val="000A576B"/>
    <w:rsid w:val="000A5862"/>
    <w:rsid w:val="000A6BF8"/>
    <w:rsid w:val="000B0543"/>
    <w:rsid w:val="000B103A"/>
    <w:rsid w:val="000B11C7"/>
    <w:rsid w:val="000B17D3"/>
    <w:rsid w:val="000B1A83"/>
    <w:rsid w:val="000B1CC0"/>
    <w:rsid w:val="000B1DC1"/>
    <w:rsid w:val="000B2753"/>
    <w:rsid w:val="000B2941"/>
    <w:rsid w:val="000B3E7A"/>
    <w:rsid w:val="000B4842"/>
    <w:rsid w:val="000B4CFB"/>
    <w:rsid w:val="000B4FCD"/>
    <w:rsid w:val="000B54AE"/>
    <w:rsid w:val="000B554C"/>
    <w:rsid w:val="000B5C62"/>
    <w:rsid w:val="000B6EC0"/>
    <w:rsid w:val="000B7208"/>
    <w:rsid w:val="000C0DB6"/>
    <w:rsid w:val="000C0F91"/>
    <w:rsid w:val="000C2143"/>
    <w:rsid w:val="000C25C6"/>
    <w:rsid w:val="000C2716"/>
    <w:rsid w:val="000C3618"/>
    <w:rsid w:val="000C3CFE"/>
    <w:rsid w:val="000C3D0A"/>
    <w:rsid w:val="000C3DE6"/>
    <w:rsid w:val="000C4E2C"/>
    <w:rsid w:val="000C541E"/>
    <w:rsid w:val="000C667B"/>
    <w:rsid w:val="000C7B09"/>
    <w:rsid w:val="000C7DD9"/>
    <w:rsid w:val="000D0103"/>
    <w:rsid w:val="000D187D"/>
    <w:rsid w:val="000D1E39"/>
    <w:rsid w:val="000D20E4"/>
    <w:rsid w:val="000D2455"/>
    <w:rsid w:val="000D34C5"/>
    <w:rsid w:val="000D43C6"/>
    <w:rsid w:val="000D474C"/>
    <w:rsid w:val="000D505A"/>
    <w:rsid w:val="000D51C8"/>
    <w:rsid w:val="000D5C5C"/>
    <w:rsid w:val="000D5F2E"/>
    <w:rsid w:val="000D6266"/>
    <w:rsid w:val="000D6774"/>
    <w:rsid w:val="000D720B"/>
    <w:rsid w:val="000D7316"/>
    <w:rsid w:val="000E06B0"/>
    <w:rsid w:val="000E3A30"/>
    <w:rsid w:val="000E3BB9"/>
    <w:rsid w:val="000E3BDA"/>
    <w:rsid w:val="000E4363"/>
    <w:rsid w:val="000E5CFF"/>
    <w:rsid w:val="000E5ED6"/>
    <w:rsid w:val="000E5F41"/>
    <w:rsid w:val="000E5F65"/>
    <w:rsid w:val="000E6342"/>
    <w:rsid w:val="000F0728"/>
    <w:rsid w:val="000F125F"/>
    <w:rsid w:val="000F1A46"/>
    <w:rsid w:val="000F1DE9"/>
    <w:rsid w:val="000F2DDA"/>
    <w:rsid w:val="000F37E7"/>
    <w:rsid w:val="000F39D9"/>
    <w:rsid w:val="000F408E"/>
    <w:rsid w:val="000F42C7"/>
    <w:rsid w:val="000F42E1"/>
    <w:rsid w:val="000F47F6"/>
    <w:rsid w:val="000F7928"/>
    <w:rsid w:val="000F7CAB"/>
    <w:rsid w:val="001009AA"/>
    <w:rsid w:val="00101038"/>
    <w:rsid w:val="001016B4"/>
    <w:rsid w:val="001019F4"/>
    <w:rsid w:val="00101B00"/>
    <w:rsid w:val="00101B3B"/>
    <w:rsid w:val="0010266E"/>
    <w:rsid w:val="00102797"/>
    <w:rsid w:val="00103D5D"/>
    <w:rsid w:val="00104530"/>
    <w:rsid w:val="001045DD"/>
    <w:rsid w:val="00104919"/>
    <w:rsid w:val="001050EB"/>
    <w:rsid w:val="00105CFA"/>
    <w:rsid w:val="001060D4"/>
    <w:rsid w:val="00106AED"/>
    <w:rsid w:val="00106BF2"/>
    <w:rsid w:val="001070C0"/>
    <w:rsid w:val="001079BD"/>
    <w:rsid w:val="00110020"/>
    <w:rsid w:val="001103ED"/>
    <w:rsid w:val="00110AC5"/>
    <w:rsid w:val="00111031"/>
    <w:rsid w:val="00112EB6"/>
    <w:rsid w:val="001130B7"/>
    <w:rsid w:val="001136D4"/>
    <w:rsid w:val="00113FD8"/>
    <w:rsid w:val="00114D26"/>
    <w:rsid w:val="001152D3"/>
    <w:rsid w:val="00115618"/>
    <w:rsid w:val="00115814"/>
    <w:rsid w:val="00115BAD"/>
    <w:rsid w:val="00116B60"/>
    <w:rsid w:val="00116E85"/>
    <w:rsid w:val="001172B4"/>
    <w:rsid w:val="001178F3"/>
    <w:rsid w:val="00117CB8"/>
    <w:rsid w:val="00120266"/>
    <w:rsid w:val="0012048E"/>
    <w:rsid w:val="00120E3D"/>
    <w:rsid w:val="0012151E"/>
    <w:rsid w:val="00121774"/>
    <w:rsid w:val="00121AC7"/>
    <w:rsid w:val="00122BD2"/>
    <w:rsid w:val="001239C8"/>
    <w:rsid w:val="00123B75"/>
    <w:rsid w:val="00123F3D"/>
    <w:rsid w:val="00124273"/>
    <w:rsid w:val="001249C0"/>
    <w:rsid w:val="00125F2F"/>
    <w:rsid w:val="0012615D"/>
    <w:rsid w:val="001261B9"/>
    <w:rsid w:val="00126D39"/>
    <w:rsid w:val="001272C0"/>
    <w:rsid w:val="0012754E"/>
    <w:rsid w:val="00127E8F"/>
    <w:rsid w:val="0013070D"/>
    <w:rsid w:val="00130AC6"/>
    <w:rsid w:val="001311CD"/>
    <w:rsid w:val="001317FF"/>
    <w:rsid w:val="00132BB9"/>
    <w:rsid w:val="00133AA3"/>
    <w:rsid w:val="00133E5A"/>
    <w:rsid w:val="0013433F"/>
    <w:rsid w:val="0013472B"/>
    <w:rsid w:val="00134F63"/>
    <w:rsid w:val="00136440"/>
    <w:rsid w:val="00137E20"/>
    <w:rsid w:val="00140358"/>
    <w:rsid w:val="00140C8D"/>
    <w:rsid w:val="001419EC"/>
    <w:rsid w:val="00143240"/>
    <w:rsid w:val="001433D2"/>
    <w:rsid w:val="001437BE"/>
    <w:rsid w:val="00143921"/>
    <w:rsid w:val="001445C5"/>
    <w:rsid w:val="00144AD4"/>
    <w:rsid w:val="0014550B"/>
    <w:rsid w:val="001458EA"/>
    <w:rsid w:val="00145A1D"/>
    <w:rsid w:val="00146A39"/>
    <w:rsid w:val="00147586"/>
    <w:rsid w:val="00147657"/>
    <w:rsid w:val="001476A1"/>
    <w:rsid w:val="00147AA4"/>
    <w:rsid w:val="001502A4"/>
    <w:rsid w:val="001502B1"/>
    <w:rsid w:val="00151444"/>
    <w:rsid w:val="00153669"/>
    <w:rsid w:val="00154B85"/>
    <w:rsid w:val="00154DC2"/>
    <w:rsid w:val="00154ECC"/>
    <w:rsid w:val="0015614F"/>
    <w:rsid w:val="00156216"/>
    <w:rsid w:val="001566C9"/>
    <w:rsid w:val="00157155"/>
    <w:rsid w:val="001575E6"/>
    <w:rsid w:val="00157F83"/>
    <w:rsid w:val="0016022F"/>
    <w:rsid w:val="00160F2C"/>
    <w:rsid w:val="0016250A"/>
    <w:rsid w:val="00163973"/>
    <w:rsid w:val="0016436A"/>
    <w:rsid w:val="001644EE"/>
    <w:rsid w:val="001645BB"/>
    <w:rsid w:val="001646F0"/>
    <w:rsid w:val="00165035"/>
    <w:rsid w:val="00165A7B"/>
    <w:rsid w:val="00165DE7"/>
    <w:rsid w:val="00166855"/>
    <w:rsid w:val="00166AF9"/>
    <w:rsid w:val="00166E2C"/>
    <w:rsid w:val="00170166"/>
    <w:rsid w:val="00170568"/>
    <w:rsid w:val="001708AB"/>
    <w:rsid w:val="00170C07"/>
    <w:rsid w:val="001716DA"/>
    <w:rsid w:val="00171FED"/>
    <w:rsid w:val="0017243D"/>
    <w:rsid w:val="00173032"/>
    <w:rsid w:val="00173413"/>
    <w:rsid w:val="00173FF1"/>
    <w:rsid w:val="00176EFB"/>
    <w:rsid w:val="001821C5"/>
    <w:rsid w:val="001821D5"/>
    <w:rsid w:val="00182EB8"/>
    <w:rsid w:val="0018314F"/>
    <w:rsid w:val="00183382"/>
    <w:rsid w:val="00183923"/>
    <w:rsid w:val="00184814"/>
    <w:rsid w:val="001851B7"/>
    <w:rsid w:val="0018607C"/>
    <w:rsid w:val="00186B2E"/>
    <w:rsid w:val="00187146"/>
    <w:rsid w:val="00190723"/>
    <w:rsid w:val="00190DED"/>
    <w:rsid w:val="0019182A"/>
    <w:rsid w:val="0019228E"/>
    <w:rsid w:val="00192657"/>
    <w:rsid w:val="0019354A"/>
    <w:rsid w:val="00193967"/>
    <w:rsid w:val="00193C9F"/>
    <w:rsid w:val="00193CD3"/>
    <w:rsid w:val="00193E28"/>
    <w:rsid w:val="00193F00"/>
    <w:rsid w:val="001948BB"/>
    <w:rsid w:val="001948F4"/>
    <w:rsid w:val="00194F69"/>
    <w:rsid w:val="00195CA6"/>
    <w:rsid w:val="0019624F"/>
    <w:rsid w:val="001976DF"/>
    <w:rsid w:val="001A0171"/>
    <w:rsid w:val="001A0AE0"/>
    <w:rsid w:val="001A0B7F"/>
    <w:rsid w:val="001A1D91"/>
    <w:rsid w:val="001A2A9A"/>
    <w:rsid w:val="001A34C2"/>
    <w:rsid w:val="001A38D3"/>
    <w:rsid w:val="001A6761"/>
    <w:rsid w:val="001A743F"/>
    <w:rsid w:val="001A76F5"/>
    <w:rsid w:val="001B0775"/>
    <w:rsid w:val="001B16F2"/>
    <w:rsid w:val="001B1788"/>
    <w:rsid w:val="001B22D6"/>
    <w:rsid w:val="001B2783"/>
    <w:rsid w:val="001B6817"/>
    <w:rsid w:val="001B6C8D"/>
    <w:rsid w:val="001B6D4F"/>
    <w:rsid w:val="001B6E81"/>
    <w:rsid w:val="001B73D8"/>
    <w:rsid w:val="001B77D6"/>
    <w:rsid w:val="001B7DD8"/>
    <w:rsid w:val="001C0A99"/>
    <w:rsid w:val="001C13C3"/>
    <w:rsid w:val="001C17C8"/>
    <w:rsid w:val="001C1C90"/>
    <w:rsid w:val="001C1F77"/>
    <w:rsid w:val="001C2128"/>
    <w:rsid w:val="001C221F"/>
    <w:rsid w:val="001C25D5"/>
    <w:rsid w:val="001C28E1"/>
    <w:rsid w:val="001C321C"/>
    <w:rsid w:val="001C3404"/>
    <w:rsid w:val="001C476E"/>
    <w:rsid w:val="001C4903"/>
    <w:rsid w:val="001C5E59"/>
    <w:rsid w:val="001C5EBC"/>
    <w:rsid w:val="001C62E3"/>
    <w:rsid w:val="001C647F"/>
    <w:rsid w:val="001C6741"/>
    <w:rsid w:val="001C72F4"/>
    <w:rsid w:val="001C7D19"/>
    <w:rsid w:val="001D0F50"/>
    <w:rsid w:val="001D112D"/>
    <w:rsid w:val="001D153F"/>
    <w:rsid w:val="001D1AA1"/>
    <w:rsid w:val="001D1DF7"/>
    <w:rsid w:val="001D203C"/>
    <w:rsid w:val="001D2823"/>
    <w:rsid w:val="001D33C8"/>
    <w:rsid w:val="001D3744"/>
    <w:rsid w:val="001D3923"/>
    <w:rsid w:val="001D4275"/>
    <w:rsid w:val="001D4AB5"/>
    <w:rsid w:val="001D5160"/>
    <w:rsid w:val="001D5482"/>
    <w:rsid w:val="001D5677"/>
    <w:rsid w:val="001D568C"/>
    <w:rsid w:val="001D621B"/>
    <w:rsid w:val="001D6E9C"/>
    <w:rsid w:val="001D6F3C"/>
    <w:rsid w:val="001D6FFF"/>
    <w:rsid w:val="001D7795"/>
    <w:rsid w:val="001E02AB"/>
    <w:rsid w:val="001E0C19"/>
    <w:rsid w:val="001E1092"/>
    <w:rsid w:val="001E2358"/>
    <w:rsid w:val="001E25FC"/>
    <w:rsid w:val="001E27CD"/>
    <w:rsid w:val="001E4362"/>
    <w:rsid w:val="001E4BBD"/>
    <w:rsid w:val="001E5C37"/>
    <w:rsid w:val="001E5E13"/>
    <w:rsid w:val="001F170B"/>
    <w:rsid w:val="001F191E"/>
    <w:rsid w:val="001F1CB9"/>
    <w:rsid w:val="001F2226"/>
    <w:rsid w:val="001F2715"/>
    <w:rsid w:val="001F2A9A"/>
    <w:rsid w:val="001F2EA2"/>
    <w:rsid w:val="001F3143"/>
    <w:rsid w:val="001F331E"/>
    <w:rsid w:val="001F3F21"/>
    <w:rsid w:val="001F415F"/>
    <w:rsid w:val="001F4793"/>
    <w:rsid w:val="001F5652"/>
    <w:rsid w:val="001F62A8"/>
    <w:rsid w:val="001F714C"/>
    <w:rsid w:val="002001ED"/>
    <w:rsid w:val="00200F29"/>
    <w:rsid w:val="00202595"/>
    <w:rsid w:val="00202797"/>
    <w:rsid w:val="002027EA"/>
    <w:rsid w:val="00202C18"/>
    <w:rsid w:val="00203395"/>
    <w:rsid w:val="00204B97"/>
    <w:rsid w:val="002055F5"/>
    <w:rsid w:val="00205FD9"/>
    <w:rsid w:val="00206295"/>
    <w:rsid w:val="0020719C"/>
    <w:rsid w:val="002074C5"/>
    <w:rsid w:val="00207F5B"/>
    <w:rsid w:val="00210E93"/>
    <w:rsid w:val="00211329"/>
    <w:rsid w:val="002113F6"/>
    <w:rsid w:val="00211D14"/>
    <w:rsid w:val="002122E3"/>
    <w:rsid w:val="00213119"/>
    <w:rsid w:val="00213164"/>
    <w:rsid w:val="00213C54"/>
    <w:rsid w:val="00213DA6"/>
    <w:rsid w:val="002142A1"/>
    <w:rsid w:val="0021469E"/>
    <w:rsid w:val="00214E38"/>
    <w:rsid w:val="00215101"/>
    <w:rsid w:val="0021619E"/>
    <w:rsid w:val="00216302"/>
    <w:rsid w:val="00217F3B"/>
    <w:rsid w:val="00217F60"/>
    <w:rsid w:val="0022007D"/>
    <w:rsid w:val="002202DB"/>
    <w:rsid w:val="00220EAF"/>
    <w:rsid w:val="00221A1A"/>
    <w:rsid w:val="002233D9"/>
    <w:rsid w:val="002238F3"/>
    <w:rsid w:val="00223927"/>
    <w:rsid w:val="00223B36"/>
    <w:rsid w:val="00223D34"/>
    <w:rsid w:val="00224AB8"/>
    <w:rsid w:val="00224B2E"/>
    <w:rsid w:val="00224B4F"/>
    <w:rsid w:val="0022601A"/>
    <w:rsid w:val="00226447"/>
    <w:rsid w:val="00226741"/>
    <w:rsid w:val="002268C4"/>
    <w:rsid w:val="00226913"/>
    <w:rsid w:val="002271DE"/>
    <w:rsid w:val="00227500"/>
    <w:rsid w:val="0022799F"/>
    <w:rsid w:val="00227A6A"/>
    <w:rsid w:val="00227C4A"/>
    <w:rsid w:val="00227E6A"/>
    <w:rsid w:val="002303EE"/>
    <w:rsid w:val="00231AD0"/>
    <w:rsid w:val="00231EB4"/>
    <w:rsid w:val="00232013"/>
    <w:rsid w:val="002326D5"/>
    <w:rsid w:val="0023286D"/>
    <w:rsid w:val="00232CCE"/>
    <w:rsid w:val="00233B48"/>
    <w:rsid w:val="00233D0C"/>
    <w:rsid w:val="00233F8F"/>
    <w:rsid w:val="002342A7"/>
    <w:rsid w:val="0023430F"/>
    <w:rsid w:val="002345CC"/>
    <w:rsid w:val="0023483C"/>
    <w:rsid w:val="002356C8"/>
    <w:rsid w:val="00236358"/>
    <w:rsid w:val="00236D2D"/>
    <w:rsid w:val="0023704A"/>
    <w:rsid w:val="00237787"/>
    <w:rsid w:val="00237AA5"/>
    <w:rsid w:val="00240369"/>
    <w:rsid w:val="00240F41"/>
    <w:rsid w:val="0024204C"/>
    <w:rsid w:val="00243E40"/>
    <w:rsid w:val="00244385"/>
    <w:rsid w:val="0024518C"/>
    <w:rsid w:val="0024556C"/>
    <w:rsid w:val="00245A2B"/>
    <w:rsid w:val="002462A5"/>
    <w:rsid w:val="0024636F"/>
    <w:rsid w:val="00246E88"/>
    <w:rsid w:val="002500FA"/>
    <w:rsid w:val="0025035B"/>
    <w:rsid w:val="002515DD"/>
    <w:rsid w:val="002516BF"/>
    <w:rsid w:val="00251C2C"/>
    <w:rsid w:val="00252583"/>
    <w:rsid w:val="00252A90"/>
    <w:rsid w:val="00252CDC"/>
    <w:rsid w:val="00252FD6"/>
    <w:rsid w:val="0025411C"/>
    <w:rsid w:val="00254380"/>
    <w:rsid w:val="0025450C"/>
    <w:rsid w:val="00254F52"/>
    <w:rsid w:val="002550F6"/>
    <w:rsid w:val="00255BED"/>
    <w:rsid w:val="00255D49"/>
    <w:rsid w:val="0025691E"/>
    <w:rsid w:val="00256982"/>
    <w:rsid w:val="00257B9C"/>
    <w:rsid w:val="00260021"/>
    <w:rsid w:val="002612A4"/>
    <w:rsid w:val="002613DE"/>
    <w:rsid w:val="00261B0E"/>
    <w:rsid w:val="002621AC"/>
    <w:rsid w:val="00263472"/>
    <w:rsid w:val="00263D94"/>
    <w:rsid w:val="002640E8"/>
    <w:rsid w:val="00265E19"/>
    <w:rsid w:val="0026683F"/>
    <w:rsid w:val="00267038"/>
    <w:rsid w:val="00267514"/>
    <w:rsid w:val="00267659"/>
    <w:rsid w:val="00267B3B"/>
    <w:rsid w:val="00270783"/>
    <w:rsid w:val="00271072"/>
    <w:rsid w:val="002713B2"/>
    <w:rsid w:val="002716E4"/>
    <w:rsid w:val="0027192D"/>
    <w:rsid w:val="00272AF5"/>
    <w:rsid w:val="00272CEA"/>
    <w:rsid w:val="0027403B"/>
    <w:rsid w:val="002743E4"/>
    <w:rsid w:val="00274450"/>
    <w:rsid w:val="0027471A"/>
    <w:rsid w:val="002771DC"/>
    <w:rsid w:val="00277394"/>
    <w:rsid w:val="00277E72"/>
    <w:rsid w:val="002802DD"/>
    <w:rsid w:val="002803BE"/>
    <w:rsid w:val="00280A3D"/>
    <w:rsid w:val="002814DF"/>
    <w:rsid w:val="0028317B"/>
    <w:rsid w:val="002842DF"/>
    <w:rsid w:val="002852A7"/>
    <w:rsid w:val="00285BF8"/>
    <w:rsid w:val="00285F18"/>
    <w:rsid w:val="0028664E"/>
    <w:rsid w:val="002867EA"/>
    <w:rsid w:val="00287086"/>
    <w:rsid w:val="002903BD"/>
    <w:rsid w:val="00291568"/>
    <w:rsid w:val="0029210A"/>
    <w:rsid w:val="0029357B"/>
    <w:rsid w:val="00293C95"/>
    <w:rsid w:val="00294C93"/>
    <w:rsid w:val="00295823"/>
    <w:rsid w:val="00295ED7"/>
    <w:rsid w:val="0029642D"/>
    <w:rsid w:val="00296E94"/>
    <w:rsid w:val="0029719D"/>
    <w:rsid w:val="00297488"/>
    <w:rsid w:val="0029770F"/>
    <w:rsid w:val="002A0333"/>
    <w:rsid w:val="002A03A8"/>
    <w:rsid w:val="002A198B"/>
    <w:rsid w:val="002A1C92"/>
    <w:rsid w:val="002A1FEC"/>
    <w:rsid w:val="002A2515"/>
    <w:rsid w:val="002A42AE"/>
    <w:rsid w:val="002A43B5"/>
    <w:rsid w:val="002A470F"/>
    <w:rsid w:val="002A4A5E"/>
    <w:rsid w:val="002A4CE7"/>
    <w:rsid w:val="002A4D09"/>
    <w:rsid w:val="002A532D"/>
    <w:rsid w:val="002A5B19"/>
    <w:rsid w:val="002A5BB3"/>
    <w:rsid w:val="002A6202"/>
    <w:rsid w:val="002A6AB4"/>
    <w:rsid w:val="002A6D19"/>
    <w:rsid w:val="002A7006"/>
    <w:rsid w:val="002A7247"/>
    <w:rsid w:val="002A7601"/>
    <w:rsid w:val="002A793D"/>
    <w:rsid w:val="002A7A2D"/>
    <w:rsid w:val="002B06E9"/>
    <w:rsid w:val="002B0C12"/>
    <w:rsid w:val="002B1547"/>
    <w:rsid w:val="002B1EB0"/>
    <w:rsid w:val="002B24D9"/>
    <w:rsid w:val="002B24FE"/>
    <w:rsid w:val="002B34BE"/>
    <w:rsid w:val="002B3D0B"/>
    <w:rsid w:val="002B4171"/>
    <w:rsid w:val="002B4CEC"/>
    <w:rsid w:val="002B5887"/>
    <w:rsid w:val="002B58B8"/>
    <w:rsid w:val="002B5924"/>
    <w:rsid w:val="002B5D02"/>
    <w:rsid w:val="002B5DEE"/>
    <w:rsid w:val="002B6528"/>
    <w:rsid w:val="002B6DFF"/>
    <w:rsid w:val="002C0078"/>
    <w:rsid w:val="002C059C"/>
    <w:rsid w:val="002C0BD6"/>
    <w:rsid w:val="002C13CB"/>
    <w:rsid w:val="002C3DA7"/>
    <w:rsid w:val="002C41ED"/>
    <w:rsid w:val="002C4692"/>
    <w:rsid w:val="002C54E4"/>
    <w:rsid w:val="002C57A8"/>
    <w:rsid w:val="002C58FF"/>
    <w:rsid w:val="002C62F6"/>
    <w:rsid w:val="002C6F79"/>
    <w:rsid w:val="002C7B5F"/>
    <w:rsid w:val="002C7EBE"/>
    <w:rsid w:val="002D0C0C"/>
    <w:rsid w:val="002D13ED"/>
    <w:rsid w:val="002D1C62"/>
    <w:rsid w:val="002D2F27"/>
    <w:rsid w:val="002D3249"/>
    <w:rsid w:val="002D367B"/>
    <w:rsid w:val="002D3A60"/>
    <w:rsid w:val="002D52CD"/>
    <w:rsid w:val="002D5BCC"/>
    <w:rsid w:val="002D5C76"/>
    <w:rsid w:val="002D6F02"/>
    <w:rsid w:val="002D7D10"/>
    <w:rsid w:val="002E1722"/>
    <w:rsid w:val="002E1BE2"/>
    <w:rsid w:val="002E1E70"/>
    <w:rsid w:val="002E2AD9"/>
    <w:rsid w:val="002E3E2C"/>
    <w:rsid w:val="002E4A54"/>
    <w:rsid w:val="002E4EF2"/>
    <w:rsid w:val="002E53C3"/>
    <w:rsid w:val="002E6067"/>
    <w:rsid w:val="002E65C6"/>
    <w:rsid w:val="002E68B9"/>
    <w:rsid w:val="002E6B92"/>
    <w:rsid w:val="002E72F7"/>
    <w:rsid w:val="002E7D70"/>
    <w:rsid w:val="002F03EA"/>
    <w:rsid w:val="002F07A9"/>
    <w:rsid w:val="002F17CB"/>
    <w:rsid w:val="002F24C3"/>
    <w:rsid w:val="002F2573"/>
    <w:rsid w:val="002F2D03"/>
    <w:rsid w:val="002F405D"/>
    <w:rsid w:val="002F448F"/>
    <w:rsid w:val="002F4E77"/>
    <w:rsid w:val="002F4E7D"/>
    <w:rsid w:val="002F5401"/>
    <w:rsid w:val="002F5690"/>
    <w:rsid w:val="002F5810"/>
    <w:rsid w:val="002F5BE5"/>
    <w:rsid w:val="002F63B2"/>
    <w:rsid w:val="002F694D"/>
    <w:rsid w:val="002F73C7"/>
    <w:rsid w:val="002F776B"/>
    <w:rsid w:val="00300B0A"/>
    <w:rsid w:val="00300B97"/>
    <w:rsid w:val="00301F21"/>
    <w:rsid w:val="00301FEB"/>
    <w:rsid w:val="00302469"/>
    <w:rsid w:val="00302AFA"/>
    <w:rsid w:val="003030E5"/>
    <w:rsid w:val="003031A7"/>
    <w:rsid w:val="00303218"/>
    <w:rsid w:val="003049B6"/>
    <w:rsid w:val="003057EE"/>
    <w:rsid w:val="0030707A"/>
    <w:rsid w:val="0030770C"/>
    <w:rsid w:val="0031078F"/>
    <w:rsid w:val="00310BCF"/>
    <w:rsid w:val="00311638"/>
    <w:rsid w:val="00311903"/>
    <w:rsid w:val="00311FCA"/>
    <w:rsid w:val="0031238F"/>
    <w:rsid w:val="00312434"/>
    <w:rsid w:val="003127D0"/>
    <w:rsid w:val="00312A14"/>
    <w:rsid w:val="00312F7E"/>
    <w:rsid w:val="0031550E"/>
    <w:rsid w:val="00315EE9"/>
    <w:rsid w:val="00316A2A"/>
    <w:rsid w:val="00316E76"/>
    <w:rsid w:val="00317728"/>
    <w:rsid w:val="003177CE"/>
    <w:rsid w:val="00320E07"/>
    <w:rsid w:val="00320E9D"/>
    <w:rsid w:val="0032141C"/>
    <w:rsid w:val="00324B2D"/>
    <w:rsid w:val="0032636A"/>
    <w:rsid w:val="00326910"/>
    <w:rsid w:val="003277E5"/>
    <w:rsid w:val="0032782E"/>
    <w:rsid w:val="003307A0"/>
    <w:rsid w:val="0033093B"/>
    <w:rsid w:val="003309A4"/>
    <w:rsid w:val="00330E18"/>
    <w:rsid w:val="0033145F"/>
    <w:rsid w:val="00331849"/>
    <w:rsid w:val="0033197C"/>
    <w:rsid w:val="00331B9C"/>
    <w:rsid w:val="00331C9A"/>
    <w:rsid w:val="0033218C"/>
    <w:rsid w:val="0033365C"/>
    <w:rsid w:val="00334F3C"/>
    <w:rsid w:val="003354AA"/>
    <w:rsid w:val="00335C13"/>
    <w:rsid w:val="00335CCC"/>
    <w:rsid w:val="003363CE"/>
    <w:rsid w:val="003370EE"/>
    <w:rsid w:val="003377BE"/>
    <w:rsid w:val="00340744"/>
    <w:rsid w:val="00341A55"/>
    <w:rsid w:val="0034279C"/>
    <w:rsid w:val="00342D5F"/>
    <w:rsid w:val="003434D4"/>
    <w:rsid w:val="003437AD"/>
    <w:rsid w:val="0034408A"/>
    <w:rsid w:val="003451F1"/>
    <w:rsid w:val="003452D6"/>
    <w:rsid w:val="003452E3"/>
    <w:rsid w:val="00345BF7"/>
    <w:rsid w:val="003468A6"/>
    <w:rsid w:val="00347889"/>
    <w:rsid w:val="0035167E"/>
    <w:rsid w:val="00351BFB"/>
    <w:rsid w:val="00352273"/>
    <w:rsid w:val="0035235A"/>
    <w:rsid w:val="003523D8"/>
    <w:rsid w:val="0035247E"/>
    <w:rsid w:val="00353F5C"/>
    <w:rsid w:val="00354EC2"/>
    <w:rsid w:val="00354EDE"/>
    <w:rsid w:val="003550D5"/>
    <w:rsid w:val="0035531F"/>
    <w:rsid w:val="00355F57"/>
    <w:rsid w:val="00356A8D"/>
    <w:rsid w:val="003575D9"/>
    <w:rsid w:val="00357CD7"/>
    <w:rsid w:val="00360261"/>
    <w:rsid w:val="003605A4"/>
    <w:rsid w:val="003635FB"/>
    <w:rsid w:val="00363ADD"/>
    <w:rsid w:val="003640B6"/>
    <w:rsid w:val="00364A55"/>
    <w:rsid w:val="00365C0B"/>
    <w:rsid w:val="00365F3F"/>
    <w:rsid w:val="00366312"/>
    <w:rsid w:val="00366728"/>
    <w:rsid w:val="0036694A"/>
    <w:rsid w:val="00366B9C"/>
    <w:rsid w:val="0036739F"/>
    <w:rsid w:val="00367E77"/>
    <w:rsid w:val="00370270"/>
    <w:rsid w:val="00370441"/>
    <w:rsid w:val="003707BD"/>
    <w:rsid w:val="00370DAC"/>
    <w:rsid w:val="003710C3"/>
    <w:rsid w:val="0037124B"/>
    <w:rsid w:val="00371F1D"/>
    <w:rsid w:val="00371FC4"/>
    <w:rsid w:val="00372ABB"/>
    <w:rsid w:val="0037438A"/>
    <w:rsid w:val="00375DC7"/>
    <w:rsid w:val="00376359"/>
    <w:rsid w:val="00376572"/>
    <w:rsid w:val="00377BA2"/>
    <w:rsid w:val="0038052C"/>
    <w:rsid w:val="00380635"/>
    <w:rsid w:val="003806EA"/>
    <w:rsid w:val="00382536"/>
    <w:rsid w:val="00382E63"/>
    <w:rsid w:val="00383C95"/>
    <w:rsid w:val="00383D5D"/>
    <w:rsid w:val="00383F5A"/>
    <w:rsid w:val="003848F9"/>
    <w:rsid w:val="00384FBD"/>
    <w:rsid w:val="003856C6"/>
    <w:rsid w:val="003859C3"/>
    <w:rsid w:val="00387676"/>
    <w:rsid w:val="0039104D"/>
    <w:rsid w:val="003911B2"/>
    <w:rsid w:val="00391264"/>
    <w:rsid w:val="00391737"/>
    <w:rsid w:val="00391D29"/>
    <w:rsid w:val="00392604"/>
    <w:rsid w:val="00392D0E"/>
    <w:rsid w:val="003938AA"/>
    <w:rsid w:val="00393957"/>
    <w:rsid w:val="00394B5F"/>
    <w:rsid w:val="00395BBD"/>
    <w:rsid w:val="00395E41"/>
    <w:rsid w:val="0039623A"/>
    <w:rsid w:val="00396978"/>
    <w:rsid w:val="00397220"/>
    <w:rsid w:val="0039778B"/>
    <w:rsid w:val="003979E9"/>
    <w:rsid w:val="003A012C"/>
    <w:rsid w:val="003A052F"/>
    <w:rsid w:val="003A11E5"/>
    <w:rsid w:val="003A45EA"/>
    <w:rsid w:val="003A4744"/>
    <w:rsid w:val="003A48B7"/>
    <w:rsid w:val="003A6732"/>
    <w:rsid w:val="003A6B6B"/>
    <w:rsid w:val="003A78B7"/>
    <w:rsid w:val="003A7E23"/>
    <w:rsid w:val="003A7E6F"/>
    <w:rsid w:val="003B0A38"/>
    <w:rsid w:val="003B0D6E"/>
    <w:rsid w:val="003B1829"/>
    <w:rsid w:val="003B19A1"/>
    <w:rsid w:val="003B1A9F"/>
    <w:rsid w:val="003B2886"/>
    <w:rsid w:val="003B2B7F"/>
    <w:rsid w:val="003B30C6"/>
    <w:rsid w:val="003B35F8"/>
    <w:rsid w:val="003B38B2"/>
    <w:rsid w:val="003B3BC5"/>
    <w:rsid w:val="003B3E2F"/>
    <w:rsid w:val="003B3F2F"/>
    <w:rsid w:val="003B3F79"/>
    <w:rsid w:val="003B44A7"/>
    <w:rsid w:val="003B487F"/>
    <w:rsid w:val="003B4894"/>
    <w:rsid w:val="003B4D72"/>
    <w:rsid w:val="003B5A35"/>
    <w:rsid w:val="003B6DAF"/>
    <w:rsid w:val="003B7654"/>
    <w:rsid w:val="003B7A11"/>
    <w:rsid w:val="003C033C"/>
    <w:rsid w:val="003C03DC"/>
    <w:rsid w:val="003C0614"/>
    <w:rsid w:val="003C1C0F"/>
    <w:rsid w:val="003C2865"/>
    <w:rsid w:val="003C3296"/>
    <w:rsid w:val="003C3351"/>
    <w:rsid w:val="003C402B"/>
    <w:rsid w:val="003C421C"/>
    <w:rsid w:val="003C43D4"/>
    <w:rsid w:val="003C4664"/>
    <w:rsid w:val="003C5450"/>
    <w:rsid w:val="003C6E45"/>
    <w:rsid w:val="003C7A01"/>
    <w:rsid w:val="003C7E81"/>
    <w:rsid w:val="003D08E9"/>
    <w:rsid w:val="003D0DFB"/>
    <w:rsid w:val="003D10C9"/>
    <w:rsid w:val="003D151E"/>
    <w:rsid w:val="003D1960"/>
    <w:rsid w:val="003D2646"/>
    <w:rsid w:val="003D2B1B"/>
    <w:rsid w:val="003D30FF"/>
    <w:rsid w:val="003D3D7E"/>
    <w:rsid w:val="003D3E8C"/>
    <w:rsid w:val="003D4C43"/>
    <w:rsid w:val="003D57AB"/>
    <w:rsid w:val="003D6DE0"/>
    <w:rsid w:val="003D7ED7"/>
    <w:rsid w:val="003E0361"/>
    <w:rsid w:val="003E0706"/>
    <w:rsid w:val="003E09CB"/>
    <w:rsid w:val="003E1871"/>
    <w:rsid w:val="003E1B96"/>
    <w:rsid w:val="003E1CBA"/>
    <w:rsid w:val="003E22B5"/>
    <w:rsid w:val="003E2869"/>
    <w:rsid w:val="003E2CAB"/>
    <w:rsid w:val="003E318D"/>
    <w:rsid w:val="003E3722"/>
    <w:rsid w:val="003E3BE2"/>
    <w:rsid w:val="003E46A2"/>
    <w:rsid w:val="003E55B8"/>
    <w:rsid w:val="003E6464"/>
    <w:rsid w:val="003E6778"/>
    <w:rsid w:val="003E6CDD"/>
    <w:rsid w:val="003E7C1C"/>
    <w:rsid w:val="003F09BF"/>
    <w:rsid w:val="003F0E73"/>
    <w:rsid w:val="003F0F32"/>
    <w:rsid w:val="003F11A0"/>
    <w:rsid w:val="003F1806"/>
    <w:rsid w:val="003F1831"/>
    <w:rsid w:val="003F1979"/>
    <w:rsid w:val="003F1C43"/>
    <w:rsid w:val="003F2173"/>
    <w:rsid w:val="003F24CD"/>
    <w:rsid w:val="003F473E"/>
    <w:rsid w:val="003F4C11"/>
    <w:rsid w:val="003F5ED4"/>
    <w:rsid w:val="003F632A"/>
    <w:rsid w:val="003F6882"/>
    <w:rsid w:val="003F77D7"/>
    <w:rsid w:val="003F7811"/>
    <w:rsid w:val="003F7F5E"/>
    <w:rsid w:val="0040022E"/>
    <w:rsid w:val="00400928"/>
    <w:rsid w:val="00400BB6"/>
    <w:rsid w:val="00400DBF"/>
    <w:rsid w:val="004014D6"/>
    <w:rsid w:val="00401579"/>
    <w:rsid w:val="004019D7"/>
    <w:rsid w:val="00402973"/>
    <w:rsid w:val="00402EDA"/>
    <w:rsid w:val="00404DD3"/>
    <w:rsid w:val="00406EDF"/>
    <w:rsid w:val="00407168"/>
    <w:rsid w:val="00407678"/>
    <w:rsid w:val="00410285"/>
    <w:rsid w:val="00410E6B"/>
    <w:rsid w:val="00410FFC"/>
    <w:rsid w:val="0041254E"/>
    <w:rsid w:val="0041304A"/>
    <w:rsid w:val="00413C8F"/>
    <w:rsid w:val="0041454E"/>
    <w:rsid w:val="00417315"/>
    <w:rsid w:val="0041794A"/>
    <w:rsid w:val="004209A3"/>
    <w:rsid w:val="0042143E"/>
    <w:rsid w:val="00422417"/>
    <w:rsid w:val="004224C5"/>
    <w:rsid w:val="004227ED"/>
    <w:rsid w:val="00423642"/>
    <w:rsid w:val="004237DA"/>
    <w:rsid w:val="0042383C"/>
    <w:rsid w:val="00424E53"/>
    <w:rsid w:val="0042588A"/>
    <w:rsid w:val="004262D3"/>
    <w:rsid w:val="00426744"/>
    <w:rsid w:val="004269D5"/>
    <w:rsid w:val="00426D34"/>
    <w:rsid w:val="00426DEE"/>
    <w:rsid w:val="00427863"/>
    <w:rsid w:val="0043027A"/>
    <w:rsid w:val="004302F4"/>
    <w:rsid w:val="00430FC2"/>
    <w:rsid w:val="0043178C"/>
    <w:rsid w:val="004318C8"/>
    <w:rsid w:val="00431967"/>
    <w:rsid w:val="00432367"/>
    <w:rsid w:val="00432472"/>
    <w:rsid w:val="0043386F"/>
    <w:rsid w:val="0043431E"/>
    <w:rsid w:val="00434487"/>
    <w:rsid w:val="00434EED"/>
    <w:rsid w:val="00435863"/>
    <w:rsid w:val="0043658A"/>
    <w:rsid w:val="004368DC"/>
    <w:rsid w:val="00437A22"/>
    <w:rsid w:val="00440454"/>
    <w:rsid w:val="00441A4F"/>
    <w:rsid w:val="004426E2"/>
    <w:rsid w:val="004447E0"/>
    <w:rsid w:val="004450B6"/>
    <w:rsid w:val="00445122"/>
    <w:rsid w:val="00445BCE"/>
    <w:rsid w:val="00446413"/>
    <w:rsid w:val="0044665B"/>
    <w:rsid w:val="004512C8"/>
    <w:rsid w:val="004512DF"/>
    <w:rsid w:val="00451FD4"/>
    <w:rsid w:val="00452192"/>
    <w:rsid w:val="00452540"/>
    <w:rsid w:val="00452730"/>
    <w:rsid w:val="004535EE"/>
    <w:rsid w:val="0045410E"/>
    <w:rsid w:val="004549C3"/>
    <w:rsid w:val="004549D6"/>
    <w:rsid w:val="00454F25"/>
    <w:rsid w:val="00454F99"/>
    <w:rsid w:val="004559D4"/>
    <w:rsid w:val="00455ACD"/>
    <w:rsid w:val="004575E2"/>
    <w:rsid w:val="004602D4"/>
    <w:rsid w:val="00460C2F"/>
    <w:rsid w:val="004613EE"/>
    <w:rsid w:val="004627B8"/>
    <w:rsid w:val="00462FD1"/>
    <w:rsid w:val="004631F9"/>
    <w:rsid w:val="0046356A"/>
    <w:rsid w:val="0046390C"/>
    <w:rsid w:val="00463B60"/>
    <w:rsid w:val="0046411C"/>
    <w:rsid w:val="00464E76"/>
    <w:rsid w:val="00464FB6"/>
    <w:rsid w:val="004666EE"/>
    <w:rsid w:val="0046673C"/>
    <w:rsid w:val="004679B6"/>
    <w:rsid w:val="00467EA9"/>
    <w:rsid w:val="00467F49"/>
    <w:rsid w:val="0046BB3D"/>
    <w:rsid w:val="004703E9"/>
    <w:rsid w:val="004710B8"/>
    <w:rsid w:val="0047168D"/>
    <w:rsid w:val="00471994"/>
    <w:rsid w:val="00472543"/>
    <w:rsid w:val="0047283C"/>
    <w:rsid w:val="00472ADC"/>
    <w:rsid w:val="00472D62"/>
    <w:rsid w:val="004731BD"/>
    <w:rsid w:val="0047356B"/>
    <w:rsid w:val="00473826"/>
    <w:rsid w:val="00473B4A"/>
    <w:rsid w:val="00473EDF"/>
    <w:rsid w:val="004740F3"/>
    <w:rsid w:val="00475250"/>
    <w:rsid w:val="00475B1A"/>
    <w:rsid w:val="00476A08"/>
    <w:rsid w:val="00476B23"/>
    <w:rsid w:val="00476B77"/>
    <w:rsid w:val="00477228"/>
    <w:rsid w:val="00477C51"/>
    <w:rsid w:val="00480065"/>
    <w:rsid w:val="00480F77"/>
    <w:rsid w:val="004815A9"/>
    <w:rsid w:val="004821AB"/>
    <w:rsid w:val="004825A9"/>
    <w:rsid w:val="00482690"/>
    <w:rsid w:val="00482F5C"/>
    <w:rsid w:val="004836FE"/>
    <w:rsid w:val="00483E8C"/>
    <w:rsid w:val="0048403B"/>
    <w:rsid w:val="00485933"/>
    <w:rsid w:val="00486A1E"/>
    <w:rsid w:val="00487F48"/>
    <w:rsid w:val="004904F9"/>
    <w:rsid w:val="00491107"/>
    <w:rsid w:val="00491343"/>
    <w:rsid w:val="00491C1B"/>
    <w:rsid w:val="00492216"/>
    <w:rsid w:val="00494222"/>
    <w:rsid w:val="004950D8"/>
    <w:rsid w:val="00495863"/>
    <w:rsid w:val="00495AFA"/>
    <w:rsid w:val="00495B46"/>
    <w:rsid w:val="00496594"/>
    <w:rsid w:val="00496E9B"/>
    <w:rsid w:val="00496EC8"/>
    <w:rsid w:val="00496ECE"/>
    <w:rsid w:val="004A0368"/>
    <w:rsid w:val="004A0374"/>
    <w:rsid w:val="004A0A0B"/>
    <w:rsid w:val="004A19A0"/>
    <w:rsid w:val="004A2AC0"/>
    <w:rsid w:val="004A2FB7"/>
    <w:rsid w:val="004A41C4"/>
    <w:rsid w:val="004A46E2"/>
    <w:rsid w:val="004A4EDF"/>
    <w:rsid w:val="004A4FC6"/>
    <w:rsid w:val="004A5383"/>
    <w:rsid w:val="004A5497"/>
    <w:rsid w:val="004A5934"/>
    <w:rsid w:val="004A5A89"/>
    <w:rsid w:val="004A68BA"/>
    <w:rsid w:val="004A6B07"/>
    <w:rsid w:val="004A6C1D"/>
    <w:rsid w:val="004A6FB1"/>
    <w:rsid w:val="004A7275"/>
    <w:rsid w:val="004A75BB"/>
    <w:rsid w:val="004A7C02"/>
    <w:rsid w:val="004B1232"/>
    <w:rsid w:val="004B134C"/>
    <w:rsid w:val="004B16F2"/>
    <w:rsid w:val="004B1D7D"/>
    <w:rsid w:val="004B1FCC"/>
    <w:rsid w:val="004B21A4"/>
    <w:rsid w:val="004B239D"/>
    <w:rsid w:val="004B23C2"/>
    <w:rsid w:val="004B310D"/>
    <w:rsid w:val="004B3AFF"/>
    <w:rsid w:val="004B462C"/>
    <w:rsid w:val="004B48AE"/>
    <w:rsid w:val="004B4D40"/>
    <w:rsid w:val="004B52CA"/>
    <w:rsid w:val="004B5A16"/>
    <w:rsid w:val="004B5A96"/>
    <w:rsid w:val="004B5ACD"/>
    <w:rsid w:val="004B6461"/>
    <w:rsid w:val="004B6630"/>
    <w:rsid w:val="004B7540"/>
    <w:rsid w:val="004B7B83"/>
    <w:rsid w:val="004C0F58"/>
    <w:rsid w:val="004C1206"/>
    <w:rsid w:val="004C124D"/>
    <w:rsid w:val="004C1C1F"/>
    <w:rsid w:val="004C1EEA"/>
    <w:rsid w:val="004C256B"/>
    <w:rsid w:val="004C2A3F"/>
    <w:rsid w:val="004C38B0"/>
    <w:rsid w:val="004C3D4A"/>
    <w:rsid w:val="004C41A0"/>
    <w:rsid w:val="004C4212"/>
    <w:rsid w:val="004C4500"/>
    <w:rsid w:val="004C451C"/>
    <w:rsid w:val="004C53B7"/>
    <w:rsid w:val="004C5A0B"/>
    <w:rsid w:val="004C71AB"/>
    <w:rsid w:val="004C777F"/>
    <w:rsid w:val="004D019C"/>
    <w:rsid w:val="004D067E"/>
    <w:rsid w:val="004D0CD3"/>
    <w:rsid w:val="004D15AC"/>
    <w:rsid w:val="004D1839"/>
    <w:rsid w:val="004D18D3"/>
    <w:rsid w:val="004D1D39"/>
    <w:rsid w:val="004D1FAC"/>
    <w:rsid w:val="004D2261"/>
    <w:rsid w:val="004D3330"/>
    <w:rsid w:val="004D3BF4"/>
    <w:rsid w:val="004D4703"/>
    <w:rsid w:val="004D47B1"/>
    <w:rsid w:val="004D4AE7"/>
    <w:rsid w:val="004D50BB"/>
    <w:rsid w:val="004D5AC2"/>
    <w:rsid w:val="004D6309"/>
    <w:rsid w:val="004D7EB5"/>
    <w:rsid w:val="004E027F"/>
    <w:rsid w:val="004E13B1"/>
    <w:rsid w:val="004E182E"/>
    <w:rsid w:val="004E1D6B"/>
    <w:rsid w:val="004E21EA"/>
    <w:rsid w:val="004E2E32"/>
    <w:rsid w:val="004E3825"/>
    <w:rsid w:val="004E51B0"/>
    <w:rsid w:val="004E5545"/>
    <w:rsid w:val="004E5601"/>
    <w:rsid w:val="004E6BC8"/>
    <w:rsid w:val="004E7E51"/>
    <w:rsid w:val="004F00D3"/>
    <w:rsid w:val="004F0829"/>
    <w:rsid w:val="004F0A05"/>
    <w:rsid w:val="004F0C2A"/>
    <w:rsid w:val="004F1B42"/>
    <w:rsid w:val="004F2F3C"/>
    <w:rsid w:val="004F3033"/>
    <w:rsid w:val="004F307C"/>
    <w:rsid w:val="004F40C7"/>
    <w:rsid w:val="004F456A"/>
    <w:rsid w:val="004F4823"/>
    <w:rsid w:val="004F4CA6"/>
    <w:rsid w:val="004F501D"/>
    <w:rsid w:val="004F58C4"/>
    <w:rsid w:val="004F5D02"/>
    <w:rsid w:val="004F5FC1"/>
    <w:rsid w:val="004F60DC"/>
    <w:rsid w:val="004F6CF2"/>
    <w:rsid w:val="004F6F21"/>
    <w:rsid w:val="004F7B76"/>
    <w:rsid w:val="005001B2"/>
    <w:rsid w:val="00500565"/>
    <w:rsid w:val="00500BDE"/>
    <w:rsid w:val="00501293"/>
    <w:rsid w:val="00501E98"/>
    <w:rsid w:val="00502329"/>
    <w:rsid w:val="00502831"/>
    <w:rsid w:val="00502CBB"/>
    <w:rsid w:val="005039B9"/>
    <w:rsid w:val="00506663"/>
    <w:rsid w:val="0050678F"/>
    <w:rsid w:val="005076C5"/>
    <w:rsid w:val="005100F2"/>
    <w:rsid w:val="00510519"/>
    <w:rsid w:val="00510B71"/>
    <w:rsid w:val="00511672"/>
    <w:rsid w:val="00513222"/>
    <w:rsid w:val="0051325B"/>
    <w:rsid w:val="0051438C"/>
    <w:rsid w:val="00514819"/>
    <w:rsid w:val="00514E46"/>
    <w:rsid w:val="00514E95"/>
    <w:rsid w:val="0051652E"/>
    <w:rsid w:val="00516A87"/>
    <w:rsid w:val="00516DCF"/>
    <w:rsid w:val="00516E34"/>
    <w:rsid w:val="00516E62"/>
    <w:rsid w:val="0051798B"/>
    <w:rsid w:val="00517C2A"/>
    <w:rsid w:val="005203DF"/>
    <w:rsid w:val="00520E9B"/>
    <w:rsid w:val="00521120"/>
    <w:rsid w:val="00521480"/>
    <w:rsid w:val="00521ACF"/>
    <w:rsid w:val="00522008"/>
    <w:rsid w:val="0052308C"/>
    <w:rsid w:val="00525CB3"/>
    <w:rsid w:val="005271CB"/>
    <w:rsid w:val="00527724"/>
    <w:rsid w:val="005278C8"/>
    <w:rsid w:val="005279A8"/>
    <w:rsid w:val="00530812"/>
    <w:rsid w:val="005314D9"/>
    <w:rsid w:val="005319B9"/>
    <w:rsid w:val="005325C1"/>
    <w:rsid w:val="00533E65"/>
    <w:rsid w:val="0053409B"/>
    <w:rsid w:val="00534136"/>
    <w:rsid w:val="00534273"/>
    <w:rsid w:val="00534B71"/>
    <w:rsid w:val="00536E8A"/>
    <w:rsid w:val="00540433"/>
    <w:rsid w:val="00540AE5"/>
    <w:rsid w:val="00540C00"/>
    <w:rsid w:val="0054109B"/>
    <w:rsid w:val="00542185"/>
    <w:rsid w:val="00542311"/>
    <w:rsid w:val="00542D0C"/>
    <w:rsid w:val="00542EB4"/>
    <w:rsid w:val="00542F13"/>
    <w:rsid w:val="00543524"/>
    <w:rsid w:val="00544621"/>
    <w:rsid w:val="005448BD"/>
    <w:rsid w:val="00544EDB"/>
    <w:rsid w:val="00544FD7"/>
    <w:rsid w:val="00545355"/>
    <w:rsid w:val="005458B6"/>
    <w:rsid w:val="005473F0"/>
    <w:rsid w:val="0055032B"/>
    <w:rsid w:val="00550848"/>
    <w:rsid w:val="005509CD"/>
    <w:rsid w:val="00550A58"/>
    <w:rsid w:val="00551920"/>
    <w:rsid w:val="00551E7F"/>
    <w:rsid w:val="0055200E"/>
    <w:rsid w:val="00552550"/>
    <w:rsid w:val="00552651"/>
    <w:rsid w:val="00553826"/>
    <w:rsid w:val="00553A7D"/>
    <w:rsid w:val="00553AAF"/>
    <w:rsid w:val="00554329"/>
    <w:rsid w:val="005547B3"/>
    <w:rsid w:val="005552B6"/>
    <w:rsid w:val="00555AB4"/>
    <w:rsid w:val="005560ED"/>
    <w:rsid w:val="00556FC7"/>
    <w:rsid w:val="00557D47"/>
    <w:rsid w:val="00560FBB"/>
    <w:rsid w:val="00561E6A"/>
    <w:rsid w:val="00561F58"/>
    <w:rsid w:val="00562032"/>
    <w:rsid w:val="005625AC"/>
    <w:rsid w:val="005634A9"/>
    <w:rsid w:val="0056390C"/>
    <w:rsid w:val="00563FB6"/>
    <w:rsid w:val="00564828"/>
    <w:rsid w:val="00565134"/>
    <w:rsid w:val="00565C49"/>
    <w:rsid w:val="0056681E"/>
    <w:rsid w:val="005669FC"/>
    <w:rsid w:val="005726C6"/>
    <w:rsid w:val="0057292F"/>
    <w:rsid w:val="00572AA9"/>
    <w:rsid w:val="005736D2"/>
    <w:rsid w:val="00573CAE"/>
    <w:rsid w:val="00573DA6"/>
    <w:rsid w:val="0057411D"/>
    <w:rsid w:val="0057428C"/>
    <w:rsid w:val="0057439F"/>
    <w:rsid w:val="00574489"/>
    <w:rsid w:val="0057492F"/>
    <w:rsid w:val="00574C1F"/>
    <w:rsid w:val="00574FE4"/>
    <w:rsid w:val="00575019"/>
    <w:rsid w:val="00575824"/>
    <w:rsid w:val="00575DDA"/>
    <w:rsid w:val="00575E30"/>
    <w:rsid w:val="005762D6"/>
    <w:rsid w:val="0057703D"/>
    <w:rsid w:val="005771B2"/>
    <w:rsid w:val="0057768B"/>
    <w:rsid w:val="005778E4"/>
    <w:rsid w:val="00580823"/>
    <w:rsid w:val="00580AA1"/>
    <w:rsid w:val="00580DC0"/>
    <w:rsid w:val="00581012"/>
    <w:rsid w:val="00581CFB"/>
    <w:rsid w:val="005825BA"/>
    <w:rsid w:val="00583FE1"/>
    <w:rsid w:val="00584578"/>
    <w:rsid w:val="00585542"/>
    <w:rsid w:val="00585C7D"/>
    <w:rsid w:val="00586505"/>
    <w:rsid w:val="005869DD"/>
    <w:rsid w:val="00587344"/>
    <w:rsid w:val="00587361"/>
    <w:rsid w:val="0058764E"/>
    <w:rsid w:val="00587BFC"/>
    <w:rsid w:val="005902D0"/>
    <w:rsid w:val="00590907"/>
    <w:rsid w:val="00591B32"/>
    <w:rsid w:val="005934A2"/>
    <w:rsid w:val="00593A54"/>
    <w:rsid w:val="00593CD6"/>
    <w:rsid w:val="0059424E"/>
    <w:rsid w:val="00594F29"/>
    <w:rsid w:val="00594F84"/>
    <w:rsid w:val="00595906"/>
    <w:rsid w:val="00595E11"/>
    <w:rsid w:val="005967C0"/>
    <w:rsid w:val="00596A6B"/>
    <w:rsid w:val="00596CBC"/>
    <w:rsid w:val="00596D20"/>
    <w:rsid w:val="00597796"/>
    <w:rsid w:val="005A0A84"/>
    <w:rsid w:val="005A0D8F"/>
    <w:rsid w:val="005A0D9E"/>
    <w:rsid w:val="005A0F00"/>
    <w:rsid w:val="005A23D9"/>
    <w:rsid w:val="005A2DCE"/>
    <w:rsid w:val="005A3A14"/>
    <w:rsid w:val="005A418D"/>
    <w:rsid w:val="005A60DC"/>
    <w:rsid w:val="005A7F54"/>
    <w:rsid w:val="005B1023"/>
    <w:rsid w:val="005B11F9"/>
    <w:rsid w:val="005B17C1"/>
    <w:rsid w:val="005B242A"/>
    <w:rsid w:val="005B2A89"/>
    <w:rsid w:val="005B3097"/>
    <w:rsid w:val="005B35C9"/>
    <w:rsid w:val="005B3D40"/>
    <w:rsid w:val="005B3F00"/>
    <w:rsid w:val="005B418B"/>
    <w:rsid w:val="005B4D8D"/>
    <w:rsid w:val="005B7248"/>
    <w:rsid w:val="005B75C1"/>
    <w:rsid w:val="005B7907"/>
    <w:rsid w:val="005B7FA6"/>
    <w:rsid w:val="005B7FEA"/>
    <w:rsid w:val="005C1EEF"/>
    <w:rsid w:val="005C22C3"/>
    <w:rsid w:val="005C2957"/>
    <w:rsid w:val="005C3004"/>
    <w:rsid w:val="005C328A"/>
    <w:rsid w:val="005C368E"/>
    <w:rsid w:val="005C3C5D"/>
    <w:rsid w:val="005C3E1D"/>
    <w:rsid w:val="005C4C53"/>
    <w:rsid w:val="005C5508"/>
    <w:rsid w:val="005C6928"/>
    <w:rsid w:val="005C6B3D"/>
    <w:rsid w:val="005C6B44"/>
    <w:rsid w:val="005C6C77"/>
    <w:rsid w:val="005D0230"/>
    <w:rsid w:val="005D06E3"/>
    <w:rsid w:val="005D0D61"/>
    <w:rsid w:val="005D3078"/>
    <w:rsid w:val="005D31E0"/>
    <w:rsid w:val="005D3964"/>
    <w:rsid w:val="005D4772"/>
    <w:rsid w:val="005D47B8"/>
    <w:rsid w:val="005D5260"/>
    <w:rsid w:val="005D5489"/>
    <w:rsid w:val="005D5924"/>
    <w:rsid w:val="005D5EB4"/>
    <w:rsid w:val="005D60AA"/>
    <w:rsid w:val="005D6302"/>
    <w:rsid w:val="005D696D"/>
    <w:rsid w:val="005D78C4"/>
    <w:rsid w:val="005D7AF6"/>
    <w:rsid w:val="005D7FBF"/>
    <w:rsid w:val="005E070C"/>
    <w:rsid w:val="005E0821"/>
    <w:rsid w:val="005E0831"/>
    <w:rsid w:val="005E16F4"/>
    <w:rsid w:val="005E1BD8"/>
    <w:rsid w:val="005E1C9C"/>
    <w:rsid w:val="005E4ADC"/>
    <w:rsid w:val="005E56E9"/>
    <w:rsid w:val="005E57D4"/>
    <w:rsid w:val="005E62F6"/>
    <w:rsid w:val="005E694F"/>
    <w:rsid w:val="005E7CE8"/>
    <w:rsid w:val="005E7F3B"/>
    <w:rsid w:val="005F04B8"/>
    <w:rsid w:val="005F0D61"/>
    <w:rsid w:val="005F0F87"/>
    <w:rsid w:val="005F161C"/>
    <w:rsid w:val="005F184A"/>
    <w:rsid w:val="005F230C"/>
    <w:rsid w:val="005F26A7"/>
    <w:rsid w:val="005F3C84"/>
    <w:rsid w:val="005F4F85"/>
    <w:rsid w:val="005F7B8F"/>
    <w:rsid w:val="0060024E"/>
    <w:rsid w:val="00601449"/>
    <w:rsid w:val="00602468"/>
    <w:rsid w:val="006027FE"/>
    <w:rsid w:val="006034BE"/>
    <w:rsid w:val="006037FA"/>
    <w:rsid w:val="00603E16"/>
    <w:rsid w:val="00604B06"/>
    <w:rsid w:val="00605615"/>
    <w:rsid w:val="006062C9"/>
    <w:rsid w:val="00606313"/>
    <w:rsid w:val="00606807"/>
    <w:rsid w:val="0060731A"/>
    <w:rsid w:val="00607476"/>
    <w:rsid w:val="00610005"/>
    <w:rsid w:val="00610925"/>
    <w:rsid w:val="00610B72"/>
    <w:rsid w:val="00611D3F"/>
    <w:rsid w:val="00611D93"/>
    <w:rsid w:val="00613A77"/>
    <w:rsid w:val="006140D4"/>
    <w:rsid w:val="00614C8D"/>
    <w:rsid w:val="0061504C"/>
    <w:rsid w:val="00615483"/>
    <w:rsid w:val="00615BB8"/>
    <w:rsid w:val="00615C69"/>
    <w:rsid w:val="00616269"/>
    <w:rsid w:val="00617A11"/>
    <w:rsid w:val="00617A78"/>
    <w:rsid w:val="006205F0"/>
    <w:rsid w:val="00620A36"/>
    <w:rsid w:val="006225A0"/>
    <w:rsid w:val="0062283B"/>
    <w:rsid w:val="006236AD"/>
    <w:rsid w:val="00623C21"/>
    <w:rsid w:val="00625BC7"/>
    <w:rsid w:val="006262A6"/>
    <w:rsid w:val="00627D23"/>
    <w:rsid w:val="00627F0E"/>
    <w:rsid w:val="0063008D"/>
    <w:rsid w:val="006302D9"/>
    <w:rsid w:val="00630467"/>
    <w:rsid w:val="00631D73"/>
    <w:rsid w:val="00631F8E"/>
    <w:rsid w:val="006320EC"/>
    <w:rsid w:val="00632543"/>
    <w:rsid w:val="00632858"/>
    <w:rsid w:val="00632BCB"/>
    <w:rsid w:val="00634045"/>
    <w:rsid w:val="00634652"/>
    <w:rsid w:val="0063492F"/>
    <w:rsid w:val="00635490"/>
    <w:rsid w:val="00635524"/>
    <w:rsid w:val="006368DA"/>
    <w:rsid w:val="006371DD"/>
    <w:rsid w:val="00637B84"/>
    <w:rsid w:val="00637EDD"/>
    <w:rsid w:val="00640116"/>
    <w:rsid w:val="00641F4A"/>
    <w:rsid w:val="006424B7"/>
    <w:rsid w:val="00642C66"/>
    <w:rsid w:val="00642CD3"/>
    <w:rsid w:val="00643DA6"/>
    <w:rsid w:val="00644437"/>
    <w:rsid w:val="0064482B"/>
    <w:rsid w:val="0064647D"/>
    <w:rsid w:val="00646951"/>
    <w:rsid w:val="006471E4"/>
    <w:rsid w:val="00650588"/>
    <w:rsid w:val="00650613"/>
    <w:rsid w:val="0065173E"/>
    <w:rsid w:val="00651F12"/>
    <w:rsid w:val="006522EB"/>
    <w:rsid w:val="00652863"/>
    <w:rsid w:val="006533D2"/>
    <w:rsid w:val="00653430"/>
    <w:rsid w:val="00654C00"/>
    <w:rsid w:val="00654CB4"/>
    <w:rsid w:val="00655563"/>
    <w:rsid w:val="00655D2A"/>
    <w:rsid w:val="00655DF6"/>
    <w:rsid w:val="00657A3C"/>
    <w:rsid w:val="00657F6F"/>
    <w:rsid w:val="006604E1"/>
    <w:rsid w:val="0066057A"/>
    <w:rsid w:val="00660924"/>
    <w:rsid w:val="00660B01"/>
    <w:rsid w:val="006616A2"/>
    <w:rsid w:val="00661A12"/>
    <w:rsid w:val="006625A4"/>
    <w:rsid w:val="006636E5"/>
    <w:rsid w:val="0066400B"/>
    <w:rsid w:val="0066466D"/>
    <w:rsid w:val="00665D63"/>
    <w:rsid w:val="006704E7"/>
    <w:rsid w:val="00670A17"/>
    <w:rsid w:val="00672C78"/>
    <w:rsid w:val="00673397"/>
    <w:rsid w:val="006738A3"/>
    <w:rsid w:val="00673DC3"/>
    <w:rsid w:val="0067420E"/>
    <w:rsid w:val="00674327"/>
    <w:rsid w:val="00674E85"/>
    <w:rsid w:val="00675A6F"/>
    <w:rsid w:val="0067684E"/>
    <w:rsid w:val="00676F3B"/>
    <w:rsid w:val="00677430"/>
    <w:rsid w:val="0067759B"/>
    <w:rsid w:val="00677ADB"/>
    <w:rsid w:val="00677CE5"/>
    <w:rsid w:val="00677D76"/>
    <w:rsid w:val="00682F42"/>
    <w:rsid w:val="0068414E"/>
    <w:rsid w:val="00685399"/>
    <w:rsid w:val="00685BAA"/>
    <w:rsid w:val="00690111"/>
    <w:rsid w:val="00690192"/>
    <w:rsid w:val="00690780"/>
    <w:rsid w:val="00690A10"/>
    <w:rsid w:val="00690DF9"/>
    <w:rsid w:val="006910F1"/>
    <w:rsid w:val="0069139C"/>
    <w:rsid w:val="00691603"/>
    <w:rsid w:val="00691C17"/>
    <w:rsid w:val="00691C30"/>
    <w:rsid w:val="00691CC4"/>
    <w:rsid w:val="00692166"/>
    <w:rsid w:val="006930EC"/>
    <w:rsid w:val="00693766"/>
    <w:rsid w:val="00693CC0"/>
    <w:rsid w:val="00693E0A"/>
    <w:rsid w:val="00694CE6"/>
    <w:rsid w:val="00695806"/>
    <w:rsid w:val="00695A89"/>
    <w:rsid w:val="0069718E"/>
    <w:rsid w:val="00697874"/>
    <w:rsid w:val="00697A2A"/>
    <w:rsid w:val="006A0C52"/>
    <w:rsid w:val="006A0D9A"/>
    <w:rsid w:val="006A0E03"/>
    <w:rsid w:val="006A0E5A"/>
    <w:rsid w:val="006A112C"/>
    <w:rsid w:val="006A193B"/>
    <w:rsid w:val="006A193D"/>
    <w:rsid w:val="006A2DD5"/>
    <w:rsid w:val="006A3784"/>
    <w:rsid w:val="006A3F78"/>
    <w:rsid w:val="006A5670"/>
    <w:rsid w:val="006A5C29"/>
    <w:rsid w:val="006A5F9A"/>
    <w:rsid w:val="006A66A9"/>
    <w:rsid w:val="006A75AB"/>
    <w:rsid w:val="006A7687"/>
    <w:rsid w:val="006A79B0"/>
    <w:rsid w:val="006B0575"/>
    <w:rsid w:val="006B06BC"/>
    <w:rsid w:val="006B11EA"/>
    <w:rsid w:val="006B19BD"/>
    <w:rsid w:val="006B21E4"/>
    <w:rsid w:val="006B24B4"/>
    <w:rsid w:val="006B2AEB"/>
    <w:rsid w:val="006B360A"/>
    <w:rsid w:val="006B3A5B"/>
    <w:rsid w:val="006B4F4D"/>
    <w:rsid w:val="006B581E"/>
    <w:rsid w:val="006B62FB"/>
    <w:rsid w:val="006B632C"/>
    <w:rsid w:val="006B6DBC"/>
    <w:rsid w:val="006B6E2A"/>
    <w:rsid w:val="006B742D"/>
    <w:rsid w:val="006B7BA1"/>
    <w:rsid w:val="006C04F9"/>
    <w:rsid w:val="006C05DF"/>
    <w:rsid w:val="006C0BE1"/>
    <w:rsid w:val="006C2E45"/>
    <w:rsid w:val="006C5D83"/>
    <w:rsid w:val="006C6BCA"/>
    <w:rsid w:val="006C7436"/>
    <w:rsid w:val="006C78DD"/>
    <w:rsid w:val="006C7D58"/>
    <w:rsid w:val="006C7DE2"/>
    <w:rsid w:val="006D031F"/>
    <w:rsid w:val="006D0FCD"/>
    <w:rsid w:val="006D1090"/>
    <w:rsid w:val="006D1930"/>
    <w:rsid w:val="006D1E2D"/>
    <w:rsid w:val="006D20AD"/>
    <w:rsid w:val="006D2239"/>
    <w:rsid w:val="006D28AA"/>
    <w:rsid w:val="006D2B66"/>
    <w:rsid w:val="006D3218"/>
    <w:rsid w:val="006D374D"/>
    <w:rsid w:val="006D375E"/>
    <w:rsid w:val="006D4FE7"/>
    <w:rsid w:val="006D5674"/>
    <w:rsid w:val="006D5BCD"/>
    <w:rsid w:val="006D5D3C"/>
    <w:rsid w:val="006D64D1"/>
    <w:rsid w:val="006D64E9"/>
    <w:rsid w:val="006D6EC2"/>
    <w:rsid w:val="006D7E96"/>
    <w:rsid w:val="006D7EAF"/>
    <w:rsid w:val="006E07BC"/>
    <w:rsid w:val="006E0E41"/>
    <w:rsid w:val="006E137C"/>
    <w:rsid w:val="006E3784"/>
    <w:rsid w:val="006E4934"/>
    <w:rsid w:val="006E4DC4"/>
    <w:rsid w:val="006E4FCD"/>
    <w:rsid w:val="006E5F7E"/>
    <w:rsid w:val="006E6048"/>
    <w:rsid w:val="006E697E"/>
    <w:rsid w:val="006E6D8D"/>
    <w:rsid w:val="006E71F2"/>
    <w:rsid w:val="006E76FB"/>
    <w:rsid w:val="006E7AE8"/>
    <w:rsid w:val="006E7BBC"/>
    <w:rsid w:val="006E7F7C"/>
    <w:rsid w:val="006E7FFA"/>
    <w:rsid w:val="006F01AA"/>
    <w:rsid w:val="006F3E11"/>
    <w:rsid w:val="006F4504"/>
    <w:rsid w:val="006F497B"/>
    <w:rsid w:val="006F4FB6"/>
    <w:rsid w:val="006F5F24"/>
    <w:rsid w:val="006F6BF4"/>
    <w:rsid w:val="006F735C"/>
    <w:rsid w:val="00702154"/>
    <w:rsid w:val="007034E4"/>
    <w:rsid w:val="0070485F"/>
    <w:rsid w:val="0070491C"/>
    <w:rsid w:val="00704A18"/>
    <w:rsid w:val="007054D5"/>
    <w:rsid w:val="007054E5"/>
    <w:rsid w:val="00705548"/>
    <w:rsid w:val="007056C7"/>
    <w:rsid w:val="00705A25"/>
    <w:rsid w:val="0070608D"/>
    <w:rsid w:val="00706096"/>
    <w:rsid w:val="007060C5"/>
    <w:rsid w:val="00707584"/>
    <w:rsid w:val="00707F98"/>
    <w:rsid w:val="007102B9"/>
    <w:rsid w:val="00710563"/>
    <w:rsid w:val="00710685"/>
    <w:rsid w:val="00712A21"/>
    <w:rsid w:val="0071349C"/>
    <w:rsid w:val="00713EC2"/>
    <w:rsid w:val="00714282"/>
    <w:rsid w:val="0071441C"/>
    <w:rsid w:val="0071540B"/>
    <w:rsid w:val="00715ECC"/>
    <w:rsid w:val="007164C4"/>
    <w:rsid w:val="00716E9D"/>
    <w:rsid w:val="00717D69"/>
    <w:rsid w:val="007202A1"/>
    <w:rsid w:val="0072104D"/>
    <w:rsid w:val="0072241C"/>
    <w:rsid w:val="0072349A"/>
    <w:rsid w:val="007246C1"/>
    <w:rsid w:val="00724EEF"/>
    <w:rsid w:val="00725021"/>
    <w:rsid w:val="00725964"/>
    <w:rsid w:val="007263A6"/>
    <w:rsid w:val="007267E4"/>
    <w:rsid w:val="00726927"/>
    <w:rsid w:val="00727270"/>
    <w:rsid w:val="0072772E"/>
    <w:rsid w:val="00727743"/>
    <w:rsid w:val="00727CF6"/>
    <w:rsid w:val="00731212"/>
    <w:rsid w:val="0073153D"/>
    <w:rsid w:val="00731590"/>
    <w:rsid w:val="007317CD"/>
    <w:rsid w:val="00731DEB"/>
    <w:rsid w:val="00732651"/>
    <w:rsid w:val="0073288B"/>
    <w:rsid w:val="00733030"/>
    <w:rsid w:val="0073350E"/>
    <w:rsid w:val="00734CF6"/>
    <w:rsid w:val="007351CD"/>
    <w:rsid w:val="007353C7"/>
    <w:rsid w:val="00735799"/>
    <w:rsid w:val="00735A48"/>
    <w:rsid w:val="00736844"/>
    <w:rsid w:val="0073710D"/>
    <w:rsid w:val="00740E00"/>
    <w:rsid w:val="0074139A"/>
    <w:rsid w:val="007416B5"/>
    <w:rsid w:val="00741BA8"/>
    <w:rsid w:val="00742264"/>
    <w:rsid w:val="007425AB"/>
    <w:rsid w:val="00742B03"/>
    <w:rsid w:val="00744334"/>
    <w:rsid w:val="007457CC"/>
    <w:rsid w:val="00746109"/>
    <w:rsid w:val="0074619D"/>
    <w:rsid w:val="00747103"/>
    <w:rsid w:val="00747BDA"/>
    <w:rsid w:val="00750D99"/>
    <w:rsid w:val="00750F19"/>
    <w:rsid w:val="00751F77"/>
    <w:rsid w:val="00752286"/>
    <w:rsid w:val="007528D1"/>
    <w:rsid w:val="0075336B"/>
    <w:rsid w:val="00753634"/>
    <w:rsid w:val="0075368A"/>
    <w:rsid w:val="00753BFB"/>
    <w:rsid w:val="00753C60"/>
    <w:rsid w:val="00757A21"/>
    <w:rsid w:val="00757AE7"/>
    <w:rsid w:val="00757B48"/>
    <w:rsid w:val="007601BA"/>
    <w:rsid w:val="0076056D"/>
    <w:rsid w:val="00760BBF"/>
    <w:rsid w:val="007632A3"/>
    <w:rsid w:val="00763B39"/>
    <w:rsid w:val="00764453"/>
    <w:rsid w:val="00764CBE"/>
    <w:rsid w:val="00766546"/>
    <w:rsid w:val="00766E87"/>
    <w:rsid w:val="00767772"/>
    <w:rsid w:val="00767F22"/>
    <w:rsid w:val="0077065C"/>
    <w:rsid w:val="00770CA6"/>
    <w:rsid w:val="007711F0"/>
    <w:rsid w:val="00771C6D"/>
    <w:rsid w:val="007724CF"/>
    <w:rsid w:val="007726CD"/>
    <w:rsid w:val="007728CC"/>
    <w:rsid w:val="00772F87"/>
    <w:rsid w:val="00773163"/>
    <w:rsid w:val="00773A84"/>
    <w:rsid w:val="00774337"/>
    <w:rsid w:val="00774933"/>
    <w:rsid w:val="00775426"/>
    <w:rsid w:val="00775BE8"/>
    <w:rsid w:val="00775E71"/>
    <w:rsid w:val="007765A1"/>
    <w:rsid w:val="007766EE"/>
    <w:rsid w:val="00776FA3"/>
    <w:rsid w:val="00777271"/>
    <w:rsid w:val="007773BD"/>
    <w:rsid w:val="00777D18"/>
    <w:rsid w:val="00780D82"/>
    <w:rsid w:val="0078113F"/>
    <w:rsid w:val="0078140D"/>
    <w:rsid w:val="00781CC7"/>
    <w:rsid w:val="00783117"/>
    <w:rsid w:val="00783562"/>
    <w:rsid w:val="00783F00"/>
    <w:rsid w:val="007851D2"/>
    <w:rsid w:val="007856FB"/>
    <w:rsid w:val="0078658E"/>
    <w:rsid w:val="007871E3"/>
    <w:rsid w:val="0078778E"/>
    <w:rsid w:val="007909BE"/>
    <w:rsid w:val="00790C5D"/>
    <w:rsid w:val="00790E10"/>
    <w:rsid w:val="00791B3A"/>
    <w:rsid w:val="0079235D"/>
    <w:rsid w:val="00792874"/>
    <w:rsid w:val="00792C44"/>
    <w:rsid w:val="007938D1"/>
    <w:rsid w:val="00793DB0"/>
    <w:rsid w:val="00794967"/>
    <w:rsid w:val="00794D9A"/>
    <w:rsid w:val="00794FBF"/>
    <w:rsid w:val="00795117"/>
    <w:rsid w:val="00795DF2"/>
    <w:rsid w:val="00796F3E"/>
    <w:rsid w:val="007974DA"/>
    <w:rsid w:val="007979C4"/>
    <w:rsid w:val="00797A92"/>
    <w:rsid w:val="007A0ACB"/>
    <w:rsid w:val="007A0D9E"/>
    <w:rsid w:val="007A1E92"/>
    <w:rsid w:val="007A1F8A"/>
    <w:rsid w:val="007A20B9"/>
    <w:rsid w:val="007A3470"/>
    <w:rsid w:val="007A3860"/>
    <w:rsid w:val="007A3C7E"/>
    <w:rsid w:val="007A3F98"/>
    <w:rsid w:val="007A68DE"/>
    <w:rsid w:val="007B05B1"/>
    <w:rsid w:val="007B191E"/>
    <w:rsid w:val="007B1AB2"/>
    <w:rsid w:val="007B201A"/>
    <w:rsid w:val="007B2511"/>
    <w:rsid w:val="007B254E"/>
    <w:rsid w:val="007B2C66"/>
    <w:rsid w:val="007B33B5"/>
    <w:rsid w:val="007B36E6"/>
    <w:rsid w:val="007B41B6"/>
    <w:rsid w:val="007B45B7"/>
    <w:rsid w:val="007B5395"/>
    <w:rsid w:val="007B53F7"/>
    <w:rsid w:val="007B5951"/>
    <w:rsid w:val="007B5A7B"/>
    <w:rsid w:val="007B5F05"/>
    <w:rsid w:val="007B6703"/>
    <w:rsid w:val="007B67E0"/>
    <w:rsid w:val="007B7527"/>
    <w:rsid w:val="007B78AD"/>
    <w:rsid w:val="007C01F0"/>
    <w:rsid w:val="007C0FA4"/>
    <w:rsid w:val="007C108B"/>
    <w:rsid w:val="007C10BC"/>
    <w:rsid w:val="007C134F"/>
    <w:rsid w:val="007C1D41"/>
    <w:rsid w:val="007C2143"/>
    <w:rsid w:val="007C223F"/>
    <w:rsid w:val="007C3B86"/>
    <w:rsid w:val="007C43A4"/>
    <w:rsid w:val="007C472E"/>
    <w:rsid w:val="007C4BAD"/>
    <w:rsid w:val="007C5A83"/>
    <w:rsid w:val="007C6180"/>
    <w:rsid w:val="007C6781"/>
    <w:rsid w:val="007C6798"/>
    <w:rsid w:val="007C6BE1"/>
    <w:rsid w:val="007C6DCF"/>
    <w:rsid w:val="007C763D"/>
    <w:rsid w:val="007D00BB"/>
    <w:rsid w:val="007D0357"/>
    <w:rsid w:val="007D0590"/>
    <w:rsid w:val="007D0F27"/>
    <w:rsid w:val="007D1530"/>
    <w:rsid w:val="007D346B"/>
    <w:rsid w:val="007D364D"/>
    <w:rsid w:val="007D370E"/>
    <w:rsid w:val="007D4314"/>
    <w:rsid w:val="007D56E0"/>
    <w:rsid w:val="007D5BF2"/>
    <w:rsid w:val="007D5D51"/>
    <w:rsid w:val="007D5F66"/>
    <w:rsid w:val="007D70CF"/>
    <w:rsid w:val="007D7A78"/>
    <w:rsid w:val="007D7B2B"/>
    <w:rsid w:val="007D7CE7"/>
    <w:rsid w:val="007D7FFC"/>
    <w:rsid w:val="007E04E4"/>
    <w:rsid w:val="007E096E"/>
    <w:rsid w:val="007E0DBD"/>
    <w:rsid w:val="007E2035"/>
    <w:rsid w:val="007E35B7"/>
    <w:rsid w:val="007E5ADC"/>
    <w:rsid w:val="007E6C63"/>
    <w:rsid w:val="007E6E63"/>
    <w:rsid w:val="007E7548"/>
    <w:rsid w:val="007E7981"/>
    <w:rsid w:val="007E7B0F"/>
    <w:rsid w:val="007F0201"/>
    <w:rsid w:val="007F0FD5"/>
    <w:rsid w:val="007F16F7"/>
    <w:rsid w:val="007F1A8F"/>
    <w:rsid w:val="007F297D"/>
    <w:rsid w:val="007F35E1"/>
    <w:rsid w:val="007F3ACD"/>
    <w:rsid w:val="007F3DB2"/>
    <w:rsid w:val="007F562C"/>
    <w:rsid w:val="007F59D9"/>
    <w:rsid w:val="007F5A8A"/>
    <w:rsid w:val="007F74CE"/>
    <w:rsid w:val="007FDABF"/>
    <w:rsid w:val="0080068D"/>
    <w:rsid w:val="00800863"/>
    <w:rsid w:val="0080133F"/>
    <w:rsid w:val="0080152A"/>
    <w:rsid w:val="008016B4"/>
    <w:rsid w:val="008018D1"/>
    <w:rsid w:val="0080223F"/>
    <w:rsid w:val="00802863"/>
    <w:rsid w:val="0080323E"/>
    <w:rsid w:val="00804251"/>
    <w:rsid w:val="0080498F"/>
    <w:rsid w:val="00806132"/>
    <w:rsid w:val="00806C3B"/>
    <w:rsid w:val="0080725B"/>
    <w:rsid w:val="00807F0E"/>
    <w:rsid w:val="008101AE"/>
    <w:rsid w:val="008101E7"/>
    <w:rsid w:val="0081054A"/>
    <w:rsid w:val="0081061C"/>
    <w:rsid w:val="00810B0F"/>
    <w:rsid w:val="00810CE5"/>
    <w:rsid w:val="00811133"/>
    <w:rsid w:val="0081189C"/>
    <w:rsid w:val="00811CA3"/>
    <w:rsid w:val="00811DB1"/>
    <w:rsid w:val="00812552"/>
    <w:rsid w:val="00812EBB"/>
    <w:rsid w:val="00812F46"/>
    <w:rsid w:val="008132A3"/>
    <w:rsid w:val="00813D10"/>
    <w:rsid w:val="0081498F"/>
    <w:rsid w:val="00815527"/>
    <w:rsid w:val="00815B96"/>
    <w:rsid w:val="00815BED"/>
    <w:rsid w:val="00816075"/>
    <w:rsid w:val="0081673A"/>
    <w:rsid w:val="00817E14"/>
    <w:rsid w:val="00820793"/>
    <w:rsid w:val="00820A02"/>
    <w:rsid w:val="00820BF4"/>
    <w:rsid w:val="0082134C"/>
    <w:rsid w:val="00821799"/>
    <w:rsid w:val="00821D4F"/>
    <w:rsid w:val="00821D5F"/>
    <w:rsid w:val="008221A8"/>
    <w:rsid w:val="00822657"/>
    <w:rsid w:val="008231D4"/>
    <w:rsid w:val="008232BD"/>
    <w:rsid w:val="00824FAC"/>
    <w:rsid w:val="00825B5C"/>
    <w:rsid w:val="00825D47"/>
    <w:rsid w:val="008266ED"/>
    <w:rsid w:val="00826B13"/>
    <w:rsid w:val="00826BCB"/>
    <w:rsid w:val="00826CA1"/>
    <w:rsid w:val="00826D99"/>
    <w:rsid w:val="0082747A"/>
    <w:rsid w:val="00830048"/>
    <w:rsid w:val="008319D9"/>
    <w:rsid w:val="008322A1"/>
    <w:rsid w:val="008327C9"/>
    <w:rsid w:val="00832CAF"/>
    <w:rsid w:val="00833D3C"/>
    <w:rsid w:val="008347AA"/>
    <w:rsid w:val="008347CD"/>
    <w:rsid w:val="00834B77"/>
    <w:rsid w:val="00834BD3"/>
    <w:rsid w:val="00835672"/>
    <w:rsid w:val="00835F45"/>
    <w:rsid w:val="008368C0"/>
    <w:rsid w:val="008370CE"/>
    <w:rsid w:val="0083715E"/>
    <w:rsid w:val="00840182"/>
    <w:rsid w:val="008407D4"/>
    <w:rsid w:val="00841771"/>
    <w:rsid w:val="008427C4"/>
    <w:rsid w:val="00842C7B"/>
    <w:rsid w:val="00843E2D"/>
    <w:rsid w:val="0084485B"/>
    <w:rsid w:val="00844C2F"/>
    <w:rsid w:val="00845B95"/>
    <w:rsid w:val="00845C44"/>
    <w:rsid w:val="00845E17"/>
    <w:rsid w:val="00846695"/>
    <w:rsid w:val="00846814"/>
    <w:rsid w:val="0084700C"/>
    <w:rsid w:val="008478BB"/>
    <w:rsid w:val="00851793"/>
    <w:rsid w:val="00851E9A"/>
    <w:rsid w:val="00852168"/>
    <w:rsid w:val="008524F0"/>
    <w:rsid w:val="00852E0D"/>
    <w:rsid w:val="00853307"/>
    <w:rsid w:val="00853427"/>
    <w:rsid w:val="008540A7"/>
    <w:rsid w:val="008545F6"/>
    <w:rsid w:val="008547D2"/>
    <w:rsid w:val="00854E91"/>
    <w:rsid w:val="00854EB0"/>
    <w:rsid w:val="00854F64"/>
    <w:rsid w:val="0085526D"/>
    <w:rsid w:val="00855477"/>
    <w:rsid w:val="00855782"/>
    <w:rsid w:val="0085625A"/>
    <w:rsid w:val="00856CB2"/>
    <w:rsid w:val="008574C4"/>
    <w:rsid w:val="008574EC"/>
    <w:rsid w:val="00857B13"/>
    <w:rsid w:val="00860654"/>
    <w:rsid w:val="00861375"/>
    <w:rsid w:val="00861388"/>
    <w:rsid w:val="00862529"/>
    <w:rsid w:val="00862D41"/>
    <w:rsid w:val="00862D8B"/>
    <w:rsid w:val="008630DC"/>
    <w:rsid w:val="00863BC3"/>
    <w:rsid w:val="00863DC3"/>
    <w:rsid w:val="00863E94"/>
    <w:rsid w:val="008647F9"/>
    <w:rsid w:val="008657DA"/>
    <w:rsid w:val="00865A56"/>
    <w:rsid w:val="008702BA"/>
    <w:rsid w:val="0087124E"/>
    <w:rsid w:val="00871726"/>
    <w:rsid w:val="0087173A"/>
    <w:rsid w:val="00871FB8"/>
    <w:rsid w:val="00872653"/>
    <w:rsid w:val="00872ABD"/>
    <w:rsid w:val="00873264"/>
    <w:rsid w:val="00875942"/>
    <w:rsid w:val="0087676F"/>
    <w:rsid w:val="0087782C"/>
    <w:rsid w:val="0088065D"/>
    <w:rsid w:val="0088088C"/>
    <w:rsid w:val="00881DAB"/>
    <w:rsid w:val="00882F73"/>
    <w:rsid w:val="00882FCF"/>
    <w:rsid w:val="00883D73"/>
    <w:rsid w:val="008840FA"/>
    <w:rsid w:val="00885AFC"/>
    <w:rsid w:val="00887C29"/>
    <w:rsid w:val="008906AC"/>
    <w:rsid w:val="00890F2B"/>
    <w:rsid w:val="008913B5"/>
    <w:rsid w:val="00891EBD"/>
    <w:rsid w:val="00891F08"/>
    <w:rsid w:val="0089226E"/>
    <w:rsid w:val="008924E4"/>
    <w:rsid w:val="0089426A"/>
    <w:rsid w:val="00894339"/>
    <w:rsid w:val="0089496E"/>
    <w:rsid w:val="008961E3"/>
    <w:rsid w:val="008A19B7"/>
    <w:rsid w:val="008A1D39"/>
    <w:rsid w:val="008A22C3"/>
    <w:rsid w:val="008A24BF"/>
    <w:rsid w:val="008A292A"/>
    <w:rsid w:val="008A2C87"/>
    <w:rsid w:val="008A336C"/>
    <w:rsid w:val="008A38B1"/>
    <w:rsid w:val="008A3D3F"/>
    <w:rsid w:val="008A3D99"/>
    <w:rsid w:val="008A46C5"/>
    <w:rsid w:val="008A494C"/>
    <w:rsid w:val="008A5002"/>
    <w:rsid w:val="008A5432"/>
    <w:rsid w:val="008A6145"/>
    <w:rsid w:val="008B1108"/>
    <w:rsid w:val="008B11A3"/>
    <w:rsid w:val="008B1396"/>
    <w:rsid w:val="008B20CD"/>
    <w:rsid w:val="008B2228"/>
    <w:rsid w:val="008B2560"/>
    <w:rsid w:val="008B343B"/>
    <w:rsid w:val="008B4403"/>
    <w:rsid w:val="008B5169"/>
    <w:rsid w:val="008B54B1"/>
    <w:rsid w:val="008B5520"/>
    <w:rsid w:val="008B633F"/>
    <w:rsid w:val="008B63EE"/>
    <w:rsid w:val="008B6EB5"/>
    <w:rsid w:val="008B7672"/>
    <w:rsid w:val="008C1181"/>
    <w:rsid w:val="008C11EB"/>
    <w:rsid w:val="008C1710"/>
    <w:rsid w:val="008C190D"/>
    <w:rsid w:val="008C2163"/>
    <w:rsid w:val="008C2232"/>
    <w:rsid w:val="008C26C4"/>
    <w:rsid w:val="008C2BE3"/>
    <w:rsid w:val="008C2D9F"/>
    <w:rsid w:val="008C37DD"/>
    <w:rsid w:val="008C3BBA"/>
    <w:rsid w:val="008C44B3"/>
    <w:rsid w:val="008C4590"/>
    <w:rsid w:val="008C4F42"/>
    <w:rsid w:val="008C6BFC"/>
    <w:rsid w:val="008C6FFC"/>
    <w:rsid w:val="008D0902"/>
    <w:rsid w:val="008D09B2"/>
    <w:rsid w:val="008D0D00"/>
    <w:rsid w:val="008D123F"/>
    <w:rsid w:val="008D1D2C"/>
    <w:rsid w:val="008D1D4B"/>
    <w:rsid w:val="008D1E57"/>
    <w:rsid w:val="008D1ED2"/>
    <w:rsid w:val="008D3677"/>
    <w:rsid w:val="008D3AFD"/>
    <w:rsid w:val="008D4617"/>
    <w:rsid w:val="008D4A2F"/>
    <w:rsid w:val="008D52A7"/>
    <w:rsid w:val="008D53D6"/>
    <w:rsid w:val="008D6399"/>
    <w:rsid w:val="008D6AEF"/>
    <w:rsid w:val="008D7DA6"/>
    <w:rsid w:val="008E03C7"/>
    <w:rsid w:val="008E247D"/>
    <w:rsid w:val="008E4C60"/>
    <w:rsid w:val="008E4CBA"/>
    <w:rsid w:val="008E4D15"/>
    <w:rsid w:val="008E5169"/>
    <w:rsid w:val="008E5176"/>
    <w:rsid w:val="008E5BF4"/>
    <w:rsid w:val="008E74C7"/>
    <w:rsid w:val="008F1091"/>
    <w:rsid w:val="008F1322"/>
    <w:rsid w:val="008F21A1"/>
    <w:rsid w:val="008F2948"/>
    <w:rsid w:val="008F29D8"/>
    <w:rsid w:val="008F2B0E"/>
    <w:rsid w:val="008F33CB"/>
    <w:rsid w:val="008F5072"/>
    <w:rsid w:val="008F56D2"/>
    <w:rsid w:val="008F5737"/>
    <w:rsid w:val="008F6ED4"/>
    <w:rsid w:val="008F77BD"/>
    <w:rsid w:val="008F78C5"/>
    <w:rsid w:val="008F7AD9"/>
    <w:rsid w:val="008F8474"/>
    <w:rsid w:val="0090104D"/>
    <w:rsid w:val="0090171B"/>
    <w:rsid w:val="00901DBF"/>
    <w:rsid w:val="00902997"/>
    <w:rsid w:val="009029D1"/>
    <w:rsid w:val="00902C3C"/>
    <w:rsid w:val="00902DB8"/>
    <w:rsid w:val="00903467"/>
    <w:rsid w:val="00903549"/>
    <w:rsid w:val="009052A5"/>
    <w:rsid w:val="009053ED"/>
    <w:rsid w:val="00906923"/>
    <w:rsid w:val="00906A91"/>
    <w:rsid w:val="00906C7B"/>
    <w:rsid w:val="00906EAA"/>
    <w:rsid w:val="00906FD4"/>
    <w:rsid w:val="0090700B"/>
    <w:rsid w:val="00907700"/>
    <w:rsid w:val="00910064"/>
    <w:rsid w:val="0091306D"/>
    <w:rsid w:val="0091452D"/>
    <w:rsid w:val="00914B28"/>
    <w:rsid w:val="009159AD"/>
    <w:rsid w:val="00915B83"/>
    <w:rsid w:val="00917532"/>
    <w:rsid w:val="009179EE"/>
    <w:rsid w:val="00920E84"/>
    <w:rsid w:val="00920FFD"/>
    <w:rsid w:val="0092115F"/>
    <w:rsid w:val="0092153F"/>
    <w:rsid w:val="009219BD"/>
    <w:rsid w:val="00921BE8"/>
    <w:rsid w:val="00921E3D"/>
    <w:rsid w:val="009223EE"/>
    <w:rsid w:val="00922906"/>
    <w:rsid w:val="00923479"/>
    <w:rsid w:val="009240CD"/>
    <w:rsid w:val="00924375"/>
    <w:rsid w:val="009245FC"/>
    <w:rsid w:val="009248F0"/>
    <w:rsid w:val="009249D0"/>
    <w:rsid w:val="009254A6"/>
    <w:rsid w:val="00926D94"/>
    <w:rsid w:val="00927CC4"/>
    <w:rsid w:val="0093111A"/>
    <w:rsid w:val="0093137D"/>
    <w:rsid w:val="0093170B"/>
    <w:rsid w:val="00931ACF"/>
    <w:rsid w:val="0093231B"/>
    <w:rsid w:val="00932EF8"/>
    <w:rsid w:val="00933EE6"/>
    <w:rsid w:val="00934711"/>
    <w:rsid w:val="00934F2F"/>
    <w:rsid w:val="0093599A"/>
    <w:rsid w:val="00935B3B"/>
    <w:rsid w:val="00935B88"/>
    <w:rsid w:val="009368BD"/>
    <w:rsid w:val="00936DF5"/>
    <w:rsid w:val="00937634"/>
    <w:rsid w:val="0093778D"/>
    <w:rsid w:val="00937950"/>
    <w:rsid w:val="009404C1"/>
    <w:rsid w:val="00941647"/>
    <w:rsid w:val="00942A14"/>
    <w:rsid w:val="00942E41"/>
    <w:rsid w:val="00945B5B"/>
    <w:rsid w:val="00945CB5"/>
    <w:rsid w:val="00945D67"/>
    <w:rsid w:val="00946885"/>
    <w:rsid w:val="0094697A"/>
    <w:rsid w:val="00946D0E"/>
    <w:rsid w:val="00947D83"/>
    <w:rsid w:val="00947F6D"/>
    <w:rsid w:val="0095007B"/>
    <w:rsid w:val="0095032B"/>
    <w:rsid w:val="0095090B"/>
    <w:rsid w:val="009531F3"/>
    <w:rsid w:val="00953797"/>
    <w:rsid w:val="009537D0"/>
    <w:rsid w:val="009548EA"/>
    <w:rsid w:val="009549F8"/>
    <w:rsid w:val="00954D7C"/>
    <w:rsid w:val="00954EEE"/>
    <w:rsid w:val="00955203"/>
    <w:rsid w:val="00955385"/>
    <w:rsid w:val="0095599A"/>
    <w:rsid w:val="00955B05"/>
    <w:rsid w:val="0095613D"/>
    <w:rsid w:val="00956FA3"/>
    <w:rsid w:val="00957302"/>
    <w:rsid w:val="009577A2"/>
    <w:rsid w:val="00957940"/>
    <w:rsid w:val="00957B2E"/>
    <w:rsid w:val="0096024A"/>
    <w:rsid w:val="009610B4"/>
    <w:rsid w:val="00961839"/>
    <w:rsid w:val="009618B4"/>
    <w:rsid w:val="00961D04"/>
    <w:rsid w:val="00962075"/>
    <w:rsid w:val="00963A63"/>
    <w:rsid w:val="009656E0"/>
    <w:rsid w:val="00965BE9"/>
    <w:rsid w:val="00966C68"/>
    <w:rsid w:val="00967537"/>
    <w:rsid w:val="0097011D"/>
    <w:rsid w:val="00970392"/>
    <w:rsid w:val="00970A48"/>
    <w:rsid w:val="00970DD2"/>
    <w:rsid w:val="00970EA4"/>
    <w:rsid w:val="00974195"/>
    <w:rsid w:val="00974488"/>
    <w:rsid w:val="00974CB4"/>
    <w:rsid w:val="00974E93"/>
    <w:rsid w:val="00974FB6"/>
    <w:rsid w:val="009758B1"/>
    <w:rsid w:val="00977C29"/>
    <w:rsid w:val="00980492"/>
    <w:rsid w:val="00980971"/>
    <w:rsid w:val="00980E0B"/>
    <w:rsid w:val="00981C0F"/>
    <w:rsid w:val="00981CAA"/>
    <w:rsid w:val="00982606"/>
    <w:rsid w:val="0098280A"/>
    <w:rsid w:val="00982EEE"/>
    <w:rsid w:val="00983A94"/>
    <w:rsid w:val="00983C90"/>
    <w:rsid w:val="009843D7"/>
    <w:rsid w:val="009844CC"/>
    <w:rsid w:val="009851B4"/>
    <w:rsid w:val="00985320"/>
    <w:rsid w:val="00985AC3"/>
    <w:rsid w:val="00985B23"/>
    <w:rsid w:val="00986175"/>
    <w:rsid w:val="00986400"/>
    <w:rsid w:val="00986B1B"/>
    <w:rsid w:val="0098701C"/>
    <w:rsid w:val="00987691"/>
    <w:rsid w:val="00987DBF"/>
    <w:rsid w:val="00987F02"/>
    <w:rsid w:val="00990853"/>
    <w:rsid w:val="00991162"/>
    <w:rsid w:val="0099155C"/>
    <w:rsid w:val="00991DFA"/>
    <w:rsid w:val="00991EA9"/>
    <w:rsid w:val="00991FB6"/>
    <w:rsid w:val="009920DB"/>
    <w:rsid w:val="00992BA0"/>
    <w:rsid w:val="00992BA7"/>
    <w:rsid w:val="009940F6"/>
    <w:rsid w:val="00994C10"/>
    <w:rsid w:val="00994CA8"/>
    <w:rsid w:val="00995E64"/>
    <w:rsid w:val="00996430"/>
    <w:rsid w:val="009977F1"/>
    <w:rsid w:val="009A07BF"/>
    <w:rsid w:val="009A2088"/>
    <w:rsid w:val="009A20FE"/>
    <w:rsid w:val="009A2590"/>
    <w:rsid w:val="009A2F1F"/>
    <w:rsid w:val="009A3103"/>
    <w:rsid w:val="009A3261"/>
    <w:rsid w:val="009A4061"/>
    <w:rsid w:val="009A46B4"/>
    <w:rsid w:val="009A4FDA"/>
    <w:rsid w:val="009A5A66"/>
    <w:rsid w:val="009A718D"/>
    <w:rsid w:val="009A7C69"/>
    <w:rsid w:val="009B032B"/>
    <w:rsid w:val="009B0839"/>
    <w:rsid w:val="009B132B"/>
    <w:rsid w:val="009B1E2F"/>
    <w:rsid w:val="009B2221"/>
    <w:rsid w:val="009B24C6"/>
    <w:rsid w:val="009B2FD3"/>
    <w:rsid w:val="009B3697"/>
    <w:rsid w:val="009B3E75"/>
    <w:rsid w:val="009B42E0"/>
    <w:rsid w:val="009B4B44"/>
    <w:rsid w:val="009B4CE1"/>
    <w:rsid w:val="009B5A50"/>
    <w:rsid w:val="009B5D2F"/>
    <w:rsid w:val="009B75B5"/>
    <w:rsid w:val="009B7F0B"/>
    <w:rsid w:val="009C0129"/>
    <w:rsid w:val="009C0E20"/>
    <w:rsid w:val="009C2285"/>
    <w:rsid w:val="009C26A2"/>
    <w:rsid w:val="009C41D2"/>
    <w:rsid w:val="009C4A10"/>
    <w:rsid w:val="009C739A"/>
    <w:rsid w:val="009C7BFD"/>
    <w:rsid w:val="009D0E9A"/>
    <w:rsid w:val="009D103F"/>
    <w:rsid w:val="009D15F1"/>
    <w:rsid w:val="009D254A"/>
    <w:rsid w:val="009D2B10"/>
    <w:rsid w:val="009D3E21"/>
    <w:rsid w:val="009D4304"/>
    <w:rsid w:val="009D4885"/>
    <w:rsid w:val="009D4933"/>
    <w:rsid w:val="009D4A78"/>
    <w:rsid w:val="009D4E31"/>
    <w:rsid w:val="009D5405"/>
    <w:rsid w:val="009D5C34"/>
    <w:rsid w:val="009D6617"/>
    <w:rsid w:val="009D6DD4"/>
    <w:rsid w:val="009E03CC"/>
    <w:rsid w:val="009E04D2"/>
    <w:rsid w:val="009E0966"/>
    <w:rsid w:val="009E0D92"/>
    <w:rsid w:val="009E0FC8"/>
    <w:rsid w:val="009E1FA3"/>
    <w:rsid w:val="009E283D"/>
    <w:rsid w:val="009E2B49"/>
    <w:rsid w:val="009E4026"/>
    <w:rsid w:val="009E503D"/>
    <w:rsid w:val="009E5094"/>
    <w:rsid w:val="009E526B"/>
    <w:rsid w:val="009E5CD0"/>
    <w:rsid w:val="009E6727"/>
    <w:rsid w:val="009E688E"/>
    <w:rsid w:val="009E68D6"/>
    <w:rsid w:val="009E6BBC"/>
    <w:rsid w:val="009E7BC5"/>
    <w:rsid w:val="009F0217"/>
    <w:rsid w:val="009F02ED"/>
    <w:rsid w:val="009F0386"/>
    <w:rsid w:val="009F03D4"/>
    <w:rsid w:val="009F0490"/>
    <w:rsid w:val="009F0D29"/>
    <w:rsid w:val="009F179D"/>
    <w:rsid w:val="009F20EB"/>
    <w:rsid w:val="009F2210"/>
    <w:rsid w:val="009F30D0"/>
    <w:rsid w:val="009F34F0"/>
    <w:rsid w:val="009F39F8"/>
    <w:rsid w:val="009F495B"/>
    <w:rsid w:val="009F4A7F"/>
    <w:rsid w:val="009F6689"/>
    <w:rsid w:val="009F7557"/>
    <w:rsid w:val="00A0023A"/>
    <w:rsid w:val="00A0054C"/>
    <w:rsid w:val="00A00EAA"/>
    <w:rsid w:val="00A00EFD"/>
    <w:rsid w:val="00A00FAB"/>
    <w:rsid w:val="00A01D72"/>
    <w:rsid w:val="00A01E1F"/>
    <w:rsid w:val="00A01E54"/>
    <w:rsid w:val="00A022A9"/>
    <w:rsid w:val="00A04527"/>
    <w:rsid w:val="00A047CB"/>
    <w:rsid w:val="00A04B17"/>
    <w:rsid w:val="00A05382"/>
    <w:rsid w:val="00A054F5"/>
    <w:rsid w:val="00A067F4"/>
    <w:rsid w:val="00A06CCF"/>
    <w:rsid w:val="00A07E07"/>
    <w:rsid w:val="00A07E54"/>
    <w:rsid w:val="00A10DEF"/>
    <w:rsid w:val="00A11251"/>
    <w:rsid w:val="00A11CC5"/>
    <w:rsid w:val="00A136EB"/>
    <w:rsid w:val="00A13CED"/>
    <w:rsid w:val="00A14552"/>
    <w:rsid w:val="00A14DFE"/>
    <w:rsid w:val="00A150C9"/>
    <w:rsid w:val="00A153C3"/>
    <w:rsid w:val="00A1574D"/>
    <w:rsid w:val="00A16FD5"/>
    <w:rsid w:val="00A20D93"/>
    <w:rsid w:val="00A21453"/>
    <w:rsid w:val="00A21550"/>
    <w:rsid w:val="00A2199C"/>
    <w:rsid w:val="00A21E17"/>
    <w:rsid w:val="00A22F70"/>
    <w:rsid w:val="00A22F91"/>
    <w:rsid w:val="00A23152"/>
    <w:rsid w:val="00A233BC"/>
    <w:rsid w:val="00A238C4"/>
    <w:rsid w:val="00A2418B"/>
    <w:rsid w:val="00A2450E"/>
    <w:rsid w:val="00A247A3"/>
    <w:rsid w:val="00A24CDB"/>
    <w:rsid w:val="00A2536D"/>
    <w:rsid w:val="00A26E52"/>
    <w:rsid w:val="00A271C8"/>
    <w:rsid w:val="00A31436"/>
    <w:rsid w:val="00A3186C"/>
    <w:rsid w:val="00A31CD6"/>
    <w:rsid w:val="00A333B3"/>
    <w:rsid w:val="00A334A0"/>
    <w:rsid w:val="00A3361D"/>
    <w:rsid w:val="00A33E14"/>
    <w:rsid w:val="00A3471D"/>
    <w:rsid w:val="00A3485F"/>
    <w:rsid w:val="00A356E0"/>
    <w:rsid w:val="00A35A8A"/>
    <w:rsid w:val="00A36E24"/>
    <w:rsid w:val="00A37389"/>
    <w:rsid w:val="00A37B18"/>
    <w:rsid w:val="00A37DC3"/>
    <w:rsid w:val="00A4005F"/>
    <w:rsid w:val="00A42BD7"/>
    <w:rsid w:val="00A42E47"/>
    <w:rsid w:val="00A43896"/>
    <w:rsid w:val="00A43DC2"/>
    <w:rsid w:val="00A44200"/>
    <w:rsid w:val="00A4554E"/>
    <w:rsid w:val="00A466A8"/>
    <w:rsid w:val="00A469A1"/>
    <w:rsid w:val="00A46A70"/>
    <w:rsid w:val="00A47BA1"/>
    <w:rsid w:val="00A50F7D"/>
    <w:rsid w:val="00A51CAE"/>
    <w:rsid w:val="00A52244"/>
    <w:rsid w:val="00A53248"/>
    <w:rsid w:val="00A53840"/>
    <w:rsid w:val="00A53DAB"/>
    <w:rsid w:val="00A53FEC"/>
    <w:rsid w:val="00A542C8"/>
    <w:rsid w:val="00A548D7"/>
    <w:rsid w:val="00A54D24"/>
    <w:rsid w:val="00A55C38"/>
    <w:rsid w:val="00A560AE"/>
    <w:rsid w:val="00A56728"/>
    <w:rsid w:val="00A56B27"/>
    <w:rsid w:val="00A57524"/>
    <w:rsid w:val="00A575DE"/>
    <w:rsid w:val="00A57AE6"/>
    <w:rsid w:val="00A60435"/>
    <w:rsid w:val="00A60862"/>
    <w:rsid w:val="00A61C32"/>
    <w:rsid w:val="00A6244E"/>
    <w:rsid w:val="00A62CF6"/>
    <w:rsid w:val="00A62EE9"/>
    <w:rsid w:val="00A63DEB"/>
    <w:rsid w:val="00A63F3D"/>
    <w:rsid w:val="00A6411C"/>
    <w:rsid w:val="00A643B5"/>
    <w:rsid w:val="00A6442B"/>
    <w:rsid w:val="00A64612"/>
    <w:rsid w:val="00A6503F"/>
    <w:rsid w:val="00A65171"/>
    <w:rsid w:val="00A668DC"/>
    <w:rsid w:val="00A66E4F"/>
    <w:rsid w:val="00A67C37"/>
    <w:rsid w:val="00A67F0C"/>
    <w:rsid w:val="00A7005F"/>
    <w:rsid w:val="00A702BC"/>
    <w:rsid w:val="00A71193"/>
    <w:rsid w:val="00A72194"/>
    <w:rsid w:val="00A72918"/>
    <w:rsid w:val="00A72AC2"/>
    <w:rsid w:val="00A72E5D"/>
    <w:rsid w:val="00A72F9C"/>
    <w:rsid w:val="00A73561"/>
    <w:rsid w:val="00A73D4E"/>
    <w:rsid w:val="00A7568E"/>
    <w:rsid w:val="00A757E9"/>
    <w:rsid w:val="00A766AD"/>
    <w:rsid w:val="00A76BE0"/>
    <w:rsid w:val="00A76F50"/>
    <w:rsid w:val="00A77E96"/>
    <w:rsid w:val="00A80192"/>
    <w:rsid w:val="00A80796"/>
    <w:rsid w:val="00A80C2C"/>
    <w:rsid w:val="00A80FE8"/>
    <w:rsid w:val="00A81564"/>
    <w:rsid w:val="00A81825"/>
    <w:rsid w:val="00A81FD2"/>
    <w:rsid w:val="00A82335"/>
    <w:rsid w:val="00A8265F"/>
    <w:rsid w:val="00A82D60"/>
    <w:rsid w:val="00A8305A"/>
    <w:rsid w:val="00A831A0"/>
    <w:rsid w:val="00A8331B"/>
    <w:rsid w:val="00A843F1"/>
    <w:rsid w:val="00A8478A"/>
    <w:rsid w:val="00A856C4"/>
    <w:rsid w:val="00A85F18"/>
    <w:rsid w:val="00A863AF"/>
    <w:rsid w:val="00A86EA6"/>
    <w:rsid w:val="00A871D9"/>
    <w:rsid w:val="00A879DF"/>
    <w:rsid w:val="00A901E2"/>
    <w:rsid w:val="00A90FFD"/>
    <w:rsid w:val="00A91174"/>
    <w:rsid w:val="00A915FC"/>
    <w:rsid w:val="00A918E4"/>
    <w:rsid w:val="00A930F9"/>
    <w:rsid w:val="00A931D9"/>
    <w:rsid w:val="00A9401C"/>
    <w:rsid w:val="00A94437"/>
    <w:rsid w:val="00A95060"/>
    <w:rsid w:val="00A955BA"/>
    <w:rsid w:val="00A95FAA"/>
    <w:rsid w:val="00A96EE5"/>
    <w:rsid w:val="00A9795D"/>
    <w:rsid w:val="00A97A40"/>
    <w:rsid w:val="00AA0403"/>
    <w:rsid w:val="00AA0408"/>
    <w:rsid w:val="00AA0FEF"/>
    <w:rsid w:val="00AA1A86"/>
    <w:rsid w:val="00AA1FDE"/>
    <w:rsid w:val="00AA261C"/>
    <w:rsid w:val="00AA31C0"/>
    <w:rsid w:val="00AA3280"/>
    <w:rsid w:val="00AA3614"/>
    <w:rsid w:val="00AA4C03"/>
    <w:rsid w:val="00AA4E50"/>
    <w:rsid w:val="00AA5495"/>
    <w:rsid w:val="00AA58C0"/>
    <w:rsid w:val="00AA6E0D"/>
    <w:rsid w:val="00AA75E6"/>
    <w:rsid w:val="00AA77F1"/>
    <w:rsid w:val="00AB003D"/>
    <w:rsid w:val="00AB0977"/>
    <w:rsid w:val="00AB0EED"/>
    <w:rsid w:val="00AB1453"/>
    <w:rsid w:val="00AB145C"/>
    <w:rsid w:val="00AB1722"/>
    <w:rsid w:val="00AB187B"/>
    <w:rsid w:val="00AB219A"/>
    <w:rsid w:val="00AB3855"/>
    <w:rsid w:val="00AB4232"/>
    <w:rsid w:val="00AB5984"/>
    <w:rsid w:val="00AB6AEE"/>
    <w:rsid w:val="00AB6BA6"/>
    <w:rsid w:val="00AB6C3D"/>
    <w:rsid w:val="00AC0DB3"/>
    <w:rsid w:val="00AC0E09"/>
    <w:rsid w:val="00AC11FE"/>
    <w:rsid w:val="00AC1C58"/>
    <w:rsid w:val="00AC1D79"/>
    <w:rsid w:val="00AC1DAE"/>
    <w:rsid w:val="00AC1E73"/>
    <w:rsid w:val="00AC2024"/>
    <w:rsid w:val="00AC218D"/>
    <w:rsid w:val="00AC26AB"/>
    <w:rsid w:val="00AC30AB"/>
    <w:rsid w:val="00AC3200"/>
    <w:rsid w:val="00AC3A50"/>
    <w:rsid w:val="00AC3CDD"/>
    <w:rsid w:val="00AC3E5B"/>
    <w:rsid w:val="00AC407F"/>
    <w:rsid w:val="00AC446B"/>
    <w:rsid w:val="00AC47B2"/>
    <w:rsid w:val="00AC4CC4"/>
    <w:rsid w:val="00AC54C1"/>
    <w:rsid w:val="00AC56C4"/>
    <w:rsid w:val="00AC5C0F"/>
    <w:rsid w:val="00AC5C5B"/>
    <w:rsid w:val="00AC5C66"/>
    <w:rsid w:val="00AD041D"/>
    <w:rsid w:val="00AD0A70"/>
    <w:rsid w:val="00AD1204"/>
    <w:rsid w:val="00AD2661"/>
    <w:rsid w:val="00AD267C"/>
    <w:rsid w:val="00AD2CCE"/>
    <w:rsid w:val="00AD2D8A"/>
    <w:rsid w:val="00AD38F6"/>
    <w:rsid w:val="00AD4F56"/>
    <w:rsid w:val="00AD538E"/>
    <w:rsid w:val="00AD700D"/>
    <w:rsid w:val="00AE0173"/>
    <w:rsid w:val="00AE01F9"/>
    <w:rsid w:val="00AE0290"/>
    <w:rsid w:val="00AE03B2"/>
    <w:rsid w:val="00AE1DFE"/>
    <w:rsid w:val="00AE21BB"/>
    <w:rsid w:val="00AE2AD2"/>
    <w:rsid w:val="00AE3DA7"/>
    <w:rsid w:val="00AE4B54"/>
    <w:rsid w:val="00AE53BA"/>
    <w:rsid w:val="00AE54FE"/>
    <w:rsid w:val="00AE69D6"/>
    <w:rsid w:val="00AE6DC2"/>
    <w:rsid w:val="00AE79BD"/>
    <w:rsid w:val="00AF00D9"/>
    <w:rsid w:val="00AF0137"/>
    <w:rsid w:val="00AF0266"/>
    <w:rsid w:val="00AF0C64"/>
    <w:rsid w:val="00AF0DA6"/>
    <w:rsid w:val="00AF14B5"/>
    <w:rsid w:val="00AF1E7D"/>
    <w:rsid w:val="00AF2B31"/>
    <w:rsid w:val="00AF30D6"/>
    <w:rsid w:val="00AF3455"/>
    <w:rsid w:val="00AF386B"/>
    <w:rsid w:val="00AF388C"/>
    <w:rsid w:val="00AF424E"/>
    <w:rsid w:val="00AF5C79"/>
    <w:rsid w:val="00AF6198"/>
    <w:rsid w:val="00B002D9"/>
    <w:rsid w:val="00B01127"/>
    <w:rsid w:val="00B01529"/>
    <w:rsid w:val="00B01D9A"/>
    <w:rsid w:val="00B033B5"/>
    <w:rsid w:val="00B03690"/>
    <w:rsid w:val="00B043DE"/>
    <w:rsid w:val="00B04E93"/>
    <w:rsid w:val="00B05035"/>
    <w:rsid w:val="00B05758"/>
    <w:rsid w:val="00B05864"/>
    <w:rsid w:val="00B0610F"/>
    <w:rsid w:val="00B077AB"/>
    <w:rsid w:val="00B10544"/>
    <w:rsid w:val="00B11087"/>
    <w:rsid w:val="00B12201"/>
    <w:rsid w:val="00B12BAB"/>
    <w:rsid w:val="00B139A2"/>
    <w:rsid w:val="00B1511A"/>
    <w:rsid w:val="00B2100F"/>
    <w:rsid w:val="00B2177C"/>
    <w:rsid w:val="00B222F2"/>
    <w:rsid w:val="00B22AD1"/>
    <w:rsid w:val="00B22D4F"/>
    <w:rsid w:val="00B22DC1"/>
    <w:rsid w:val="00B23B00"/>
    <w:rsid w:val="00B24D5A"/>
    <w:rsid w:val="00B24E3C"/>
    <w:rsid w:val="00B2531F"/>
    <w:rsid w:val="00B25B14"/>
    <w:rsid w:val="00B2668F"/>
    <w:rsid w:val="00B269E3"/>
    <w:rsid w:val="00B27B01"/>
    <w:rsid w:val="00B27D19"/>
    <w:rsid w:val="00B27D4C"/>
    <w:rsid w:val="00B307FF"/>
    <w:rsid w:val="00B30BB4"/>
    <w:rsid w:val="00B312F2"/>
    <w:rsid w:val="00B31C44"/>
    <w:rsid w:val="00B32392"/>
    <w:rsid w:val="00B32756"/>
    <w:rsid w:val="00B34E65"/>
    <w:rsid w:val="00B353F2"/>
    <w:rsid w:val="00B3545D"/>
    <w:rsid w:val="00B3588E"/>
    <w:rsid w:val="00B35D09"/>
    <w:rsid w:val="00B367E3"/>
    <w:rsid w:val="00B37662"/>
    <w:rsid w:val="00B40351"/>
    <w:rsid w:val="00B405BA"/>
    <w:rsid w:val="00B405C3"/>
    <w:rsid w:val="00B409A3"/>
    <w:rsid w:val="00B40C95"/>
    <w:rsid w:val="00B41171"/>
    <w:rsid w:val="00B413EC"/>
    <w:rsid w:val="00B41635"/>
    <w:rsid w:val="00B42C8A"/>
    <w:rsid w:val="00B43BE7"/>
    <w:rsid w:val="00B444F0"/>
    <w:rsid w:val="00B4477C"/>
    <w:rsid w:val="00B44B17"/>
    <w:rsid w:val="00B44C89"/>
    <w:rsid w:val="00B45587"/>
    <w:rsid w:val="00B461B3"/>
    <w:rsid w:val="00B4725E"/>
    <w:rsid w:val="00B47AAA"/>
    <w:rsid w:val="00B50845"/>
    <w:rsid w:val="00B51275"/>
    <w:rsid w:val="00B52605"/>
    <w:rsid w:val="00B526D2"/>
    <w:rsid w:val="00B52874"/>
    <w:rsid w:val="00B52EF7"/>
    <w:rsid w:val="00B5357A"/>
    <w:rsid w:val="00B53B34"/>
    <w:rsid w:val="00B562CD"/>
    <w:rsid w:val="00B56D30"/>
    <w:rsid w:val="00B5763B"/>
    <w:rsid w:val="00B608B7"/>
    <w:rsid w:val="00B6154D"/>
    <w:rsid w:val="00B6194D"/>
    <w:rsid w:val="00B64009"/>
    <w:rsid w:val="00B6424E"/>
    <w:rsid w:val="00B64EFB"/>
    <w:rsid w:val="00B65120"/>
    <w:rsid w:val="00B65A88"/>
    <w:rsid w:val="00B65B98"/>
    <w:rsid w:val="00B65CA6"/>
    <w:rsid w:val="00B67092"/>
    <w:rsid w:val="00B67E67"/>
    <w:rsid w:val="00B7074B"/>
    <w:rsid w:val="00B71017"/>
    <w:rsid w:val="00B7108A"/>
    <w:rsid w:val="00B7126D"/>
    <w:rsid w:val="00B72AB3"/>
    <w:rsid w:val="00B73124"/>
    <w:rsid w:val="00B735EC"/>
    <w:rsid w:val="00B73D9B"/>
    <w:rsid w:val="00B74C88"/>
    <w:rsid w:val="00B74D5F"/>
    <w:rsid w:val="00B75988"/>
    <w:rsid w:val="00B75A29"/>
    <w:rsid w:val="00B75A7B"/>
    <w:rsid w:val="00B75DDE"/>
    <w:rsid w:val="00B76449"/>
    <w:rsid w:val="00B76D4A"/>
    <w:rsid w:val="00B777B9"/>
    <w:rsid w:val="00B80527"/>
    <w:rsid w:val="00B8089B"/>
    <w:rsid w:val="00B80B34"/>
    <w:rsid w:val="00B8114B"/>
    <w:rsid w:val="00B82B35"/>
    <w:rsid w:val="00B82FA3"/>
    <w:rsid w:val="00B8453D"/>
    <w:rsid w:val="00B8463E"/>
    <w:rsid w:val="00B8546E"/>
    <w:rsid w:val="00B85BFA"/>
    <w:rsid w:val="00B860BA"/>
    <w:rsid w:val="00B864ED"/>
    <w:rsid w:val="00B86F19"/>
    <w:rsid w:val="00B87835"/>
    <w:rsid w:val="00B87B13"/>
    <w:rsid w:val="00B9071C"/>
    <w:rsid w:val="00B92C56"/>
    <w:rsid w:val="00B946E1"/>
    <w:rsid w:val="00B94CBE"/>
    <w:rsid w:val="00B94FE9"/>
    <w:rsid w:val="00B95B32"/>
    <w:rsid w:val="00B96B59"/>
    <w:rsid w:val="00B976E6"/>
    <w:rsid w:val="00B97A1E"/>
    <w:rsid w:val="00BA06DF"/>
    <w:rsid w:val="00BA25C5"/>
    <w:rsid w:val="00BA27DB"/>
    <w:rsid w:val="00BA2AD1"/>
    <w:rsid w:val="00BA2CB8"/>
    <w:rsid w:val="00BA3438"/>
    <w:rsid w:val="00BA35BA"/>
    <w:rsid w:val="00BA54D6"/>
    <w:rsid w:val="00BA573E"/>
    <w:rsid w:val="00BA600A"/>
    <w:rsid w:val="00BA634C"/>
    <w:rsid w:val="00BA6C04"/>
    <w:rsid w:val="00BA77B5"/>
    <w:rsid w:val="00BB01C7"/>
    <w:rsid w:val="00BB08E5"/>
    <w:rsid w:val="00BB0B0F"/>
    <w:rsid w:val="00BB11EE"/>
    <w:rsid w:val="00BB1212"/>
    <w:rsid w:val="00BB2526"/>
    <w:rsid w:val="00BB33CF"/>
    <w:rsid w:val="00BB3C5B"/>
    <w:rsid w:val="00BB65A9"/>
    <w:rsid w:val="00BB745F"/>
    <w:rsid w:val="00BB772A"/>
    <w:rsid w:val="00BB7B80"/>
    <w:rsid w:val="00BC063F"/>
    <w:rsid w:val="00BC0D49"/>
    <w:rsid w:val="00BC1249"/>
    <w:rsid w:val="00BC1400"/>
    <w:rsid w:val="00BC16CC"/>
    <w:rsid w:val="00BC195A"/>
    <w:rsid w:val="00BC24A4"/>
    <w:rsid w:val="00BC3332"/>
    <w:rsid w:val="00BC5093"/>
    <w:rsid w:val="00BC5472"/>
    <w:rsid w:val="00BC5CD6"/>
    <w:rsid w:val="00BC5FAB"/>
    <w:rsid w:val="00BC6758"/>
    <w:rsid w:val="00BC6CD2"/>
    <w:rsid w:val="00BC6F10"/>
    <w:rsid w:val="00BC776E"/>
    <w:rsid w:val="00BD0462"/>
    <w:rsid w:val="00BD0D06"/>
    <w:rsid w:val="00BD112B"/>
    <w:rsid w:val="00BD16DD"/>
    <w:rsid w:val="00BD1FE8"/>
    <w:rsid w:val="00BD32B1"/>
    <w:rsid w:val="00BD390E"/>
    <w:rsid w:val="00BD3C4F"/>
    <w:rsid w:val="00BD4229"/>
    <w:rsid w:val="00BD46B3"/>
    <w:rsid w:val="00BD5761"/>
    <w:rsid w:val="00BD62FC"/>
    <w:rsid w:val="00BD63BA"/>
    <w:rsid w:val="00BD687B"/>
    <w:rsid w:val="00BD6A0C"/>
    <w:rsid w:val="00BD7C2C"/>
    <w:rsid w:val="00BD7FA9"/>
    <w:rsid w:val="00BE0429"/>
    <w:rsid w:val="00BE0765"/>
    <w:rsid w:val="00BE085B"/>
    <w:rsid w:val="00BE1743"/>
    <w:rsid w:val="00BE192E"/>
    <w:rsid w:val="00BE2050"/>
    <w:rsid w:val="00BE2321"/>
    <w:rsid w:val="00BE233D"/>
    <w:rsid w:val="00BE447A"/>
    <w:rsid w:val="00BE46D8"/>
    <w:rsid w:val="00BE48D2"/>
    <w:rsid w:val="00BE4981"/>
    <w:rsid w:val="00BE4BFD"/>
    <w:rsid w:val="00BE4CE0"/>
    <w:rsid w:val="00BE4E43"/>
    <w:rsid w:val="00BE5D57"/>
    <w:rsid w:val="00BE61BA"/>
    <w:rsid w:val="00BE665E"/>
    <w:rsid w:val="00BE6731"/>
    <w:rsid w:val="00BE7261"/>
    <w:rsid w:val="00BE734E"/>
    <w:rsid w:val="00BE7E10"/>
    <w:rsid w:val="00BF0907"/>
    <w:rsid w:val="00BF0D56"/>
    <w:rsid w:val="00BF126B"/>
    <w:rsid w:val="00BF148A"/>
    <w:rsid w:val="00BF2020"/>
    <w:rsid w:val="00BF2384"/>
    <w:rsid w:val="00BF3A43"/>
    <w:rsid w:val="00BF4ACB"/>
    <w:rsid w:val="00BF5550"/>
    <w:rsid w:val="00BF6BC5"/>
    <w:rsid w:val="00BF73E0"/>
    <w:rsid w:val="00BF763F"/>
    <w:rsid w:val="00BF7731"/>
    <w:rsid w:val="00C00FC5"/>
    <w:rsid w:val="00C01417"/>
    <w:rsid w:val="00C01840"/>
    <w:rsid w:val="00C01CD7"/>
    <w:rsid w:val="00C0204F"/>
    <w:rsid w:val="00C02F3B"/>
    <w:rsid w:val="00C039E4"/>
    <w:rsid w:val="00C054E0"/>
    <w:rsid w:val="00C05CCE"/>
    <w:rsid w:val="00C05EC2"/>
    <w:rsid w:val="00C06367"/>
    <w:rsid w:val="00C070E6"/>
    <w:rsid w:val="00C074A0"/>
    <w:rsid w:val="00C10357"/>
    <w:rsid w:val="00C10935"/>
    <w:rsid w:val="00C10BF5"/>
    <w:rsid w:val="00C1192B"/>
    <w:rsid w:val="00C122C4"/>
    <w:rsid w:val="00C12578"/>
    <w:rsid w:val="00C1272B"/>
    <w:rsid w:val="00C129DC"/>
    <w:rsid w:val="00C12BD8"/>
    <w:rsid w:val="00C140D9"/>
    <w:rsid w:val="00C14342"/>
    <w:rsid w:val="00C14A25"/>
    <w:rsid w:val="00C14A81"/>
    <w:rsid w:val="00C15247"/>
    <w:rsid w:val="00C1595D"/>
    <w:rsid w:val="00C16552"/>
    <w:rsid w:val="00C20AA3"/>
    <w:rsid w:val="00C21294"/>
    <w:rsid w:val="00C21577"/>
    <w:rsid w:val="00C21B90"/>
    <w:rsid w:val="00C221A1"/>
    <w:rsid w:val="00C22CEB"/>
    <w:rsid w:val="00C23160"/>
    <w:rsid w:val="00C231FF"/>
    <w:rsid w:val="00C2437E"/>
    <w:rsid w:val="00C24548"/>
    <w:rsid w:val="00C250FB"/>
    <w:rsid w:val="00C25106"/>
    <w:rsid w:val="00C258AC"/>
    <w:rsid w:val="00C25B89"/>
    <w:rsid w:val="00C275EC"/>
    <w:rsid w:val="00C27653"/>
    <w:rsid w:val="00C31CE8"/>
    <w:rsid w:val="00C31E9B"/>
    <w:rsid w:val="00C31F8C"/>
    <w:rsid w:val="00C32F6B"/>
    <w:rsid w:val="00C34888"/>
    <w:rsid w:val="00C35122"/>
    <w:rsid w:val="00C3579E"/>
    <w:rsid w:val="00C359D5"/>
    <w:rsid w:val="00C36137"/>
    <w:rsid w:val="00C3668F"/>
    <w:rsid w:val="00C36D04"/>
    <w:rsid w:val="00C37F9C"/>
    <w:rsid w:val="00C4063F"/>
    <w:rsid w:val="00C4076D"/>
    <w:rsid w:val="00C41394"/>
    <w:rsid w:val="00C4243D"/>
    <w:rsid w:val="00C42824"/>
    <w:rsid w:val="00C42D9B"/>
    <w:rsid w:val="00C43DBD"/>
    <w:rsid w:val="00C44542"/>
    <w:rsid w:val="00C44F6C"/>
    <w:rsid w:val="00C454E2"/>
    <w:rsid w:val="00C45AD0"/>
    <w:rsid w:val="00C45F17"/>
    <w:rsid w:val="00C47068"/>
    <w:rsid w:val="00C47127"/>
    <w:rsid w:val="00C503A7"/>
    <w:rsid w:val="00C50E76"/>
    <w:rsid w:val="00C51F14"/>
    <w:rsid w:val="00C5215F"/>
    <w:rsid w:val="00C53022"/>
    <w:rsid w:val="00C53C66"/>
    <w:rsid w:val="00C54167"/>
    <w:rsid w:val="00C546B2"/>
    <w:rsid w:val="00C547B1"/>
    <w:rsid w:val="00C54BE7"/>
    <w:rsid w:val="00C54C7F"/>
    <w:rsid w:val="00C5515B"/>
    <w:rsid w:val="00C55C03"/>
    <w:rsid w:val="00C5669A"/>
    <w:rsid w:val="00C568D0"/>
    <w:rsid w:val="00C57A5C"/>
    <w:rsid w:val="00C601E7"/>
    <w:rsid w:val="00C6037A"/>
    <w:rsid w:val="00C60A0F"/>
    <w:rsid w:val="00C61087"/>
    <w:rsid w:val="00C61413"/>
    <w:rsid w:val="00C61674"/>
    <w:rsid w:val="00C61A80"/>
    <w:rsid w:val="00C61ACA"/>
    <w:rsid w:val="00C61D65"/>
    <w:rsid w:val="00C62551"/>
    <w:rsid w:val="00C6265F"/>
    <w:rsid w:val="00C63553"/>
    <w:rsid w:val="00C636C2"/>
    <w:rsid w:val="00C65281"/>
    <w:rsid w:val="00C6535D"/>
    <w:rsid w:val="00C654D7"/>
    <w:rsid w:val="00C65AC6"/>
    <w:rsid w:val="00C65E39"/>
    <w:rsid w:val="00C668E7"/>
    <w:rsid w:val="00C669D9"/>
    <w:rsid w:val="00C66E44"/>
    <w:rsid w:val="00C67A61"/>
    <w:rsid w:val="00C70A00"/>
    <w:rsid w:val="00C70B20"/>
    <w:rsid w:val="00C72212"/>
    <w:rsid w:val="00C72975"/>
    <w:rsid w:val="00C72D5A"/>
    <w:rsid w:val="00C73B8C"/>
    <w:rsid w:val="00C743BA"/>
    <w:rsid w:val="00C74433"/>
    <w:rsid w:val="00C749F3"/>
    <w:rsid w:val="00C74F5B"/>
    <w:rsid w:val="00C75AE9"/>
    <w:rsid w:val="00C761B0"/>
    <w:rsid w:val="00C765D9"/>
    <w:rsid w:val="00C777EF"/>
    <w:rsid w:val="00C77C51"/>
    <w:rsid w:val="00C8266C"/>
    <w:rsid w:val="00C827EC"/>
    <w:rsid w:val="00C827F1"/>
    <w:rsid w:val="00C82980"/>
    <w:rsid w:val="00C829E8"/>
    <w:rsid w:val="00C835CF"/>
    <w:rsid w:val="00C860D9"/>
    <w:rsid w:val="00C861A6"/>
    <w:rsid w:val="00C90742"/>
    <w:rsid w:val="00C9093F"/>
    <w:rsid w:val="00C90E7C"/>
    <w:rsid w:val="00C9149F"/>
    <w:rsid w:val="00C91D31"/>
    <w:rsid w:val="00C920D7"/>
    <w:rsid w:val="00C92791"/>
    <w:rsid w:val="00C92A66"/>
    <w:rsid w:val="00C92D5E"/>
    <w:rsid w:val="00C93014"/>
    <w:rsid w:val="00C930B6"/>
    <w:rsid w:val="00C9376C"/>
    <w:rsid w:val="00C93A2E"/>
    <w:rsid w:val="00C94074"/>
    <w:rsid w:val="00C94E72"/>
    <w:rsid w:val="00C95524"/>
    <w:rsid w:val="00C95A79"/>
    <w:rsid w:val="00C96251"/>
    <w:rsid w:val="00C966B8"/>
    <w:rsid w:val="00C96AA7"/>
    <w:rsid w:val="00C96F0C"/>
    <w:rsid w:val="00C97BD9"/>
    <w:rsid w:val="00C97E16"/>
    <w:rsid w:val="00CA05DD"/>
    <w:rsid w:val="00CA1095"/>
    <w:rsid w:val="00CA2E0D"/>
    <w:rsid w:val="00CA3449"/>
    <w:rsid w:val="00CA36C6"/>
    <w:rsid w:val="00CA3769"/>
    <w:rsid w:val="00CA398C"/>
    <w:rsid w:val="00CA4B8A"/>
    <w:rsid w:val="00CA5B79"/>
    <w:rsid w:val="00CA5C6F"/>
    <w:rsid w:val="00CA6013"/>
    <w:rsid w:val="00CA6C3F"/>
    <w:rsid w:val="00CA6CDD"/>
    <w:rsid w:val="00CB0A25"/>
    <w:rsid w:val="00CB0D15"/>
    <w:rsid w:val="00CB0F40"/>
    <w:rsid w:val="00CB0F98"/>
    <w:rsid w:val="00CB1046"/>
    <w:rsid w:val="00CB27CD"/>
    <w:rsid w:val="00CB3A45"/>
    <w:rsid w:val="00CB4A28"/>
    <w:rsid w:val="00CB4C1D"/>
    <w:rsid w:val="00CB5130"/>
    <w:rsid w:val="00CB615E"/>
    <w:rsid w:val="00CB6AB1"/>
    <w:rsid w:val="00CB6AC5"/>
    <w:rsid w:val="00CB7758"/>
    <w:rsid w:val="00CB7992"/>
    <w:rsid w:val="00CC1D1D"/>
    <w:rsid w:val="00CC2AEB"/>
    <w:rsid w:val="00CC2E37"/>
    <w:rsid w:val="00CC375C"/>
    <w:rsid w:val="00CC3D84"/>
    <w:rsid w:val="00CC4B24"/>
    <w:rsid w:val="00CC530B"/>
    <w:rsid w:val="00CC55DF"/>
    <w:rsid w:val="00CC7241"/>
    <w:rsid w:val="00CC7762"/>
    <w:rsid w:val="00CC7D99"/>
    <w:rsid w:val="00CD07B9"/>
    <w:rsid w:val="00CD0DDB"/>
    <w:rsid w:val="00CD1A17"/>
    <w:rsid w:val="00CD2388"/>
    <w:rsid w:val="00CD2505"/>
    <w:rsid w:val="00CD3870"/>
    <w:rsid w:val="00CD38C6"/>
    <w:rsid w:val="00CD3F27"/>
    <w:rsid w:val="00CD42C8"/>
    <w:rsid w:val="00CD67D9"/>
    <w:rsid w:val="00CD693D"/>
    <w:rsid w:val="00CD7672"/>
    <w:rsid w:val="00CD77A5"/>
    <w:rsid w:val="00CD7884"/>
    <w:rsid w:val="00CD7D16"/>
    <w:rsid w:val="00CE0051"/>
    <w:rsid w:val="00CE15F6"/>
    <w:rsid w:val="00CE1C47"/>
    <w:rsid w:val="00CE2836"/>
    <w:rsid w:val="00CE2A7D"/>
    <w:rsid w:val="00CE3C61"/>
    <w:rsid w:val="00CE3CE5"/>
    <w:rsid w:val="00CE46D7"/>
    <w:rsid w:val="00CE4DB2"/>
    <w:rsid w:val="00CE569C"/>
    <w:rsid w:val="00CE58C1"/>
    <w:rsid w:val="00CE5975"/>
    <w:rsid w:val="00CE6FA3"/>
    <w:rsid w:val="00CF0089"/>
    <w:rsid w:val="00CF0662"/>
    <w:rsid w:val="00CF0A4E"/>
    <w:rsid w:val="00CF0A9F"/>
    <w:rsid w:val="00CF1B57"/>
    <w:rsid w:val="00CF204C"/>
    <w:rsid w:val="00CF2D50"/>
    <w:rsid w:val="00CF3847"/>
    <w:rsid w:val="00CF3EFD"/>
    <w:rsid w:val="00CF4377"/>
    <w:rsid w:val="00CF45A3"/>
    <w:rsid w:val="00CF4859"/>
    <w:rsid w:val="00CF5691"/>
    <w:rsid w:val="00CF56E1"/>
    <w:rsid w:val="00CF57AF"/>
    <w:rsid w:val="00CF5DE8"/>
    <w:rsid w:val="00CF5E36"/>
    <w:rsid w:val="00CF60E3"/>
    <w:rsid w:val="00CF6C71"/>
    <w:rsid w:val="00CF76FC"/>
    <w:rsid w:val="00CF7B81"/>
    <w:rsid w:val="00D00182"/>
    <w:rsid w:val="00D00C81"/>
    <w:rsid w:val="00D0178B"/>
    <w:rsid w:val="00D024DE"/>
    <w:rsid w:val="00D0334C"/>
    <w:rsid w:val="00D03C96"/>
    <w:rsid w:val="00D03CCC"/>
    <w:rsid w:val="00D0415F"/>
    <w:rsid w:val="00D04610"/>
    <w:rsid w:val="00D048DB"/>
    <w:rsid w:val="00D04966"/>
    <w:rsid w:val="00D06BC0"/>
    <w:rsid w:val="00D10B1E"/>
    <w:rsid w:val="00D10FC9"/>
    <w:rsid w:val="00D10FF0"/>
    <w:rsid w:val="00D12287"/>
    <w:rsid w:val="00D12EBF"/>
    <w:rsid w:val="00D134C2"/>
    <w:rsid w:val="00D1393C"/>
    <w:rsid w:val="00D13FF9"/>
    <w:rsid w:val="00D14705"/>
    <w:rsid w:val="00D14904"/>
    <w:rsid w:val="00D14988"/>
    <w:rsid w:val="00D15919"/>
    <w:rsid w:val="00D159DD"/>
    <w:rsid w:val="00D15D83"/>
    <w:rsid w:val="00D1600D"/>
    <w:rsid w:val="00D1640D"/>
    <w:rsid w:val="00D16CCA"/>
    <w:rsid w:val="00D171C5"/>
    <w:rsid w:val="00D17513"/>
    <w:rsid w:val="00D2020D"/>
    <w:rsid w:val="00D2060D"/>
    <w:rsid w:val="00D21676"/>
    <w:rsid w:val="00D23009"/>
    <w:rsid w:val="00D2346C"/>
    <w:rsid w:val="00D23E11"/>
    <w:rsid w:val="00D23F3E"/>
    <w:rsid w:val="00D24369"/>
    <w:rsid w:val="00D255C2"/>
    <w:rsid w:val="00D257A1"/>
    <w:rsid w:val="00D258C9"/>
    <w:rsid w:val="00D260B6"/>
    <w:rsid w:val="00D26CAE"/>
    <w:rsid w:val="00D26E8E"/>
    <w:rsid w:val="00D27863"/>
    <w:rsid w:val="00D3008A"/>
    <w:rsid w:val="00D300A5"/>
    <w:rsid w:val="00D31325"/>
    <w:rsid w:val="00D31D24"/>
    <w:rsid w:val="00D32A28"/>
    <w:rsid w:val="00D330E6"/>
    <w:rsid w:val="00D34EA0"/>
    <w:rsid w:val="00D3532C"/>
    <w:rsid w:val="00D35555"/>
    <w:rsid w:val="00D363F8"/>
    <w:rsid w:val="00D37402"/>
    <w:rsid w:val="00D377D5"/>
    <w:rsid w:val="00D404C5"/>
    <w:rsid w:val="00D40772"/>
    <w:rsid w:val="00D412D2"/>
    <w:rsid w:val="00D41B35"/>
    <w:rsid w:val="00D424AE"/>
    <w:rsid w:val="00D4330B"/>
    <w:rsid w:val="00D4361D"/>
    <w:rsid w:val="00D43936"/>
    <w:rsid w:val="00D43E4F"/>
    <w:rsid w:val="00D44455"/>
    <w:rsid w:val="00D4471F"/>
    <w:rsid w:val="00D45032"/>
    <w:rsid w:val="00D45273"/>
    <w:rsid w:val="00D4564D"/>
    <w:rsid w:val="00D457FF"/>
    <w:rsid w:val="00D45F09"/>
    <w:rsid w:val="00D47C5F"/>
    <w:rsid w:val="00D50B95"/>
    <w:rsid w:val="00D50F78"/>
    <w:rsid w:val="00D51CD1"/>
    <w:rsid w:val="00D52434"/>
    <w:rsid w:val="00D525E3"/>
    <w:rsid w:val="00D529E7"/>
    <w:rsid w:val="00D52DF6"/>
    <w:rsid w:val="00D52F3C"/>
    <w:rsid w:val="00D537D7"/>
    <w:rsid w:val="00D53B3A"/>
    <w:rsid w:val="00D5535A"/>
    <w:rsid w:val="00D556AA"/>
    <w:rsid w:val="00D55745"/>
    <w:rsid w:val="00D55B5F"/>
    <w:rsid w:val="00D5627C"/>
    <w:rsid w:val="00D56DC2"/>
    <w:rsid w:val="00D56FA0"/>
    <w:rsid w:val="00D57AEB"/>
    <w:rsid w:val="00D60B7B"/>
    <w:rsid w:val="00D60E61"/>
    <w:rsid w:val="00D6108B"/>
    <w:rsid w:val="00D610FF"/>
    <w:rsid w:val="00D61225"/>
    <w:rsid w:val="00D6159A"/>
    <w:rsid w:val="00D615B1"/>
    <w:rsid w:val="00D615D2"/>
    <w:rsid w:val="00D62203"/>
    <w:rsid w:val="00D623EB"/>
    <w:rsid w:val="00D62626"/>
    <w:rsid w:val="00D62B44"/>
    <w:rsid w:val="00D62C07"/>
    <w:rsid w:val="00D63B28"/>
    <w:rsid w:val="00D643E7"/>
    <w:rsid w:val="00D6449F"/>
    <w:rsid w:val="00D648FB"/>
    <w:rsid w:val="00D64C9D"/>
    <w:rsid w:val="00D65FEE"/>
    <w:rsid w:val="00D66506"/>
    <w:rsid w:val="00D66581"/>
    <w:rsid w:val="00D66BC5"/>
    <w:rsid w:val="00D66D5A"/>
    <w:rsid w:val="00D66E68"/>
    <w:rsid w:val="00D670EE"/>
    <w:rsid w:val="00D70270"/>
    <w:rsid w:val="00D70548"/>
    <w:rsid w:val="00D70939"/>
    <w:rsid w:val="00D711BE"/>
    <w:rsid w:val="00D71534"/>
    <w:rsid w:val="00D71E6C"/>
    <w:rsid w:val="00D7362A"/>
    <w:rsid w:val="00D73660"/>
    <w:rsid w:val="00D74551"/>
    <w:rsid w:val="00D74E4D"/>
    <w:rsid w:val="00D7602D"/>
    <w:rsid w:val="00D76164"/>
    <w:rsid w:val="00D766ED"/>
    <w:rsid w:val="00D77163"/>
    <w:rsid w:val="00D774B4"/>
    <w:rsid w:val="00D77509"/>
    <w:rsid w:val="00D80479"/>
    <w:rsid w:val="00D80C58"/>
    <w:rsid w:val="00D815C9"/>
    <w:rsid w:val="00D839F4"/>
    <w:rsid w:val="00D83D18"/>
    <w:rsid w:val="00D84670"/>
    <w:rsid w:val="00D8493E"/>
    <w:rsid w:val="00D853A5"/>
    <w:rsid w:val="00D86213"/>
    <w:rsid w:val="00D86469"/>
    <w:rsid w:val="00D86C63"/>
    <w:rsid w:val="00D87941"/>
    <w:rsid w:val="00D87BCE"/>
    <w:rsid w:val="00D90429"/>
    <w:rsid w:val="00D90BF6"/>
    <w:rsid w:val="00D9156A"/>
    <w:rsid w:val="00D91A1D"/>
    <w:rsid w:val="00D92330"/>
    <w:rsid w:val="00D93AB8"/>
    <w:rsid w:val="00D94198"/>
    <w:rsid w:val="00D942B1"/>
    <w:rsid w:val="00D94FD8"/>
    <w:rsid w:val="00D95D0A"/>
    <w:rsid w:val="00D95D6A"/>
    <w:rsid w:val="00D96120"/>
    <w:rsid w:val="00D975D4"/>
    <w:rsid w:val="00D97D48"/>
    <w:rsid w:val="00DA0323"/>
    <w:rsid w:val="00DA0DC2"/>
    <w:rsid w:val="00DA1932"/>
    <w:rsid w:val="00DA195F"/>
    <w:rsid w:val="00DA2131"/>
    <w:rsid w:val="00DA30BF"/>
    <w:rsid w:val="00DA3650"/>
    <w:rsid w:val="00DA385F"/>
    <w:rsid w:val="00DA3A25"/>
    <w:rsid w:val="00DA4727"/>
    <w:rsid w:val="00DA49ED"/>
    <w:rsid w:val="00DA4C14"/>
    <w:rsid w:val="00DA5640"/>
    <w:rsid w:val="00DA5689"/>
    <w:rsid w:val="00DA5808"/>
    <w:rsid w:val="00DA6F8E"/>
    <w:rsid w:val="00DA6FAB"/>
    <w:rsid w:val="00DA7A5D"/>
    <w:rsid w:val="00DA7DFD"/>
    <w:rsid w:val="00DB0792"/>
    <w:rsid w:val="00DB0B07"/>
    <w:rsid w:val="00DB0F8A"/>
    <w:rsid w:val="00DB1470"/>
    <w:rsid w:val="00DB3CEC"/>
    <w:rsid w:val="00DB4F99"/>
    <w:rsid w:val="00DB5129"/>
    <w:rsid w:val="00DB621A"/>
    <w:rsid w:val="00DB7505"/>
    <w:rsid w:val="00DB7AE6"/>
    <w:rsid w:val="00DC17B0"/>
    <w:rsid w:val="00DC1C81"/>
    <w:rsid w:val="00DC276B"/>
    <w:rsid w:val="00DC2F94"/>
    <w:rsid w:val="00DC30BE"/>
    <w:rsid w:val="00DC4092"/>
    <w:rsid w:val="00DC449D"/>
    <w:rsid w:val="00DC53BE"/>
    <w:rsid w:val="00DC5D38"/>
    <w:rsid w:val="00DC721A"/>
    <w:rsid w:val="00DC760F"/>
    <w:rsid w:val="00DD0A11"/>
    <w:rsid w:val="00DD20A0"/>
    <w:rsid w:val="00DD2448"/>
    <w:rsid w:val="00DD2499"/>
    <w:rsid w:val="00DD322E"/>
    <w:rsid w:val="00DD341A"/>
    <w:rsid w:val="00DD3862"/>
    <w:rsid w:val="00DD4AA4"/>
    <w:rsid w:val="00DD56B9"/>
    <w:rsid w:val="00DD5D55"/>
    <w:rsid w:val="00DD6907"/>
    <w:rsid w:val="00DD7526"/>
    <w:rsid w:val="00DE07AE"/>
    <w:rsid w:val="00DE0F0A"/>
    <w:rsid w:val="00DE1224"/>
    <w:rsid w:val="00DE1868"/>
    <w:rsid w:val="00DE1C44"/>
    <w:rsid w:val="00DE3AA6"/>
    <w:rsid w:val="00DE40F1"/>
    <w:rsid w:val="00DE43B2"/>
    <w:rsid w:val="00DE4A30"/>
    <w:rsid w:val="00DE6301"/>
    <w:rsid w:val="00DE741E"/>
    <w:rsid w:val="00DE742D"/>
    <w:rsid w:val="00DE767F"/>
    <w:rsid w:val="00DF09EC"/>
    <w:rsid w:val="00DF112F"/>
    <w:rsid w:val="00DF30EC"/>
    <w:rsid w:val="00DF4718"/>
    <w:rsid w:val="00DF5642"/>
    <w:rsid w:val="00DF7826"/>
    <w:rsid w:val="00DF7A62"/>
    <w:rsid w:val="00E00288"/>
    <w:rsid w:val="00E006E9"/>
    <w:rsid w:val="00E00F77"/>
    <w:rsid w:val="00E03754"/>
    <w:rsid w:val="00E04029"/>
    <w:rsid w:val="00E0488B"/>
    <w:rsid w:val="00E0572C"/>
    <w:rsid w:val="00E05992"/>
    <w:rsid w:val="00E05D9A"/>
    <w:rsid w:val="00E07404"/>
    <w:rsid w:val="00E07597"/>
    <w:rsid w:val="00E07A91"/>
    <w:rsid w:val="00E100E2"/>
    <w:rsid w:val="00E10E80"/>
    <w:rsid w:val="00E11F40"/>
    <w:rsid w:val="00E125A2"/>
    <w:rsid w:val="00E125F4"/>
    <w:rsid w:val="00E13366"/>
    <w:rsid w:val="00E1373D"/>
    <w:rsid w:val="00E13CD0"/>
    <w:rsid w:val="00E15DC1"/>
    <w:rsid w:val="00E16544"/>
    <w:rsid w:val="00E16F59"/>
    <w:rsid w:val="00E17113"/>
    <w:rsid w:val="00E17224"/>
    <w:rsid w:val="00E174E2"/>
    <w:rsid w:val="00E1790F"/>
    <w:rsid w:val="00E20355"/>
    <w:rsid w:val="00E203F0"/>
    <w:rsid w:val="00E20771"/>
    <w:rsid w:val="00E209E6"/>
    <w:rsid w:val="00E20A06"/>
    <w:rsid w:val="00E21E99"/>
    <w:rsid w:val="00E22281"/>
    <w:rsid w:val="00E2228B"/>
    <w:rsid w:val="00E223DA"/>
    <w:rsid w:val="00E22794"/>
    <w:rsid w:val="00E238C2"/>
    <w:rsid w:val="00E23D38"/>
    <w:rsid w:val="00E23E81"/>
    <w:rsid w:val="00E24784"/>
    <w:rsid w:val="00E2759D"/>
    <w:rsid w:val="00E27A6A"/>
    <w:rsid w:val="00E30AA8"/>
    <w:rsid w:val="00E316EA"/>
    <w:rsid w:val="00E32A85"/>
    <w:rsid w:val="00E340FD"/>
    <w:rsid w:val="00E3455B"/>
    <w:rsid w:val="00E36562"/>
    <w:rsid w:val="00E365C4"/>
    <w:rsid w:val="00E36FBF"/>
    <w:rsid w:val="00E371E3"/>
    <w:rsid w:val="00E375C7"/>
    <w:rsid w:val="00E37CA3"/>
    <w:rsid w:val="00E37EB6"/>
    <w:rsid w:val="00E408C7"/>
    <w:rsid w:val="00E40A1E"/>
    <w:rsid w:val="00E419C9"/>
    <w:rsid w:val="00E41C23"/>
    <w:rsid w:val="00E41D83"/>
    <w:rsid w:val="00E444F3"/>
    <w:rsid w:val="00E44631"/>
    <w:rsid w:val="00E44AA3"/>
    <w:rsid w:val="00E44C01"/>
    <w:rsid w:val="00E4582D"/>
    <w:rsid w:val="00E46352"/>
    <w:rsid w:val="00E479F3"/>
    <w:rsid w:val="00E50026"/>
    <w:rsid w:val="00E50367"/>
    <w:rsid w:val="00E50CD3"/>
    <w:rsid w:val="00E512A1"/>
    <w:rsid w:val="00E5148F"/>
    <w:rsid w:val="00E5157B"/>
    <w:rsid w:val="00E519D5"/>
    <w:rsid w:val="00E51D32"/>
    <w:rsid w:val="00E52240"/>
    <w:rsid w:val="00E52A0E"/>
    <w:rsid w:val="00E55931"/>
    <w:rsid w:val="00E55F57"/>
    <w:rsid w:val="00E564BF"/>
    <w:rsid w:val="00E5662B"/>
    <w:rsid w:val="00E570AC"/>
    <w:rsid w:val="00E62E49"/>
    <w:rsid w:val="00E648A2"/>
    <w:rsid w:val="00E649B6"/>
    <w:rsid w:val="00E64B6B"/>
    <w:rsid w:val="00E6506D"/>
    <w:rsid w:val="00E650DD"/>
    <w:rsid w:val="00E651C0"/>
    <w:rsid w:val="00E652B7"/>
    <w:rsid w:val="00E65874"/>
    <w:rsid w:val="00E65BBB"/>
    <w:rsid w:val="00E65F09"/>
    <w:rsid w:val="00E65FF2"/>
    <w:rsid w:val="00E6699B"/>
    <w:rsid w:val="00E66E8B"/>
    <w:rsid w:val="00E671C3"/>
    <w:rsid w:val="00E67442"/>
    <w:rsid w:val="00E676AD"/>
    <w:rsid w:val="00E70AB7"/>
    <w:rsid w:val="00E7152C"/>
    <w:rsid w:val="00E71F2E"/>
    <w:rsid w:val="00E723BA"/>
    <w:rsid w:val="00E7249E"/>
    <w:rsid w:val="00E72A02"/>
    <w:rsid w:val="00E74852"/>
    <w:rsid w:val="00E74AF0"/>
    <w:rsid w:val="00E74B5D"/>
    <w:rsid w:val="00E75625"/>
    <w:rsid w:val="00E75640"/>
    <w:rsid w:val="00E7621A"/>
    <w:rsid w:val="00E76505"/>
    <w:rsid w:val="00E7712C"/>
    <w:rsid w:val="00E7792E"/>
    <w:rsid w:val="00E779BC"/>
    <w:rsid w:val="00E807A8"/>
    <w:rsid w:val="00E83317"/>
    <w:rsid w:val="00E83B4A"/>
    <w:rsid w:val="00E84055"/>
    <w:rsid w:val="00E84A62"/>
    <w:rsid w:val="00E84CBA"/>
    <w:rsid w:val="00E84CC0"/>
    <w:rsid w:val="00E85F0E"/>
    <w:rsid w:val="00E8654F"/>
    <w:rsid w:val="00E865AE"/>
    <w:rsid w:val="00E867D4"/>
    <w:rsid w:val="00E86DD6"/>
    <w:rsid w:val="00E8757C"/>
    <w:rsid w:val="00E90142"/>
    <w:rsid w:val="00E91661"/>
    <w:rsid w:val="00E92077"/>
    <w:rsid w:val="00E9269E"/>
    <w:rsid w:val="00E9382C"/>
    <w:rsid w:val="00E94142"/>
    <w:rsid w:val="00E943BA"/>
    <w:rsid w:val="00E9466D"/>
    <w:rsid w:val="00E95320"/>
    <w:rsid w:val="00E95460"/>
    <w:rsid w:val="00E955F6"/>
    <w:rsid w:val="00E95740"/>
    <w:rsid w:val="00E97B32"/>
    <w:rsid w:val="00EA0AB2"/>
    <w:rsid w:val="00EA0BFD"/>
    <w:rsid w:val="00EA1724"/>
    <w:rsid w:val="00EA185E"/>
    <w:rsid w:val="00EA1C87"/>
    <w:rsid w:val="00EA2162"/>
    <w:rsid w:val="00EA2757"/>
    <w:rsid w:val="00EA2EC1"/>
    <w:rsid w:val="00EA3098"/>
    <w:rsid w:val="00EA46D8"/>
    <w:rsid w:val="00EA46D9"/>
    <w:rsid w:val="00EA4BDE"/>
    <w:rsid w:val="00EA6A89"/>
    <w:rsid w:val="00EB1322"/>
    <w:rsid w:val="00EB16A6"/>
    <w:rsid w:val="00EB1B26"/>
    <w:rsid w:val="00EB1C83"/>
    <w:rsid w:val="00EB2556"/>
    <w:rsid w:val="00EB2584"/>
    <w:rsid w:val="00EB264A"/>
    <w:rsid w:val="00EB2931"/>
    <w:rsid w:val="00EB3433"/>
    <w:rsid w:val="00EB372F"/>
    <w:rsid w:val="00EB3B6D"/>
    <w:rsid w:val="00EB47DE"/>
    <w:rsid w:val="00EB4B2F"/>
    <w:rsid w:val="00EB5D4F"/>
    <w:rsid w:val="00EB6491"/>
    <w:rsid w:val="00EB6A6C"/>
    <w:rsid w:val="00EB6F96"/>
    <w:rsid w:val="00EB71BD"/>
    <w:rsid w:val="00EC03FC"/>
    <w:rsid w:val="00EC0591"/>
    <w:rsid w:val="00EC0E4D"/>
    <w:rsid w:val="00EC19E7"/>
    <w:rsid w:val="00EC21F7"/>
    <w:rsid w:val="00EC292D"/>
    <w:rsid w:val="00EC29FA"/>
    <w:rsid w:val="00EC2EF3"/>
    <w:rsid w:val="00EC3103"/>
    <w:rsid w:val="00EC3959"/>
    <w:rsid w:val="00EC3B26"/>
    <w:rsid w:val="00EC43C7"/>
    <w:rsid w:val="00EC49B6"/>
    <w:rsid w:val="00EC4B22"/>
    <w:rsid w:val="00EC4BBC"/>
    <w:rsid w:val="00EC4D48"/>
    <w:rsid w:val="00EC51B8"/>
    <w:rsid w:val="00EC58A0"/>
    <w:rsid w:val="00EC710A"/>
    <w:rsid w:val="00ED1743"/>
    <w:rsid w:val="00ED2073"/>
    <w:rsid w:val="00ED24A4"/>
    <w:rsid w:val="00ED24BA"/>
    <w:rsid w:val="00ED2A92"/>
    <w:rsid w:val="00ED3B22"/>
    <w:rsid w:val="00ED41C6"/>
    <w:rsid w:val="00ED4250"/>
    <w:rsid w:val="00ED6090"/>
    <w:rsid w:val="00ED6180"/>
    <w:rsid w:val="00ED61FD"/>
    <w:rsid w:val="00ED6786"/>
    <w:rsid w:val="00ED7E2B"/>
    <w:rsid w:val="00ED7FFB"/>
    <w:rsid w:val="00EE06A0"/>
    <w:rsid w:val="00EE0DB1"/>
    <w:rsid w:val="00EE11A1"/>
    <w:rsid w:val="00EE403E"/>
    <w:rsid w:val="00EE50E2"/>
    <w:rsid w:val="00EE654B"/>
    <w:rsid w:val="00EF020A"/>
    <w:rsid w:val="00EF0A75"/>
    <w:rsid w:val="00EF3177"/>
    <w:rsid w:val="00EF33EF"/>
    <w:rsid w:val="00EF35CD"/>
    <w:rsid w:val="00EF3B3B"/>
    <w:rsid w:val="00EF4513"/>
    <w:rsid w:val="00EF4A35"/>
    <w:rsid w:val="00EF4C5C"/>
    <w:rsid w:val="00EF575B"/>
    <w:rsid w:val="00EF63EF"/>
    <w:rsid w:val="00EF64C5"/>
    <w:rsid w:val="00EF6F1B"/>
    <w:rsid w:val="00EF6F4C"/>
    <w:rsid w:val="00EF7031"/>
    <w:rsid w:val="00EF76E4"/>
    <w:rsid w:val="00F001EE"/>
    <w:rsid w:val="00F008A6"/>
    <w:rsid w:val="00F01646"/>
    <w:rsid w:val="00F018FA"/>
    <w:rsid w:val="00F020DE"/>
    <w:rsid w:val="00F02E11"/>
    <w:rsid w:val="00F0304C"/>
    <w:rsid w:val="00F03938"/>
    <w:rsid w:val="00F06055"/>
    <w:rsid w:val="00F06342"/>
    <w:rsid w:val="00F06EE8"/>
    <w:rsid w:val="00F07191"/>
    <w:rsid w:val="00F07349"/>
    <w:rsid w:val="00F07C2C"/>
    <w:rsid w:val="00F10F18"/>
    <w:rsid w:val="00F113EF"/>
    <w:rsid w:val="00F11798"/>
    <w:rsid w:val="00F123B1"/>
    <w:rsid w:val="00F126F3"/>
    <w:rsid w:val="00F12AEA"/>
    <w:rsid w:val="00F12FDD"/>
    <w:rsid w:val="00F13038"/>
    <w:rsid w:val="00F1464E"/>
    <w:rsid w:val="00F154E6"/>
    <w:rsid w:val="00F1568D"/>
    <w:rsid w:val="00F15C48"/>
    <w:rsid w:val="00F15FDB"/>
    <w:rsid w:val="00F16B66"/>
    <w:rsid w:val="00F16D74"/>
    <w:rsid w:val="00F17CBA"/>
    <w:rsid w:val="00F20FAB"/>
    <w:rsid w:val="00F21663"/>
    <w:rsid w:val="00F21991"/>
    <w:rsid w:val="00F21ADC"/>
    <w:rsid w:val="00F21D33"/>
    <w:rsid w:val="00F21E52"/>
    <w:rsid w:val="00F22AE5"/>
    <w:rsid w:val="00F23C05"/>
    <w:rsid w:val="00F23FA0"/>
    <w:rsid w:val="00F271A2"/>
    <w:rsid w:val="00F27486"/>
    <w:rsid w:val="00F27629"/>
    <w:rsid w:val="00F2789F"/>
    <w:rsid w:val="00F27EF2"/>
    <w:rsid w:val="00F302A9"/>
    <w:rsid w:val="00F305B4"/>
    <w:rsid w:val="00F30DA2"/>
    <w:rsid w:val="00F31117"/>
    <w:rsid w:val="00F317F3"/>
    <w:rsid w:val="00F320B6"/>
    <w:rsid w:val="00F320EB"/>
    <w:rsid w:val="00F3236D"/>
    <w:rsid w:val="00F325C2"/>
    <w:rsid w:val="00F3290D"/>
    <w:rsid w:val="00F34B03"/>
    <w:rsid w:val="00F34BD5"/>
    <w:rsid w:val="00F34DEA"/>
    <w:rsid w:val="00F3559A"/>
    <w:rsid w:val="00F357CC"/>
    <w:rsid w:val="00F357EC"/>
    <w:rsid w:val="00F35898"/>
    <w:rsid w:val="00F366DF"/>
    <w:rsid w:val="00F368A1"/>
    <w:rsid w:val="00F37889"/>
    <w:rsid w:val="00F402F7"/>
    <w:rsid w:val="00F40994"/>
    <w:rsid w:val="00F40F46"/>
    <w:rsid w:val="00F41CEC"/>
    <w:rsid w:val="00F420D3"/>
    <w:rsid w:val="00F4266A"/>
    <w:rsid w:val="00F4271F"/>
    <w:rsid w:val="00F42E02"/>
    <w:rsid w:val="00F4346E"/>
    <w:rsid w:val="00F44460"/>
    <w:rsid w:val="00F455F1"/>
    <w:rsid w:val="00F45767"/>
    <w:rsid w:val="00F45B6D"/>
    <w:rsid w:val="00F464BE"/>
    <w:rsid w:val="00F46EDF"/>
    <w:rsid w:val="00F475F7"/>
    <w:rsid w:val="00F47C13"/>
    <w:rsid w:val="00F50239"/>
    <w:rsid w:val="00F50422"/>
    <w:rsid w:val="00F505D3"/>
    <w:rsid w:val="00F50765"/>
    <w:rsid w:val="00F50804"/>
    <w:rsid w:val="00F51D6A"/>
    <w:rsid w:val="00F52715"/>
    <w:rsid w:val="00F52D51"/>
    <w:rsid w:val="00F5382C"/>
    <w:rsid w:val="00F53A6F"/>
    <w:rsid w:val="00F54533"/>
    <w:rsid w:val="00F54851"/>
    <w:rsid w:val="00F54A76"/>
    <w:rsid w:val="00F54AA2"/>
    <w:rsid w:val="00F557DB"/>
    <w:rsid w:val="00F55F27"/>
    <w:rsid w:val="00F5653B"/>
    <w:rsid w:val="00F56AB8"/>
    <w:rsid w:val="00F56E8E"/>
    <w:rsid w:val="00F572DF"/>
    <w:rsid w:val="00F57961"/>
    <w:rsid w:val="00F60935"/>
    <w:rsid w:val="00F6154D"/>
    <w:rsid w:val="00F61765"/>
    <w:rsid w:val="00F61B2D"/>
    <w:rsid w:val="00F63CFA"/>
    <w:rsid w:val="00F63F4F"/>
    <w:rsid w:val="00F651AB"/>
    <w:rsid w:val="00F65AB2"/>
    <w:rsid w:val="00F661A1"/>
    <w:rsid w:val="00F66219"/>
    <w:rsid w:val="00F664A3"/>
    <w:rsid w:val="00F66568"/>
    <w:rsid w:val="00F66657"/>
    <w:rsid w:val="00F66E57"/>
    <w:rsid w:val="00F67273"/>
    <w:rsid w:val="00F672D3"/>
    <w:rsid w:val="00F673C4"/>
    <w:rsid w:val="00F67591"/>
    <w:rsid w:val="00F67C52"/>
    <w:rsid w:val="00F67ECD"/>
    <w:rsid w:val="00F70BB1"/>
    <w:rsid w:val="00F71B2E"/>
    <w:rsid w:val="00F72143"/>
    <w:rsid w:val="00F72E64"/>
    <w:rsid w:val="00F73CCD"/>
    <w:rsid w:val="00F74A40"/>
    <w:rsid w:val="00F74E92"/>
    <w:rsid w:val="00F7500D"/>
    <w:rsid w:val="00F756C1"/>
    <w:rsid w:val="00F75BD0"/>
    <w:rsid w:val="00F77927"/>
    <w:rsid w:val="00F77FDE"/>
    <w:rsid w:val="00F77FFB"/>
    <w:rsid w:val="00F80418"/>
    <w:rsid w:val="00F80C48"/>
    <w:rsid w:val="00F80F43"/>
    <w:rsid w:val="00F824EB"/>
    <w:rsid w:val="00F829C0"/>
    <w:rsid w:val="00F829F6"/>
    <w:rsid w:val="00F83A74"/>
    <w:rsid w:val="00F83C81"/>
    <w:rsid w:val="00F8521C"/>
    <w:rsid w:val="00F863E9"/>
    <w:rsid w:val="00F86810"/>
    <w:rsid w:val="00F86AF3"/>
    <w:rsid w:val="00F87139"/>
    <w:rsid w:val="00F87D57"/>
    <w:rsid w:val="00F9018C"/>
    <w:rsid w:val="00F90613"/>
    <w:rsid w:val="00F90837"/>
    <w:rsid w:val="00F90B3C"/>
    <w:rsid w:val="00F91846"/>
    <w:rsid w:val="00F91DCE"/>
    <w:rsid w:val="00F92FBB"/>
    <w:rsid w:val="00F934F2"/>
    <w:rsid w:val="00F93B23"/>
    <w:rsid w:val="00F9473F"/>
    <w:rsid w:val="00F94A2E"/>
    <w:rsid w:val="00F95A59"/>
    <w:rsid w:val="00F95DBC"/>
    <w:rsid w:val="00F962C9"/>
    <w:rsid w:val="00F9673C"/>
    <w:rsid w:val="00F97305"/>
    <w:rsid w:val="00F97FCC"/>
    <w:rsid w:val="00FA134A"/>
    <w:rsid w:val="00FA149E"/>
    <w:rsid w:val="00FA1631"/>
    <w:rsid w:val="00FA1D07"/>
    <w:rsid w:val="00FA2822"/>
    <w:rsid w:val="00FA34E4"/>
    <w:rsid w:val="00FA3BEF"/>
    <w:rsid w:val="00FA3E86"/>
    <w:rsid w:val="00FA3E97"/>
    <w:rsid w:val="00FA41E9"/>
    <w:rsid w:val="00FA4256"/>
    <w:rsid w:val="00FA443E"/>
    <w:rsid w:val="00FA58CD"/>
    <w:rsid w:val="00FA5E45"/>
    <w:rsid w:val="00FA64E9"/>
    <w:rsid w:val="00FA70CE"/>
    <w:rsid w:val="00FB064F"/>
    <w:rsid w:val="00FB1F9B"/>
    <w:rsid w:val="00FB24CA"/>
    <w:rsid w:val="00FB2592"/>
    <w:rsid w:val="00FB46C4"/>
    <w:rsid w:val="00FB6959"/>
    <w:rsid w:val="00FB6C48"/>
    <w:rsid w:val="00FB6F2A"/>
    <w:rsid w:val="00FC049E"/>
    <w:rsid w:val="00FC18ED"/>
    <w:rsid w:val="00FC237F"/>
    <w:rsid w:val="00FC280B"/>
    <w:rsid w:val="00FC2D5F"/>
    <w:rsid w:val="00FC31C5"/>
    <w:rsid w:val="00FC3318"/>
    <w:rsid w:val="00FC3444"/>
    <w:rsid w:val="00FC349F"/>
    <w:rsid w:val="00FC3726"/>
    <w:rsid w:val="00FC41C8"/>
    <w:rsid w:val="00FC53A2"/>
    <w:rsid w:val="00FC5E45"/>
    <w:rsid w:val="00FC742B"/>
    <w:rsid w:val="00FC7594"/>
    <w:rsid w:val="00FD081E"/>
    <w:rsid w:val="00FD0849"/>
    <w:rsid w:val="00FD096F"/>
    <w:rsid w:val="00FD1028"/>
    <w:rsid w:val="00FD1138"/>
    <w:rsid w:val="00FD11BE"/>
    <w:rsid w:val="00FD204F"/>
    <w:rsid w:val="00FD23E5"/>
    <w:rsid w:val="00FD2CE2"/>
    <w:rsid w:val="00FD2F9F"/>
    <w:rsid w:val="00FD4684"/>
    <w:rsid w:val="00FD4B0F"/>
    <w:rsid w:val="00FD5019"/>
    <w:rsid w:val="00FD59CF"/>
    <w:rsid w:val="00FD5CBC"/>
    <w:rsid w:val="00FD5FA6"/>
    <w:rsid w:val="00FD6253"/>
    <w:rsid w:val="00FD69E8"/>
    <w:rsid w:val="00FD6C68"/>
    <w:rsid w:val="00FD7DBD"/>
    <w:rsid w:val="00FE04B8"/>
    <w:rsid w:val="00FE19D7"/>
    <w:rsid w:val="00FE237A"/>
    <w:rsid w:val="00FE2EFB"/>
    <w:rsid w:val="00FE4499"/>
    <w:rsid w:val="00FE4888"/>
    <w:rsid w:val="00FE53AE"/>
    <w:rsid w:val="00FE56D1"/>
    <w:rsid w:val="00FE5AD3"/>
    <w:rsid w:val="00FF0A23"/>
    <w:rsid w:val="00FF0B45"/>
    <w:rsid w:val="00FF196B"/>
    <w:rsid w:val="00FF2CB3"/>
    <w:rsid w:val="00FF2E0F"/>
    <w:rsid w:val="00FF3AD9"/>
    <w:rsid w:val="00FF407B"/>
    <w:rsid w:val="00FF4379"/>
    <w:rsid w:val="00FF502E"/>
    <w:rsid w:val="00FF56A8"/>
    <w:rsid w:val="00FF5900"/>
    <w:rsid w:val="00FF599D"/>
    <w:rsid w:val="00FF74D9"/>
    <w:rsid w:val="00FF7517"/>
    <w:rsid w:val="00FF7B67"/>
    <w:rsid w:val="00FF7C47"/>
    <w:rsid w:val="0154D5EF"/>
    <w:rsid w:val="018AB837"/>
    <w:rsid w:val="01E0EE59"/>
    <w:rsid w:val="01F80A6D"/>
    <w:rsid w:val="020B9895"/>
    <w:rsid w:val="021D775E"/>
    <w:rsid w:val="0236F2BC"/>
    <w:rsid w:val="02479C62"/>
    <w:rsid w:val="0257326D"/>
    <w:rsid w:val="028FC55A"/>
    <w:rsid w:val="0296DA58"/>
    <w:rsid w:val="02AAAF1A"/>
    <w:rsid w:val="02B24027"/>
    <w:rsid w:val="02D86A17"/>
    <w:rsid w:val="02FEB169"/>
    <w:rsid w:val="03102738"/>
    <w:rsid w:val="031C9D34"/>
    <w:rsid w:val="033D4A71"/>
    <w:rsid w:val="0356C6C6"/>
    <w:rsid w:val="03785E9A"/>
    <w:rsid w:val="03F8B369"/>
    <w:rsid w:val="0413F66A"/>
    <w:rsid w:val="04222C3E"/>
    <w:rsid w:val="0422E2EF"/>
    <w:rsid w:val="042551A2"/>
    <w:rsid w:val="042BFA80"/>
    <w:rsid w:val="043F38DC"/>
    <w:rsid w:val="0441AE38"/>
    <w:rsid w:val="04808862"/>
    <w:rsid w:val="049F238C"/>
    <w:rsid w:val="04A120AC"/>
    <w:rsid w:val="04EF9EB3"/>
    <w:rsid w:val="0501B3FE"/>
    <w:rsid w:val="05442E7B"/>
    <w:rsid w:val="0559C7F6"/>
    <w:rsid w:val="056021F8"/>
    <w:rsid w:val="056FFC7D"/>
    <w:rsid w:val="05B357AF"/>
    <w:rsid w:val="05CA7319"/>
    <w:rsid w:val="05E29302"/>
    <w:rsid w:val="05ED3CBA"/>
    <w:rsid w:val="0600348A"/>
    <w:rsid w:val="06044226"/>
    <w:rsid w:val="062920D9"/>
    <w:rsid w:val="06317668"/>
    <w:rsid w:val="063A86E0"/>
    <w:rsid w:val="063D57A3"/>
    <w:rsid w:val="0666EE48"/>
    <w:rsid w:val="06C7EE3F"/>
    <w:rsid w:val="07422431"/>
    <w:rsid w:val="075CF753"/>
    <w:rsid w:val="07D52119"/>
    <w:rsid w:val="07E4A8D1"/>
    <w:rsid w:val="0801AC9C"/>
    <w:rsid w:val="08410D61"/>
    <w:rsid w:val="08992A68"/>
    <w:rsid w:val="08A1C9AD"/>
    <w:rsid w:val="08ABB705"/>
    <w:rsid w:val="08BE37AB"/>
    <w:rsid w:val="097B1663"/>
    <w:rsid w:val="09A04D62"/>
    <w:rsid w:val="09D01563"/>
    <w:rsid w:val="0A1B0974"/>
    <w:rsid w:val="0A5B2E0A"/>
    <w:rsid w:val="0A8AF854"/>
    <w:rsid w:val="0AF048B7"/>
    <w:rsid w:val="0B364A57"/>
    <w:rsid w:val="0B4A0479"/>
    <w:rsid w:val="0B5E4B06"/>
    <w:rsid w:val="0B6023DE"/>
    <w:rsid w:val="0B626286"/>
    <w:rsid w:val="0B6986B4"/>
    <w:rsid w:val="0B9747B9"/>
    <w:rsid w:val="0BC1D932"/>
    <w:rsid w:val="0BE30A4D"/>
    <w:rsid w:val="0BEE4A14"/>
    <w:rsid w:val="0C4FBCA5"/>
    <w:rsid w:val="0C5127F3"/>
    <w:rsid w:val="0C564DC5"/>
    <w:rsid w:val="0C9266F3"/>
    <w:rsid w:val="0CB71D6B"/>
    <w:rsid w:val="0CD3D3EC"/>
    <w:rsid w:val="0CDE3207"/>
    <w:rsid w:val="0CE0B705"/>
    <w:rsid w:val="0D269290"/>
    <w:rsid w:val="0D4EB954"/>
    <w:rsid w:val="0D6B0573"/>
    <w:rsid w:val="0D72CC42"/>
    <w:rsid w:val="0D8788E1"/>
    <w:rsid w:val="0DA4EBD1"/>
    <w:rsid w:val="0DAED2FC"/>
    <w:rsid w:val="0DE6021F"/>
    <w:rsid w:val="0DED257A"/>
    <w:rsid w:val="0E07A199"/>
    <w:rsid w:val="0E0C7D7B"/>
    <w:rsid w:val="0E1ED8CC"/>
    <w:rsid w:val="0E204C23"/>
    <w:rsid w:val="0E2D3CE5"/>
    <w:rsid w:val="0E2E898D"/>
    <w:rsid w:val="0E31D020"/>
    <w:rsid w:val="0E3C8358"/>
    <w:rsid w:val="0E3EBCB2"/>
    <w:rsid w:val="0E41776C"/>
    <w:rsid w:val="0EB7DB0D"/>
    <w:rsid w:val="0EB8F7FE"/>
    <w:rsid w:val="0EEFD2A1"/>
    <w:rsid w:val="0EF1A652"/>
    <w:rsid w:val="0F4DB786"/>
    <w:rsid w:val="0F52093F"/>
    <w:rsid w:val="0F570268"/>
    <w:rsid w:val="0F5B9AE5"/>
    <w:rsid w:val="0FCF81F3"/>
    <w:rsid w:val="0FD8E9EB"/>
    <w:rsid w:val="1000E3A7"/>
    <w:rsid w:val="10624F6E"/>
    <w:rsid w:val="10A3FD31"/>
    <w:rsid w:val="10C752E7"/>
    <w:rsid w:val="10F7056E"/>
    <w:rsid w:val="111C6D78"/>
    <w:rsid w:val="11691CBD"/>
    <w:rsid w:val="117C1FE2"/>
    <w:rsid w:val="11B83E08"/>
    <w:rsid w:val="11E80B7F"/>
    <w:rsid w:val="128DC42D"/>
    <w:rsid w:val="12A67E4C"/>
    <w:rsid w:val="12AB72DA"/>
    <w:rsid w:val="12BDD397"/>
    <w:rsid w:val="12BE1FE0"/>
    <w:rsid w:val="12DC348F"/>
    <w:rsid w:val="132C2CC9"/>
    <w:rsid w:val="1377DCDD"/>
    <w:rsid w:val="1378007C"/>
    <w:rsid w:val="138BC4CA"/>
    <w:rsid w:val="1393BF9D"/>
    <w:rsid w:val="13A51CF9"/>
    <w:rsid w:val="13B1F8DF"/>
    <w:rsid w:val="13D7134A"/>
    <w:rsid w:val="145BCE59"/>
    <w:rsid w:val="15075DBC"/>
    <w:rsid w:val="15C2F22E"/>
    <w:rsid w:val="15C7C1D4"/>
    <w:rsid w:val="15DEA0CF"/>
    <w:rsid w:val="15F71043"/>
    <w:rsid w:val="1611D9DE"/>
    <w:rsid w:val="162036CE"/>
    <w:rsid w:val="162AC9E5"/>
    <w:rsid w:val="164F87C9"/>
    <w:rsid w:val="166ED327"/>
    <w:rsid w:val="16971C16"/>
    <w:rsid w:val="16D2B1DB"/>
    <w:rsid w:val="16F89807"/>
    <w:rsid w:val="170EFE82"/>
    <w:rsid w:val="17105880"/>
    <w:rsid w:val="172082C5"/>
    <w:rsid w:val="172FEB2A"/>
    <w:rsid w:val="1733970B"/>
    <w:rsid w:val="178286E4"/>
    <w:rsid w:val="17919304"/>
    <w:rsid w:val="179A1F2D"/>
    <w:rsid w:val="17B3368A"/>
    <w:rsid w:val="17C63415"/>
    <w:rsid w:val="1801ABCD"/>
    <w:rsid w:val="1850FE02"/>
    <w:rsid w:val="186B0F59"/>
    <w:rsid w:val="189D8BC8"/>
    <w:rsid w:val="18BE46F0"/>
    <w:rsid w:val="18BEC831"/>
    <w:rsid w:val="1928B7E9"/>
    <w:rsid w:val="1944A41B"/>
    <w:rsid w:val="19510569"/>
    <w:rsid w:val="19544749"/>
    <w:rsid w:val="195F0EA9"/>
    <w:rsid w:val="197BE337"/>
    <w:rsid w:val="19909DEE"/>
    <w:rsid w:val="19A2924B"/>
    <w:rsid w:val="19B7D708"/>
    <w:rsid w:val="19CEEC5D"/>
    <w:rsid w:val="1A0301EA"/>
    <w:rsid w:val="1A175283"/>
    <w:rsid w:val="1A6065D6"/>
    <w:rsid w:val="1AA607B5"/>
    <w:rsid w:val="1ACFAB1F"/>
    <w:rsid w:val="1AD59D59"/>
    <w:rsid w:val="1ADFC997"/>
    <w:rsid w:val="1AEC00FF"/>
    <w:rsid w:val="1AF5BF33"/>
    <w:rsid w:val="1AF67265"/>
    <w:rsid w:val="1AFD729B"/>
    <w:rsid w:val="1AFE5210"/>
    <w:rsid w:val="1B05A794"/>
    <w:rsid w:val="1B395034"/>
    <w:rsid w:val="1B420852"/>
    <w:rsid w:val="1B4563F9"/>
    <w:rsid w:val="1B469D2F"/>
    <w:rsid w:val="1B4DF0C0"/>
    <w:rsid w:val="1B4FE590"/>
    <w:rsid w:val="1B68F514"/>
    <w:rsid w:val="1B704EC2"/>
    <w:rsid w:val="1BE0AF24"/>
    <w:rsid w:val="1BE5D4A7"/>
    <w:rsid w:val="1C9EC444"/>
    <w:rsid w:val="1CBDA41C"/>
    <w:rsid w:val="1CF1F9FD"/>
    <w:rsid w:val="1D2916EE"/>
    <w:rsid w:val="1D3A2252"/>
    <w:rsid w:val="1DAAC493"/>
    <w:rsid w:val="1DAE804C"/>
    <w:rsid w:val="1DB9435B"/>
    <w:rsid w:val="1DE0BA1A"/>
    <w:rsid w:val="1E00A51A"/>
    <w:rsid w:val="1E297051"/>
    <w:rsid w:val="1E6FC7E5"/>
    <w:rsid w:val="1E71443E"/>
    <w:rsid w:val="1E775739"/>
    <w:rsid w:val="1E8EE3BC"/>
    <w:rsid w:val="1EB405D7"/>
    <w:rsid w:val="1EDD33DC"/>
    <w:rsid w:val="1F317BA8"/>
    <w:rsid w:val="1FA9AD7B"/>
    <w:rsid w:val="1FE76BEA"/>
    <w:rsid w:val="1FFD26DF"/>
    <w:rsid w:val="2009C0B2"/>
    <w:rsid w:val="2021D17D"/>
    <w:rsid w:val="206719E4"/>
    <w:rsid w:val="20789426"/>
    <w:rsid w:val="20A3BFEE"/>
    <w:rsid w:val="20D74C6C"/>
    <w:rsid w:val="210BC066"/>
    <w:rsid w:val="210E0EC6"/>
    <w:rsid w:val="211ED7C2"/>
    <w:rsid w:val="21434305"/>
    <w:rsid w:val="216DDAE5"/>
    <w:rsid w:val="2178B9C1"/>
    <w:rsid w:val="2183851E"/>
    <w:rsid w:val="2186DB7B"/>
    <w:rsid w:val="2190D40C"/>
    <w:rsid w:val="219A5670"/>
    <w:rsid w:val="21C06745"/>
    <w:rsid w:val="21C31B9B"/>
    <w:rsid w:val="220D2129"/>
    <w:rsid w:val="22353A12"/>
    <w:rsid w:val="223E6F50"/>
    <w:rsid w:val="227DDF60"/>
    <w:rsid w:val="229A36BA"/>
    <w:rsid w:val="22A00B98"/>
    <w:rsid w:val="232EAACC"/>
    <w:rsid w:val="2361C49B"/>
    <w:rsid w:val="236C3D3A"/>
    <w:rsid w:val="237D2DD1"/>
    <w:rsid w:val="2384B873"/>
    <w:rsid w:val="2399BB1A"/>
    <w:rsid w:val="23B8A882"/>
    <w:rsid w:val="23F30F48"/>
    <w:rsid w:val="24000960"/>
    <w:rsid w:val="244C97DA"/>
    <w:rsid w:val="246F6C43"/>
    <w:rsid w:val="248CBE50"/>
    <w:rsid w:val="24AA2BAC"/>
    <w:rsid w:val="24B5952B"/>
    <w:rsid w:val="24E024F1"/>
    <w:rsid w:val="253A33C5"/>
    <w:rsid w:val="25758530"/>
    <w:rsid w:val="25895D4B"/>
    <w:rsid w:val="25902AE5"/>
    <w:rsid w:val="25A06422"/>
    <w:rsid w:val="25F08D12"/>
    <w:rsid w:val="264ED4BF"/>
    <w:rsid w:val="26580D66"/>
    <w:rsid w:val="272F7AF1"/>
    <w:rsid w:val="27322077"/>
    <w:rsid w:val="27A3357B"/>
    <w:rsid w:val="284BA5FC"/>
    <w:rsid w:val="28AE85B2"/>
    <w:rsid w:val="28CB2356"/>
    <w:rsid w:val="28D626CF"/>
    <w:rsid w:val="28F66322"/>
    <w:rsid w:val="290247CA"/>
    <w:rsid w:val="2915EF7E"/>
    <w:rsid w:val="29707FB5"/>
    <w:rsid w:val="29D267B0"/>
    <w:rsid w:val="29F237AF"/>
    <w:rsid w:val="2A93B6D0"/>
    <w:rsid w:val="2A94D408"/>
    <w:rsid w:val="2AA2B82F"/>
    <w:rsid w:val="2AC406B3"/>
    <w:rsid w:val="2AC5CF4C"/>
    <w:rsid w:val="2AF368AE"/>
    <w:rsid w:val="2B63E5BE"/>
    <w:rsid w:val="2B64CF21"/>
    <w:rsid w:val="2B8B5230"/>
    <w:rsid w:val="2BAF1EBC"/>
    <w:rsid w:val="2BBD5F76"/>
    <w:rsid w:val="2BC15FC5"/>
    <w:rsid w:val="2BF2DC0D"/>
    <w:rsid w:val="2C25C5E8"/>
    <w:rsid w:val="2C285913"/>
    <w:rsid w:val="2C3D5D79"/>
    <w:rsid w:val="2C63C6D2"/>
    <w:rsid w:val="2C742FE8"/>
    <w:rsid w:val="2C762CB7"/>
    <w:rsid w:val="2CA242D3"/>
    <w:rsid w:val="2CCEDE7C"/>
    <w:rsid w:val="2D3F228D"/>
    <w:rsid w:val="2D918784"/>
    <w:rsid w:val="2D9B8F26"/>
    <w:rsid w:val="2DC8D84F"/>
    <w:rsid w:val="2DDC923E"/>
    <w:rsid w:val="2E193427"/>
    <w:rsid w:val="2E86A3B2"/>
    <w:rsid w:val="2EC0F758"/>
    <w:rsid w:val="2EE87AC9"/>
    <w:rsid w:val="2EFF5E80"/>
    <w:rsid w:val="2F551DD0"/>
    <w:rsid w:val="2F726613"/>
    <w:rsid w:val="2FE80022"/>
    <w:rsid w:val="303E3FE5"/>
    <w:rsid w:val="3050FA4F"/>
    <w:rsid w:val="30629D6C"/>
    <w:rsid w:val="30AF505C"/>
    <w:rsid w:val="30B1391C"/>
    <w:rsid w:val="30C1A6F6"/>
    <w:rsid w:val="30E5D6F7"/>
    <w:rsid w:val="30F725AB"/>
    <w:rsid w:val="31005E8F"/>
    <w:rsid w:val="311834B7"/>
    <w:rsid w:val="3166A7BE"/>
    <w:rsid w:val="316BCC2B"/>
    <w:rsid w:val="31748A1D"/>
    <w:rsid w:val="31892B76"/>
    <w:rsid w:val="31AF4765"/>
    <w:rsid w:val="31BAB985"/>
    <w:rsid w:val="31DC1B1C"/>
    <w:rsid w:val="31DDC942"/>
    <w:rsid w:val="31EFE7EC"/>
    <w:rsid w:val="321635CD"/>
    <w:rsid w:val="323F2E5E"/>
    <w:rsid w:val="324395E9"/>
    <w:rsid w:val="327187B1"/>
    <w:rsid w:val="3275F105"/>
    <w:rsid w:val="32AEA2DA"/>
    <w:rsid w:val="32BA4024"/>
    <w:rsid w:val="32C99F77"/>
    <w:rsid w:val="32D2EAF7"/>
    <w:rsid w:val="32DFD7F0"/>
    <w:rsid w:val="33085497"/>
    <w:rsid w:val="3316FEE4"/>
    <w:rsid w:val="334B84FC"/>
    <w:rsid w:val="337116DB"/>
    <w:rsid w:val="338695EE"/>
    <w:rsid w:val="339ABA67"/>
    <w:rsid w:val="340124D7"/>
    <w:rsid w:val="34149A2B"/>
    <w:rsid w:val="3416F706"/>
    <w:rsid w:val="34631915"/>
    <w:rsid w:val="3464A8F5"/>
    <w:rsid w:val="3474C11C"/>
    <w:rsid w:val="34FFE873"/>
    <w:rsid w:val="353C1953"/>
    <w:rsid w:val="35AF29A4"/>
    <w:rsid w:val="35AF3790"/>
    <w:rsid w:val="35B87F04"/>
    <w:rsid w:val="35D604D6"/>
    <w:rsid w:val="360F62FE"/>
    <w:rsid w:val="36300194"/>
    <w:rsid w:val="36962364"/>
    <w:rsid w:val="369B0F65"/>
    <w:rsid w:val="36AD1CD3"/>
    <w:rsid w:val="36B96650"/>
    <w:rsid w:val="36DB60C5"/>
    <w:rsid w:val="36F5AEF0"/>
    <w:rsid w:val="37336F35"/>
    <w:rsid w:val="373E3FC7"/>
    <w:rsid w:val="375FF9A7"/>
    <w:rsid w:val="37995039"/>
    <w:rsid w:val="379A381F"/>
    <w:rsid w:val="379A7599"/>
    <w:rsid w:val="37C17AB8"/>
    <w:rsid w:val="37CD1F49"/>
    <w:rsid w:val="37CE7967"/>
    <w:rsid w:val="37EE7911"/>
    <w:rsid w:val="38065BE2"/>
    <w:rsid w:val="38329B13"/>
    <w:rsid w:val="38338D74"/>
    <w:rsid w:val="3860BF3E"/>
    <w:rsid w:val="38A210CD"/>
    <w:rsid w:val="38C1F7AA"/>
    <w:rsid w:val="38CCE7A1"/>
    <w:rsid w:val="39051143"/>
    <w:rsid w:val="39083893"/>
    <w:rsid w:val="393714DF"/>
    <w:rsid w:val="395DFBD7"/>
    <w:rsid w:val="3A428FC1"/>
    <w:rsid w:val="3A4FA68D"/>
    <w:rsid w:val="3A64913F"/>
    <w:rsid w:val="3A7E4B07"/>
    <w:rsid w:val="3AC9499D"/>
    <w:rsid w:val="3AE69BA3"/>
    <w:rsid w:val="3B1C53A1"/>
    <w:rsid w:val="3B6CA13A"/>
    <w:rsid w:val="3B8892C0"/>
    <w:rsid w:val="3B8CF514"/>
    <w:rsid w:val="3BA34BBE"/>
    <w:rsid w:val="3BB3BAF7"/>
    <w:rsid w:val="3BB3E1A0"/>
    <w:rsid w:val="3BD3A7CA"/>
    <w:rsid w:val="3BE3A6A9"/>
    <w:rsid w:val="3BF2442C"/>
    <w:rsid w:val="3C042E0B"/>
    <w:rsid w:val="3C3F94F5"/>
    <w:rsid w:val="3CCCADDC"/>
    <w:rsid w:val="3DAB7B67"/>
    <w:rsid w:val="3DE5C5F8"/>
    <w:rsid w:val="3DEB6A5C"/>
    <w:rsid w:val="3DF82907"/>
    <w:rsid w:val="3E0D0C07"/>
    <w:rsid w:val="3E12A4D8"/>
    <w:rsid w:val="3E53396B"/>
    <w:rsid w:val="3E59AE93"/>
    <w:rsid w:val="3E5FE24B"/>
    <w:rsid w:val="3E7E588D"/>
    <w:rsid w:val="3EC05A91"/>
    <w:rsid w:val="3EC32BFA"/>
    <w:rsid w:val="3EC9AF52"/>
    <w:rsid w:val="3F01FEDB"/>
    <w:rsid w:val="3F309448"/>
    <w:rsid w:val="3F4AFF06"/>
    <w:rsid w:val="3F608515"/>
    <w:rsid w:val="3F6CAC55"/>
    <w:rsid w:val="3F85EBD6"/>
    <w:rsid w:val="3F88C58D"/>
    <w:rsid w:val="400BCB7B"/>
    <w:rsid w:val="400BE1FA"/>
    <w:rsid w:val="401C8A17"/>
    <w:rsid w:val="40263988"/>
    <w:rsid w:val="4066EFDC"/>
    <w:rsid w:val="407EFD88"/>
    <w:rsid w:val="40AC27F8"/>
    <w:rsid w:val="40D1F711"/>
    <w:rsid w:val="40EBC7A7"/>
    <w:rsid w:val="4145D038"/>
    <w:rsid w:val="4168632A"/>
    <w:rsid w:val="41BEA8DF"/>
    <w:rsid w:val="41CA537E"/>
    <w:rsid w:val="41D11357"/>
    <w:rsid w:val="41DCA067"/>
    <w:rsid w:val="41EBC77D"/>
    <w:rsid w:val="42815978"/>
    <w:rsid w:val="4294FA67"/>
    <w:rsid w:val="42BDBD93"/>
    <w:rsid w:val="433CA5E1"/>
    <w:rsid w:val="435CE5CB"/>
    <w:rsid w:val="43AB2A00"/>
    <w:rsid w:val="43BEBA79"/>
    <w:rsid w:val="43D7A70B"/>
    <w:rsid w:val="44237A97"/>
    <w:rsid w:val="44571E55"/>
    <w:rsid w:val="44854198"/>
    <w:rsid w:val="44A4C4E3"/>
    <w:rsid w:val="44B68337"/>
    <w:rsid w:val="44BF2500"/>
    <w:rsid w:val="4501462E"/>
    <w:rsid w:val="4553AC46"/>
    <w:rsid w:val="457149F1"/>
    <w:rsid w:val="4580AD6C"/>
    <w:rsid w:val="45C1703B"/>
    <w:rsid w:val="466F4986"/>
    <w:rsid w:val="46E0204B"/>
    <w:rsid w:val="46E542D1"/>
    <w:rsid w:val="46ED895E"/>
    <w:rsid w:val="47115B04"/>
    <w:rsid w:val="47122787"/>
    <w:rsid w:val="4739928B"/>
    <w:rsid w:val="4767B701"/>
    <w:rsid w:val="477D638D"/>
    <w:rsid w:val="479E1656"/>
    <w:rsid w:val="484E996C"/>
    <w:rsid w:val="48519095"/>
    <w:rsid w:val="48795C70"/>
    <w:rsid w:val="48E4CC85"/>
    <w:rsid w:val="495A992C"/>
    <w:rsid w:val="49B92F11"/>
    <w:rsid w:val="49CE50AE"/>
    <w:rsid w:val="49E6244F"/>
    <w:rsid w:val="4A236C60"/>
    <w:rsid w:val="4A4BCAEB"/>
    <w:rsid w:val="4AA62FA0"/>
    <w:rsid w:val="4BB20E02"/>
    <w:rsid w:val="4C308437"/>
    <w:rsid w:val="4CC3C95B"/>
    <w:rsid w:val="4CC8C9B2"/>
    <w:rsid w:val="4DB30308"/>
    <w:rsid w:val="4DD3D08B"/>
    <w:rsid w:val="4E183C95"/>
    <w:rsid w:val="4E23CD6F"/>
    <w:rsid w:val="4E3073E4"/>
    <w:rsid w:val="4E32D4A7"/>
    <w:rsid w:val="4E634834"/>
    <w:rsid w:val="4E684616"/>
    <w:rsid w:val="4E6F3A8D"/>
    <w:rsid w:val="4EB726C5"/>
    <w:rsid w:val="4EFCA335"/>
    <w:rsid w:val="4F215BDF"/>
    <w:rsid w:val="4F71B1EF"/>
    <w:rsid w:val="4F85716B"/>
    <w:rsid w:val="4FC06FF7"/>
    <w:rsid w:val="4FD16A92"/>
    <w:rsid w:val="4FDFE976"/>
    <w:rsid w:val="4FEB84AA"/>
    <w:rsid w:val="50BF06EE"/>
    <w:rsid w:val="50EA1B1E"/>
    <w:rsid w:val="512F1788"/>
    <w:rsid w:val="5138B9CC"/>
    <w:rsid w:val="518E5B82"/>
    <w:rsid w:val="5191E58B"/>
    <w:rsid w:val="51968B46"/>
    <w:rsid w:val="51F5B6B6"/>
    <w:rsid w:val="52801259"/>
    <w:rsid w:val="529C6DA5"/>
    <w:rsid w:val="52C23402"/>
    <w:rsid w:val="52F7EAEA"/>
    <w:rsid w:val="531C0CA8"/>
    <w:rsid w:val="5339BE2D"/>
    <w:rsid w:val="53421FEF"/>
    <w:rsid w:val="53828D8A"/>
    <w:rsid w:val="539494C3"/>
    <w:rsid w:val="53A8AC63"/>
    <w:rsid w:val="53AF7F75"/>
    <w:rsid w:val="54469C70"/>
    <w:rsid w:val="544D0774"/>
    <w:rsid w:val="54509AA1"/>
    <w:rsid w:val="54B0870B"/>
    <w:rsid w:val="54D9578D"/>
    <w:rsid w:val="551F7AA2"/>
    <w:rsid w:val="55409F09"/>
    <w:rsid w:val="554E512B"/>
    <w:rsid w:val="5604EEAA"/>
    <w:rsid w:val="561939C7"/>
    <w:rsid w:val="5667ACF5"/>
    <w:rsid w:val="5675CB07"/>
    <w:rsid w:val="56889911"/>
    <w:rsid w:val="56A3DDD6"/>
    <w:rsid w:val="56D9339A"/>
    <w:rsid w:val="56EDEA6F"/>
    <w:rsid w:val="56F75338"/>
    <w:rsid w:val="56FBD091"/>
    <w:rsid w:val="5702B624"/>
    <w:rsid w:val="578B9EC7"/>
    <w:rsid w:val="57C5E6BB"/>
    <w:rsid w:val="57E69B10"/>
    <w:rsid w:val="5805BC08"/>
    <w:rsid w:val="5807BB88"/>
    <w:rsid w:val="5828B8CE"/>
    <w:rsid w:val="584A1E09"/>
    <w:rsid w:val="58C3AA8E"/>
    <w:rsid w:val="59803754"/>
    <w:rsid w:val="59A78FD9"/>
    <w:rsid w:val="59B6895B"/>
    <w:rsid w:val="59B6BBD1"/>
    <w:rsid w:val="59BAB74D"/>
    <w:rsid w:val="59C41394"/>
    <w:rsid w:val="59F2FB77"/>
    <w:rsid w:val="59FA924A"/>
    <w:rsid w:val="5A16DAFE"/>
    <w:rsid w:val="5A264D60"/>
    <w:rsid w:val="5A2C10D3"/>
    <w:rsid w:val="5A82C0CE"/>
    <w:rsid w:val="5A82F6FF"/>
    <w:rsid w:val="5AECEFFB"/>
    <w:rsid w:val="5AEFB500"/>
    <w:rsid w:val="5B79938F"/>
    <w:rsid w:val="5B7BC6F4"/>
    <w:rsid w:val="5B993B4C"/>
    <w:rsid w:val="5BA94D71"/>
    <w:rsid w:val="5BABD890"/>
    <w:rsid w:val="5BBB5C2A"/>
    <w:rsid w:val="5BBD23D9"/>
    <w:rsid w:val="5BE73D9E"/>
    <w:rsid w:val="5C09C6B0"/>
    <w:rsid w:val="5C2F0E9C"/>
    <w:rsid w:val="5C5A144C"/>
    <w:rsid w:val="5C722B9F"/>
    <w:rsid w:val="5CA60456"/>
    <w:rsid w:val="5CC299F5"/>
    <w:rsid w:val="5CD56F05"/>
    <w:rsid w:val="5D1418F9"/>
    <w:rsid w:val="5D15D032"/>
    <w:rsid w:val="5D27FC86"/>
    <w:rsid w:val="5D54F69E"/>
    <w:rsid w:val="5D73DBD3"/>
    <w:rsid w:val="5D7D5D67"/>
    <w:rsid w:val="5D895831"/>
    <w:rsid w:val="5D8EE897"/>
    <w:rsid w:val="5DF0090A"/>
    <w:rsid w:val="5DF5F546"/>
    <w:rsid w:val="5DF8BCEB"/>
    <w:rsid w:val="5E289B0F"/>
    <w:rsid w:val="5E89FF67"/>
    <w:rsid w:val="5EFA4E99"/>
    <w:rsid w:val="5EFCE8D9"/>
    <w:rsid w:val="5F5937F3"/>
    <w:rsid w:val="5F7CC9AE"/>
    <w:rsid w:val="5FB71688"/>
    <w:rsid w:val="5FE5AF91"/>
    <w:rsid w:val="60005297"/>
    <w:rsid w:val="602EB4E1"/>
    <w:rsid w:val="605524A2"/>
    <w:rsid w:val="6079A48C"/>
    <w:rsid w:val="608C26AB"/>
    <w:rsid w:val="60DBD239"/>
    <w:rsid w:val="60EF996E"/>
    <w:rsid w:val="61376617"/>
    <w:rsid w:val="613D55D5"/>
    <w:rsid w:val="615F37B7"/>
    <w:rsid w:val="620E0750"/>
    <w:rsid w:val="62163CE0"/>
    <w:rsid w:val="622461C6"/>
    <w:rsid w:val="623B379D"/>
    <w:rsid w:val="632B487B"/>
    <w:rsid w:val="632EEDCC"/>
    <w:rsid w:val="63736B13"/>
    <w:rsid w:val="63884D37"/>
    <w:rsid w:val="63C1119F"/>
    <w:rsid w:val="63C215BB"/>
    <w:rsid w:val="63E06E9C"/>
    <w:rsid w:val="63E77EB3"/>
    <w:rsid w:val="63F46C99"/>
    <w:rsid w:val="64019F7E"/>
    <w:rsid w:val="6442D3F9"/>
    <w:rsid w:val="64433F07"/>
    <w:rsid w:val="64454F00"/>
    <w:rsid w:val="6463232A"/>
    <w:rsid w:val="646A656F"/>
    <w:rsid w:val="6538440D"/>
    <w:rsid w:val="65388367"/>
    <w:rsid w:val="656A00BB"/>
    <w:rsid w:val="6586844A"/>
    <w:rsid w:val="65C0EC31"/>
    <w:rsid w:val="65CCFDAC"/>
    <w:rsid w:val="6621A8E6"/>
    <w:rsid w:val="6658A0F6"/>
    <w:rsid w:val="66643575"/>
    <w:rsid w:val="66BA5C02"/>
    <w:rsid w:val="66D5CDD4"/>
    <w:rsid w:val="6744821A"/>
    <w:rsid w:val="67901324"/>
    <w:rsid w:val="67A3428F"/>
    <w:rsid w:val="67B6321F"/>
    <w:rsid w:val="6839E044"/>
    <w:rsid w:val="687AA7ED"/>
    <w:rsid w:val="6887637F"/>
    <w:rsid w:val="688A75B4"/>
    <w:rsid w:val="68DA24F2"/>
    <w:rsid w:val="690A74D2"/>
    <w:rsid w:val="6913AC94"/>
    <w:rsid w:val="695AF3C6"/>
    <w:rsid w:val="6964F3AC"/>
    <w:rsid w:val="69763869"/>
    <w:rsid w:val="698B6F1C"/>
    <w:rsid w:val="69DCA86E"/>
    <w:rsid w:val="6A231BCF"/>
    <w:rsid w:val="6A60D548"/>
    <w:rsid w:val="6A8E0F7C"/>
    <w:rsid w:val="6A92AE91"/>
    <w:rsid w:val="6A980445"/>
    <w:rsid w:val="6AAC6733"/>
    <w:rsid w:val="6AAFDA00"/>
    <w:rsid w:val="6AC11954"/>
    <w:rsid w:val="6AF81F0A"/>
    <w:rsid w:val="6B2A58DA"/>
    <w:rsid w:val="6B62DF52"/>
    <w:rsid w:val="6B69C417"/>
    <w:rsid w:val="6BB6E430"/>
    <w:rsid w:val="6BEFB28C"/>
    <w:rsid w:val="6BF51DBC"/>
    <w:rsid w:val="6C0BDC7B"/>
    <w:rsid w:val="6C273CF4"/>
    <w:rsid w:val="6C3C43E8"/>
    <w:rsid w:val="6C437BF7"/>
    <w:rsid w:val="6C5739E6"/>
    <w:rsid w:val="6C77DE4A"/>
    <w:rsid w:val="6C9AE381"/>
    <w:rsid w:val="6CB6EAE4"/>
    <w:rsid w:val="6CCF9CAD"/>
    <w:rsid w:val="6CE30A2C"/>
    <w:rsid w:val="6D0DB169"/>
    <w:rsid w:val="6D188919"/>
    <w:rsid w:val="6D4B9025"/>
    <w:rsid w:val="6D5723EF"/>
    <w:rsid w:val="6D67845F"/>
    <w:rsid w:val="6D72E943"/>
    <w:rsid w:val="6DB05647"/>
    <w:rsid w:val="6DB433F2"/>
    <w:rsid w:val="6E4DCEB0"/>
    <w:rsid w:val="6E58BBCD"/>
    <w:rsid w:val="6E816A7D"/>
    <w:rsid w:val="6E974B2E"/>
    <w:rsid w:val="6F026E8E"/>
    <w:rsid w:val="6F32D624"/>
    <w:rsid w:val="6F5F83DB"/>
    <w:rsid w:val="6F75C436"/>
    <w:rsid w:val="6F8C5C19"/>
    <w:rsid w:val="6FA5625F"/>
    <w:rsid w:val="6FFFD508"/>
    <w:rsid w:val="703928EC"/>
    <w:rsid w:val="707A0DB5"/>
    <w:rsid w:val="709E52D7"/>
    <w:rsid w:val="710ADB31"/>
    <w:rsid w:val="712A6494"/>
    <w:rsid w:val="714C681F"/>
    <w:rsid w:val="71505916"/>
    <w:rsid w:val="71596C7F"/>
    <w:rsid w:val="715C21BE"/>
    <w:rsid w:val="7188446D"/>
    <w:rsid w:val="718B78E7"/>
    <w:rsid w:val="72211682"/>
    <w:rsid w:val="723C7599"/>
    <w:rsid w:val="724B63E9"/>
    <w:rsid w:val="72604459"/>
    <w:rsid w:val="72717D1B"/>
    <w:rsid w:val="72A0A53F"/>
    <w:rsid w:val="72E7BA7C"/>
    <w:rsid w:val="739E4250"/>
    <w:rsid w:val="74059856"/>
    <w:rsid w:val="7429FCEF"/>
    <w:rsid w:val="744C42B2"/>
    <w:rsid w:val="744E0E99"/>
    <w:rsid w:val="745AB916"/>
    <w:rsid w:val="747B84E8"/>
    <w:rsid w:val="74864B9D"/>
    <w:rsid w:val="7507B898"/>
    <w:rsid w:val="750CE940"/>
    <w:rsid w:val="750F327F"/>
    <w:rsid w:val="7531644C"/>
    <w:rsid w:val="75351639"/>
    <w:rsid w:val="7535D3C8"/>
    <w:rsid w:val="75457BDA"/>
    <w:rsid w:val="75573085"/>
    <w:rsid w:val="7575839F"/>
    <w:rsid w:val="759131AA"/>
    <w:rsid w:val="75983CA4"/>
    <w:rsid w:val="75F63874"/>
    <w:rsid w:val="760F8A52"/>
    <w:rsid w:val="7642E851"/>
    <w:rsid w:val="769D9927"/>
    <w:rsid w:val="773C7A39"/>
    <w:rsid w:val="77546E9C"/>
    <w:rsid w:val="775FF39B"/>
    <w:rsid w:val="77727A65"/>
    <w:rsid w:val="777DC7F8"/>
    <w:rsid w:val="777FBB5F"/>
    <w:rsid w:val="77C412C4"/>
    <w:rsid w:val="7824A6B2"/>
    <w:rsid w:val="78824C70"/>
    <w:rsid w:val="78CF9D45"/>
    <w:rsid w:val="78E5AE9E"/>
    <w:rsid w:val="78FB9F64"/>
    <w:rsid w:val="79107BF7"/>
    <w:rsid w:val="7923E3BA"/>
    <w:rsid w:val="7980D9F4"/>
    <w:rsid w:val="798FE5CC"/>
    <w:rsid w:val="7A24D4CA"/>
    <w:rsid w:val="7A3A5ED1"/>
    <w:rsid w:val="7A7EC2C7"/>
    <w:rsid w:val="7A98F7F0"/>
    <w:rsid w:val="7ABBC628"/>
    <w:rsid w:val="7AE0AEDB"/>
    <w:rsid w:val="7B142B99"/>
    <w:rsid w:val="7B39EFE3"/>
    <w:rsid w:val="7B444394"/>
    <w:rsid w:val="7B47B360"/>
    <w:rsid w:val="7BAE0CAF"/>
    <w:rsid w:val="7BD44AD4"/>
    <w:rsid w:val="7BED2942"/>
    <w:rsid w:val="7C02B806"/>
    <w:rsid w:val="7C16F4B6"/>
    <w:rsid w:val="7CA5557E"/>
    <w:rsid w:val="7CAFD5DE"/>
    <w:rsid w:val="7CB9156F"/>
    <w:rsid w:val="7D1C3B47"/>
    <w:rsid w:val="7D2BE286"/>
    <w:rsid w:val="7D332654"/>
    <w:rsid w:val="7D6561B4"/>
    <w:rsid w:val="7D6B0878"/>
    <w:rsid w:val="7DA894F9"/>
    <w:rsid w:val="7DB6047F"/>
    <w:rsid w:val="7E0512B3"/>
    <w:rsid w:val="7E17D51A"/>
    <w:rsid w:val="7E510357"/>
    <w:rsid w:val="7E513074"/>
    <w:rsid w:val="7E8B8E7B"/>
    <w:rsid w:val="7EB55915"/>
    <w:rsid w:val="7EEE1494"/>
    <w:rsid w:val="7EEF72B4"/>
    <w:rsid w:val="7F26CB39"/>
    <w:rsid w:val="7F8B44CE"/>
    <w:rsid w:val="7FF1E676"/>
    <w:rsid w:val="7FF9555A"/>
    <w:rsid w:val="7FFEB45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76F5D"/>
  <w15:chartTrackingRefBased/>
  <w15:docId w15:val="{CE4E7063-7239-42EB-A59E-686584B6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AE7"/>
    <w:pPr>
      <w:spacing w:before="120"/>
    </w:pPr>
  </w:style>
  <w:style w:type="paragraph" w:styleId="Heading1">
    <w:name w:val="heading 1"/>
    <w:basedOn w:val="Normal"/>
    <w:next w:val="Normal"/>
    <w:link w:val="Heading1Char"/>
    <w:uiPriority w:val="9"/>
    <w:qFormat/>
    <w:rsid w:val="000A0865"/>
    <w:pPr>
      <w:keepNext/>
      <w:keepLines/>
      <w:spacing w:before="400" w:after="40" w:line="240" w:lineRule="auto"/>
      <w:outlineLvl w:val="0"/>
    </w:pPr>
    <w:rPr>
      <w:rFonts w:ascii="Calibri" w:eastAsiaTheme="majorEastAsia" w:hAnsi="Calibri" w:cstheme="majorBidi"/>
      <w:color w:val="244061" w:themeColor="accent1" w:themeShade="80"/>
      <w:sz w:val="52"/>
      <w:szCs w:val="36"/>
    </w:rPr>
  </w:style>
  <w:style w:type="paragraph" w:styleId="Heading2">
    <w:name w:val="heading 2"/>
    <w:basedOn w:val="Normal"/>
    <w:next w:val="Normal"/>
    <w:link w:val="Heading2Char"/>
    <w:uiPriority w:val="9"/>
    <w:unhideWhenUsed/>
    <w:qFormat/>
    <w:rsid w:val="00B75A7B"/>
    <w:pPr>
      <w:keepNext/>
      <w:keepLines/>
      <w:spacing w:before="40" w:after="120" w:line="240" w:lineRule="auto"/>
      <w:outlineLvl w:val="1"/>
    </w:pPr>
    <w:rPr>
      <w:rFonts w:ascii="Calibri" w:eastAsiaTheme="majorEastAsia" w:hAnsi="Calibr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B75A7B"/>
    <w:pPr>
      <w:keepNext/>
      <w:keepLines/>
      <w:spacing w:before="40" w:after="0" w:line="240" w:lineRule="auto"/>
      <w:outlineLvl w:val="2"/>
    </w:pPr>
    <w:rPr>
      <w:rFonts w:ascii="Calibri" w:eastAsiaTheme="majorEastAsia" w:hAnsi="Calibr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B75A7B"/>
    <w:pPr>
      <w:keepNext/>
      <w:keepLines/>
      <w:spacing w:before="40" w:after="0"/>
      <w:outlineLvl w:val="3"/>
    </w:pPr>
    <w:rPr>
      <w:rFonts w:ascii="Calibri" w:eastAsiaTheme="majorEastAsia" w:hAnsi="Calibr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9B4CE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9B4CE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9B4CE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9B4CE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9B4CE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865"/>
    <w:rPr>
      <w:rFonts w:ascii="Calibri" w:eastAsiaTheme="majorEastAsia" w:hAnsi="Calibri" w:cstheme="majorBidi"/>
      <w:color w:val="244061" w:themeColor="accent1" w:themeShade="80"/>
      <w:sz w:val="52"/>
      <w:szCs w:val="36"/>
    </w:rPr>
  </w:style>
  <w:style w:type="character" w:customStyle="1" w:styleId="Heading2Char">
    <w:name w:val="Heading 2 Char"/>
    <w:basedOn w:val="DefaultParagraphFont"/>
    <w:link w:val="Heading2"/>
    <w:uiPriority w:val="9"/>
    <w:rsid w:val="00B75A7B"/>
    <w:rPr>
      <w:rFonts w:ascii="Calibri" w:eastAsiaTheme="majorEastAsia" w:hAnsi="Calibri" w:cstheme="majorBidi"/>
      <w:color w:val="365F91" w:themeColor="accent1" w:themeShade="BF"/>
      <w:sz w:val="32"/>
      <w:szCs w:val="32"/>
    </w:rPr>
  </w:style>
  <w:style w:type="character" w:customStyle="1" w:styleId="Heading3Char">
    <w:name w:val="Heading 3 Char"/>
    <w:basedOn w:val="DefaultParagraphFont"/>
    <w:link w:val="Heading3"/>
    <w:uiPriority w:val="9"/>
    <w:rsid w:val="00B75A7B"/>
    <w:rPr>
      <w:rFonts w:ascii="Calibri" w:eastAsiaTheme="majorEastAsia" w:hAnsi="Calibri" w:cstheme="majorBidi"/>
      <w:color w:val="365F91" w:themeColor="accent1" w:themeShade="BF"/>
      <w:sz w:val="28"/>
      <w:szCs w:val="28"/>
    </w:rPr>
  </w:style>
  <w:style w:type="character" w:customStyle="1" w:styleId="Heading4Char">
    <w:name w:val="Heading 4 Char"/>
    <w:basedOn w:val="DefaultParagraphFont"/>
    <w:link w:val="Heading4"/>
    <w:uiPriority w:val="9"/>
    <w:rsid w:val="00B75A7B"/>
    <w:rPr>
      <w:rFonts w:ascii="Calibri" w:eastAsiaTheme="majorEastAsia" w:hAnsi="Calibri" w:cstheme="majorBidi"/>
      <w:color w:val="365F91" w:themeColor="accent1" w:themeShade="BF"/>
      <w:sz w:val="24"/>
      <w:szCs w:val="24"/>
    </w:rPr>
  </w:style>
  <w:style w:type="paragraph" w:styleId="ListParagraph">
    <w:name w:val="List Paragraph"/>
    <w:basedOn w:val="Normal"/>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B4CE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B4CE1"/>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B75A7B"/>
    <w:pPr>
      <w:numPr>
        <w:ilvl w:val="1"/>
      </w:numPr>
      <w:spacing w:after="240" w:line="240" w:lineRule="auto"/>
    </w:pPr>
    <w:rPr>
      <w:rFonts w:ascii="Calibri" w:eastAsiaTheme="majorEastAsia" w:hAnsi="Calibri" w:cstheme="majorBidi"/>
      <w:color w:val="4F81BD" w:themeColor="accent1"/>
      <w:sz w:val="28"/>
      <w:szCs w:val="28"/>
    </w:rPr>
  </w:style>
  <w:style w:type="character" w:customStyle="1" w:styleId="SubtitleChar">
    <w:name w:val="Subtitle Char"/>
    <w:basedOn w:val="DefaultParagraphFont"/>
    <w:link w:val="Subtitle"/>
    <w:uiPriority w:val="11"/>
    <w:rsid w:val="00B75A7B"/>
    <w:rPr>
      <w:rFonts w:ascii="Calibri" w:eastAsiaTheme="majorEastAsia" w:hAnsi="Calibri" w:cstheme="majorBidi"/>
      <w:color w:val="4F81BD" w:themeColor="accent1"/>
      <w:sz w:val="28"/>
      <w:szCs w:val="28"/>
    </w:rPr>
  </w:style>
  <w:style w:type="character" w:styleId="SubtleEmphasis">
    <w:name w:val="Subtle Emphasis"/>
    <w:basedOn w:val="DefaultParagraphFont"/>
    <w:uiPriority w:val="19"/>
    <w:qFormat/>
    <w:rsid w:val="009B4CE1"/>
    <w:rPr>
      <w:i/>
      <w:iCs/>
      <w:color w:val="595959" w:themeColor="text1" w:themeTint="A6"/>
    </w:rPr>
  </w:style>
  <w:style w:type="paragraph" w:customStyle="1" w:styleId="Bullet1">
    <w:name w:val="Bullet1"/>
    <w:basedOn w:val="Normal"/>
    <w:rsid w:val="00F113EF"/>
    <w:pPr>
      <w:numPr>
        <w:numId w:val="5"/>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9B4CE1"/>
    <w:rPr>
      <w:rFonts w:asciiTheme="majorHAnsi" w:eastAsiaTheme="majorEastAsia" w:hAnsiTheme="majorHAnsi" w:cstheme="majorBidi"/>
      <w:caps/>
      <w:color w:val="365F91" w:themeColor="accent1" w:themeShade="BF"/>
    </w:rPr>
  </w:style>
  <w:style w:type="character" w:styleId="Strong">
    <w:name w:val="Strong"/>
    <w:basedOn w:val="DefaultParagraphFont"/>
    <w:uiPriority w:val="22"/>
    <w:qFormat/>
    <w:rsid w:val="009B4CE1"/>
    <w:rPr>
      <w:b/>
      <w:bCs/>
    </w:rPr>
  </w:style>
  <w:style w:type="paragraph" w:styleId="TOCHeading">
    <w:name w:val="TOC Heading"/>
    <w:basedOn w:val="Heading1"/>
    <w:next w:val="Normal"/>
    <w:uiPriority w:val="39"/>
    <w:unhideWhenUsed/>
    <w:qFormat/>
    <w:rsid w:val="009B4CE1"/>
    <w:pPr>
      <w:outlineLvl w:val="9"/>
    </w:pPr>
  </w:style>
  <w:style w:type="paragraph" w:styleId="NoSpacing">
    <w:name w:val="No Spacing"/>
    <w:uiPriority w:val="1"/>
    <w:qFormat/>
    <w:rsid w:val="009B4CE1"/>
    <w:pPr>
      <w:spacing w:after="0" w:line="240" w:lineRule="auto"/>
    </w:pPr>
  </w:style>
  <w:style w:type="paragraph" w:styleId="Quote">
    <w:name w:val="Quote"/>
    <w:basedOn w:val="Normal"/>
    <w:next w:val="Normal"/>
    <w:link w:val="QuoteChar"/>
    <w:uiPriority w:val="29"/>
    <w:qFormat/>
    <w:rsid w:val="009B4CE1"/>
    <w:pPr>
      <w:spacing w:after="120"/>
      <w:ind w:left="720"/>
    </w:pPr>
    <w:rPr>
      <w:color w:val="1F497D" w:themeColor="text2"/>
      <w:sz w:val="24"/>
      <w:szCs w:val="24"/>
    </w:rPr>
  </w:style>
  <w:style w:type="character" w:customStyle="1" w:styleId="QuoteChar">
    <w:name w:val="Quote Char"/>
    <w:basedOn w:val="DefaultParagraphFont"/>
    <w:link w:val="Quote"/>
    <w:uiPriority w:val="29"/>
    <w:rsid w:val="009B4CE1"/>
    <w:rPr>
      <w:color w:val="1F497D" w:themeColor="text2"/>
      <w:sz w:val="24"/>
      <w:szCs w:val="24"/>
    </w:rPr>
  </w:style>
  <w:style w:type="character" w:styleId="Emphasis">
    <w:name w:val="Emphasis"/>
    <w:basedOn w:val="DefaultParagraphFont"/>
    <w:uiPriority w:val="20"/>
    <w:qFormat/>
    <w:rsid w:val="009B4CE1"/>
    <w:rPr>
      <w:i/>
      <w:iCs/>
    </w:rPr>
  </w:style>
  <w:style w:type="paragraph" w:styleId="IntenseQuote">
    <w:name w:val="Intense Quote"/>
    <w:basedOn w:val="Normal"/>
    <w:next w:val="Normal"/>
    <w:link w:val="IntenseQuoteChar"/>
    <w:uiPriority w:val="30"/>
    <w:qFormat/>
    <w:rsid w:val="009B4CE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B4CE1"/>
    <w:rPr>
      <w:rFonts w:asciiTheme="majorHAnsi" w:eastAsiaTheme="majorEastAsia" w:hAnsiTheme="majorHAnsi" w:cstheme="majorBidi"/>
      <w:color w:val="1F497D" w:themeColor="text2"/>
      <w:spacing w:val="-6"/>
      <w:sz w:val="32"/>
      <w:szCs w:val="3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qFormat/>
    <w:rsid w:val="009B4CE1"/>
    <w:rPr>
      <w:b/>
      <w:bCs/>
      <w:smallCaps/>
      <w:spacing w:val="10"/>
    </w:rPr>
  </w:style>
  <w:style w:type="character" w:styleId="IntenseReference">
    <w:name w:val="Intense Reference"/>
    <w:basedOn w:val="DefaultParagraphFont"/>
    <w:uiPriority w:val="32"/>
    <w:qFormat/>
    <w:rsid w:val="009B4CE1"/>
    <w:rPr>
      <w:b/>
      <w:bCs/>
      <w:smallCaps/>
      <w:color w:val="1F497D" w:themeColor="text2"/>
      <w:u w:val="single"/>
    </w:rPr>
  </w:style>
  <w:style w:type="character" w:styleId="SubtleReference">
    <w:name w:val="Subtle Reference"/>
    <w:basedOn w:val="DefaultParagraphFont"/>
    <w:uiPriority w:val="31"/>
    <w:qFormat/>
    <w:rsid w:val="009B4CE1"/>
    <w:rPr>
      <w:smallCaps/>
      <w:color w:val="595959" w:themeColor="text1" w:themeTint="A6"/>
      <w:u w:val="none" w:color="7F7F7F" w:themeColor="text1" w:themeTint="80"/>
      <w:bdr w:val="none" w:sz="0" w:space="0" w:color="auto"/>
    </w:rPr>
  </w:style>
  <w:style w:type="character" w:styleId="IntenseEmphasis">
    <w:name w:val="Intense Emphasis"/>
    <w:basedOn w:val="DefaultParagraphFont"/>
    <w:uiPriority w:val="21"/>
    <w:qFormat/>
    <w:rsid w:val="009B4CE1"/>
    <w:rPr>
      <w:b/>
      <w:bCs/>
      <w:i/>
      <w:iCs/>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3E3722"/>
    <w:pPr>
      <w:spacing w:after="100"/>
    </w:pPr>
  </w:style>
  <w:style w:type="paragraph" w:styleId="TOC2">
    <w:name w:val="toc 2"/>
    <w:basedOn w:val="Normal"/>
    <w:next w:val="Normal"/>
    <w:autoRedefine/>
    <w:uiPriority w:val="39"/>
    <w:rsid w:val="004F5D02"/>
    <w:pPr>
      <w:tabs>
        <w:tab w:val="right" w:leader="dot" w:pos="9016"/>
      </w:tabs>
      <w:spacing w:after="100"/>
      <w:ind w:left="200"/>
    </w:pPr>
    <w:rPr>
      <w:rFonts w:ascii="Corbel" w:hAnsi="Corbel"/>
      <w:noProof/>
    </w:rPr>
  </w:style>
  <w:style w:type="paragraph" w:styleId="TOC3">
    <w:name w:val="toc 3"/>
    <w:basedOn w:val="Normal"/>
    <w:next w:val="Normal"/>
    <w:autoRedefine/>
    <w:uiPriority w:val="39"/>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9B4CE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9B4CE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9B4CE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9B4CE1"/>
    <w:rPr>
      <w:rFonts w:asciiTheme="majorHAnsi" w:eastAsiaTheme="majorEastAsia" w:hAnsiTheme="majorHAnsi" w:cstheme="majorBidi"/>
      <w:i/>
      <w:iCs/>
      <w:color w:val="244061" w:themeColor="accent1" w:themeShade="80"/>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character" w:styleId="Hyperlink">
    <w:name w:val="Hyperlink"/>
    <w:basedOn w:val="DefaultParagraphFont"/>
    <w:uiPriority w:val="99"/>
    <w:unhideWhenUsed/>
    <w:rsid w:val="005C3E1D"/>
    <w:rPr>
      <w:color w:val="0000FF" w:themeColor="hyperlink"/>
      <w:u w:val="single"/>
    </w:rPr>
  </w:style>
  <w:style w:type="character" w:styleId="UnresolvedMention">
    <w:name w:val="Unresolved Mention"/>
    <w:basedOn w:val="DefaultParagraphFont"/>
    <w:uiPriority w:val="99"/>
    <w:semiHidden/>
    <w:unhideWhenUsed/>
    <w:rsid w:val="005C3E1D"/>
    <w:rPr>
      <w:color w:val="605E5C"/>
      <w:shd w:val="clear" w:color="auto" w:fill="E1DFDD"/>
    </w:rPr>
  </w:style>
  <w:style w:type="character" w:styleId="FootnoteReference">
    <w:name w:val="footnote reference"/>
    <w:basedOn w:val="DefaultParagraphFont"/>
    <w:uiPriority w:val="99"/>
    <w:semiHidden/>
    <w:unhideWhenUsed/>
    <w:rsid w:val="00EF575B"/>
    <w:rPr>
      <w:vertAlign w:val="superscript"/>
    </w:rPr>
  </w:style>
  <w:style w:type="paragraph" w:styleId="Header">
    <w:name w:val="header"/>
    <w:basedOn w:val="Normal"/>
    <w:link w:val="HeaderChar"/>
    <w:uiPriority w:val="99"/>
    <w:unhideWhenUsed/>
    <w:rsid w:val="00A62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EE9"/>
    <w:rPr>
      <w:rFonts w:ascii="Verdana" w:hAnsi="Verdana" w:cs="Arial"/>
      <w:szCs w:val="22"/>
    </w:rPr>
  </w:style>
  <w:style w:type="paragraph" w:styleId="Caption">
    <w:name w:val="caption"/>
    <w:basedOn w:val="Normal"/>
    <w:next w:val="Normal"/>
    <w:uiPriority w:val="35"/>
    <w:unhideWhenUsed/>
    <w:qFormat/>
    <w:rsid w:val="009B4CE1"/>
    <w:pPr>
      <w:spacing w:line="240" w:lineRule="auto"/>
    </w:pPr>
    <w:rPr>
      <w:b/>
      <w:bCs/>
      <w:smallCaps/>
      <w:color w:val="1F497D" w:themeColor="text2"/>
    </w:rPr>
  </w:style>
  <w:style w:type="paragraph" w:styleId="TableofFigures">
    <w:name w:val="table of figures"/>
    <w:basedOn w:val="Normal"/>
    <w:next w:val="Normal"/>
    <w:uiPriority w:val="99"/>
    <w:unhideWhenUsed/>
    <w:rsid w:val="00DA7A5D"/>
    <w:pPr>
      <w:spacing w:after="0"/>
    </w:pPr>
  </w:style>
  <w:style w:type="character" w:customStyle="1" w:styleId="cf01">
    <w:name w:val="cf01"/>
    <w:basedOn w:val="DefaultParagraphFont"/>
    <w:rsid w:val="00CF0089"/>
    <w:rPr>
      <w:rFonts w:ascii="Segoe UI" w:hAnsi="Segoe UI" w:cs="Segoe UI" w:hint="default"/>
      <w:sz w:val="18"/>
      <w:szCs w:val="18"/>
    </w:rPr>
  </w:style>
  <w:style w:type="paragraph" w:styleId="Revision">
    <w:name w:val="Revision"/>
    <w:hidden/>
    <w:uiPriority w:val="99"/>
    <w:semiHidden/>
    <w:rsid w:val="00D424AE"/>
    <w:pPr>
      <w:spacing w:after="0" w:line="240" w:lineRule="auto"/>
    </w:pPr>
  </w:style>
  <w:style w:type="paragraph" w:styleId="CommentSubject">
    <w:name w:val="annotation subject"/>
    <w:basedOn w:val="CommentText"/>
    <w:next w:val="CommentText"/>
    <w:link w:val="CommentSubjectChar"/>
    <w:uiPriority w:val="99"/>
    <w:semiHidden/>
    <w:unhideWhenUsed/>
    <w:rsid w:val="00615C69"/>
    <w:rPr>
      <w:b/>
      <w:bCs/>
      <w:sz w:val="20"/>
    </w:rPr>
  </w:style>
  <w:style w:type="character" w:customStyle="1" w:styleId="CommentSubjectChar">
    <w:name w:val="Comment Subject Char"/>
    <w:basedOn w:val="CommentTextChar"/>
    <w:link w:val="CommentSubject"/>
    <w:uiPriority w:val="99"/>
    <w:semiHidden/>
    <w:rsid w:val="00615C69"/>
    <w:rPr>
      <w:rFonts w:ascii="Verdana" w:hAnsi="Verdana" w:cs="Arial"/>
      <w:b/>
      <w:bCs/>
      <w:sz w:val="20"/>
      <w:szCs w:val="20"/>
    </w:rPr>
  </w:style>
  <w:style w:type="character" w:customStyle="1" w:styleId="yrbpuc">
    <w:name w:val="yrbpuc"/>
    <w:basedOn w:val="DefaultParagraphFont"/>
    <w:rsid w:val="0037124B"/>
  </w:style>
  <w:style w:type="character" w:styleId="FollowedHyperlink">
    <w:name w:val="FollowedHyperlink"/>
    <w:basedOn w:val="DefaultParagraphFont"/>
    <w:uiPriority w:val="99"/>
    <w:semiHidden/>
    <w:unhideWhenUsed/>
    <w:rsid w:val="00157155"/>
    <w:rPr>
      <w:color w:val="800080" w:themeColor="followedHyperlink"/>
      <w:u w:val="single"/>
    </w:rPr>
  </w:style>
  <w:style w:type="character" w:styleId="Mention">
    <w:name w:val="Mention"/>
    <w:basedOn w:val="DefaultParagraphFont"/>
    <w:uiPriority w:val="99"/>
    <w:unhideWhenUsed/>
    <w:rsid w:val="00011B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211">
      <w:bodyDiv w:val="1"/>
      <w:marLeft w:val="0"/>
      <w:marRight w:val="0"/>
      <w:marTop w:val="0"/>
      <w:marBottom w:val="0"/>
      <w:divBdr>
        <w:top w:val="none" w:sz="0" w:space="0" w:color="auto"/>
        <w:left w:val="none" w:sz="0" w:space="0" w:color="auto"/>
        <w:bottom w:val="none" w:sz="0" w:space="0" w:color="auto"/>
        <w:right w:val="none" w:sz="0" w:space="0" w:color="auto"/>
      </w:divBdr>
    </w:div>
    <w:div w:id="11959619">
      <w:bodyDiv w:val="1"/>
      <w:marLeft w:val="0"/>
      <w:marRight w:val="0"/>
      <w:marTop w:val="0"/>
      <w:marBottom w:val="0"/>
      <w:divBdr>
        <w:top w:val="none" w:sz="0" w:space="0" w:color="auto"/>
        <w:left w:val="none" w:sz="0" w:space="0" w:color="auto"/>
        <w:bottom w:val="none" w:sz="0" w:space="0" w:color="auto"/>
        <w:right w:val="none" w:sz="0" w:space="0" w:color="auto"/>
      </w:divBdr>
    </w:div>
    <w:div w:id="14550264">
      <w:bodyDiv w:val="1"/>
      <w:marLeft w:val="0"/>
      <w:marRight w:val="0"/>
      <w:marTop w:val="0"/>
      <w:marBottom w:val="0"/>
      <w:divBdr>
        <w:top w:val="none" w:sz="0" w:space="0" w:color="auto"/>
        <w:left w:val="none" w:sz="0" w:space="0" w:color="auto"/>
        <w:bottom w:val="none" w:sz="0" w:space="0" w:color="auto"/>
        <w:right w:val="none" w:sz="0" w:space="0" w:color="auto"/>
      </w:divBdr>
    </w:div>
    <w:div w:id="25377377">
      <w:bodyDiv w:val="1"/>
      <w:marLeft w:val="0"/>
      <w:marRight w:val="0"/>
      <w:marTop w:val="0"/>
      <w:marBottom w:val="0"/>
      <w:divBdr>
        <w:top w:val="none" w:sz="0" w:space="0" w:color="auto"/>
        <w:left w:val="none" w:sz="0" w:space="0" w:color="auto"/>
        <w:bottom w:val="none" w:sz="0" w:space="0" w:color="auto"/>
        <w:right w:val="none" w:sz="0" w:space="0" w:color="auto"/>
      </w:divBdr>
    </w:div>
    <w:div w:id="33586077">
      <w:bodyDiv w:val="1"/>
      <w:marLeft w:val="0"/>
      <w:marRight w:val="0"/>
      <w:marTop w:val="0"/>
      <w:marBottom w:val="0"/>
      <w:divBdr>
        <w:top w:val="none" w:sz="0" w:space="0" w:color="auto"/>
        <w:left w:val="none" w:sz="0" w:space="0" w:color="auto"/>
        <w:bottom w:val="none" w:sz="0" w:space="0" w:color="auto"/>
        <w:right w:val="none" w:sz="0" w:space="0" w:color="auto"/>
      </w:divBdr>
    </w:div>
    <w:div w:id="46801459">
      <w:bodyDiv w:val="1"/>
      <w:marLeft w:val="0"/>
      <w:marRight w:val="0"/>
      <w:marTop w:val="0"/>
      <w:marBottom w:val="0"/>
      <w:divBdr>
        <w:top w:val="none" w:sz="0" w:space="0" w:color="auto"/>
        <w:left w:val="none" w:sz="0" w:space="0" w:color="auto"/>
        <w:bottom w:val="none" w:sz="0" w:space="0" w:color="auto"/>
        <w:right w:val="none" w:sz="0" w:space="0" w:color="auto"/>
      </w:divBdr>
    </w:div>
    <w:div w:id="50733437">
      <w:bodyDiv w:val="1"/>
      <w:marLeft w:val="0"/>
      <w:marRight w:val="0"/>
      <w:marTop w:val="0"/>
      <w:marBottom w:val="0"/>
      <w:divBdr>
        <w:top w:val="none" w:sz="0" w:space="0" w:color="auto"/>
        <w:left w:val="none" w:sz="0" w:space="0" w:color="auto"/>
        <w:bottom w:val="none" w:sz="0" w:space="0" w:color="auto"/>
        <w:right w:val="none" w:sz="0" w:space="0" w:color="auto"/>
      </w:divBdr>
    </w:div>
    <w:div w:id="101341018">
      <w:bodyDiv w:val="1"/>
      <w:marLeft w:val="0"/>
      <w:marRight w:val="0"/>
      <w:marTop w:val="0"/>
      <w:marBottom w:val="0"/>
      <w:divBdr>
        <w:top w:val="none" w:sz="0" w:space="0" w:color="auto"/>
        <w:left w:val="none" w:sz="0" w:space="0" w:color="auto"/>
        <w:bottom w:val="none" w:sz="0" w:space="0" w:color="auto"/>
        <w:right w:val="none" w:sz="0" w:space="0" w:color="auto"/>
      </w:divBdr>
    </w:div>
    <w:div w:id="111680861">
      <w:bodyDiv w:val="1"/>
      <w:marLeft w:val="0"/>
      <w:marRight w:val="0"/>
      <w:marTop w:val="0"/>
      <w:marBottom w:val="0"/>
      <w:divBdr>
        <w:top w:val="none" w:sz="0" w:space="0" w:color="auto"/>
        <w:left w:val="none" w:sz="0" w:space="0" w:color="auto"/>
        <w:bottom w:val="none" w:sz="0" w:space="0" w:color="auto"/>
        <w:right w:val="none" w:sz="0" w:space="0" w:color="auto"/>
      </w:divBdr>
    </w:div>
    <w:div w:id="143158368">
      <w:bodyDiv w:val="1"/>
      <w:marLeft w:val="0"/>
      <w:marRight w:val="0"/>
      <w:marTop w:val="0"/>
      <w:marBottom w:val="0"/>
      <w:divBdr>
        <w:top w:val="none" w:sz="0" w:space="0" w:color="auto"/>
        <w:left w:val="none" w:sz="0" w:space="0" w:color="auto"/>
        <w:bottom w:val="none" w:sz="0" w:space="0" w:color="auto"/>
        <w:right w:val="none" w:sz="0" w:space="0" w:color="auto"/>
      </w:divBdr>
    </w:div>
    <w:div w:id="199902212">
      <w:bodyDiv w:val="1"/>
      <w:marLeft w:val="0"/>
      <w:marRight w:val="0"/>
      <w:marTop w:val="0"/>
      <w:marBottom w:val="0"/>
      <w:divBdr>
        <w:top w:val="none" w:sz="0" w:space="0" w:color="auto"/>
        <w:left w:val="none" w:sz="0" w:space="0" w:color="auto"/>
        <w:bottom w:val="none" w:sz="0" w:space="0" w:color="auto"/>
        <w:right w:val="none" w:sz="0" w:space="0" w:color="auto"/>
      </w:divBdr>
    </w:div>
    <w:div w:id="228349634">
      <w:bodyDiv w:val="1"/>
      <w:marLeft w:val="0"/>
      <w:marRight w:val="0"/>
      <w:marTop w:val="0"/>
      <w:marBottom w:val="0"/>
      <w:divBdr>
        <w:top w:val="none" w:sz="0" w:space="0" w:color="auto"/>
        <w:left w:val="none" w:sz="0" w:space="0" w:color="auto"/>
        <w:bottom w:val="none" w:sz="0" w:space="0" w:color="auto"/>
        <w:right w:val="none" w:sz="0" w:space="0" w:color="auto"/>
      </w:divBdr>
      <w:divsChild>
        <w:div w:id="1039432109">
          <w:marLeft w:val="274"/>
          <w:marRight w:val="0"/>
          <w:marTop w:val="0"/>
          <w:marBottom w:val="120"/>
          <w:divBdr>
            <w:top w:val="none" w:sz="0" w:space="0" w:color="auto"/>
            <w:left w:val="none" w:sz="0" w:space="0" w:color="auto"/>
            <w:bottom w:val="none" w:sz="0" w:space="0" w:color="auto"/>
            <w:right w:val="none" w:sz="0" w:space="0" w:color="auto"/>
          </w:divBdr>
        </w:div>
        <w:div w:id="1763641114">
          <w:marLeft w:val="274"/>
          <w:marRight w:val="0"/>
          <w:marTop w:val="0"/>
          <w:marBottom w:val="120"/>
          <w:divBdr>
            <w:top w:val="none" w:sz="0" w:space="0" w:color="auto"/>
            <w:left w:val="none" w:sz="0" w:space="0" w:color="auto"/>
            <w:bottom w:val="none" w:sz="0" w:space="0" w:color="auto"/>
            <w:right w:val="none" w:sz="0" w:space="0" w:color="auto"/>
          </w:divBdr>
        </w:div>
        <w:div w:id="2043702506">
          <w:marLeft w:val="274"/>
          <w:marRight w:val="0"/>
          <w:marTop w:val="0"/>
          <w:marBottom w:val="120"/>
          <w:divBdr>
            <w:top w:val="none" w:sz="0" w:space="0" w:color="auto"/>
            <w:left w:val="none" w:sz="0" w:space="0" w:color="auto"/>
            <w:bottom w:val="none" w:sz="0" w:space="0" w:color="auto"/>
            <w:right w:val="none" w:sz="0" w:space="0" w:color="auto"/>
          </w:divBdr>
        </w:div>
      </w:divsChild>
    </w:div>
    <w:div w:id="259219961">
      <w:bodyDiv w:val="1"/>
      <w:marLeft w:val="0"/>
      <w:marRight w:val="0"/>
      <w:marTop w:val="0"/>
      <w:marBottom w:val="0"/>
      <w:divBdr>
        <w:top w:val="none" w:sz="0" w:space="0" w:color="auto"/>
        <w:left w:val="none" w:sz="0" w:space="0" w:color="auto"/>
        <w:bottom w:val="none" w:sz="0" w:space="0" w:color="auto"/>
        <w:right w:val="none" w:sz="0" w:space="0" w:color="auto"/>
      </w:divBdr>
    </w:div>
    <w:div w:id="285625201">
      <w:bodyDiv w:val="1"/>
      <w:marLeft w:val="0"/>
      <w:marRight w:val="0"/>
      <w:marTop w:val="0"/>
      <w:marBottom w:val="0"/>
      <w:divBdr>
        <w:top w:val="none" w:sz="0" w:space="0" w:color="auto"/>
        <w:left w:val="none" w:sz="0" w:space="0" w:color="auto"/>
        <w:bottom w:val="none" w:sz="0" w:space="0" w:color="auto"/>
        <w:right w:val="none" w:sz="0" w:space="0" w:color="auto"/>
      </w:divBdr>
      <w:divsChild>
        <w:div w:id="468597147">
          <w:marLeft w:val="274"/>
          <w:marRight w:val="0"/>
          <w:marTop w:val="120"/>
          <w:marBottom w:val="0"/>
          <w:divBdr>
            <w:top w:val="none" w:sz="0" w:space="0" w:color="auto"/>
            <w:left w:val="none" w:sz="0" w:space="0" w:color="auto"/>
            <w:bottom w:val="none" w:sz="0" w:space="0" w:color="auto"/>
            <w:right w:val="none" w:sz="0" w:space="0" w:color="auto"/>
          </w:divBdr>
        </w:div>
        <w:div w:id="1114248046">
          <w:marLeft w:val="274"/>
          <w:marRight w:val="0"/>
          <w:marTop w:val="120"/>
          <w:marBottom w:val="0"/>
          <w:divBdr>
            <w:top w:val="none" w:sz="0" w:space="0" w:color="auto"/>
            <w:left w:val="none" w:sz="0" w:space="0" w:color="auto"/>
            <w:bottom w:val="none" w:sz="0" w:space="0" w:color="auto"/>
            <w:right w:val="none" w:sz="0" w:space="0" w:color="auto"/>
          </w:divBdr>
        </w:div>
      </w:divsChild>
    </w:div>
    <w:div w:id="301346224">
      <w:bodyDiv w:val="1"/>
      <w:marLeft w:val="0"/>
      <w:marRight w:val="0"/>
      <w:marTop w:val="0"/>
      <w:marBottom w:val="0"/>
      <w:divBdr>
        <w:top w:val="none" w:sz="0" w:space="0" w:color="auto"/>
        <w:left w:val="none" w:sz="0" w:space="0" w:color="auto"/>
        <w:bottom w:val="none" w:sz="0" w:space="0" w:color="auto"/>
        <w:right w:val="none" w:sz="0" w:space="0" w:color="auto"/>
      </w:divBdr>
    </w:div>
    <w:div w:id="310408256">
      <w:bodyDiv w:val="1"/>
      <w:marLeft w:val="0"/>
      <w:marRight w:val="0"/>
      <w:marTop w:val="0"/>
      <w:marBottom w:val="0"/>
      <w:divBdr>
        <w:top w:val="none" w:sz="0" w:space="0" w:color="auto"/>
        <w:left w:val="none" w:sz="0" w:space="0" w:color="auto"/>
        <w:bottom w:val="none" w:sz="0" w:space="0" w:color="auto"/>
        <w:right w:val="none" w:sz="0" w:space="0" w:color="auto"/>
      </w:divBdr>
    </w:div>
    <w:div w:id="313216993">
      <w:bodyDiv w:val="1"/>
      <w:marLeft w:val="0"/>
      <w:marRight w:val="0"/>
      <w:marTop w:val="0"/>
      <w:marBottom w:val="0"/>
      <w:divBdr>
        <w:top w:val="none" w:sz="0" w:space="0" w:color="auto"/>
        <w:left w:val="none" w:sz="0" w:space="0" w:color="auto"/>
        <w:bottom w:val="none" w:sz="0" w:space="0" w:color="auto"/>
        <w:right w:val="none" w:sz="0" w:space="0" w:color="auto"/>
      </w:divBdr>
      <w:divsChild>
        <w:div w:id="92282619">
          <w:marLeft w:val="274"/>
          <w:marRight w:val="0"/>
          <w:marTop w:val="120"/>
          <w:marBottom w:val="0"/>
          <w:divBdr>
            <w:top w:val="none" w:sz="0" w:space="0" w:color="auto"/>
            <w:left w:val="none" w:sz="0" w:space="0" w:color="auto"/>
            <w:bottom w:val="none" w:sz="0" w:space="0" w:color="auto"/>
            <w:right w:val="none" w:sz="0" w:space="0" w:color="auto"/>
          </w:divBdr>
        </w:div>
        <w:div w:id="1935239002">
          <w:marLeft w:val="274"/>
          <w:marRight w:val="0"/>
          <w:marTop w:val="120"/>
          <w:marBottom w:val="0"/>
          <w:divBdr>
            <w:top w:val="none" w:sz="0" w:space="0" w:color="auto"/>
            <w:left w:val="none" w:sz="0" w:space="0" w:color="auto"/>
            <w:bottom w:val="none" w:sz="0" w:space="0" w:color="auto"/>
            <w:right w:val="none" w:sz="0" w:space="0" w:color="auto"/>
          </w:divBdr>
        </w:div>
      </w:divsChild>
    </w:div>
    <w:div w:id="313410883">
      <w:bodyDiv w:val="1"/>
      <w:marLeft w:val="0"/>
      <w:marRight w:val="0"/>
      <w:marTop w:val="0"/>
      <w:marBottom w:val="0"/>
      <w:divBdr>
        <w:top w:val="none" w:sz="0" w:space="0" w:color="auto"/>
        <w:left w:val="none" w:sz="0" w:space="0" w:color="auto"/>
        <w:bottom w:val="none" w:sz="0" w:space="0" w:color="auto"/>
        <w:right w:val="none" w:sz="0" w:space="0" w:color="auto"/>
      </w:divBdr>
    </w:div>
    <w:div w:id="313804999">
      <w:bodyDiv w:val="1"/>
      <w:marLeft w:val="0"/>
      <w:marRight w:val="0"/>
      <w:marTop w:val="0"/>
      <w:marBottom w:val="0"/>
      <w:divBdr>
        <w:top w:val="none" w:sz="0" w:space="0" w:color="auto"/>
        <w:left w:val="none" w:sz="0" w:space="0" w:color="auto"/>
        <w:bottom w:val="none" w:sz="0" w:space="0" w:color="auto"/>
        <w:right w:val="none" w:sz="0" w:space="0" w:color="auto"/>
      </w:divBdr>
      <w:divsChild>
        <w:div w:id="74477772">
          <w:marLeft w:val="605"/>
          <w:marRight w:val="0"/>
          <w:marTop w:val="0"/>
          <w:marBottom w:val="100"/>
          <w:divBdr>
            <w:top w:val="none" w:sz="0" w:space="0" w:color="auto"/>
            <w:left w:val="none" w:sz="0" w:space="0" w:color="auto"/>
            <w:bottom w:val="none" w:sz="0" w:space="0" w:color="auto"/>
            <w:right w:val="none" w:sz="0" w:space="0" w:color="auto"/>
          </w:divBdr>
        </w:div>
        <w:div w:id="215243738">
          <w:marLeft w:val="605"/>
          <w:marRight w:val="0"/>
          <w:marTop w:val="0"/>
          <w:marBottom w:val="100"/>
          <w:divBdr>
            <w:top w:val="none" w:sz="0" w:space="0" w:color="auto"/>
            <w:left w:val="none" w:sz="0" w:space="0" w:color="auto"/>
            <w:bottom w:val="none" w:sz="0" w:space="0" w:color="auto"/>
            <w:right w:val="none" w:sz="0" w:space="0" w:color="auto"/>
          </w:divBdr>
        </w:div>
        <w:div w:id="351879317">
          <w:marLeft w:val="605"/>
          <w:marRight w:val="0"/>
          <w:marTop w:val="0"/>
          <w:marBottom w:val="100"/>
          <w:divBdr>
            <w:top w:val="none" w:sz="0" w:space="0" w:color="auto"/>
            <w:left w:val="none" w:sz="0" w:space="0" w:color="auto"/>
            <w:bottom w:val="none" w:sz="0" w:space="0" w:color="auto"/>
            <w:right w:val="none" w:sz="0" w:space="0" w:color="auto"/>
          </w:divBdr>
        </w:div>
        <w:div w:id="470103267">
          <w:marLeft w:val="605"/>
          <w:marRight w:val="0"/>
          <w:marTop w:val="0"/>
          <w:marBottom w:val="100"/>
          <w:divBdr>
            <w:top w:val="none" w:sz="0" w:space="0" w:color="auto"/>
            <w:left w:val="none" w:sz="0" w:space="0" w:color="auto"/>
            <w:bottom w:val="none" w:sz="0" w:space="0" w:color="auto"/>
            <w:right w:val="none" w:sz="0" w:space="0" w:color="auto"/>
          </w:divBdr>
        </w:div>
        <w:div w:id="1403404386">
          <w:marLeft w:val="605"/>
          <w:marRight w:val="0"/>
          <w:marTop w:val="0"/>
          <w:marBottom w:val="100"/>
          <w:divBdr>
            <w:top w:val="none" w:sz="0" w:space="0" w:color="auto"/>
            <w:left w:val="none" w:sz="0" w:space="0" w:color="auto"/>
            <w:bottom w:val="none" w:sz="0" w:space="0" w:color="auto"/>
            <w:right w:val="none" w:sz="0" w:space="0" w:color="auto"/>
          </w:divBdr>
        </w:div>
        <w:div w:id="1704861904">
          <w:marLeft w:val="605"/>
          <w:marRight w:val="0"/>
          <w:marTop w:val="0"/>
          <w:marBottom w:val="100"/>
          <w:divBdr>
            <w:top w:val="none" w:sz="0" w:space="0" w:color="auto"/>
            <w:left w:val="none" w:sz="0" w:space="0" w:color="auto"/>
            <w:bottom w:val="none" w:sz="0" w:space="0" w:color="auto"/>
            <w:right w:val="none" w:sz="0" w:space="0" w:color="auto"/>
          </w:divBdr>
        </w:div>
      </w:divsChild>
    </w:div>
    <w:div w:id="318272679">
      <w:bodyDiv w:val="1"/>
      <w:marLeft w:val="0"/>
      <w:marRight w:val="0"/>
      <w:marTop w:val="0"/>
      <w:marBottom w:val="0"/>
      <w:divBdr>
        <w:top w:val="none" w:sz="0" w:space="0" w:color="auto"/>
        <w:left w:val="none" w:sz="0" w:space="0" w:color="auto"/>
        <w:bottom w:val="none" w:sz="0" w:space="0" w:color="auto"/>
        <w:right w:val="none" w:sz="0" w:space="0" w:color="auto"/>
      </w:divBdr>
    </w:div>
    <w:div w:id="319621292">
      <w:bodyDiv w:val="1"/>
      <w:marLeft w:val="0"/>
      <w:marRight w:val="0"/>
      <w:marTop w:val="0"/>
      <w:marBottom w:val="0"/>
      <w:divBdr>
        <w:top w:val="none" w:sz="0" w:space="0" w:color="auto"/>
        <w:left w:val="none" w:sz="0" w:space="0" w:color="auto"/>
        <w:bottom w:val="none" w:sz="0" w:space="0" w:color="auto"/>
        <w:right w:val="none" w:sz="0" w:space="0" w:color="auto"/>
      </w:divBdr>
      <w:divsChild>
        <w:div w:id="1988630590">
          <w:marLeft w:val="274"/>
          <w:marRight w:val="0"/>
          <w:marTop w:val="0"/>
          <w:marBottom w:val="0"/>
          <w:divBdr>
            <w:top w:val="none" w:sz="0" w:space="0" w:color="auto"/>
            <w:left w:val="none" w:sz="0" w:space="0" w:color="auto"/>
            <w:bottom w:val="none" w:sz="0" w:space="0" w:color="auto"/>
            <w:right w:val="none" w:sz="0" w:space="0" w:color="auto"/>
          </w:divBdr>
        </w:div>
      </w:divsChild>
    </w:div>
    <w:div w:id="331836275">
      <w:bodyDiv w:val="1"/>
      <w:marLeft w:val="0"/>
      <w:marRight w:val="0"/>
      <w:marTop w:val="0"/>
      <w:marBottom w:val="0"/>
      <w:divBdr>
        <w:top w:val="none" w:sz="0" w:space="0" w:color="auto"/>
        <w:left w:val="none" w:sz="0" w:space="0" w:color="auto"/>
        <w:bottom w:val="none" w:sz="0" w:space="0" w:color="auto"/>
        <w:right w:val="none" w:sz="0" w:space="0" w:color="auto"/>
      </w:divBdr>
      <w:divsChild>
        <w:div w:id="36785047">
          <w:marLeft w:val="274"/>
          <w:marRight w:val="0"/>
          <w:marTop w:val="120"/>
          <w:marBottom w:val="0"/>
          <w:divBdr>
            <w:top w:val="none" w:sz="0" w:space="0" w:color="auto"/>
            <w:left w:val="none" w:sz="0" w:space="0" w:color="auto"/>
            <w:bottom w:val="none" w:sz="0" w:space="0" w:color="auto"/>
            <w:right w:val="none" w:sz="0" w:space="0" w:color="auto"/>
          </w:divBdr>
        </w:div>
        <w:div w:id="319234303">
          <w:marLeft w:val="274"/>
          <w:marRight w:val="0"/>
          <w:marTop w:val="120"/>
          <w:marBottom w:val="0"/>
          <w:divBdr>
            <w:top w:val="none" w:sz="0" w:space="0" w:color="auto"/>
            <w:left w:val="none" w:sz="0" w:space="0" w:color="auto"/>
            <w:bottom w:val="none" w:sz="0" w:space="0" w:color="auto"/>
            <w:right w:val="none" w:sz="0" w:space="0" w:color="auto"/>
          </w:divBdr>
        </w:div>
        <w:div w:id="554969651">
          <w:marLeft w:val="274"/>
          <w:marRight w:val="0"/>
          <w:marTop w:val="120"/>
          <w:marBottom w:val="0"/>
          <w:divBdr>
            <w:top w:val="none" w:sz="0" w:space="0" w:color="auto"/>
            <w:left w:val="none" w:sz="0" w:space="0" w:color="auto"/>
            <w:bottom w:val="none" w:sz="0" w:space="0" w:color="auto"/>
            <w:right w:val="none" w:sz="0" w:space="0" w:color="auto"/>
          </w:divBdr>
        </w:div>
        <w:div w:id="1041900446">
          <w:marLeft w:val="274"/>
          <w:marRight w:val="0"/>
          <w:marTop w:val="120"/>
          <w:marBottom w:val="0"/>
          <w:divBdr>
            <w:top w:val="none" w:sz="0" w:space="0" w:color="auto"/>
            <w:left w:val="none" w:sz="0" w:space="0" w:color="auto"/>
            <w:bottom w:val="none" w:sz="0" w:space="0" w:color="auto"/>
            <w:right w:val="none" w:sz="0" w:space="0" w:color="auto"/>
          </w:divBdr>
        </w:div>
        <w:div w:id="1295016340">
          <w:marLeft w:val="274"/>
          <w:marRight w:val="0"/>
          <w:marTop w:val="120"/>
          <w:marBottom w:val="0"/>
          <w:divBdr>
            <w:top w:val="none" w:sz="0" w:space="0" w:color="auto"/>
            <w:left w:val="none" w:sz="0" w:space="0" w:color="auto"/>
            <w:bottom w:val="none" w:sz="0" w:space="0" w:color="auto"/>
            <w:right w:val="none" w:sz="0" w:space="0" w:color="auto"/>
          </w:divBdr>
        </w:div>
        <w:div w:id="2100903182">
          <w:marLeft w:val="274"/>
          <w:marRight w:val="0"/>
          <w:marTop w:val="120"/>
          <w:marBottom w:val="0"/>
          <w:divBdr>
            <w:top w:val="none" w:sz="0" w:space="0" w:color="auto"/>
            <w:left w:val="none" w:sz="0" w:space="0" w:color="auto"/>
            <w:bottom w:val="none" w:sz="0" w:space="0" w:color="auto"/>
            <w:right w:val="none" w:sz="0" w:space="0" w:color="auto"/>
          </w:divBdr>
        </w:div>
      </w:divsChild>
    </w:div>
    <w:div w:id="348148059">
      <w:bodyDiv w:val="1"/>
      <w:marLeft w:val="0"/>
      <w:marRight w:val="0"/>
      <w:marTop w:val="0"/>
      <w:marBottom w:val="0"/>
      <w:divBdr>
        <w:top w:val="none" w:sz="0" w:space="0" w:color="auto"/>
        <w:left w:val="none" w:sz="0" w:space="0" w:color="auto"/>
        <w:bottom w:val="none" w:sz="0" w:space="0" w:color="auto"/>
        <w:right w:val="none" w:sz="0" w:space="0" w:color="auto"/>
      </w:divBdr>
    </w:div>
    <w:div w:id="376585446">
      <w:bodyDiv w:val="1"/>
      <w:marLeft w:val="0"/>
      <w:marRight w:val="0"/>
      <w:marTop w:val="0"/>
      <w:marBottom w:val="0"/>
      <w:divBdr>
        <w:top w:val="none" w:sz="0" w:space="0" w:color="auto"/>
        <w:left w:val="none" w:sz="0" w:space="0" w:color="auto"/>
        <w:bottom w:val="none" w:sz="0" w:space="0" w:color="auto"/>
        <w:right w:val="none" w:sz="0" w:space="0" w:color="auto"/>
      </w:divBdr>
      <w:divsChild>
        <w:div w:id="648554416">
          <w:marLeft w:val="274"/>
          <w:marRight w:val="0"/>
          <w:marTop w:val="0"/>
          <w:marBottom w:val="0"/>
          <w:divBdr>
            <w:top w:val="none" w:sz="0" w:space="0" w:color="auto"/>
            <w:left w:val="none" w:sz="0" w:space="0" w:color="auto"/>
            <w:bottom w:val="none" w:sz="0" w:space="0" w:color="auto"/>
            <w:right w:val="none" w:sz="0" w:space="0" w:color="auto"/>
          </w:divBdr>
        </w:div>
        <w:div w:id="1151141322">
          <w:marLeft w:val="274"/>
          <w:marRight w:val="0"/>
          <w:marTop w:val="0"/>
          <w:marBottom w:val="0"/>
          <w:divBdr>
            <w:top w:val="none" w:sz="0" w:space="0" w:color="auto"/>
            <w:left w:val="none" w:sz="0" w:space="0" w:color="auto"/>
            <w:bottom w:val="none" w:sz="0" w:space="0" w:color="auto"/>
            <w:right w:val="none" w:sz="0" w:space="0" w:color="auto"/>
          </w:divBdr>
        </w:div>
        <w:div w:id="2085251022">
          <w:marLeft w:val="274"/>
          <w:marRight w:val="0"/>
          <w:marTop w:val="0"/>
          <w:marBottom w:val="0"/>
          <w:divBdr>
            <w:top w:val="none" w:sz="0" w:space="0" w:color="auto"/>
            <w:left w:val="none" w:sz="0" w:space="0" w:color="auto"/>
            <w:bottom w:val="none" w:sz="0" w:space="0" w:color="auto"/>
            <w:right w:val="none" w:sz="0" w:space="0" w:color="auto"/>
          </w:divBdr>
        </w:div>
      </w:divsChild>
    </w:div>
    <w:div w:id="432672756">
      <w:bodyDiv w:val="1"/>
      <w:marLeft w:val="0"/>
      <w:marRight w:val="0"/>
      <w:marTop w:val="0"/>
      <w:marBottom w:val="0"/>
      <w:divBdr>
        <w:top w:val="none" w:sz="0" w:space="0" w:color="auto"/>
        <w:left w:val="none" w:sz="0" w:space="0" w:color="auto"/>
        <w:bottom w:val="none" w:sz="0" w:space="0" w:color="auto"/>
        <w:right w:val="none" w:sz="0" w:space="0" w:color="auto"/>
      </w:divBdr>
    </w:div>
    <w:div w:id="460926947">
      <w:bodyDiv w:val="1"/>
      <w:marLeft w:val="0"/>
      <w:marRight w:val="0"/>
      <w:marTop w:val="0"/>
      <w:marBottom w:val="0"/>
      <w:divBdr>
        <w:top w:val="none" w:sz="0" w:space="0" w:color="auto"/>
        <w:left w:val="none" w:sz="0" w:space="0" w:color="auto"/>
        <w:bottom w:val="none" w:sz="0" w:space="0" w:color="auto"/>
        <w:right w:val="none" w:sz="0" w:space="0" w:color="auto"/>
      </w:divBdr>
    </w:div>
    <w:div w:id="462432031">
      <w:bodyDiv w:val="1"/>
      <w:marLeft w:val="0"/>
      <w:marRight w:val="0"/>
      <w:marTop w:val="0"/>
      <w:marBottom w:val="0"/>
      <w:divBdr>
        <w:top w:val="none" w:sz="0" w:space="0" w:color="auto"/>
        <w:left w:val="none" w:sz="0" w:space="0" w:color="auto"/>
        <w:bottom w:val="none" w:sz="0" w:space="0" w:color="auto"/>
        <w:right w:val="none" w:sz="0" w:space="0" w:color="auto"/>
      </w:divBdr>
    </w:div>
    <w:div w:id="486821945">
      <w:bodyDiv w:val="1"/>
      <w:marLeft w:val="0"/>
      <w:marRight w:val="0"/>
      <w:marTop w:val="0"/>
      <w:marBottom w:val="0"/>
      <w:divBdr>
        <w:top w:val="none" w:sz="0" w:space="0" w:color="auto"/>
        <w:left w:val="none" w:sz="0" w:space="0" w:color="auto"/>
        <w:bottom w:val="none" w:sz="0" w:space="0" w:color="auto"/>
        <w:right w:val="none" w:sz="0" w:space="0" w:color="auto"/>
      </w:divBdr>
    </w:div>
    <w:div w:id="496847864">
      <w:bodyDiv w:val="1"/>
      <w:marLeft w:val="0"/>
      <w:marRight w:val="0"/>
      <w:marTop w:val="0"/>
      <w:marBottom w:val="0"/>
      <w:divBdr>
        <w:top w:val="none" w:sz="0" w:space="0" w:color="auto"/>
        <w:left w:val="none" w:sz="0" w:space="0" w:color="auto"/>
        <w:bottom w:val="none" w:sz="0" w:space="0" w:color="auto"/>
        <w:right w:val="none" w:sz="0" w:space="0" w:color="auto"/>
      </w:divBdr>
    </w:div>
    <w:div w:id="513350651">
      <w:bodyDiv w:val="1"/>
      <w:marLeft w:val="0"/>
      <w:marRight w:val="0"/>
      <w:marTop w:val="0"/>
      <w:marBottom w:val="0"/>
      <w:divBdr>
        <w:top w:val="none" w:sz="0" w:space="0" w:color="auto"/>
        <w:left w:val="none" w:sz="0" w:space="0" w:color="auto"/>
        <w:bottom w:val="none" w:sz="0" w:space="0" w:color="auto"/>
        <w:right w:val="none" w:sz="0" w:space="0" w:color="auto"/>
      </w:divBdr>
    </w:div>
    <w:div w:id="520164305">
      <w:bodyDiv w:val="1"/>
      <w:marLeft w:val="0"/>
      <w:marRight w:val="0"/>
      <w:marTop w:val="0"/>
      <w:marBottom w:val="0"/>
      <w:divBdr>
        <w:top w:val="none" w:sz="0" w:space="0" w:color="auto"/>
        <w:left w:val="none" w:sz="0" w:space="0" w:color="auto"/>
        <w:bottom w:val="none" w:sz="0" w:space="0" w:color="auto"/>
        <w:right w:val="none" w:sz="0" w:space="0" w:color="auto"/>
      </w:divBdr>
      <w:divsChild>
        <w:div w:id="432482748">
          <w:marLeft w:val="274"/>
          <w:marRight w:val="0"/>
          <w:marTop w:val="0"/>
          <w:marBottom w:val="0"/>
          <w:divBdr>
            <w:top w:val="none" w:sz="0" w:space="0" w:color="auto"/>
            <w:left w:val="none" w:sz="0" w:space="0" w:color="auto"/>
            <w:bottom w:val="none" w:sz="0" w:space="0" w:color="auto"/>
            <w:right w:val="none" w:sz="0" w:space="0" w:color="auto"/>
          </w:divBdr>
        </w:div>
        <w:div w:id="588733455">
          <w:marLeft w:val="274"/>
          <w:marRight w:val="0"/>
          <w:marTop w:val="0"/>
          <w:marBottom w:val="0"/>
          <w:divBdr>
            <w:top w:val="none" w:sz="0" w:space="0" w:color="auto"/>
            <w:left w:val="none" w:sz="0" w:space="0" w:color="auto"/>
            <w:bottom w:val="none" w:sz="0" w:space="0" w:color="auto"/>
            <w:right w:val="none" w:sz="0" w:space="0" w:color="auto"/>
          </w:divBdr>
        </w:div>
      </w:divsChild>
    </w:div>
    <w:div w:id="523789897">
      <w:bodyDiv w:val="1"/>
      <w:marLeft w:val="0"/>
      <w:marRight w:val="0"/>
      <w:marTop w:val="0"/>
      <w:marBottom w:val="0"/>
      <w:divBdr>
        <w:top w:val="none" w:sz="0" w:space="0" w:color="auto"/>
        <w:left w:val="none" w:sz="0" w:space="0" w:color="auto"/>
        <w:bottom w:val="none" w:sz="0" w:space="0" w:color="auto"/>
        <w:right w:val="none" w:sz="0" w:space="0" w:color="auto"/>
      </w:divBdr>
      <w:divsChild>
        <w:div w:id="602807384">
          <w:marLeft w:val="274"/>
          <w:marRight w:val="0"/>
          <w:marTop w:val="0"/>
          <w:marBottom w:val="120"/>
          <w:divBdr>
            <w:top w:val="none" w:sz="0" w:space="0" w:color="auto"/>
            <w:left w:val="none" w:sz="0" w:space="0" w:color="auto"/>
            <w:bottom w:val="none" w:sz="0" w:space="0" w:color="auto"/>
            <w:right w:val="none" w:sz="0" w:space="0" w:color="auto"/>
          </w:divBdr>
        </w:div>
        <w:div w:id="704141566">
          <w:marLeft w:val="274"/>
          <w:marRight w:val="0"/>
          <w:marTop w:val="0"/>
          <w:marBottom w:val="120"/>
          <w:divBdr>
            <w:top w:val="none" w:sz="0" w:space="0" w:color="auto"/>
            <w:left w:val="none" w:sz="0" w:space="0" w:color="auto"/>
            <w:bottom w:val="none" w:sz="0" w:space="0" w:color="auto"/>
            <w:right w:val="none" w:sz="0" w:space="0" w:color="auto"/>
          </w:divBdr>
        </w:div>
      </w:divsChild>
    </w:div>
    <w:div w:id="537663878">
      <w:bodyDiv w:val="1"/>
      <w:marLeft w:val="0"/>
      <w:marRight w:val="0"/>
      <w:marTop w:val="0"/>
      <w:marBottom w:val="0"/>
      <w:divBdr>
        <w:top w:val="none" w:sz="0" w:space="0" w:color="auto"/>
        <w:left w:val="none" w:sz="0" w:space="0" w:color="auto"/>
        <w:bottom w:val="none" w:sz="0" w:space="0" w:color="auto"/>
        <w:right w:val="none" w:sz="0" w:space="0" w:color="auto"/>
      </w:divBdr>
    </w:div>
    <w:div w:id="545265744">
      <w:bodyDiv w:val="1"/>
      <w:marLeft w:val="0"/>
      <w:marRight w:val="0"/>
      <w:marTop w:val="0"/>
      <w:marBottom w:val="0"/>
      <w:divBdr>
        <w:top w:val="none" w:sz="0" w:space="0" w:color="auto"/>
        <w:left w:val="none" w:sz="0" w:space="0" w:color="auto"/>
        <w:bottom w:val="none" w:sz="0" w:space="0" w:color="auto"/>
        <w:right w:val="none" w:sz="0" w:space="0" w:color="auto"/>
      </w:divBdr>
    </w:div>
    <w:div w:id="562181509">
      <w:bodyDiv w:val="1"/>
      <w:marLeft w:val="0"/>
      <w:marRight w:val="0"/>
      <w:marTop w:val="0"/>
      <w:marBottom w:val="0"/>
      <w:divBdr>
        <w:top w:val="none" w:sz="0" w:space="0" w:color="auto"/>
        <w:left w:val="none" w:sz="0" w:space="0" w:color="auto"/>
        <w:bottom w:val="none" w:sz="0" w:space="0" w:color="auto"/>
        <w:right w:val="none" w:sz="0" w:space="0" w:color="auto"/>
      </w:divBdr>
    </w:div>
    <w:div w:id="573784774">
      <w:bodyDiv w:val="1"/>
      <w:marLeft w:val="0"/>
      <w:marRight w:val="0"/>
      <w:marTop w:val="0"/>
      <w:marBottom w:val="0"/>
      <w:divBdr>
        <w:top w:val="none" w:sz="0" w:space="0" w:color="auto"/>
        <w:left w:val="none" w:sz="0" w:space="0" w:color="auto"/>
        <w:bottom w:val="none" w:sz="0" w:space="0" w:color="auto"/>
        <w:right w:val="none" w:sz="0" w:space="0" w:color="auto"/>
      </w:divBdr>
    </w:div>
    <w:div w:id="595483620">
      <w:bodyDiv w:val="1"/>
      <w:marLeft w:val="0"/>
      <w:marRight w:val="0"/>
      <w:marTop w:val="0"/>
      <w:marBottom w:val="0"/>
      <w:divBdr>
        <w:top w:val="none" w:sz="0" w:space="0" w:color="auto"/>
        <w:left w:val="none" w:sz="0" w:space="0" w:color="auto"/>
        <w:bottom w:val="none" w:sz="0" w:space="0" w:color="auto"/>
        <w:right w:val="none" w:sz="0" w:space="0" w:color="auto"/>
      </w:divBdr>
    </w:div>
    <w:div w:id="596252594">
      <w:bodyDiv w:val="1"/>
      <w:marLeft w:val="0"/>
      <w:marRight w:val="0"/>
      <w:marTop w:val="0"/>
      <w:marBottom w:val="0"/>
      <w:divBdr>
        <w:top w:val="none" w:sz="0" w:space="0" w:color="auto"/>
        <w:left w:val="none" w:sz="0" w:space="0" w:color="auto"/>
        <w:bottom w:val="none" w:sz="0" w:space="0" w:color="auto"/>
        <w:right w:val="none" w:sz="0" w:space="0" w:color="auto"/>
      </w:divBdr>
      <w:divsChild>
        <w:div w:id="40784617">
          <w:marLeft w:val="274"/>
          <w:marRight w:val="0"/>
          <w:marTop w:val="120"/>
          <w:marBottom w:val="0"/>
          <w:divBdr>
            <w:top w:val="none" w:sz="0" w:space="0" w:color="auto"/>
            <w:left w:val="none" w:sz="0" w:space="0" w:color="auto"/>
            <w:bottom w:val="none" w:sz="0" w:space="0" w:color="auto"/>
            <w:right w:val="none" w:sz="0" w:space="0" w:color="auto"/>
          </w:divBdr>
        </w:div>
        <w:div w:id="879364164">
          <w:marLeft w:val="274"/>
          <w:marRight w:val="0"/>
          <w:marTop w:val="120"/>
          <w:marBottom w:val="0"/>
          <w:divBdr>
            <w:top w:val="none" w:sz="0" w:space="0" w:color="auto"/>
            <w:left w:val="none" w:sz="0" w:space="0" w:color="auto"/>
            <w:bottom w:val="none" w:sz="0" w:space="0" w:color="auto"/>
            <w:right w:val="none" w:sz="0" w:space="0" w:color="auto"/>
          </w:divBdr>
        </w:div>
        <w:div w:id="959989784">
          <w:marLeft w:val="274"/>
          <w:marRight w:val="0"/>
          <w:marTop w:val="120"/>
          <w:marBottom w:val="0"/>
          <w:divBdr>
            <w:top w:val="none" w:sz="0" w:space="0" w:color="auto"/>
            <w:left w:val="none" w:sz="0" w:space="0" w:color="auto"/>
            <w:bottom w:val="none" w:sz="0" w:space="0" w:color="auto"/>
            <w:right w:val="none" w:sz="0" w:space="0" w:color="auto"/>
          </w:divBdr>
        </w:div>
        <w:div w:id="1053580590">
          <w:marLeft w:val="274"/>
          <w:marRight w:val="0"/>
          <w:marTop w:val="120"/>
          <w:marBottom w:val="0"/>
          <w:divBdr>
            <w:top w:val="none" w:sz="0" w:space="0" w:color="auto"/>
            <w:left w:val="none" w:sz="0" w:space="0" w:color="auto"/>
            <w:bottom w:val="none" w:sz="0" w:space="0" w:color="auto"/>
            <w:right w:val="none" w:sz="0" w:space="0" w:color="auto"/>
          </w:divBdr>
        </w:div>
        <w:div w:id="1261570169">
          <w:marLeft w:val="274"/>
          <w:marRight w:val="0"/>
          <w:marTop w:val="120"/>
          <w:marBottom w:val="0"/>
          <w:divBdr>
            <w:top w:val="none" w:sz="0" w:space="0" w:color="auto"/>
            <w:left w:val="none" w:sz="0" w:space="0" w:color="auto"/>
            <w:bottom w:val="none" w:sz="0" w:space="0" w:color="auto"/>
            <w:right w:val="none" w:sz="0" w:space="0" w:color="auto"/>
          </w:divBdr>
        </w:div>
        <w:div w:id="1441217644">
          <w:marLeft w:val="274"/>
          <w:marRight w:val="0"/>
          <w:marTop w:val="120"/>
          <w:marBottom w:val="0"/>
          <w:divBdr>
            <w:top w:val="none" w:sz="0" w:space="0" w:color="auto"/>
            <w:left w:val="none" w:sz="0" w:space="0" w:color="auto"/>
            <w:bottom w:val="none" w:sz="0" w:space="0" w:color="auto"/>
            <w:right w:val="none" w:sz="0" w:space="0" w:color="auto"/>
          </w:divBdr>
        </w:div>
        <w:div w:id="1604875616">
          <w:marLeft w:val="274"/>
          <w:marRight w:val="0"/>
          <w:marTop w:val="120"/>
          <w:marBottom w:val="0"/>
          <w:divBdr>
            <w:top w:val="none" w:sz="0" w:space="0" w:color="auto"/>
            <w:left w:val="none" w:sz="0" w:space="0" w:color="auto"/>
            <w:bottom w:val="none" w:sz="0" w:space="0" w:color="auto"/>
            <w:right w:val="none" w:sz="0" w:space="0" w:color="auto"/>
          </w:divBdr>
        </w:div>
      </w:divsChild>
    </w:div>
    <w:div w:id="612053145">
      <w:bodyDiv w:val="1"/>
      <w:marLeft w:val="0"/>
      <w:marRight w:val="0"/>
      <w:marTop w:val="0"/>
      <w:marBottom w:val="0"/>
      <w:divBdr>
        <w:top w:val="none" w:sz="0" w:space="0" w:color="auto"/>
        <w:left w:val="none" w:sz="0" w:space="0" w:color="auto"/>
        <w:bottom w:val="none" w:sz="0" w:space="0" w:color="auto"/>
        <w:right w:val="none" w:sz="0" w:space="0" w:color="auto"/>
      </w:divBdr>
    </w:div>
    <w:div w:id="615869920">
      <w:bodyDiv w:val="1"/>
      <w:marLeft w:val="0"/>
      <w:marRight w:val="0"/>
      <w:marTop w:val="0"/>
      <w:marBottom w:val="0"/>
      <w:divBdr>
        <w:top w:val="none" w:sz="0" w:space="0" w:color="auto"/>
        <w:left w:val="none" w:sz="0" w:space="0" w:color="auto"/>
        <w:bottom w:val="none" w:sz="0" w:space="0" w:color="auto"/>
        <w:right w:val="none" w:sz="0" w:space="0" w:color="auto"/>
      </w:divBdr>
    </w:div>
    <w:div w:id="640967464">
      <w:bodyDiv w:val="1"/>
      <w:marLeft w:val="0"/>
      <w:marRight w:val="0"/>
      <w:marTop w:val="0"/>
      <w:marBottom w:val="0"/>
      <w:divBdr>
        <w:top w:val="none" w:sz="0" w:space="0" w:color="auto"/>
        <w:left w:val="none" w:sz="0" w:space="0" w:color="auto"/>
        <w:bottom w:val="none" w:sz="0" w:space="0" w:color="auto"/>
        <w:right w:val="none" w:sz="0" w:space="0" w:color="auto"/>
      </w:divBdr>
    </w:div>
    <w:div w:id="647980117">
      <w:bodyDiv w:val="1"/>
      <w:marLeft w:val="0"/>
      <w:marRight w:val="0"/>
      <w:marTop w:val="0"/>
      <w:marBottom w:val="0"/>
      <w:divBdr>
        <w:top w:val="none" w:sz="0" w:space="0" w:color="auto"/>
        <w:left w:val="none" w:sz="0" w:space="0" w:color="auto"/>
        <w:bottom w:val="none" w:sz="0" w:space="0" w:color="auto"/>
        <w:right w:val="none" w:sz="0" w:space="0" w:color="auto"/>
      </w:divBdr>
      <w:divsChild>
        <w:div w:id="194928139">
          <w:marLeft w:val="274"/>
          <w:marRight w:val="0"/>
          <w:marTop w:val="0"/>
          <w:marBottom w:val="120"/>
          <w:divBdr>
            <w:top w:val="none" w:sz="0" w:space="0" w:color="auto"/>
            <w:left w:val="none" w:sz="0" w:space="0" w:color="auto"/>
            <w:bottom w:val="none" w:sz="0" w:space="0" w:color="auto"/>
            <w:right w:val="none" w:sz="0" w:space="0" w:color="auto"/>
          </w:divBdr>
        </w:div>
        <w:div w:id="442189684">
          <w:marLeft w:val="274"/>
          <w:marRight w:val="0"/>
          <w:marTop w:val="0"/>
          <w:marBottom w:val="120"/>
          <w:divBdr>
            <w:top w:val="none" w:sz="0" w:space="0" w:color="auto"/>
            <w:left w:val="none" w:sz="0" w:space="0" w:color="auto"/>
            <w:bottom w:val="none" w:sz="0" w:space="0" w:color="auto"/>
            <w:right w:val="none" w:sz="0" w:space="0" w:color="auto"/>
          </w:divBdr>
        </w:div>
        <w:div w:id="464739480">
          <w:marLeft w:val="274"/>
          <w:marRight w:val="0"/>
          <w:marTop w:val="0"/>
          <w:marBottom w:val="120"/>
          <w:divBdr>
            <w:top w:val="none" w:sz="0" w:space="0" w:color="auto"/>
            <w:left w:val="none" w:sz="0" w:space="0" w:color="auto"/>
            <w:bottom w:val="none" w:sz="0" w:space="0" w:color="auto"/>
            <w:right w:val="none" w:sz="0" w:space="0" w:color="auto"/>
          </w:divBdr>
        </w:div>
        <w:div w:id="756630907">
          <w:marLeft w:val="274"/>
          <w:marRight w:val="0"/>
          <w:marTop w:val="0"/>
          <w:marBottom w:val="120"/>
          <w:divBdr>
            <w:top w:val="none" w:sz="0" w:space="0" w:color="auto"/>
            <w:left w:val="none" w:sz="0" w:space="0" w:color="auto"/>
            <w:bottom w:val="none" w:sz="0" w:space="0" w:color="auto"/>
            <w:right w:val="none" w:sz="0" w:space="0" w:color="auto"/>
          </w:divBdr>
        </w:div>
        <w:div w:id="877618739">
          <w:marLeft w:val="274"/>
          <w:marRight w:val="0"/>
          <w:marTop w:val="0"/>
          <w:marBottom w:val="120"/>
          <w:divBdr>
            <w:top w:val="none" w:sz="0" w:space="0" w:color="auto"/>
            <w:left w:val="none" w:sz="0" w:space="0" w:color="auto"/>
            <w:bottom w:val="none" w:sz="0" w:space="0" w:color="auto"/>
            <w:right w:val="none" w:sz="0" w:space="0" w:color="auto"/>
          </w:divBdr>
        </w:div>
        <w:div w:id="908686525">
          <w:marLeft w:val="274"/>
          <w:marRight w:val="0"/>
          <w:marTop w:val="0"/>
          <w:marBottom w:val="120"/>
          <w:divBdr>
            <w:top w:val="none" w:sz="0" w:space="0" w:color="auto"/>
            <w:left w:val="none" w:sz="0" w:space="0" w:color="auto"/>
            <w:bottom w:val="none" w:sz="0" w:space="0" w:color="auto"/>
            <w:right w:val="none" w:sz="0" w:space="0" w:color="auto"/>
          </w:divBdr>
        </w:div>
        <w:div w:id="1143238166">
          <w:marLeft w:val="274"/>
          <w:marRight w:val="0"/>
          <w:marTop w:val="0"/>
          <w:marBottom w:val="120"/>
          <w:divBdr>
            <w:top w:val="none" w:sz="0" w:space="0" w:color="auto"/>
            <w:left w:val="none" w:sz="0" w:space="0" w:color="auto"/>
            <w:bottom w:val="none" w:sz="0" w:space="0" w:color="auto"/>
            <w:right w:val="none" w:sz="0" w:space="0" w:color="auto"/>
          </w:divBdr>
        </w:div>
        <w:div w:id="1217858742">
          <w:marLeft w:val="274"/>
          <w:marRight w:val="0"/>
          <w:marTop w:val="0"/>
          <w:marBottom w:val="120"/>
          <w:divBdr>
            <w:top w:val="none" w:sz="0" w:space="0" w:color="auto"/>
            <w:left w:val="none" w:sz="0" w:space="0" w:color="auto"/>
            <w:bottom w:val="none" w:sz="0" w:space="0" w:color="auto"/>
            <w:right w:val="none" w:sz="0" w:space="0" w:color="auto"/>
          </w:divBdr>
        </w:div>
        <w:div w:id="1558514550">
          <w:marLeft w:val="274"/>
          <w:marRight w:val="0"/>
          <w:marTop w:val="0"/>
          <w:marBottom w:val="120"/>
          <w:divBdr>
            <w:top w:val="none" w:sz="0" w:space="0" w:color="auto"/>
            <w:left w:val="none" w:sz="0" w:space="0" w:color="auto"/>
            <w:bottom w:val="none" w:sz="0" w:space="0" w:color="auto"/>
            <w:right w:val="none" w:sz="0" w:space="0" w:color="auto"/>
          </w:divBdr>
        </w:div>
        <w:div w:id="1625503432">
          <w:marLeft w:val="274"/>
          <w:marRight w:val="0"/>
          <w:marTop w:val="0"/>
          <w:marBottom w:val="120"/>
          <w:divBdr>
            <w:top w:val="none" w:sz="0" w:space="0" w:color="auto"/>
            <w:left w:val="none" w:sz="0" w:space="0" w:color="auto"/>
            <w:bottom w:val="none" w:sz="0" w:space="0" w:color="auto"/>
            <w:right w:val="none" w:sz="0" w:space="0" w:color="auto"/>
          </w:divBdr>
        </w:div>
      </w:divsChild>
    </w:div>
    <w:div w:id="675303371">
      <w:bodyDiv w:val="1"/>
      <w:marLeft w:val="0"/>
      <w:marRight w:val="0"/>
      <w:marTop w:val="0"/>
      <w:marBottom w:val="0"/>
      <w:divBdr>
        <w:top w:val="none" w:sz="0" w:space="0" w:color="auto"/>
        <w:left w:val="none" w:sz="0" w:space="0" w:color="auto"/>
        <w:bottom w:val="none" w:sz="0" w:space="0" w:color="auto"/>
        <w:right w:val="none" w:sz="0" w:space="0" w:color="auto"/>
      </w:divBdr>
    </w:div>
    <w:div w:id="682319511">
      <w:bodyDiv w:val="1"/>
      <w:marLeft w:val="0"/>
      <w:marRight w:val="0"/>
      <w:marTop w:val="0"/>
      <w:marBottom w:val="0"/>
      <w:divBdr>
        <w:top w:val="none" w:sz="0" w:space="0" w:color="auto"/>
        <w:left w:val="none" w:sz="0" w:space="0" w:color="auto"/>
        <w:bottom w:val="none" w:sz="0" w:space="0" w:color="auto"/>
        <w:right w:val="none" w:sz="0" w:space="0" w:color="auto"/>
      </w:divBdr>
      <w:divsChild>
        <w:div w:id="1552422554">
          <w:marLeft w:val="446"/>
          <w:marRight w:val="0"/>
          <w:marTop w:val="0"/>
          <w:marBottom w:val="0"/>
          <w:divBdr>
            <w:top w:val="none" w:sz="0" w:space="0" w:color="auto"/>
            <w:left w:val="none" w:sz="0" w:space="0" w:color="auto"/>
            <w:bottom w:val="none" w:sz="0" w:space="0" w:color="auto"/>
            <w:right w:val="none" w:sz="0" w:space="0" w:color="auto"/>
          </w:divBdr>
        </w:div>
      </w:divsChild>
    </w:div>
    <w:div w:id="697438916">
      <w:bodyDiv w:val="1"/>
      <w:marLeft w:val="0"/>
      <w:marRight w:val="0"/>
      <w:marTop w:val="0"/>
      <w:marBottom w:val="0"/>
      <w:divBdr>
        <w:top w:val="none" w:sz="0" w:space="0" w:color="auto"/>
        <w:left w:val="none" w:sz="0" w:space="0" w:color="auto"/>
        <w:bottom w:val="none" w:sz="0" w:space="0" w:color="auto"/>
        <w:right w:val="none" w:sz="0" w:space="0" w:color="auto"/>
      </w:divBdr>
    </w:div>
    <w:div w:id="706680462">
      <w:bodyDiv w:val="1"/>
      <w:marLeft w:val="0"/>
      <w:marRight w:val="0"/>
      <w:marTop w:val="0"/>
      <w:marBottom w:val="0"/>
      <w:divBdr>
        <w:top w:val="none" w:sz="0" w:space="0" w:color="auto"/>
        <w:left w:val="none" w:sz="0" w:space="0" w:color="auto"/>
        <w:bottom w:val="none" w:sz="0" w:space="0" w:color="auto"/>
        <w:right w:val="none" w:sz="0" w:space="0" w:color="auto"/>
      </w:divBdr>
    </w:div>
    <w:div w:id="706754285">
      <w:bodyDiv w:val="1"/>
      <w:marLeft w:val="0"/>
      <w:marRight w:val="0"/>
      <w:marTop w:val="0"/>
      <w:marBottom w:val="0"/>
      <w:divBdr>
        <w:top w:val="none" w:sz="0" w:space="0" w:color="auto"/>
        <w:left w:val="none" w:sz="0" w:space="0" w:color="auto"/>
        <w:bottom w:val="none" w:sz="0" w:space="0" w:color="auto"/>
        <w:right w:val="none" w:sz="0" w:space="0" w:color="auto"/>
      </w:divBdr>
    </w:div>
    <w:div w:id="719936933">
      <w:bodyDiv w:val="1"/>
      <w:marLeft w:val="0"/>
      <w:marRight w:val="0"/>
      <w:marTop w:val="0"/>
      <w:marBottom w:val="0"/>
      <w:divBdr>
        <w:top w:val="none" w:sz="0" w:space="0" w:color="auto"/>
        <w:left w:val="none" w:sz="0" w:space="0" w:color="auto"/>
        <w:bottom w:val="none" w:sz="0" w:space="0" w:color="auto"/>
        <w:right w:val="none" w:sz="0" w:space="0" w:color="auto"/>
      </w:divBdr>
    </w:div>
    <w:div w:id="752630572">
      <w:bodyDiv w:val="1"/>
      <w:marLeft w:val="0"/>
      <w:marRight w:val="0"/>
      <w:marTop w:val="0"/>
      <w:marBottom w:val="0"/>
      <w:divBdr>
        <w:top w:val="none" w:sz="0" w:space="0" w:color="auto"/>
        <w:left w:val="none" w:sz="0" w:space="0" w:color="auto"/>
        <w:bottom w:val="none" w:sz="0" w:space="0" w:color="auto"/>
        <w:right w:val="none" w:sz="0" w:space="0" w:color="auto"/>
      </w:divBdr>
    </w:div>
    <w:div w:id="768698090">
      <w:bodyDiv w:val="1"/>
      <w:marLeft w:val="0"/>
      <w:marRight w:val="0"/>
      <w:marTop w:val="0"/>
      <w:marBottom w:val="0"/>
      <w:divBdr>
        <w:top w:val="none" w:sz="0" w:space="0" w:color="auto"/>
        <w:left w:val="none" w:sz="0" w:space="0" w:color="auto"/>
        <w:bottom w:val="none" w:sz="0" w:space="0" w:color="auto"/>
        <w:right w:val="none" w:sz="0" w:space="0" w:color="auto"/>
      </w:divBdr>
    </w:div>
    <w:div w:id="783573880">
      <w:bodyDiv w:val="1"/>
      <w:marLeft w:val="0"/>
      <w:marRight w:val="0"/>
      <w:marTop w:val="0"/>
      <w:marBottom w:val="0"/>
      <w:divBdr>
        <w:top w:val="none" w:sz="0" w:space="0" w:color="auto"/>
        <w:left w:val="none" w:sz="0" w:space="0" w:color="auto"/>
        <w:bottom w:val="none" w:sz="0" w:space="0" w:color="auto"/>
        <w:right w:val="none" w:sz="0" w:space="0" w:color="auto"/>
      </w:divBdr>
    </w:div>
    <w:div w:id="784813603">
      <w:bodyDiv w:val="1"/>
      <w:marLeft w:val="0"/>
      <w:marRight w:val="0"/>
      <w:marTop w:val="0"/>
      <w:marBottom w:val="0"/>
      <w:divBdr>
        <w:top w:val="none" w:sz="0" w:space="0" w:color="auto"/>
        <w:left w:val="none" w:sz="0" w:space="0" w:color="auto"/>
        <w:bottom w:val="none" w:sz="0" w:space="0" w:color="auto"/>
        <w:right w:val="none" w:sz="0" w:space="0" w:color="auto"/>
      </w:divBdr>
    </w:div>
    <w:div w:id="787626976">
      <w:bodyDiv w:val="1"/>
      <w:marLeft w:val="0"/>
      <w:marRight w:val="0"/>
      <w:marTop w:val="0"/>
      <w:marBottom w:val="0"/>
      <w:divBdr>
        <w:top w:val="none" w:sz="0" w:space="0" w:color="auto"/>
        <w:left w:val="none" w:sz="0" w:space="0" w:color="auto"/>
        <w:bottom w:val="none" w:sz="0" w:space="0" w:color="auto"/>
        <w:right w:val="none" w:sz="0" w:space="0" w:color="auto"/>
      </w:divBdr>
    </w:div>
    <w:div w:id="861283461">
      <w:bodyDiv w:val="1"/>
      <w:marLeft w:val="0"/>
      <w:marRight w:val="0"/>
      <w:marTop w:val="0"/>
      <w:marBottom w:val="0"/>
      <w:divBdr>
        <w:top w:val="none" w:sz="0" w:space="0" w:color="auto"/>
        <w:left w:val="none" w:sz="0" w:space="0" w:color="auto"/>
        <w:bottom w:val="none" w:sz="0" w:space="0" w:color="auto"/>
        <w:right w:val="none" w:sz="0" w:space="0" w:color="auto"/>
      </w:divBdr>
    </w:div>
    <w:div w:id="883830081">
      <w:bodyDiv w:val="1"/>
      <w:marLeft w:val="0"/>
      <w:marRight w:val="0"/>
      <w:marTop w:val="0"/>
      <w:marBottom w:val="0"/>
      <w:divBdr>
        <w:top w:val="none" w:sz="0" w:space="0" w:color="auto"/>
        <w:left w:val="none" w:sz="0" w:space="0" w:color="auto"/>
        <w:bottom w:val="none" w:sz="0" w:space="0" w:color="auto"/>
        <w:right w:val="none" w:sz="0" w:space="0" w:color="auto"/>
      </w:divBdr>
    </w:div>
    <w:div w:id="889537720">
      <w:bodyDiv w:val="1"/>
      <w:marLeft w:val="0"/>
      <w:marRight w:val="0"/>
      <w:marTop w:val="0"/>
      <w:marBottom w:val="0"/>
      <w:divBdr>
        <w:top w:val="none" w:sz="0" w:space="0" w:color="auto"/>
        <w:left w:val="none" w:sz="0" w:space="0" w:color="auto"/>
        <w:bottom w:val="none" w:sz="0" w:space="0" w:color="auto"/>
        <w:right w:val="none" w:sz="0" w:space="0" w:color="auto"/>
      </w:divBdr>
    </w:div>
    <w:div w:id="901214432">
      <w:bodyDiv w:val="1"/>
      <w:marLeft w:val="0"/>
      <w:marRight w:val="0"/>
      <w:marTop w:val="0"/>
      <w:marBottom w:val="0"/>
      <w:divBdr>
        <w:top w:val="none" w:sz="0" w:space="0" w:color="auto"/>
        <w:left w:val="none" w:sz="0" w:space="0" w:color="auto"/>
        <w:bottom w:val="none" w:sz="0" w:space="0" w:color="auto"/>
        <w:right w:val="none" w:sz="0" w:space="0" w:color="auto"/>
      </w:divBdr>
    </w:div>
    <w:div w:id="936984243">
      <w:bodyDiv w:val="1"/>
      <w:marLeft w:val="0"/>
      <w:marRight w:val="0"/>
      <w:marTop w:val="0"/>
      <w:marBottom w:val="0"/>
      <w:divBdr>
        <w:top w:val="none" w:sz="0" w:space="0" w:color="auto"/>
        <w:left w:val="none" w:sz="0" w:space="0" w:color="auto"/>
        <w:bottom w:val="none" w:sz="0" w:space="0" w:color="auto"/>
        <w:right w:val="none" w:sz="0" w:space="0" w:color="auto"/>
      </w:divBdr>
    </w:div>
    <w:div w:id="970939876">
      <w:bodyDiv w:val="1"/>
      <w:marLeft w:val="0"/>
      <w:marRight w:val="0"/>
      <w:marTop w:val="0"/>
      <w:marBottom w:val="0"/>
      <w:divBdr>
        <w:top w:val="none" w:sz="0" w:space="0" w:color="auto"/>
        <w:left w:val="none" w:sz="0" w:space="0" w:color="auto"/>
        <w:bottom w:val="none" w:sz="0" w:space="0" w:color="auto"/>
        <w:right w:val="none" w:sz="0" w:space="0" w:color="auto"/>
      </w:divBdr>
    </w:div>
    <w:div w:id="991180393">
      <w:bodyDiv w:val="1"/>
      <w:marLeft w:val="0"/>
      <w:marRight w:val="0"/>
      <w:marTop w:val="0"/>
      <w:marBottom w:val="0"/>
      <w:divBdr>
        <w:top w:val="none" w:sz="0" w:space="0" w:color="auto"/>
        <w:left w:val="none" w:sz="0" w:space="0" w:color="auto"/>
        <w:bottom w:val="none" w:sz="0" w:space="0" w:color="auto"/>
        <w:right w:val="none" w:sz="0" w:space="0" w:color="auto"/>
      </w:divBdr>
    </w:div>
    <w:div w:id="1010331513">
      <w:bodyDiv w:val="1"/>
      <w:marLeft w:val="0"/>
      <w:marRight w:val="0"/>
      <w:marTop w:val="0"/>
      <w:marBottom w:val="0"/>
      <w:divBdr>
        <w:top w:val="none" w:sz="0" w:space="0" w:color="auto"/>
        <w:left w:val="none" w:sz="0" w:space="0" w:color="auto"/>
        <w:bottom w:val="none" w:sz="0" w:space="0" w:color="auto"/>
        <w:right w:val="none" w:sz="0" w:space="0" w:color="auto"/>
      </w:divBdr>
    </w:div>
    <w:div w:id="1021778453">
      <w:bodyDiv w:val="1"/>
      <w:marLeft w:val="0"/>
      <w:marRight w:val="0"/>
      <w:marTop w:val="0"/>
      <w:marBottom w:val="0"/>
      <w:divBdr>
        <w:top w:val="none" w:sz="0" w:space="0" w:color="auto"/>
        <w:left w:val="none" w:sz="0" w:space="0" w:color="auto"/>
        <w:bottom w:val="none" w:sz="0" w:space="0" w:color="auto"/>
        <w:right w:val="none" w:sz="0" w:space="0" w:color="auto"/>
      </w:divBdr>
      <w:divsChild>
        <w:div w:id="299187199">
          <w:marLeft w:val="0"/>
          <w:marRight w:val="0"/>
          <w:marTop w:val="0"/>
          <w:marBottom w:val="0"/>
          <w:divBdr>
            <w:top w:val="none" w:sz="0" w:space="0" w:color="auto"/>
            <w:left w:val="none" w:sz="0" w:space="0" w:color="auto"/>
            <w:bottom w:val="none" w:sz="0" w:space="0" w:color="auto"/>
            <w:right w:val="none" w:sz="0" w:space="0" w:color="auto"/>
          </w:divBdr>
        </w:div>
      </w:divsChild>
    </w:div>
    <w:div w:id="1028877410">
      <w:bodyDiv w:val="1"/>
      <w:marLeft w:val="0"/>
      <w:marRight w:val="0"/>
      <w:marTop w:val="0"/>
      <w:marBottom w:val="0"/>
      <w:divBdr>
        <w:top w:val="none" w:sz="0" w:space="0" w:color="auto"/>
        <w:left w:val="none" w:sz="0" w:space="0" w:color="auto"/>
        <w:bottom w:val="none" w:sz="0" w:space="0" w:color="auto"/>
        <w:right w:val="none" w:sz="0" w:space="0" w:color="auto"/>
      </w:divBdr>
    </w:div>
    <w:div w:id="1046833079">
      <w:bodyDiv w:val="1"/>
      <w:marLeft w:val="0"/>
      <w:marRight w:val="0"/>
      <w:marTop w:val="0"/>
      <w:marBottom w:val="0"/>
      <w:divBdr>
        <w:top w:val="none" w:sz="0" w:space="0" w:color="auto"/>
        <w:left w:val="none" w:sz="0" w:space="0" w:color="auto"/>
        <w:bottom w:val="none" w:sz="0" w:space="0" w:color="auto"/>
        <w:right w:val="none" w:sz="0" w:space="0" w:color="auto"/>
      </w:divBdr>
      <w:divsChild>
        <w:div w:id="1084033989">
          <w:marLeft w:val="274"/>
          <w:marRight w:val="0"/>
          <w:marTop w:val="0"/>
          <w:marBottom w:val="0"/>
          <w:divBdr>
            <w:top w:val="none" w:sz="0" w:space="0" w:color="auto"/>
            <w:left w:val="none" w:sz="0" w:space="0" w:color="auto"/>
            <w:bottom w:val="none" w:sz="0" w:space="0" w:color="auto"/>
            <w:right w:val="none" w:sz="0" w:space="0" w:color="auto"/>
          </w:divBdr>
        </w:div>
        <w:div w:id="1393698242">
          <w:marLeft w:val="274"/>
          <w:marRight w:val="0"/>
          <w:marTop w:val="0"/>
          <w:marBottom w:val="0"/>
          <w:divBdr>
            <w:top w:val="none" w:sz="0" w:space="0" w:color="auto"/>
            <w:left w:val="none" w:sz="0" w:space="0" w:color="auto"/>
            <w:bottom w:val="none" w:sz="0" w:space="0" w:color="auto"/>
            <w:right w:val="none" w:sz="0" w:space="0" w:color="auto"/>
          </w:divBdr>
        </w:div>
        <w:div w:id="2138526664">
          <w:marLeft w:val="274"/>
          <w:marRight w:val="0"/>
          <w:marTop w:val="0"/>
          <w:marBottom w:val="0"/>
          <w:divBdr>
            <w:top w:val="none" w:sz="0" w:space="0" w:color="auto"/>
            <w:left w:val="none" w:sz="0" w:space="0" w:color="auto"/>
            <w:bottom w:val="none" w:sz="0" w:space="0" w:color="auto"/>
            <w:right w:val="none" w:sz="0" w:space="0" w:color="auto"/>
          </w:divBdr>
        </w:div>
      </w:divsChild>
    </w:div>
    <w:div w:id="1054503518">
      <w:bodyDiv w:val="1"/>
      <w:marLeft w:val="0"/>
      <w:marRight w:val="0"/>
      <w:marTop w:val="0"/>
      <w:marBottom w:val="0"/>
      <w:divBdr>
        <w:top w:val="none" w:sz="0" w:space="0" w:color="auto"/>
        <w:left w:val="none" w:sz="0" w:space="0" w:color="auto"/>
        <w:bottom w:val="none" w:sz="0" w:space="0" w:color="auto"/>
        <w:right w:val="none" w:sz="0" w:space="0" w:color="auto"/>
      </w:divBdr>
    </w:div>
    <w:div w:id="1067069629">
      <w:bodyDiv w:val="1"/>
      <w:marLeft w:val="0"/>
      <w:marRight w:val="0"/>
      <w:marTop w:val="0"/>
      <w:marBottom w:val="0"/>
      <w:divBdr>
        <w:top w:val="none" w:sz="0" w:space="0" w:color="auto"/>
        <w:left w:val="none" w:sz="0" w:space="0" w:color="auto"/>
        <w:bottom w:val="none" w:sz="0" w:space="0" w:color="auto"/>
        <w:right w:val="none" w:sz="0" w:space="0" w:color="auto"/>
      </w:divBdr>
    </w:div>
    <w:div w:id="1070080229">
      <w:bodyDiv w:val="1"/>
      <w:marLeft w:val="0"/>
      <w:marRight w:val="0"/>
      <w:marTop w:val="0"/>
      <w:marBottom w:val="0"/>
      <w:divBdr>
        <w:top w:val="none" w:sz="0" w:space="0" w:color="auto"/>
        <w:left w:val="none" w:sz="0" w:space="0" w:color="auto"/>
        <w:bottom w:val="none" w:sz="0" w:space="0" w:color="auto"/>
        <w:right w:val="none" w:sz="0" w:space="0" w:color="auto"/>
      </w:divBdr>
    </w:div>
    <w:div w:id="1073964050">
      <w:bodyDiv w:val="1"/>
      <w:marLeft w:val="0"/>
      <w:marRight w:val="0"/>
      <w:marTop w:val="0"/>
      <w:marBottom w:val="0"/>
      <w:divBdr>
        <w:top w:val="none" w:sz="0" w:space="0" w:color="auto"/>
        <w:left w:val="none" w:sz="0" w:space="0" w:color="auto"/>
        <w:bottom w:val="none" w:sz="0" w:space="0" w:color="auto"/>
        <w:right w:val="none" w:sz="0" w:space="0" w:color="auto"/>
      </w:divBdr>
    </w:div>
    <w:div w:id="1083990927">
      <w:bodyDiv w:val="1"/>
      <w:marLeft w:val="0"/>
      <w:marRight w:val="0"/>
      <w:marTop w:val="0"/>
      <w:marBottom w:val="0"/>
      <w:divBdr>
        <w:top w:val="none" w:sz="0" w:space="0" w:color="auto"/>
        <w:left w:val="none" w:sz="0" w:space="0" w:color="auto"/>
        <w:bottom w:val="none" w:sz="0" w:space="0" w:color="auto"/>
        <w:right w:val="none" w:sz="0" w:space="0" w:color="auto"/>
      </w:divBdr>
      <w:divsChild>
        <w:div w:id="182863262">
          <w:marLeft w:val="274"/>
          <w:marRight w:val="0"/>
          <w:marTop w:val="120"/>
          <w:marBottom w:val="120"/>
          <w:divBdr>
            <w:top w:val="none" w:sz="0" w:space="0" w:color="auto"/>
            <w:left w:val="none" w:sz="0" w:space="0" w:color="auto"/>
            <w:bottom w:val="none" w:sz="0" w:space="0" w:color="auto"/>
            <w:right w:val="none" w:sz="0" w:space="0" w:color="auto"/>
          </w:divBdr>
        </w:div>
        <w:div w:id="303781337">
          <w:marLeft w:val="274"/>
          <w:marRight w:val="0"/>
          <w:marTop w:val="120"/>
          <w:marBottom w:val="120"/>
          <w:divBdr>
            <w:top w:val="none" w:sz="0" w:space="0" w:color="auto"/>
            <w:left w:val="none" w:sz="0" w:space="0" w:color="auto"/>
            <w:bottom w:val="none" w:sz="0" w:space="0" w:color="auto"/>
            <w:right w:val="none" w:sz="0" w:space="0" w:color="auto"/>
          </w:divBdr>
        </w:div>
        <w:div w:id="498468473">
          <w:marLeft w:val="274"/>
          <w:marRight w:val="0"/>
          <w:marTop w:val="120"/>
          <w:marBottom w:val="120"/>
          <w:divBdr>
            <w:top w:val="none" w:sz="0" w:space="0" w:color="auto"/>
            <w:left w:val="none" w:sz="0" w:space="0" w:color="auto"/>
            <w:bottom w:val="none" w:sz="0" w:space="0" w:color="auto"/>
            <w:right w:val="none" w:sz="0" w:space="0" w:color="auto"/>
          </w:divBdr>
        </w:div>
        <w:div w:id="993412575">
          <w:marLeft w:val="274"/>
          <w:marRight w:val="0"/>
          <w:marTop w:val="120"/>
          <w:marBottom w:val="120"/>
          <w:divBdr>
            <w:top w:val="none" w:sz="0" w:space="0" w:color="auto"/>
            <w:left w:val="none" w:sz="0" w:space="0" w:color="auto"/>
            <w:bottom w:val="none" w:sz="0" w:space="0" w:color="auto"/>
            <w:right w:val="none" w:sz="0" w:space="0" w:color="auto"/>
          </w:divBdr>
        </w:div>
        <w:div w:id="1072191783">
          <w:marLeft w:val="274"/>
          <w:marRight w:val="0"/>
          <w:marTop w:val="120"/>
          <w:marBottom w:val="120"/>
          <w:divBdr>
            <w:top w:val="none" w:sz="0" w:space="0" w:color="auto"/>
            <w:left w:val="none" w:sz="0" w:space="0" w:color="auto"/>
            <w:bottom w:val="none" w:sz="0" w:space="0" w:color="auto"/>
            <w:right w:val="none" w:sz="0" w:space="0" w:color="auto"/>
          </w:divBdr>
        </w:div>
        <w:div w:id="1087536050">
          <w:marLeft w:val="274"/>
          <w:marRight w:val="0"/>
          <w:marTop w:val="120"/>
          <w:marBottom w:val="120"/>
          <w:divBdr>
            <w:top w:val="none" w:sz="0" w:space="0" w:color="auto"/>
            <w:left w:val="none" w:sz="0" w:space="0" w:color="auto"/>
            <w:bottom w:val="none" w:sz="0" w:space="0" w:color="auto"/>
            <w:right w:val="none" w:sz="0" w:space="0" w:color="auto"/>
          </w:divBdr>
        </w:div>
        <w:div w:id="1088624550">
          <w:marLeft w:val="274"/>
          <w:marRight w:val="0"/>
          <w:marTop w:val="120"/>
          <w:marBottom w:val="120"/>
          <w:divBdr>
            <w:top w:val="none" w:sz="0" w:space="0" w:color="auto"/>
            <w:left w:val="none" w:sz="0" w:space="0" w:color="auto"/>
            <w:bottom w:val="none" w:sz="0" w:space="0" w:color="auto"/>
            <w:right w:val="none" w:sz="0" w:space="0" w:color="auto"/>
          </w:divBdr>
        </w:div>
        <w:div w:id="1628126902">
          <w:marLeft w:val="274"/>
          <w:marRight w:val="0"/>
          <w:marTop w:val="120"/>
          <w:marBottom w:val="120"/>
          <w:divBdr>
            <w:top w:val="none" w:sz="0" w:space="0" w:color="auto"/>
            <w:left w:val="none" w:sz="0" w:space="0" w:color="auto"/>
            <w:bottom w:val="none" w:sz="0" w:space="0" w:color="auto"/>
            <w:right w:val="none" w:sz="0" w:space="0" w:color="auto"/>
          </w:divBdr>
        </w:div>
        <w:div w:id="1794326164">
          <w:marLeft w:val="274"/>
          <w:marRight w:val="0"/>
          <w:marTop w:val="120"/>
          <w:marBottom w:val="120"/>
          <w:divBdr>
            <w:top w:val="none" w:sz="0" w:space="0" w:color="auto"/>
            <w:left w:val="none" w:sz="0" w:space="0" w:color="auto"/>
            <w:bottom w:val="none" w:sz="0" w:space="0" w:color="auto"/>
            <w:right w:val="none" w:sz="0" w:space="0" w:color="auto"/>
          </w:divBdr>
        </w:div>
      </w:divsChild>
    </w:div>
    <w:div w:id="1107434360">
      <w:bodyDiv w:val="1"/>
      <w:marLeft w:val="0"/>
      <w:marRight w:val="0"/>
      <w:marTop w:val="0"/>
      <w:marBottom w:val="0"/>
      <w:divBdr>
        <w:top w:val="none" w:sz="0" w:space="0" w:color="auto"/>
        <w:left w:val="none" w:sz="0" w:space="0" w:color="auto"/>
        <w:bottom w:val="none" w:sz="0" w:space="0" w:color="auto"/>
        <w:right w:val="none" w:sz="0" w:space="0" w:color="auto"/>
      </w:divBdr>
    </w:div>
    <w:div w:id="1111782899">
      <w:bodyDiv w:val="1"/>
      <w:marLeft w:val="0"/>
      <w:marRight w:val="0"/>
      <w:marTop w:val="0"/>
      <w:marBottom w:val="0"/>
      <w:divBdr>
        <w:top w:val="none" w:sz="0" w:space="0" w:color="auto"/>
        <w:left w:val="none" w:sz="0" w:space="0" w:color="auto"/>
        <w:bottom w:val="none" w:sz="0" w:space="0" w:color="auto"/>
        <w:right w:val="none" w:sz="0" w:space="0" w:color="auto"/>
      </w:divBdr>
    </w:div>
    <w:div w:id="1122111718">
      <w:bodyDiv w:val="1"/>
      <w:marLeft w:val="0"/>
      <w:marRight w:val="0"/>
      <w:marTop w:val="0"/>
      <w:marBottom w:val="0"/>
      <w:divBdr>
        <w:top w:val="none" w:sz="0" w:space="0" w:color="auto"/>
        <w:left w:val="none" w:sz="0" w:space="0" w:color="auto"/>
        <w:bottom w:val="none" w:sz="0" w:space="0" w:color="auto"/>
        <w:right w:val="none" w:sz="0" w:space="0" w:color="auto"/>
      </w:divBdr>
      <w:divsChild>
        <w:div w:id="737900994">
          <w:marLeft w:val="274"/>
          <w:marRight w:val="0"/>
          <w:marTop w:val="0"/>
          <w:marBottom w:val="0"/>
          <w:divBdr>
            <w:top w:val="none" w:sz="0" w:space="0" w:color="auto"/>
            <w:left w:val="none" w:sz="0" w:space="0" w:color="auto"/>
            <w:bottom w:val="none" w:sz="0" w:space="0" w:color="auto"/>
            <w:right w:val="none" w:sz="0" w:space="0" w:color="auto"/>
          </w:divBdr>
        </w:div>
      </w:divsChild>
    </w:div>
    <w:div w:id="1131821112">
      <w:bodyDiv w:val="1"/>
      <w:marLeft w:val="0"/>
      <w:marRight w:val="0"/>
      <w:marTop w:val="0"/>
      <w:marBottom w:val="0"/>
      <w:divBdr>
        <w:top w:val="none" w:sz="0" w:space="0" w:color="auto"/>
        <w:left w:val="none" w:sz="0" w:space="0" w:color="auto"/>
        <w:bottom w:val="none" w:sz="0" w:space="0" w:color="auto"/>
        <w:right w:val="none" w:sz="0" w:space="0" w:color="auto"/>
      </w:divBdr>
    </w:div>
    <w:div w:id="1144160250">
      <w:bodyDiv w:val="1"/>
      <w:marLeft w:val="0"/>
      <w:marRight w:val="0"/>
      <w:marTop w:val="0"/>
      <w:marBottom w:val="0"/>
      <w:divBdr>
        <w:top w:val="none" w:sz="0" w:space="0" w:color="auto"/>
        <w:left w:val="none" w:sz="0" w:space="0" w:color="auto"/>
        <w:bottom w:val="none" w:sz="0" w:space="0" w:color="auto"/>
        <w:right w:val="none" w:sz="0" w:space="0" w:color="auto"/>
      </w:divBdr>
    </w:div>
    <w:div w:id="1154032325">
      <w:bodyDiv w:val="1"/>
      <w:marLeft w:val="0"/>
      <w:marRight w:val="0"/>
      <w:marTop w:val="0"/>
      <w:marBottom w:val="0"/>
      <w:divBdr>
        <w:top w:val="none" w:sz="0" w:space="0" w:color="auto"/>
        <w:left w:val="none" w:sz="0" w:space="0" w:color="auto"/>
        <w:bottom w:val="none" w:sz="0" w:space="0" w:color="auto"/>
        <w:right w:val="none" w:sz="0" w:space="0" w:color="auto"/>
      </w:divBdr>
    </w:div>
    <w:div w:id="1166938885">
      <w:bodyDiv w:val="1"/>
      <w:marLeft w:val="0"/>
      <w:marRight w:val="0"/>
      <w:marTop w:val="0"/>
      <w:marBottom w:val="0"/>
      <w:divBdr>
        <w:top w:val="none" w:sz="0" w:space="0" w:color="auto"/>
        <w:left w:val="none" w:sz="0" w:space="0" w:color="auto"/>
        <w:bottom w:val="none" w:sz="0" w:space="0" w:color="auto"/>
        <w:right w:val="none" w:sz="0" w:space="0" w:color="auto"/>
      </w:divBdr>
    </w:div>
    <w:div w:id="1186677217">
      <w:bodyDiv w:val="1"/>
      <w:marLeft w:val="0"/>
      <w:marRight w:val="0"/>
      <w:marTop w:val="0"/>
      <w:marBottom w:val="0"/>
      <w:divBdr>
        <w:top w:val="none" w:sz="0" w:space="0" w:color="auto"/>
        <w:left w:val="none" w:sz="0" w:space="0" w:color="auto"/>
        <w:bottom w:val="none" w:sz="0" w:space="0" w:color="auto"/>
        <w:right w:val="none" w:sz="0" w:space="0" w:color="auto"/>
      </w:divBdr>
      <w:divsChild>
        <w:div w:id="194975498">
          <w:marLeft w:val="274"/>
          <w:marRight w:val="0"/>
          <w:marTop w:val="120"/>
          <w:marBottom w:val="0"/>
          <w:divBdr>
            <w:top w:val="none" w:sz="0" w:space="0" w:color="auto"/>
            <w:left w:val="none" w:sz="0" w:space="0" w:color="auto"/>
            <w:bottom w:val="none" w:sz="0" w:space="0" w:color="auto"/>
            <w:right w:val="none" w:sz="0" w:space="0" w:color="auto"/>
          </w:divBdr>
        </w:div>
        <w:div w:id="849376367">
          <w:marLeft w:val="274"/>
          <w:marRight w:val="0"/>
          <w:marTop w:val="120"/>
          <w:marBottom w:val="0"/>
          <w:divBdr>
            <w:top w:val="none" w:sz="0" w:space="0" w:color="auto"/>
            <w:left w:val="none" w:sz="0" w:space="0" w:color="auto"/>
            <w:bottom w:val="none" w:sz="0" w:space="0" w:color="auto"/>
            <w:right w:val="none" w:sz="0" w:space="0" w:color="auto"/>
          </w:divBdr>
        </w:div>
        <w:div w:id="1125124799">
          <w:marLeft w:val="274"/>
          <w:marRight w:val="0"/>
          <w:marTop w:val="120"/>
          <w:marBottom w:val="0"/>
          <w:divBdr>
            <w:top w:val="none" w:sz="0" w:space="0" w:color="auto"/>
            <w:left w:val="none" w:sz="0" w:space="0" w:color="auto"/>
            <w:bottom w:val="none" w:sz="0" w:space="0" w:color="auto"/>
            <w:right w:val="none" w:sz="0" w:space="0" w:color="auto"/>
          </w:divBdr>
        </w:div>
        <w:div w:id="1222405423">
          <w:marLeft w:val="274"/>
          <w:marRight w:val="0"/>
          <w:marTop w:val="120"/>
          <w:marBottom w:val="0"/>
          <w:divBdr>
            <w:top w:val="none" w:sz="0" w:space="0" w:color="auto"/>
            <w:left w:val="none" w:sz="0" w:space="0" w:color="auto"/>
            <w:bottom w:val="none" w:sz="0" w:space="0" w:color="auto"/>
            <w:right w:val="none" w:sz="0" w:space="0" w:color="auto"/>
          </w:divBdr>
        </w:div>
        <w:div w:id="1291476060">
          <w:marLeft w:val="274"/>
          <w:marRight w:val="0"/>
          <w:marTop w:val="120"/>
          <w:marBottom w:val="0"/>
          <w:divBdr>
            <w:top w:val="none" w:sz="0" w:space="0" w:color="auto"/>
            <w:left w:val="none" w:sz="0" w:space="0" w:color="auto"/>
            <w:bottom w:val="none" w:sz="0" w:space="0" w:color="auto"/>
            <w:right w:val="none" w:sz="0" w:space="0" w:color="auto"/>
          </w:divBdr>
        </w:div>
        <w:div w:id="1545483531">
          <w:marLeft w:val="274"/>
          <w:marRight w:val="0"/>
          <w:marTop w:val="120"/>
          <w:marBottom w:val="0"/>
          <w:divBdr>
            <w:top w:val="none" w:sz="0" w:space="0" w:color="auto"/>
            <w:left w:val="none" w:sz="0" w:space="0" w:color="auto"/>
            <w:bottom w:val="none" w:sz="0" w:space="0" w:color="auto"/>
            <w:right w:val="none" w:sz="0" w:space="0" w:color="auto"/>
          </w:divBdr>
        </w:div>
        <w:div w:id="2086291780">
          <w:marLeft w:val="274"/>
          <w:marRight w:val="0"/>
          <w:marTop w:val="120"/>
          <w:marBottom w:val="0"/>
          <w:divBdr>
            <w:top w:val="none" w:sz="0" w:space="0" w:color="auto"/>
            <w:left w:val="none" w:sz="0" w:space="0" w:color="auto"/>
            <w:bottom w:val="none" w:sz="0" w:space="0" w:color="auto"/>
            <w:right w:val="none" w:sz="0" w:space="0" w:color="auto"/>
          </w:divBdr>
        </w:div>
        <w:div w:id="2131239470">
          <w:marLeft w:val="274"/>
          <w:marRight w:val="0"/>
          <w:marTop w:val="120"/>
          <w:marBottom w:val="0"/>
          <w:divBdr>
            <w:top w:val="none" w:sz="0" w:space="0" w:color="auto"/>
            <w:left w:val="none" w:sz="0" w:space="0" w:color="auto"/>
            <w:bottom w:val="none" w:sz="0" w:space="0" w:color="auto"/>
            <w:right w:val="none" w:sz="0" w:space="0" w:color="auto"/>
          </w:divBdr>
        </w:div>
      </w:divsChild>
    </w:div>
    <w:div w:id="1192694002">
      <w:bodyDiv w:val="1"/>
      <w:marLeft w:val="0"/>
      <w:marRight w:val="0"/>
      <w:marTop w:val="0"/>
      <w:marBottom w:val="0"/>
      <w:divBdr>
        <w:top w:val="none" w:sz="0" w:space="0" w:color="auto"/>
        <w:left w:val="none" w:sz="0" w:space="0" w:color="auto"/>
        <w:bottom w:val="none" w:sz="0" w:space="0" w:color="auto"/>
        <w:right w:val="none" w:sz="0" w:space="0" w:color="auto"/>
      </w:divBdr>
      <w:divsChild>
        <w:div w:id="1217935661">
          <w:marLeft w:val="274"/>
          <w:marRight w:val="0"/>
          <w:marTop w:val="120"/>
          <w:marBottom w:val="0"/>
          <w:divBdr>
            <w:top w:val="none" w:sz="0" w:space="0" w:color="auto"/>
            <w:left w:val="none" w:sz="0" w:space="0" w:color="auto"/>
            <w:bottom w:val="none" w:sz="0" w:space="0" w:color="auto"/>
            <w:right w:val="none" w:sz="0" w:space="0" w:color="auto"/>
          </w:divBdr>
        </w:div>
        <w:div w:id="1287858771">
          <w:marLeft w:val="274"/>
          <w:marRight w:val="0"/>
          <w:marTop w:val="120"/>
          <w:marBottom w:val="0"/>
          <w:divBdr>
            <w:top w:val="none" w:sz="0" w:space="0" w:color="auto"/>
            <w:left w:val="none" w:sz="0" w:space="0" w:color="auto"/>
            <w:bottom w:val="none" w:sz="0" w:space="0" w:color="auto"/>
            <w:right w:val="none" w:sz="0" w:space="0" w:color="auto"/>
          </w:divBdr>
        </w:div>
      </w:divsChild>
    </w:div>
    <w:div w:id="1195188940">
      <w:bodyDiv w:val="1"/>
      <w:marLeft w:val="0"/>
      <w:marRight w:val="0"/>
      <w:marTop w:val="0"/>
      <w:marBottom w:val="0"/>
      <w:divBdr>
        <w:top w:val="none" w:sz="0" w:space="0" w:color="auto"/>
        <w:left w:val="none" w:sz="0" w:space="0" w:color="auto"/>
        <w:bottom w:val="none" w:sz="0" w:space="0" w:color="auto"/>
        <w:right w:val="none" w:sz="0" w:space="0" w:color="auto"/>
      </w:divBdr>
    </w:div>
    <w:div w:id="1219823651">
      <w:bodyDiv w:val="1"/>
      <w:marLeft w:val="0"/>
      <w:marRight w:val="0"/>
      <w:marTop w:val="0"/>
      <w:marBottom w:val="0"/>
      <w:divBdr>
        <w:top w:val="none" w:sz="0" w:space="0" w:color="auto"/>
        <w:left w:val="none" w:sz="0" w:space="0" w:color="auto"/>
        <w:bottom w:val="none" w:sz="0" w:space="0" w:color="auto"/>
        <w:right w:val="none" w:sz="0" w:space="0" w:color="auto"/>
      </w:divBdr>
    </w:div>
    <w:div w:id="1234663049">
      <w:bodyDiv w:val="1"/>
      <w:marLeft w:val="0"/>
      <w:marRight w:val="0"/>
      <w:marTop w:val="0"/>
      <w:marBottom w:val="0"/>
      <w:divBdr>
        <w:top w:val="none" w:sz="0" w:space="0" w:color="auto"/>
        <w:left w:val="none" w:sz="0" w:space="0" w:color="auto"/>
        <w:bottom w:val="none" w:sz="0" w:space="0" w:color="auto"/>
        <w:right w:val="none" w:sz="0" w:space="0" w:color="auto"/>
      </w:divBdr>
    </w:div>
    <w:div w:id="1237470507">
      <w:bodyDiv w:val="1"/>
      <w:marLeft w:val="0"/>
      <w:marRight w:val="0"/>
      <w:marTop w:val="0"/>
      <w:marBottom w:val="0"/>
      <w:divBdr>
        <w:top w:val="none" w:sz="0" w:space="0" w:color="auto"/>
        <w:left w:val="none" w:sz="0" w:space="0" w:color="auto"/>
        <w:bottom w:val="none" w:sz="0" w:space="0" w:color="auto"/>
        <w:right w:val="none" w:sz="0" w:space="0" w:color="auto"/>
      </w:divBdr>
    </w:div>
    <w:div w:id="1262760361">
      <w:bodyDiv w:val="1"/>
      <w:marLeft w:val="0"/>
      <w:marRight w:val="0"/>
      <w:marTop w:val="0"/>
      <w:marBottom w:val="0"/>
      <w:divBdr>
        <w:top w:val="none" w:sz="0" w:space="0" w:color="auto"/>
        <w:left w:val="none" w:sz="0" w:space="0" w:color="auto"/>
        <w:bottom w:val="none" w:sz="0" w:space="0" w:color="auto"/>
        <w:right w:val="none" w:sz="0" w:space="0" w:color="auto"/>
      </w:divBdr>
    </w:div>
    <w:div w:id="1302467711">
      <w:bodyDiv w:val="1"/>
      <w:marLeft w:val="0"/>
      <w:marRight w:val="0"/>
      <w:marTop w:val="0"/>
      <w:marBottom w:val="0"/>
      <w:divBdr>
        <w:top w:val="none" w:sz="0" w:space="0" w:color="auto"/>
        <w:left w:val="none" w:sz="0" w:space="0" w:color="auto"/>
        <w:bottom w:val="none" w:sz="0" w:space="0" w:color="auto"/>
        <w:right w:val="none" w:sz="0" w:space="0" w:color="auto"/>
      </w:divBdr>
    </w:div>
    <w:div w:id="1318266305">
      <w:bodyDiv w:val="1"/>
      <w:marLeft w:val="0"/>
      <w:marRight w:val="0"/>
      <w:marTop w:val="0"/>
      <w:marBottom w:val="0"/>
      <w:divBdr>
        <w:top w:val="none" w:sz="0" w:space="0" w:color="auto"/>
        <w:left w:val="none" w:sz="0" w:space="0" w:color="auto"/>
        <w:bottom w:val="none" w:sz="0" w:space="0" w:color="auto"/>
        <w:right w:val="none" w:sz="0" w:space="0" w:color="auto"/>
      </w:divBdr>
      <w:divsChild>
        <w:div w:id="67389190">
          <w:marLeft w:val="274"/>
          <w:marRight w:val="0"/>
          <w:marTop w:val="0"/>
          <w:marBottom w:val="80"/>
          <w:divBdr>
            <w:top w:val="none" w:sz="0" w:space="0" w:color="auto"/>
            <w:left w:val="none" w:sz="0" w:space="0" w:color="auto"/>
            <w:bottom w:val="none" w:sz="0" w:space="0" w:color="auto"/>
            <w:right w:val="none" w:sz="0" w:space="0" w:color="auto"/>
          </w:divBdr>
        </w:div>
        <w:div w:id="194586334">
          <w:marLeft w:val="274"/>
          <w:marRight w:val="0"/>
          <w:marTop w:val="0"/>
          <w:marBottom w:val="80"/>
          <w:divBdr>
            <w:top w:val="none" w:sz="0" w:space="0" w:color="auto"/>
            <w:left w:val="none" w:sz="0" w:space="0" w:color="auto"/>
            <w:bottom w:val="none" w:sz="0" w:space="0" w:color="auto"/>
            <w:right w:val="none" w:sz="0" w:space="0" w:color="auto"/>
          </w:divBdr>
        </w:div>
        <w:div w:id="513111341">
          <w:marLeft w:val="274"/>
          <w:marRight w:val="0"/>
          <w:marTop w:val="0"/>
          <w:marBottom w:val="80"/>
          <w:divBdr>
            <w:top w:val="none" w:sz="0" w:space="0" w:color="auto"/>
            <w:left w:val="none" w:sz="0" w:space="0" w:color="auto"/>
            <w:bottom w:val="none" w:sz="0" w:space="0" w:color="auto"/>
            <w:right w:val="none" w:sz="0" w:space="0" w:color="auto"/>
          </w:divBdr>
        </w:div>
        <w:div w:id="862014333">
          <w:marLeft w:val="274"/>
          <w:marRight w:val="0"/>
          <w:marTop w:val="0"/>
          <w:marBottom w:val="80"/>
          <w:divBdr>
            <w:top w:val="none" w:sz="0" w:space="0" w:color="auto"/>
            <w:left w:val="none" w:sz="0" w:space="0" w:color="auto"/>
            <w:bottom w:val="none" w:sz="0" w:space="0" w:color="auto"/>
            <w:right w:val="none" w:sz="0" w:space="0" w:color="auto"/>
          </w:divBdr>
        </w:div>
        <w:div w:id="1113549146">
          <w:marLeft w:val="274"/>
          <w:marRight w:val="0"/>
          <w:marTop w:val="0"/>
          <w:marBottom w:val="80"/>
          <w:divBdr>
            <w:top w:val="none" w:sz="0" w:space="0" w:color="auto"/>
            <w:left w:val="none" w:sz="0" w:space="0" w:color="auto"/>
            <w:bottom w:val="none" w:sz="0" w:space="0" w:color="auto"/>
            <w:right w:val="none" w:sz="0" w:space="0" w:color="auto"/>
          </w:divBdr>
        </w:div>
        <w:div w:id="1346328734">
          <w:marLeft w:val="274"/>
          <w:marRight w:val="0"/>
          <w:marTop w:val="0"/>
          <w:marBottom w:val="80"/>
          <w:divBdr>
            <w:top w:val="none" w:sz="0" w:space="0" w:color="auto"/>
            <w:left w:val="none" w:sz="0" w:space="0" w:color="auto"/>
            <w:bottom w:val="none" w:sz="0" w:space="0" w:color="auto"/>
            <w:right w:val="none" w:sz="0" w:space="0" w:color="auto"/>
          </w:divBdr>
        </w:div>
        <w:div w:id="1503080922">
          <w:marLeft w:val="274"/>
          <w:marRight w:val="0"/>
          <w:marTop w:val="0"/>
          <w:marBottom w:val="80"/>
          <w:divBdr>
            <w:top w:val="none" w:sz="0" w:space="0" w:color="auto"/>
            <w:left w:val="none" w:sz="0" w:space="0" w:color="auto"/>
            <w:bottom w:val="none" w:sz="0" w:space="0" w:color="auto"/>
            <w:right w:val="none" w:sz="0" w:space="0" w:color="auto"/>
          </w:divBdr>
        </w:div>
        <w:div w:id="1920020213">
          <w:marLeft w:val="274"/>
          <w:marRight w:val="0"/>
          <w:marTop w:val="0"/>
          <w:marBottom w:val="80"/>
          <w:divBdr>
            <w:top w:val="none" w:sz="0" w:space="0" w:color="auto"/>
            <w:left w:val="none" w:sz="0" w:space="0" w:color="auto"/>
            <w:bottom w:val="none" w:sz="0" w:space="0" w:color="auto"/>
            <w:right w:val="none" w:sz="0" w:space="0" w:color="auto"/>
          </w:divBdr>
        </w:div>
        <w:div w:id="2125999886">
          <w:marLeft w:val="274"/>
          <w:marRight w:val="0"/>
          <w:marTop w:val="0"/>
          <w:marBottom w:val="80"/>
          <w:divBdr>
            <w:top w:val="none" w:sz="0" w:space="0" w:color="auto"/>
            <w:left w:val="none" w:sz="0" w:space="0" w:color="auto"/>
            <w:bottom w:val="none" w:sz="0" w:space="0" w:color="auto"/>
            <w:right w:val="none" w:sz="0" w:space="0" w:color="auto"/>
          </w:divBdr>
        </w:div>
      </w:divsChild>
    </w:div>
    <w:div w:id="1325206530">
      <w:bodyDiv w:val="1"/>
      <w:marLeft w:val="0"/>
      <w:marRight w:val="0"/>
      <w:marTop w:val="0"/>
      <w:marBottom w:val="0"/>
      <w:divBdr>
        <w:top w:val="none" w:sz="0" w:space="0" w:color="auto"/>
        <w:left w:val="none" w:sz="0" w:space="0" w:color="auto"/>
        <w:bottom w:val="none" w:sz="0" w:space="0" w:color="auto"/>
        <w:right w:val="none" w:sz="0" w:space="0" w:color="auto"/>
      </w:divBdr>
    </w:div>
    <w:div w:id="1330060340">
      <w:bodyDiv w:val="1"/>
      <w:marLeft w:val="0"/>
      <w:marRight w:val="0"/>
      <w:marTop w:val="0"/>
      <w:marBottom w:val="0"/>
      <w:divBdr>
        <w:top w:val="none" w:sz="0" w:space="0" w:color="auto"/>
        <w:left w:val="none" w:sz="0" w:space="0" w:color="auto"/>
        <w:bottom w:val="none" w:sz="0" w:space="0" w:color="auto"/>
        <w:right w:val="none" w:sz="0" w:space="0" w:color="auto"/>
      </w:divBdr>
    </w:div>
    <w:div w:id="1342664718">
      <w:bodyDiv w:val="1"/>
      <w:marLeft w:val="0"/>
      <w:marRight w:val="0"/>
      <w:marTop w:val="0"/>
      <w:marBottom w:val="0"/>
      <w:divBdr>
        <w:top w:val="none" w:sz="0" w:space="0" w:color="auto"/>
        <w:left w:val="none" w:sz="0" w:space="0" w:color="auto"/>
        <w:bottom w:val="none" w:sz="0" w:space="0" w:color="auto"/>
        <w:right w:val="none" w:sz="0" w:space="0" w:color="auto"/>
      </w:divBdr>
    </w:div>
    <w:div w:id="1347292724">
      <w:bodyDiv w:val="1"/>
      <w:marLeft w:val="0"/>
      <w:marRight w:val="0"/>
      <w:marTop w:val="0"/>
      <w:marBottom w:val="0"/>
      <w:divBdr>
        <w:top w:val="none" w:sz="0" w:space="0" w:color="auto"/>
        <w:left w:val="none" w:sz="0" w:space="0" w:color="auto"/>
        <w:bottom w:val="none" w:sz="0" w:space="0" w:color="auto"/>
        <w:right w:val="none" w:sz="0" w:space="0" w:color="auto"/>
      </w:divBdr>
      <w:divsChild>
        <w:div w:id="80376135">
          <w:marLeft w:val="274"/>
          <w:marRight w:val="0"/>
          <w:marTop w:val="0"/>
          <w:marBottom w:val="120"/>
          <w:divBdr>
            <w:top w:val="none" w:sz="0" w:space="0" w:color="auto"/>
            <w:left w:val="none" w:sz="0" w:space="0" w:color="auto"/>
            <w:bottom w:val="none" w:sz="0" w:space="0" w:color="auto"/>
            <w:right w:val="none" w:sz="0" w:space="0" w:color="auto"/>
          </w:divBdr>
        </w:div>
        <w:div w:id="237325494">
          <w:marLeft w:val="274"/>
          <w:marRight w:val="0"/>
          <w:marTop w:val="0"/>
          <w:marBottom w:val="120"/>
          <w:divBdr>
            <w:top w:val="none" w:sz="0" w:space="0" w:color="auto"/>
            <w:left w:val="none" w:sz="0" w:space="0" w:color="auto"/>
            <w:bottom w:val="none" w:sz="0" w:space="0" w:color="auto"/>
            <w:right w:val="none" w:sz="0" w:space="0" w:color="auto"/>
          </w:divBdr>
        </w:div>
        <w:div w:id="1404836171">
          <w:marLeft w:val="274"/>
          <w:marRight w:val="0"/>
          <w:marTop w:val="0"/>
          <w:marBottom w:val="120"/>
          <w:divBdr>
            <w:top w:val="none" w:sz="0" w:space="0" w:color="auto"/>
            <w:left w:val="none" w:sz="0" w:space="0" w:color="auto"/>
            <w:bottom w:val="none" w:sz="0" w:space="0" w:color="auto"/>
            <w:right w:val="none" w:sz="0" w:space="0" w:color="auto"/>
          </w:divBdr>
        </w:div>
      </w:divsChild>
    </w:div>
    <w:div w:id="1353994643">
      <w:bodyDiv w:val="1"/>
      <w:marLeft w:val="0"/>
      <w:marRight w:val="0"/>
      <w:marTop w:val="0"/>
      <w:marBottom w:val="0"/>
      <w:divBdr>
        <w:top w:val="none" w:sz="0" w:space="0" w:color="auto"/>
        <w:left w:val="none" w:sz="0" w:space="0" w:color="auto"/>
        <w:bottom w:val="none" w:sz="0" w:space="0" w:color="auto"/>
        <w:right w:val="none" w:sz="0" w:space="0" w:color="auto"/>
      </w:divBdr>
    </w:div>
    <w:div w:id="1356005952">
      <w:bodyDiv w:val="1"/>
      <w:marLeft w:val="0"/>
      <w:marRight w:val="0"/>
      <w:marTop w:val="0"/>
      <w:marBottom w:val="0"/>
      <w:divBdr>
        <w:top w:val="none" w:sz="0" w:space="0" w:color="auto"/>
        <w:left w:val="none" w:sz="0" w:space="0" w:color="auto"/>
        <w:bottom w:val="none" w:sz="0" w:space="0" w:color="auto"/>
        <w:right w:val="none" w:sz="0" w:space="0" w:color="auto"/>
      </w:divBdr>
    </w:div>
    <w:div w:id="1369453617">
      <w:bodyDiv w:val="1"/>
      <w:marLeft w:val="0"/>
      <w:marRight w:val="0"/>
      <w:marTop w:val="0"/>
      <w:marBottom w:val="0"/>
      <w:divBdr>
        <w:top w:val="none" w:sz="0" w:space="0" w:color="auto"/>
        <w:left w:val="none" w:sz="0" w:space="0" w:color="auto"/>
        <w:bottom w:val="none" w:sz="0" w:space="0" w:color="auto"/>
        <w:right w:val="none" w:sz="0" w:space="0" w:color="auto"/>
      </w:divBdr>
    </w:div>
    <w:div w:id="1388456279">
      <w:bodyDiv w:val="1"/>
      <w:marLeft w:val="0"/>
      <w:marRight w:val="0"/>
      <w:marTop w:val="0"/>
      <w:marBottom w:val="0"/>
      <w:divBdr>
        <w:top w:val="none" w:sz="0" w:space="0" w:color="auto"/>
        <w:left w:val="none" w:sz="0" w:space="0" w:color="auto"/>
        <w:bottom w:val="none" w:sz="0" w:space="0" w:color="auto"/>
        <w:right w:val="none" w:sz="0" w:space="0" w:color="auto"/>
      </w:divBdr>
      <w:divsChild>
        <w:div w:id="267540211">
          <w:marLeft w:val="274"/>
          <w:marRight w:val="0"/>
          <w:marTop w:val="0"/>
          <w:marBottom w:val="120"/>
          <w:divBdr>
            <w:top w:val="none" w:sz="0" w:space="0" w:color="auto"/>
            <w:left w:val="none" w:sz="0" w:space="0" w:color="auto"/>
            <w:bottom w:val="none" w:sz="0" w:space="0" w:color="auto"/>
            <w:right w:val="none" w:sz="0" w:space="0" w:color="auto"/>
          </w:divBdr>
        </w:div>
        <w:div w:id="1265579499">
          <w:marLeft w:val="274"/>
          <w:marRight w:val="0"/>
          <w:marTop w:val="0"/>
          <w:marBottom w:val="120"/>
          <w:divBdr>
            <w:top w:val="none" w:sz="0" w:space="0" w:color="auto"/>
            <w:left w:val="none" w:sz="0" w:space="0" w:color="auto"/>
            <w:bottom w:val="none" w:sz="0" w:space="0" w:color="auto"/>
            <w:right w:val="none" w:sz="0" w:space="0" w:color="auto"/>
          </w:divBdr>
        </w:div>
        <w:div w:id="1653217231">
          <w:marLeft w:val="274"/>
          <w:marRight w:val="0"/>
          <w:marTop w:val="0"/>
          <w:marBottom w:val="120"/>
          <w:divBdr>
            <w:top w:val="none" w:sz="0" w:space="0" w:color="auto"/>
            <w:left w:val="none" w:sz="0" w:space="0" w:color="auto"/>
            <w:bottom w:val="none" w:sz="0" w:space="0" w:color="auto"/>
            <w:right w:val="none" w:sz="0" w:space="0" w:color="auto"/>
          </w:divBdr>
        </w:div>
      </w:divsChild>
    </w:div>
    <w:div w:id="1392730550">
      <w:bodyDiv w:val="1"/>
      <w:marLeft w:val="0"/>
      <w:marRight w:val="0"/>
      <w:marTop w:val="0"/>
      <w:marBottom w:val="0"/>
      <w:divBdr>
        <w:top w:val="none" w:sz="0" w:space="0" w:color="auto"/>
        <w:left w:val="none" w:sz="0" w:space="0" w:color="auto"/>
        <w:bottom w:val="none" w:sz="0" w:space="0" w:color="auto"/>
        <w:right w:val="none" w:sz="0" w:space="0" w:color="auto"/>
      </w:divBdr>
      <w:divsChild>
        <w:div w:id="364596008">
          <w:marLeft w:val="274"/>
          <w:marRight w:val="0"/>
          <w:marTop w:val="120"/>
          <w:marBottom w:val="0"/>
          <w:divBdr>
            <w:top w:val="none" w:sz="0" w:space="0" w:color="auto"/>
            <w:left w:val="none" w:sz="0" w:space="0" w:color="auto"/>
            <w:bottom w:val="none" w:sz="0" w:space="0" w:color="auto"/>
            <w:right w:val="none" w:sz="0" w:space="0" w:color="auto"/>
          </w:divBdr>
        </w:div>
        <w:div w:id="402029926">
          <w:marLeft w:val="994"/>
          <w:marRight w:val="0"/>
          <w:marTop w:val="120"/>
          <w:marBottom w:val="0"/>
          <w:divBdr>
            <w:top w:val="none" w:sz="0" w:space="0" w:color="auto"/>
            <w:left w:val="none" w:sz="0" w:space="0" w:color="auto"/>
            <w:bottom w:val="none" w:sz="0" w:space="0" w:color="auto"/>
            <w:right w:val="none" w:sz="0" w:space="0" w:color="auto"/>
          </w:divBdr>
        </w:div>
        <w:div w:id="421026826">
          <w:marLeft w:val="274"/>
          <w:marRight w:val="0"/>
          <w:marTop w:val="120"/>
          <w:marBottom w:val="0"/>
          <w:divBdr>
            <w:top w:val="none" w:sz="0" w:space="0" w:color="auto"/>
            <w:left w:val="none" w:sz="0" w:space="0" w:color="auto"/>
            <w:bottom w:val="none" w:sz="0" w:space="0" w:color="auto"/>
            <w:right w:val="none" w:sz="0" w:space="0" w:color="auto"/>
          </w:divBdr>
        </w:div>
        <w:div w:id="421075729">
          <w:marLeft w:val="994"/>
          <w:marRight w:val="0"/>
          <w:marTop w:val="120"/>
          <w:marBottom w:val="0"/>
          <w:divBdr>
            <w:top w:val="none" w:sz="0" w:space="0" w:color="auto"/>
            <w:left w:val="none" w:sz="0" w:space="0" w:color="auto"/>
            <w:bottom w:val="none" w:sz="0" w:space="0" w:color="auto"/>
            <w:right w:val="none" w:sz="0" w:space="0" w:color="auto"/>
          </w:divBdr>
        </w:div>
        <w:div w:id="533616501">
          <w:marLeft w:val="274"/>
          <w:marRight w:val="0"/>
          <w:marTop w:val="120"/>
          <w:marBottom w:val="0"/>
          <w:divBdr>
            <w:top w:val="none" w:sz="0" w:space="0" w:color="auto"/>
            <w:left w:val="none" w:sz="0" w:space="0" w:color="auto"/>
            <w:bottom w:val="none" w:sz="0" w:space="0" w:color="auto"/>
            <w:right w:val="none" w:sz="0" w:space="0" w:color="auto"/>
          </w:divBdr>
        </w:div>
        <w:div w:id="850487952">
          <w:marLeft w:val="274"/>
          <w:marRight w:val="0"/>
          <w:marTop w:val="120"/>
          <w:marBottom w:val="0"/>
          <w:divBdr>
            <w:top w:val="none" w:sz="0" w:space="0" w:color="auto"/>
            <w:left w:val="none" w:sz="0" w:space="0" w:color="auto"/>
            <w:bottom w:val="none" w:sz="0" w:space="0" w:color="auto"/>
            <w:right w:val="none" w:sz="0" w:space="0" w:color="auto"/>
          </w:divBdr>
        </w:div>
        <w:div w:id="1255629946">
          <w:marLeft w:val="274"/>
          <w:marRight w:val="0"/>
          <w:marTop w:val="120"/>
          <w:marBottom w:val="0"/>
          <w:divBdr>
            <w:top w:val="none" w:sz="0" w:space="0" w:color="auto"/>
            <w:left w:val="none" w:sz="0" w:space="0" w:color="auto"/>
            <w:bottom w:val="none" w:sz="0" w:space="0" w:color="auto"/>
            <w:right w:val="none" w:sz="0" w:space="0" w:color="auto"/>
          </w:divBdr>
        </w:div>
        <w:div w:id="1416050786">
          <w:marLeft w:val="274"/>
          <w:marRight w:val="0"/>
          <w:marTop w:val="120"/>
          <w:marBottom w:val="0"/>
          <w:divBdr>
            <w:top w:val="none" w:sz="0" w:space="0" w:color="auto"/>
            <w:left w:val="none" w:sz="0" w:space="0" w:color="auto"/>
            <w:bottom w:val="none" w:sz="0" w:space="0" w:color="auto"/>
            <w:right w:val="none" w:sz="0" w:space="0" w:color="auto"/>
          </w:divBdr>
        </w:div>
        <w:div w:id="1720665036">
          <w:marLeft w:val="274"/>
          <w:marRight w:val="0"/>
          <w:marTop w:val="120"/>
          <w:marBottom w:val="0"/>
          <w:divBdr>
            <w:top w:val="none" w:sz="0" w:space="0" w:color="auto"/>
            <w:left w:val="none" w:sz="0" w:space="0" w:color="auto"/>
            <w:bottom w:val="none" w:sz="0" w:space="0" w:color="auto"/>
            <w:right w:val="none" w:sz="0" w:space="0" w:color="auto"/>
          </w:divBdr>
        </w:div>
        <w:div w:id="1775055813">
          <w:marLeft w:val="994"/>
          <w:marRight w:val="0"/>
          <w:marTop w:val="120"/>
          <w:marBottom w:val="0"/>
          <w:divBdr>
            <w:top w:val="none" w:sz="0" w:space="0" w:color="auto"/>
            <w:left w:val="none" w:sz="0" w:space="0" w:color="auto"/>
            <w:bottom w:val="none" w:sz="0" w:space="0" w:color="auto"/>
            <w:right w:val="none" w:sz="0" w:space="0" w:color="auto"/>
          </w:divBdr>
        </w:div>
        <w:div w:id="1806199750">
          <w:marLeft w:val="994"/>
          <w:marRight w:val="0"/>
          <w:marTop w:val="120"/>
          <w:marBottom w:val="0"/>
          <w:divBdr>
            <w:top w:val="none" w:sz="0" w:space="0" w:color="auto"/>
            <w:left w:val="none" w:sz="0" w:space="0" w:color="auto"/>
            <w:bottom w:val="none" w:sz="0" w:space="0" w:color="auto"/>
            <w:right w:val="none" w:sz="0" w:space="0" w:color="auto"/>
          </w:divBdr>
        </w:div>
        <w:div w:id="1825782153">
          <w:marLeft w:val="274"/>
          <w:marRight w:val="0"/>
          <w:marTop w:val="120"/>
          <w:marBottom w:val="0"/>
          <w:divBdr>
            <w:top w:val="none" w:sz="0" w:space="0" w:color="auto"/>
            <w:left w:val="none" w:sz="0" w:space="0" w:color="auto"/>
            <w:bottom w:val="none" w:sz="0" w:space="0" w:color="auto"/>
            <w:right w:val="none" w:sz="0" w:space="0" w:color="auto"/>
          </w:divBdr>
        </w:div>
        <w:div w:id="2008245341">
          <w:marLeft w:val="994"/>
          <w:marRight w:val="0"/>
          <w:marTop w:val="120"/>
          <w:marBottom w:val="0"/>
          <w:divBdr>
            <w:top w:val="none" w:sz="0" w:space="0" w:color="auto"/>
            <w:left w:val="none" w:sz="0" w:space="0" w:color="auto"/>
            <w:bottom w:val="none" w:sz="0" w:space="0" w:color="auto"/>
            <w:right w:val="none" w:sz="0" w:space="0" w:color="auto"/>
          </w:divBdr>
        </w:div>
        <w:div w:id="2024284484">
          <w:marLeft w:val="274"/>
          <w:marRight w:val="0"/>
          <w:marTop w:val="120"/>
          <w:marBottom w:val="0"/>
          <w:divBdr>
            <w:top w:val="none" w:sz="0" w:space="0" w:color="auto"/>
            <w:left w:val="none" w:sz="0" w:space="0" w:color="auto"/>
            <w:bottom w:val="none" w:sz="0" w:space="0" w:color="auto"/>
            <w:right w:val="none" w:sz="0" w:space="0" w:color="auto"/>
          </w:divBdr>
        </w:div>
        <w:div w:id="2078236997">
          <w:marLeft w:val="994"/>
          <w:marRight w:val="0"/>
          <w:marTop w:val="120"/>
          <w:marBottom w:val="0"/>
          <w:divBdr>
            <w:top w:val="none" w:sz="0" w:space="0" w:color="auto"/>
            <w:left w:val="none" w:sz="0" w:space="0" w:color="auto"/>
            <w:bottom w:val="none" w:sz="0" w:space="0" w:color="auto"/>
            <w:right w:val="none" w:sz="0" w:space="0" w:color="auto"/>
          </w:divBdr>
        </w:div>
      </w:divsChild>
    </w:div>
    <w:div w:id="1397512967">
      <w:bodyDiv w:val="1"/>
      <w:marLeft w:val="0"/>
      <w:marRight w:val="0"/>
      <w:marTop w:val="0"/>
      <w:marBottom w:val="0"/>
      <w:divBdr>
        <w:top w:val="none" w:sz="0" w:space="0" w:color="auto"/>
        <w:left w:val="none" w:sz="0" w:space="0" w:color="auto"/>
        <w:bottom w:val="none" w:sz="0" w:space="0" w:color="auto"/>
        <w:right w:val="none" w:sz="0" w:space="0" w:color="auto"/>
      </w:divBdr>
    </w:div>
    <w:div w:id="1420368607">
      <w:bodyDiv w:val="1"/>
      <w:marLeft w:val="0"/>
      <w:marRight w:val="0"/>
      <w:marTop w:val="0"/>
      <w:marBottom w:val="0"/>
      <w:divBdr>
        <w:top w:val="none" w:sz="0" w:space="0" w:color="auto"/>
        <w:left w:val="none" w:sz="0" w:space="0" w:color="auto"/>
        <w:bottom w:val="none" w:sz="0" w:space="0" w:color="auto"/>
        <w:right w:val="none" w:sz="0" w:space="0" w:color="auto"/>
      </w:divBdr>
      <w:divsChild>
        <w:div w:id="405372916">
          <w:marLeft w:val="0"/>
          <w:marRight w:val="0"/>
          <w:marTop w:val="0"/>
          <w:marBottom w:val="0"/>
          <w:divBdr>
            <w:top w:val="none" w:sz="0" w:space="0" w:color="auto"/>
            <w:left w:val="none" w:sz="0" w:space="0" w:color="auto"/>
            <w:bottom w:val="none" w:sz="0" w:space="0" w:color="auto"/>
            <w:right w:val="none" w:sz="0" w:space="0" w:color="auto"/>
          </w:divBdr>
        </w:div>
      </w:divsChild>
    </w:div>
    <w:div w:id="1431392301">
      <w:bodyDiv w:val="1"/>
      <w:marLeft w:val="0"/>
      <w:marRight w:val="0"/>
      <w:marTop w:val="0"/>
      <w:marBottom w:val="0"/>
      <w:divBdr>
        <w:top w:val="none" w:sz="0" w:space="0" w:color="auto"/>
        <w:left w:val="none" w:sz="0" w:space="0" w:color="auto"/>
        <w:bottom w:val="none" w:sz="0" w:space="0" w:color="auto"/>
        <w:right w:val="none" w:sz="0" w:space="0" w:color="auto"/>
      </w:divBdr>
    </w:div>
    <w:div w:id="1443721931">
      <w:bodyDiv w:val="1"/>
      <w:marLeft w:val="0"/>
      <w:marRight w:val="0"/>
      <w:marTop w:val="0"/>
      <w:marBottom w:val="0"/>
      <w:divBdr>
        <w:top w:val="none" w:sz="0" w:space="0" w:color="auto"/>
        <w:left w:val="none" w:sz="0" w:space="0" w:color="auto"/>
        <w:bottom w:val="none" w:sz="0" w:space="0" w:color="auto"/>
        <w:right w:val="none" w:sz="0" w:space="0" w:color="auto"/>
      </w:divBdr>
      <w:divsChild>
        <w:div w:id="1727751461">
          <w:marLeft w:val="274"/>
          <w:marRight w:val="0"/>
          <w:marTop w:val="0"/>
          <w:marBottom w:val="120"/>
          <w:divBdr>
            <w:top w:val="none" w:sz="0" w:space="0" w:color="auto"/>
            <w:left w:val="none" w:sz="0" w:space="0" w:color="auto"/>
            <w:bottom w:val="none" w:sz="0" w:space="0" w:color="auto"/>
            <w:right w:val="none" w:sz="0" w:space="0" w:color="auto"/>
          </w:divBdr>
        </w:div>
        <w:div w:id="1879277387">
          <w:marLeft w:val="274"/>
          <w:marRight w:val="0"/>
          <w:marTop w:val="0"/>
          <w:marBottom w:val="120"/>
          <w:divBdr>
            <w:top w:val="none" w:sz="0" w:space="0" w:color="auto"/>
            <w:left w:val="none" w:sz="0" w:space="0" w:color="auto"/>
            <w:bottom w:val="none" w:sz="0" w:space="0" w:color="auto"/>
            <w:right w:val="none" w:sz="0" w:space="0" w:color="auto"/>
          </w:divBdr>
        </w:div>
      </w:divsChild>
    </w:div>
    <w:div w:id="1446072841">
      <w:bodyDiv w:val="1"/>
      <w:marLeft w:val="0"/>
      <w:marRight w:val="0"/>
      <w:marTop w:val="0"/>
      <w:marBottom w:val="0"/>
      <w:divBdr>
        <w:top w:val="none" w:sz="0" w:space="0" w:color="auto"/>
        <w:left w:val="none" w:sz="0" w:space="0" w:color="auto"/>
        <w:bottom w:val="none" w:sz="0" w:space="0" w:color="auto"/>
        <w:right w:val="none" w:sz="0" w:space="0" w:color="auto"/>
      </w:divBdr>
    </w:div>
    <w:div w:id="1452358219">
      <w:bodyDiv w:val="1"/>
      <w:marLeft w:val="0"/>
      <w:marRight w:val="0"/>
      <w:marTop w:val="0"/>
      <w:marBottom w:val="0"/>
      <w:divBdr>
        <w:top w:val="none" w:sz="0" w:space="0" w:color="auto"/>
        <w:left w:val="none" w:sz="0" w:space="0" w:color="auto"/>
        <w:bottom w:val="none" w:sz="0" w:space="0" w:color="auto"/>
        <w:right w:val="none" w:sz="0" w:space="0" w:color="auto"/>
      </w:divBdr>
    </w:div>
    <w:div w:id="1461992798">
      <w:bodyDiv w:val="1"/>
      <w:marLeft w:val="0"/>
      <w:marRight w:val="0"/>
      <w:marTop w:val="0"/>
      <w:marBottom w:val="0"/>
      <w:divBdr>
        <w:top w:val="none" w:sz="0" w:space="0" w:color="auto"/>
        <w:left w:val="none" w:sz="0" w:space="0" w:color="auto"/>
        <w:bottom w:val="none" w:sz="0" w:space="0" w:color="auto"/>
        <w:right w:val="none" w:sz="0" w:space="0" w:color="auto"/>
      </w:divBdr>
      <w:divsChild>
        <w:div w:id="644821605">
          <w:marLeft w:val="0"/>
          <w:marRight w:val="0"/>
          <w:marTop w:val="0"/>
          <w:marBottom w:val="0"/>
          <w:divBdr>
            <w:top w:val="none" w:sz="0" w:space="0" w:color="auto"/>
            <w:left w:val="none" w:sz="0" w:space="0" w:color="auto"/>
            <w:bottom w:val="none" w:sz="0" w:space="0" w:color="auto"/>
            <w:right w:val="none" w:sz="0" w:space="0" w:color="auto"/>
          </w:divBdr>
        </w:div>
      </w:divsChild>
    </w:div>
    <w:div w:id="1486580415">
      <w:bodyDiv w:val="1"/>
      <w:marLeft w:val="0"/>
      <w:marRight w:val="0"/>
      <w:marTop w:val="0"/>
      <w:marBottom w:val="0"/>
      <w:divBdr>
        <w:top w:val="none" w:sz="0" w:space="0" w:color="auto"/>
        <w:left w:val="none" w:sz="0" w:space="0" w:color="auto"/>
        <w:bottom w:val="none" w:sz="0" w:space="0" w:color="auto"/>
        <w:right w:val="none" w:sz="0" w:space="0" w:color="auto"/>
      </w:divBdr>
    </w:div>
    <w:div w:id="1509709291">
      <w:bodyDiv w:val="1"/>
      <w:marLeft w:val="0"/>
      <w:marRight w:val="0"/>
      <w:marTop w:val="0"/>
      <w:marBottom w:val="0"/>
      <w:divBdr>
        <w:top w:val="none" w:sz="0" w:space="0" w:color="auto"/>
        <w:left w:val="none" w:sz="0" w:space="0" w:color="auto"/>
        <w:bottom w:val="none" w:sz="0" w:space="0" w:color="auto"/>
        <w:right w:val="none" w:sz="0" w:space="0" w:color="auto"/>
      </w:divBdr>
    </w:div>
    <w:div w:id="1527517728">
      <w:bodyDiv w:val="1"/>
      <w:marLeft w:val="0"/>
      <w:marRight w:val="0"/>
      <w:marTop w:val="0"/>
      <w:marBottom w:val="0"/>
      <w:divBdr>
        <w:top w:val="none" w:sz="0" w:space="0" w:color="auto"/>
        <w:left w:val="none" w:sz="0" w:space="0" w:color="auto"/>
        <w:bottom w:val="none" w:sz="0" w:space="0" w:color="auto"/>
        <w:right w:val="none" w:sz="0" w:space="0" w:color="auto"/>
      </w:divBdr>
    </w:div>
    <w:div w:id="1529180977">
      <w:bodyDiv w:val="1"/>
      <w:marLeft w:val="0"/>
      <w:marRight w:val="0"/>
      <w:marTop w:val="0"/>
      <w:marBottom w:val="0"/>
      <w:divBdr>
        <w:top w:val="none" w:sz="0" w:space="0" w:color="auto"/>
        <w:left w:val="none" w:sz="0" w:space="0" w:color="auto"/>
        <w:bottom w:val="none" w:sz="0" w:space="0" w:color="auto"/>
        <w:right w:val="none" w:sz="0" w:space="0" w:color="auto"/>
      </w:divBdr>
    </w:div>
    <w:div w:id="1541089590">
      <w:bodyDiv w:val="1"/>
      <w:marLeft w:val="0"/>
      <w:marRight w:val="0"/>
      <w:marTop w:val="0"/>
      <w:marBottom w:val="0"/>
      <w:divBdr>
        <w:top w:val="none" w:sz="0" w:space="0" w:color="auto"/>
        <w:left w:val="none" w:sz="0" w:space="0" w:color="auto"/>
        <w:bottom w:val="none" w:sz="0" w:space="0" w:color="auto"/>
        <w:right w:val="none" w:sz="0" w:space="0" w:color="auto"/>
      </w:divBdr>
    </w:div>
    <w:div w:id="1574393138">
      <w:bodyDiv w:val="1"/>
      <w:marLeft w:val="0"/>
      <w:marRight w:val="0"/>
      <w:marTop w:val="0"/>
      <w:marBottom w:val="0"/>
      <w:divBdr>
        <w:top w:val="none" w:sz="0" w:space="0" w:color="auto"/>
        <w:left w:val="none" w:sz="0" w:space="0" w:color="auto"/>
        <w:bottom w:val="none" w:sz="0" w:space="0" w:color="auto"/>
        <w:right w:val="none" w:sz="0" w:space="0" w:color="auto"/>
      </w:divBdr>
    </w:div>
    <w:div w:id="1603605850">
      <w:bodyDiv w:val="1"/>
      <w:marLeft w:val="0"/>
      <w:marRight w:val="0"/>
      <w:marTop w:val="0"/>
      <w:marBottom w:val="0"/>
      <w:divBdr>
        <w:top w:val="none" w:sz="0" w:space="0" w:color="auto"/>
        <w:left w:val="none" w:sz="0" w:space="0" w:color="auto"/>
        <w:bottom w:val="none" w:sz="0" w:space="0" w:color="auto"/>
        <w:right w:val="none" w:sz="0" w:space="0" w:color="auto"/>
      </w:divBdr>
    </w:div>
    <w:div w:id="1628777283">
      <w:bodyDiv w:val="1"/>
      <w:marLeft w:val="0"/>
      <w:marRight w:val="0"/>
      <w:marTop w:val="0"/>
      <w:marBottom w:val="0"/>
      <w:divBdr>
        <w:top w:val="none" w:sz="0" w:space="0" w:color="auto"/>
        <w:left w:val="none" w:sz="0" w:space="0" w:color="auto"/>
        <w:bottom w:val="none" w:sz="0" w:space="0" w:color="auto"/>
        <w:right w:val="none" w:sz="0" w:space="0" w:color="auto"/>
      </w:divBdr>
      <w:divsChild>
        <w:div w:id="221211825">
          <w:marLeft w:val="274"/>
          <w:marRight w:val="0"/>
          <w:marTop w:val="0"/>
          <w:marBottom w:val="120"/>
          <w:divBdr>
            <w:top w:val="none" w:sz="0" w:space="0" w:color="auto"/>
            <w:left w:val="none" w:sz="0" w:space="0" w:color="auto"/>
            <w:bottom w:val="none" w:sz="0" w:space="0" w:color="auto"/>
            <w:right w:val="none" w:sz="0" w:space="0" w:color="auto"/>
          </w:divBdr>
        </w:div>
        <w:div w:id="1775705776">
          <w:marLeft w:val="274"/>
          <w:marRight w:val="0"/>
          <w:marTop w:val="0"/>
          <w:marBottom w:val="120"/>
          <w:divBdr>
            <w:top w:val="none" w:sz="0" w:space="0" w:color="auto"/>
            <w:left w:val="none" w:sz="0" w:space="0" w:color="auto"/>
            <w:bottom w:val="none" w:sz="0" w:space="0" w:color="auto"/>
            <w:right w:val="none" w:sz="0" w:space="0" w:color="auto"/>
          </w:divBdr>
        </w:div>
      </w:divsChild>
    </w:div>
    <w:div w:id="1720083667">
      <w:bodyDiv w:val="1"/>
      <w:marLeft w:val="0"/>
      <w:marRight w:val="0"/>
      <w:marTop w:val="0"/>
      <w:marBottom w:val="0"/>
      <w:divBdr>
        <w:top w:val="none" w:sz="0" w:space="0" w:color="auto"/>
        <w:left w:val="none" w:sz="0" w:space="0" w:color="auto"/>
        <w:bottom w:val="none" w:sz="0" w:space="0" w:color="auto"/>
        <w:right w:val="none" w:sz="0" w:space="0" w:color="auto"/>
      </w:divBdr>
      <w:divsChild>
        <w:div w:id="1261178570">
          <w:marLeft w:val="274"/>
          <w:marRight w:val="0"/>
          <w:marTop w:val="120"/>
          <w:marBottom w:val="120"/>
          <w:divBdr>
            <w:top w:val="none" w:sz="0" w:space="0" w:color="auto"/>
            <w:left w:val="none" w:sz="0" w:space="0" w:color="auto"/>
            <w:bottom w:val="none" w:sz="0" w:space="0" w:color="auto"/>
            <w:right w:val="none" w:sz="0" w:space="0" w:color="auto"/>
          </w:divBdr>
        </w:div>
        <w:div w:id="1529098687">
          <w:marLeft w:val="274"/>
          <w:marRight w:val="0"/>
          <w:marTop w:val="120"/>
          <w:marBottom w:val="120"/>
          <w:divBdr>
            <w:top w:val="none" w:sz="0" w:space="0" w:color="auto"/>
            <w:left w:val="none" w:sz="0" w:space="0" w:color="auto"/>
            <w:bottom w:val="none" w:sz="0" w:space="0" w:color="auto"/>
            <w:right w:val="none" w:sz="0" w:space="0" w:color="auto"/>
          </w:divBdr>
        </w:div>
        <w:div w:id="1763380127">
          <w:marLeft w:val="274"/>
          <w:marRight w:val="0"/>
          <w:marTop w:val="120"/>
          <w:marBottom w:val="120"/>
          <w:divBdr>
            <w:top w:val="none" w:sz="0" w:space="0" w:color="auto"/>
            <w:left w:val="none" w:sz="0" w:space="0" w:color="auto"/>
            <w:bottom w:val="none" w:sz="0" w:space="0" w:color="auto"/>
            <w:right w:val="none" w:sz="0" w:space="0" w:color="auto"/>
          </w:divBdr>
        </w:div>
      </w:divsChild>
    </w:div>
    <w:div w:id="1743214793">
      <w:bodyDiv w:val="1"/>
      <w:marLeft w:val="0"/>
      <w:marRight w:val="0"/>
      <w:marTop w:val="0"/>
      <w:marBottom w:val="0"/>
      <w:divBdr>
        <w:top w:val="none" w:sz="0" w:space="0" w:color="auto"/>
        <w:left w:val="none" w:sz="0" w:space="0" w:color="auto"/>
        <w:bottom w:val="none" w:sz="0" w:space="0" w:color="auto"/>
        <w:right w:val="none" w:sz="0" w:space="0" w:color="auto"/>
      </w:divBdr>
    </w:div>
    <w:div w:id="1762798834">
      <w:bodyDiv w:val="1"/>
      <w:marLeft w:val="0"/>
      <w:marRight w:val="0"/>
      <w:marTop w:val="0"/>
      <w:marBottom w:val="0"/>
      <w:divBdr>
        <w:top w:val="none" w:sz="0" w:space="0" w:color="auto"/>
        <w:left w:val="none" w:sz="0" w:space="0" w:color="auto"/>
        <w:bottom w:val="none" w:sz="0" w:space="0" w:color="auto"/>
        <w:right w:val="none" w:sz="0" w:space="0" w:color="auto"/>
      </w:divBdr>
    </w:div>
    <w:div w:id="1767380749">
      <w:bodyDiv w:val="1"/>
      <w:marLeft w:val="0"/>
      <w:marRight w:val="0"/>
      <w:marTop w:val="0"/>
      <w:marBottom w:val="0"/>
      <w:divBdr>
        <w:top w:val="none" w:sz="0" w:space="0" w:color="auto"/>
        <w:left w:val="none" w:sz="0" w:space="0" w:color="auto"/>
        <w:bottom w:val="none" w:sz="0" w:space="0" w:color="auto"/>
        <w:right w:val="none" w:sz="0" w:space="0" w:color="auto"/>
      </w:divBdr>
    </w:div>
    <w:div w:id="1774323745">
      <w:bodyDiv w:val="1"/>
      <w:marLeft w:val="0"/>
      <w:marRight w:val="0"/>
      <w:marTop w:val="0"/>
      <w:marBottom w:val="0"/>
      <w:divBdr>
        <w:top w:val="none" w:sz="0" w:space="0" w:color="auto"/>
        <w:left w:val="none" w:sz="0" w:space="0" w:color="auto"/>
        <w:bottom w:val="none" w:sz="0" w:space="0" w:color="auto"/>
        <w:right w:val="none" w:sz="0" w:space="0" w:color="auto"/>
      </w:divBdr>
      <w:divsChild>
        <w:div w:id="650987004">
          <w:marLeft w:val="274"/>
          <w:marRight w:val="0"/>
          <w:marTop w:val="120"/>
          <w:marBottom w:val="0"/>
          <w:divBdr>
            <w:top w:val="none" w:sz="0" w:space="0" w:color="auto"/>
            <w:left w:val="none" w:sz="0" w:space="0" w:color="auto"/>
            <w:bottom w:val="none" w:sz="0" w:space="0" w:color="auto"/>
            <w:right w:val="none" w:sz="0" w:space="0" w:color="auto"/>
          </w:divBdr>
        </w:div>
        <w:div w:id="781075270">
          <w:marLeft w:val="907"/>
          <w:marRight w:val="0"/>
          <w:marTop w:val="120"/>
          <w:marBottom w:val="0"/>
          <w:divBdr>
            <w:top w:val="none" w:sz="0" w:space="0" w:color="auto"/>
            <w:left w:val="none" w:sz="0" w:space="0" w:color="auto"/>
            <w:bottom w:val="none" w:sz="0" w:space="0" w:color="auto"/>
            <w:right w:val="none" w:sz="0" w:space="0" w:color="auto"/>
          </w:divBdr>
        </w:div>
        <w:div w:id="862786380">
          <w:marLeft w:val="907"/>
          <w:marRight w:val="0"/>
          <w:marTop w:val="120"/>
          <w:marBottom w:val="0"/>
          <w:divBdr>
            <w:top w:val="none" w:sz="0" w:space="0" w:color="auto"/>
            <w:left w:val="none" w:sz="0" w:space="0" w:color="auto"/>
            <w:bottom w:val="none" w:sz="0" w:space="0" w:color="auto"/>
            <w:right w:val="none" w:sz="0" w:space="0" w:color="auto"/>
          </w:divBdr>
        </w:div>
        <w:div w:id="1298561652">
          <w:marLeft w:val="907"/>
          <w:marRight w:val="0"/>
          <w:marTop w:val="120"/>
          <w:marBottom w:val="0"/>
          <w:divBdr>
            <w:top w:val="none" w:sz="0" w:space="0" w:color="auto"/>
            <w:left w:val="none" w:sz="0" w:space="0" w:color="auto"/>
            <w:bottom w:val="none" w:sz="0" w:space="0" w:color="auto"/>
            <w:right w:val="none" w:sz="0" w:space="0" w:color="auto"/>
          </w:divBdr>
        </w:div>
        <w:div w:id="1352536591">
          <w:marLeft w:val="274"/>
          <w:marRight w:val="0"/>
          <w:marTop w:val="120"/>
          <w:marBottom w:val="0"/>
          <w:divBdr>
            <w:top w:val="none" w:sz="0" w:space="0" w:color="auto"/>
            <w:left w:val="none" w:sz="0" w:space="0" w:color="auto"/>
            <w:bottom w:val="none" w:sz="0" w:space="0" w:color="auto"/>
            <w:right w:val="none" w:sz="0" w:space="0" w:color="auto"/>
          </w:divBdr>
        </w:div>
        <w:div w:id="1619991311">
          <w:marLeft w:val="907"/>
          <w:marRight w:val="0"/>
          <w:marTop w:val="120"/>
          <w:marBottom w:val="0"/>
          <w:divBdr>
            <w:top w:val="none" w:sz="0" w:space="0" w:color="auto"/>
            <w:left w:val="none" w:sz="0" w:space="0" w:color="auto"/>
            <w:bottom w:val="none" w:sz="0" w:space="0" w:color="auto"/>
            <w:right w:val="none" w:sz="0" w:space="0" w:color="auto"/>
          </w:divBdr>
        </w:div>
      </w:divsChild>
    </w:div>
    <w:div w:id="1774979874">
      <w:bodyDiv w:val="1"/>
      <w:marLeft w:val="0"/>
      <w:marRight w:val="0"/>
      <w:marTop w:val="0"/>
      <w:marBottom w:val="0"/>
      <w:divBdr>
        <w:top w:val="none" w:sz="0" w:space="0" w:color="auto"/>
        <w:left w:val="none" w:sz="0" w:space="0" w:color="auto"/>
        <w:bottom w:val="none" w:sz="0" w:space="0" w:color="auto"/>
        <w:right w:val="none" w:sz="0" w:space="0" w:color="auto"/>
      </w:divBdr>
    </w:div>
    <w:div w:id="1820950375">
      <w:bodyDiv w:val="1"/>
      <w:marLeft w:val="0"/>
      <w:marRight w:val="0"/>
      <w:marTop w:val="0"/>
      <w:marBottom w:val="0"/>
      <w:divBdr>
        <w:top w:val="none" w:sz="0" w:space="0" w:color="auto"/>
        <w:left w:val="none" w:sz="0" w:space="0" w:color="auto"/>
        <w:bottom w:val="none" w:sz="0" w:space="0" w:color="auto"/>
        <w:right w:val="none" w:sz="0" w:space="0" w:color="auto"/>
      </w:divBdr>
    </w:div>
    <w:div w:id="1837725854">
      <w:bodyDiv w:val="1"/>
      <w:marLeft w:val="0"/>
      <w:marRight w:val="0"/>
      <w:marTop w:val="0"/>
      <w:marBottom w:val="0"/>
      <w:divBdr>
        <w:top w:val="none" w:sz="0" w:space="0" w:color="auto"/>
        <w:left w:val="none" w:sz="0" w:space="0" w:color="auto"/>
        <w:bottom w:val="none" w:sz="0" w:space="0" w:color="auto"/>
        <w:right w:val="none" w:sz="0" w:space="0" w:color="auto"/>
      </w:divBdr>
      <w:divsChild>
        <w:div w:id="753669580">
          <w:marLeft w:val="274"/>
          <w:marRight w:val="0"/>
          <w:marTop w:val="0"/>
          <w:marBottom w:val="120"/>
          <w:divBdr>
            <w:top w:val="none" w:sz="0" w:space="0" w:color="auto"/>
            <w:left w:val="none" w:sz="0" w:space="0" w:color="auto"/>
            <w:bottom w:val="none" w:sz="0" w:space="0" w:color="auto"/>
            <w:right w:val="none" w:sz="0" w:space="0" w:color="auto"/>
          </w:divBdr>
        </w:div>
        <w:div w:id="1373339077">
          <w:marLeft w:val="274"/>
          <w:marRight w:val="0"/>
          <w:marTop w:val="0"/>
          <w:marBottom w:val="120"/>
          <w:divBdr>
            <w:top w:val="none" w:sz="0" w:space="0" w:color="auto"/>
            <w:left w:val="none" w:sz="0" w:space="0" w:color="auto"/>
            <w:bottom w:val="none" w:sz="0" w:space="0" w:color="auto"/>
            <w:right w:val="none" w:sz="0" w:space="0" w:color="auto"/>
          </w:divBdr>
        </w:div>
        <w:div w:id="1520242065">
          <w:marLeft w:val="274"/>
          <w:marRight w:val="0"/>
          <w:marTop w:val="0"/>
          <w:marBottom w:val="120"/>
          <w:divBdr>
            <w:top w:val="none" w:sz="0" w:space="0" w:color="auto"/>
            <w:left w:val="none" w:sz="0" w:space="0" w:color="auto"/>
            <w:bottom w:val="none" w:sz="0" w:space="0" w:color="auto"/>
            <w:right w:val="none" w:sz="0" w:space="0" w:color="auto"/>
          </w:divBdr>
        </w:div>
        <w:div w:id="1951622450">
          <w:marLeft w:val="274"/>
          <w:marRight w:val="0"/>
          <w:marTop w:val="0"/>
          <w:marBottom w:val="120"/>
          <w:divBdr>
            <w:top w:val="none" w:sz="0" w:space="0" w:color="auto"/>
            <w:left w:val="none" w:sz="0" w:space="0" w:color="auto"/>
            <w:bottom w:val="none" w:sz="0" w:space="0" w:color="auto"/>
            <w:right w:val="none" w:sz="0" w:space="0" w:color="auto"/>
          </w:divBdr>
        </w:div>
      </w:divsChild>
    </w:div>
    <w:div w:id="1848789912">
      <w:bodyDiv w:val="1"/>
      <w:marLeft w:val="0"/>
      <w:marRight w:val="0"/>
      <w:marTop w:val="0"/>
      <w:marBottom w:val="0"/>
      <w:divBdr>
        <w:top w:val="none" w:sz="0" w:space="0" w:color="auto"/>
        <w:left w:val="none" w:sz="0" w:space="0" w:color="auto"/>
        <w:bottom w:val="none" w:sz="0" w:space="0" w:color="auto"/>
        <w:right w:val="none" w:sz="0" w:space="0" w:color="auto"/>
      </w:divBdr>
    </w:div>
    <w:div w:id="1868443534">
      <w:bodyDiv w:val="1"/>
      <w:marLeft w:val="0"/>
      <w:marRight w:val="0"/>
      <w:marTop w:val="0"/>
      <w:marBottom w:val="0"/>
      <w:divBdr>
        <w:top w:val="none" w:sz="0" w:space="0" w:color="auto"/>
        <w:left w:val="none" w:sz="0" w:space="0" w:color="auto"/>
        <w:bottom w:val="none" w:sz="0" w:space="0" w:color="auto"/>
        <w:right w:val="none" w:sz="0" w:space="0" w:color="auto"/>
      </w:divBdr>
    </w:div>
    <w:div w:id="1888369357">
      <w:bodyDiv w:val="1"/>
      <w:marLeft w:val="0"/>
      <w:marRight w:val="0"/>
      <w:marTop w:val="0"/>
      <w:marBottom w:val="0"/>
      <w:divBdr>
        <w:top w:val="none" w:sz="0" w:space="0" w:color="auto"/>
        <w:left w:val="none" w:sz="0" w:space="0" w:color="auto"/>
        <w:bottom w:val="none" w:sz="0" w:space="0" w:color="auto"/>
        <w:right w:val="none" w:sz="0" w:space="0" w:color="auto"/>
      </w:divBdr>
    </w:div>
    <w:div w:id="1931043497">
      <w:bodyDiv w:val="1"/>
      <w:marLeft w:val="0"/>
      <w:marRight w:val="0"/>
      <w:marTop w:val="0"/>
      <w:marBottom w:val="0"/>
      <w:divBdr>
        <w:top w:val="none" w:sz="0" w:space="0" w:color="auto"/>
        <w:left w:val="none" w:sz="0" w:space="0" w:color="auto"/>
        <w:bottom w:val="none" w:sz="0" w:space="0" w:color="auto"/>
        <w:right w:val="none" w:sz="0" w:space="0" w:color="auto"/>
      </w:divBdr>
    </w:div>
    <w:div w:id="1936673555">
      <w:bodyDiv w:val="1"/>
      <w:marLeft w:val="0"/>
      <w:marRight w:val="0"/>
      <w:marTop w:val="0"/>
      <w:marBottom w:val="0"/>
      <w:divBdr>
        <w:top w:val="none" w:sz="0" w:space="0" w:color="auto"/>
        <w:left w:val="none" w:sz="0" w:space="0" w:color="auto"/>
        <w:bottom w:val="none" w:sz="0" w:space="0" w:color="auto"/>
        <w:right w:val="none" w:sz="0" w:space="0" w:color="auto"/>
      </w:divBdr>
    </w:div>
    <w:div w:id="1938248189">
      <w:bodyDiv w:val="1"/>
      <w:marLeft w:val="0"/>
      <w:marRight w:val="0"/>
      <w:marTop w:val="0"/>
      <w:marBottom w:val="0"/>
      <w:divBdr>
        <w:top w:val="none" w:sz="0" w:space="0" w:color="auto"/>
        <w:left w:val="none" w:sz="0" w:space="0" w:color="auto"/>
        <w:bottom w:val="none" w:sz="0" w:space="0" w:color="auto"/>
        <w:right w:val="none" w:sz="0" w:space="0" w:color="auto"/>
      </w:divBdr>
    </w:div>
    <w:div w:id="1943564588">
      <w:bodyDiv w:val="1"/>
      <w:marLeft w:val="0"/>
      <w:marRight w:val="0"/>
      <w:marTop w:val="0"/>
      <w:marBottom w:val="0"/>
      <w:divBdr>
        <w:top w:val="none" w:sz="0" w:space="0" w:color="auto"/>
        <w:left w:val="none" w:sz="0" w:space="0" w:color="auto"/>
        <w:bottom w:val="none" w:sz="0" w:space="0" w:color="auto"/>
        <w:right w:val="none" w:sz="0" w:space="0" w:color="auto"/>
      </w:divBdr>
      <w:divsChild>
        <w:div w:id="557328357">
          <w:marLeft w:val="274"/>
          <w:marRight w:val="0"/>
          <w:marTop w:val="120"/>
          <w:marBottom w:val="0"/>
          <w:divBdr>
            <w:top w:val="none" w:sz="0" w:space="0" w:color="auto"/>
            <w:left w:val="none" w:sz="0" w:space="0" w:color="auto"/>
            <w:bottom w:val="none" w:sz="0" w:space="0" w:color="auto"/>
            <w:right w:val="none" w:sz="0" w:space="0" w:color="auto"/>
          </w:divBdr>
        </w:div>
        <w:div w:id="688989796">
          <w:marLeft w:val="274"/>
          <w:marRight w:val="0"/>
          <w:marTop w:val="120"/>
          <w:marBottom w:val="0"/>
          <w:divBdr>
            <w:top w:val="none" w:sz="0" w:space="0" w:color="auto"/>
            <w:left w:val="none" w:sz="0" w:space="0" w:color="auto"/>
            <w:bottom w:val="none" w:sz="0" w:space="0" w:color="auto"/>
            <w:right w:val="none" w:sz="0" w:space="0" w:color="auto"/>
          </w:divBdr>
        </w:div>
        <w:div w:id="1706248854">
          <w:marLeft w:val="274"/>
          <w:marRight w:val="0"/>
          <w:marTop w:val="120"/>
          <w:marBottom w:val="0"/>
          <w:divBdr>
            <w:top w:val="none" w:sz="0" w:space="0" w:color="auto"/>
            <w:left w:val="none" w:sz="0" w:space="0" w:color="auto"/>
            <w:bottom w:val="none" w:sz="0" w:space="0" w:color="auto"/>
            <w:right w:val="none" w:sz="0" w:space="0" w:color="auto"/>
          </w:divBdr>
        </w:div>
      </w:divsChild>
    </w:div>
    <w:div w:id="1976645101">
      <w:bodyDiv w:val="1"/>
      <w:marLeft w:val="0"/>
      <w:marRight w:val="0"/>
      <w:marTop w:val="0"/>
      <w:marBottom w:val="0"/>
      <w:divBdr>
        <w:top w:val="none" w:sz="0" w:space="0" w:color="auto"/>
        <w:left w:val="none" w:sz="0" w:space="0" w:color="auto"/>
        <w:bottom w:val="none" w:sz="0" w:space="0" w:color="auto"/>
        <w:right w:val="none" w:sz="0" w:space="0" w:color="auto"/>
      </w:divBdr>
    </w:div>
    <w:div w:id="1983195416">
      <w:bodyDiv w:val="1"/>
      <w:marLeft w:val="0"/>
      <w:marRight w:val="0"/>
      <w:marTop w:val="0"/>
      <w:marBottom w:val="0"/>
      <w:divBdr>
        <w:top w:val="none" w:sz="0" w:space="0" w:color="auto"/>
        <w:left w:val="none" w:sz="0" w:space="0" w:color="auto"/>
        <w:bottom w:val="none" w:sz="0" w:space="0" w:color="auto"/>
        <w:right w:val="none" w:sz="0" w:space="0" w:color="auto"/>
      </w:divBdr>
    </w:div>
    <w:div w:id="1986230558">
      <w:bodyDiv w:val="1"/>
      <w:marLeft w:val="0"/>
      <w:marRight w:val="0"/>
      <w:marTop w:val="0"/>
      <w:marBottom w:val="0"/>
      <w:divBdr>
        <w:top w:val="none" w:sz="0" w:space="0" w:color="auto"/>
        <w:left w:val="none" w:sz="0" w:space="0" w:color="auto"/>
        <w:bottom w:val="none" w:sz="0" w:space="0" w:color="auto"/>
        <w:right w:val="none" w:sz="0" w:space="0" w:color="auto"/>
      </w:divBdr>
    </w:div>
    <w:div w:id="2001233324">
      <w:bodyDiv w:val="1"/>
      <w:marLeft w:val="0"/>
      <w:marRight w:val="0"/>
      <w:marTop w:val="0"/>
      <w:marBottom w:val="0"/>
      <w:divBdr>
        <w:top w:val="none" w:sz="0" w:space="0" w:color="auto"/>
        <w:left w:val="none" w:sz="0" w:space="0" w:color="auto"/>
        <w:bottom w:val="none" w:sz="0" w:space="0" w:color="auto"/>
        <w:right w:val="none" w:sz="0" w:space="0" w:color="auto"/>
      </w:divBdr>
    </w:div>
    <w:div w:id="2002080123">
      <w:bodyDiv w:val="1"/>
      <w:marLeft w:val="0"/>
      <w:marRight w:val="0"/>
      <w:marTop w:val="0"/>
      <w:marBottom w:val="0"/>
      <w:divBdr>
        <w:top w:val="none" w:sz="0" w:space="0" w:color="auto"/>
        <w:left w:val="none" w:sz="0" w:space="0" w:color="auto"/>
        <w:bottom w:val="none" w:sz="0" w:space="0" w:color="auto"/>
        <w:right w:val="none" w:sz="0" w:space="0" w:color="auto"/>
      </w:divBdr>
    </w:div>
    <w:div w:id="2013486141">
      <w:bodyDiv w:val="1"/>
      <w:marLeft w:val="0"/>
      <w:marRight w:val="0"/>
      <w:marTop w:val="0"/>
      <w:marBottom w:val="0"/>
      <w:divBdr>
        <w:top w:val="none" w:sz="0" w:space="0" w:color="auto"/>
        <w:left w:val="none" w:sz="0" w:space="0" w:color="auto"/>
        <w:bottom w:val="none" w:sz="0" w:space="0" w:color="auto"/>
        <w:right w:val="none" w:sz="0" w:space="0" w:color="auto"/>
      </w:divBdr>
    </w:div>
    <w:div w:id="2014142806">
      <w:bodyDiv w:val="1"/>
      <w:marLeft w:val="0"/>
      <w:marRight w:val="0"/>
      <w:marTop w:val="0"/>
      <w:marBottom w:val="0"/>
      <w:divBdr>
        <w:top w:val="none" w:sz="0" w:space="0" w:color="auto"/>
        <w:left w:val="none" w:sz="0" w:space="0" w:color="auto"/>
        <w:bottom w:val="none" w:sz="0" w:space="0" w:color="auto"/>
        <w:right w:val="none" w:sz="0" w:space="0" w:color="auto"/>
      </w:divBdr>
    </w:div>
    <w:div w:id="2028367861">
      <w:bodyDiv w:val="1"/>
      <w:marLeft w:val="0"/>
      <w:marRight w:val="0"/>
      <w:marTop w:val="0"/>
      <w:marBottom w:val="0"/>
      <w:divBdr>
        <w:top w:val="none" w:sz="0" w:space="0" w:color="auto"/>
        <w:left w:val="none" w:sz="0" w:space="0" w:color="auto"/>
        <w:bottom w:val="none" w:sz="0" w:space="0" w:color="auto"/>
        <w:right w:val="none" w:sz="0" w:space="0" w:color="auto"/>
      </w:divBdr>
    </w:div>
    <w:div w:id="2043899216">
      <w:bodyDiv w:val="1"/>
      <w:marLeft w:val="0"/>
      <w:marRight w:val="0"/>
      <w:marTop w:val="0"/>
      <w:marBottom w:val="0"/>
      <w:divBdr>
        <w:top w:val="none" w:sz="0" w:space="0" w:color="auto"/>
        <w:left w:val="none" w:sz="0" w:space="0" w:color="auto"/>
        <w:bottom w:val="none" w:sz="0" w:space="0" w:color="auto"/>
        <w:right w:val="none" w:sz="0" w:space="0" w:color="auto"/>
      </w:divBdr>
    </w:div>
    <w:div w:id="2059821126">
      <w:bodyDiv w:val="1"/>
      <w:marLeft w:val="0"/>
      <w:marRight w:val="0"/>
      <w:marTop w:val="0"/>
      <w:marBottom w:val="0"/>
      <w:divBdr>
        <w:top w:val="none" w:sz="0" w:space="0" w:color="auto"/>
        <w:left w:val="none" w:sz="0" w:space="0" w:color="auto"/>
        <w:bottom w:val="none" w:sz="0" w:space="0" w:color="auto"/>
        <w:right w:val="none" w:sz="0" w:space="0" w:color="auto"/>
      </w:divBdr>
    </w:div>
    <w:div w:id="2064518499">
      <w:bodyDiv w:val="1"/>
      <w:marLeft w:val="0"/>
      <w:marRight w:val="0"/>
      <w:marTop w:val="0"/>
      <w:marBottom w:val="0"/>
      <w:divBdr>
        <w:top w:val="none" w:sz="0" w:space="0" w:color="auto"/>
        <w:left w:val="none" w:sz="0" w:space="0" w:color="auto"/>
        <w:bottom w:val="none" w:sz="0" w:space="0" w:color="auto"/>
        <w:right w:val="none" w:sz="0" w:space="0" w:color="auto"/>
      </w:divBdr>
    </w:div>
    <w:div w:id="2088384114">
      <w:bodyDiv w:val="1"/>
      <w:marLeft w:val="0"/>
      <w:marRight w:val="0"/>
      <w:marTop w:val="0"/>
      <w:marBottom w:val="0"/>
      <w:divBdr>
        <w:top w:val="none" w:sz="0" w:space="0" w:color="auto"/>
        <w:left w:val="none" w:sz="0" w:space="0" w:color="auto"/>
        <w:bottom w:val="none" w:sz="0" w:space="0" w:color="auto"/>
        <w:right w:val="none" w:sz="0" w:space="0" w:color="auto"/>
      </w:divBdr>
    </w:div>
    <w:div w:id="2107770923">
      <w:bodyDiv w:val="1"/>
      <w:marLeft w:val="0"/>
      <w:marRight w:val="0"/>
      <w:marTop w:val="0"/>
      <w:marBottom w:val="0"/>
      <w:divBdr>
        <w:top w:val="none" w:sz="0" w:space="0" w:color="auto"/>
        <w:left w:val="none" w:sz="0" w:space="0" w:color="auto"/>
        <w:bottom w:val="none" w:sz="0" w:space="0" w:color="auto"/>
        <w:right w:val="none" w:sz="0" w:space="0" w:color="auto"/>
      </w:divBdr>
    </w:div>
    <w:div w:id="2128616316">
      <w:bodyDiv w:val="1"/>
      <w:marLeft w:val="0"/>
      <w:marRight w:val="0"/>
      <w:marTop w:val="0"/>
      <w:marBottom w:val="0"/>
      <w:divBdr>
        <w:top w:val="none" w:sz="0" w:space="0" w:color="auto"/>
        <w:left w:val="none" w:sz="0" w:space="0" w:color="auto"/>
        <w:bottom w:val="none" w:sz="0" w:space="0" w:color="auto"/>
        <w:right w:val="none" w:sz="0" w:space="0" w:color="auto"/>
      </w:divBdr>
      <w:divsChild>
        <w:div w:id="1636906701">
          <w:marLeft w:val="274"/>
          <w:marRight w:val="0"/>
          <w:marTop w:val="0"/>
          <w:marBottom w:val="0"/>
          <w:divBdr>
            <w:top w:val="none" w:sz="0" w:space="0" w:color="auto"/>
            <w:left w:val="none" w:sz="0" w:space="0" w:color="auto"/>
            <w:bottom w:val="none" w:sz="0" w:space="0" w:color="auto"/>
            <w:right w:val="none" w:sz="0" w:space="0" w:color="auto"/>
          </w:divBdr>
        </w:div>
      </w:divsChild>
    </w:div>
    <w:div w:id="2129659590">
      <w:bodyDiv w:val="1"/>
      <w:marLeft w:val="0"/>
      <w:marRight w:val="0"/>
      <w:marTop w:val="0"/>
      <w:marBottom w:val="0"/>
      <w:divBdr>
        <w:top w:val="none" w:sz="0" w:space="0" w:color="auto"/>
        <w:left w:val="none" w:sz="0" w:space="0" w:color="auto"/>
        <w:bottom w:val="none" w:sz="0" w:space="0" w:color="auto"/>
        <w:right w:val="none" w:sz="0" w:space="0" w:color="auto"/>
      </w:divBdr>
    </w:div>
    <w:div w:id="2144346199">
      <w:bodyDiv w:val="1"/>
      <w:marLeft w:val="0"/>
      <w:marRight w:val="0"/>
      <w:marTop w:val="0"/>
      <w:marBottom w:val="0"/>
      <w:divBdr>
        <w:top w:val="none" w:sz="0" w:space="0" w:color="auto"/>
        <w:left w:val="none" w:sz="0" w:space="0" w:color="auto"/>
        <w:bottom w:val="none" w:sz="0" w:space="0" w:color="auto"/>
        <w:right w:val="none" w:sz="0" w:space="0" w:color="auto"/>
      </w:divBdr>
      <w:divsChild>
        <w:div w:id="242840760">
          <w:marLeft w:val="274"/>
          <w:marRight w:val="0"/>
          <w:marTop w:val="120"/>
          <w:marBottom w:val="0"/>
          <w:divBdr>
            <w:top w:val="none" w:sz="0" w:space="0" w:color="auto"/>
            <w:left w:val="none" w:sz="0" w:space="0" w:color="auto"/>
            <w:bottom w:val="none" w:sz="0" w:space="0" w:color="auto"/>
            <w:right w:val="none" w:sz="0" w:space="0" w:color="auto"/>
          </w:divBdr>
        </w:div>
        <w:div w:id="620918474">
          <w:marLeft w:val="274"/>
          <w:marRight w:val="0"/>
          <w:marTop w:val="120"/>
          <w:marBottom w:val="0"/>
          <w:divBdr>
            <w:top w:val="none" w:sz="0" w:space="0" w:color="auto"/>
            <w:left w:val="none" w:sz="0" w:space="0" w:color="auto"/>
            <w:bottom w:val="none" w:sz="0" w:space="0" w:color="auto"/>
            <w:right w:val="none" w:sz="0" w:space="0" w:color="auto"/>
          </w:divBdr>
        </w:div>
        <w:div w:id="663552889">
          <w:marLeft w:val="274"/>
          <w:marRight w:val="0"/>
          <w:marTop w:val="120"/>
          <w:marBottom w:val="0"/>
          <w:divBdr>
            <w:top w:val="none" w:sz="0" w:space="0" w:color="auto"/>
            <w:left w:val="none" w:sz="0" w:space="0" w:color="auto"/>
            <w:bottom w:val="none" w:sz="0" w:space="0" w:color="auto"/>
            <w:right w:val="none" w:sz="0" w:space="0" w:color="auto"/>
          </w:divBdr>
        </w:div>
        <w:div w:id="1329166645">
          <w:marLeft w:val="274"/>
          <w:marRight w:val="0"/>
          <w:marTop w:val="120"/>
          <w:marBottom w:val="0"/>
          <w:divBdr>
            <w:top w:val="none" w:sz="0" w:space="0" w:color="auto"/>
            <w:left w:val="none" w:sz="0" w:space="0" w:color="auto"/>
            <w:bottom w:val="none" w:sz="0" w:space="0" w:color="auto"/>
            <w:right w:val="none" w:sz="0" w:space="0" w:color="auto"/>
          </w:divBdr>
        </w:div>
        <w:div w:id="1912538541">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sdgovtnz-my.sharepoint.com/personal/tim_garlick004_msd_govt_nz/Documents/Microsoft%20Teams%20Chat%20Files/%5bplaceholder%5d" TargetMode="External"/><Relationship Id="rId18" Type="http://schemas.openxmlformats.org/officeDocument/2006/relationships/hyperlink" Target="https://msdgovtnz-my.sharepoint.com/personal/tim_garlick004_msd_govt_nz/Documents/Microsoft%20Teams%20Chat%20Files/asf" TargetMode="Externa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yperlink" Target="https://www.sia.govt.nz/assets/Document-Library/Older-people-vulnerability-and-multiple-disadvantage.pdf" TargetMode="External"/><Relationship Id="rId50" Type="http://schemas.openxmlformats.org/officeDocument/2006/relationships/image" Target="media/image28.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hyperlink" Target="https://doi.org/10.1016/j.jrurstud.2023.103413" TargetMode="Externa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yperlink" Target="https://www.stats.govt.nz/information-releases/2023-census-severe-housing-deprivation-homelessness-estimates/" TargetMode="External"/><Relationship Id="rId2" Type="http://schemas.openxmlformats.org/officeDocument/2006/relationships/customXml" Target="../customXml/item2.xml"/><Relationship Id="rId16" Type="http://schemas.openxmlformats.org/officeDocument/2006/relationships/hyperlink" Target="https://www.officeforseniors.govt.nz/assets/Uploads/Impact-of-mid-life-trajectories-on-late-life-wellbeing-Sequence-analysis.pdf"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footer" Target="footer1.xm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2.png"/><Relationship Id="rId87" Type="http://schemas.openxmlformats.org/officeDocument/2006/relationships/hyperlink" Target="https://doi.org/10.1111/ajag.12671" TargetMode="Externa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image" Target="media/image55.png"/><Relationship Id="rId90" Type="http://schemas.openxmlformats.org/officeDocument/2006/relationships/hyperlink" Target="https://www.stats.govt.nz/information-releases/family-and-household-projections-2018base-2043/" TargetMode="External"/><Relationship Id="rId95" Type="http://schemas.openxmlformats.org/officeDocument/2006/relationships/theme" Target="theme/theme1.xml"/><Relationship Id="rId19" Type="http://schemas.openxmlformats.org/officeDocument/2006/relationships/hyperlink" Target="https://www.msd.govt.nz/documents/about-msd-and-our-work/publications-resources/long-term-insights-briefings/meeting-the-future-needs-of-older-maori.pdf" TargetMode="External"/><Relationship Id="rId14" Type="http://schemas.openxmlformats.org/officeDocument/2006/relationships/hyperlink" Target="https://www.msd.govt.nz/about-msd-and-our-work/publications-resources/research/older-people-experiencing-vulnerability-and-multiple-disadvantage-in-new-zealand/older-people-experiencing-vulnerability-and-multiple-disadvantage-in-new-zealand.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msd.govt.nz/documents/about-msd-and-our-work/publications-resources/working-papers/wp-01-25-the-financial-and-material-wellbeing-of-older-new-zealanders.pdf" TargetMode="External"/><Relationship Id="rId48" Type="http://schemas.openxmlformats.org/officeDocument/2006/relationships/hyperlink" Target="https://www.msd.govt.nz/documents/about-msd-and-our-work/publications-resources/long-term-insights-briefings/measuring-vulnerability-and-multiple-disadvantage-among-older-new-zealanders.pdf" TargetMode="Externa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header" Target="header1.xml"/><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hyperlink" Target="https://carers.net.nz/wp-content/uploads/2022/07/State-of-Caring-Report-Aug2022.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sdgovtnz-my.sharepoint.com/personal/tim_garlick004_msd_govt_nz/Documents/Microsoft%20Teams%20Chat%20Files/placeholder"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s://www.msd.govt.nz/documents/about-msd-and-our-work/publications-resources/long-term-insights-briefings/meeting-the-future-needs-of-older-pacific-new-zealanders.pdf" TargetMode="External"/><Relationship Id="rId41" Type="http://schemas.openxmlformats.org/officeDocument/2006/relationships/image" Target="media/image23.png"/><Relationship Id="rId54" Type="http://schemas.openxmlformats.org/officeDocument/2006/relationships/header" Target="header3.xm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https://www.hud.govt.nz/our-work/long-term-insights-briefing-2023" TargetMode="External"/><Relationship Id="rId83" Type="http://schemas.openxmlformats.org/officeDocument/2006/relationships/image" Target="media/image56.png"/><Relationship Id="rId88" Type="http://schemas.openxmlformats.org/officeDocument/2006/relationships/hyperlink" Target="https://www.hud.govt.nz/assets/Uploads/Documents/Long-term-Insights-Briefing/Long-term-Insights-Briefing-2023-PDF-version.pdf" TargetMode="External"/><Relationship Id="rId91" Type="http://schemas.openxmlformats.org/officeDocument/2006/relationships/hyperlink" Target="https://www.stats.govt.nz/information-releases/2023-census-household-family-and-extended-family-highlights/" TargetMode="Externa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sd.govt.nz/documents/about-msd-and-our-work/publications-resources/long-term-insights-briefings/measuring-vulnerability-and-multiple-disadvantage-among-older-new-zealanders.pdf"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hyperlink" Target="https://www.officeforseniors.govt.nz/assets/Uploads/Impact-of-mid-life-trajectories-on-late-life-wellbeing-Sequence-analysis.pdf" TargetMode="External"/><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eader" Target="header2.xm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https://www.health.govt.nz/publications/unlocking-the-potential-of-active-ageing"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aus01.safelinks.protection.outlook.com/?url=https%3A%2F%2Fwww.stats.govt.nz%2Fintegrated-data%2F&amp;data=05%7C02%7CRosie.Anderson026%40msd.govt.nz%7C4a7848bd579d4987a30308ddc34a7cb9%7Ce40c4f5299bd4d4fbf7ed001a2ca6556%7C0%7C0%7C638881446863332500%7CUnknown%7CTWFpbGZsb3d8eyJFbXB0eU1hcGkiOnRydWUsIlYiOiIwLjAuMDAwMCIsIlAiOiJXaW4zMiIsIkFOIjoiTWFpbCIsIldUIjoyfQ%3D%3D%7C0%7C%7C%7C&amp;sdata=GgJkg6zLbPkZELMDByLnlpXrfFnLwsVWxlWvnKPte7E%3D&amp;reserved=0" TargetMode="External"/></Relationships>
</file>

<file path=word/documenttasks/documenttasks1.xml><?xml version="1.0" encoding="utf-8"?>
<t:Tasks xmlns:t="http://schemas.microsoft.com/office/tasks/2019/documenttasks" xmlns:oel="http://schemas.microsoft.com/office/2019/extlst">
  <t:Task id="{C71FEA63-A12B-4712-BC3B-57F6FE17B9AA}">
    <t:Anchor>
      <t:Comment id="739927792"/>
    </t:Anchor>
    <t:History>
      <t:Event id="{9F505EB8-6111-4CAE-93C2-D37FBF53D698}" time="2025-07-10T04:21:04.68Z">
        <t:Attribution userId="S::George.Minton001@msd.govt.nz::16659ca3-14a6-4a5a-97f8-caf41a2f97e8" userProvider="AD" userName="George Minton"/>
        <t:Anchor>
          <t:Comment id="739927792"/>
        </t:Anchor>
        <t:Create/>
      </t:Event>
      <t:Event id="{3E7CBB89-87BF-4E8F-B637-8982228DB125}" time="2025-07-10T04:21:04.68Z">
        <t:Attribution userId="S::George.Minton001@msd.govt.nz::16659ca3-14a6-4a5a-97f8-caf41a2f97e8" userProvider="AD" userName="George Minton"/>
        <t:Anchor>
          <t:Comment id="739927792"/>
        </t:Anchor>
        <t:Assign userId="S::Tim.Garlick004@msd.govt.nz::0a3599e7-bd08-4531-88ec-03177b8a9a69" userProvider="AD" userName="Tim Garlick"/>
      </t:Event>
      <t:Event id="{E14F65E3-9863-421B-855B-645C8D09833A}" time="2025-07-10T04:21:04.68Z">
        <t:Attribution userId="S::George.Minton001@msd.govt.nz::16659ca3-14a6-4a5a-97f8-caf41a2f97e8" userProvider="AD" userName="George Minton"/>
        <t:Anchor>
          <t:Comment id="739927792"/>
        </t:Anchor>
        <t:SetTitle title="@Tim Garlick are these numbers inflation-adjusted? Might be good to indicate either way in the title"/>
      </t:Event>
      <t:Event id="{5A166317-370F-4677-9B24-270DEADF5A77}" time="2025-07-11T04:07:28.358Z">
        <t:Attribution userId="S::Tim.Garlick004@msd.govt.nz::0a3599e7-bd08-4531-88ec-03177b8a9a69" userProvider="AD" userName="Tim Garlic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CA83C5F29E994585CD4CCB46C6F523" ma:contentTypeVersion="9" ma:contentTypeDescription="Create a new document." ma:contentTypeScope="" ma:versionID="15d71cb383621eb1cd3c2f85d0eb8590">
  <xsd:schema xmlns:xsd="http://www.w3.org/2001/XMLSchema" xmlns:xs="http://www.w3.org/2001/XMLSchema" xmlns:p="http://schemas.microsoft.com/office/2006/metadata/properties" xmlns:ns3="efd445ea-faab-431d-91f2-522fe4f90f6b" xmlns:ns4="dff7e2b6-beec-44ea-8e9e-acfd521f5581" targetNamespace="http://schemas.microsoft.com/office/2006/metadata/properties" ma:root="true" ma:fieldsID="2ec081f217d1354378b6972adcdfb567" ns3:_="" ns4:_="">
    <xsd:import namespace="efd445ea-faab-431d-91f2-522fe4f90f6b"/>
    <xsd:import namespace="dff7e2b6-beec-44ea-8e9e-acfd521f5581"/>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445ea-faab-431d-91f2-522fe4f90f6b"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f7e2b6-beec-44ea-8e9e-acfd521f55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fd445ea-faab-431d-91f2-522fe4f90f6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EB21C-6A06-44B4-AC20-4C87C6251958}">
  <ds:schemaRefs>
    <ds:schemaRef ds:uri="http://schemas.openxmlformats.org/officeDocument/2006/bibliography"/>
  </ds:schemaRefs>
</ds:datastoreItem>
</file>

<file path=customXml/itemProps2.xml><?xml version="1.0" encoding="utf-8"?>
<ds:datastoreItem xmlns:ds="http://schemas.openxmlformats.org/officeDocument/2006/customXml" ds:itemID="{BA2C34BA-555B-41B5-AFDC-6D8A0008F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445ea-faab-431d-91f2-522fe4f90f6b"/>
    <ds:schemaRef ds:uri="dff7e2b6-beec-44ea-8e9e-acfd521f5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BA8EF-BF68-49A9-B1B8-5A7CD3C0ACDB}">
  <ds:schemaRefs>
    <ds:schemaRef ds:uri="http://schemas.microsoft.com/office/2006/metadata/properties"/>
    <ds:schemaRef ds:uri="http://schemas.microsoft.com/office/infopath/2007/PartnerControls"/>
    <ds:schemaRef ds:uri="efd445ea-faab-431d-91f2-522fe4f90f6b"/>
  </ds:schemaRefs>
</ds:datastoreItem>
</file>

<file path=customXml/itemProps4.xml><?xml version="1.0" encoding="utf-8"?>
<ds:datastoreItem xmlns:ds="http://schemas.openxmlformats.org/officeDocument/2006/customXml" ds:itemID="{0A697A4D-8FE8-41EC-81C5-CF287CF602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67</Pages>
  <Words>21535</Words>
  <Characters>122753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144001</CharactersWithSpaces>
  <SharedDoc>false</SharedDoc>
  <HLinks>
    <vt:vector size="750" baseType="variant">
      <vt:variant>
        <vt:i4>7995494</vt:i4>
      </vt:variant>
      <vt:variant>
        <vt:i4>786</vt:i4>
      </vt:variant>
      <vt:variant>
        <vt:i4>0</vt:i4>
      </vt:variant>
      <vt:variant>
        <vt:i4>5</vt:i4>
      </vt:variant>
      <vt:variant>
        <vt:lpwstr>https://carers.net.nz/wp-content/uploads/2022/07/State-of-Caring-Report-Aug2022.pdf</vt:lpwstr>
      </vt:variant>
      <vt:variant>
        <vt:lpwstr/>
      </vt:variant>
      <vt:variant>
        <vt:i4>852037</vt:i4>
      </vt:variant>
      <vt:variant>
        <vt:i4>783</vt:i4>
      </vt:variant>
      <vt:variant>
        <vt:i4>0</vt:i4>
      </vt:variant>
      <vt:variant>
        <vt:i4>5</vt:i4>
      </vt:variant>
      <vt:variant>
        <vt:lpwstr>https://www.stats.govt.nz/information-releases/2023-census-severe-housing-deprivation-homelessness-estimates/</vt:lpwstr>
      </vt:variant>
      <vt:variant>
        <vt:lpwstr/>
      </vt:variant>
      <vt:variant>
        <vt:i4>1310799</vt:i4>
      </vt:variant>
      <vt:variant>
        <vt:i4>780</vt:i4>
      </vt:variant>
      <vt:variant>
        <vt:i4>0</vt:i4>
      </vt:variant>
      <vt:variant>
        <vt:i4>5</vt:i4>
      </vt:variant>
      <vt:variant>
        <vt:lpwstr>https://www.stats.govt.nz/information-releases/2023-census-household-family-and-extended-family-highlights/</vt:lpwstr>
      </vt:variant>
      <vt:variant>
        <vt:lpwstr>:~:text=Nearly%201.3%20million%20families%20in%20New%20Zealand,-Overall%2C%20the%20number&amp;text=Couples%20with%20child(ren)%20remained,of%20all%20families%20in%202023.</vt:lpwstr>
      </vt:variant>
      <vt:variant>
        <vt:i4>3014755</vt:i4>
      </vt:variant>
      <vt:variant>
        <vt:i4>777</vt:i4>
      </vt:variant>
      <vt:variant>
        <vt:i4>0</vt:i4>
      </vt:variant>
      <vt:variant>
        <vt:i4>5</vt:i4>
      </vt:variant>
      <vt:variant>
        <vt:lpwstr>https://www.stats.govt.nz/information-releases/family-and-household-projections-2018base-2043/</vt:lpwstr>
      </vt:variant>
      <vt:variant>
        <vt:lpwstr/>
      </vt:variant>
      <vt:variant>
        <vt:i4>3473457</vt:i4>
      </vt:variant>
      <vt:variant>
        <vt:i4>774</vt:i4>
      </vt:variant>
      <vt:variant>
        <vt:i4>0</vt:i4>
      </vt:variant>
      <vt:variant>
        <vt:i4>5</vt:i4>
      </vt:variant>
      <vt:variant>
        <vt:lpwstr>https://doi.org/10.1016/j.jrurstud.2023.103413</vt:lpwstr>
      </vt:variant>
      <vt:variant>
        <vt:lpwstr/>
      </vt:variant>
      <vt:variant>
        <vt:i4>458836</vt:i4>
      </vt:variant>
      <vt:variant>
        <vt:i4>771</vt:i4>
      </vt:variant>
      <vt:variant>
        <vt:i4>0</vt:i4>
      </vt:variant>
      <vt:variant>
        <vt:i4>5</vt:i4>
      </vt:variant>
      <vt:variant>
        <vt:lpwstr>https://www.hud.govt.nz/assets/Uploads/Documents/Long-term-Insights-Briefing/Long-term-Insights-Briefing-2023-PDF-version.pdf</vt:lpwstr>
      </vt:variant>
      <vt:variant>
        <vt:lpwstr/>
      </vt:variant>
      <vt:variant>
        <vt:i4>2687089</vt:i4>
      </vt:variant>
      <vt:variant>
        <vt:i4>768</vt:i4>
      </vt:variant>
      <vt:variant>
        <vt:i4>0</vt:i4>
      </vt:variant>
      <vt:variant>
        <vt:i4>5</vt:i4>
      </vt:variant>
      <vt:variant>
        <vt:lpwstr>https://doi.org/10.1111/ajag.12671</vt:lpwstr>
      </vt:variant>
      <vt:variant>
        <vt:lpwstr/>
      </vt:variant>
      <vt:variant>
        <vt:i4>1179699</vt:i4>
      </vt:variant>
      <vt:variant>
        <vt:i4>761</vt:i4>
      </vt:variant>
      <vt:variant>
        <vt:i4>0</vt:i4>
      </vt:variant>
      <vt:variant>
        <vt:i4>5</vt:i4>
      </vt:variant>
      <vt:variant>
        <vt:lpwstr/>
      </vt:variant>
      <vt:variant>
        <vt:lpwstr>_Toc203122069</vt:lpwstr>
      </vt:variant>
      <vt:variant>
        <vt:i4>1179699</vt:i4>
      </vt:variant>
      <vt:variant>
        <vt:i4>755</vt:i4>
      </vt:variant>
      <vt:variant>
        <vt:i4>0</vt:i4>
      </vt:variant>
      <vt:variant>
        <vt:i4>5</vt:i4>
      </vt:variant>
      <vt:variant>
        <vt:lpwstr/>
      </vt:variant>
      <vt:variant>
        <vt:lpwstr>_Toc203122068</vt:lpwstr>
      </vt:variant>
      <vt:variant>
        <vt:i4>1179699</vt:i4>
      </vt:variant>
      <vt:variant>
        <vt:i4>749</vt:i4>
      </vt:variant>
      <vt:variant>
        <vt:i4>0</vt:i4>
      </vt:variant>
      <vt:variant>
        <vt:i4>5</vt:i4>
      </vt:variant>
      <vt:variant>
        <vt:lpwstr/>
      </vt:variant>
      <vt:variant>
        <vt:lpwstr>_Toc203122067</vt:lpwstr>
      </vt:variant>
      <vt:variant>
        <vt:i4>1179699</vt:i4>
      </vt:variant>
      <vt:variant>
        <vt:i4>743</vt:i4>
      </vt:variant>
      <vt:variant>
        <vt:i4>0</vt:i4>
      </vt:variant>
      <vt:variant>
        <vt:i4>5</vt:i4>
      </vt:variant>
      <vt:variant>
        <vt:lpwstr/>
      </vt:variant>
      <vt:variant>
        <vt:lpwstr>_Toc203122066</vt:lpwstr>
      </vt:variant>
      <vt:variant>
        <vt:i4>1179699</vt:i4>
      </vt:variant>
      <vt:variant>
        <vt:i4>737</vt:i4>
      </vt:variant>
      <vt:variant>
        <vt:i4>0</vt:i4>
      </vt:variant>
      <vt:variant>
        <vt:i4>5</vt:i4>
      </vt:variant>
      <vt:variant>
        <vt:lpwstr/>
      </vt:variant>
      <vt:variant>
        <vt:lpwstr>_Toc203122065</vt:lpwstr>
      </vt:variant>
      <vt:variant>
        <vt:i4>1179699</vt:i4>
      </vt:variant>
      <vt:variant>
        <vt:i4>731</vt:i4>
      </vt:variant>
      <vt:variant>
        <vt:i4>0</vt:i4>
      </vt:variant>
      <vt:variant>
        <vt:i4>5</vt:i4>
      </vt:variant>
      <vt:variant>
        <vt:lpwstr/>
      </vt:variant>
      <vt:variant>
        <vt:lpwstr>_Toc203122064</vt:lpwstr>
      </vt:variant>
      <vt:variant>
        <vt:i4>1179699</vt:i4>
      </vt:variant>
      <vt:variant>
        <vt:i4>725</vt:i4>
      </vt:variant>
      <vt:variant>
        <vt:i4>0</vt:i4>
      </vt:variant>
      <vt:variant>
        <vt:i4>5</vt:i4>
      </vt:variant>
      <vt:variant>
        <vt:lpwstr/>
      </vt:variant>
      <vt:variant>
        <vt:lpwstr>_Toc203122063</vt:lpwstr>
      </vt:variant>
      <vt:variant>
        <vt:i4>1179699</vt:i4>
      </vt:variant>
      <vt:variant>
        <vt:i4>719</vt:i4>
      </vt:variant>
      <vt:variant>
        <vt:i4>0</vt:i4>
      </vt:variant>
      <vt:variant>
        <vt:i4>5</vt:i4>
      </vt:variant>
      <vt:variant>
        <vt:lpwstr/>
      </vt:variant>
      <vt:variant>
        <vt:lpwstr>_Toc203122062</vt:lpwstr>
      </vt:variant>
      <vt:variant>
        <vt:i4>1179699</vt:i4>
      </vt:variant>
      <vt:variant>
        <vt:i4>713</vt:i4>
      </vt:variant>
      <vt:variant>
        <vt:i4>0</vt:i4>
      </vt:variant>
      <vt:variant>
        <vt:i4>5</vt:i4>
      </vt:variant>
      <vt:variant>
        <vt:lpwstr/>
      </vt:variant>
      <vt:variant>
        <vt:lpwstr>_Toc203122061</vt:lpwstr>
      </vt:variant>
      <vt:variant>
        <vt:i4>1179699</vt:i4>
      </vt:variant>
      <vt:variant>
        <vt:i4>707</vt:i4>
      </vt:variant>
      <vt:variant>
        <vt:i4>0</vt:i4>
      </vt:variant>
      <vt:variant>
        <vt:i4>5</vt:i4>
      </vt:variant>
      <vt:variant>
        <vt:lpwstr/>
      </vt:variant>
      <vt:variant>
        <vt:lpwstr>_Toc203122060</vt:lpwstr>
      </vt:variant>
      <vt:variant>
        <vt:i4>1114163</vt:i4>
      </vt:variant>
      <vt:variant>
        <vt:i4>701</vt:i4>
      </vt:variant>
      <vt:variant>
        <vt:i4>0</vt:i4>
      </vt:variant>
      <vt:variant>
        <vt:i4>5</vt:i4>
      </vt:variant>
      <vt:variant>
        <vt:lpwstr/>
      </vt:variant>
      <vt:variant>
        <vt:lpwstr>_Toc203122059</vt:lpwstr>
      </vt:variant>
      <vt:variant>
        <vt:i4>1114163</vt:i4>
      </vt:variant>
      <vt:variant>
        <vt:i4>695</vt:i4>
      </vt:variant>
      <vt:variant>
        <vt:i4>0</vt:i4>
      </vt:variant>
      <vt:variant>
        <vt:i4>5</vt:i4>
      </vt:variant>
      <vt:variant>
        <vt:lpwstr/>
      </vt:variant>
      <vt:variant>
        <vt:lpwstr>_Toc203122058</vt:lpwstr>
      </vt:variant>
      <vt:variant>
        <vt:i4>1114163</vt:i4>
      </vt:variant>
      <vt:variant>
        <vt:i4>689</vt:i4>
      </vt:variant>
      <vt:variant>
        <vt:i4>0</vt:i4>
      </vt:variant>
      <vt:variant>
        <vt:i4>5</vt:i4>
      </vt:variant>
      <vt:variant>
        <vt:lpwstr/>
      </vt:variant>
      <vt:variant>
        <vt:lpwstr>_Toc203122057</vt:lpwstr>
      </vt:variant>
      <vt:variant>
        <vt:i4>1114163</vt:i4>
      </vt:variant>
      <vt:variant>
        <vt:i4>683</vt:i4>
      </vt:variant>
      <vt:variant>
        <vt:i4>0</vt:i4>
      </vt:variant>
      <vt:variant>
        <vt:i4>5</vt:i4>
      </vt:variant>
      <vt:variant>
        <vt:lpwstr/>
      </vt:variant>
      <vt:variant>
        <vt:lpwstr>_Toc203122056</vt:lpwstr>
      </vt:variant>
      <vt:variant>
        <vt:i4>1114163</vt:i4>
      </vt:variant>
      <vt:variant>
        <vt:i4>677</vt:i4>
      </vt:variant>
      <vt:variant>
        <vt:i4>0</vt:i4>
      </vt:variant>
      <vt:variant>
        <vt:i4>5</vt:i4>
      </vt:variant>
      <vt:variant>
        <vt:lpwstr/>
      </vt:variant>
      <vt:variant>
        <vt:lpwstr>_Toc203122055</vt:lpwstr>
      </vt:variant>
      <vt:variant>
        <vt:i4>1114163</vt:i4>
      </vt:variant>
      <vt:variant>
        <vt:i4>671</vt:i4>
      </vt:variant>
      <vt:variant>
        <vt:i4>0</vt:i4>
      </vt:variant>
      <vt:variant>
        <vt:i4>5</vt:i4>
      </vt:variant>
      <vt:variant>
        <vt:lpwstr/>
      </vt:variant>
      <vt:variant>
        <vt:lpwstr>_Toc203122054</vt:lpwstr>
      </vt:variant>
      <vt:variant>
        <vt:i4>1114163</vt:i4>
      </vt:variant>
      <vt:variant>
        <vt:i4>665</vt:i4>
      </vt:variant>
      <vt:variant>
        <vt:i4>0</vt:i4>
      </vt:variant>
      <vt:variant>
        <vt:i4>5</vt:i4>
      </vt:variant>
      <vt:variant>
        <vt:lpwstr/>
      </vt:variant>
      <vt:variant>
        <vt:lpwstr>_Toc203122053</vt:lpwstr>
      </vt:variant>
      <vt:variant>
        <vt:i4>1114163</vt:i4>
      </vt:variant>
      <vt:variant>
        <vt:i4>659</vt:i4>
      </vt:variant>
      <vt:variant>
        <vt:i4>0</vt:i4>
      </vt:variant>
      <vt:variant>
        <vt:i4>5</vt:i4>
      </vt:variant>
      <vt:variant>
        <vt:lpwstr/>
      </vt:variant>
      <vt:variant>
        <vt:lpwstr>_Toc203122052</vt:lpwstr>
      </vt:variant>
      <vt:variant>
        <vt:i4>1114163</vt:i4>
      </vt:variant>
      <vt:variant>
        <vt:i4>653</vt:i4>
      </vt:variant>
      <vt:variant>
        <vt:i4>0</vt:i4>
      </vt:variant>
      <vt:variant>
        <vt:i4>5</vt:i4>
      </vt:variant>
      <vt:variant>
        <vt:lpwstr/>
      </vt:variant>
      <vt:variant>
        <vt:lpwstr>_Toc203122051</vt:lpwstr>
      </vt:variant>
      <vt:variant>
        <vt:i4>1114163</vt:i4>
      </vt:variant>
      <vt:variant>
        <vt:i4>647</vt:i4>
      </vt:variant>
      <vt:variant>
        <vt:i4>0</vt:i4>
      </vt:variant>
      <vt:variant>
        <vt:i4>5</vt:i4>
      </vt:variant>
      <vt:variant>
        <vt:lpwstr/>
      </vt:variant>
      <vt:variant>
        <vt:lpwstr>_Toc203122050</vt:lpwstr>
      </vt:variant>
      <vt:variant>
        <vt:i4>1048627</vt:i4>
      </vt:variant>
      <vt:variant>
        <vt:i4>641</vt:i4>
      </vt:variant>
      <vt:variant>
        <vt:i4>0</vt:i4>
      </vt:variant>
      <vt:variant>
        <vt:i4>5</vt:i4>
      </vt:variant>
      <vt:variant>
        <vt:lpwstr/>
      </vt:variant>
      <vt:variant>
        <vt:lpwstr>_Toc203122049</vt:lpwstr>
      </vt:variant>
      <vt:variant>
        <vt:i4>1048627</vt:i4>
      </vt:variant>
      <vt:variant>
        <vt:i4>635</vt:i4>
      </vt:variant>
      <vt:variant>
        <vt:i4>0</vt:i4>
      </vt:variant>
      <vt:variant>
        <vt:i4>5</vt:i4>
      </vt:variant>
      <vt:variant>
        <vt:lpwstr/>
      </vt:variant>
      <vt:variant>
        <vt:lpwstr>_Toc203122048</vt:lpwstr>
      </vt:variant>
      <vt:variant>
        <vt:i4>1048627</vt:i4>
      </vt:variant>
      <vt:variant>
        <vt:i4>629</vt:i4>
      </vt:variant>
      <vt:variant>
        <vt:i4>0</vt:i4>
      </vt:variant>
      <vt:variant>
        <vt:i4>5</vt:i4>
      </vt:variant>
      <vt:variant>
        <vt:lpwstr/>
      </vt:variant>
      <vt:variant>
        <vt:lpwstr>_Toc203122047</vt:lpwstr>
      </vt:variant>
      <vt:variant>
        <vt:i4>1048627</vt:i4>
      </vt:variant>
      <vt:variant>
        <vt:i4>623</vt:i4>
      </vt:variant>
      <vt:variant>
        <vt:i4>0</vt:i4>
      </vt:variant>
      <vt:variant>
        <vt:i4>5</vt:i4>
      </vt:variant>
      <vt:variant>
        <vt:lpwstr/>
      </vt:variant>
      <vt:variant>
        <vt:lpwstr>_Toc203122046</vt:lpwstr>
      </vt:variant>
      <vt:variant>
        <vt:i4>1048627</vt:i4>
      </vt:variant>
      <vt:variant>
        <vt:i4>617</vt:i4>
      </vt:variant>
      <vt:variant>
        <vt:i4>0</vt:i4>
      </vt:variant>
      <vt:variant>
        <vt:i4>5</vt:i4>
      </vt:variant>
      <vt:variant>
        <vt:lpwstr/>
      </vt:variant>
      <vt:variant>
        <vt:lpwstr>_Toc203122045</vt:lpwstr>
      </vt:variant>
      <vt:variant>
        <vt:i4>1048627</vt:i4>
      </vt:variant>
      <vt:variant>
        <vt:i4>611</vt:i4>
      </vt:variant>
      <vt:variant>
        <vt:i4>0</vt:i4>
      </vt:variant>
      <vt:variant>
        <vt:i4>5</vt:i4>
      </vt:variant>
      <vt:variant>
        <vt:lpwstr/>
      </vt:variant>
      <vt:variant>
        <vt:lpwstr>_Toc203122044</vt:lpwstr>
      </vt:variant>
      <vt:variant>
        <vt:i4>1048627</vt:i4>
      </vt:variant>
      <vt:variant>
        <vt:i4>605</vt:i4>
      </vt:variant>
      <vt:variant>
        <vt:i4>0</vt:i4>
      </vt:variant>
      <vt:variant>
        <vt:i4>5</vt:i4>
      </vt:variant>
      <vt:variant>
        <vt:lpwstr/>
      </vt:variant>
      <vt:variant>
        <vt:lpwstr>_Toc203122043</vt:lpwstr>
      </vt:variant>
      <vt:variant>
        <vt:i4>1048627</vt:i4>
      </vt:variant>
      <vt:variant>
        <vt:i4>599</vt:i4>
      </vt:variant>
      <vt:variant>
        <vt:i4>0</vt:i4>
      </vt:variant>
      <vt:variant>
        <vt:i4>5</vt:i4>
      </vt:variant>
      <vt:variant>
        <vt:lpwstr/>
      </vt:variant>
      <vt:variant>
        <vt:lpwstr>_Toc203122042</vt:lpwstr>
      </vt:variant>
      <vt:variant>
        <vt:i4>1048627</vt:i4>
      </vt:variant>
      <vt:variant>
        <vt:i4>593</vt:i4>
      </vt:variant>
      <vt:variant>
        <vt:i4>0</vt:i4>
      </vt:variant>
      <vt:variant>
        <vt:i4>5</vt:i4>
      </vt:variant>
      <vt:variant>
        <vt:lpwstr/>
      </vt:variant>
      <vt:variant>
        <vt:lpwstr>_Toc203122041</vt:lpwstr>
      </vt:variant>
      <vt:variant>
        <vt:i4>1048627</vt:i4>
      </vt:variant>
      <vt:variant>
        <vt:i4>587</vt:i4>
      </vt:variant>
      <vt:variant>
        <vt:i4>0</vt:i4>
      </vt:variant>
      <vt:variant>
        <vt:i4>5</vt:i4>
      </vt:variant>
      <vt:variant>
        <vt:lpwstr/>
      </vt:variant>
      <vt:variant>
        <vt:lpwstr>_Toc203122040</vt:lpwstr>
      </vt:variant>
      <vt:variant>
        <vt:i4>1507379</vt:i4>
      </vt:variant>
      <vt:variant>
        <vt:i4>581</vt:i4>
      </vt:variant>
      <vt:variant>
        <vt:i4>0</vt:i4>
      </vt:variant>
      <vt:variant>
        <vt:i4>5</vt:i4>
      </vt:variant>
      <vt:variant>
        <vt:lpwstr/>
      </vt:variant>
      <vt:variant>
        <vt:lpwstr>_Toc203122039</vt:lpwstr>
      </vt:variant>
      <vt:variant>
        <vt:i4>1507379</vt:i4>
      </vt:variant>
      <vt:variant>
        <vt:i4>575</vt:i4>
      </vt:variant>
      <vt:variant>
        <vt:i4>0</vt:i4>
      </vt:variant>
      <vt:variant>
        <vt:i4>5</vt:i4>
      </vt:variant>
      <vt:variant>
        <vt:lpwstr/>
      </vt:variant>
      <vt:variant>
        <vt:lpwstr>_Toc203122038</vt:lpwstr>
      </vt:variant>
      <vt:variant>
        <vt:i4>1507379</vt:i4>
      </vt:variant>
      <vt:variant>
        <vt:i4>569</vt:i4>
      </vt:variant>
      <vt:variant>
        <vt:i4>0</vt:i4>
      </vt:variant>
      <vt:variant>
        <vt:i4>5</vt:i4>
      </vt:variant>
      <vt:variant>
        <vt:lpwstr/>
      </vt:variant>
      <vt:variant>
        <vt:lpwstr>_Toc203122037</vt:lpwstr>
      </vt:variant>
      <vt:variant>
        <vt:i4>1507379</vt:i4>
      </vt:variant>
      <vt:variant>
        <vt:i4>563</vt:i4>
      </vt:variant>
      <vt:variant>
        <vt:i4>0</vt:i4>
      </vt:variant>
      <vt:variant>
        <vt:i4>5</vt:i4>
      </vt:variant>
      <vt:variant>
        <vt:lpwstr/>
      </vt:variant>
      <vt:variant>
        <vt:lpwstr>_Toc203122036</vt:lpwstr>
      </vt:variant>
      <vt:variant>
        <vt:i4>1507379</vt:i4>
      </vt:variant>
      <vt:variant>
        <vt:i4>557</vt:i4>
      </vt:variant>
      <vt:variant>
        <vt:i4>0</vt:i4>
      </vt:variant>
      <vt:variant>
        <vt:i4>5</vt:i4>
      </vt:variant>
      <vt:variant>
        <vt:lpwstr/>
      </vt:variant>
      <vt:variant>
        <vt:lpwstr>_Toc203122035</vt:lpwstr>
      </vt:variant>
      <vt:variant>
        <vt:i4>1507379</vt:i4>
      </vt:variant>
      <vt:variant>
        <vt:i4>551</vt:i4>
      </vt:variant>
      <vt:variant>
        <vt:i4>0</vt:i4>
      </vt:variant>
      <vt:variant>
        <vt:i4>5</vt:i4>
      </vt:variant>
      <vt:variant>
        <vt:lpwstr/>
      </vt:variant>
      <vt:variant>
        <vt:lpwstr>_Toc203122034</vt:lpwstr>
      </vt:variant>
      <vt:variant>
        <vt:i4>1507379</vt:i4>
      </vt:variant>
      <vt:variant>
        <vt:i4>545</vt:i4>
      </vt:variant>
      <vt:variant>
        <vt:i4>0</vt:i4>
      </vt:variant>
      <vt:variant>
        <vt:i4>5</vt:i4>
      </vt:variant>
      <vt:variant>
        <vt:lpwstr/>
      </vt:variant>
      <vt:variant>
        <vt:lpwstr>_Toc203122033</vt:lpwstr>
      </vt:variant>
      <vt:variant>
        <vt:i4>1507379</vt:i4>
      </vt:variant>
      <vt:variant>
        <vt:i4>539</vt:i4>
      </vt:variant>
      <vt:variant>
        <vt:i4>0</vt:i4>
      </vt:variant>
      <vt:variant>
        <vt:i4>5</vt:i4>
      </vt:variant>
      <vt:variant>
        <vt:lpwstr/>
      </vt:variant>
      <vt:variant>
        <vt:lpwstr>_Toc203122032</vt:lpwstr>
      </vt:variant>
      <vt:variant>
        <vt:i4>1507379</vt:i4>
      </vt:variant>
      <vt:variant>
        <vt:i4>533</vt:i4>
      </vt:variant>
      <vt:variant>
        <vt:i4>0</vt:i4>
      </vt:variant>
      <vt:variant>
        <vt:i4>5</vt:i4>
      </vt:variant>
      <vt:variant>
        <vt:lpwstr/>
      </vt:variant>
      <vt:variant>
        <vt:lpwstr>_Toc203122031</vt:lpwstr>
      </vt:variant>
      <vt:variant>
        <vt:i4>1507379</vt:i4>
      </vt:variant>
      <vt:variant>
        <vt:i4>527</vt:i4>
      </vt:variant>
      <vt:variant>
        <vt:i4>0</vt:i4>
      </vt:variant>
      <vt:variant>
        <vt:i4>5</vt:i4>
      </vt:variant>
      <vt:variant>
        <vt:lpwstr/>
      </vt:variant>
      <vt:variant>
        <vt:lpwstr>_Toc203122030</vt:lpwstr>
      </vt:variant>
      <vt:variant>
        <vt:i4>1441843</vt:i4>
      </vt:variant>
      <vt:variant>
        <vt:i4>521</vt:i4>
      </vt:variant>
      <vt:variant>
        <vt:i4>0</vt:i4>
      </vt:variant>
      <vt:variant>
        <vt:i4>5</vt:i4>
      </vt:variant>
      <vt:variant>
        <vt:lpwstr/>
      </vt:variant>
      <vt:variant>
        <vt:lpwstr>_Toc203122029</vt:lpwstr>
      </vt:variant>
      <vt:variant>
        <vt:i4>1441843</vt:i4>
      </vt:variant>
      <vt:variant>
        <vt:i4>515</vt:i4>
      </vt:variant>
      <vt:variant>
        <vt:i4>0</vt:i4>
      </vt:variant>
      <vt:variant>
        <vt:i4>5</vt:i4>
      </vt:variant>
      <vt:variant>
        <vt:lpwstr/>
      </vt:variant>
      <vt:variant>
        <vt:lpwstr>_Toc203122028</vt:lpwstr>
      </vt:variant>
      <vt:variant>
        <vt:i4>1441843</vt:i4>
      </vt:variant>
      <vt:variant>
        <vt:i4>509</vt:i4>
      </vt:variant>
      <vt:variant>
        <vt:i4>0</vt:i4>
      </vt:variant>
      <vt:variant>
        <vt:i4>5</vt:i4>
      </vt:variant>
      <vt:variant>
        <vt:lpwstr/>
      </vt:variant>
      <vt:variant>
        <vt:lpwstr>_Toc203122027</vt:lpwstr>
      </vt:variant>
      <vt:variant>
        <vt:i4>1441843</vt:i4>
      </vt:variant>
      <vt:variant>
        <vt:i4>503</vt:i4>
      </vt:variant>
      <vt:variant>
        <vt:i4>0</vt:i4>
      </vt:variant>
      <vt:variant>
        <vt:i4>5</vt:i4>
      </vt:variant>
      <vt:variant>
        <vt:lpwstr/>
      </vt:variant>
      <vt:variant>
        <vt:lpwstr>_Toc203122026</vt:lpwstr>
      </vt:variant>
      <vt:variant>
        <vt:i4>1441843</vt:i4>
      </vt:variant>
      <vt:variant>
        <vt:i4>497</vt:i4>
      </vt:variant>
      <vt:variant>
        <vt:i4>0</vt:i4>
      </vt:variant>
      <vt:variant>
        <vt:i4>5</vt:i4>
      </vt:variant>
      <vt:variant>
        <vt:lpwstr/>
      </vt:variant>
      <vt:variant>
        <vt:lpwstr>_Toc203122025</vt:lpwstr>
      </vt:variant>
      <vt:variant>
        <vt:i4>1441843</vt:i4>
      </vt:variant>
      <vt:variant>
        <vt:i4>491</vt:i4>
      </vt:variant>
      <vt:variant>
        <vt:i4>0</vt:i4>
      </vt:variant>
      <vt:variant>
        <vt:i4>5</vt:i4>
      </vt:variant>
      <vt:variant>
        <vt:lpwstr/>
      </vt:variant>
      <vt:variant>
        <vt:lpwstr>_Toc203122024</vt:lpwstr>
      </vt:variant>
      <vt:variant>
        <vt:i4>1441843</vt:i4>
      </vt:variant>
      <vt:variant>
        <vt:i4>485</vt:i4>
      </vt:variant>
      <vt:variant>
        <vt:i4>0</vt:i4>
      </vt:variant>
      <vt:variant>
        <vt:i4>5</vt:i4>
      </vt:variant>
      <vt:variant>
        <vt:lpwstr/>
      </vt:variant>
      <vt:variant>
        <vt:lpwstr>_Toc203122023</vt:lpwstr>
      </vt:variant>
      <vt:variant>
        <vt:i4>1441843</vt:i4>
      </vt:variant>
      <vt:variant>
        <vt:i4>479</vt:i4>
      </vt:variant>
      <vt:variant>
        <vt:i4>0</vt:i4>
      </vt:variant>
      <vt:variant>
        <vt:i4>5</vt:i4>
      </vt:variant>
      <vt:variant>
        <vt:lpwstr/>
      </vt:variant>
      <vt:variant>
        <vt:lpwstr>_Toc203122022</vt:lpwstr>
      </vt:variant>
      <vt:variant>
        <vt:i4>1441843</vt:i4>
      </vt:variant>
      <vt:variant>
        <vt:i4>473</vt:i4>
      </vt:variant>
      <vt:variant>
        <vt:i4>0</vt:i4>
      </vt:variant>
      <vt:variant>
        <vt:i4>5</vt:i4>
      </vt:variant>
      <vt:variant>
        <vt:lpwstr/>
      </vt:variant>
      <vt:variant>
        <vt:lpwstr>_Toc203122021</vt:lpwstr>
      </vt:variant>
      <vt:variant>
        <vt:i4>1441843</vt:i4>
      </vt:variant>
      <vt:variant>
        <vt:i4>467</vt:i4>
      </vt:variant>
      <vt:variant>
        <vt:i4>0</vt:i4>
      </vt:variant>
      <vt:variant>
        <vt:i4>5</vt:i4>
      </vt:variant>
      <vt:variant>
        <vt:lpwstr/>
      </vt:variant>
      <vt:variant>
        <vt:lpwstr>_Toc203122020</vt:lpwstr>
      </vt:variant>
      <vt:variant>
        <vt:i4>1376307</vt:i4>
      </vt:variant>
      <vt:variant>
        <vt:i4>458</vt:i4>
      </vt:variant>
      <vt:variant>
        <vt:i4>0</vt:i4>
      </vt:variant>
      <vt:variant>
        <vt:i4>5</vt:i4>
      </vt:variant>
      <vt:variant>
        <vt:lpwstr/>
      </vt:variant>
      <vt:variant>
        <vt:lpwstr>_Toc203122019</vt:lpwstr>
      </vt:variant>
      <vt:variant>
        <vt:i4>1376307</vt:i4>
      </vt:variant>
      <vt:variant>
        <vt:i4>452</vt:i4>
      </vt:variant>
      <vt:variant>
        <vt:i4>0</vt:i4>
      </vt:variant>
      <vt:variant>
        <vt:i4>5</vt:i4>
      </vt:variant>
      <vt:variant>
        <vt:lpwstr/>
      </vt:variant>
      <vt:variant>
        <vt:lpwstr>_Toc203122018</vt:lpwstr>
      </vt:variant>
      <vt:variant>
        <vt:i4>1376307</vt:i4>
      </vt:variant>
      <vt:variant>
        <vt:i4>446</vt:i4>
      </vt:variant>
      <vt:variant>
        <vt:i4>0</vt:i4>
      </vt:variant>
      <vt:variant>
        <vt:i4>5</vt:i4>
      </vt:variant>
      <vt:variant>
        <vt:lpwstr/>
      </vt:variant>
      <vt:variant>
        <vt:lpwstr>_Toc203122017</vt:lpwstr>
      </vt:variant>
      <vt:variant>
        <vt:i4>1376307</vt:i4>
      </vt:variant>
      <vt:variant>
        <vt:i4>440</vt:i4>
      </vt:variant>
      <vt:variant>
        <vt:i4>0</vt:i4>
      </vt:variant>
      <vt:variant>
        <vt:i4>5</vt:i4>
      </vt:variant>
      <vt:variant>
        <vt:lpwstr/>
      </vt:variant>
      <vt:variant>
        <vt:lpwstr>_Toc203122016</vt:lpwstr>
      </vt:variant>
      <vt:variant>
        <vt:i4>1376307</vt:i4>
      </vt:variant>
      <vt:variant>
        <vt:i4>434</vt:i4>
      </vt:variant>
      <vt:variant>
        <vt:i4>0</vt:i4>
      </vt:variant>
      <vt:variant>
        <vt:i4>5</vt:i4>
      </vt:variant>
      <vt:variant>
        <vt:lpwstr/>
      </vt:variant>
      <vt:variant>
        <vt:lpwstr>_Toc203122015</vt:lpwstr>
      </vt:variant>
      <vt:variant>
        <vt:i4>4259862</vt:i4>
      </vt:variant>
      <vt:variant>
        <vt:i4>429</vt:i4>
      </vt:variant>
      <vt:variant>
        <vt:i4>0</vt:i4>
      </vt:variant>
      <vt:variant>
        <vt:i4>5</vt:i4>
      </vt:variant>
      <vt:variant>
        <vt:lpwstr>https://www.health.govt.nz/publications/unlocking-the-potential-of-active-ageing</vt:lpwstr>
      </vt:variant>
      <vt:variant>
        <vt:lpwstr/>
      </vt:variant>
      <vt:variant>
        <vt:i4>983071</vt:i4>
      </vt:variant>
      <vt:variant>
        <vt:i4>396</vt:i4>
      </vt:variant>
      <vt:variant>
        <vt:i4>0</vt:i4>
      </vt:variant>
      <vt:variant>
        <vt:i4>5</vt:i4>
      </vt:variant>
      <vt:variant>
        <vt:lpwstr>https://www.hud.govt.nz/our-work/long-term-insights-briefing-2023</vt:lpwstr>
      </vt:variant>
      <vt:variant>
        <vt:lpwstr/>
      </vt:variant>
      <vt:variant>
        <vt:i4>4325446</vt:i4>
      </vt:variant>
      <vt:variant>
        <vt:i4>324</vt:i4>
      </vt:variant>
      <vt:variant>
        <vt:i4>0</vt:i4>
      </vt:variant>
      <vt:variant>
        <vt:i4>5</vt:i4>
      </vt:variant>
      <vt:variant>
        <vt:lpwstr>https://www.sia.govt.nz/assets/Document-Library/Older-people-vulnerability-and-multiple-disadvantage.pdf</vt:lpwstr>
      </vt:variant>
      <vt:variant>
        <vt:lpwstr/>
      </vt:variant>
      <vt:variant>
        <vt:i4>1179721</vt:i4>
      </vt:variant>
      <vt:variant>
        <vt:i4>261</vt:i4>
      </vt:variant>
      <vt:variant>
        <vt:i4>0</vt:i4>
      </vt:variant>
      <vt:variant>
        <vt:i4>5</vt:i4>
      </vt:variant>
      <vt:variant>
        <vt:lpwstr>https://msdgovtnz-my.sharepoint.com/personal/tim_garlick004_msd_govt_nz/Documents/Microsoft Teams Chat Files/asf</vt:lpwstr>
      </vt:variant>
      <vt:variant>
        <vt:lpwstr/>
      </vt:variant>
      <vt:variant>
        <vt:i4>1572948</vt:i4>
      </vt:variant>
      <vt:variant>
        <vt:i4>258</vt:i4>
      </vt:variant>
      <vt:variant>
        <vt:i4>0</vt:i4>
      </vt:variant>
      <vt:variant>
        <vt:i4>5</vt:i4>
      </vt:variant>
      <vt:variant>
        <vt:lpwstr>https://msdgovtnz-my.sharepoint.com/personal/tim_garlick004_msd_govt_nz/Documents/Microsoft Teams Chat Files/placeholder</vt:lpwstr>
      </vt:variant>
      <vt:variant>
        <vt:lpwstr/>
      </vt:variant>
      <vt:variant>
        <vt:i4>8192055</vt:i4>
      </vt:variant>
      <vt:variant>
        <vt:i4>255</vt:i4>
      </vt:variant>
      <vt:variant>
        <vt:i4>0</vt:i4>
      </vt:variant>
      <vt:variant>
        <vt:i4>5</vt:i4>
      </vt:variant>
      <vt:variant>
        <vt:lpwstr>https://msdgovtnz-my.sharepoint.com/personal/tim_garlick004_msd_govt_nz/Documents/Microsoft Teams Chat Files/%5bplaceholder%5d</vt:lpwstr>
      </vt:variant>
      <vt:variant>
        <vt:lpwstr/>
      </vt:variant>
      <vt:variant>
        <vt:i4>1835062</vt:i4>
      </vt:variant>
      <vt:variant>
        <vt:i4>248</vt:i4>
      </vt:variant>
      <vt:variant>
        <vt:i4>0</vt:i4>
      </vt:variant>
      <vt:variant>
        <vt:i4>5</vt:i4>
      </vt:variant>
      <vt:variant>
        <vt:lpwstr/>
      </vt:variant>
      <vt:variant>
        <vt:lpwstr>_Toc201913418</vt:lpwstr>
      </vt:variant>
      <vt:variant>
        <vt:i4>1835062</vt:i4>
      </vt:variant>
      <vt:variant>
        <vt:i4>242</vt:i4>
      </vt:variant>
      <vt:variant>
        <vt:i4>0</vt:i4>
      </vt:variant>
      <vt:variant>
        <vt:i4>5</vt:i4>
      </vt:variant>
      <vt:variant>
        <vt:lpwstr/>
      </vt:variant>
      <vt:variant>
        <vt:lpwstr>_Toc201913417</vt:lpwstr>
      </vt:variant>
      <vt:variant>
        <vt:i4>1835062</vt:i4>
      </vt:variant>
      <vt:variant>
        <vt:i4>236</vt:i4>
      </vt:variant>
      <vt:variant>
        <vt:i4>0</vt:i4>
      </vt:variant>
      <vt:variant>
        <vt:i4>5</vt:i4>
      </vt:variant>
      <vt:variant>
        <vt:lpwstr/>
      </vt:variant>
      <vt:variant>
        <vt:lpwstr>_Toc201913416</vt:lpwstr>
      </vt:variant>
      <vt:variant>
        <vt:i4>1835062</vt:i4>
      </vt:variant>
      <vt:variant>
        <vt:i4>230</vt:i4>
      </vt:variant>
      <vt:variant>
        <vt:i4>0</vt:i4>
      </vt:variant>
      <vt:variant>
        <vt:i4>5</vt:i4>
      </vt:variant>
      <vt:variant>
        <vt:lpwstr/>
      </vt:variant>
      <vt:variant>
        <vt:lpwstr>_Toc201913415</vt:lpwstr>
      </vt:variant>
      <vt:variant>
        <vt:i4>1835062</vt:i4>
      </vt:variant>
      <vt:variant>
        <vt:i4>224</vt:i4>
      </vt:variant>
      <vt:variant>
        <vt:i4>0</vt:i4>
      </vt:variant>
      <vt:variant>
        <vt:i4>5</vt:i4>
      </vt:variant>
      <vt:variant>
        <vt:lpwstr/>
      </vt:variant>
      <vt:variant>
        <vt:lpwstr>_Toc201913414</vt:lpwstr>
      </vt:variant>
      <vt:variant>
        <vt:i4>1835062</vt:i4>
      </vt:variant>
      <vt:variant>
        <vt:i4>218</vt:i4>
      </vt:variant>
      <vt:variant>
        <vt:i4>0</vt:i4>
      </vt:variant>
      <vt:variant>
        <vt:i4>5</vt:i4>
      </vt:variant>
      <vt:variant>
        <vt:lpwstr/>
      </vt:variant>
      <vt:variant>
        <vt:lpwstr>_Toc201913413</vt:lpwstr>
      </vt:variant>
      <vt:variant>
        <vt:i4>1835062</vt:i4>
      </vt:variant>
      <vt:variant>
        <vt:i4>212</vt:i4>
      </vt:variant>
      <vt:variant>
        <vt:i4>0</vt:i4>
      </vt:variant>
      <vt:variant>
        <vt:i4>5</vt:i4>
      </vt:variant>
      <vt:variant>
        <vt:lpwstr/>
      </vt:variant>
      <vt:variant>
        <vt:lpwstr>_Toc201913412</vt:lpwstr>
      </vt:variant>
      <vt:variant>
        <vt:i4>1835062</vt:i4>
      </vt:variant>
      <vt:variant>
        <vt:i4>206</vt:i4>
      </vt:variant>
      <vt:variant>
        <vt:i4>0</vt:i4>
      </vt:variant>
      <vt:variant>
        <vt:i4>5</vt:i4>
      </vt:variant>
      <vt:variant>
        <vt:lpwstr/>
      </vt:variant>
      <vt:variant>
        <vt:lpwstr>_Toc201913411</vt:lpwstr>
      </vt:variant>
      <vt:variant>
        <vt:i4>1835062</vt:i4>
      </vt:variant>
      <vt:variant>
        <vt:i4>200</vt:i4>
      </vt:variant>
      <vt:variant>
        <vt:i4>0</vt:i4>
      </vt:variant>
      <vt:variant>
        <vt:i4>5</vt:i4>
      </vt:variant>
      <vt:variant>
        <vt:lpwstr/>
      </vt:variant>
      <vt:variant>
        <vt:lpwstr>_Toc201913410</vt:lpwstr>
      </vt:variant>
      <vt:variant>
        <vt:i4>1900598</vt:i4>
      </vt:variant>
      <vt:variant>
        <vt:i4>194</vt:i4>
      </vt:variant>
      <vt:variant>
        <vt:i4>0</vt:i4>
      </vt:variant>
      <vt:variant>
        <vt:i4>5</vt:i4>
      </vt:variant>
      <vt:variant>
        <vt:lpwstr/>
      </vt:variant>
      <vt:variant>
        <vt:lpwstr>_Toc201913409</vt:lpwstr>
      </vt:variant>
      <vt:variant>
        <vt:i4>1900598</vt:i4>
      </vt:variant>
      <vt:variant>
        <vt:i4>188</vt:i4>
      </vt:variant>
      <vt:variant>
        <vt:i4>0</vt:i4>
      </vt:variant>
      <vt:variant>
        <vt:i4>5</vt:i4>
      </vt:variant>
      <vt:variant>
        <vt:lpwstr/>
      </vt:variant>
      <vt:variant>
        <vt:lpwstr>_Toc201913408</vt:lpwstr>
      </vt:variant>
      <vt:variant>
        <vt:i4>1900598</vt:i4>
      </vt:variant>
      <vt:variant>
        <vt:i4>182</vt:i4>
      </vt:variant>
      <vt:variant>
        <vt:i4>0</vt:i4>
      </vt:variant>
      <vt:variant>
        <vt:i4>5</vt:i4>
      </vt:variant>
      <vt:variant>
        <vt:lpwstr/>
      </vt:variant>
      <vt:variant>
        <vt:lpwstr>_Toc201913407</vt:lpwstr>
      </vt:variant>
      <vt:variant>
        <vt:i4>1900598</vt:i4>
      </vt:variant>
      <vt:variant>
        <vt:i4>176</vt:i4>
      </vt:variant>
      <vt:variant>
        <vt:i4>0</vt:i4>
      </vt:variant>
      <vt:variant>
        <vt:i4>5</vt:i4>
      </vt:variant>
      <vt:variant>
        <vt:lpwstr/>
      </vt:variant>
      <vt:variant>
        <vt:lpwstr>_Toc201913406</vt:lpwstr>
      </vt:variant>
      <vt:variant>
        <vt:i4>1900598</vt:i4>
      </vt:variant>
      <vt:variant>
        <vt:i4>170</vt:i4>
      </vt:variant>
      <vt:variant>
        <vt:i4>0</vt:i4>
      </vt:variant>
      <vt:variant>
        <vt:i4>5</vt:i4>
      </vt:variant>
      <vt:variant>
        <vt:lpwstr/>
      </vt:variant>
      <vt:variant>
        <vt:lpwstr>_Toc201913405</vt:lpwstr>
      </vt:variant>
      <vt:variant>
        <vt:i4>1900598</vt:i4>
      </vt:variant>
      <vt:variant>
        <vt:i4>164</vt:i4>
      </vt:variant>
      <vt:variant>
        <vt:i4>0</vt:i4>
      </vt:variant>
      <vt:variant>
        <vt:i4>5</vt:i4>
      </vt:variant>
      <vt:variant>
        <vt:lpwstr/>
      </vt:variant>
      <vt:variant>
        <vt:lpwstr>_Toc201913404</vt:lpwstr>
      </vt:variant>
      <vt:variant>
        <vt:i4>1900598</vt:i4>
      </vt:variant>
      <vt:variant>
        <vt:i4>158</vt:i4>
      </vt:variant>
      <vt:variant>
        <vt:i4>0</vt:i4>
      </vt:variant>
      <vt:variant>
        <vt:i4>5</vt:i4>
      </vt:variant>
      <vt:variant>
        <vt:lpwstr/>
      </vt:variant>
      <vt:variant>
        <vt:lpwstr>_Toc201913403</vt:lpwstr>
      </vt:variant>
      <vt:variant>
        <vt:i4>1900598</vt:i4>
      </vt:variant>
      <vt:variant>
        <vt:i4>152</vt:i4>
      </vt:variant>
      <vt:variant>
        <vt:i4>0</vt:i4>
      </vt:variant>
      <vt:variant>
        <vt:i4>5</vt:i4>
      </vt:variant>
      <vt:variant>
        <vt:lpwstr/>
      </vt:variant>
      <vt:variant>
        <vt:lpwstr>_Toc201913402</vt:lpwstr>
      </vt:variant>
      <vt:variant>
        <vt:i4>1900598</vt:i4>
      </vt:variant>
      <vt:variant>
        <vt:i4>146</vt:i4>
      </vt:variant>
      <vt:variant>
        <vt:i4>0</vt:i4>
      </vt:variant>
      <vt:variant>
        <vt:i4>5</vt:i4>
      </vt:variant>
      <vt:variant>
        <vt:lpwstr/>
      </vt:variant>
      <vt:variant>
        <vt:lpwstr>_Toc201913401</vt:lpwstr>
      </vt:variant>
      <vt:variant>
        <vt:i4>1900598</vt:i4>
      </vt:variant>
      <vt:variant>
        <vt:i4>140</vt:i4>
      </vt:variant>
      <vt:variant>
        <vt:i4>0</vt:i4>
      </vt:variant>
      <vt:variant>
        <vt:i4>5</vt:i4>
      </vt:variant>
      <vt:variant>
        <vt:lpwstr/>
      </vt:variant>
      <vt:variant>
        <vt:lpwstr>_Toc201913400</vt:lpwstr>
      </vt:variant>
      <vt:variant>
        <vt:i4>1310769</vt:i4>
      </vt:variant>
      <vt:variant>
        <vt:i4>134</vt:i4>
      </vt:variant>
      <vt:variant>
        <vt:i4>0</vt:i4>
      </vt:variant>
      <vt:variant>
        <vt:i4>5</vt:i4>
      </vt:variant>
      <vt:variant>
        <vt:lpwstr/>
      </vt:variant>
      <vt:variant>
        <vt:lpwstr>_Toc201913399</vt:lpwstr>
      </vt:variant>
      <vt:variant>
        <vt:i4>1310769</vt:i4>
      </vt:variant>
      <vt:variant>
        <vt:i4>128</vt:i4>
      </vt:variant>
      <vt:variant>
        <vt:i4>0</vt:i4>
      </vt:variant>
      <vt:variant>
        <vt:i4>5</vt:i4>
      </vt:variant>
      <vt:variant>
        <vt:lpwstr/>
      </vt:variant>
      <vt:variant>
        <vt:lpwstr>_Toc201913398</vt:lpwstr>
      </vt:variant>
      <vt:variant>
        <vt:i4>1310769</vt:i4>
      </vt:variant>
      <vt:variant>
        <vt:i4>122</vt:i4>
      </vt:variant>
      <vt:variant>
        <vt:i4>0</vt:i4>
      </vt:variant>
      <vt:variant>
        <vt:i4>5</vt:i4>
      </vt:variant>
      <vt:variant>
        <vt:lpwstr/>
      </vt:variant>
      <vt:variant>
        <vt:lpwstr>_Toc201913397</vt:lpwstr>
      </vt:variant>
      <vt:variant>
        <vt:i4>1310769</vt:i4>
      </vt:variant>
      <vt:variant>
        <vt:i4>116</vt:i4>
      </vt:variant>
      <vt:variant>
        <vt:i4>0</vt:i4>
      </vt:variant>
      <vt:variant>
        <vt:i4>5</vt:i4>
      </vt:variant>
      <vt:variant>
        <vt:lpwstr/>
      </vt:variant>
      <vt:variant>
        <vt:lpwstr>_Toc201913396</vt:lpwstr>
      </vt:variant>
      <vt:variant>
        <vt:i4>1310769</vt:i4>
      </vt:variant>
      <vt:variant>
        <vt:i4>110</vt:i4>
      </vt:variant>
      <vt:variant>
        <vt:i4>0</vt:i4>
      </vt:variant>
      <vt:variant>
        <vt:i4>5</vt:i4>
      </vt:variant>
      <vt:variant>
        <vt:lpwstr/>
      </vt:variant>
      <vt:variant>
        <vt:lpwstr>_Toc201913395</vt:lpwstr>
      </vt:variant>
      <vt:variant>
        <vt:i4>1310769</vt:i4>
      </vt:variant>
      <vt:variant>
        <vt:i4>104</vt:i4>
      </vt:variant>
      <vt:variant>
        <vt:i4>0</vt:i4>
      </vt:variant>
      <vt:variant>
        <vt:i4>5</vt:i4>
      </vt:variant>
      <vt:variant>
        <vt:lpwstr/>
      </vt:variant>
      <vt:variant>
        <vt:lpwstr>_Toc201913394</vt:lpwstr>
      </vt:variant>
      <vt:variant>
        <vt:i4>1310769</vt:i4>
      </vt:variant>
      <vt:variant>
        <vt:i4>98</vt:i4>
      </vt:variant>
      <vt:variant>
        <vt:i4>0</vt:i4>
      </vt:variant>
      <vt:variant>
        <vt:i4>5</vt:i4>
      </vt:variant>
      <vt:variant>
        <vt:lpwstr/>
      </vt:variant>
      <vt:variant>
        <vt:lpwstr>_Toc201913393</vt:lpwstr>
      </vt:variant>
      <vt:variant>
        <vt:i4>1310769</vt:i4>
      </vt:variant>
      <vt:variant>
        <vt:i4>92</vt:i4>
      </vt:variant>
      <vt:variant>
        <vt:i4>0</vt:i4>
      </vt:variant>
      <vt:variant>
        <vt:i4>5</vt:i4>
      </vt:variant>
      <vt:variant>
        <vt:lpwstr/>
      </vt:variant>
      <vt:variant>
        <vt:lpwstr>_Toc201913392</vt:lpwstr>
      </vt:variant>
      <vt:variant>
        <vt:i4>1310769</vt:i4>
      </vt:variant>
      <vt:variant>
        <vt:i4>86</vt:i4>
      </vt:variant>
      <vt:variant>
        <vt:i4>0</vt:i4>
      </vt:variant>
      <vt:variant>
        <vt:i4>5</vt:i4>
      </vt:variant>
      <vt:variant>
        <vt:lpwstr/>
      </vt:variant>
      <vt:variant>
        <vt:lpwstr>_Toc201913391</vt:lpwstr>
      </vt:variant>
      <vt:variant>
        <vt:i4>1310769</vt:i4>
      </vt:variant>
      <vt:variant>
        <vt:i4>80</vt:i4>
      </vt:variant>
      <vt:variant>
        <vt:i4>0</vt:i4>
      </vt:variant>
      <vt:variant>
        <vt:i4>5</vt:i4>
      </vt:variant>
      <vt:variant>
        <vt:lpwstr/>
      </vt:variant>
      <vt:variant>
        <vt:lpwstr>_Toc201913390</vt:lpwstr>
      </vt:variant>
      <vt:variant>
        <vt:i4>1376305</vt:i4>
      </vt:variant>
      <vt:variant>
        <vt:i4>74</vt:i4>
      </vt:variant>
      <vt:variant>
        <vt:i4>0</vt:i4>
      </vt:variant>
      <vt:variant>
        <vt:i4>5</vt:i4>
      </vt:variant>
      <vt:variant>
        <vt:lpwstr/>
      </vt:variant>
      <vt:variant>
        <vt:lpwstr>_Toc201913389</vt:lpwstr>
      </vt:variant>
      <vt:variant>
        <vt:i4>1376305</vt:i4>
      </vt:variant>
      <vt:variant>
        <vt:i4>68</vt:i4>
      </vt:variant>
      <vt:variant>
        <vt:i4>0</vt:i4>
      </vt:variant>
      <vt:variant>
        <vt:i4>5</vt:i4>
      </vt:variant>
      <vt:variant>
        <vt:lpwstr/>
      </vt:variant>
      <vt:variant>
        <vt:lpwstr>_Toc201913388</vt:lpwstr>
      </vt:variant>
      <vt:variant>
        <vt:i4>1376305</vt:i4>
      </vt:variant>
      <vt:variant>
        <vt:i4>62</vt:i4>
      </vt:variant>
      <vt:variant>
        <vt:i4>0</vt:i4>
      </vt:variant>
      <vt:variant>
        <vt:i4>5</vt:i4>
      </vt:variant>
      <vt:variant>
        <vt:lpwstr/>
      </vt:variant>
      <vt:variant>
        <vt:lpwstr>_Toc201913387</vt:lpwstr>
      </vt:variant>
      <vt:variant>
        <vt:i4>1376305</vt:i4>
      </vt:variant>
      <vt:variant>
        <vt:i4>56</vt:i4>
      </vt:variant>
      <vt:variant>
        <vt:i4>0</vt:i4>
      </vt:variant>
      <vt:variant>
        <vt:i4>5</vt:i4>
      </vt:variant>
      <vt:variant>
        <vt:lpwstr/>
      </vt:variant>
      <vt:variant>
        <vt:lpwstr>_Toc201913386</vt:lpwstr>
      </vt:variant>
      <vt:variant>
        <vt:i4>1376305</vt:i4>
      </vt:variant>
      <vt:variant>
        <vt:i4>50</vt:i4>
      </vt:variant>
      <vt:variant>
        <vt:i4>0</vt:i4>
      </vt:variant>
      <vt:variant>
        <vt:i4>5</vt:i4>
      </vt:variant>
      <vt:variant>
        <vt:lpwstr/>
      </vt:variant>
      <vt:variant>
        <vt:lpwstr>_Toc201913385</vt:lpwstr>
      </vt:variant>
      <vt:variant>
        <vt:i4>1376305</vt:i4>
      </vt:variant>
      <vt:variant>
        <vt:i4>44</vt:i4>
      </vt:variant>
      <vt:variant>
        <vt:i4>0</vt:i4>
      </vt:variant>
      <vt:variant>
        <vt:i4>5</vt:i4>
      </vt:variant>
      <vt:variant>
        <vt:lpwstr/>
      </vt:variant>
      <vt:variant>
        <vt:lpwstr>_Toc201913384</vt:lpwstr>
      </vt:variant>
      <vt:variant>
        <vt:i4>1376305</vt:i4>
      </vt:variant>
      <vt:variant>
        <vt:i4>38</vt:i4>
      </vt:variant>
      <vt:variant>
        <vt:i4>0</vt:i4>
      </vt:variant>
      <vt:variant>
        <vt:i4>5</vt:i4>
      </vt:variant>
      <vt:variant>
        <vt:lpwstr/>
      </vt:variant>
      <vt:variant>
        <vt:lpwstr>_Toc201913383</vt:lpwstr>
      </vt:variant>
      <vt:variant>
        <vt:i4>1376305</vt:i4>
      </vt:variant>
      <vt:variant>
        <vt:i4>32</vt:i4>
      </vt:variant>
      <vt:variant>
        <vt:i4>0</vt:i4>
      </vt:variant>
      <vt:variant>
        <vt:i4>5</vt:i4>
      </vt:variant>
      <vt:variant>
        <vt:lpwstr/>
      </vt:variant>
      <vt:variant>
        <vt:lpwstr>_Toc201913382</vt:lpwstr>
      </vt:variant>
      <vt:variant>
        <vt:i4>1376305</vt:i4>
      </vt:variant>
      <vt:variant>
        <vt:i4>26</vt:i4>
      </vt:variant>
      <vt:variant>
        <vt:i4>0</vt:i4>
      </vt:variant>
      <vt:variant>
        <vt:i4>5</vt:i4>
      </vt:variant>
      <vt:variant>
        <vt:lpwstr/>
      </vt:variant>
      <vt:variant>
        <vt:lpwstr>_Toc201913381</vt:lpwstr>
      </vt:variant>
      <vt:variant>
        <vt:i4>1376305</vt:i4>
      </vt:variant>
      <vt:variant>
        <vt:i4>20</vt:i4>
      </vt:variant>
      <vt:variant>
        <vt:i4>0</vt:i4>
      </vt:variant>
      <vt:variant>
        <vt:i4>5</vt:i4>
      </vt:variant>
      <vt:variant>
        <vt:lpwstr/>
      </vt:variant>
      <vt:variant>
        <vt:lpwstr>_Toc201913380</vt:lpwstr>
      </vt:variant>
      <vt:variant>
        <vt:i4>1703985</vt:i4>
      </vt:variant>
      <vt:variant>
        <vt:i4>14</vt:i4>
      </vt:variant>
      <vt:variant>
        <vt:i4>0</vt:i4>
      </vt:variant>
      <vt:variant>
        <vt:i4>5</vt:i4>
      </vt:variant>
      <vt:variant>
        <vt:lpwstr/>
      </vt:variant>
      <vt:variant>
        <vt:lpwstr>_Toc201913379</vt:lpwstr>
      </vt:variant>
      <vt:variant>
        <vt:i4>1703985</vt:i4>
      </vt:variant>
      <vt:variant>
        <vt:i4>8</vt:i4>
      </vt:variant>
      <vt:variant>
        <vt:i4>0</vt:i4>
      </vt:variant>
      <vt:variant>
        <vt:i4>5</vt:i4>
      </vt:variant>
      <vt:variant>
        <vt:lpwstr/>
      </vt:variant>
      <vt:variant>
        <vt:lpwstr>_Toc201913378</vt:lpwstr>
      </vt:variant>
      <vt:variant>
        <vt:i4>1703985</vt:i4>
      </vt:variant>
      <vt:variant>
        <vt:i4>2</vt:i4>
      </vt:variant>
      <vt:variant>
        <vt:i4>0</vt:i4>
      </vt:variant>
      <vt:variant>
        <vt:i4>5</vt:i4>
      </vt:variant>
      <vt:variant>
        <vt:lpwstr/>
      </vt:variant>
      <vt:variant>
        <vt:lpwstr>_Toc201913377</vt:lpwstr>
      </vt:variant>
      <vt:variant>
        <vt:i4>5505070</vt:i4>
      </vt:variant>
      <vt:variant>
        <vt:i4>42</vt:i4>
      </vt:variant>
      <vt:variant>
        <vt:i4>0</vt:i4>
      </vt:variant>
      <vt:variant>
        <vt:i4>5</vt:i4>
      </vt:variant>
      <vt:variant>
        <vt:lpwstr>mailto:Rosie.Anderson026@msd.govt.nz</vt:lpwstr>
      </vt:variant>
      <vt:variant>
        <vt:lpwstr/>
      </vt:variant>
      <vt:variant>
        <vt:i4>524387</vt:i4>
      </vt:variant>
      <vt:variant>
        <vt:i4>39</vt:i4>
      </vt:variant>
      <vt:variant>
        <vt:i4>0</vt:i4>
      </vt:variant>
      <vt:variant>
        <vt:i4>5</vt:i4>
      </vt:variant>
      <vt:variant>
        <vt:lpwstr>mailto:George.Minton001@msd.govt.nz</vt:lpwstr>
      </vt:variant>
      <vt:variant>
        <vt:lpwstr/>
      </vt:variant>
      <vt:variant>
        <vt:i4>524387</vt:i4>
      </vt:variant>
      <vt:variant>
        <vt:i4>36</vt:i4>
      </vt:variant>
      <vt:variant>
        <vt:i4>0</vt:i4>
      </vt:variant>
      <vt:variant>
        <vt:i4>5</vt:i4>
      </vt:variant>
      <vt:variant>
        <vt:lpwstr>mailto:George.Minton001@msd.govt.nz</vt:lpwstr>
      </vt:variant>
      <vt:variant>
        <vt:lpwstr/>
      </vt:variant>
      <vt:variant>
        <vt:i4>5505070</vt:i4>
      </vt:variant>
      <vt:variant>
        <vt:i4>33</vt:i4>
      </vt:variant>
      <vt:variant>
        <vt:i4>0</vt:i4>
      </vt:variant>
      <vt:variant>
        <vt:i4>5</vt:i4>
      </vt:variant>
      <vt:variant>
        <vt:lpwstr>mailto:Rosie.Anderson026@msd.govt.nz</vt:lpwstr>
      </vt:variant>
      <vt:variant>
        <vt:lpwstr/>
      </vt:variant>
      <vt:variant>
        <vt:i4>3407953</vt:i4>
      </vt:variant>
      <vt:variant>
        <vt:i4>30</vt:i4>
      </vt:variant>
      <vt:variant>
        <vt:i4>0</vt:i4>
      </vt:variant>
      <vt:variant>
        <vt:i4>5</vt:i4>
      </vt:variant>
      <vt:variant>
        <vt:lpwstr>mailto:Tim.Garlick004@msd.govt.nz</vt:lpwstr>
      </vt:variant>
      <vt:variant>
        <vt:lpwstr/>
      </vt:variant>
      <vt:variant>
        <vt:i4>524387</vt:i4>
      </vt:variant>
      <vt:variant>
        <vt:i4>27</vt:i4>
      </vt:variant>
      <vt:variant>
        <vt:i4>0</vt:i4>
      </vt:variant>
      <vt:variant>
        <vt:i4>5</vt:i4>
      </vt:variant>
      <vt:variant>
        <vt:lpwstr>mailto:George.Minton001@msd.govt.nz</vt:lpwstr>
      </vt:variant>
      <vt:variant>
        <vt:lpwstr/>
      </vt:variant>
      <vt:variant>
        <vt:i4>524387</vt:i4>
      </vt:variant>
      <vt:variant>
        <vt:i4>24</vt:i4>
      </vt:variant>
      <vt:variant>
        <vt:i4>0</vt:i4>
      </vt:variant>
      <vt:variant>
        <vt:i4>5</vt:i4>
      </vt:variant>
      <vt:variant>
        <vt:lpwstr>mailto:George.Minton001@msd.govt.nz</vt:lpwstr>
      </vt:variant>
      <vt:variant>
        <vt:lpwstr/>
      </vt:variant>
      <vt:variant>
        <vt:i4>524387</vt:i4>
      </vt:variant>
      <vt:variant>
        <vt:i4>21</vt:i4>
      </vt:variant>
      <vt:variant>
        <vt:i4>0</vt:i4>
      </vt:variant>
      <vt:variant>
        <vt:i4>5</vt:i4>
      </vt:variant>
      <vt:variant>
        <vt:lpwstr>mailto:George.Minton001@msd.govt.nz</vt:lpwstr>
      </vt:variant>
      <vt:variant>
        <vt:lpwstr/>
      </vt:variant>
      <vt:variant>
        <vt:i4>3407953</vt:i4>
      </vt:variant>
      <vt:variant>
        <vt:i4>18</vt:i4>
      </vt:variant>
      <vt:variant>
        <vt:i4>0</vt:i4>
      </vt:variant>
      <vt:variant>
        <vt:i4>5</vt:i4>
      </vt:variant>
      <vt:variant>
        <vt:lpwstr>mailto:Tim.Garlick004@msd.govt.nz</vt:lpwstr>
      </vt:variant>
      <vt:variant>
        <vt:lpwstr/>
      </vt:variant>
      <vt:variant>
        <vt:i4>3407953</vt:i4>
      </vt:variant>
      <vt:variant>
        <vt:i4>15</vt:i4>
      </vt:variant>
      <vt:variant>
        <vt:i4>0</vt:i4>
      </vt:variant>
      <vt:variant>
        <vt:i4>5</vt:i4>
      </vt:variant>
      <vt:variant>
        <vt:lpwstr>mailto:Tim.Garlick004@msd.govt.nz</vt:lpwstr>
      </vt:variant>
      <vt:variant>
        <vt:lpwstr/>
      </vt:variant>
      <vt:variant>
        <vt:i4>3407953</vt:i4>
      </vt:variant>
      <vt:variant>
        <vt:i4>12</vt:i4>
      </vt:variant>
      <vt:variant>
        <vt:i4>0</vt:i4>
      </vt:variant>
      <vt:variant>
        <vt:i4>5</vt:i4>
      </vt:variant>
      <vt:variant>
        <vt:lpwstr>mailto:Tim.Garlick004@msd.govt.nz</vt:lpwstr>
      </vt:variant>
      <vt:variant>
        <vt:lpwstr/>
      </vt:variant>
      <vt:variant>
        <vt:i4>5505070</vt:i4>
      </vt:variant>
      <vt:variant>
        <vt:i4>9</vt:i4>
      </vt:variant>
      <vt:variant>
        <vt:i4>0</vt:i4>
      </vt:variant>
      <vt:variant>
        <vt:i4>5</vt:i4>
      </vt:variant>
      <vt:variant>
        <vt:lpwstr>mailto:Rosie.Anderson026@msd.govt.nz</vt:lpwstr>
      </vt:variant>
      <vt:variant>
        <vt:lpwstr/>
      </vt:variant>
      <vt:variant>
        <vt:i4>524387</vt:i4>
      </vt:variant>
      <vt:variant>
        <vt:i4>6</vt:i4>
      </vt:variant>
      <vt:variant>
        <vt:i4>0</vt:i4>
      </vt:variant>
      <vt:variant>
        <vt:i4>5</vt:i4>
      </vt:variant>
      <vt:variant>
        <vt:lpwstr>mailto:George.Minton001@msd.govt.nz</vt:lpwstr>
      </vt:variant>
      <vt:variant>
        <vt:lpwstr/>
      </vt:variant>
      <vt:variant>
        <vt:i4>3407953</vt:i4>
      </vt:variant>
      <vt:variant>
        <vt:i4>3</vt:i4>
      </vt:variant>
      <vt:variant>
        <vt:i4>0</vt:i4>
      </vt:variant>
      <vt:variant>
        <vt:i4>5</vt:i4>
      </vt:variant>
      <vt:variant>
        <vt:lpwstr>mailto:Tim.Garlick004@msd.govt.nz</vt:lpwstr>
      </vt:variant>
      <vt:variant>
        <vt:lpwstr/>
      </vt:variant>
      <vt:variant>
        <vt:i4>3407953</vt:i4>
      </vt:variant>
      <vt:variant>
        <vt:i4>0</vt:i4>
      </vt:variant>
      <vt:variant>
        <vt:i4>0</vt:i4>
      </vt:variant>
      <vt:variant>
        <vt:i4>5</vt:i4>
      </vt:variant>
      <vt:variant>
        <vt:lpwstr>mailto:Tim.Garlick004@msd.govt.nz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Osborne</dc:creator>
  <cp:keywords/>
  <dc:description/>
  <cp:lastModifiedBy>Rosie Anderson</cp:lastModifiedBy>
  <cp:revision>3</cp:revision>
  <cp:lastPrinted>2025-05-16T09:19:00Z</cp:lastPrinted>
  <dcterms:created xsi:type="dcterms:W3CDTF">2025-11-11T21:48:00Z</dcterms:created>
  <dcterms:modified xsi:type="dcterms:W3CDTF">2025-11-11T21:51:00Z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18df3277,554b10e1,63fcba49</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2025-04-10T04:33:31Z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e53dbc82-8cfe-491f-ad7b-b7e201a1eb8a</vt:lpwstr>
  </property>
  <property fmtid="{D5CDD505-2E9C-101B-9397-08002B2CF9AE}" pid="11" name="MSIP_Label_f43e46a9-9901-46e9-bfae-bb6189d4cb66_ContentBits">
    <vt:lpwstr>1</vt:lpwstr>
  </property>
  <property fmtid="{D5CDD505-2E9C-101B-9397-08002B2CF9AE}" pid="12" name="ContentTypeId">
    <vt:lpwstr>0x010100EDCA83C5F29E994585CD4CCB46C6F523</vt:lpwstr>
  </property>
</Properties>
</file>