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736A" w14:textId="77777777" w:rsidR="00AD79A7" w:rsidRDefault="00D44A60">
      <w:pPr>
        <w:pStyle w:val="Heading2"/>
        <w:spacing w:before="82"/>
      </w:pPr>
      <w:r>
        <w:t>SENSITIVE</w:t>
      </w:r>
      <w:r>
        <w:rPr>
          <w:spacing w:val="-3"/>
        </w:rPr>
        <w:t xml:space="preserve"> </w:t>
      </w:r>
      <w:r>
        <w:t>-</w:t>
      </w:r>
      <w:r>
        <w:rPr>
          <w:spacing w:val="-2"/>
        </w:rPr>
        <w:t xml:space="preserve"> BUDGET</w:t>
      </w:r>
    </w:p>
    <w:p w14:paraId="3C027410" w14:textId="77777777" w:rsidR="00AD79A7" w:rsidRDefault="00D44A60">
      <w:pPr>
        <w:pStyle w:val="BodyText"/>
        <w:spacing w:before="181" w:line="398" w:lineRule="auto"/>
        <w:ind w:left="141" w:right="3026"/>
      </w:pPr>
      <w:r>
        <w:t>Office</w:t>
      </w:r>
      <w:r>
        <w:rPr>
          <w:spacing w:val="-4"/>
        </w:rPr>
        <w:t xml:space="preserve"> </w:t>
      </w:r>
      <w:r>
        <w:t>of</w:t>
      </w:r>
      <w:r>
        <w:rPr>
          <w:spacing w:val="-5"/>
        </w:rPr>
        <w:t xml:space="preserve"> </w:t>
      </w:r>
      <w:r>
        <w:t>the</w:t>
      </w:r>
      <w:r>
        <w:rPr>
          <w:spacing w:val="-6"/>
        </w:rPr>
        <w:t xml:space="preserve"> </w:t>
      </w:r>
      <w:r>
        <w:t>Minister</w:t>
      </w:r>
      <w:r>
        <w:rPr>
          <w:spacing w:val="-4"/>
        </w:rPr>
        <w:t xml:space="preserve"> </w:t>
      </w:r>
      <w:r>
        <w:t>for</w:t>
      </w:r>
      <w:r>
        <w:rPr>
          <w:spacing w:val="-5"/>
        </w:rPr>
        <w:t xml:space="preserve"> </w:t>
      </w:r>
      <w:r>
        <w:t>Social</w:t>
      </w:r>
      <w:r>
        <w:rPr>
          <w:spacing w:val="-4"/>
        </w:rPr>
        <w:t xml:space="preserve"> </w:t>
      </w:r>
      <w:r>
        <w:t>Development</w:t>
      </w:r>
      <w:r>
        <w:rPr>
          <w:spacing w:val="-4"/>
        </w:rPr>
        <w:t xml:space="preserve"> </w:t>
      </w:r>
      <w:r>
        <w:t>and</w:t>
      </w:r>
      <w:r>
        <w:rPr>
          <w:spacing w:val="-4"/>
        </w:rPr>
        <w:t xml:space="preserve"> </w:t>
      </w:r>
      <w:r>
        <w:t>Employment Social Wellbeing Committee</w:t>
      </w:r>
    </w:p>
    <w:p w14:paraId="452B5963" w14:textId="77777777" w:rsidR="00AD79A7" w:rsidRDefault="00AD79A7">
      <w:pPr>
        <w:pStyle w:val="BodyText"/>
        <w:rPr>
          <w:sz w:val="38"/>
        </w:rPr>
      </w:pPr>
    </w:p>
    <w:p w14:paraId="2B11010F" w14:textId="77777777" w:rsidR="00AD79A7" w:rsidRDefault="00D44A60">
      <w:pPr>
        <w:pStyle w:val="Heading1"/>
      </w:pPr>
      <w:bookmarkStart w:id="0" w:name="Mayor’s_Taskforce_for_Jobs_–_approval_fo"/>
      <w:bookmarkEnd w:id="0"/>
      <w:r>
        <w:t>Mayor’s</w:t>
      </w:r>
      <w:r>
        <w:rPr>
          <w:spacing w:val="-7"/>
        </w:rPr>
        <w:t xml:space="preserve"> </w:t>
      </w:r>
      <w:r>
        <w:t>Taskforce</w:t>
      </w:r>
      <w:r>
        <w:rPr>
          <w:spacing w:val="-4"/>
        </w:rPr>
        <w:t xml:space="preserve"> </w:t>
      </w:r>
      <w:r>
        <w:t>for</w:t>
      </w:r>
      <w:r>
        <w:rPr>
          <w:spacing w:val="-5"/>
        </w:rPr>
        <w:t xml:space="preserve"> </w:t>
      </w:r>
      <w:r>
        <w:t>Jobs</w:t>
      </w:r>
      <w:r>
        <w:rPr>
          <w:spacing w:val="-5"/>
        </w:rPr>
        <w:t xml:space="preserve"> </w:t>
      </w:r>
      <w:r>
        <w:t>–</w:t>
      </w:r>
      <w:r>
        <w:rPr>
          <w:spacing w:val="-4"/>
        </w:rPr>
        <w:t xml:space="preserve"> </w:t>
      </w:r>
      <w:r>
        <w:t>approval</w:t>
      </w:r>
      <w:r>
        <w:rPr>
          <w:spacing w:val="-4"/>
        </w:rPr>
        <w:t xml:space="preserve"> </w:t>
      </w:r>
      <w:r>
        <w:t>for</w:t>
      </w:r>
      <w:r>
        <w:rPr>
          <w:spacing w:val="-4"/>
        </w:rPr>
        <w:t xml:space="preserve"> </w:t>
      </w:r>
      <w:r>
        <w:t>2022/23</w:t>
      </w:r>
      <w:r>
        <w:rPr>
          <w:spacing w:val="-4"/>
        </w:rPr>
        <w:t xml:space="preserve"> </w:t>
      </w:r>
      <w:r>
        <w:rPr>
          <w:spacing w:val="-2"/>
        </w:rPr>
        <w:t>funding</w:t>
      </w:r>
    </w:p>
    <w:p w14:paraId="46626AF9" w14:textId="77777777" w:rsidR="00AD79A7" w:rsidRDefault="00D44A60">
      <w:pPr>
        <w:pStyle w:val="Heading2"/>
        <w:spacing w:before="240"/>
      </w:pPr>
      <w:bookmarkStart w:id="1" w:name="Proposal"/>
      <w:bookmarkEnd w:id="1"/>
      <w:r>
        <w:rPr>
          <w:spacing w:val="-2"/>
        </w:rPr>
        <w:t>Proposal</w:t>
      </w:r>
    </w:p>
    <w:p w14:paraId="48AEBA15" w14:textId="77777777" w:rsidR="00AD79A7" w:rsidRDefault="00AD79A7">
      <w:pPr>
        <w:pStyle w:val="BodyText"/>
        <w:spacing w:before="9"/>
        <w:rPr>
          <w:rFonts w:ascii="Arial"/>
          <w:b/>
          <w:sz w:val="20"/>
        </w:rPr>
      </w:pPr>
    </w:p>
    <w:p w14:paraId="7225997C" w14:textId="77777777" w:rsidR="00AD79A7" w:rsidRDefault="00D44A60">
      <w:pPr>
        <w:pStyle w:val="ListParagraph"/>
        <w:numPr>
          <w:ilvl w:val="0"/>
          <w:numId w:val="2"/>
        </w:numPr>
        <w:tabs>
          <w:tab w:val="left" w:pos="1429"/>
          <w:tab w:val="left" w:pos="1430"/>
        </w:tabs>
        <w:jc w:val="both"/>
        <w:rPr>
          <w:sz w:val="24"/>
        </w:rPr>
      </w:pPr>
      <w:r>
        <w:rPr>
          <w:sz w:val="24"/>
        </w:rPr>
        <w:t>This paper seeks Cabinet’s approval to allocate $6 million from an underspend in Vote Social Development in 2021/22 to 2022/23 to fully fund The Mayor’s Taskforce for Jobs through to 30 June 2023.</w:t>
      </w:r>
    </w:p>
    <w:p w14:paraId="277E0C6E" w14:textId="77777777" w:rsidR="00AD79A7" w:rsidRDefault="00AD79A7">
      <w:pPr>
        <w:pStyle w:val="BodyText"/>
        <w:spacing w:before="11"/>
        <w:rPr>
          <w:sz w:val="20"/>
        </w:rPr>
      </w:pPr>
    </w:p>
    <w:p w14:paraId="29AF9E78" w14:textId="77777777" w:rsidR="00AD79A7" w:rsidRDefault="00D44A60">
      <w:pPr>
        <w:pStyle w:val="Heading2"/>
      </w:pPr>
      <w:bookmarkStart w:id="2" w:name="Relation_to_government_priorities"/>
      <w:bookmarkEnd w:id="2"/>
      <w:r>
        <w:t>Relation</w:t>
      </w:r>
      <w:r>
        <w:rPr>
          <w:spacing w:val="-3"/>
        </w:rPr>
        <w:t xml:space="preserve"> </w:t>
      </w:r>
      <w:r>
        <w:t>to</w:t>
      </w:r>
      <w:r>
        <w:rPr>
          <w:spacing w:val="-3"/>
        </w:rPr>
        <w:t xml:space="preserve"> </w:t>
      </w:r>
      <w:r>
        <w:t>government</w:t>
      </w:r>
      <w:r>
        <w:rPr>
          <w:spacing w:val="-2"/>
        </w:rPr>
        <w:t xml:space="preserve"> priorities</w:t>
      </w:r>
    </w:p>
    <w:p w14:paraId="515F3883" w14:textId="77777777" w:rsidR="00AD79A7" w:rsidRDefault="00AD79A7">
      <w:pPr>
        <w:pStyle w:val="BodyText"/>
        <w:spacing w:before="9"/>
        <w:rPr>
          <w:rFonts w:ascii="Arial"/>
          <w:b/>
          <w:sz w:val="20"/>
        </w:rPr>
      </w:pPr>
    </w:p>
    <w:p w14:paraId="4D07C80A" w14:textId="77777777" w:rsidR="00AD79A7" w:rsidRDefault="00D44A60">
      <w:pPr>
        <w:pStyle w:val="ListParagraph"/>
        <w:numPr>
          <w:ilvl w:val="0"/>
          <w:numId w:val="2"/>
        </w:numPr>
        <w:tabs>
          <w:tab w:val="left" w:pos="1429"/>
          <w:tab w:val="left" w:pos="1430"/>
        </w:tabs>
        <w:ind w:right="701"/>
        <w:jc w:val="both"/>
        <w:rPr>
          <w:sz w:val="24"/>
        </w:rPr>
      </w:pPr>
      <w:r>
        <w:rPr>
          <w:sz w:val="24"/>
        </w:rPr>
        <w:t>The decisions in this p</w:t>
      </w:r>
      <w:r>
        <w:rPr>
          <w:sz w:val="24"/>
        </w:rPr>
        <w:t>aper support the Government’s priority of accelerating</w:t>
      </w:r>
      <w:r>
        <w:rPr>
          <w:spacing w:val="40"/>
          <w:sz w:val="24"/>
        </w:rPr>
        <w:t xml:space="preserve"> </w:t>
      </w:r>
      <w:r>
        <w:rPr>
          <w:sz w:val="24"/>
        </w:rPr>
        <w:t>the recovery from Covid-19 and laying the foundations for the future.</w:t>
      </w:r>
    </w:p>
    <w:p w14:paraId="3E92084A" w14:textId="77777777" w:rsidR="00AD79A7" w:rsidRDefault="00AD79A7">
      <w:pPr>
        <w:pStyle w:val="BodyText"/>
        <w:spacing w:before="11"/>
        <w:rPr>
          <w:sz w:val="20"/>
        </w:rPr>
      </w:pPr>
    </w:p>
    <w:p w14:paraId="0354E4DD" w14:textId="77777777" w:rsidR="00AD79A7" w:rsidRDefault="00D44A60">
      <w:pPr>
        <w:pStyle w:val="Heading2"/>
      </w:pPr>
      <w:bookmarkStart w:id="3" w:name="Executive_Summary"/>
      <w:bookmarkEnd w:id="3"/>
      <w:r>
        <w:t>Executive</w:t>
      </w:r>
      <w:r>
        <w:rPr>
          <w:spacing w:val="-4"/>
        </w:rPr>
        <w:t xml:space="preserve"> </w:t>
      </w:r>
      <w:r>
        <w:rPr>
          <w:spacing w:val="-2"/>
        </w:rPr>
        <w:t>Summary</w:t>
      </w:r>
    </w:p>
    <w:p w14:paraId="6ADCADED" w14:textId="77777777" w:rsidR="00AD79A7" w:rsidRDefault="00AD79A7">
      <w:pPr>
        <w:pStyle w:val="BodyText"/>
        <w:spacing w:before="9"/>
        <w:rPr>
          <w:rFonts w:ascii="Arial"/>
          <w:b/>
          <w:sz w:val="20"/>
        </w:rPr>
      </w:pPr>
    </w:p>
    <w:p w14:paraId="2F094D6B" w14:textId="77777777" w:rsidR="00AD79A7" w:rsidRDefault="00D44A60">
      <w:pPr>
        <w:pStyle w:val="ListParagraph"/>
        <w:numPr>
          <w:ilvl w:val="0"/>
          <w:numId w:val="2"/>
        </w:numPr>
        <w:tabs>
          <w:tab w:val="left" w:pos="1429"/>
          <w:tab w:val="left" w:pos="1430"/>
        </w:tabs>
        <w:ind w:right="696"/>
        <w:jc w:val="both"/>
        <w:rPr>
          <w:sz w:val="24"/>
        </w:rPr>
      </w:pPr>
      <w:r>
        <w:rPr>
          <w:sz w:val="24"/>
        </w:rPr>
        <w:t>The Mayor’s Taskforce for Jobs (MTFJ) is a Ministry of Social Development partnership with Local Government New</w:t>
      </w:r>
      <w:r>
        <w:rPr>
          <w:sz w:val="24"/>
        </w:rPr>
        <w:t xml:space="preserve"> Zealand (LGNZ). The MTFJ supports regional and provincial councils throughout New Zealand to deliver</w:t>
      </w:r>
      <w:r>
        <w:rPr>
          <w:spacing w:val="40"/>
          <w:sz w:val="24"/>
        </w:rPr>
        <w:t xml:space="preserve"> </w:t>
      </w:r>
      <w:r>
        <w:rPr>
          <w:sz w:val="24"/>
        </w:rPr>
        <w:t>programmes that support youth employment and other youth focussed issues. From June 2021 – April 2022, the programme has supported 2978 youth not in emplo</w:t>
      </w:r>
      <w:r>
        <w:rPr>
          <w:sz w:val="24"/>
        </w:rPr>
        <w:t>yment, education, or training (NEET) into permanent employment.</w:t>
      </w:r>
    </w:p>
    <w:p w14:paraId="12EBD711" w14:textId="77777777" w:rsidR="00AD79A7" w:rsidRDefault="00AD79A7">
      <w:pPr>
        <w:pStyle w:val="BodyText"/>
        <w:spacing w:before="10"/>
        <w:rPr>
          <w:sz w:val="20"/>
        </w:rPr>
      </w:pPr>
    </w:p>
    <w:p w14:paraId="7CA66ECE" w14:textId="77777777" w:rsidR="00AD79A7" w:rsidRDefault="00D44A60">
      <w:pPr>
        <w:pStyle w:val="ListParagraph"/>
        <w:numPr>
          <w:ilvl w:val="0"/>
          <w:numId w:val="2"/>
        </w:numPr>
        <w:tabs>
          <w:tab w:val="left" w:pos="1429"/>
          <w:tab w:val="left" w:pos="1430"/>
        </w:tabs>
        <w:ind w:right="0"/>
        <w:jc w:val="both"/>
        <w:rPr>
          <w:sz w:val="24"/>
        </w:rPr>
      </w:pPr>
      <w:r>
        <w:rPr>
          <w:sz w:val="24"/>
        </w:rPr>
        <w:t>$14</w:t>
      </w:r>
      <w:r>
        <w:rPr>
          <w:spacing w:val="-1"/>
          <w:sz w:val="24"/>
        </w:rPr>
        <w:t xml:space="preserve"> </w:t>
      </w:r>
      <w:r>
        <w:rPr>
          <w:sz w:val="24"/>
        </w:rPr>
        <w:t>million</w:t>
      </w:r>
      <w:r>
        <w:rPr>
          <w:spacing w:val="1"/>
          <w:sz w:val="24"/>
        </w:rPr>
        <w:t xml:space="preserve"> </w:t>
      </w:r>
      <w:r>
        <w:rPr>
          <w:sz w:val="24"/>
        </w:rPr>
        <w:t>is</w:t>
      </w:r>
      <w:r>
        <w:rPr>
          <w:spacing w:val="1"/>
          <w:sz w:val="24"/>
        </w:rPr>
        <w:t xml:space="preserve"> </w:t>
      </w:r>
      <w:r>
        <w:rPr>
          <w:sz w:val="24"/>
        </w:rPr>
        <w:t>required</w:t>
      </w:r>
      <w:r>
        <w:rPr>
          <w:spacing w:val="1"/>
          <w:sz w:val="24"/>
        </w:rPr>
        <w:t xml:space="preserve"> </w:t>
      </w:r>
      <w:r>
        <w:rPr>
          <w:sz w:val="24"/>
        </w:rPr>
        <w:t>to</w:t>
      </w:r>
      <w:r>
        <w:rPr>
          <w:spacing w:val="2"/>
          <w:sz w:val="24"/>
        </w:rPr>
        <w:t xml:space="preserve"> </w:t>
      </w:r>
      <w:r>
        <w:rPr>
          <w:sz w:val="24"/>
        </w:rPr>
        <w:t>fully</w:t>
      </w:r>
      <w:r>
        <w:rPr>
          <w:spacing w:val="-1"/>
          <w:sz w:val="24"/>
        </w:rPr>
        <w:t xml:space="preserve"> </w:t>
      </w:r>
      <w:r>
        <w:rPr>
          <w:sz w:val="24"/>
        </w:rPr>
        <w:t>fund the</w:t>
      </w:r>
      <w:r>
        <w:rPr>
          <w:spacing w:val="1"/>
          <w:sz w:val="24"/>
        </w:rPr>
        <w:t xml:space="preserve"> </w:t>
      </w:r>
      <w:r>
        <w:rPr>
          <w:sz w:val="24"/>
        </w:rPr>
        <w:t>MTFJ</w:t>
      </w:r>
      <w:r>
        <w:rPr>
          <w:spacing w:val="1"/>
          <w:sz w:val="24"/>
        </w:rPr>
        <w:t xml:space="preserve"> </w:t>
      </w:r>
      <w:r>
        <w:rPr>
          <w:sz w:val="24"/>
        </w:rPr>
        <w:t>for</w:t>
      </w:r>
      <w:r>
        <w:rPr>
          <w:spacing w:val="-1"/>
          <w:sz w:val="24"/>
        </w:rPr>
        <w:t xml:space="preserve"> </w:t>
      </w:r>
      <w:r>
        <w:rPr>
          <w:sz w:val="24"/>
        </w:rPr>
        <w:t>2022/23.</w:t>
      </w:r>
      <w:r>
        <w:rPr>
          <w:spacing w:val="2"/>
          <w:sz w:val="24"/>
        </w:rPr>
        <w:t xml:space="preserve"> </w:t>
      </w:r>
      <w:r>
        <w:rPr>
          <w:sz w:val="24"/>
        </w:rPr>
        <w:t>MSD is</w:t>
      </w:r>
      <w:r>
        <w:rPr>
          <w:spacing w:val="1"/>
          <w:sz w:val="24"/>
        </w:rPr>
        <w:t xml:space="preserve"> </w:t>
      </w:r>
      <w:r>
        <w:rPr>
          <w:sz w:val="24"/>
        </w:rPr>
        <w:t xml:space="preserve">able to </w:t>
      </w:r>
      <w:r>
        <w:rPr>
          <w:spacing w:val="-4"/>
          <w:sz w:val="24"/>
        </w:rPr>
        <w:t>fund</w:t>
      </w:r>
    </w:p>
    <w:p w14:paraId="17F5C78E" w14:textId="77777777" w:rsidR="00AD79A7" w:rsidRDefault="00D44A60">
      <w:pPr>
        <w:pStyle w:val="BodyText"/>
        <w:ind w:left="1430" w:right="702"/>
        <w:jc w:val="both"/>
      </w:pPr>
      <w:r>
        <w:t>$8 million of this by reprioritising existing funding in 2022/23. Therefore, if Cabinet wishes to continue the programme at current level an additional $6 million is required.</w:t>
      </w:r>
    </w:p>
    <w:p w14:paraId="4AF549A8" w14:textId="77777777" w:rsidR="00AD79A7" w:rsidRDefault="00AD79A7">
      <w:pPr>
        <w:pStyle w:val="BodyText"/>
        <w:spacing w:before="10"/>
        <w:rPr>
          <w:sz w:val="20"/>
        </w:rPr>
      </w:pPr>
    </w:p>
    <w:p w14:paraId="3F179F47" w14:textId="77777777" w:rsidR="00AD79A7" w:rsidRDefault="00D44A60">
      <w:pPr>
        <w:pStyle w:val="ListParagraph"/>
        <w:numPr>
          <w:ilvl w:val="0"/>
          <w:numId w:val="2"/>
        </w:numPr>
        <w:tabs>
          <w:tab w:val="left" w:pos="1429"/>
          <w:tab w:val="left" w:pos="1430"/>
        </w:tabs>
        <w:ind w:right="702"/>
        <w:jc w:val="both"/>
        <w:rPr>
          <w:sz w:val="24"/>
        </w:rPr>
      </w:pPr>
      <w:r>
        <w:rPr>
          <w:sz w:val="24"/>
        </w:rPr>
        <w:t>I am seeking Cabinet’s approval to allocate $6 million from an underspend in Vo</w:t>
      </w:r>
      <w:r>
        <w:rPr>
          <w:sz w:val="24"/>
        </w:rPr>
        <w:t>te Social Development in 2021/22 to 2022/23 to fully fund the cost of the MTFJ until 30 June 2023.</w:t>
      </w:r>
    </w:p>
    <w:p w14:paraId="08463A31" w14:textId="77777777" w:rsidR="00AD79A7" w:rsidRDefault="00AD79A7">
      <w:pPr>
        <w:pStyle w:val="BodyText"/>
        <w:rPr>
          <w:sz w:val="21"/>
        </w:rPr>
      </w:pPr>
    </w:p>
    <w:p w14:paraId="093323A6" w14:textId="77777777" w:rsidR="00AD79A7" w:rsidRDefault="00D44A60">
      <w:pPr>
        <w:pStyle w:val="Heading2"/>
      </w:pPr>
      <w:bookmarkStart w:id="4" w:name="Background"/>
      <w:bookmarkEnd w:id="4"/>
      <w:r>
        <w:rPr>
          <w:spacing w:val="-2"/>
        </w:rPr>
        <w:t>Background</w:t>
      </w:r>
    </w:p>
    <w:p w14:paraId="09EB537A" w14:textId="77777777" w:rsidR="00AD79A7" w:rsidRDefault="00AD79A7">
      <w:pPr>
        <w:pStyle w:val="BodyText"/>
        <w:spacing w:before="9"/>
        <w:rPr>
          <w:rFonts w:ascii="Arial"/>
          <w:b/>
          <w:sz w:val="20"/>
        </w:rPr>
      </w:pPr>
    </w:p>
    <w:p w14:paraId="23EE1D54" w14:textId="77777777" w:rsidR="00AD79A7" w:rsidRDefault="00D44A60">
      <w:pPr>
        <w:pStyle w:val="ListParagraph"/>
        <w:numPr>
          <w:ilvl w:val="0"/>
          <w:numId w:val="2"/>
        </w:numPr>
        <w:tabs>
          <w:tab w:val="left" w:pos="1429"/>
          <w:tab w:val="left" w:pos="1430"/>
        </w:tabs>
        <w:ind w:right="696"/>
        <w:jc w:val="both"/>
        <w:rPr>
          <w:sz w:val="24"/>
        </w:rPr>
      </w:pPr>
      <w:r>
        <w:rPr>
          <w:sz w:val="24"/>
        </w:rPr>
        <w:t>The Mayor’s Taskforce for Jobs (MTFJ) is a Ministry of Social Development partnership with Local Government New Zealand (LGNZ). The MTFJ support</w:t>
      </w:r>
      <w:r>
        <w:rPr>
          <w:sz w:val="24"/>
        </w:rPr>
        <w:t>s regional and provincial councils throughout New Zealand to deliver</w:t>
      </w:r>
      <w:r>
        <w:rPr>
          <w:spacing w:val="40"/>
          <w:sz w:val="24"/>
        </w:rPr>
        <w:t xml:space="preserve"> </w:t>
      </w:r>
      <w:r>
        <w:rPr>
          <w:sz w:val="24"/>
        </w:rPr>
        <w:t xml:space="preserve">programmes that support youth employment and other youth focussed issues, including vehicle licensing, youth suicide, </w:t>
      </w:r>
      <w:proofErr w:type="spellStart"/>
      <w:r>
        <w:rPr>
          <w:sz w:val="24"/>
        </w:rPr>
        <w:t>rangatahi</w:t>
      </w:r>
      <w:proofErr w:type="spellEnd"/>
      <w:r>
        <w:rPr>
          <w:sz w:val="24"/>
        </w:rPr>
        <w:t xml:space="preserve"> Māori leadership,</w:t>
      </w:r>
      <w:r>
        <w:rPr>
          <w:spacing w:val="40"/>
          <w:sz w:val="24"/>
        </w:rPr>
        <w:t xml:space="preserve"> </w:t>
      </w:r>
      <w:r>
        <w:rPr>
          <w:sz w:val="24"/>
        </w:rPr>
        <w:t>education and training. MTJF engages dire</w:t>
      </w:r>
      <w:r>
        <w:rPr>
          <w:sz w:val="24"/>
        </w:rPr>
        <w:t>ctly with agencies, including MSD and the Ministry of Youth Development on specific issues, and also deliver a number of programmes. MTFJ is one of 25+ partnerships included in the Construction Accord: Skills for Industry portfolio. The Portfolio (includin</w:t>
      </w:r>
      <w:r>
        <w:rPr>
          <w:sz w:val="24"/>
        </w:rPr>
        <w:t>g MTFJ) has had 8,469 participants to date, with 80% now in permanent employment. Māori and Youth are the largest ethnic and age groups supported through these programmes.</w:t>
      </w:r>
    </w:p>
    <w:p w14:paraId="00E7E73A" w14:textId="77777777" w:rsidR="00AD79A7" w:rsidRDefault="00AD79A7">
      <w:pPr>
        <w:jc w:val="both"/>
        <w:rPr>
          <w:sz w:val="24"/>
        </w:rPr>
        <w:sectPr w:rsidR="00AD79A7">
          <w:headerReference w:type="default" r:id="rId7"/>
          <w:footerReference w:type="default" r:id="rId8"/>
          <w:type w:val="continuous"/>
          <w:pgSz w:w="11910" w:h="16840"/>
          <w:pgMar w:top="1340" w:right="740" w:bottom="1180" w:left="1300" w:header="715" w:footer="983" w:gutter="0"/>
          <w:pgNumType w:start="1"/>
          <w:cols w:space="720"/>
        </w:sectPr>
      </w:pPr>
    </w:p>
    <w:p w14:paraId="5B9E4907" w14:textId="77777777" w:rsidR="00AD79A7" w:rsidRDefault="00D44A60">
      <w:pPr>
        <w:pStyle w:val="ListParagraph"/>
        <w:numPr>
          <w:ilvl w:val="0"/>
          <w:numId w:val="2"/>
        </w:numPr>
        <w:tabs>
          <w:tab w:val="left" w:pos="1429"/>
          <w:tab w:val="left" w:pos="1430"/>
        </w:tabs>
        <w:spacing w:before="81"/>
        <w:jc w:val="both"/>
        <w:rPr>
          <w:sz w:val="24"/>
        </w:rPr>
      </w:pPr>
      <w:r>
        <w:rPr>
          <w:sz w:val="24"/>
        </w:rPr>
        <w:t>In July 2021, Ministers for Social Development and Employment, Local Government, Māori Development and Youth signed a Memorandum of Understanding with the MTFJ and LGNZ to collaborate with the ambition to</w:t>
      </w:r>
      <w:r>
        <w:rPr>
          <w:spacing w:val="40"/>
          <w:sz w:val="24"/>
        </w:rPr>
        <w:t xml:space="preserve"> </w:t>
      </w:r>
      <w:r>
        <w:rPr>
          <w:sz w:val="24"/>
        </w:rPr>
        <w:t>see all young people under the age of 25 engaged in</w:t>
      </w:r>
      <w:r>
        <w:rPr>
          <w:sz w:val="24"/>
        </w:rPr>
        <w:t xml:space="preserve"> education, training or employment or other positive activity that will support their growth and </w:t>
      </w:r>
      <w:r>
        <w:rPr>
          <w:spacing w:val="-2"/>
          <w:sz w:val="24"/>
        </w:rPr>
        <w:t>development</w:t>
      </w:r>
    </w:p>
    <w:p w14:paraId="62646AC8" w14:textId="77777777" w:rsidR="00AD79A7" w:rsidRDefault="00AD79A7">
      <w:pPr>
        <w:pStyle w:val="BodyText"/>
        <w:spacing w:before="10"/>
        <w:rPr>
          <w:sz w:val="20"/>
        </w:rPr>
      </w:pPr>
    </w:p>
    <w:p w14:paraId="41616CC6" w14:textId="77777777" w:rsidR="00AD79A7" w:rsidRDefault="00D44A60">
      <w:pPr>
        <w:pStyle w:val="ListParagraph"/>
        <w:numPr>
          <w:ilvl w:val="0"/>
          <w:numId w:val="2"/>
        </w:numPr>
        <w:tabs>
          <w:tab w:val="left" w:pos="1429"/>
          <w:tab w:val="left" w:pos="1430"/>
        </w:tabs>
        <w:ind w:right="701"/>
        <w:jc w:val="both"/>
        <w:rPr>
          <w:sz w:val="24"/>
        </w:rPr>
      </w:pPr>
      <w:r>
        <w:rPr>
          <w:sz w:val="24"/>
        </w:rPr>
        <w:t>Over the</w:t>
      </w:r>
      <w:r>
        <w:rPr>
          <w:spacing w:val="-1"/>
          <w:sz w:val="24"/>
        </w:rPr>
        <w:t xml:space="preserve"> </w:t>
      </w:r>
      <w:r>
        <w:rPr>
          <w:sz w:val="24"/>
        </w:rPr>
        <w:t>last three Budget</w:t>
      </w:r>
      <w:r>
        <w:rPr>
          <w:spacing w:val="-2"/>
          <w:sz w:val="24"/>
        </w:rPr>
        <w:t xml:space="preserve"> </w:t>
      </w:r>
      <w:r>
        <w:rPr>
          <w:sz w:val="24"/>
        </w:rPr>
        <w:t>cycles the MTFJ,</w:t>
      </w:r>
      <w:r>
        <w:rPr>
          <w:spacing w:val="-1"/>
          <w:sz w:val="24"/>
        </w:rPr>
        <w:t xml:space="preserve"> </w:t>
      </w:r>
      <w:r>
        <w:rPr>
          <w:sz w:val="24"/>
        </w:rPr>
        <w:t>through</w:t>
      </w:r>
      <w:r>
        <w:rPr>
          <w:spacing w:val="-1"/>
          <w:sz w:val="24"/>
        </w:rPr>
        <w:t xml:space="preserve"> </w:t>
      </w:r>
      <w:r>
        <w:rPr>
          <w:sz w:val="24"/>
        </w:rPr>
        <w:t>partnership with MSD,</w:t>
      </w:r>
      <w:r>
        <w:rPr>
          <w:spacing w:val="-1"/>
          <w:sz w:val="24"/>
        </w:rPr>
        <w:t xml:space="preserve"> </w:t>
      </w:r>
      <w:r>
        <w:rPr>
          <w:sz w:val="24"/>
        </w:rPr>
        <w:t>has been funded to deliver initiatives that target youth and those disad</w:t>
      </w:r>
      <w:r>
        <w:rPr>
          <w:sz w:val="24"/>
        </w:rPr>
        <w:t>vantaged in the labour market due to the effects of Covid-19.</w:t>
      </w:r>
    </w:p>
    <w:p w14:paraId="5196B3E8" w14:textId="77777777" w:rsidR="00AD79A7" w:rsidRDefault="00AD79A7">
      <w:pPr>
        <w:pStyle w:val="BodyText"/>
        <w:spacing w:before="10"/>
        <w:rPr>
          <w:sz w:val="20"/>
        </w:rPr>
      </w:pPr>
    </w:p>
    <w:p w14:paraId="1D80AC2A" w14:textId="77777777" w:rsidR="00AD79A7" w:rsidRDefault="00D44A60">
      <w:pPr>
        <w:pStyle w:val="ListParagraph"/>
        <w:numPr>
          <w:ilvl w:val="0"/>
          <w:numId w:val="2"/>
        </w:numPr>
        <w:tabs>
          <w:tab w:val="left" w:pos="1429"/>
          <w:tab w:val="left" w:pos="1430"/>
        </w:tabs>
        <w:ind w:right="699"/>
        <w:jc w:val="both"/>
        <w:rPr>
          <w:sz w:val="24"/>
        </w:rPr>
      </w:pPr>
      <w:r>
        <w:rPr>
          <w:sz w:val="24"/>
        </w:rPr>
        <w:t>A community recovery pilot was initiated in 2019/20 with four councils. Based on this pilot, and through the discussions with the MTFJ governance group, it was identified that funding was needed to support smaller Councils (with a population less than 20,0</w:t>
      </w:r>
      <w:r>
        <w:rPr>
          <w:sz w:val="24"/>
        </w:rPr>
        <w:t>00) who are actively engaging with Government agencies, iwi, Employer and Community partners and networks to support employment outcomes.</w:t>
      </w:r>
    </w:p>
    <w:p w14:paraId="6C599BC6" w14:textId="77777777" w:rsidR="00AD79A7" w:rsidRDefault="00AD79A7">
      <w:pPr>
        <w:pStyle w:val="BodyText"/>
        <w:spacing w:before="10"/>
        <w:rPr>
          <w:sz w:val="20"/>
        </w:rPr>
      </w:pPr>
    </w:p>
    <w:p w14:paraId="44B9F6F0" w14:textId="77777777" w:rsidR="00AD79A7" w:rsidRDefault="00D44A60">
      <w:pPr>
        <w:pStyle w:val="ListParagraph"/>
        <w:numPr>
          <w:ilvl w:val="0"/>
          <w:numId w:val="2"/>
        </w:numPr>
        <w:tabs>
          <w:tab w:val="left" w:pos="1430"/>
        </w:tabs>
        <w:jc w:val="both"/>
        <w:rPr>
          <w:sz w:val="24"/>
        </w:rPr>
      </w:pPr>
      <w:r>
        <w:rPr>
          <w:sz w:val="24"/>
        </w:rPr>
        <w:t>With funding from the 2020 Wellbeing Budget, the pilot scheme was expanded to include 29 rural and provincial council</w:t>
      </w:r>
      <w:r>
        <w:rPr>
          <w:sz w:val="24"/>
        </w:rPr>
        <w:t>s and is supported by a wide range of community partners including iwi and Chambers of Commerce. The funding is flexible, which means that an individualised and local based approach is taken when supporting those</w:t>
      </w:r>
      <w:r>
        <w:rPr>
          <w:spacing w:val="-1"/>
          <w:sz w:val="24"/>
        </w:rPr>
        <w:t xml:space="preserve"> </w:t>
      </w:r>
      <w:r>
        <w:rPr>
          <w:sz w:val="24"/>
        </w:rPr>
        <w:t>young</w:t>
      </w:r>
      <w:r>
        <w:rPr>
          <w:spacing w:val="-2"/>
          <w:sz w:val="24"/>
        </w:rPr>
        <w:t xml:space="preserve"> </w:t>
      </w:r>
      <w:r>
        <w:rPr>
          <w:sz w:val="24"/>
        </w:rPr>
        <w:t>people into work. The council can pro</w:t>
      </w:r>
      <w:r>
        <w:rPr>
          <w:sz w:val="24"/>
        </w:rPr>
        <w:t>vide a</w:t>
      </w:r>
      <w:r>
        <w:rPr>
          <w:spacing w:val="-1"/>
          <w:sz w:val="24"/>
        </w:rPr>
        <w:t xml:space="preserve"> </w:t>
      </w:r>
      <w:r>
        <w:rPr>
          <w:sz w:val="24"/>
        </w:rPr>
        <w:t>wage subsidy for the employer to take on a young person, cover the costs of training (including driver licencing), tool/boot subsidies and other incentives. All councils are working closely with the Ministry of Social Development, to</w:t>
      </w:r>
      <w:r>
        <w:rPr>
          <w:spacing w:val="40"/>
          <w:sz w:val="24"/>
        </w:rPr>
        <w:t xml:space="preserve"> </w:t>
      </w:r>
      <w:r>
        <w:rPr>
          <w:sz w:val="24"/>
        </w:rPr>
        <w:t>ensure that the</w:t>
      </w:r>
      <w:r>
        <w:rPr>
          <w:sz w:val="24"/>
        </w:rPr>
        <w:t>re is no duplication of services or resource.</w:t>
      </w:r>
    </w:p>
    <w:p w14:paraId="2D432058" w14:textId="77777777" w:rsidR="00AD79A7" w:rsidRDefault="00AD79A7">
      <w:pPr>
        <w:pStyle w:val="BodyText"/>
        <w:spacing w:before="10"/>
        <w:rPr>
          <w:sz w:val="20"/>
        </w:rPr>
      </w:pPr>
    </w:p>
    <w:p w14:paraId="033C8A91" w14:textId="77777777" w:rsidR="00AD79A7" w:rsidRDefault="00D44A60">
      <w:pPr>
        <w:pStyle w:val="ListParagraph"/>
        <w:numPr>
          <w:ilvl w:val="0"/>
          <w:numId w:val="2"/>
        </w:numPr>
        <w:tabs>
          <w:tab w:val="left" w:pos="1429"/>
          <w:tab w:val="left" w:pos="1430"/>
        </w:tabs>
        <w:spacing w:before="1"/>
        <w:ind w:right="0"/>
        <w:rPr>
          <w:sz w:val="24"/>
        </w:rPr>
      </w:pPr>
      <w:r>
        <w:rPr>
          <w:sz w:val="24"/>
        </w:rPr>
        <w:t>Previous</w:t>
      </w:r>
      <w:r>
        <w:rPr>
          <w:spacing w:val="-2"/>
          <w:sz w:val="24"/>
        </w:rPr>
        <w:t xml:space="preserve"> </w:t>
      </w:r>
      <w:r>
        <w:rPr>
          <w:sz w:val="24"/>
        </w:rPr>
        <w:t>funding</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MTFJ</w:t>
      </w:r>
      <w:r>
        <w:rPr>
          <w:spacing w:val="-1"/>
          <w:sz w:val="24"/>
        </w:rPr>
        <w:t xml:space="preserve"> </w:t>
      </w:r>
      <w:r>
        <w:rPr>
          <w:sz w:val="24"/>
        </w:rPr>
        <w:t>has</w:t>
      </w:r>
      <w:r>
        <w:rPr>
          <w:spacing w:val="-1"/>
          <w:sz w:val="24"/>
        </w:rPr>
        <w:t xml:space="preserve"> </w:t>
      </w:r>
      <w:r>
        <w:rPr>
          <w:spacing w:val="-2"/>
          <w:sz w:val="24"/>
        </w:rPr>
        <w:t>included:</w:t>
      </w:r>
    </w:p>
    <w:p w14:paraId="449C91CD" w14:textId="77777777" w:rsidR="00AD79A7" w:rsidRDefault="00AD79A7">
      <w:pPr>
        <w:pStyle w:val="BodyText"/>
        <w:spacing w:before="9" w:after="1"/>
        <w:rPr>
          <w:sz w:val="20"/>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1466"/>
        <w:gridCol w:w="2614"/>
        <w:gridCol w:w="2912"/>
      </w:tblGrid>
      <w:tr w:rsidR="00AD79A7" w14:paraId="6AF9FB4C" w14:textId="77777777">
        <w:trPr>
          <w:trHeight w:val="792"/>
        </w:trPr>
        <w:tc>
          <w:tcPr>
            <w:tcW w:w="1304" w:type="dxa"/>
          </w:tcPr>
          <w:p w14:paraId="459236FF" w14:textId="77777777" w:rsidR="00AD79A7" w:rsidRDefault="00D44A60">
            <w:pPr>
              <w:pStyle w:val="TableParagraph"/>
              <w:ind w:right="221"/>
              <w:rPr>
                <w:b/>
                <w:sz w:val="24"/>
              </w:rPr>
            </w:pPr>
            <w:r>
              <w:rPr>
                <w:b/>
                <w:spacing w:val="-2"/>
                <w:sz w:val="24"/>
              </w:rPr>
              <w:t xml:space="preserve">Financial </w:t>
            </w:r>
            <w:r>
              <w:rPr>
                <w:b/>
                <w:spacing w:val="-4"/>
                <w:sz w:val="24"/>
              </w:rPr>
              <w:t>Year</w:t>
            </w:r>
          </w:p>
        </w:tc>
        <w:tc>
          <w:tcPr>
            <w:tcW w:w="1466" w:type="dxa"/>
          </w:tcPr>
          <w:p w14:paraId="1554B718" w14:textId="77777777" w:rsidR="00AD79A7" w:rsidRDefault="00D44A60">
            <w:pPr>
              <w:pStyle w:val="TableParagraph"/>
              <w:rPr>
                <w:b/>
                <w:sz w:val="24"/>
              </w:rPr>
            </w:pPr>
            <w:r>
              <w:rPr>
                <w:b/>
                <w:spacing w:val="-2"/>
                <w:sz w:val="24"/>
              </w:rPr>
              <w:t>Contracted funding</w:t>
            </w:r>
          </w:p>
        </w:tc>
        <w:tc>
          <w:tcPr>
            <w:tcW w:w="2614" w:type="dxa"/>
          </w:tcPr>
          <w:p w14:paraId="6E00E11E" w14:textId="77777777" w:rsidR="00AD79A7" w:rsidRDefault="00D44A60">
            <w:pPr>
              <w:pStyle w:val="TableParagraph"/>
              <w:tabs>
                <w:tab w:val="left" w:pos="1328"/>
                <w:tab w:val="left" w:pos="2227"/>
              </w:tabs>
              <w:ind w:right="94"/>
              <w:rPr>
                <w:b/>
                <w:sz w:val="24"/>
              </w:rPr>
            </w:pPr>
            <w:r>
              <w:rPr>
                <w:b/>
                <w:spacing w:val="-2"/>
                <w:sz w:val="24"/>
              </w:rPr>
              <w:t>Funding</w:t>
            </w:r>
            <w:r>
              <w:rPr>
                <w:b/>
                <w:sz w:val="24"/>
              </w:rPr>
              <w:tab/>
            </w:r>
            <w:r>
              <w:rPr>
                <w:b/>
                <w:spacing w:val="-4"/>
                <w:sz w:val="24"/>
              </w:rPr>
              <w:t>spent</w:t>
            </w:r>
            <w:r>
              <w:rPr>
                <w:b/>
                <w:sz w:val="24"/>
              </w:rPr>
              <w:tab/>
            </w:r>
            <w:r>
              <w:rPr>
                <w:b/>
                <w:spacing w:val="-4"/>
                <w:sz w:val="24"/>
              </w:rPr>
              <w:t xml:space="preserve">(to </w:t>
            </w:r>
            <w:r>
              <w:rPr>
                <w:b/>
                <w:spacing w:val="-2"/>
                <w:sz w:val="24"/>
              </w:rPr>
              <w:t>date</w:t>
            </w:r>
            <w:bookmarkStart w:id="5" w:name="_bookmark0"/>
            <w:bookmarkEnd w:id="5"/>
            <w:r>
              <w:rPr>
                <w:b/>
                <w:spacing w:val="-2"/>
                <w:sz w:val="24"/>
              </w:rPr>
              <w:t>)</w:t>
            </w:r>
            <w:hyperlink w:anchor="_bookmark1" w:history="1">
              <w:r>
                <w:rPr>
                  <w:b/>
                  <w:spacing w:val="-2"/>
                  <w:sz w:val="24"/>
                  <w:vertAlign w:val="superscript"/>
                </w:rPr>
                <w:t>1</w:t>
              </w:r>
            </w:hyperlink>
          </w:p>
        </w:tc>
        <w:tc>
          <w:tcPr>
            <w:tcW w:w="2912" w:type="dxa"/>
          </w:tcPr>
          <w:p w14:paraId="32C92E17" w14:textId="77777777" w:rsidR="00AD79A7" w:rsidRDefault="00D44A60">
            <w:pPr>
              <w:pStyle w:val="TableParagraph"/>
              <w:rPr>
                <w:b/>
                <w:sz w:val="24"/>
              </w:rPr>
            </w:pPr>
            <w:r>
              <w:rPr>
                <w:b/>
                <w:spacing w:val="-2"/>
                <w:sz w:val="24"/>
              </w:rPr>
              <w:t>Context</w:t>
            </w:r>
          </w:p>
        </w:tc>
      </w:tr>
      <w:tr w:rsidR="00AD79A7" w14:paraId="32414A4F" w14:textId="77777777">
        <w:trPr>
          <w:trHeight w:val="2447"/>
        </w:trPr>
        <w:tc>
          <w:tcPr>
            <w:tcW w:w="1304" w:type="dxa"/>
          </w:tcPr>
          <w:p w14:paraId="132A95BD" w14:textId="77777777" w:rsidR="00AD79A7" w:rsidRDefault="00D44A60">
            <w:pPr>
              <w:pStyle w:val="TableParagraph"/>
              <w:rPr>
                <w:sz w:val="24"/>
              </w:rPr>
            </w:pPr>
            <w:r>
              <w:rPr>
                <w:spacing w:val="-2"/>
                <w:sz w:val="24"/>
              </w:rPr>
              <w:t>2019/20</w:t>
            </w:r>
          </w:p>
        </w:tc>
        <w:tc>
          <w:tcPr>
            <w:tcW w:w="1466" w:type="dxa"/>
          </w:tcPr>
          <w:p w14:paraId="63BF2257" w14:textId="77777777" w:rsidR="00AD79A7" w:rsidRDefault="00D44A60">
            <w:pPr>
              <w:pStyle w:val="TableParagraph"/>
              <w:rPr>
                <w:sz w:val="24"/>
              </w:rPr>
            </w:pPr>
            <w:r>
              <w:rPr>
                <w:spacing w:val="-2"/>
                <w:sz w:val="24"/>
              </w:rPr>
              <w:t>$400,000</w:t>
            </w:r>
          </w:p>
        </w:tc>
        <w:tc>
          <w:tcPr>
            <w:tcW w:w="2614" w:type="dxa"/>
          </w:tcPr>
          <w:p w14:paraId="369543AA" w14:textId="77777777" w:rsidR="00AD79A7" w:rsidRDefault="00D44A60">
            <w:pPr>
              <w:pStyle w:val="TableParagraph"/>
              <w:rPr>
                <w:sz w:val="24"/>
              </w:rPr>
            </w:pPr>
            <w:r>
              <w:rPr>
                <w:spacing w:val="-2"/>
                <w:sz w:val="24"/>
              </w:rPr>
              <w:t>$400,000</w:t>
            </w:r>
          </w:p>
        </w:tc>
        <w:tc>
          <w:tcPr>
            <w:tcW w:w="2912" w:type="dxa"/>
          </w:tcPr>
          <w:p w14:paraId="1751A55B" w14:textId="77777777" w:rsidR="00AD79A7" w:rsidRDefault="00D44A60">
            <w:pPr>
              <w:pStyle w:val="TableParagraph"/>
              <w:tabs>
                <w:tab w:val="left" w:pos="2086"/>
              </w:tabs>
              <w:ind w:right="95"/>
              <w:jc w:val="both"/>
              <w:rPr>
                <w:sz w:val="24"/>
              </w:rPr>
            </w:pPr>
            <w:r>
              <w:rPr>
                <w:sz w:val="24"/>
              </w:rPr>
              <w:t>A Community Recovery Pilot with four Councils (</w:t>
            </w:r>
            <w:proofErr w:type="spellStart"/>
            <w:r>
              <w:rPr>
                <w:sz w:val="24"/>
              </w:rPr>
              <w:t>Ōpōtiki</w:t>
            </w:r>
            <w:proofErr w:type="spellEnd"/>
            <w:r>
              <w:rPr>
                <w:sz w:val="24"/>
              </w:rPr>
              <w:t xml:space="preserve"> District Council, Central Hawke's Bay District</w:t>
            </w:r>
            <w:r>
              <w:rPr>
                <w:spacing w:val="-2"/>
                <w:sz w:val="24"/>
              </w:rPr>
              <w:t xml:space="preserve"> </w:t>
            </w:r>
            <w:r>
              <w:rPr>
                <w:sz w:val="24"/>
              </w:rPr>
              <w:t>Council,</w:t>
            </w:r>
            <w:r>
              <w:rPr>
                <w:spacing w:val="-2"/>
                <w:sz w:val="24"/>
              </w:rPr>
              <w:t xml:space="preserve"> </w:t>
            </w:r>
            <w:proofErr w:type="spellStart"/>
            <w:r>
              <w:rPr>
                <w:sz w:val="24"/>
              </w:rPr>
              <w:t>Rangitīkei</w:t>
            </w:r>
            <w:proofErr w:type="spellEnd"/>
            <w:r>
              <w:rPr>
                <w:sz w:val="24"/>
              </w:rPr>
              <w:t xml:space="preserve"> District Council and South </w:t>
            </w:r>
            <w:r>
              <w:rPr>
                <w:spacing w:val="-2"/>
                <w:sz w:val="24"/>
              </w:rPr>
              <w:t>Wairarapa</w:t>
            </w:r>
            <w:r>
              <w:rPr>
                <w:sz w:val="24"/>
              </w:rPr>
              <w:tab/>
            </w:r>
            <w:r>
              <w:rPr>
                <w:spacing w:val="-2"/>
                <w:sz w:val="24"/>
              </w:rPr>
              <w:t>District Council).</w:t>
            </w:r>
          </w:p>
        </w:tc>
      </w:tr>
      <w:tr w:rsidR="00AD79A7" w14:paraId="333C563F" w14:textId="77777777">
        <w:trPr>
          <w:trHeight w:val="1932"/>
        </w:trPr>
        <w:tc>
          <w:tcPr>
            <w:tcW w:w="1304" w:type="dxa"/>
          </w:tcPr>
          <w:p w14:paraId="0DCC7FA9" w14:textId="77777777" w:rsidR="00AD79A7" w:rsidRDefault="00D44A60">
            <w:pPr>
              <w:pStyle w:val="TableParagraph"/>
              <w:rPr>
                <w:sz w:val="24"/>
              </w:rPr>
            </w:pPr>
            <w:r>
              <w:rPr>
                <w:spacing w:val="-2"/>
                <w:sz w:val="24"/>
              </w:rPr>
              <w:t>2020/21</w:t>
            </w:r>
          </w:p>
        </w:tc>
        <w:tc>
          <w:tcPr>
            <w:tcW w:w="1466" w:type="dxa"/>
          </w:tcPr>
          <w:p w14:paraId="794A2A64" w14:textId="77777777" w:rsidR="00AD79A7" w:rsidRDefault="00D44A60">
            <w:pPr>
              <w:pStyle w:val="TableParagraph"/>
              <w:rPr>
                <w:sz w:val="24"/>
              </w:rPr>
            </w:pPr>
            <w:r>
              <w:rPr>
                <w:spacing w:val="-2"/>
                <w:sz w:val="24"/>
              </w:rPr>
              <w:t>$12,150,000</w:t>
            </w:r>
          </w:p>
        </w:tc>
        <w:tc>
          <w:tcPr>
            <w:tcW w:w="2614" w:type="dxa"/>
          </w:tcPr>
          <w:p w14:paraId="2D4940C8" w14:textId="77777777" w:rsidR="00AD79A7" w:rsidRDefault="00D44A60">
            <w:pPr>
              <w:pStyle w:val="TableParagraph"/>
              <w:rPr>
                <w:sz w:val="24"/>
              </w:rPr>
            </w:pPr>
            <w:r>
              <w:rPr>
                <w:spacing w:val="-2"/>
                <w:sz w:val="24"/>
              </w:rPr>
              <w:t>$11,750,000</w:t>
            </w:r>
          </w:p>
        </w:tc>
        <w:tc>
          <w:tcPr>
            <w:tcW w:w="2912" w:type="dxa"/>
          </w:tcPr>
          <w:p w14:paraId="6E46F545" w14:textId="77777777" w:rsidR="00AD79A7" w:rsidRDefault="00D44A60">
            <w:pPr>
              <w:pStyle w:val="TableParagraph"/>
              <w:spacing w:line="270" w:lineRule="atLeast"/>
              <w:ind w:right="94"/>
              <w:jc w:val="both"/>
              <w:rPr>
                <w:sz w:val="24"/>
              </w:rPr>
            </w:pPr>
            <w:r>
              <w:rPr>
                <w:sz w:val="24"/>
              </w:rPr>
              <w:t>The Wellbeing Budget</w:t>
            </w:r>
            <w:r>
              <w:rPr>
                <w:spacing w:val="40"/>
                <w:sz w:val="24"/>
              </w:rPr>
              <w:t xml:space="preserve"> </w:t>
            </w:r>
            <w:r>
              <w:rPr>
                <w:sz w:val="24"/>
              </w:rPr>
              <w:t>2020</w:t>
            </w:r>
            <w:r>
              <w:rPr>
                <w:spacing w:val="-5"/>
                <w:sz w:val="24"/>
              </w:rPr>
              <w:t xml:space="preserve"> </w:t>
            </w:r>
            <w:r>
              <w:rPr>
                <w:sz w:val="24"/>
              </w:rPr>
              <w:t>for</w:t>
            </w:r>
            <w:r>
              <w:rPr>
                <w:spacing w:val="-7"/>
                <w:sz w:val="24"/>
              </w:rPr>
              <w:t xml:space="preserve"> </w:t>
            </w:r>
            <w:r>
              <w:rPr>
                <w:sz w:val="24"/>
              </w:rPr>
              <w:t>MSD’s</w:t>
            </w:r>
            <w:r>
              <w:rPr>
                <w:spacing w:val="-5"/>
                <w:sz w:val="24"/>
              </w:rPr>
              <w:t xml:space="preserve"> </w:t>
            </w:r>
            <w:r>
              <w:rPr>
                <w:sz w:val="24"/>
              </w:rPr>
              <w:t>Expanding Skills for industry</w:t>
            </w:r>
            <w:r>
              <w:rPr>
                <w:spacing w:val="40"/>
                <w:sz w:val="24"/>
              </w:rPr>
              <w:t xml:space="preserve"> </w:t>
            </w:r>
            <w:r>
              <w:rPr>
                <w:sz w:val="24"/>
              </w:rPr>
              <w:t>initiative, under the Construction Skills Action Plan (CSAP) to support Covid-19 recovery.</w:t>
            </w:r>
          </w:p>
        </w:tc>
      </w:tr>
    </w:tbl>
    <w:p w14:paraId="2CC5843B" w14:textId="77777777" w:rsidR="00AD79A7" w:rsidRDefault="00D44A60">
      <w:pPr>
        <w:pStyle w:val="BodyText"/>
        <w:spacing w:before="2"/>
        <w:rPr>
          <w:sz w:val="8"/>
        </w:rPr>
      </w:pPr>
      <w:r>
        <w:pict w14:anchorId="2F57D36A">
          <v:rect id="docshape5" o:spid="_x0000_s1028" style="position:absolute;margin-left:1in;margin-top:5.9pt;width:112.8pt;height:.5pt;z-index:-15728640;mso-wrap-distance-left:0;mso-wrap-distance-right:0;mso-position-horizontal-relative:page;mso-position-vertical-relative:text" fillcolor="black" stroked="f">
            <w10:wrap type="topAndBottom" anchorx="page"/>
          </v:rect>
        </w:pict>
      </w:r>
    </w:p>
    <w:bookmarkStart w:id="6" w:name="_bookmark1"/>
    <w:bookmarkEnd w:id="6"/>
    <w:p w14:paraId="306EA101" w14:textId="77777777" w:rsidR="00AD79A7" w:rsidRDefault="00D44A60">
      <w:pPr>
        <w:spacing w:before="58"/>
        <w:ind w:left="141" w:right="623"/>
        <w:rPr>
          <w:sz w:val="20"/>
        </w:rPr>
      </w:pPr>
      <w:r>
        <w:fldChar w:fldCharType="begin"/>
      </w:r>
      <w:r>
        <w:instrText xml:space="preserve"> HYPERLINK \l "_bookmark0" </w:instrText>
      </w:r>
      <w:r>
        <w:fldChar w:fldCharType="separate"/>
      </w:r>
      <w:r>
        <w:rPr>
          <w:sz w:val="20"/>
          <w:vertAlign w:val="superscript"/>
        </w:rPr>
        <w:t>1</w:t>
      </w:r>
      <w:r>
        <w:rPr>
          <w:sz w:val="20"/>
          <w:vertAlign w:val="superscript"/>
        </w:rPr>
        <w:fldChar w:fldCharType="end"/>
      </w:r>
      <w:r>
        <w:rPr>
          <w:spacing w:val="80"/>
          <w:sz w:val="20"/>
        </w:rPr>
        <w:t xml:space="preserve"> </w:t>
      </w:r>
      <w:r>
        <w:rPr>
          <w:sz w:val="20"/>
        </w:rPr>
        <w:t>These</w:t>
      </w:r>
      <w:r>
        <w:rPr>
          <w:spacing w:val="-2"/>
          <w:sz w:val="20"/>
        </w:rPr>
        <w:t xml:space="preserve"> </w:t>
      </w:r>
      <w:r>
        <w:rPr>
          <w:sz w:val="20"/>
        </w:rPr>
        <w:t>figures</w:t>
      </w:r>
      <w:r>
        <w:rPr>
          <w:spacing w:val="-2"/>
          <w:sz w:val="20"/>
        </w:rPr>
        <w:t xml:space="preserve"> </w:t>
      </w:r>
      <w:r>
        <w:rPr>
          <w:sz w:val="20"/>
        </w:rPr>
        <w:t>may</w:t>
      </w:r>
      <w:r>
        <w:rPr>
          <w:spacing w:val="-3"/>
          <w:sz w:val="20"/>
        </w:rPr>
        <w:t xml:space="preserve"> </w:t>
      </w:r>
      <w:r>
        <w:rPr>
          <w:sz w:val="20"/>
        </w:rPr>
        <w:t>be</w:t>
      </w:r>
      <w:r>
        <w:rPr>
          <w:spacing w:val="-4"/>
          <w:sz w:val="20"/>
        </w:rPr>
        <w:t xml:space="preserve"> </w:t>
      </w:r>
      <w:r>
        <w:rPr>
          <w:sz w:val="20"/>
        </w:rPr>
        <w:t>subject</w:t>
      </w:r>
      <w:r>
        <w:rPr>
          <w:spacing w:val="-1"/>
          <w:sz w:val="20"/>
        </w:rPr>
        <w:t xml:space="preserve"> </w:t>
      </w:r>
      <w:r>
        <w:rPr>
          <w:sz w:val="20"/>
        </w:rPr>
        <w:t>to</w:t>
      </w:r>
      <w:r>
        <w:rPr>
          <w:spacing w:val="-3"/>
          <w:sz w:val="20"/>
        </w:rPr>
        <w:t xml:space="preserve"> </w:t>
      </w:r>
      <w:r>
        <w:rPr>
          <w:sz w:val="20"/>
        </w:rPr>
        <w:t>change due</w:t>
      </w:r>
      <w:r>
        <w:rPr>
          <w:spacing w:val="-4"/>
          <w:sz w:val="20"/>
        </w:rPr>
        <w:t xml:space="preserve"> </w:t>
      </w:r>
      <w:r>
        <w:rPr>
          <w:sz w:val="20"/>
        </w:rPr>
        <w:t>to</w:t>
      </w:r>
      <w:r>
        <w:rPr>
          <w:spacing w:val="-3"/>
          <w:sz w:val="20"/>
        </w:rPr>
        <w:t xml:space="preserve"> </w:t>
      </w:r>
      <w:r>
        <w:rPr>
          <w:sz w:val="20"/>
        </w:rPr>
        <w:t>audit</w:t>
      </w:r>
      <w:r>
        <w:rPr>
          <w:spacing w:val="-3"/>
          <w:sz w:val="20"/>
        </w:rPr>
        <w:t xml:space="preserve"> </w:t>
      </w:r>
      <w:r>
        <w:rPr>
          <w:sz w:val="20"/>
        </w:rPr>
        <w:t>processes</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backdating</w:t>
      </w:r>
      <w:r>
        <w:rPr>
          <w:spacing w:val="-3"/>
          <w:sz w:val="20"/>
        </w:rPr>
        <w:t xml:space="preserve"> </w:t>
      </w:r>
      <w:r>
        <w:rPr>
          <w:sz w:val="20"/>
        </w:rPr>
        <w:t>of</w:t>
      </w:r>
      <w:r>
        <w:rPr>
          <w:spacing w:val="-2"/>
          <w:sz w:val="20"/>
        </w:rPr>
        <w:t xml:space="preserve"> </w:t>
      </w:r>
      <w:r>
        <w:rPr>
          <w:sz w:val="20"/>
        </w:rPr>
        <w:t>payments</w:t>
      </w:r>
      <w:r>
        <w:rPr>
          <w:spacing w:val="-4"/>
          <w:sz w:val="20"/>
        </w:rPr>
        <w:t xml:space="preserve"> </w:t>
      </w:r>
      <w:r>
        <w:rPr>
          <w:sz w:val="20"/>
        </w:rPr>
        <w:t>which</w:t>
      </w:r>
      <w:r>
        <w:rPr>
          <w:spacing w:val="-3"/>
          <w:sz w:val="20"/>
        </w:rPr>
        <w:t xml:space="preserve"> </w:t>
      </w:r>
      <w:r>
        <w:rPr>
          <w:sz w:val="20"/>
        </w:rPr>
        <w:t xml:space="preserve">may </w:t>
      </w:r>
      <w:r>
        <w:rPr>
          <w:spacing w:val="-2"/>
          <w:sz w:val="20"/>
        </w:rPr>
        <w:t>occur.</w:t>
      </w:r>
    </w:p>
    <w:p w14:paraId="1F23677A" w14:textId="77777777" w:rsidR="00AD79A7" w:rsidRDefault="00AD79A7">
      <w:pPr>
        <w:rPr>
          <w:sz w:val="20"/>
        </w:rPr>
        <w:sectPr w:rsidR="00AD79A7">
          <w:pgSz w:w="11910" w:h="16840"/>
          <w:pgMar w:top="1340" w:right="740" w:bottom="1180" w:left="1300" w:header="715" w:footer="983" w:gutter="0"/>
          <w:cols w:space="720"/>
        </w:sectPr>
      </w:pPr>
    </w:p>
    <w:p w14:paraId="2C456B12" w14:textId="77777777" w:rsidR="00AD79A7" w:rsidRDefault="00AD79A7">
      <w:pPr>
        <w:pStyle w:val="BodyText"/>
        <w:rPr>
          <w:sz w:val="7"/>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1466"/>
        <w:gridCol w:w="2614"/>
        <w:gridCol w:w="2912"/>
      </w:tblGrid>
      <w:tr w:rsidR="00AD79A7" w14:paraId="7713A976" w14:textId="77777777">
        <w:trPr>
          <w:trHeight w:val="1620"/>
        </w:trPr>
        <w:tc>
          <w:tcPr>
            <w:tcW w:w="1304" w:type="dxa"/>
          </w:tcPr>
          <w:p w14:paraId="7E294A68" w14:textId="77777777" w:rsidR="00AD79A7" w:rsidRDefault="00AD79A7">
            <w:pPr>
              <w:pStyle w:val="TableParagraph"/>
              <w:ind w:left="0"/>
            </w:pPr>
          </w:p>
        </w:tc>
        <w:tc>
          <w:tcPr>
            <w:tcW w:w="1466" w:type="dxa"/>
          </w:tcPr>
          <w:p w14:paraId="111872D1" w14:textId="77777777" w:rsidR="00AD79A7" w:rsidRDefault="00AD79A7">
            <w:pPr>
              <w:pStyle w:val="TableParagraph"/>
              <w:ind w:left="0"/>
            </w:pPr>
          </w:p>
        </w:tc>
        <w:tc>
          <w:tcPr>
            <w:tcW w:w="2614" w:type="dxa"/>
          </w:tcPr>
          <w:p w14:paraId="71F9794A" w14:textId="77777777" w:rsidR="00AD79A7" w:rsidRDefault="00AD79A7">
            <w:pPr>
              <w:pStyle w:val="TableParagraph"/>
              <w:ind w:left="0"/>
            </w:pPr>
          </w:p>
        </w:tc>
        <w:tc>
          <w:tcPr>
            <w:tcW w:w="2912" w:type="dxa"/>
          </w:tcPr>
          <w:p w14:paraId="0AAF0306" w14:textId="77777777" w:rsidR="00AD79A7" w:rsidRDefault="00D44A60">
            <w:pPr>
              <w:pStyle w:val="TableParagraph"/>
              <w:tabs>
                <w:tab w:val="left" w:pos="1979"/>
              </w:tabs>
              <w:ind w:right="93"/>
              <w:jc w:val="both"/>
              <w:rPr>
                <w:sz w:val="24"/>
              </w:rPr>
            </w:pPr>
            <w:r>
              <w:rPr>
                <w:sz w:val="24"/>
              </w:rPr>
              <w:t xml:space="preserve">MTFJ funded for 1,150 </w:t>
            </w:r>
            <w:r>
              <w:rPr>
                <w:spacing w:val="-2"/>
                <w:sz w:val="24"/>
              </w:rPr>
              <w:t>participants</w:t>
            </w:r>
            <w:r>
              <w:rPr>
                <w:sz w:val="24"/>
              </w:rPr>
              <w:tab/>
            </w:r>
            <w:r>
              <w:rPr>
                <w:spacing w:val="-2"/>
                <w:sz w:val="24"/>
              </w:rPr>
              <w:t xml:space="preserve">however </w:t>
            </w:r>
            <w:r>
              <w:rPr>
                <w:sz w:val="24"/>
              </w:rPr>
              <w:t>delivered 1,511 full-time permanent employed roles for New Zealanders.</w:t>
            </w:r>
          </w:p>
        </w:tc>
      </w:tr>
      <w:tr w:rsidR="00AD79A7" w14:paraId="2AC169ED" w14:textId="77777777">
        <w:trPr>
          <w:trHeight w:val="3000"/>
        </w:trPr>
        <w:tc>
          <w:tcPr>
            <w:tcW w:w="1304" w:type="dxa"/>
          </w:tcPr>
          <w:p w14:paraId="4858FB1E" w14:textId="77777777" w:rsidR="00AD79A7" w:rsidRDefault="00D44A60">
            <w:pPr>
              <w:pStyle w:val="TableParagraph"/>
              <w:rPr>
                <w:sz w:val="24"/>
              </w:rPr>
            </w:pPr>
            <w:r>
              <w:rPr>
                <w:spacing w:val="-2"/>
                <w:sz w:val="24"/>
              </w:rPr>
              <w:t>2021/22</w:t>
            </w:r>
          </w:p>
        </w:tc>
        <w:tc>
          <w:tcPr>
            <w:tcW w:w="1466" w:type="dxa"/>
          </w:tcPr>
          <w:p w14:paraId="18A6936E" w14:textId="77777777" w:rsidR="00AD79A7" w:rsidRDefault="00D44A60">
            <w:pPr>
              <w:pStyle w:val="TableParagraph"/>
              <w:rPr>
                <w:sz w:val="24"/>
              </w:rPr>
            </w:pPr>
            <w:r>
              <w:rPr>
                <w:spacing w:val="-2"/>
                <w:sz w:val="24"/>
              </w:rPr>
              <w:t>$14,707,102</w:t>
            </w:r>
          </w:p>
        </w:tc>
        <w:tc>
          <w:tcPr>
            <w:tcW w:w="2614" w:type="dxa"/>
          </w:tcPr>
          <w:p w14:paraId="49729B28" w14:textId="77777777" w:rsidR="00AD79A7" w:rsidRDefault="00D44A60">
            <w:pPr>
              <w:pStyle w:val="TableParagraph"/>
              <w:rPr>
                <w:sz w:val="24"/>
              </w:rPr>
            </w:pPr>
            <w:r>
              <w:rPr>
                <w:spacing w:val="-2"/>
                <w:sz w:val="24"/>
              </w:rPr>
              <w:t>$13,300,000</w:t>
            </w:r>
          </w:p>
        </w:tc>
        <w:tc>
          <w:tcPr>
            <w:tcW w:w="2912" w:type="dxa"/>
          </w:tcPr>
          <w:p w14:paraId="4CB73036" w14:textId="77777777" w:rsidR="00AD79A7" w:rsidRDefault="00D44A60">
            <w:pPr>
              <w:pStyle w:val="TableParagraph"/>
              <w:ind w:right="94"/>
              <w:jc w:val="both"/>
              <w:rPr>
                <w:sz w:val="24"/>
              </w:rPr>
            </w:pPr>
            <w:r>
              <w:rPr>
                <w:sz w:val="24"/>
              </w:rPr>
              <w:t xml:space="preserve">The MTFJ </w:t>
            </w:r>
            <w:r>
              <w:rPr>
                <w:sz w:val="24"/>
              </w:rPr>
              <w:t>partnership expanded to include an additional 6 Provincial Councils with a Rural community and/or satellite towns. Funded for 1,450 participants and has delivered 1,467 full-time permanent employment places by 30 April 2022.</w:t>
            </w:r>
          </w:p>
        </w:tc>
      </w:tr>
    </w:tbl>
    <w:p w14:paraId="59096890" w14:textId="77777777" w:rsidR="00AD79A7" w:rsidRDefault="00AD79A7">
      <w:pPr>
        <w:pStyle w:val="BodyText"/>
        <w:rPr>
          <w:sz w:val="20"/>
        </w:rPr>
      </w:pPr>
    </w:p>
    <w:p w14:paraId="58FD3061" w14:textId="77777777" w:rsidR="00AD79A7" w:rsidRDefault="00AD79A7">
      <w:pPr>
        <w:pStyle w:val="BodyText"/>
        <w:spacing w:before="1"/>
        <w:rPr>
          <w:sz w:val="17"/>
        </w:rPr>
      </w:pPr>
    </w:p>
    <w:p w14:paraId="0435F1CD" w14:textId="77777777" w:rsidR="00AD79A7" w:rsidRDefault="00D44A60">
      <w:pPr>
        <w:pStyle w:val="ListParagraph"/>
        <w:numPr>
          <w:ilvl w:val="0"/>
          <w:numId w:val="2"/>
        </w:numPr>
        <w:tabs>
          <w:tab w:val="left" w:pos="1429"/>
          <w:tab w:val="left" w:pos="1430"/>
        </w:tabs>
        <w:spacing w:before="90"/>
        <w:ind w:right="700"/>
        <w:rPr>
          <w:sz w:val="24"/>
        </w:rPr>
      </w:pPr>
      <w:r>
        <w:rPr>
          <w:sz w:val="24"/>
        </w:rPr>
        <w:t>An</w:t>
      </w:r>
      <w:r>
        <w:rPr>
          <w:spacing w:val="40"/>
          <w:sz w:val="24"/>
        </w:rPr>
        <w:t xml:space="preserve"> </w:t>
      </w:r>
      <w:r>
        <w:rPr>
          <w:sz w:val="24"/>
        </w:rPr>
        <w:t>impact</w:t>
      </w:r>
      <w:r>
        <w:rPr>
          <w:spacing w:val="40"/>
          <w:sz w:val="24"/>
        </w:rPr>
        <w:t xml:space="preserve"> </w:t>
      </w:r>
      <w:r>
        <w:rPr>
          <w:sz w:val="24"/>
        </w:rPr>
        <w:t>report</w:t>
      </w:r>
      <w:r>
        <w:rPr>
          <w:spacing w:val="40"/>
          <w:sz w:val="24"/>
        </w:rPr>
        <w:t xml:space="preserve"> </w:t>
      </w:r>
      <w:r>
        <w:rPr>
          <w:sz w:val="24"/>
        </w:rPr>
        <w:t>has</w:t>
      </w:r>
      <w:r>
        <w:rPr>
          <w:spacing w:val="40"/>
          <w:sz w:val="24"/>
        </w:rPr>
        <w:t xml:space="preserve"> </w:t>
      </w:r>
      <w:r>
        <w:rPr>
          <w:sz w:val="24"/>
        </w:rPr>
        <w:t>been</w:t>
      </w:r>
      <w:r>
        <w:rPr>
          <w:spacing w:val="40"/>
          <w:sz w:val="24"/>
        </w:rPr>
        <w:t xml:space="preserve"> </w:t>
      </w:r>
      <w:r>
        <w:rPr>
          <w:sz w:val="24"/>
        </w:rPr>
        <w:t>commissioned</w:t>
      </w:r>
      <w:r>
        <w:rPr>
          <w:spacing w:val="40"/>
          <w:sz w:val="24"/>
        </w:rPr>
        <w:t xml:space="preserve"> </w:t>
      </w:r>
      <w:r>
        <w:rPr>
          <w:sz w:val="24"/>
        </w:rPr>
        <w:t>to</w:t>
      </w:r>
      <w:r>
        <w:rPr>
          <w:spacing w:val="40"/>
          <w:sz w:val="24"/>
        </w:rPr>
        <w:t xml:space="preserve"> </w:t>
      </w:r>
      <w:r>
        <w:rPr>
          <w:sz w:val="24"/>
        </w:rPr>
        <w:t>assess</w:t>
      </w:r>
      <w:r>
        <w:rPr>
          <w:spacing w:val="40"/>
          <w:sz w:val="24"/>
        </w:rPr>
        <w:t xml:space="preserve"> </w:t>
      </w:r>
      <w:r>
        <w:rPr>
          <w:sz w:val="24"/>
        </w:rPr>
        <w:t>the</w:t>
      </w:r>
      <w:r>
        <w:rPr>
          <w:spacing w:val="40"/>
          <w:sz w:val="24"/>
        </w:rPr>
        <w:t xml:space="preserve"> </w:t>
      </w:r>
      <w:r>
        <w:rPr>
          <w:sz w:val="24"/>
        </w:rPr>
        <w:t>impact</w:t>
      </w:r>
      <w:r>
        <w:rPr>
          <w:spacing w:val="40"/>
          <w:sz w:val="24"/>
        </w:rPr>
        <w:t xml:space="preserve"> </w:t>
      </w:r>
      <w:r>
        <w:rPr>
          <w:sz w:val="24"/>
        </w:rPr>
        <w:t>of</w:t>
      </w:r>
      <w:r>
        <w:rPr>
          <w:spacing w:val="39"/>
          <w:sz w:val="24"/>
        </w:rPr>
        <w:t xml:space="preserve"> </w:t>
      </w:r>
      <w:r>
        <w:rPr>
          <w:sz w:val="24"/>
        </w:rPr>
        <w:t>the</w:t>
      </w:r>
      <w:r>
        <w:rPr>
          <w:spacing w:val="40"/>
          <w:sz w:val="24"/>
        </w:rPr>
        <w:t xml:space="preserve"> </w:t>
      </w:r>
      <w:r>
        <w:rPr>
          <w:sz w:val="24"/>
        </w:rPr>
        <w:t>MTFJ partnership and programme and we expect to have this in early 2022/23.</w:t>
      </w:r>
    </w:p>
    <w:p w14:paraId="248A02EA" w14:textId="77777777" w:rsidR="00AD79A7" w:rsidRDefault="00AD79A7">
      <w:pPr>
        <w:pStyle w:val="BodyText"/>
        <w:spacing w:before="11"/>
        <w:rPr>
          <w:sz w:val="12"/>
        </w:rPr>
      </w:pPr>
    </w:p>
    <w:p w14:paraId="5D9EA2BF" w14:textId="77777777" w:rsidR="00AD79A7" w:rsidRDefault="00D44A60">
      <w:pPr>
        <w:pStyle w:val="Heading2"/>
        <w:spacing w:before="92"/>
      </w:pPr>
      <w:bookmarkStart w:id="7" w:name="Analysis"/>
      <w:bookmarkEnd w:id="7"/>
      <w:r>
        <w:rPr>
          <w:spacing w:val="-2"/>
        </w:rPr>
        <w:t>Analysis</w:t>
      </w:r>
    </w:p>
    <w:p w14:paraId="29D66E20" w14:textId="77777777" w:rsidR="00AD79A7" w:rsidRDefault="00AD79A7">
      <w:pPr>
        <w:pStyle w:val="BodyText"/>
        <w:spacing w:before="9"/>
        <w:rPr>
          <w:rFonts w:ascii="Arial"/>
          <w:b/>
          <w:sz w:val="20"/>
        </w:rPr>
      </w:pPr>
    </w:p>
    <w:p w14:paraId="224B9B51" w14:textId="77777777" w:rsidR="00AD79A7" w:rsidRDefault="00D44A60">
      <w:pPr>
        <w:pStyle w:val="ListParagraph"/>
        <w:numPr>
          <w:ilvl w:val="0"/>
          <w:numId w:val="2"/>
        </w:numPr>
        <w:tabs>
          <w:tab w:val="left" w:pos="1430"/>
        </w:tabs>
        <w:ind w:right="703"/>
        <w:jc w:val="both"/>
        <w:rPr>
          <w:sz w:val="24"/>
        </w:rPr>
      </w:pPr>
      <w:r>
        <w:rPr>
          <w:sz w:val="24"/>
        </w:rPr>
        <w:t>The funding for the MTFJ, received from the CRRF during Budget 2020, expires on 30 June 2022, at which point the MTFJ partnership will cease</w:t>
      </w:r>
      <w:r>
        <w:rPr>
          <w:spacing w:val="40"/>
          <w:sz w:val="24"/>
        </w:rPr>
        <w:t xml:space="preserve"> </w:t>
      </w:r>
      <w:r>
        <w:rPr>
          <w:sz w:val="24"/>
        </w:rPr>
        <w:t>without additional funding.</w:t>
      </w:r>
    </w:p>
    <w:p w14:paraId="49923629" w14:textId="77777777" w:rsidR="00AD79A7" w:rsidRDefault="00AD79A7">
      <w:pPr>
        <w:pStyle w:val="BodyText"/>
        <w:spacing w:before="10"/>
        <w:rPr>
          <w:sz w:val="20"/>
        </w:rPr>
      </w:pPr>
    </w:p>
    <w:p w14:paraId="0934A488" w14:textId="160D3ADA" w:rsidR="00AD79A7" w:rsidRDefault="000B14DA">
      <w:pPr>
        <w:pStyle w:val="ListParagraph"/>
        <w:numPr>
          <w:ilvl w:val="0"/>
          <w:numId w:val="2"/>
        </w:numPr>
        <w:tabs>
          <w:tab w:val="left" w:pos="1430"/>
        </w:tabs>
        <w:ind w:right="701"/>
        <w:jc w:val="both"/>
        <w:rPr>
          <w:sz w:val="24"/>
        </w:rPr>
      </w:pPr>
      <w:r>
        <w:rPr>
          <w:sz w:val="24"/>
        </w:rPr>
        <w:t>[Redacted content]</w:t>
      </w:r>
      <w:r w:rsidR="00D44A60">
        <w:rPr>
          <w:sz w:val="24"/>
        </w:rPr>
        <w:t>.</w:t>
      </w:r>
    </w:p>
    <w:p w14:paraId="43989C85" w14:textId="77777777" w:rsidR="00AD79A7" w:rsidRDefault="00AD79A7">
      <w:pPr>
        <w:pStyle w:val="BodyText"/>
        <w:spacing w:before="10"/>
        <w:rPr>
          <w:sz w:val="20"/>
        </w:rPr>
      </w:pPr>
    </w:p>
    <w:p w14:paraId="50B96D1D" w14:textId="77777777" w:rsidR="00AD79A7" w:rsidRDefault="00D44A60">
      <w:pPr>
        <w:pStyle w:val="ListParagraph"/>
        <w:numPr>
          <w:ilvl w:val="0"/>
          <w:numId w:val="2"/>
        </w:numPr>
        <w:tabs>
          <w:tab w:val="left" w:pos="1430"/>
        </w:tabs>
        <w:ind w:right="704"/>
        <w:jc w:val="both"/>
        <w:rPr>
          <w:sz w:val="24"/>
        </w:rPr>
      </w:pPr>
      <w:r>
        <w:rPr>
          <w:sz w:val="24"/>
        </w:rPr>
        <w:t>The total funding required to fund the MTFJ for 2022/23 is $14 million. I have been advised that MSD is able to fund $8 million of the extension by reprioritising existing funding.</w:t>
      </w:r>
    </w:p>
    <w:p w14:paraId="749BC05B" w14:textId="77777777" w:rsidR="00AD79A7" w:rsidRDefault="00AD79A7">
      <w:pPr>
        <w:pStyle w:val="BodyText"/>
        <w:spacing w:before="10"/>
        <w:rPr>
          <w:sz w:val="20"/>
        </w:rPr>
      </w:pPr>
    </w:p>
    <w:p w14:paraId="162F6690" w14:textId="77777777" w:rsidR="00AD79A7" w:rsidRDefault="00D44A60">
      <w:pPr>
        <w:ind w:left="141"/>
        <w:rPr>
          <w:i/>
          <w:sz w:val="24"/>
        </w:rPr>
      </w:pPr>
      <w:r>
        <w:rPr>
          <w:i/>
          <w:sz w:val="24"/>
        </w:rPr>
        <w:t>Proposal</w:t>
      </w:r>
      <w:r>
        <w:rPr>
          <w:i/>
          <w:spacing w:val="-3"/>
          <w:sz w:val="24"/>
        </w:rPr>
        <w:t xml:space="preserve"> </w:t>
      </w:r>
      <w:r>
        <w:rPr>
          <w:i/>
          <w:sz w:val="24"/>
        </w:rPr>
        <w:t>–</w:t>
      </w:r>
      <w:r>
        <w:rPr>
          <w:i/>
          <w:spacing w:val="-1"/>
          <w:sz w:val="24"/>
        </w:rPr>
        <w:t xml:space="preserve"> </w:t>
      </w:r>
      <w:r>
        <w:rPr>
          <w:i/>
          <w:sz w:val="24"/>
        </w:rPr>
        <w:t>$6</w:t>
      </w:r>
      <w:r>
        <w:rPr>
          <w:i/>
          <w:spacing w:val="-1"/>
          <w:sz w:val="24"/>
        </w:rPr>
        <w:t xml:space="preserve"> </w:t>
      </w:r>
      <w:r>
        <w:rPr>
          <w:i/>
          <w:sz w:val="24"/>
        </w:rPr>
        <w:t>million</w:t>
      </w:r>
      <w:r>
        <w:rPr>
          <w:i/>
          <w:spacing w:val="-1"/>
          <w:sz w:val="24"/>
        </w:rPr>
        <w:t xml:space="preserve"> </w:t>
      </w:r>
      <w:r>
        <w:rPr>
          <w:i/>
          <w:sz w:val="24"/>
        </w:rPr>
        <w:t>to fully fund</w:t>
      </w:r>
      <w:r>
        <w:rPr>
          <w:i/>
          <w:spacing w:val="-2"/>
          <w:sz w:val="24"/>
        </w:rPr>
        <w:t xml:space="preserve"> </w:t>
      </w:r>
      <w:r>
        <w:rPr>
          <w:i/>
          <w:sz w:val="24"/>
        </w:rPr>
        <w:t>MTFJ for</w:t>
      </w:r>
      <w:r>
        <w:rPr>
          <w:i/>
          <w:spacing w:val="-1"/>
          <w:sz w:val="24"/>
        </w:rPr>
        <w:t xml:space="preserve"> </w:t>
      </w:r>
      <w:r>
        <w:rPr>
          <w:i/>
          <w:spacing w:val="-2"/>
          <w:sz w:val="24"/>
        </w:rPr>
        <w:t>2022/23.</w:t>
      </w:r>
    </w:p>
    <w:p w14:paraId="337E4D66" w14:textId="77777777" w:rsidR="00AD79A7" w:rsidRDefault="00AD79A7">
      <w:pPr>
        <w:pStyle w:val="BodyText"/>
        <w:spacing w:before="10"/>
        <w:rPr>
          <w:i/>
          <w:sz w:val="20"/>
        </w:rPr>
      </w:pPr>
    </w:p>
    <w:p w14:paraId="0F6C068B" w14:textId="77777777" w:rsidR="00AD79A7" w:rsidRDefault="00D44A60">
      <w:pPr>
        <w:pStyle w:val="ListParagraph"/>
        <w:numPr>
          <w:ilvl w:val="0"/>
          <w:numId w:val="2"/>
        </w:numPr>
        <w:tabs>
          <w:tab w:val="left" w:pos="1430"/>
        </w:tabs>
        <w:jc w:val="both"/>
        <w:rPr>
          <w:sz w:val="24"/>
        </w:rPr>
      </w:pPr>
      <w:r>
        <w:rPr>
          <w:sz w:val="24"/>
        </w:rPr>
        <w:t>I am seeking Cabine</w:t>
      </w:r>
      <w:r>
        <w:rPr>
          <w:sz w:val="24"/>
        </w:rPr>
        <w:t>t’s approval for $6 million to be allocated from</w:t>
      </w:r>
      <w:r>
        <w:rPr>
          <w:spacing w:val="40"/>
          <w:sz w:val="24"/>
        </w:rPr>
        <w:t xml:space="preserve"> </w:t>
      </w:r>
      <w:r>
        <w:rPr>
          <w:sz w:val="24"/>
        </w:rPr>
        <w:t>underspends in Vote Social Development in 2021/22 to fund the MTFJ partnership for 2022/23.</w:t>
      </w:r>
    </w:p>
    <w:p w14:paraId="3E43B6B9" w14:textId="77777777" w:rsidR="00AD79A7" w:rsidRDefault="00AD79A7">
      <w:pPr>
        <w:pStyle w:val="BodyText"/>
        <w:spacing w:before="10"/>
        <w:rPr>
          <w:sz w:val="20"/>
        </w:rPr>
      </w:pPr>
    </w:p>
    <w:p w14:paraId="46C5A1D6" w14:textId="77777777" w:rsidR="00AD79A7" w:rsidRDefault="00D44A60">
      <w:pPr>
        <w:pStyle w:val="ListParagraph"/>
        <w:numPr>
          <w:ilvl w:val="0"/>
          <w:numId w:val="2"/>
        </w:numPr>
        <w:tabs>
          <w:tab w:val="left" w:pos="1430"/>
        </w:tabs>
        <w:jc w:val="both"/>
        <w:rPr>
          <w:sz w:val="24"/>
        </w:rPr>
      </w:pPr>
      <w:r>
        <w:rPr>
          <w:sz w:val="24"/>
        </w:rPr>
        <w:t>This will continue funding councils to support initiatives that target youth employment and training. The programm</w:t>
      </w:r>
      <w:r>
        <w:rPr>
          <w:sz w:val="24"/>
        </w:rPr>
        <w:t>e would be funded for 1,450 participants nationally and each of the 29 participating Councils could receive up to $500,000 in funding per annum, in two tranches, with the first dependent on</w:t>
      </w:r>
      <w:r>
        <w:rPr>
          <w:spacing w:val="-2"/>
          <w:sz w:val="24"/>
        </w:rPr>
        <w:t xml:space="preserve"> </w:t>
      </w:r>
      <w:r>
        <w:rPr>
          <w:sz w:val="24"/>
        </w:rPr>
        <w:t>a</w:t>
      </w:r>
      <w:r>
        <w:rPr>
          <w:spacing w:val="-2"/>
          <w:sz w:val="24"/>
        </w:rPr>
        <w:t xml:space="preserve"> </w:t>
      </w:r>
      <w:r>
        <w:rPr>
          <w:sz w:val="24"/>
        </w:rPr>
        <w:t>Regional Commissioner approved proposal</w:t>
      </w:r>
      <w:r>
        <w:rPr>
          <w:spacing w:val="-1"/>
          <w:sz w:val="24"/>
        </w:rPr>
        <w:t xml:space="preserve"> </w:t>
      </w:r>
      <w:r>
        <w:rPr>
          <w:sz w:val="24"/>
        </w:rPr>
        <w:t>and</w:t>
      </w:r>
      <w:r>
        <w:rPr>
          <w:spacing w:val="-2"/>
          <w:sz w:val="24"/>
        </w:rPr>
        <w:t xml:space="preserve"> </w:t>
      </w:r>
      <w:r>
        <w:rPr>
          <w:sz w:val="24"/>
        </w:rPr>
        <w:t>the second</w:t>
      </w:r>
      <w:r>
        <w:rPr>
          <w:spacing w:val="-2"/>
          <w:sz w:val="24"/>
        </w:rPr>
        <w:t xml:space="preserve"> </w:t>
      </w:r>
      <w:r>
        <w:rPr>
          <w:sz w:val="24"/>
        </w:rPr>
        <w:t>at</w:t>
      </w:r>
      <w:r>
        <w:rPr>
          <w:spacing w:val="-2"/>
          <w:sz w:val="24"/>
        </w:rPr>
        <w:t xml:space="preserve"> </w:t>
      </w:r>
      <w:r>
        <w:rPr>
          <w:sz w:val="24"/>
        </w:rPr>
        <w:t>the di</w:t>
      </w:r>
      <w:r>
        <w:rPr>
          <w:sz w:val="24"/>
        </w:rPr>
        <w:t>scretion of</w:t>
      </w:r>
      <w:r>
        <w:rPr>
          <w:spacing w:val="-3"/>
          <w:sz w:val="24"/>
        </w:rPr>
        <w:t xml:space="preserve"> </w:t>
      </w:r>
      <w:r>
        <w:rPr>
          <w:sz w:val="24"/>
        </w:rPr>
        <w:t>MSD</w:t>
      </w:r>
      <w:r>
        <w:rPr>
          <w:spacing w:val="-2"/>
          <w:sz w:val="24"/>
        </w:rPr>
        <w:t xml:space="preserve"> </w:t>
      </w:r>
      <w:r>
        <w:rPr>
          <w:sz w:val="24"/>
        </w:rPr>
        <w:t>and</w:t>
      </w:r>
      <w:r>
        <w:rPr>
          <w:spacing w:val="-3"/>
          <w:sz w:val="24"/>
        </w:rPr>
        <w:t xml:space="preserve"> </w:t>
      </w:r>
      <w:r>
        <w:rPr>
          <w:sz w:val="24"/>
        </w:rPr>
        <w:t>MTFJ</w:t>
      </w:r>
      <w:r>
        <w:rPr>
          <w:spacing w:val="-2"/>
          <w:sz w:val="24"/>
        </w:rPr>
        <w:t xml:space="preserve"> </w:t>
      </w:r>
      <w:r>
        <w:rPr>
          <w:sz w:val="24"/>
        </w:rPr>
        <w:t>nationally.</w:t>
      </w:r>
      <w:r>
        <w:rPr>
          <w:spacing w:val="-1"/>
          <w:sz w:val="24"/>
        </w:rPr>
        <w:t xml:space="preserve"> </w:t>
      </w:r>
      <w:r>
        <w:rPr>
          <w:sz w:val="24"/>
        </w:rPr>
        <w:t>This is</w:t>
      </w:r>
      <w:r>
        <w:rPr>
          <w:spacing w:val="-2"/>
          <w:sz w:val="24"/>
        </w:rPr>
        <w:t xml:space="preserve"> </w:t>
      </w:r>
      <w:r>
        <w:rPr>
          <w:sz w:val="24"/>
        </w:rPr>
        <w:t>subject to</w:t>
      </w:r>
      <w:r>
        <w:rPr>
          <w:spacing w:val="-3"/>
          <w:sz w:val="24"/>
        </w:rPr>
        <w:t xml:space="preserve"> </w:t>
      </w:r>
      <w:r>
        <w:rPr>
          <w:sz w:val="24"/>
        </w:rPr>
        <w:t>final</w:t>
      </w:r>
      <w:r>
        <w:rPr>
          <w:spacing w:val="-2"/>
          <w:sz w:val="24"/>
        </w:rPr>
        <w:t xml:space="preserve"> </w:t>
      </w:r>
      <w:r>
        <w:rPr>
          <w:sz w:val="24"/>
        </w:rPr>
        <w:t>negotiation and</w:t>
      </w:r>
      <w:r>
        <w:rPr>
          <w:spacing w:val="-3"/>
          <w:sz w:val="24"/>
        </w:rPr>
        <w:t xml:space="preserve"> </w:t>
      </w:r>
      <w:r>
        <w:rPr>
          <w:sz w:val="24"/>
        </w:rPr>
        <w:t>agreement with LGNZ. At this stage, officials do not expect any significant issues in finalising the contract, and are confident if the funding is approved, the contract will be in place by July 2022.</w:t>
      </w:r>
    </w:p>
    <w:p w14:paraId="26DE6549" w14:textId="77777777" w:rsidR="00AD79A7" w:rsidRDefault="00AD79A7">
      <w:pPr>
        <w:jc w:val="both"/>
        <w:rPr>
          <w:sz w:val="24"/>
        </w:rPr>
        <w:sectPr w:rsidR="00AD79A7">
          <w:pgSz w:w="11910" w:h="16840"/>
          <w:pgMar w:top="1340" w:right="740" w:bottom="1180" w:left="1300" w:header="715" w:footer="983" w:gutter="0"/>
          <w:cols w:space="720"/>
        </w:sectPr>
      </w:pPr>
    </w:p>
    <w:p w14:paraId="3CE0737E" w14:textId="77777777" w:rsidR="00AD79A7" w:rsidRDefault="00D44A60">
      <w:pPr>
        <w:pStyle w:val="ListParagraph"/>
        <w:numPr>
          <w:ilvl w:val="0"/>
          <w:numId w:val="2"/>
        </w:numPr>
        <w:tabs>
          <w:tab w:val="left" w:pos="1430"/>
        </w:tabs>
        <w:spacing w:before="81"/>
        <w:ind w:right="699"/>
        <w:jc w:val="both"/>
        <w:rPr>
          <w:sz w:val="24"/>
        </w:rPr>
      </w:pPr>
      <w:r>
        <w:rPr>
          <w:sz w:val="24"/>
        </w:rPr>
        <w:t>Additionally, MSD will provide quarte</w:t>
      </w:r>
      <w:r>
        <w:rPr>
          <w:sz w:val="24"/>
        </w:rPr>
        <w:t>rly reporting to the Minister for Social Development and Employment on the progress and impact of MTFJ.</w:t>
      </w:r>
    </w:p>
    <w:p w14:paraId="09BB77AD" w14:textId="77777777" w:rsidR="00AD79A7" w:rsidRDefault="00AD79A7">
      <w:pPr>
        <w:pStyle w:val="BodyText"/>
        <w:spacing w:before="10"/>
        <w:rPr>
          <w:sz w:val="20"/>
        </w:rPr>
      </w:pPr>
    </w:p>
    <w:p w14:paraId="77EAE596" w14:textId="77777777" w:rsidR="00AD79A7" w:rsidRDefault="00D44A60">
      <w:pPr>
        <w:ind w:left="141"/>
        <w:rPr>
          <w:i/>
          <w:sz w:val="24"/>
        </w:rPr>
      </w:pPr>
      <w:r>
        <w:rPr>
          <w:i/>
          <w:sz w:val="24"/>
        </w:rPr>
        <w:t>NEETs</w:t>
      </w:r>
      <w:r>
        <w:rPr>
          <w:i/>
          <w:spacing w:val="-2"/>
          <w:sz w:val="24"/>
        </w:rPr>
        <w:t xml:space="preserve"> </w:t>
      </w:r>
      <w:r>
        <w:rPr>
          <w:i/>
          <w:sz w:val="24"/>
        </w:rPr>
        <w:t>–</w:t>
      </w:r>
      <w:r>
        <w:rPr>
          <w:i/>
          <w:spacing w:val="-2"/>
          <w:sz w:val="24"/>
        </w:rPr>
        <w:t xml:space="preserve"> </w:t>
      </w:r>
      <w:r>
        <w:rPr>
          <w:i/>
          <w:sz w:val="24"/>
        </w:rPr>
        <w:t>the</w:t>
      </w:r>
      <w:r>
        <w:rPr>
          <w:i/>
          <w:spacing w:val="-1"/>
          <w:sz w:val="24"/>
        </w:rPr>
        <w:t xml:space="preserve"> </w:t>
      </w:r>
      <w:r>
        <w:rPr>
          <w:i/>
          <w:sz w:val="24"/>
        </w:rPr>
        <w:t>need</w:t>
      </w:r>
      <w:r>
        <w:rPr>
          <w:i/>
          <w:spacing w:val="-2"/>
          <w:sz w:val="24"/>
        </w:rPr>
        <w:t xml:space="preserve"> </w:t>
      </w:r>
      <w:r>
        <w:rPr>
          <w:i/>
          <w:sz w:val="24"/>
        </w:rPr>
        <w:t>for</w:t>
      </w:r>
      <w:r>
        <w:rPr>
          <w:i/>
          <w:spacing w:val="-2"/>
          <w:sz w:val="24"/>
        </w:rPr>
        <w:t xml:space="preserve"> </w:t>
      </w:r>
      <w:r>
        <w:rPr>
          <w:i/>
          <w:sz w:val="24"/>
        </w:rPr>
        <w:t>continuing</w:t>
      </w:r>
      <w:r>
        <w:rPr>
          <w:i/>
          <w:spacing w:val="2"/>
          <w:sz w:val="24"/>
        </w:rPr>
        <w:t xml:space="preserve"> </w:t>
      </w:r>
      <w:r>
        <w:rPr>
          <w:i/>
          <w:spacing w:val="-2"/>
          <w:sz w:val="24"/>
        </w:rPr>
        <w:t>support</w:t>
      </w:r>
    </w:p>
    <w:p w14:paraId="09769F1C" w14:textId="77777777" w:rsidR="00AD79A7" w:rsidRDefault="00AD79A7">
      <w:pPr>
        <w:pStyle w:val="BodyText"/>
        <w:spacing w:before="10"/>
        <w:rPr>
          <w:i/>
          <w:sz w:val="20"/>
        </w:rPr>
      </w:pPr>
    </w:p>
    <w:p w14:paraId="26C2B324" w14:textId="77777777" w:rsidR="00AD79A7" w:rsidRDefault="00D44A60">
      <w:pPr>
        <w:pStyle w:val="ListParagraph"/>
        <w:numPr>
          <w:ilvl w:val="0"/>
          <w:numId w:val="2"/>
        </w:numPr>
        <w:tabs>
          <w:tab w:val="left" w:pos="1430"/>
        </w:tabs>
        <w:jc w:val="both"/>
        <w:rPr>
          <w:sz w:val="24"/>
        </w:rPr>
      </w:pPr>
      <w:r>
        <w:rPr>
          <w:sz w:val="24"/>
        </w:rPr>
        <w:t xml:space="preserve">Young people who experience a long-term spell of unemployment and non- participation in education or training </w:t>
      </w:r>
      <w:r>
        <w:rPr>
          <w:sz w:val="24"/>
        </w:rPr>
        <w:t>are at a far greater risk of poorer outcomes later in life, including lower wages, lower employment levels and poorer life satisfaction. The lost potential associated with this group is estimated to be worth $400 million for the individuals concerned and t</w:t>
      </w:r>
      <w:r>
        <w:rPr>
          <w:sz w:val="24"/>
        </w:rPr>
        <w:t>heir communities in wages, productivity and government expenditure. On top of this are the lost wellbeing effects of being in fulfilling work.</w:t>
      </w:r>
    </w:p>
    <w:p w14:paraId="165F27E0" w14:textId="77777777" w:rsidR="00AD79A7" w:rsidRDefault="00AD79A7">
      <w:pPr>
        <w:pStyle w:val="BodyText"/>
        <w:spacing w:before="10"/>
        <w:rPr>
          <w:sz w:val="20"/>
        </w:rPr>
      </w:pPr>
    </w:p>
    <w:p w14:paraId="5B896DE7" w14:textId="77777777" w:rsidR="00AD79A7" w:rsidRDefault="00D44A60">
      <w:pPr>
        <w:pStyle w:val="ListParagraph"/>
        <w:numPr>
          <w:ilvl w:val="0"/>
          <w:numId w:val="2"/>
        </w:numPr>
        <w:tabs>
          <w:tab w:val="left" w:pos="1430"/>
        </w:tabs>
        <w:jc w:val="both"/>
        <w:rPr>
          <w:sz w:val="24"/>
        </w:rPr>
      </w:pPr>
      <w:r>
        <w:rPr>
          <w:sz w:val="24"/>
        </w:rPr>
        <w:t>In the March 2022 quarter, the seasonally adjusted proportion of people aged 15–24 years who were not in employm</w:t>
      </w:r>
      <w:r>
        <w:rPr>
          <w:sz w:val="24"/>
        </w:rPr>
        <w:t>ent, education, or training (NEET) rose</w:t>
      </w:r>
      <w:r>
        <w:rPr>
          <w:spacing w:val="40"/>
          <w:sz w:val="24"/>
        </w:rPr>
        <w:t xml:space="preserve"> </w:t>
      </w:r>
      <w:r>
        <w:rPr>
          <w:sz w:val="24"/>
        </w:rPr>
        <w:t>to 11.5 percent, up from 10.9 percent last quarte</w:t>
      </w:r>
      <w:bookmarkStart w:id="8" w:name="_bookmark2"/>
      <w:bookmarkEnd w:id="8"/>
      <w:r>
        <w:rPr>
          <w:sz w:val="24"/>
        </w:rPr>
        <w:t>r.</w:t>
      </w:r>
      <w:hyperlink w:anchor="_bookmark3" w:history="1">
        <w:r>
          <w:rPr>
            <w:sz w:val="24"/>
            <w:vertAlign w:val="superscript"/>
          </w:rPr>
          <w:t>2</w:t>
        </w:r>
      </w:hyperlink>
    </w:p>
    <w:p w14:paraId="424A133B" w14:textId="77777777" w:rsidR="00AD79A7" w:rsidRDefault="00AD79A7">
      <w:pPr>
        <w:pStyle w:val="BodyText"/>
        <w:spacing w:before="10"/>
        <w:rPr>
          <w:sz w:val="20"/>
        </w:rPr>
      </w:pPr>
    </w:p>
    <w:p w14:paraId="2ED08FE2" w14:textId="77777777" w:rsidR="00AD79A7" w:rsidRDefault="00D44A60">
      <w:pPr>
        <w:pStyle w:val="ListParagraph"/>
        <w:numPr>
          <w:ilvl w:val="0"/>
          <w:numId w:val="2"/>
        </w:numPr>
        <w:tabs>
          <w:tab w:val="left" w:pos="1430"/>
        </w:tabs>
        <w:ind w:right="696"/>
        <w:jc w:val="both"/>
        <w:rPr>
          <w:sz w:val="24"/>
        </w:rPr>
      </w:pPr>
      <w:r>
        <w:rPr>
          <w:sz w:val="24"/>
        </w:rPr>
        <w:t>In terms of effectiveness of programmes supporting NEETs, international evidence shows that interventions involving job search assis</w:t>
      </w:r>
      <w:r>
        <w:rPr>
          <w:sz w:val="24"/>
        </w:rPr>
        <w:t>tance and work experience or on job training are most effective in improving longer-term employment outcomes.</w:t>
      </w:r>
    </w:p>
    <w:p w14:paraId="122C9597" w14:textId="77777777" w:rsidR="00AD79A7" w:rsidRDefault="00AD79A7">
      <w:pPr>
        <w:pStyle w:val="BodyText"/>
        <w:spacing w:before="10"/>
        <w:rPr>
          <w:sz w:val="20"/>
        </w:rPr>
      </w:pPr>
    </w:p>
    <w:p w14:paraId="53737614" w14:textId="77777777" w:rsidR="00AD79A7" w:rsidRDefault="00D44A60">
      <w:pPr>
        <w:ind w:left="141"/>
        <w:rPr>
          <w:i/>
          <w:sz w:val="24"/>
        </w:rPr>
      </w:pPr>
      <w:r>
        <w:rPr>
          <w:i/>
          <w:sz w:val="24"/>
        </w:rPr>
        <w:t>Strategic</w:t>
      </w:r>
      <w:r>
        <w:rPr>
          <w:i/>
          <w:spacing w:val="-2"/>
          <w:sz w:val="24"/>
        </w:rPr>
        <w:t xml:space="preserve"> </w:t>
      </w:r>
      <w:r>
        <w:rPr>
          <w:i/>
          <w:sz w:val="24"/>
        </w:rPr>
        <w:t>value</w:t>
      </w:r>
      <w:r>
        <w:rPr>
          <w:i/>
          <w:spacing w:val="-1"/>
          <w:sz w:val="24"/>
        </w:rPr>
        <w:t xml:space="preserve"> </w:t>
      </w:r>
      <w:r>
        <w:rPr>
          <w:i/>
          <w:sz w:val="24"/>
        </w:rPr>
        <w:t>of</w:t>
      </w:r>
      <w:r>
        <w:rPr>
          <w:i/>
          <w:spacing w:val="-1"/>
          <w:sz w:val="24"/>
        </w:rPr>
        <w:t xml:space="preserve"> </w:t>
      </w:r>
      <w:r>
        <w:rPr>
          <w:i/>
          <w:sz w:val="24"/>
        </w:rPr>
        <w:t>continuing</w:t>
      </w:r>
      <w:r>
        <w:rPr>
          <w:i/>
          <w:spacing w:val="-1"/>
          <w:sz w:val="24"/>
        </w:rPr>
        <w:t xml:space="preserve"> </w:t>
      </w:r>
      <w:r>
        <w:rPr>
          <w:i/>
          <w:sz w:val="24"/>
        </w:rPr>
        <w:t>the</w:t>
      </w:r>
      <w:r>
        <w:rPr>
          <w:i/>
          <w:spacing w:val="-3"/>
          <w:sz w:val="24"/>
        </w:rPr>
        <w:t xml:space="preserve"> </w:t>
      </w:r>
      <w:r>
        <w:rPr>
          <w:i/>
          <w:spacing w:val="-4"/>
          <w:sz w:val="24"/>
        </w:rPr>
        <w:t>MTFJ</w:t>
      </w:r>
    </w:p>
    <w:p w14:paraId="0F85CE43" w14:textId="77777777" w:rsidR="00AD79A7" w:rsidRDefault="00AD79A7">
      <w:pPr>
        <w:pStyle w:val="BodyText"/>
        <w:spacing w:before="10"/>
        <w:rPr>
          <w:i/>
          <w:sz w:val="20"/>
        </w:rPr>
      </w:pPr>
    </w:p>
    <w:p w14:paraId="1B469085" w14:textId="77777777" w:rsidR="00AD79A7" w:rsidRDefault="00D44A60">
      <w:pPr>
        <w:pStyle w:val="ListParagraph"/>
        <w:numPr>
          <w:ilvl w:val="0"/>
          <w:numId w:val="2"/>
        </w:numPr>
        <w:tabs>
          <w:tab w:val="left" w:pos="1430"/>
        </w:tabs>
        <w:ind w:right="699"/>
        <w:jc w:val="both"/>
        <w:rPr>
          <w:sz w:val="24"/>
        </w:rPr>
      </w:pPr>
      <w:r>
        <w:rPr>
          <w:sz w:val="24"/>
        </w:rPr>
        <w:t>The MTFJ focusses on working with NEETs directly, in place, and delivers wraparound</w:t>
      </w:r>
      <w:r>
        <w:rPr>
          <w:spacing w:val="-3"/>
          <w:sz w:val="24"/>
        </w:rPr>
        <w:t xml:space="preserve"> </w:t>
      </w:r>
      <w:r>
        <w:rPr>
          <w:sz w:val="24"/>
        </w:rPr>
        <w:t>supports</w:t>
      </w:r>
      <w:r>
        <w:rPr>
          <w:spacing w:val="-4"/>
          <w:sz w:val="24"/>
        </w:rPr>
        <w:t xml:space="preserve"> </w:t>
      </w:r>
      <w:r>
        <w:rPr>
          <w:sz w:val="24"/>
        </w:rPr>
        <w:t>to</w:t>
      </w:r>
      <w:r>
        <w:rPr>
          <w:spacing w:val="-4"/>
          <w:sz w:val="24"/>
        </w:rPr>
        <w:t xml:space="preserve"> </w:t>
      </w:r>
      <w:r>
        <w:rPr>
          <w:sz w:val="24"/>
        </w:rPr>
        <w:t>participants</w:t>
      </w:r>
      <w:r>
        <w:rPr>
          <w:spacing w:val="-2"/>
          <w:sz w:val="24"/>
        </w:rPr>
        <w:t xml:space="preserve"> </w:t>
      </w:r>
      <w:r>
        <w:rPr>
          <w:sz w:val="24"/>
        </w:rPr>
        <w:t>to</w:t>
      </w:r>
      <w:r>
        <w:rPr>
          <w:spacing w:val="-4"/>
          <w:sz w:val="24"/>
        </w:rPr>
        <w:t xml:space="preserve"> </w:t>
      </w:r>
      <w:r>
        <w:rPr>
          <w:sz w:val="24"/>
        </w:rPr>
        <w:t>ensure</w:t>
      </w:r>
      <w:r>
        <w:rPr>
          <w:spacing w:val="-5"/>
          <w:sz w:val="24"/>
        </w:rPr>
        <w:t xml:space="preserve"> </w:t>
      </w:r>
      <w:r>
        <w:rPr>
          <w:sz w:val="24"/>
        </w:rPr>
        <w:t>that</w:t>
      </w:r>
      <w:r>
        <w:rPr>
          <w:spacing w:val="-3"/>
          <w:sz w:val="24"/>
        </w:rPr>
        <w:t xml:space="preserve"> </w:t>
      </w:r>
      <w:r>
        <w:rPr>
          <w:sz w:val="24"/>
        </w:rPr>
        <w:t>they</w:t>
      </w:r>
      <w:r>
        <w:rPr>
          <w:spacing w:val="-3"/>
          <w:sz w:val="24"/>
        </w:rPr>
        <w:t xml:space="preserve"> </w:t>
      </w:r>
      <w:r>
        <w:rPr>
          <w:sz w:val="24"/>
        </w:rPr>
        <w:t>are</w:t>
      </w:r>
      <w:r>
        <w:rPr>
          <w:spacing w:val="-5"/>
          <w:sz w:val="24"/>
        </w:rPr>
        <w:t xml:space="preserve"> </w:t>
      </w:r>
      <w:r>
        <w:rPr>
          <w:sz w:val="24"/>
        </w:rPr>
        <w:t>adequately</w:t>
      </w:r>
      <w:r>
        <w:rPr>
          <w:spacing w:val="-1"/>
          <w:sz w:val="24"/>
        </w:rPr>
        <w:t xml:space="preserve"> </w:t>
      </w:r>
      <w:r>
        <w:rPr>
          <w:sz w:val="24"/>
        </w:rPr>
        <w:t>supported in their training and as they move into permanent employment, gaining work experience. The distributed nature of the funding means that there is no one programme, instead councils are free to design localised programmes that leverage local</w:t>
      </w:r>
      <w:r>
        <w:rPr>
          <w:spacing w:val="-1"/>
          <w:sz w:val="24"/>
        </w:rPr>
        <w:t xml:space="preserve"> </w:t>
      </w:r>
      <w:r>
        <w:rPr>
          <w:sz w:val="24"/>
        </w:rPr>
        <w:t>knowle</w:t>
      </w:r>
      <w:r>
        <w:rPr>
          <w:sz w:val="24"/>
        </w:rPr>
        <w:t>dge, connections and resources</w:t>
      </w:r>
      <w:r>
        <w:rPr>
          <w:spacing w:val="-1"/>
          <w:sz w:val="24"/>
        </w:rPr>
        <w:t xml:space="preserve"> </w:t>
      </w:r>
      <w:r>
        <w:rPr>
          <w:sz w:val="24"/>
        </w:rPr>
        <w:t>(such as</w:t>
      </w:r>
      <w:r>
        <w:rPr>
          <w:spacing w:val="-1"/>
          <w:sz w:val="24"/>
        </w:rPr>
        <w:t xml:space="preserve"> </w:t>
      </w:r>
      <w:r>
        <w:rPr>
          <w:sz w:val="24"/>
        </w:rPr>
        <w:t>council premises) to deliver the programme.</w:t>
      </w:r>
    </w:p>
    <w:p w14:paraId="7D231049" w14:textId="77777777" w:rsidR="00AD79A7" w:rsidRDefault="00AD79A7">
      <w:pPr>
        <w:pStyle w:val="BodyText"/>
        <w:spacing w:before="10"/>
        <w:rPr>
          <w:sz w:val="20"/>
        </w:rPr>
      </w:pPr>
    </w:p>
    <w:p w14:paraId="4534B5C8" w14:textId="77777777" w:rsidR="00AD79A7" w:rsidRDefault="00D44A60">
      <w:pPr>
        <w:pStyle w:val="ListParagraph"/>
        <w:numPr>
          <w:ilvl w:val="0"/>
          <w:numId w:val="2"/>
        </w:numPr>
        <w:tabs>
          <w:tab w:val="left" w:pos="1430"/>
        </w:tabs>
        <w:spacing w:before="1"/>
        <w:ind w:right="697"/>
        <w:jc w:val="both"/>
        <w:rPr>
          <w:sz w:val="24"/>
        </w:rPr>
      </w:pPr>
      <w:r>
        <w:rPr>
          <w:sz w:val="24"/>
        </w:rPr>
        <w:t xml:space="preserve">Some of the initiatives developed through the MTFJ include: financial literacy programmes, CV and interviewing skills, mobile employment hubs, Growing Great Entrepreneurs </w:t>
      </w:r>
      <w:r>
        <w:rPr>
          <w:sz w:val="24"/>
        </w:rPr>
        <w:t>and other self-employment programmes, careers events (expos etc), local sector based training programmes, Chamber of Commerce engagement, iwi partnerships, drop-in job shops, driver licencing programmes, employer speed-dating, pastoral Care, Counselling an</w:t>
      </w:r>
      <w:r>
        <w:rPr>
          <w:sz w:val="24"/>
        </w:rPr>
        <w:t>d Peer Group Forums, Close engagement with School with support for NEETS and those at risk, leadership Programmes, alignment to Council Suppliers, alignment to Jobs for Nature, apprenticeship support (coordinating apprentices and ITO’s locally to deliver w</w:t>
      </w:r>
      <w:r>
        <w:rPr>
          <w:sz w:val="24"/>
        </w:rPr>
        <w:t>eekly support sessions to increase apprenticeship outcomes).</w:t>
      </w:r>
    </w:p>
    <w:p w14:paraId="122E9DD7" w14:textId="77777777" w:rsidR="00AD79A7" w:rsidRDefault="00AD79A7">
      <w:pPr>
        <w:pStyle w:val="BodyText"/>
        <w:spacing w:before="10"/>
        <w:rPr>
          <w:sz w:val="20"/>
        </w:rPr>
      </w:pPr>
    </w:p>
    <w:p w14:paraId="2169EEF7" w14:textId="77777777" w:rsidR="00AD79A7" w:rsidRDefault="00D44A60">
      <w:pPr>
        <w:pStyle w:val="ListParagraph"/>
        <w:numPr>
          <w:ilvl w:val="0"/>
          <w:numId w:val="2"/>
        </w:numPr>
        <w:tabs>
          <w:tab w:val="left" w:pos="1430"/>
        </w:tabs>
        <w:ind w:right="697"/>
        <w:jc w:val="both"/>
        <w:rPr>
          <w:sz w:val="24"/>
        </w:rPr>
      </w:pPr>
      <w:r>
        <w:rPr>
          <w:sz w:val="24"/>
        </w:rPr>
        <w:t>The MTFJ has significant strategic value in obtaining the Government’s desired outcomes, and for the delivery and coordination of employment support in the regions. Over last two years the partn</w:t>
      </w:r>
      <w:r>
        <w:rPr>
          <w:sz w:val="24"/>
        </w:rPr>
        <w:t>ership has been very successful at placing NEETs and</w:t>
      </w:r>
      <w:r>
        <w:rPr>
          <w:spacing w:val="-2"/>
          <w:sz w:val="24"/>
        </w:rPr>
        <w:t xml:space="preserve"> </w:t>
      </w:r>
      <w:r>
        <w:rPr>
          <w:sz w:val="24"/>
        </w:rPr>
        <w:t>Covid-19</w:t>
      </w:r>
      <w:r>
        <w:rPr>
          <w:spacing w:val="-2"/>
          <w:sz w:val="24"/>
        </w:rPr>
        <w:t xml:space="preserve"> </w:t>
      </w:r>
      <w:r>
        <w:rPr>
          <w:sz w:val="24"/>
        </w:rPr>
        <w:t>displaced people</w:t>
      </w:r>
      <w:r>
        <w:rPr>
          <w:spacing w:val="-1"/>
          <w:sz w:val="24"/>
        </w:rPr>
        <w:t xml:space="preserve"> </w:t>
      </w:r>
      <w:r>
        <w:rPr>
          <w:sz w:val="24"/>
        </w:rPr>
        <w:t>into sustainable permanent employment, with 1,467 outcomes reported nationally for this fiscal year to the end of April. The</w:t>
      </w:r>
      <w:r>
        <w:rPr>
          <w:spacing w:val="40"/>
          <w:sz w:val="24"/>
        </w:rPr>
        <w:t xml:space="preserve"> </w:t>
      </w:r>
      <w:r>
        <w:rPr>
          <w:sz w:val="24"/>
        </w:rPr>
        <w:t>sustainable</w:t>
      </w:r>
      <w:r>
        <w:rPr>
          <w:spacing w:val="40"/>
          <w:sz w:val="24"/>
        </w:rPr>
        <w:t xml:space="preserve"> </w:t>
      </w:r>
      <w:r>
        <w:rPr>
          <w:sz w:val="24"/>
        </w:rPr>
        <w:t>permanent</w:t>
      </w:r>
      <w:r>
        <w:rPr>
          <w:spacing w:val="40"/>
          <w:sz w:val="24"/>
        </w:rPr>
        <w:t xml:space="preserve"> </w:t>
      </w:r>
      <w:r>
        <w:rPr>
          <w:sz w:val="24"/>
        </w:rPr>
        <w:t>employment</w:t>
      </w:r>
      <w:r>
        <w:rPr>
          <w:spacing w:val="40"/>
          <w:sz w:val="24"/>
        </w:rPr>
        <w:t xml:space="preserve"> </w:t>
      </w:r>
      <w:r>
        <w:rPr>
          <w:sz w:val="24"/>
        </w:rPr>
        <w:t>outcomes</w:t>
      </w:r>
      <w:r>
        <w:rPr>
          <w:spacing w:val="40"/>
          <w:sz w:val="24"/>
        </w:rPr>
        <w:t xml:space="preserve"> </w:t>
      </w:r>
      <w:r>
        <w:rPr>
          <w:sz w:val="24"/>
        </w:rPr>
        <w:t>have</w:t>
      </w:r>
      <w:r>
        <w:rPr>
          <w:spacing w:val="40"/>
          <w:sz w:val="24"/>
        </w:rPr>
        <w:t xml:space="preserve"> </w:t>
      </w:r>
      <w:r>
        <w:rPr>
          <w:sz w:val="24"/>
        </w:rPr>
        <w:t>been</w:t>
      </w:r>
      <w:r>
        <w:rPr>
          <w:spacing w:val="40"/>
          <w:sz w:val="24"/>
        </w:rPr>
        <w:t xml:space="preserve"> </w:t>
      </w:r>
      <w:r>
        <w:rPr>
          <w:sz w:val="24"/>
        </w:rPr>
        <w:t>across</w:t>
      </w:r>
      <w:r>
        <w:rPr>
          <w:spacing w:val="40"/>
          <w:sz w:val="24"/>
        </w:rPr>
        <w:t xml:space="preserve"> </w:t>
      </w:r>
      <w:r>
        <w:rPr>
          <w:sz w:val="24"/>
        </w:rPr>
        <w:t>a</w:t>
      </w:r>
      <w:r>
        <w:rPr>
          <w:spacing w:val="40"/>
          <w:sz w:val="24"/>
        </w:rPr>
        <w:t xml:space="preserve"> </w:t>
      </w:r>
      <w:r>
        <w:rPr>
          <w:sz w:val="24"/>
        </w:rPr>
        <w:t>broad</w:t>
      </w:r>
    </w:p>
    <w:p w14:paraId="7801337F" w14:textId="77777777" w:rsidR="00AD79A7" w:rsidRDefault="00AD79A7">
      <w:pPr>
        <w:pStyle w:val="BodyText"/>
        <w:rPr>
          <w:sz w:val="20"/>
        </w:rPr>
      </w:pPr>
    </w:p>
    <w:p w14:paraId="61219110" w14:textId="77777777" w:rsidR="00AD79A7" w:rsidRDefault="00D44A60">
      <w:pPr>
        <w:pStyle w:val="BodyText"/>
        <w:spacing w:before="9"/>
        <w:rPr>
          <w:sz w:val="14"/>
        </w:rPr>
      </w:pPr>
      <w:r>
        <w:pict w14:anchorId="575643F3">
          <v:rect id="docshape6" o:spid="_x0000_s1027" style="position:absolute;margin-left:1in;margin-top:9.7pt;width:112.8pt;height:.5pt;z-index:-15728128;mso-wrap-distance-left:0;mso-wrap-distance-right:0;mso-position-horizontal-relative:page" fillcolor="black" stroked="f">
            <w10:wrap type="topAndBottom" anchorx="page"/>
          </v:rect>
        </w:pict>
      </w:r>
    </w:p>
    <w:bookmarkStart w:id="9" w:name="_bookmark3"/>
    <w:bookmarkEnd w:id="9"/>
    <w:p w14:paraId="5FC6EB73" w14:textId="77777777" w:rsidR="00AD79A7" w:rsidRDefault="00D44A60">
      <w:pPr>
        <w:spacing w:before="57"/>
        <w:ind w:left="141"/>
        <w:rPr>
          <w:sz w:val="20"/>
        </w:rPr>
      </w:pPr>
      <w:r>
        <w:fldChar w:fldCharType="begin"/>
      </w:r>
      <w:r>
        <w:instrText xml:space="preserve"> HYPERLINK \l "_bookmark2" </w:instrText>
      </w:r>
      <w:r>
        <w:fldChar w:fldCharType="separate"/>
      </w:r>
      <w:r>
        <w:rPr>
          <w:sz w:val="20"/>
          <w:vertAlign w:val="superscript"/>
        </w:rPr>
        <w:t>2</w:t>
      </w:r>
      <w:r>
        <w:rPr>
          <w:sz w:val="20"/>
          <w:vertAlign w:val="superscript"/>
        </w:rPr>
        <w:fldChar w:fldCharType="end"/>
      </w:r>
      <w:r>
        <w:rPr>
          <w:spacing w:val="-3"/>
          <w:sz w:val="20"/>
        </w:rPr>
        <w:t xml:space="preserve"> </w:t>
      </w:r>
      <w:r>
        <w:rPr>
          <w:sz w:val="20"/>
        </w:rPr>
        <w:t>Household</w:t>
      </w:r>
      <w:r>
        <w:rPr>
          <w:spacing w:val="-2"/>
          <w:sz w:val="20"/>
        </w:rPr>
        <w:t xml:space="preserve"> </w:t>
      </w:r>
      <w:r>
        <w:rPr>
          <w:sz w:val="20"/>
        </w:rPr>
        <w:t>Labour</w:t>
      </w:r>
      <w:r>
        <w:rPr>
          <w:spacing w:val="-3"/>
          <w:sz w:val="20"/>
        </w:rPr>
        <w:t xml:space="preserve"> </w:t>
      </w:r>
      <w:r>
        <w:rPr>
          <w:sz w:val="20"/>
        </w:rPr>
        <w:t>Force</w:t>
      </w:r>
      <w:r>
        <w:rPr>
          <w:spacing w:val="-2"/>
          <w:sz w:val="20"/>
        </w:rPr>
        <w:t xml:space="preserve"> </w:t>
      </w:r>
      <w:r>
        <w:rPr>
          <w:sz w:val="20"/>
        </w:rPr>
        <w:t>Survey</w:t>
      </w:r>
      <w:r>
        <w:rPr>
          <w:spacing w:val="-1"/>
          <w:sz w:val="20"/>
        </w:rPr>
        <w:t xml:space="preserve"> </w:t>
      </w:r>
      <w:r>
        <w:rPr>
          <w:sz w:val="20"/>
        </w:rPr>
        <w:t>(Stats</w:t>
      </w:r>
      <w:r>
        <w:rPr>
          <w:spacing w:val="-4"/>
          <w:sz w:val="20"/>
        </w:rPr>
        <w:t xml:space="preserve"> </w:t>
      </w:r>
      <w:r>
        <w:rPr>
          <w:sz w:val="20"/>
        </w:rPr>
        <w:t>NZ,</w:t>
      </w:r>
      <w:r>
        <w:rPr>
          <w:spacing w:val="-1"/>
          <w:sz w:val="20"/>
        </w:rPr>
        <w:t xml:space="preserve"> </w:t>
      </w:r>
      <w:r>
        <w:rPr>
          <w:spacing w:val="-2"/>
          <w:sz w:val="20"/>
        </w:rPr>
        <w:t>2022)</w:t>
      </w:r>
    </w:p>
    <w:p w14:paraId="6D439668" w14:textId="77777777" w:rsidR="00AD79A7" w:rsidRDefault="00AD79A7">
      <w:pPr>
        <w:rPr>
          <w:sz w:val="20"/>
        </w:rPr>
        <w:sectPr w:rsidR="00AD79A7">
          <w:pgSz w:w="11910" w:h="16840"/>
          <w:pgMar w:top="1340" w:right="740" w:bottom="1180" w:left="1300" w:header="715" w:footer="983" w:gutter="0"/>
          <w:cols w:space="720"/>
        </w:sectPr>
      </w:pPr>
    </w:p>
    <w:p w14:paraId="54EE08BE" w14:textId="77777777" w:rsidR="00AD79A7" w:rsidRDefault="00D44A60">
      <w:pPr>
        <w:pStyle w:val="BodyText"/>
        <w:spacing w:before="81"/>
        <w:ind w:left="1430"/>
      </w:pPr>
      <w:r>
        <w:t>range</w:t>
      </w:r>
      <w:r>
        <w:rPr>
          <w:spacing w:val="80"/>
        </w:rPr>
        <w:t xml:space="preserve"> </w:t>
      </w:r>
      <w:r>
        <w:t>of</w:t>
      </w:r>
      <w:r>
        <w:rPr>
          <w:spacing w:val="80"/>
        </w:rPr>
        <w:t xml:space="preserve"> </w:t>
      </w:r>
      <w:r>
        <w:t>sectors,</w:t>
      </w:r>
      <w:r>
        <w:rPr>
          <w:spacing w:val="80"/>
        </w:rPr>
        <w:t xml:space="preserve"> </w:t>
      </w:r>
      <w:r>
        <w:t>including</w:t>
      </w:r>
      <w:r>
        <w:rPr>
          <w:spacing w:val="80"/>
        </w:rPr>
        <w:t xml:space="preserve"> </w:t>
      </w:r>
      <w:r>
        <w:t>construction</w:t>
      </w:r>
      <w:r>
        <w:rPr>
          <w:spacing w:val="80"/>
        </w:rPr>
        <w:t xml:space="preserve"> </w:t>
      </w:r>
      <w:r>
        <w:t>and</w:t>
      </w:r>
      <w:r>
        <w:rPr>
          <w:spacing w:val="80"/>
        </w:rPr>
        <w:t xml:space="preserve"> </w:t>
      </w:r>
      <w:r>
        <w:t>primary</w:t>
      </w:r>
      <w:r>
        <w:rPr>
          <w:spacing w:val="80"/>
        </w:rPr>
        <w:t xml:space="preserve"> </w:t>
      </w:r>
      <w:r>
        <w:t>industries.</w:t>
      </w:r>
      <w:r>
        <w:rPr>
          <w:spacing w:val="80"/>
        </w:rPr>
        <w:t xml:space="preserve"> </w:t>
      </w:r>
      <w:r>
        <w:t>Mayoral leadership has been critical to achieve these results.</w:t>
      </w:r>
    </w:p>
    <w:p w14:paraId="4AD24FB1" w14:textId="77777777" w:rsidR="00AD79A7" w:rsidRDefault="00AD79A7">
      <w:pPr>
        <w:pStyle w:val="BodyText"/>
        <w:spacing w:before="10"/>
        <w:rPr>
          <w:sz w:val="20"/>
        </w:rPr>
      </w:pPr>
    </w:p>
    <w:p w14:paraId="01481E02" w14:textId="77777777" w:rsidR="00AD79A7" w:rsidRDefault="00D44A60">
      <w:pPr>
        <w:pStyle w:val="ListParagraph"/>
        <w:numPr>
          <w:ilvl w:val="0"/>
          <w:numId w:val="2"/>
        </w:numPr>
        <w:tabs>
          <w:tab w:val="left" w:pos="1430"/>
        </w:tabs>
        <w:ind w:right="699"/>
        <w:jc w:val="both"/>
        <w:rPr>
          <w:sz w:val="24"/>
        </w:rPr>
      </w:pPr>
      <w:r>
        <w:rPr>
          <w:sz w:val="24"/>
        </w:rPr>
        <w:t xml:space="preserve">In rural and provincial communities, MTFJ are increasingly well-practiced and well-placed to engage and address NEET issues, effectively closing the gaps with urban cohorts, increasing access </w:t>
      </w:r>
      <w:r>
        <w:rPr>
          <w:sz w:val="24"/>
        </w:rPr>
        <w:t>to targeted services as well as creating partnerships with the support of iwi and communities.</w:t>
      </w:r>
    </w:p>
    <w:p w14:paraId="46B3EAFF" w14:textId="77777777" w:rsidR="00AD79A7" w:rsidRDefault="00AD79A7">
      <w:pPr>
        <w:pStyle w:val="BodyText"/>
        <w:spacing w:before="10"/>
        <w:rPr>
          <w:sz w:val="20"/>
        </w:rPr>
      </w:pPr>
    </w:p>
    <w:p w14:paraId="7F4B2249" w14:textId="77777777" w:rsidR="00AD79A7" w:rsidRDefault="00D44A60">
      <w:pPr>
        <w:pStyle w:val="ListParagraph"/>
        <w:numPr>
          <w:ilvl w:val="0"/>
          <w:numId w:val="2"/>
        </w:numPr>
        <w:tabs>
          <w:tab w:val="left" w:pos="1430"/>
        </w:tabs>
        <w:jc w:val="both"/>
        <w:rPr>
          <w:sz w:val="24"/>
        </w:rPr>
      </w:pPr>
      <w:r>
        <w:rPr>
          <w:sz w:val="24"/>
        </w:rPr>
        <w:t>Councils are also increasingly working with Regional Public Service Commissioners through Regional Leadership Groups that represent local government, iwi and co</w:t>
      </w:r>
      <w:r>
        <w:rPr>
          <w:sz w:val="24"/>
        </w:rPr>
        <w:t xml:space="preserve">mmunities to support greater collaboration on locally led, regionally enabled and nationally supported solutions on priorities. The MTFJ is strongly aligned with supporting the system shift to locally led </w:t>
      </w:r>
      <w:r>
        <w:rPr>
          <w:spacing w:val="-2"/>
          <w:sz w:val="24"/>
        </w:rPr>
        <w:t>solutions.</w:t>
      </w:r>
    </w:p>
    <w:p w14:paraId="006F342C" w14:textId="77777777" w:rsidR="00AD79A7" w:rsidRDefault="00AD79A7">
      <w:pPr>
        <w:pStyle w:val="BodyText"/>
        <w:spacing w:before="10"/>
        <w:rPr>
          <w:sz w:val="20"/>
        </w:rPr>
      </w:pPr>
    </w:p>
    <w:p w14:paraId="453133F5" w14:textId="77777777" w:rsidR="00AD79A7" w:rsidRDefault="00D44A60">
      <w:pPr>
        <w:pStyle w:val="ListParagraph"/>
        <w:numPr>
          <w:ilvl w:val="0"/>
          <w:numId w:val="2"/>
        </w:numPr>
        <w:tabs>
          <w:tab w:val="left" w:pos="1430"/>
        </w:tabs>
        <w:ind w:right="699"/>
        <w:jc w:val="both"/>
        <w:rPr>
          <w:sz w:val="24"/>
        </w:rPr>
      </w:pPr>
      <w:r>
        <w:rPr>
          <w:sz w:val="24"/>
        </w:rPr>
        <w:t>If</w:t>
      </w:r>
      <w:r>
        <w:rPr>
          <w:spacing w:val="-2"/>
          <w:sz w:val="24"/>
        </w:rPr>
        <w:t xml:space="preserve"> </w:t>
      </w:r>
      <w:r>
        <w:rPr>
          <w:sz w:val="24"/>
        </w:rPr>
        <w:t>funding is not</w:t>
      </w:r>
      <w:r>
        <w:rPr>
          <w:spacing w:val="-2"/>
          <w:sz w:val="24"/>
        </w:rPr>
        <w:t xml:space="preserve"> </w:t>
      </w:r>
      <w:r>
        <w:rPr>
          <w:sz w:val="24"/>
        </w:rPr>
        <w:t>approved there is</w:t>
      </w:r>
      <w:r>
        <w:rPr>
          <w:spacing w:val="-1"/>
          <w:sz w:val="24"/>
        </w:rPr>
        <w:t xml:space="preserve"> </w:t>
      </w:r>
      <w:r>
        <w:rPr>
          <w:sz w:val="24"/>
        </w:rPr>
        <w:t>a</w:t>
      </w:r>
      <w:r>
        <w:rPr>
          <w:spacing w:val="-1"/>
          <w:sz w:val="24"/>
        </w:rPr>
        <w:t xml:space="preserve"> </w:t>
      </w:r>
      <w:r>
        <w:rPr>
          <w:sz w:val="24"/>
        </w:rPr>
        <w:t>h</w:t>
      </w:r>
      <w:r>
        <w:rPr>
          <w:sz w:val="24"/>
        </w:rPr>
        <w:t>igh likelihood that</w:t>
      </w:r>
      <w:r>
        <w:rPr>
          <w:spacing w:val="-1"/>
          <w:sz w:val="24"/>
        </w:rPr>
        <w:t xml:space="preserve"> </w:t>
      </w:r>
      <w:r>
        <w:rPr>
          <w:sz w:val="24"/>
        </w:rPr>
        <w:t>ongoing MTFJ</w:t>
      </w:r>
      <w:r>
        <w:rPr>
          <w:spacing w:val="-1"/>
          <w:sz w:val="24"/>
        </w:rPr>
        <w:t xml:space="preserve"> </w:t>
      </w:r>
      <w:r>
        <w:rPr>
          <w:sz w:val="24"/>
        </w:rPr>
        <w:t>services will be paused, scaled down and/or existing council MTFJ coordinators reassigned.</w:t>
      </w:r>
      <w:r>
        <w:rPr>
          <w:spacing w:val="-1"/>
          <w:sz w:val="24"/>
        </w:rPr>
        <w:t xml:space="preserve"> </w:t>
      </w:r>
      <w:r>
        <w:rPr>
          <w:sz w:val="24"/>
        </w:rPr>
        <w:t>A reduced or</w:t>
      </w:r>
      <w:r>
        <w:rPr>
          <w:spacing w:val="-1"/>
          <w:sz w:val="24"/>
        </w:rPr>
        <w:t xml:space="preserve"> </w:t>
      </w:r>
      <w:r>
        <w:rPr>
          <w:sz w:val="24"/>
        </w:rPr>
        <w:t>scaled</w:t>
      </w:r>
      <w:r>
        <w:rPr>
          <w:spacing w:val="-1"/>
          <w:sz w:val="24"/>
        </w:rPr>
        <w:t xml:space="preserve"> </w:t>
      </w:r>
      <w:r>
        <w:rPr>
          <w:sz w:val="24"/>
        </w:rPr>
        <w:t>down</w:t>
      </w:r>
      <w:r>
        <w:rPr>
          <w:spacing w:val="-1"/>
          <w:sz w:val="24"/>
        </w:rPr>
        <w:t xml:space="preserve"> </w:t>
      </w:r>
      <w:r>
        <w:rPr>
          <w:sz w:val="24"/>
        </w:rPr>
        <w:t>MTFJ could include reducing the number of eligible councils, or targets for participants in permanent emplo</w:t>
      </w:r>
      <w:r>
        <w:rPr>
          <w:sz w:val="24"/>
        </w:rPr>
        <w:t>yment. There is a risk that councils will not be able to meet the demand for their services.</w:t>
      </w:r>
    </w:p>
    <w:p w14:paraId="0BA30BC9" w14:textId="77777777" w:rsidR="00AD79A7" w:rsidRDefault="00AD79A7">
      <w:pPr>
        <w:pStyle w:val="BodyText"/>
        <w:spacing w:before="10"/>
        <w:rPr>
          <w:sz w:val="20"/>
        </w:rPr>
      </w:pPr>
    </w:p>
    <w:p w14:paraId="0907CB6E" w14:textId="77777777" w:rsidR="00AD79A7" w:rsidRDefault="00D44A60">
      <w:pPr>
        <w:pStyle w:val="ListParagraph"/>
        <w:numPr>
          <w:ilvl w:val="0"/>
          <w:numId w:val="2"/>
        </w:numPr>
        <w:tabs>
          <w:tab w:val="left" w:pos="1430"/>
        </w:tabs>
        <w:ind w:right="699"/>
        <w:jc w:val="both"/>
        <w:rPr>
          <w:sz w:val="24"/>
        </w:rPr>
      </w:pPr>
      <w:r>
        <w:rPr>
          <w:sz w:val="24"/>
        </w:rPr>
        <w:t>MTFJ is one of 25 partnerships included in the Construction Accord: Skills for Industry portfolio. There is a</w:t>
      </w:r>
      <w:r>
        <w:rPr>
          <w:spacing w:val="-2"/>
          <w:sz w:val="24"/>
        </w:rPr>
        <w:t xml:space="preserve"> </w:t>
      </w:r>
      <w:r>
        <w:rPr>
          <w:sz w:val="24"/>
        </w:rPr>
        <w:t>further risk that</w:t>
      </w:r>
      <w:r>
        <w:rPr>
          <w:spacing w:val="-1"/>
          <w:sz w:val="24"/>
        </w:rPr>
        <w:t xml:space="preserve"> </w:t>
      </w:r>
      <w:r>
        <w:rPr>
          <w:sz w:val="24"/>
        </w:rPr>
        <w:t>the unsupported Budget</w:t>
      </w:r>
      <w:r>
        <w:rPr>
          <w:spacing w:val="-1"/>
          <w:sz w:val="24"/>
        </w:rPr>
        <w:t xml:space="preserve"> </w:t>
      </w:r>
      <w:r>
        <w:rPr>
          <w:sz w:val="24"/>
        </w:rPr>
        <w:t xml:space="preserve">bid places </w:t>
      </w:r>
      <w:r>
        <w:rPr>
          <w:sz w:val="24"/>
        </w:rPr>
        <w:t xml:space="preserve">all existing partnerships at risk, including sector leading initiatives run in conjunction with the Construction Sector Accord. Not being able to fully fund the MTFJ. places MSD’s Broader Outcomes partnerships with Waka Kotahi, </w:t>
      </w:r>
      <w:proofErr w:type="spellStart"/>
      <w:r>
        <w:rPr>
          <w:sz w:val="24"/>
        </w:rPr>
        <w:t>Kāinga</w:t>
      </w:r>
      <w:proofErr w:type="spellEnd"/>
      <w:r>
        <w:rPr>
          <w:sz w:val="24"/>
        </w:rPr>
        <w:t xml:space="preserve"> Ora and Department of</w:t>
      </w:r>
      <w:r>
        <w:rPr>
          <w:sz w:val="24"/>
        </w:rPr>
        <w:t xml:space="preserve"> Internal Affairs at risk.</w:t>
      </w:r>
    </w:p>
    <w:p w14:paraId="0B13F14A" w14:textId="77777777" w:rsidR="00AD79A7" w:rsidRDefault="00AD79A7">
      <w:pPr>
        <w:pStyle w:val="BodyText"/>
        <w:rPr>
          <w:sz w:val="21"/>
        </w:rPr>
      </w:pPr>
    </w:p>
    <w:p w14:paraId="171C4B73" w14:textId="77777777" w:rsidR="00AD79A7" w:rsidRDefault="00D44A60">
      <w:pPr>
        <w:pStyle w:val="Heading2"/>
      </w:pPr>
      <w:bookmarkStart w:id="10" w:name="Financial_Implications"/>
      <w:bookmarkEnd w:id="10"/>
      <w:r>
        <w:t>Financial</w:t>
      </w:r>
      <w:r>
        <w:rPr>
          <w:spacing w:val="10"/>
        </w:rPr>
        <w:t xml:space="preserve"> </w:t>
      </w:r>
      <w:r>
        <w:rPr>
          <w:spacing w:val="-2"/>
        </w:rPr>
        <w:t>Implications</w:t>
      </w:r>
    </w:p>
    <w:p w14:paraId="33872AA8" w14:textId="77777777" w:rsidR="00AD79A7" w:rsidRDefault="00AD79A7">
      <w:pPr>
        <w:pStyle w:val="BodyText"/>
        <w:spacing w:before="9"/>
        <w:rPr>
          <w:rFonts w:ascii="Arial"/>
          <w:b/>
          <w:sz w:val="20"/>
        </w:rPr>
      </w:pPr>
    </w:p>
    <w:p w14:paraId="637C4B7E" w14:textId="77777777" w:rsidR="00AD79A7" w:rsidRDefault="00D44A60">
      <w:pPr>
        <w:pStyle w:val="ListParagraph"/>
        <w:numPr>
          <w:ilvl w:val="0"/>
          <w:numId w:val="2"/>
        </w:numPr>
        <w:tabs>
          <w:tab w:val="left" w:pos="1430"/>
        </w:tabs>
        <w:ind w:right="703"/>
        <w:jc w:val="both"/>
        <w:rPr>
          <w:sz w:val="24"/>
        </w:rPr>
      </w:pPr>
      <w:r>
        <w:rPr>
          <w:sz w:val="24"/>
        </w:rPr>
        <w:t>The cost of fully funding the MTFJ extension into 2022/23 is $14 million.</w:t>
      </w:r>
      <w:r>
        <w:rPr>
          <w:spacing w:val="40"/>
          <w:sz w:val="24"/>
        </w:rPr>
        <w:t xml:space="preserve"> </w:t>
      </w:r>
      <w:r>
        <w:rPr>
          <w:sz w:val="24"/>
        </w:rPr>
        <w:t>The Ministry of Social Development is able to fund $8 million of this by reprioritising funding in 2022/23. The remaining $6 million of funding is being sought from an underspend in 2021/22 from the Improved Employment and Social Outcomes Support MCA, with</w:t>
      </w:r>
      <w:r>
        <w:rPr>
          <w:sz w:val="24"/>
        </w:rPr>
        <w:t>in Vote Social Development.</w:t>
      </w:r>
    </w:p>
    <w:p w14:paraId="32690029" w14:textId="77777777" w:rsidR="00AD79A7" w:rsidRDefault="00AD79A7">
      <w:pPr>
        <w:pStyle w:val="BodyText"/>
        <w:spacing w:before="10"/>
        <w:rPr>
          <w:sz w:val="20"/>
        </w:rPr>
      </w:pPr>
    </w:p>
    <w:p w14:paraId="0137E124" w14:textId="0BBADFFB" w:rsidR="00AD79A7" w:rsidRDefault="000B14DA">
      <w:pPr>
        <w:pStyle w:val="ListParagraph"/>
        <w:numPr>
          <w:ilvl w:val="0"/>
          <w:numId w:val="2"/>
        </w:numPr>
        <w:tabs>
          <w:tab w:val="left" w:pos="1430"/>
        </w:tabs>
        <w:ind w:right="699"/>
        <w:jc w:val="both"/>
        <w:rPr>
          <w:sz w:val="24"/>
        </w:rPr>
      </w:pPr>
      <w:r>
        <w:rPr>
          <w:sz w:val="24"/>
        </w:rPr>
        <w:t>[Redacted content]</w:t>
      </w:r>
      <w:r w:rsidR="00D44A60">
        <w:rPr>
          <w:sz w:val="24"/>
        </w:rPr>
        <w:t>.</w:t>
      </w:r>
    </w:p>
    <w:p w14:paraId="57C4D70D" w14:textId="77777777" w:rsidR="00AD79A7" w:rsidRDefault="00AD79A7">
      <w:pPr>
        <w:pStyle w:val="BodyText"/>
        <w:rPr>
          <w:sz w:val="21"/>
        </w:rPr>
      </w:pPr>
    </w:p>
    <w:p w14:paraId="357AF7AC" w14:textId="77777777" w:rsidR="00AD79A7" w:rsidRDefault="00D44A60">
      <w:pPr>
        <w:pStyle w:val="Heading2"/>
      </w:pPr>
      <w:bookmarkStart w:id="11" w:name="Legislative_Implications"/>
      <w:bookmarkEnd w:id="11"/>
      <w:r>
        <w:t>Legislative</w:t>
      </w:r>
      <w:r>
        <w:rPr>
          <w:spacing w:val="-4"/>
        </w:rPr>
        <w:t xml:space="preserve"> </w:t>
      </w:r>
      <w:r>
        <w:rPr>
          <w:spacing w:val="-2"/>
        </w:rPr>
        <w:t>Implications</w:t>
      </w:r>
    </w:p>
    <w:p w14:paraId="497C60A5" w14:textId="77777777" w:rsidR="00AD79A7" w:rsidRDefault="00AD79A7">
      <w:pPr>
        <w:pStyle w:val="BodyText"/>
        <w:spacing w:before="9"/>
        <w:rPr>
          <w:rFonts w:ascii="Arial"/>
          <w:b/>
          <w:sz w:val="20"/>
        </w:rPr>
      </w:pPr>
    </w:p>
    <w:p w14:paraId="439467A4" w14:textId="77777777" w:rsidR="00AD79A7" w:rsidRDefault="00D44A60">
      <w:pPr>
        <w:pStyle w:val="ListParagraph"/>
        <w:numPr>
          <w:ilvl w:val="0"/>
          <w:numId w:val="2"/>
        </w:numPr>
        <w:tabs>
          <w:tab w:val="left" w:pos="1429"/>
          <w:tab w:val="left" w:pos="1430"/>
        </w:tabs>
        <w:ind w:right="0"/>
        <w:rPr>
          <w:sz w:val="24"/>
        </w:rPr>
      </w:pPr>
      <w:r>
        <w:rPr>
          <w:sz w:val="24"/>
        </w:rPr>
        <w:t>There</w:t>
      </w:r>
      <w:r>
        <w:rPr>
          <w:spacing w:val="-4"/>
          <w:sz w:val="24"/>
        </w:rPr>
        <w:t xml:space="preserve"> </w:t>
      </w:r>
      <w:r>
        <w:rPr>
          <w:sz w:val="24"/>
        </w:rPr>
        <w:t>are</w:t>
      </w:r>
      <w:r>
        <w:rPr>
          <w:spacing w:val="-4"/>
          <w:sz w:val="24"/>
        </w:rPr>
        <w:t xml:space="preserve"> </w:t>
      </w:r>
      <w:r>
        <w:rPr>
          <w:sz w:val="24"/>
        </w:rPr>
        <w:t>no</w:t>
      </w:r>
      <w:r>
        <w:rPr>
          <w:spacing w:val="-2"/>
          <w:sz w:val="24"/>
        </w:rPr>
        <w:t xml:space="preserve"> </w:t>
      </w:r>
      <w:r>
        <w:rPr>
          <w:sz w:val="24"/>
        </w:rPr>
        <w:t>legislative</w:t>
      </w:r>
      <w:r>
        <w:rPr>
          <w:spacing w:val="-2"/>
          <w:sz w:val="24"/>
        </w:rPr>
        <w:t xml:space="preserve"> </w:t>
      </w:r>
      <w:r>
        <w:rPr>
          <w:sz w:val="24"/>
        </w:rPr>
        <w:t>implications to</w:t>
      </w:r>
      <w:r>
        <w:rPr>
          <w:spacing w:val="-2"/>
          <w:sz w:val="24"/>
        </w:rPr>
        <w:t xml:space="preserve"> </w:t>
      </w:r>
      <w:r>
        <w:rPr>
          <w:sz w:val="24"/>
        </w:rPr>
        <w:t>th</w:t>
      </w:r>
      <w:r>
        <w:rPr>
          <w:sz w:val="24"/>
        </w:rPr>
        <w:t>is</w:t>
      </w:r>
      <w:r>
        <w:rPr>
          <w:spacing w:val="-2"/>
          <w:sz w:val="24"/>
        </w:rPr>
        <w:t xml:space="preserve"> proposal.</w:t>
      </w:r>
    </w:p>
    <w:p w14:paraId="2F58E648" w14:textId="77777777" w:rsidR="00AD79A7" w:rsidRDefault="00AD79A7">
      <w:pPr>
        <w:pStyle w:val="BodyText"/>
        <w:rPr>
          <w:sz w:val="21"/>
        </w:rPr>
      </w:pPr>
    </w:p>
    <w:p w14:paraId="00871A9F" w14:textId="77777777" w:rsidR="00AD79A7" w:rsidRDefault="00D44A60">
      <w:pPr>
        <w:pStyle w:val="Heading1"/>
      </w:pPr>
      <w:bookmarkStart w:id="12" w:name="Impact_Analysis"/>
      <w:bookmarkEnd w:id="12"/>
      <w:r>
        <w:t>Impact</w:t>
      </w:r>
      <w:r>
        <w:rPr>
          <w:spacing w:val="-4"/>
        </w:rPr>
        <w:t xml:space="preserve"> </w:t>
      </w:r>
      <w:r>
        <w:rPr>
          <w:spacing w:val="-2"/>
        </w:rPr>
        <w:t>Analysis</w:t>
      </w:r>
    </w:p>
    <w:p w14:paraId="5A14FDA8" w14:textId="77777777" w:rsidR="00AD79A7" w:rsidRDefault="00AD79A7">
      <w:pPr>
        <w:pStyle w:val="BodyText"/>
        <w:spacing w:before="3"/>
        <w:rPr>
          <w:rFonts w:ascii="Arial"/>
          <w:b/>
          <w:sz w:val="31"/>
        </w:rPr>
      </w:pPr>
    </w:p>
    <w:p w14:paraId="72540333" w14:textId="77777777" w:rsidR="00AD79A7" w:rsidRDefault="00D44A60">
      <w:pPr>
        <w:pStyle w:val="Heading2"/>
      </w:pPr>
      <w:bookmarkStart w:id="13" w:name="Regulatory_Impact_Statement"/>
      <w:bookmarkEnd w:id="13"/>
      <w:r>
        <w:t>Regulatory</w:t>
      </w:r>
      <w:r>
        <w:rPr>
          <w:spacing w:val="-3"/>
        </w:rPr>
        <w:t xml:space="preserve"> </w:t>
      </w:r>
      <w:r>
        <w:t>Impact</w:t>
      </w:r>
      <w:r>
        <w:rPr>
          <w:spacing w:val="-3"/>
        </w:rPr>
        <w:t xml:space="preserve"> </w:t>
      </w:r>
      <w:r>
        <w:rPr>
          <w:spacing w:val="-2"/>
        </w:rPr>
        <w:t>Statement</w:t>
      </w:r>
    </w:p>
    <w:p w14:paraId="1C0BB9C9" w14:textId="77777777" w:rsidR="00AD79A7" w:rsidRDefault="00AD79A7">
      <w:pPr>
        <w:pStyle w:val="BodyText"/>
        <w:spacing w:before="9"/>
        <w:rPr>
          <w:rFonts w:ascii="Arial"/>
          <w:b/>
          <w:sz w:val="20"/>
        </w:rPr>
      </w:pPr>
    </w:p>
    <w:p w14:paraId="08E30A0C" w14:textId="77777777" w:rsidR="00AD79A7" w:rsidRDefault="00D44A60">
      <w:pPr>
        <w:pStyle w:val="ListParagraph"/>
        <w:numPr>
          <w:ilvl w:val="0"/>
          <w:numId w:val="2"/>
        </w:numPr>
        <w:tabs>
          <w:tab w:val="left" w:pos="1430"/>
        </w:tabs>
        <w:ind w:right="705"/>
        <w:jc w:val="both"/>
        <w:rPr>
          <w:sz w:val="24"/>
        </w:rPr>
      </w:pPr>
      <w:r>
        <w:rPr>
          <w:sz w:val="24"/>
        </w:rPr>
        <w:t xml:space="preserve">A Regulatory Impact Assessment (RIA) has not been undertaken for this paper because the proposals do not have immediate legislative or regulatory </w:t>
      </w:r>
      <w:r>
        <w:rPr>
          <w:spacing w:val="-2"/>
          <w:sz w:val="24"/>
        </w:rPr>
        <w:t>implications.</w:t>
      </w:r>
    </w:p>
    <w:p w14:paraId="0905206A" w14:textId="77777777" w:rsidR="00AD79A7" w:rsidRDefault="00AD79A7">
      <w:pPr>
        <w:jc w:val="both"/>
        <w:rPr>
          <w:sz w:val="24"/>
        </w:rPr>
        <w:sectPr w:rsidR="00AD79A7">
          <w:pgSz w:w="11910" w:h="16840"/>
          <w:pgMar w:top="1340" w:right="740" w:bottom="1180" w:left="1300" w:header="715" w:footer="983" w:gutter="0"/>
          <w:cols w:space="720"/>
        </w:sectPr>
      </w:pPr>
    </w:p>
    <w:p w14:paraId="24B942E0" w14:textId="77777777" w:rsidR="00AD79A7" w:rsidRDefault="00D44A60">
      <w:pPr>
        <w:pStyle w:val="Heading2"/>
        <w:spacing w:before="82"/>
      </w:pPr>
      <w:bookmarkStart w:id="14" w:name="Climate_Implications_of_Policy_Assessmen"/>
      <w:bookmarkEnd w:id="14"/>
      <w:r>
        <w:t>Climate</w:t>
      </w:r>
      <w:r>
        <w:rPr>
          <w:spacing w:val="-5"/>
        </w:rPr>
        <w:t xml:space="preserve"> </w:t>
      </w:r>
      <w:r>
        <w:t>Implicatio</w:t>
      </w:r>
      <w:r>
        <w:t>ns</w:t>
      </w:r>
      <w:r>
        <w:rPr>
          <w:spacing w:val="-1"/>
        </w:rPr>
        <w:t xml:space="preserve"> </w:t>
      </w:r>
      <w:r>
        <w:t>of</w:t>
      </w:r>
      <w:r>
        <w:rPr>
          <w:spacing w:val="-4"/>
        </w:rPr>
        <w:t xml:space="preserve"> </w:t>
      </w:r>
      <w:r>
        <w:t>Policy</w:t>
      </w:r>
      <w:r>
        <w:rPr>
          <w:spacing w:val="-2"/>
        </w:rPr>
        <w:t xml:space="preserve"> Assessment</w:t>
      </w:r>
    </w:p>
    <w:p w14:paraId="72473FF9" w14:textId="77777777" w:rsidR="00AD79A7" w:rsidRDefault="00AD79A7">
      <w:pPr>
        <w:pStyle w:val="BodyText"/>
        <w:spacing w:before="9"/>
        <w:rPr>
          <w:rFonts w:ascii="Arial"/>
          <w:b/>
          <w:sz w:val="20"/>
        </w:rPr>
      </w:pPr>
    </w:p>
    <w:p w14:paraId="326E20EE" w14:textId="77777777" w:rsidR="00AD79A7" w:rsidRDefault="00D44A60">
      <w:pPr>
        <w:pStyle w:val="ListParagraph"/>
        <w:numPr>
          <w:ilvl w:val="0"/>
          <w:numId w:val="2"/>
        </w:numPr>
        <w:tabs>
          <w:tab w:val="left" w:pos="1430"/>
        </w:tabs>
        <w:ind w:right="705"/>
        <w:jc w:val="both"/>
        <w:rPr>
          <w:sz w:val="24"/>
        </w:rPr>
      </w:pPr>
      <w:r>
        <w:rPr>
          <w:sz w:val="24"/>
        </w:rPr>
        <w:t>The CIPA requirements do</w:t>
      </w:r>
      <w:r>
        <w:rPr>
          <w:spacing w:val="-2"/>
          <w:sz w:val="24"/>
        </w:rPr>
        <w:t xml:space="preserve"> </w:t>
      </w:r>
      <w:r>
        <w:rPr>
          <w:sz w:val="24"/>
        </w:rPr>
        <w:t>not</w:t>
      </w:r>
      <w:r>
        <w:rPr>
          <w:spacing w:val="-1"/>
          <w:sz w:val="24"/>
        </w:rPr>
        <w:t xml:space="preserve"> </w:t>
      </w:r>
      <w:r>
        <w:rPr>
          <w:sz w:val="24"/>
        </w:rPr>
        <w:t>apply to this paper as</w:t>
      </w:r>
      <w:r>
        <w:rPr>
          <w:spacing w:val="-1"/>
          <w:sz w:val="24"/>
        </w:rPr>
        <w:t xml:space="preserve"> </w:t>
      </w:r>
      <w:r>
        <w:rPr>
          <w:sz w:val="24"/>
        </w:rPr>
        <w:t>the initiatives either do</w:t>
      </w:r>
      <w:r>
        <w:rPr>
          <w:spacing w:val="-2"/>
          <w:sz w:val="24"/>
        </w:rPr>
        <w:t xml:space="preserve"> </w:t>
      </w:r>
      <w:r>
        <w:rPr>
          <w:sz w:val="24"/>
        </w:rPr>
        <w:t>not have a direct emissions impact, do not meet the emissions abatement threshold to require a CIPA, or do not have enough certainty to be accurately qua</w:t>
      </w:r>
      <w:r>
        <w:rPr>
          <w:sz w:val="24"/>
        </w:rPr>
        <w:t>ntified.</w:t>
      </w:r>
    </w:p>
    <w:p w14:paraId="45F20C79" w14:textId="77777777" w:rsidR="00AD79A7" w:rsidRDefault="00AD79A7">
      <w:pPr>
        <w:pStyle w:val="BodyText"/>
        <w:spacing w:before="11"/>
        <w:rPr>
          <w:sz w:val="20"/>
        </w:rPr>
      </w:pPr>
    </w:p>
    <w:p w14:paraId="71D558C4" w14:textId="77777777" w:rsidR="00AD79A7" w:rsidRDefault="00D44A60">
      <w:pPr>
        <w:pStyle w:val="Heading2"/>
      </w:pPr>
      <w:bookmarkStart w:id="15" w:name="Population_Implications"/>
      <w:bookmarkEnd w:id="15"/>
      <w:r>
        <w:t>Population</w:t>
      </w:r>
      <w:r>
        <w:rPr>
          <w:spacing w:val="-3"/>
        </w:rPr>
        <w:t xml:space="preserve"> </w:t>
      </w:r>
      <w:r>
        <w:rPr>
          <w:spacing w:val="-2"/>
        </w:rPr>
        <w:t>Implications</w:t>
      </w:r>
    </w:p>
    <w:p w14:paraId="20BB5D1A" w14:textId="77777777" w:rsidR="00AD79A7" w:rsidRDefault="00AD79A7">
      <w:pPr>
        <w:pStyle w:val="BodyText"/>
        <w:spacing w:before="9"/>
        <w:rPr>
          <w:rFonts w:ascii="Arial"/>
          <w:b/>
          <w:sz w:val="20"/>
        </w:rPr>
      </w:pPr>
    </w:p>
    <w:p w14:paraId="4EEF78B3" w14:textId="77777777" w:rsidR="00AD79A7" w:rsidRDefault="00D44A60">
      <w:pPr>
        <w:pStyle w:val="ListParagraph"/>
        <w:numPr>
          <w:ilvl w:val="0"/>
          <w:numId w:val="2"/>
        </w:numPr>
        <w:tabs>
          <w:tab w:val="left" w:pos="1430"/>
        </w:tabs>
        <w:ind w:right="703"/>
        <w:jc w:val="both"/>
        <w:rPr>
          <w:sz w:val="24"/>
        </w:rPr>
      </w:pPr>
      <w:r>
        <w:rPr>
          <w:sz w:val="24"/>
        </w:rPr>
        <w:t>This proposal will fund programmes designed to support youth NEETs, to receive employment and training, as well as improving employment outcomes for women, Māori, Pasifika, disabled people and ethnic community youth.</w:t>
      </w:r>
    </w:p>
    <w:p w14:paraId="53F64517" w14:textId="77777777" w:rsidR="00AD79A7" w:rsidRDefault="00AD79A7">
      <w:pPr>
        <w:pStyle w:val="BodyText"/>
        <w:spacing w:before="10"/>
        <w:rPr>
          <w:sz w:val="20"/>
        </w:rPr>
      </w:pPr>
    </w:p>
    <w:p w14:paraId="29C569EF" w14:textId="77777777" w:rsidR="00AD79A7" w:rsidRDefault="00D44A60">
      <w:pPr>
        <w:pStyle w:val="ListParagraph"/>
        <w:numPr>
          <w:ilvl w:val="0"/>
          <w:numId w:val="2"/>
        </w:numPr>
        <w:tabs>
          <w:tab w:val="left" w:pos="1430"/>
        </w:tabs>
        <w:ind w:right="702"/>
        <w:jc w:val="both"/>
        <w:rPr>
          <w:sz w:val="24"/>
        </w:rPr>
      </w:pPr>
      <w:r>
        <w:rPr>
          <w:sz w:val="24"/>
        </w:rPr>
        <w:t>In March 2022, 19.3% of Māori youth an</w:t>
      </w:r>
      <w:r>
        <w:rPr>
          <w:sz w:val="24"/>
        </w:rPr>
        <w:t>d 17% of Pacific youth between the ages of 15 and 24 were NEET according to the Household Labour Force</w:t>
      </w:r>
      <w:r>
        <w:rPr>
          <w:spacing w:val="40"/>
          <w:sz w:val="24"/>
        </w:rPr>
        <w:t xml:space="preserve"> </w:t>
      </w:r>
      <w:r>
        <w:rPr>
          <w:sz w:val="24"/>
        </w:rPr>
        <w:t>Survey. This rate is twice that of European and Asian youth (9.7% and 7.6% respectivel</w:t>
      </w:r>
      <w:bookmarkStart w:id="16" w:name="_bookmark4"/>
      <w:bookmarkEnd w:id="16"/>
      <w:r>
        <w:rPr>
          <w:sz w:val="24"/>
        </w:rPr>
        <w:t>y),</w:t>
      </w:r>
      <w:hyperlink w:anchor="_bookmark5" w:history="1">
        <w:r>
          <w:rPr>
            <w:sz w:val="24"/>
            <w:vertAlign w:val="superscript"/>
          </w:rPr>
          <w:t>3</w:t>
        </w:r>
        <w:r>
          <w:rPr>
            <w:sz w:val="24"/>
          </w:rPr>
          <w:t xml:space="preserve"> </w:t>
        </w:r>
      </w:hyperlink>
      <w:r>
        <w:rPr>
          <w:sz w:val="24"/>
        </w:rPr>
        <w:t>and significantly greater than t</w:t>
      </w:r>
      <w:r>
        <w:rPr>
          <w:sz w:val="24"/>
        </w:rPr>
        <w:t>he national NEET rate of 11.7%. Higher NEET rates for Māori and Pacific youth are a persistent feature of New Zealand’s labour market.</w:t>
      </w:r>
    </w:p>
    <w:p w14:paraId="157DC2DA" w14:textId="77777777" w:rsidR="00AD79A7" w:rsidRDefault="00AD79A7">
      <w:pPr>
        <w:pStyle w:val="BodyText"/>
        <w:spacing w:before="10"/>
        <w:rPr>
          <w:sz w:val="20"/>
        </w:rPr>
      </w:pPr>
    </w:p>
    <w:p w14:paraId="14A8F48C" w14:textId="77777777" w:rsidR="00AD79A7" w:rsidRDefault="00D44A60">
      <w:pPr>
        <w:pStyle w:val="ListParagraph"/>
        <w:numPr>
          <w:ilvl w:val="0"/>
          <w:numId w:val="2"/>
        </w:numPr>
        <w:tabs>
          <w:tab w:val="left" w:pos="1430"/>
        </w:tabs>
        <w:jc w:val="both"/>
        <w:rPr>
          <w:sz w:val="24"/>
        </w:rPr>
      </w:pPr>
      <w:r>
        <w:rPr>
          <w:sz w:val="24"/>
        </w:rPr>
        <w:t>In March 2022, 12.3% of young women (between 15 and 24), were NEET, and the</w:t>
      </w:r>
      <w:r>
        <w:rPr>
          <w:spacing w:val="-1"/>
          <w:sz w:val="24"/>
        </w:rPr>
        <w:t xml:space="preserve"> </w:t>
      </w:r>
      <w:r>
        <w:rPr>
          <w:sz w:val="24"/>
        </w:rPr>
        <w:t>NEET rate in</w:t>
      </w:r>
      <w:r>
        <w:rPr>
          <w:spacing w:val="-1"/>
          <w:sz w:val="24"/>
        </w:rPr>
        <w:t xml:space="preserve"> </w:t>
      </w:r>
      <w:r>
        <w:rPr>
          <w:sz w:val="24"/>
        </w:rPr>
        <w:t>2020</w:t>
      </w:r>
      <w:r>
        <w:rPr>
          <w:spacing w:val="-1"/>
          <w:sz w:val="24"/>
        </w:rPr>
        <w:t xml:space="preserve"> </w:t>
      </w:r>
      <w:r>
        <w:rPr>
          <w:sz w:val="24"/>
        </w:rPr>
        <w:t>for</w:t>
      </w:r>
      <w:r>
        <w:rPr>
          <w:spacing w:val="-1"/>
          <w:sz w:val="24"/>
        </w:rPr>
        <w:t xml:space="preserve"> </w:t>
      </w:r>
      <w:r>
        <w:rPr>
          <w:sz w:val="24"/>
        </w:rPr>
        <w:t>young</w:t>
      </w:r>
      <w:r>
        <w:rPr>
          <w:spacing w:val="-1"/>
          <w:sz w:val="24"/>
        </w:rPr>
        <w:t xml:space="preserve"> </w:t>
      </w:r>
      <w:r>
        <w:rPr>
          <w:sz w:val="24"/>
        </w:rPr>
        <w:t xml:space="preserve">disabled people </w:t>
      </w:r>
      <w:r>
        <w:rPr>
          <w:sz w:val="24"/>
        </w:rPr>
        <w:t>aged</w:t>
      </w:r>
      <w:r>
        <w:rPr>
          <w:spacing w:val="-1"/>
          <w:sz w:val="24"/>
        </w:rPr>
        <w:t xml:space="preserve"> </w:t>
      </w:r>
      <w:r>
        <w:rPr>
          <w:sz w:val="24"/>
        </w:rPr>
        <w:t>15–24</w:t>
      </w:r>
      <w:r>
        <w:rPr>
          <w:spacing w:val="-1"/>
          <w:sz w:val="24"/>
        </w:rPr>
        <w:t xml:space="preserve"> </w:t>
      </w:r>
      <w:r>
        <w:rPr>
          <w:sz w:val="24"/>
        </w:rPr>
        <w:t>years was 48.2</w:t>
      </w:r>
      <w:r>
        <w:rPr>
          <w:spacing w:val="-1"/>
          <w:sz w:val="24"/>
        </w:rPr>
        <w:t xml:space="preserve"> </w:t>
      </w:r>
      <w:r>
        <w:rPr>
          <w:sz w:val="24"/>
        </w:rPr>
        <w:t>%, compared with 10.6 percent for non-disabled youth. Additionally, youth from provincial and rural communities on average have higher rates of NEET than urban comparators.</w:t>
      </w:r>
    </w:p>
    <w:p w14:paraId="30BA600C" w14:textId="77777777" w:rsidR="00AD79A7" w:rsidRDefault="00AD79A7">
      <w:pPr>
        <w:pStyle w:val="BodyText"/>
        <w:spacing w:before="10"/>
        <w:rPr>
          <w:sz w:val="20"/>
        </w:rPr>
      </w:pPr>
    </w:p>
    <w:p w14:paraId="7903873F" w14:textId="77777777" w:rsidR="00AD79A7" w:rsidRDefault="00D44A60">
      <w:pPr>
        <w:pStyle w:val="ListParagraph"/>
        <w:numPr>
          <w:ilvl w:val="0"/>
          <w:numId w:val="2"/>
        </w:numPr>
        <w:tabs>
          <w:tab w:val="left" w:pos="1430"/>
        </w:tabs>
        <w:ind w:right="703"/>
        <w:jc w:val="both"/>
        <w:rPr>
          <w:sz w:val="24"/>
        </w:rPr>
      </w:pPr>
      <w:r>
        <w:rPr>
          <w:sz w:val="24"/>
        </w:rPr>
        <w:t>The MTFJ programme will fund the development of targeted</w:t>
      </w:r>
      <w:r>
        <w:rPr>
          <w:sz w:val="24"/>
        </w:rPr>
        <w:t xml:space="preserve"> employment and training supports that are tailored to consider what works best in individual</w:t>
      </w:r>
      <w:r>
        <w:rPr>
          <w:spacing w:val="40"/>
          <w:sz w:val="24"/>
        </w:rPr>
        <w:t xml:space="preserve"> </w:t>
      </w:r>
      <w:r>
        <w:rPr>
          <w:sz w:val="24"/>
        </w:rPr>
        <w:t>cases and leverage local knowledge, connections, and resources to deliver programmes. This includes partnering with iwi.</w:t>
      </w:r>
    </w:p>
    <w:p w14:paraId="17686264" w14:textId="77777777" w:rsidR="00AD79A7" w:rsidRDefault="00AD79A7">
      <w:pPr>
        <w:pStyle w:val="BodyText"/>
        <w:rPr>
          <w:sz w:val="21"/>
        </w:rPr>
      </w:pPr>
    </w:p>
    <w:p w14:paraId="1A935C64" w14:textId="77777777" w:rsidR="00AD79A7" w:rsidRDefault="00D44A60">
      <w:pPr>
        <w:pStyle w:val="Heading2"/>
      </w:pPr>
      <w:bookmarkStart w:id="17" w:name="Human_Rights"/>
      <w:bookmarkEnd w:id="17"/>
      <w:r>
        <w:t>Human</w:t>
      </w:r>
      <w:r>
        <w:rPr>
          <w:spacing w:val="-3"/>
        </w:rPr>
        <w:t xml:space="preserve"> </w:t>
      </w:r>
      <w:r>
        <w:rPr>
          <w:spacing w:val="-2"/>
        </w:rPr>
        <w:t>Rights</w:t>
      </w:r>
    </w:p>
    <w:p w14:paraId="224C1570" w14:textId="77777777" w:rsidR="00AD79A7" w:rsidRDefault="00AD79A7">
      <w:pPr>
        <w:pStyle w:val="BodyText"/>
        <w:spacing w:before="9"/>
        <w:rPr>
          <w:rFonts w:ascii="Arial"/>
          <w:b/>
          <w:sz w:val="20"/>
        </w:rPr>
      </w:pPr>
    </w:p>
    <w:p w14:paraId="5BDF2A80" w14:textId="77777777" w:rsidR="00AD79A7" w:rsidRDefault="00D44A60">
      <w:pPr>
        <w:pStyle w:val="ListParagraph"/>
        <w:numPr>
          <w:ilvl w:val="0"/>
          <w:numId w:val="2"/>
        </w:numPr>
        <w:tabs>
          <w:tab w:val="left" w:pos="1430"/>
        </w:tabs>
        <w:ind w:right="709"/>
        <w:jc w:val="both"/>
        <w:rPr>
          <w:sz w:val="24"/>
        </w:rPr>
      </w:pPr>
      <w:r>
        <w:rPr>
          <w:sz w:val="24"/>
        </w:rPr>
        <w:t>The proposals in this pape</w:t>
      </w:r>
      <w:r>
        <w:rPr>
          <w:sz w:val="24"/>
        </w:rPr>
        <w:t>r are consistent with the New Zealand Bill of Rights Act 1990 and the Human Rights Act 1993.</w:t>
      </w:r>
    </w:p>
    <w:p w14:paraId="1B6E4EEA" w14:textId="77777777" w:rsidR="00AD79A7" w:rsidRDefault="00AD79A7">
      <w:pPr>
        <w:pStyle w:val="BodyText"/>
        <w:spacing w:before="11"/>
        <w:rPr>
          <w:sz w:val="20"/>
        </w:rPr>
      </w:pPr>
    </w:p>
    <w:p w14:paraId="71D61563" w14:textId="77777777" w:rsidR="00AD79A7" w:rsidRDefault="00D44A60">
      <w:pPr>
        <w:pStyle w:val="Heading2"/>
      </w:pPr>
      <w:bookmarkStart w:id="18" w:name="Consultation"/>
      <w:bookmarkEnd w:id="18"/>
      <w:r>
        <w:rPr>
          <w:spacing w:val="-2"/>
        </w:rPr>
        <w:t>Consultation</w:t>
      </w:r>
    </w:p>
    <w:p w14:paraId="3CFF6183" w14:textId="77777777" w:rsidR="00AD79A7" w:rsidRDefault="00AD79A7">
      <w:pPr>
        <w:pStyle w:val="BodyText"/>
        <w:spacing w:before="9"/>
        <w:rPr>
          <w:rFonts w:ascii="Arial"/>
          <w:b/>
          <w:sz w:val="20"/>
        </w:rPr>
      </w:pPr>
    </w:p>
    <w:p w14:paraId="2C4CC3D2" w14:textId="77777777" w:rsidR="00AD79A7" w:rsidRDefault="00D44A60">
      <w:pPr>
        <w:pStyle w:val="ListParagraph"/>
        <w:numPr>
          <w:ilvl w:val="0"/>
          <w:numId w:val="2"/>
        </w:numPr>
        <w:tabs>
          <w:tab w:val="left" w:pos="1430"/>
        </w:tabs>
        <w:ind w:right="699"/>
        <w:jc w:val="both"/>
        <w:rPr>
          <w:sz w:val="24"/>
        </w:rPr>
      </w:pPr>
      <w:r>
        <w:rPr>
          <w:sz w:val="24"/>
        </w:rPr>
        <w:t>The following government departments and agencies have been consulted on this Cabinet paper: Treasury; Department of Prime Minister and Cabinet, Int</w:t>
      </w:r>
      <w:r>
        <w:rPr>
          <w:sz w:val="24"/>
        </w:rPr>
        <w:t>ernal Affairs, Education, and Business, Innovation and Employment.</w:t>
      </w:r>
    </w:p>
    <w:p w14:paraId="180111FA" w14:textId="77777777" w:rsidR="00AD79A7" w:rsidRDefault="00AD79A7">
      <w:pPr>
        <w:pStyle w:val="BodyText"/>
        <w:spacing w:before="10"/>
        <w:rPr>
          <w:sz w:val="20"/>
        </w:rPr>
      </w:pPr>
    </w:p>
    <w:p w14:paraId="7C1B709E" w14:textId="77777777" w:rsidR="00AD79A7" w:rsidRDefault="00D44A60">
      <w:pPr>
        <w:pStyle w:val="ListParagraph"/>
        <w:numPr>
          <w:ilvl w:val="0"/>
          <w:numId w:val="2"/>
        </w:numPr>
        <w:tabs>
          <w:tab w:val="left" w:pos="1430"/>
        </w:tabs>
        <w:ind w:right="704"/>
        <w:jc w:val="both"/>
        <w:rPr>
          <w:sz w:val="24"/>
        </w:rPr>
      </w:pPr>
      <w:r>
        <w:rPr>
          <w:sz w:val="24"/>
        </w:rPr>
        <w:t xml:space="preserve">Local Government New Zealand has also been consulted on the proposal in this </w:t>
      </w:r>
      <w:r>
        <w:rPr>
          <w:spacing w:val="-2"/>
          <w:sz w:val="24"/>
        </w:rPr>
        <w:t>paper.</w:t>
      </w:r>
    </w:p>
    <w:p w14:paraId="43BC6492" w14:textId="77777777" w:rsidR="00AD79A7" w:rsidRDefault="00AD79A7">
      <w:pPr>
        <w:pStyle w:val="BodyText"/>
        <w:rPr>
          <w:sz w:val="21"/>
        </w:rPr>
      </w:pPr>
    </w:p>
    <w:p w14:paraId="2D6B0297" w14:textId="77777777" w:rsidR="00AD79A7" w:rsidRDefault="00D44A60">
      <w:pPr>
        <w:pStyle w:val="Heading2"/>
      </w:pPr>
      <w:bookmarkStart w:id="19" w:name="Communications"/>
      <w:bookmarkEnd w:id="19"/>
      <w:r>
        <w:rPr>
          <w:spacing w:val="-2"/>
        </w:rPr>
        <w:t>Communications</w:t>
      </w:r>
    </w:p>
    <w:p w14:paraId="7D4F349E" w14:textId="77777777" w:rsidR="00AD79A7" w:rsidRDefault="00AD79A7">
      <w:pPr>
        <w:pStyle w:val="BodyText"/>
        <w:spacing w:before="9"/>
        <w:rPr>
          <w:rFonts w:ascii="Arial"/>
          <w:b/>
          <w:sz w:val="20"/>
        </w:rPr>
      </w:pPr>
    </w:p>
    <w:p w14:paraId="62A28277" w14:textId="77777777" w:rsidR="00AD79A7" w:rsidRDefault="00D44A60">
      <w:pPr>
        <w:pStyle w:val="ListParagraph"/>
        <w:numPr>
          <w:ilvl w:val="0"/>
          <w:numId w:val="2"/>
        </w:numPr>
        <w:tabs>
          <w:tab w:val="left" w:pos="1430"/>
        </w:tabs>
        <w:ind w:right="700"/>
        <w:jc w:val="both"/>
        <w:rPr>
          <w:sz w:val="24"/>
        </w:rPr>
      </w:pPr>
      <w:r>
        <w:rPr>
          <w:sz w:val="24"/>
        </w:rPr>
        <w:t>Officials will liaise with my office to coordinate a communications plan once funding is agreed.</w:t>
      </w:r>
    </w:p>
    <w:p w14:paraId="0F73ECD2" w14:textId="77777777" w:rsidR="00AD79A7" w:rsidRDefault="00D44A60">
      <w:pPr>
        <w:pStyle w:val="BodyText"/>
        <w:spacing w:before="2"/>
        <w:rPr>
          <w:sz w:val="14"/>
        </w:rPr>
      </w:pPr>
      <w:r>
        <w:pict w14:anchorId="2379B532">
          <v:rect id="docshape7" o:spid="_x0000_s1026" style="position:absolute;margin-left:1in;margin-top:9.35pt;width:112.8pt;height:.5pt;z-index:-15727616;mso-wrap-distance-left:0;mso-wrap-distance-right:0;mso-position-horizontal-relative:page" fillcolor="black" stroked="f">
            <w10:wrap type="topAndBottom" anchorx="page"/>
          </v:rect>
        </w:pict>
      </w:r>
    </w:p>
    <w:bookmarkStart w:id="20" w:name="_bookmark5"/>
    <w:bookmarkEnd w:id="20"/>
    <w:p w14:paraId="6D50E2BE" w14:textId="77777777" w:rsidR="00AD79A7" w:rsidRDefault="00D44A60">
      <w:pPr>
        <w:spacing w:before="58"/>
        <w:ind w:left="141" w:right="623"/>
        <w:rPr>
          <w:sz w:val="20"/>
        </w:rPr>
      </w:pPr>
      <w:r>
        <w:fldChar w:fldCharType="begin"/>
      </w:r>
      <w:r>
        <w:instrText xml:space="preserve"> HYPERLINK \l "_bookmark4" </w:instrText>
      </w:r>
      <w:r>
        <w:fldChar w:fldCharType="separate"/>
      </w:r>
      <w:r>
        <w:rPr>
          <w:sz w:val="20"/>
          <w:vertAlign w:val="superscript"/>
        </w:rPr>
        <w:t>3</w:t>
      </w:r>
      <w:r>
        <w:rPr>
          <w:sz w:val="20"/>
          <w:vertAlign w:val="superscript"/>
        </w:rPr>
        <w:fldChar w:fldCharType="end"/>
      </w:r>
      <w:r>
        <w:rPr>
          <w:sz w:val="20"/>
        </w:rPr>
        <w:t xml:space="preserve"> Comparable NEET data was unavailable from Stats NZ for specific ethnic communities (Middle Eastern, African or Latin American). It is important to note that the labour market outcomes for Ethnic Communities (including</w:t>
      </w:r>
      <w:r>
        <w:rPr>
          <w:spacing w:val="-4"/>
          <w:sz w:val="20"/>
        </w:rPr>
        <w:t xml:space="preserve"> </w:t>
      </w:r>
      <w:r>
        <w:rPr>
          <w:sz w:val="20"/>
        </w:rPr>
        <w:t>Asian)</w:t>
      </w:r>
      <w:r>
        <w:rPr>
          <w:spacing w:val="-3"/>
          <w:sz w:val="20"/>
        </w:rPr>
        <w:t xml:space="preserve"> </w:t>
      </w:r>
      <w:r>
        <w:rPr>
          <w:sz w:val="20"/>
        </w:rPr>
        <w:t>are</w:t>
      </w:r>
      <w:r>
        <w:rPr>
          <w:spacing w:val="-3"/>
          <w:sz w:val="20"/>
        </w:rPr>
        <w:t xml:space="preserve"> </w:t>
      </w:r>
      <w:r>
        <w:rPr>
          <w:sz w:val="20"/>
        </w:rPr>
        <w:t>not</w:t>
      </w:r>
      <w:r>
        <w:rPr>
          <w:spacing w:val="-4"/>
          <w:sz w:val="20"/>
        </w:rPr>
        <w:t xml:space="preserve"> </w:t>
      </w:r>
      <w:r>
        <w:rPr>
          <w:sz w:val="20"/>
        </w:rPr>
        <w:t>homogenous,</w:t>
      </w:r>
      <w:r>
        <w:rPr>
          <w:spacing w:val="-4"/>
          <w:sz w:val="20"/>
        </w:rPr>
        <w:t xml:space="preserve"> </w:t>
      </w:r>
      <w:r>
        <w:rPr>
          <w:sz w:val="20"/>
        </w:rPr>
        <w:t>certain</w:t>
      </w:r>
      <w:r>
        <w:rPr>
          <w:spacing w:val="-3"/>
          <w:sz w:val="20"/>
        </w:rPr>
        <w:t xml:space="preserve"> </w:t>
      </w:r>
      <w:r>
        <w:rPr>
          <w:sz w:val="20"/>
        </w:rPr>
        <w:t>in</w:t>
      </w:r>
      <w:r>
        <w:rPr>
          <w:sz w:val="20"/>
        </w:rPr>
        <w:t>dividuals</w:t>
      </w:r>
      <w:r>
        <w:rPr>
          <w:spacing w:val="-5"/>
          <w:sz w:val="20"/>
        </w:rPr>
        <w:t xml:space="preserve"> </w:t>
      </w:r>
      <w:r>
        <w:rPr>
          <w:sz w:val="20"/>
        </w:rPr>
        <w:t>can</w:t>
      </w:r>
      <w:r>
        <w:rPr>
          <w:spacing w:val="-3"/>
          <w:sz w:val="20"/>
        </w:rPr>
        <w:t xml:space="preserve"> </w:t>
      </w:r>
      <w:r>
        <w:rPr>
          <w:sz w:val="20"/>
        </w:rPr>
        <w:t>face</w:t>
      </w:r>
      <w:r>
        <w:rPr>
          <w:spacing w:val="-1"/>
          <w:sz w:val="20"/>
        </w:rPr>
        <w:t xml:space="preserve"> </w:t>
      </w:r>
      <w:r>
        <w:rPr>
          <w:sz w:val="20"/>
        </w:rPr>
        <w:t>specific</w:t>
      </w:r>
      <w:r>
        <w:rPr>
          <w:spacing w:val="-3"/>
          <w:sz w:val="20"/>
        </w:rPr>
        <w:t xml:space="preserve"> </w:t>
      </w:r>
      <w:r>
        <w:rPr>
          <w:sz w:val="20"/>
        </w:rPr>
        <w:t>labour</w:t>
      </w:r>
      <w:r>
        <w:rPr>
          <w:spacing w:val="-5"/>
          <w:sz w:val="20"/>
        </w:rPr>
        <w:t xml:space="preserve"> </w:t>
      </w:r>
      <w:r>
        <w:rPr>
          <w:sz w:val="20"/>
        </w:rPr>
        <w:t>market</w:t>
      </w:r>
      <w:r>
        <w:rPr>
          <w:spacing w:val="-2"/>
          <w:sz w:val="20"/>
        </w:rPr>
        <w:t xml:space="preserve"> </w:t>
      </w:r>
      <w:r>
        <w:rPr>
          <w:sz w:val="20"/>
        </w:rPr>
        <w:t>barriers</w:t>
      </w:r>
      <w:r>
        <w:rPr>
          <w:spacing w:val="-3"/>
          <w:sz w:val="20"/>
        </w:rPr>
        <w:t xml:space="preserve"> </w:t>
      </w:r>
      <w:r>
        <w:rPr>
          <w:sz w:val="20"/>
        </w:rPr>
        <w:t>depending factors such as time in New Zealand and language.</w:t>
      </w:r>
    </w:p>
    <w:p w14:paraId="5317848A" w14:textId="77777777" w:rsidR="00AD79A7" w:rsidRDefault="00AD79A7">
      <w:pPr>
        <w:rPr>
          <w:sz w:val="20"/>
        </w:rPr>
        <w:sectPr w:rsidR="00AD79A7">
          <w:pgSz w:w="11910" w:h="16840"/>
          <w:pgMar w:top="1340" w:right="740" w:bottom="1180" w:left="1300" w:header="715" w:footer="983" w:gutter="0"/>
          <w:cols w:space="720"/>
        </w:sectPr>
      </w:pPr>
    </w:p>
    <w:p w14:paraId="4844832A" w14:textId="77777777" w:rsidR="00AD79A7" w:rsidRDefault="00D44A60">
      <w:pPr>
        <w:pStyle w:val="Heading2"/>
        <w:spacing w:before="82"/>
      </w:pPr>
      <w:bookmarkStart w:id="21" w:name="Proactive_Release"/>
      <w:bookmarkEnd w:id="21"/>
      <w:r>
        <w:t>Proactive</w:t>
      </w:r>
      <w:r>
        <w:rPr>
          <w:spacing w:val="-4"/>
        </w:rPr>
        <w:t xml:space="preserve"> </w:t>
      </w:r>
      <w:r>
        <w:rPr>
          <w:spacing w:val="-2"/>
        </w:rPr>
        <w:t>Release</w:t>
      </w:r>
    </w:p>
    <w:p w14:paraId="0768C4B8" w14:textId="77777777" w:rsidR="00AD79A7" w:rsidRDefault="00AD79A7">
      <w:pPr>
        <w:pStyle w:val="BodyText"/>
        <w:spacing w:before="9"/>
        <w:rPr>
          <w:rFonts w:ascii="Arial"/>
          <w:b/>
          <w:sz w:val="20"/>
        </w:rPr>
      </w:pPr>
    </w:p>
    <w:p w14:paraId="594F6DE1" w14:textId="77777777" w:rsidR="00AD79A7" w:rsidRDefault="00D44A60">
      <w:pPr>
        <w:pStyle w:val="ListParagraph"/>
        <w:numPr>
          <w:ilvl w:val="0"/>
          <w:numId w:val="2"/>
        </w:numPr>
        <w:tabs>
          <w:tab w:val="left" w:pos="1430"/>
        </w:tabs>
        <w:ind w:right="704"/>
        <w:jc w:val="both"/>
        <w:rPr>
          <w:sz w:val="24"/>
        </w:rPr>
      </w:pPr>
      <w:r>
        <w:rPr>
          <w:sz w:val="24"/>
        </w:rPr>
        <w:t>This paper will be proactively released within Cabinet Office guidelines and published on the Ministry of So</w:t>
      </w:r>
      <w:r>
        <w:rPr>
          <w:sz w:val="24"/>
        </w:rPr>
        <w:t>cial Development’s website, with redactions as appropriate under the Official Information Act 1982.</w:t>
      </w:r>
    </w:p>
    <w:p w14:paraId="573742EE" w14:textId="77777777" w:rsidR="00AD79A7" w:rsidRDefault="00AD79A7">
      <w:pPr>
        <w:pStyle w:val="BodyText"/>
        <w:spacing w:before="11"/>
        <w:rPr>
          <w:sz w:val="20"/>
        </w:rPr>
      </w:pPr>
    </w:p>
    <w:p w14:paraId="7E0F7767" w14:textId="77777777" w:rsidR="00AD79A7" w:rsidRDefault="00D44A60">
      <w:pPr>
        <w:pStyle w:val="Heading2"/>
      </w:pPr>
      <w:bookmarkStart w:id="22" w:name="Recommendations"/>
      <w:bookmarkEnd w:id="22"/>
      <w:r>
        <w:rPr>
          <w:spacing w:val="-2"/>
        </w:rPr>
        <w:t>Recommendations</w:t>
      </w:r>
    </w:p>
    <w:p w14:paraId="3264AD8B" w14:textId="77777777" w:rsidR="00AD79A7" w:rsidRDefault="00AD79A7">
      <w:pPr>
        <w:pStyle w:val="BodyText"/>
        <w:spacing w:before="9"/>
        <w:rPr>
          <w:rFonts w:ascii="Arial"/>
          <w:b/>
          <w:sz w:val="20"/>
        </w:rPr>
      </w:pPr>
    </w:p>
    <w:p w14:paraId="5B62828A" w14:textId="77777777" w:rsidR="00AD79A7" w:rsidRDefault="00D44A60">
      <w:pPr>
        <w:pStyle w:val="BodyText"/>
        <w:ind w:left="141"/>
      </w:pPr>
      <w:r>
        <w:t>The</w:t>
      </w:r>
      <w:r>
        <w:rPr>
          <w:spacing w:val="-2"/>
        </w:rPr>
        <w:t xml:space="preserve"> </w:t>
      </w:r>
      <w:r>
        <w:t>Minister</w:t>
      </w:r>
      <w:r>
        <w:rPr>
          <w:spacing w:val="-3"/>
        </w:rPr>
        <w:t xml:space="preserve"> </w:t>
      </w:r>
      <w:r>
        <w:t>for</w:t>
      </w:r>
      <w:r>
        <w:rPr>
          <w:spacing w:val="-2"/>
        </w:rPr>
        <w:t xml:space="preserve"> </w:t>
      </w:r>
      <w:r>
        <w:t>Social</w:t>
      </w:r>
      <w:r>
        <w:rPr>
          <w:spacing w:val="-2"/>
        </w:rPr>
        <w:t xml:space="preserve"> </w:t>
      </w:r>
      <w:r>
        <w:t>Development and</w:t>
      </w:r>
      <w:r>
        <w:rPr>
          <w:spacing w:val="-3"/>
        </w:rPr>
        <w:t xml:space="preserve"> </w:t>
      </w:r>
      <w:r>
        <w:t>Employment</w:t>
      </w:r>
      <w:r>
        <w:rPr>
          <w:spacing w:val="1"/>
        </w:rPr>
        <w:t xml:space="preserve"> </w:t>
      </w:r>
      <w:r>
        <w:t>recommends</w:t>
      </w:r>
      <w:r>
        <w:rPr>
          <w:spacing w:val="-1"/>
        </w:rPr>
        <w:t xml:space="preserve"> </w:t>
      </w:r>
      <w:r>
        <w:t>that</w:t>
      </w:r>
      <w:r>
        <w:rPr>
          <w:spacing w:val="-2"/>
        </w:rPr>
        <w:t xml:space="preserve"> </w:t>
      </w:r>
      <w:r>
        <w:t>the</w:t>
      </w:r>
      <w:r>
        <w:rPr>
          <w:spacing w:val="-1"/>
        </w:rPr>
        <w:t xml:space="preserve"> </w:t>
      </w:r>
      <w:r>
        <w:rPr>
          <w:spacing w:val="-2"/>
        </w:rPr>
        <w:t>Committee:</w:t>
      </w:r>
    </w:p>
    <w:p w14:paraId="6D36C830" w14:textId="77777777" w:rsidR="00AD79A7" w:rsidRDefault="00AD79A7">
      <w:pPr>
        <w:pStyle w:val="BodyText"/>
        <w:spacing w:before="10"/>
        <w:rPr>
          <w:sz w:val="20"/>
        </w:rPr>
      </w:pPr>
    </w:p>
    <w:p w14:paraId="69AAD465" w14:textId="77777777" w:rsidR="00AD79A7" w:rsidRDefault="00D44A60">
      <w:pPr>
        <w:pStyle w:val="ListParagraph"/>
        <w:numPr>
          <w:ilvl w:val="0"/>
          <w:numId w:val="1"/>
        </w:numPr>
        <w:tabs>
          <w:tab w:val="left" w:pos="861"/>
          <w:tab w:val="left" w:pos="862"/>
        </w:tabs>
        <w:ind w:left="861"/>
        <w:jc w:val="both"/>
        <w:rPr>
          <w:sz w:val="24"/>
        </w:rPr>
      </w:pPr>
      <w:r>
        <w:rPr>
          <w:b/>
          <w:sz w:val="24"/>
        </w:rPr>
        <w:t xml:space="preserve">Note </w:t>
      </w:r>
      <w:r>
        <w:rPr>
          <w:sz w:val="24"/>
        </w:rPr>
        <w:t>the Mayor’s Taskforce for Jobs has been a successf</w:t>
      </w:r>
      <w:r>
        <w:rPr>
          <w:sz w:val="24"/>
        </w:rPr>
        <w:t>ul partnership between central and local government and has been effective in promoting employment and training outcomes for youth NEETs.</w:t>
      </w:r>
    </w:p>
    <w:p w14:paraId="59A30360" w14:textId="77777777" w:rsidR="00AD79A7" w:rsidRDefault="00AD79A7">
      <w:pPr>
        <w:pStyle w:val="BodyText"/>
        <w:spacing w:before="10"/>
        <w:rPr>
          <w:sz w:val="20"/>
        </w:rPr>
      </w:pPr>
    </w:p>
    <w:p w14:paraId="5DC56E2A" w14:textId="77777777" w:rsidR="00AD79A7" w:rsidRDefault="00D44A60">
      <w:pPr>
        <w:pStyle w:val="ListParagraph"/>
        <w:numPr>
          <w:ilvl w:val="0"/>
          <w:numId w:val="1"/>
        </w:numPr>
        <w:tabs>
          <w:tab w:val="left" w:pos="861"/>
          <w:tab w:val="left" w:pos="862"/>
        </w:tabs>
        <w:ind w:left="861" w:right="708"/>
        <w:jc w:val="both"/>
        <w:rPr>
          <w:sz w:val="24"/>
        </w:rPr>
      </w:pPr>
      <w:r>
        <w:rPr>
          <w:b/>
          <w:sz w:val="24"/>
        </w:rPr>
        <w:t xml:space="preserve">Note </w:t>
      </w:r>
      <w:r>
        <w:rPr>
          <w:sz w:val="24"/>
        </w:rPr>
        <w:t>that the funding for the Mayor’s Taskforce for Jobs will expire at the end of 2021/22 financial year.</w:t>
      </w:r>
    </w:p>
    <w:p w14:paraId="7A20177F" w14:textId="77777777" w:rsidR="00AD79A7" w:rsidRDefault="00AD79A7">
      <w:pPr>
        <w:pStyle w:val="BodyText"/>
        <w:spacing w:before="10"/>
        <w:rPr>
          <w:sz w:val="20"/>
        </w:rPr>
      </w:pPr>
    </w:p>
    <w:p w14:paraId="3C3265F6" w14:textId="77777777" w:rsidR="00AD79A7" w:rsidRDefault="00D44A60">
      <w:pPr>
        <w:pStyle w:val="ListParagraph"/>
        <w:numPr>
          <w:ilvl w:val="0"/>
          <w:numId w:val="1"/>
        </w:numPr>
        <w:tabs>
          <w:tab w:val="left" w:pos="861"/>
          <w:tab w:val="left" w:pos="862"/>
        </w:tabs>
        <w:ind w:left="861" w:right="706"/>
        <w:jc w:val="both"/>
        <w:rPr>
          <w:sz w:val="24"/>
        </w:rPr>
      </w:pPr>
      <w:r>
        <w:rPr>
          <w:b/>
          <w:sz w:val="24"/>
        </w:rPr>
        <w:t xml:space="preserve">Note </w:t>
      </w:r>
      <w:r>
        <w:rPr>
          <w:sz w:val="24"/>
        </w:rPr>
        <w:t>that MSD can fund $8 million of the cost of contract extension by reprioritising existing funding in 2022/23, however $14 million in total is requir</w:t>
      </w:r>
      <w:r>
        <w:rPr>
          <w:sz w:val="24"/>
        </w:rPr>
        <w:t>ed to continue funding the MTJF at current levels.</w:t>
      </w:r>
    </w:p>
    <w:p w14:paraId="747E6DE6" w14:textId="77777777" w:rsidR="00AD79A7" w:rsidRDefault="00AD79A7">
      <w:pPr>
        <w:pStyle w:val="BodyText"/>
        <w:spacing w:before="10"/>
        <w:rPr>
          <w:sz w:val="20"/>
        </w:rPr>
      </w:pPr>
    </w:p>
    <w:p w14:paraId="314B0119" w14:textId="77777777" w:rsidR="00AD79A7" w:rsidRDefault="00D44A60">
      <w:pPr>
        <w:pStyle w:val="ListParagraph"/>
        <w:numPr>
          <w:ilvl w:val="0"/>
          <w:numId w:val="1"/>
        </w:numPr>
        <w:tabs>
          <w:tab w:val="left" w:pos="861"/>
          <w:tab w:val="left" w:pos="862"/>
        </w:tabs>
        <w:ind w:left="861"/>
        <w:jc w:val="both"/>
        <w:rPr>
          <w:sz w:val="24"/>
        </w:rPr>
      </w:pPr>
      <w:r>
        <w:rPr>
          <w:b/>
          <w:sz w:val="24"/>
        </w:rPr>
        <w:t xml:space="preserve">Agree </w:t>
      </w:r>
      <w:r>
        <w:rPr>
          <w:sz w:val="24"/>
        </w:rPr>
        <w:t>to use underspends in 2021/22 from the Vote Social Development, Improved Employment and Social Outcomes Support MCA to increase expenditure by $6 million for the MTFJ for 2022/23.</w:t>
      </w:r>
    </w:p>
    <w:p w14:paraId="2575EF54" w14:textId="77777777" w:rsidR="00AD79A7" w:rsidRDefault="00AD79A7">
      <w:pPr>
        <w:pStyle w:val="BodyText"/>
        <w:spacing w:before="10"/>
        <w:rPr>
          <w:sz w:val="20"/>
        </w:rPr>
      </w:pPr>
    </w:p>
    <w:p w14:paraId="386B3BCA" w14:textId="77777777" w:rsidR="00AD79A7" w:rsidRDefault="00D44A60">
      <w:pPr>
        <w:pStyle w:val="ListParagraph"/>
        <w:numPr>
          <w:ilvl w:val="0"/>
          <w:numId w:val="1"/>
        </w:numPr>
        <w:tabs>
          <w:tab w:val="left" w:pos="861"/>
          <w:tab w:val="left" w:pos="862"/>
        </w:tabs>
        <w:ind w:left="861"/>
        <w:jc w:val="both"/>
        <w:rPr>
          <w:sz w:val="24"/>
        </w:rPr>
      </w:pPr>
      <w:r>
        <w:rPr>
          <w:b/>
          <w:sz w:val="24"/>
        </w:rPr>
        <w:t xml:space="preserve">Approve </w:t>
      </w:r>
      <w:r>
        <w:rPr>
          <w:sz w:val="24"/>
        </w:rPr>
        <w:t>the follo</w:t>
      </w:r>
      <w:r>
        <w:rPr>
          <w:sz w:val="24"/>
        </w:rPr>
        <w:t>wing changes to appropriations to give effect to the policy decision in recommendation 4 above, with no impact on operating balance and/or net debt:</w:t>
      </w:r>
    </w:p>
    <w:p w14:paraId="04E178CC" w14:textId="77777777" w:rsidR="00AD79A7" w:rsidRDefault="00AD79A7">
      <w:pPr>
        <w:pStyle w:val="BodyText"/>
        <w:rPr>
          <w:sz w:val="20"/>
        </w:rPr>
      </w:pPr>
    </w:p>
    <w:p w14:paraId="58E3D75D" w14:textId="77777777" w:rsidR="00AD79A7" w:rsidRDefault="00AD79A7">
      <w:pPr>
        <w:pStyle w:val="BodyText"/>
        <w:rPr>
          <w:sz w:val="20"/>
        </w:rPr>
      </w:pPr>
    </w:p>
    <w:p w14:paraId="37C9FFE6" w14:textId="77777777" w:rsidR="00AD79A7" w:rsidRDefault="00AD79A7">
      <w:pPr>
        <w:pStyle w:val="BodyText"/>
        <w:rPr>
          <w:sz w:val="20"/>
        </w:rPr>
      </w:pPr>
    </w:p>
    <w:p w14:paraId="5B6AF0B9" w14:textId="77777777" w:rsidR="00AD79A7" w:rsidRDefault="00AD79A7">
      <w:pPr>
        <w:pStyle w:val="BodyText"/>
        <w:rPr>
          <w:sz w:val="20"/>
        </w:rPr>
      </w:pPr>
    </w:p>
    <w:p w14:paraId="30A1BEB4" w14:textId="77777777" w:rsidR="00AD79A7" w:rsidRDefault="00AD79A7">
      <w:pPr>
        <w:pStyle w:val="BodyText"/>
        <w:rPr>
          <w:sz w:val="20"/>
        </w:rPr>
      </w:pPr>
    </w:p>
    <w:p w14:paraId="481DBC88" w14:textId="77777777" w:rsidR="00AD79A7" w:rsidRDefault="00AD79A7">
      <w:pPr>
        <w:pStyle w:val="BodyText"/>
        <w:rPr>
          <w:sz w:val="20"/>
        </w:rPr>
      </w:pPr>
    </w:p>
    <w:p w14:paraId="37D68FA3" w14:textId="77777777" w:rsidR="00AD79A7" w:rsidRDefault="00AD79A7">
      <w:pPr>
        <w:pStyle w:val="BodyText"/>
        <w:rPr>
          <w:sz w:val="20"/>
        </w:rPr>
      </w:pPr>
    </w:p>
    <w:p w14:paraId="3D513F13" w14:textId="77777777" w:rsidR="00AD79A7" w:rsidRDefault="00AD79A7">
      <w:pPr>
        <w:pStyle w:val="BodyText"/>
        <w:rPr>
          <w:sz w:val="20"/>
        </w:rPr>
      </w:pPr>
    </w:p>
    <w:p w14:paraId="70ED9417" w14:textId="77777777" w:rsidR="00AD79A7" w:rsidRDefault="00AD79A7">
      <w:pPr>
        <w:pStyle w:val="BodyText"/>
        <w:rPr>
          <w:sz w:val="20"/>
        </w:rPr>
      </w:pPr>
    </w:p>
    <w:p w14:paraId="65572E8A" w14:textId="77777777" w:rsidR="00AD79A7" w:rsidRDefault="00AD79A7">
      <w:pPr>
        <w:pStyle w:val="BodyText"/>
        <w:rPr>
          <w:sz w:val="20"/>
        </w:rPr>
      </w:pPr>
    </w:p>
    <w:p w14:paraId="5CA14B75" w14:textId="77777777" w:rsidR="00AD79A7" w:rsidRDefault="00AD79A7">
      <w:pPr>
        <w:pStyle w:val="BodyText"/>
        <w:rPr>
          <w:sz w:val="20"/>
        </w:rPr>
      </w:pPr>
    </w:p>
    <w:p w14:paraId="32D8B3DA" w14:textId="77777777" w:rsidR="00AD79A7" w:rsidRDefault="00AD79A7">
      <w:pPr>
        <w:pStyle w:val="BodyText"/>
        <w:spacing w:before="3"/>
        <w:rPr>
          <w:sz w:val="2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AD79A7" w14:paraId="62E0815D" w14:textId="77777777">
        <w:trPr>
          <w:trHeight w:val="422"/>
        </w:trPr>
        <w:tc>
          <w:tcPr>
            <w:tcW w:w="3260" w:type="dxa"/>
            <w:vMerge w:val="restart"/>
          </w:tcPr>
          <w:p w14:paraId="3E787EB3" w14:textId="77777777" w:rsidR="00AD79A7" w:rsidRDefault="00AD79A7">
            <w:pPr>
              <w:pStyle w:val="TableParagraph"/>
              <w:ind w:left="0"/>
              <w:rPr>
                <w:sz w:val="24"/>
              </w:rPr>
            </w:pPr>
          </w:p>
          <w:p w14:paraId="2FA15DF6" w14:textId="77777777" w:rsidR="00AD79A7" w:rsidRDefault="00D44A60">
            <w:pPr>
              <w:pStyle w:val="TableParagraph"/>
              <w:spacing w:before="147"/>
              <w:rPr>
                <w:rFonts w:ascii="Verdana"/>
                <w:b/>
                <w:sz w:val="20"/>
              </w:rPr>
            </w:pPr>
            <w:r>
              <w:rPr>
                <w:rFonts w:ascii="Verdana"/>
                <w:b/>
                <w:sz w:val="20"/>
              </w:rPr>
              <w:t>Vote</w:t>
            </w:r>
            <w:r>
              <w:rPr>
                <w:rFonts w:ascii="Verdana"/>
                <w:b/>
                <w:spacing w:val="-3"/>
                <w:sz w:val="20"/>
              </w:rPr>
              <w:t xml:space="preserve"> </w:t>
            </w:r>
            <w:r>
              <w:rPr>
                <w:rFonts w:ascii="Verdana"/>
                <w:b/>
                <w:sz w:val="20"/>
              </w:rPr>
              <w:t>Social</w:t>
            </w:r>
            <w:r>
              <w:rPr>
                <w:rFonts w:ascii="Verdana"/>
                <w:b/>
                <w:spacing w:val="-3"/>
                <w:sz w:val="20"/>
              </w:rPr>
              <w:t xml:space="preserve"> </w:t>
            </w:r>
            <w:r>
              <w:rPr>
                <w:rFonts w:ascii="Verdana"/>
                <w:b/>
                <w:spacing w:val="-2"/>
                <w:sz w:val="20"/>
              </w:rPr>
              <w:t>Development</w:t>
            </w:r>
          </w:p>
          <w:p w14:paraId="5C9E8467" w14:textId="77777777" w:rsidR="00AD79A7" w:rsidRDefault="00D44A60">
            <w:pPr>
              <w:pStyle w:val="TableParagraph"/>
              <w:spacing w:before="179" w:line="259" w:lineRule="auto"/>
              <w:rPr>
                <w:rFonts w:ascii="Verdana"/>
                <w:b/>
                <w:sz w:val="20"/>
              </w:rPr>
            </w:pPr>
            <w:r>
              <w:rPr>
                <w:rFonts w:ascii="Verdana"/>
                <w:b/>
                <w:sz w:val="20"/>
              </w:rPr>
              <w:t>Minister</w:t>
            </w:r>
            <w:r>
              <w:rPr>
                <w:rFonts w:ascii="Verdana"/>
                <w:b/>
                <w:spacing w:val="-18"/>
                <w:sz w:val="20"/>
              </w:rPr>
              <w:t xml:space="preserve"> </w:t>
            </w:r>
            <w:r>
              <w:rPr>
                <w:rFonts w:ascii="Verdana"/>
                <w:b/>
                <w:sz w:val="20"/>
              </w:rPr>
              <w:t>for</w:t>
            </w:r>
            <w:r>
              <w:rPr>
                <w:rFonts w:ascii="Verdana"/>
                <w:b/>
                <w:spacing w:val="-17"/>
                <w:sz w:val="20"/>
              </w:rPr>
              <w:t xml:space="preserve"> </w:t>
            </w:r>
            <w:r>
              <w:rPr>
                <w:rFonts w:ascii="Verdana"/>
                <w:b/>
                <w:sz w:val="20"/>
              </w:rPr>
              <w:t xml:space="preserve">Social Development and </w:t>
            </w:r>
            <w:r>
              <w:rPr>
                <w:rFonts w:ascii="Verdana"/>
                <w:b/>
                <w:spacing w:val="-2"/>
                <w:sz w:val="20"/>
              </w:rPr>
              <w:t>Employment</w:t>
            </w:r>
          </w:p>
        </w:tc>
        <w:tc>
          <w:tcPr>
            <w:tcW w:w="6380" w:type="dxa"/>
            <w:gridSpan w:val="5"/>
          </w:tcPr>
          <w:p w14:paraId="484A3BAF" w14:textId="77777777" w:rsidR="00AD79A7" w:rsidRDefault="00D44A60">
            <w:pPr>
              <w:pStyle w:val="TableParagraph"/>
              <w:spacing w:before="1"/>
              <w:rPr>
                <w:rFonts w:ascii="Verdana" w:hAnsi="Verdana"/>
                <w:b/>
                <w:sz w:val="20"/>
              </w:rPr>
            </w:pPr>
            <w:r>
              <w:rPr>
                <w:rFonts w:ascii="Verdana" w:hAnsi="Verdana"/>
                <w:b/>
                <w:sz w:val="20"/>
              </w:rPr>
              <w:t>$m</w:t>
            </w:r>
            <w:r>
              <w:rPr>
                <w:rFonts w:ascii="Verdana" w:hAnsi="Verdana"/>
                <w:b/>
                <w:spacing w:val="-4"/>
                <w:sz w:val="20"/>
              </w:rPr>
              <w:t xml:space="preserve"> </w:t>
            </w:r>
            <w:r>
              <w:rPr>
                <w:rFonts w:ascii="Verdana" w:hAnsi="Verdana"/>
                <w:b/>
                <w:sz w:val="20"/>
              </w:rPr>
              <w:t>–</w:t>
            </w:r>
            <w:r>
              <w:rPr>
                <w:rFonts w:ascii="Verdana" w:hAnsi="Verdana"/>
                <w:b/>
                <w:spacing w:val="1"/>
                <w:sz w:val="20"/>
              </w:rPr>
              <w:t xml:space="preserve"> </w:t>
            </w:r>
            <w:r>
              <w:rPr>
                <w:rFonts w:ascii="Verdana" w:hAnsi="Verdana"/>
                <w:b/>
                <w:spacing w:val="-2"/>
                <w:sz w:val="20"/>
              </w:rPr>
              <w:t>increase/(decrease)</w:t>
            </w:r>
          </w:p>
        </w:tc>
      </w:tr>
      <w:tr w:rsidR="00AD79A7" w14:paraId="6657F81F" w14:textId="77777777">
        <w:trPr>
          <w:trHeight w:val="1358"/>
        </w:trPr>
        <w:tc>
          <w:tcPr>
            <w:tcW w:w="3260" w:type="dxa"/>
            <w:vMerge/>
            <w:tcBorders>
              <w:top w:val="nil"/>
            </w:tcBorders>
          </w:tcPr>
          <w:p w14:paraId="59CFAFFD" w14:textId="77777777" w:rsidR="00AD79A7" w:rsidRDefault="00AD79A7">
            <w:pPr>
              <w:rPr>
                <w:sz w:val="2"/>
                <w:szCs w:val="2"/>
              </w:rPr>
            </w:pPr>
          </w:p>
        </w:tc>
        <w:tc>
          <w:tcPr>
            <w:tcW w:w="1276" w:type="dxa"/>
          </w:tcPr>
          <w:p w14:paraId="0F9F69A2" w14:textId="77777777" w:rsidR="00AD79A7" w:rsidRDefault="00D44A60">
            <w:pPr>
              <w:pStyle w:val="TableParagraph"/>
              <w:spacing w:line="242" w:lineRule="exact"/>
              <w:rPr>
                <w:rFonts w:ascii="Verdana"/>
                <w:b/>
                <w:sz w:val="20"/>
              </w:rPr>
            </w:pPr>
            <w:r>
              <w:rPr>
                <w:rFonts w:ascii="Verdana"/>
                <w:b/>
                <w:spacing w:val="-2"/>
                <w:sz w:val="20"/>
              </w:rPr>
              <w:t>2022/23</w:t>
            </w:r>
          </w:p>
        </w:tc>
        <w:tc>
          <w:tcPr>
            <w:tcW w:w="1274" w:type="dxa"/>
          </w:tcPr>
          <w:p w14:paraId="71A434D4" w14:textId="77777777" w:rsidR="00AD79A7" w:rsidRDefault="00D44A60">
            <w:pPr>
              <w:pStyle w:val="TableParagraph"/>
              <w:spacing w:line="242" w:lineRule="exact"/>
              <w:rPr>
                <w:rFonts w:ascii="Verdana"/>
                <w:b/>
                <w:sz w:val="20"/>
              </w:rPr>
            </w:pPr>
            <w:r>
              <w:rPr>
                <w:rFonts w:ascii="Verdana"/>
                <w:b/>
                <w:spacing w:val="-2"/>
                <w:sz w:val="20"/>
              </w:rPr>
              <w:t>2023/24</w:t>
            </w:r>
          </w:p>
        </w:tc>
        <w:tc>
          <w:tcPr>
            <w:tcW w:w="1278" w:type="dxa"/>
          </w:tcPr>
          <w:p w14:paraId="438BA612" w14:textId="77777777" w:rsidR="00AD79A7" w:rsidRDefault="00D44A60">
            <w:pPr>
              <w:pStyle w:val="TableParagraph"/>
              <w:spacing w:line="242" w:lineRule="exact"/>
              <w:rPr>
                <w:rFonts w:ascii="Verdana"/>
                <w:b/>
                <w:sz w:val="20"/>
              </w:rPr>
            </w:pPr>
            <w:r>
              <w:rPr>
                <w:rFonts w:ascii="Verdana"/>
                <w:b/>
                <w:spacing w:val="-2"/>
                <w:sz w:val="20"/>
              </w:rPr>
              <w:t>2024/25</w:t>
            </w:r>
          </w:p>
        </w:tc>
        <w:tc>
          <w:tcPr>
            <w:tcW w:w="1274" w:type="dxa"/>
          </w:tcPr>
          <w:p w14:paraId="5F6EE085" w14:textId="77777777" w:rsidR="00AD79A7" w:rsidRDefault="00D44A60">
            <w:pPr>
              <w:pStyle w:val="TableParagraph"/>
              <w:spacing w:line="242" w:lineRule="exact"/>
              <w:rPr>
                <w:rFonts w:ascii="Verdana"/>
                <w:b/>
                <w:sz w:val="20"/>
              </w:rPr>
            </w:pPr>
            <w:r>
              <w:rPr>
                <w:rFonts w:ascii="Verdana"/>
                <w:b/>
                <w:spacing w:val="-2"/>
                <w:sz w:val="20"/>
              </w:rPr>
              <w:t>2025/26</w:t>
            </w:r>
          </w:p>
        </w:tc>
        <w:tc>
          <w:tcPr>
            <w:tcW w:w="1278" w:type="dxa"/>
          </w:tcPr>
          <w:p w14:paraId="3BA8424E" w14:textId="77777777" w:rsidR="00AD79A7" w:rsidRDefault="00D44A60">
            <w:pPr>
              <w:pStyle w:val="TableParagraph"/>
              <w:spacing w:line="242" w:lineRule="exact"/>
              <w:rPr>
                <w:rFonts w:ascii="Verdana"/>
                <w:b/>
                <w:sz w:val="20"/>
              </w:rPr>
            </w:pPr>
            <w:r>
              <w:rPr>
                <w:rFonts w:ascii="Verdana"/>
                <w:b/>
                <w:spacing w:val="-2"/>
                <w:sz w:val="20"/>
              </w:rPr>
              <w:t>2026/27</w:t>
            </w:r>
          </w:p>
          <w:p w14:paraId="41048B12" w14:textId="77777777" w:rsidR="00AD79A7" w:rsidRDefault="00D44A60">
            <w:pPr>
              <w:pStyle w:val="TableParagraph"/>
              <w:spacing w:before="19" w:line="259" w:lineRule="auto"/>
              <w:ind w:right="135"/>
              <w:rPr>
                <w:rFonts w:ascii="Verdana"/>
                <w:b/>
                <w:sz w:val="20"/>
              </w:rPr>
            </w:pPr>
            <w:r>
              <w:rPr>
                <w:rFonts w:ascii="Verdana"/>
                <w:b/>
                <w:spacing w:val="-10"/>
                <w:sz w:val="20"/>
              </w:rPr>
              <w:t xml:space="preserve">&amp; </w:t>
            </w:r>
            <w:r>
              <w:rPr>
                <w:rFonts w:ascii="Verdana"/>
                <w:b/>
                <w:spacing w:val="-2"/>
                <w:sz w:val="20"/>
              </w:rPr>
              <w:t>Outyears</w:t>
            </w:r>
          </w:p>
        </w:tc>
      </w:tr>
      <w:tr w:rsidR="00AD79A7" w14:paraId="0D2034DD" w14:textId="77777777">
        <w:trPr>
          <w:trHeight w:val="2047"/>
        </w:trPr>
        <w:tc>
          <w:tcPr>
            <w:tcW w:w="3260" w:type="dxa"/>
            <w:tcBorders>
              <w:bottom w:val="nil"/>
            </w:tcBorders>
          </w:tcPr>
          <w:p w14:paraId="57D69B25" w14:textId="77777777" w:rsidR="00AD79A7" w:rsidRDefault="00D44A60">
            <w:pPr>
              <w:pStyle w:val="TableParagraph"/>
              <w:spacing w:line="259" w:lineRule="auto"/>
              <w:ind w:right="376"/>
              <w:rPr>
                <w:rFonts w:ascii="Verdana"/>
                <w:b/>
                <w:sz w:val="20"/>
              </w:rPr>
            </w:pPr>
            <w:r>
              <w:rPr>
                <w:rFonts w:ascii="Verdana"/>
                <w:b/>
                <w:sz w:val="20"/>
              </w:rPr>
              <w:t>Multi-category</w:t>
            </w:r>
            <w:r>
              <w:rPr>
                <w:rFonts w:ascii="Verdana"/>
                <w:b/>
                <w:spacing w:val="-18"/>
                <w:sz w:val="20"/>
              </w:rPr>
              <w:t xml:space="preserve"> </w:t>
            </w:r>
            <w:r>
              <w:rPr>
                <w:rFonts w:ascii="Verdana"/>
                <w:b/>
                <w:sz w:val="20"/>
              </w:rPr>
              <w:t>Expenses and Capital Expenditure</w:t>
            </w:r>
          </w:p>
          <w:p w14:paraId="5F0ACB22" w14:textId="77777777" w:rsidR="00AD79A7" w:rsidRDefault="00D44A60">
            <w:pPr>
              <w:pStyle w:val="TableParagraph"/>
              <w:spacing w:before="158" w:line="259" w:lineRule="auto"/>
              <w:rPr>
                <w:rFonts w:ascii="Verdana"/>
                <w:sz w:val="20"/>
              </w:rPr>
            </w:pPr>
            <w:r>
              <w:rPr>
                <w:rFonts w:ascii="Verdana"/>
                <w:sz w:val="20"/>
              </w:rPr>
              <w:t>Improved</w:t>
            </w:r>
            <w:r>
              <w:rPr>
                <w:rFonts w:ascii="Verdana"/>
                <w:spacing w:val="-18"/>
                <w:sz w:val="20"/>
              </w:rPr>
              <w:t xml:space="preserve"> </w:t>
            </w:r>
            <w:r>
              <w:rPr>
                <w:rFonts w:ascii="Verdana"/>
                <w:sz w:val="20"/>
              </w:rPr>
              <w:t>Employment</w:t>
            </w:r>
            <w:r>
              <w:rPr>
                <w:rFonts w:ascii="Verdana"/>
                <w:spacing w:val="-18"/>
                <w:sz w:val="20"/>
              </w:rPr>
              <w:t xml:space="preserve"> </w:t>
            </w:r>
            <w:r>
              <w:rPr>
                <w:rFonts w:ascii="Verdana"/>
                <w:sz w:val="20"/>
              </w:rPr>
              <w:t>and Social Outcomes Support</w:t>
            </w:r>
          </w:p>
          <w:p w14:paraId="3C1FB862" w14:textId="77777777" w:rsidR="00AD79A7" w:rsidRDefault="00D44A60">
            <w:pPr>
              <w:pStyle w:val="TableParagraph"/>
              <w:spacing w:before="157" w:line="259" w:lineRule="auto"/>
              <w:ind w:right="749"/>
              <w:rPr>
                <w:rFonts w:ascii="Verdana"/>
                <w:b/>
                <w:sz w:val="20"/>
              </w:rPr>
            </w:pPr>
            <w:r>
              <w:rPr>
                <w:rFonts w:ascii="Verdana"/>
                <w:b/>
                <w:sz w:val="20"/>
              </w:rPr>
              <w:t>Departmental</w:t>
            </w:r>
            <w:r>
              <w:rPr>
                <w:rFonts w:ascii="Verdana"/>
                <w:b/>
                <w:spacing w:val="-18"/>
                <w:sz w:val="20"/>
              </w:rPr>
              <w:t xml:space="preserve"> </w:t>
            </w:r>
            <w:r>
              <w:rPr>
                <w:rFonts w:ascii="Verdana"/>
                <w:b/>
                <w:sz w:val="20"/>
              </w:rPr>
              <w:t xml:space="preserve">Output </w:t>
            </w:r>
            <w:r>
              <w:rPr>
                <w:rFonts w:ascii="Verdana"/>
                <w:b/>
                <w:spacing w:val="-2"/>
                <w:sz w:val="20"/>
              </w:rPr>
              <w:t>Expense:</w:t>
            </w:r>
          </w:p>
        </w:tc>
        <w:tc>
          <w:tcPr>
            <w:tcW w:w="1276" w:type="dxa"/>
            <w:tcBorders>
              <w:bottom w:val="nil"/>
            </w:tcBorders>
          </w:tcPr>
          <w:p w14:paraId="27F16A0F" w14:textId="77777777" w:rsidR="00AD79A7" w:rsidRDefault="00AD79A7">
            <w:pPr>
              <w:pStyle w:val="TableParagraph"/>
              <w:ind w:left="0"/>
            </w:pPr>
          </w:p>
        </w:tc>
        <w:tc>
          <w:tcPr>
            <w:tcW w:w="1274" w:type="dxa"/>
            <w:tcBorders>
              <w:bottom w:val="nil"/>
            </w:tcBorders>
          </w:tcPr>
          <w:p w14:paraId="737E8ED9" w14:textId="77777777" w:rsidR="00AD79A7" w:rsidRDefault="00AD79A7">
            <w:pPr>
              <w:pStyle w:val="TableParagraph"/>
              <w:ind w:left="0"/>
            </w:pPr>
          </w:p>
        </w:tc>
        <w:tc>
          <w:tcPr>
            <w:tcW w:w="1278" w:type="dxa"/>
            <w:tcBorders>
              <w:bottom w:val="nil"/>
            </w:tcBorders>
          </w:tcPr>
          <w:p w14:paraId="593B0D06" w14:textId="77777777" w:rsidR="00AD79A7" w:rsidRDefault="00AD79A7">
            <w:pPr>
              <w:pStyle w:val="TableParagraph"/>
              <w:ind w:left="0"/>
            </w:pPr>
          </w:p>
        </w:tc>
        <w:tc>
          <w:tcPr>
            <w:tcW w:w="1274" w:type="dxa"/>
            <w:tcBorders>
              <w:bottom w:val="nil"/>
            </w:tcBorders>
          </w:tcPr>
          <w:p w14:paraId="496F7220" w14:textId="77777777" w:rsidR="00AD79A7" w:rsidRDefault="00AD79A7">
            <w:pPr>
              <w:pStyle w:val="TableParagraph"/>
              <w:ind w:left="0"/>
            </w:pPr>
          </w:p>
        </w:tc>
        <w:tc>
          <w:tcPr>
            <w:tcW w:w="1278" w:type="dxa"/>
            <w:tcBorders>
              <w:bottom w:val="nil"/>
            </w:tcBorders>
          </w:tcPr>
          <w:p w14:paraId="537A1263" w14:textId="77777777" w:rsidR="00AD79A7" w:rsidRDefault="00AD79A7">
            <w:pPr>
              <w:pStyle w:val="TableParagraph"/>
              <w:ind w:left="0"/>
            </w:pPr>
          </w:p>
        </w:tc>
      </w:tr>
    </w:tbl>
    <w:p w14:paraId="2798AE0C" w14:textId="77777777" w:rsidR="00AD79A7" w:rsidRDefault="00AD79A7">
      <w:pPr>
        <w:sectPr w:rsidR="00AD79A7">
          <w:pgSz w:w="11910" w:h="16840"/>
          <w:pgMar w:top="1340" w:right="740" w:bottom="1180" w:left="1300" w:header="715" w:footer="983" w:gutter="0"/>
          <w:cols w:space="720"/>
        </w:sectPr>
      </w:pPr>
    </w:p>
    <w:p w14:paraId="2759B8D6" w14:textId="77777777" w:rsidR="00AD79A7" w:rsidRDefault="00AD79A7">
      <w:pPr>
        <w:pStyle w:val="BodyText"/>
        <w:spacing w:before="7"/>
        <w:rPr>
          <w:sz w:val="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276"/>
        <w:gridCol w:w="1274"/>
        <w:gridCol w:w="1278"/>
        <w:gridCol w:w="1274"/>
        <w:gridCol w:w="1278"/>
      </w:tblGrid>
      <w:tr w:rsidR="00AD79A7" w14:paraId="4ECC97EC" w14:textId="77777777">
        <w:trPr>
          <w:trHeight w:val="1104"/>
        </w:trPr>
        <w:tc>
          <w:tcPr>
            <w:tcW w:w="3260" w:type="dxa"/>
            <w:tcBorders>
              <w:top w:val="nil"/>
            </w:tcBorders>
          </w:tcPr>
          <w:p w14:paraId="38149F3E" w14:textId="77777777" w:rsidR="00AD79A7" w:rsidRDefault="00D44A60">
            <w:pPr>
              <w:pStyle w:val="TableParagraph"/>
              <w:spacing w:before="1" w:line="259" w:lineRule="auto"/>
              <w:ind w:right="773"/>
              <w:rPr>
                <w:rFonts w:ascii="Verdana"/>
                <w:sz w:val="20"/>
              </w:rPr>
            </w:pPr>
            <w:r>
              <w:rPr>
                <w:rFonts w:ascii="Verdana"/>
                <w:sz w:val="20"/>
              </w:rPr>
              <w:t>Improving</w:t>
            </w:r>
            <w:r>
              <w:rPr>
                <w:rFonts w:ascii="Verdana"/>
                <w:spacing w:val="-18"/>
                <w:sz w:val="20"/>
              </w:rPr>
              <w:t xml:space="preserve"> </w:t>
            </w:r>
            <w:r>
              <w:rPr>
                <w:rFonts w:ascii="Verdana"/>
                <w:sz w:val="20"/>
              </w:rPr>
              <w:t xml:space="preserve">Employment </w:t>
            </w:r>
            <w:r>
              <w:rPr>
                <w:rFonts w:ascii="Verdana"/>
                <w:spacing w:val="-2"/>
                <w:sz w:val="20"/>
              </w:rPr>
              <w:t>Outcomes</w:t>
            </w:r>
          </w:p>
          <w:p w14:paraId="0A2DDB87" w14:textId="77777777" w:rsidR="00AD79A7" w:rsidRDefault="00D44A60">
            <w:pPr>
              <w:pStyle w:val="TableParagraph"/>
              <w:spacing w:before="157"/>
              <w:rPr>
                <w:rFonts w:ascii="Verdana"/>
                <w:sz w:val="20"/>
              </w:rPr>
            </w:pPr>
            <w:r>
              <w:rPr>
                <w:rFonts w:ascii="Verdana"/>
                <w:sz w:val="20"/>
              </w:rPr>
              <w:t>(funded</w:t>
            </w:r>
            <w:r>
              <w:rPr>
                <w:rFonts w:ascii="Verdana"/>
                <w:spacing w:val="-4"/>
                <w:sz w:val="20"/>
              </w:rPr>
              <w:t xml:space="preserve"> </w:t>
            </w:r>
            <w:r>
              <w:rPr>
                <w:rFonts w:ascii="Verdana"/>
                <w:sz w:val="20"/>
              </w:rPr>
              <w:t>by</w:t>
            </w:r>
            <w:r>
              <w:rPr>
                <w:rFonts w:ascii="Verdana"/>
                <w:spacing w:val="-3"/>
                <w:sz w:val="20"/>
              </w:rPr>
              <w:t xml:space="preserve"> </w:t>
            </w:r>
            <w:r>
              <w:rPr>
                <w:rFonts w:ascii="Verdana"/>
                <w:sz w:val="20"/>
              </w:rPr>
              <w:t>revenue</w:t>
            </w:r>
            <w:r>
              <w:rPr>
                <w:rFonts w:ascii="Verdana"/>
                <w:spacing w:val="-3"/>
                <w:sz w:val="20"/>
              </w:rPr>
              <w:t xml:space="preserve"> </w:t>
            </w:r>
            <w:r>
              <w:rPr>
                <w:rFonts w:ascii="Verdana"/>
                <w:spacing w:val="-2"/>
                <w:sz w:val="20"/>
              </w:rPr>
              <w:t>Crown)</w:t>
            </w:r>
          </w:p>
        </w:tc>
        <w:tc>
          <w:tcPr>
            <w:tcW w:w="1276" w:type="dxa"/>
            <w:tcBorders>
              <w:top w:val="nil"/>
            </w:tcBorders>
          </w:tcPr>
          <w:p w14:paraId="1C4B80E5" w14:textId="77777777" w:rsidR="00AD79A7" w:rsidRDefault="00D44A60">
            <w:pPr>
              <w:pStyle w:val="TableParagraph"/>
              <w:spacing w:before="1"/>
              <w:ind w:left="0" w:right="95"/>
              <w:jc w:val="right"/>
              <w:rPr>
                <w:rFonts w:ascii="Verdana"/>
                <w:sz w:val="20"/>
              </w:rPr>
            </w:pPr>
            <w:r>
              <w:rPr>
                <w:rFonts w:ascii="Verdana"/>
                <w:spacing w:val="-4"/>
                <w:sz w:val="20"/>
              </w:rPr>
              <w:t>6.000</w:t>
            </w:r>
          </w:p>
        </w:tc>
        <w:tc>
          <w:tcPr>
            <w:tcW w:w="1274" w:type="dxa"/>
            <w:tcBorders>
              <w:top w:val="nil"/>
            </w:tcBorders>
          </w:tcPr>
          <w:p w14:paraId="179C832C" w14:textId="77777777" w:rsidR="00AD79A7" w:rsidRDefault="00D44A60">
            <w:pPr>
              <w:pStyle w:val="TableParagraph"/>
              <w:spacing w:before="1"/>
              <w:ind w:left="0" w:right="93"/>
              <w:jc w:val="right"/>
              <w:rPr>
                <w:rFonts w:ascii="Verdana"/>
                <w:sz w:val="20"/>
              </w:rPr>
            </w:pPr>
            <w:r>
              <w:rPr>
                <w:rFonts w:ascii="Verdana"/>
                <w:sz w:val="20"/>
              </w:rPr>
              <w:t>-</w:t>
            </w:r>
          </w:p>
        </w:tc>
        <w:tc>
          <w:tcPr>
            <w:tcW w:w="1278" w:type="dxa"/>
            <w:tcBorders>
              <w:top w:val="nil"/>
            </w:tcBorders>
          </w:tcPr>
          <w:p w14:paraId="6A60E861" w14:textId="77777777" w:rsidR="00AD79A7" w:rsidRDefault="00D44A60">
            <w:pPr>
              <w:pStyle w:val="TableParagraph"/>
              <w:spacing w:before="1"/>
              <w:ind w:left="0" w:right="93"/>
              <w:jc w:val="right"/>
              <w:rPr>
                <w:rFonts w:ascii="Verdana"/>
                <w:sz w:val="20"/>
              </w:rPr>
            </w:pPr>
            <w:r>
              <w:rPr>
                <w:rFonts w:ascii="Verdana"/>
                <w:sz w:val="20"/>
              </w:rPr>
              <w:t>-</w:t>
            </w:r>
          </w:p>
        </w:tc>
        <w:tc>
          <w:tcPr>
            <w:tcW w:w="1274" w:type="dxa"/>
            <w:tcBorders>
              <w:top w:val="nil"/>
            </w:tcBorders>
          </w:tcPr>
          <w:p w14:paraId="22BFB053" w14:textId="77777777" w:rsidR="00AD79A7" w:rsidRDefault="00D44A60">
            <w:pPr>
              <w:pStyle w:val="TableParagraph"/>
              <w:spacing w:before="1"/>
              <w:ind w:left="0" w:right="93"/>
              <w:jc w:val="right"/>
              <w:rPr>
                <w:rFonts w:ascii="Verdana"/>
                <w:sz w:val="20"/>
              </w:rPr>
            </w:pPr>
            <w:r>
              <w:rPr>
                <w:rFonts w:ascii="Verdana"/>
                <w:sz w:val="20"/>
              </w:rPr>
              <w:t>-</w:t>
            </w:r>
          </w:p>
        </w:tc>
        <w:tc>
          <w:tcPr>
            <w:tcW w:w="1278" w:type="dxa"/>
            <w:tcBorders>
              <w:top w:val="nil"/>
            </w:tcBorders>
          </w:tcPr>
          <w:p w14:paraId="2EDC26E3" w14:textId="77777777" w:rsidR="00AD79A7" w:rsidRDefault="00D44A60">
            <w:pPr>
              <w:pStyle w:val="TableParagraph"/>
              <w:spacing w:before="1"/>
              <w:ind w:left="0" w:right="93"/>
              <w:jc w:val="right"/>
              <w:rPr>
                <w:rFonts w:ascii="Verdana"/>
                <w:sz w:val="20"/>
              </w:rPr>
            </w:pPr>
            <w:r>
              <w:rPr>
                <w:rFonts w:ascii="Verdana"/>
                <w:sz w:val="20"/>
              </w:rPr>
              <w:t>-</w:t>
            </w:r>
          </w:p>
        </w:tc>
      </w:tr>
      <w:tr w:rsidR="00AD79A7" w14:paraId="4C85109C" w14:textId="77777777">
        <w:trPr>
          <w:trHeight w:val="421"/>
        </w:trPr>
        <w:tc>
          <w:tcPr>
            <w:tcW w:w="3260" w:type="dxa"/>
          </w:tcPr>
          <w:p w14:paraId="19ED2130" w14:textId="77777777" w:rsidR="00AD79A7" w:rsidRDefault="00D44A60">
            <w:pPr>
              <w:pStyle w:val="TableParagraph"/>
              <w:spacing w:before="1"/>
              <w:rPr>
                <w:rFonts w:ascii="Verdana"/>
                <w:b/>
                <w:sz w:val="20"/>
              </w:rPr>
            </w:pPr>
            <w:r>
              <w:rPr>
                <w:rFonts w:ascii="Verdana"/>
                <w:b/>
                <w:sz w:val="20"/>
              </w:rPr>
              <w:t>Total</w:t>
            </w:r>
            <w:r>
              <w:rPr>
                <w:rFonts w:ascii="Verdana"/>
                <w:b/>
                <w:spacing w:val="-4"/>
                <w:sz w:val="20"/>
              </w:rPr>
              <w:t xml:space="preserve"> </w:t>
            </w:r>
            <w:r>
              <w:rPr>
                <w:rFonts w:ascii="Verdana"/>
                <w:b/>
                <w:spacing w:val="-2"/>
                <w:sz w:val="20"/>
              </w:rPr>
              <w:t>Operating</w:t>
            </w:r>
          </w:p>
        </w:tc>
        <w:tc>
          <w:tcPr>
            <w:tcW w:w="1276" w:type="dxa"/>
          </w:tcPr>
          <w:p w14:paraId="391EE9DB" w14:textId="77777777" w:rsidR="00AD79A7" w:rsidRDefault="00D44A60">
            <w:pPr>
              <w:pStyle w:val="TableParagraph"/>
              <w:spacing w:before="1"/>
              <w:ind w:left="0" w:right="94"/>
              <w:jc w:val="right"/>
              <w:rPr>
                <w:rFonts w:ascii="Verdana"/>
                <w:b/>
                <w:sz w:val="20"/>
              </w:rPr>
            </w:pPr>
            <w:r>
              <w:rPr>
                <w:rFonts w:ascii="Verdana"/>
                <w:b/>
                <w:spacing w:val="-2"/>
                <w:sz w:val="20"/>
              </w:rPr>
              <w:t>6.000</w:t>
            </w:r>
          </w:p>
        </w:tc>
        <w:tc>
          <w:tcPr>
            <w:tcW w:w="1274" w:type="dxa"/>
          </w:tcPr>
          <w:p w14:paraId="71FE51F8" w14:textId="77777777" w:rsidR="00AD79A7" w:rsidRDefault="00D44A60">
            <w:pPr>
              <w:pStyle w:val="TableParagraph"/>
              <w:spacing w:before="1"/>
              <w:ind w:left="0" w:right="92"/>
              <w:jc w:val="right"/>
              <w:rPr>
                <w:rFonts w:ascii="Verdana"/>
                <w:b/>
                <w:sz w:val="20"/>
              </w:rPr>
            </w:pPr>
            <w:r>
              <w:rPr>
                <w:rFonts w:ascii="Verdana"/>
                <w:b/>
                <w:sz w:val="20"/>
              </w:rPr>
              <w:t>-</w:t>
            </w:r>
          </w:p>
        </w:tc>
        <w:tc>
          <w:tcPr>
            <w:tcW w:w="1278" w:type="dxa"/>
          </w:tcPr>
          <w:p w14:paraId="449B8803" w14:textId="77777777" w:rsidR="00AD79A7" w:rsidRDefault="00D44A60">
            <w:pPr>
              <w:pStyle w:val="TableParagraph"/>
              <w:spacing w:before="1"/>
              <w:ind w:left="0" w:right="94"/>
              <w:jc w:val="right"/>
              <w:rPr>
                <w:rFonts w:ascii="Verdana"/>
                <w:b/>
                <w:sz w:val="20"/>
              </w:rPr>
            </w:pPr>
            <w:r>
              <w:rPr>
                <w:rFonts w:ascii="Verdana"/>
                <w:b/>
                <w:sz w:val="20"/>
              </w:rPr>
              <w:t>-</w:t>
            </w:r>
          </w:p>
        </w:tc>
        <w:tc>
          <w:tcPr>
            <w:tcW w:w="1274" w:type="dxa"/>
          </w:tcPr>
          <w:p w14:paraId="1DBDAABE" w14:textId="77777777" w:rsidR="00AD79A7" w:rsidRDefault="00D44A60">
            <w:pPr>
              <w:pStyle w:val="TableParagraph"/>
              <w:spacing w:before="1"/>
              <w:ind w:left="0" w:right="92"/>
              <w:jc w:val="right"/>
              <w:rPr>
                <w:rFonts w:ascii="Verdana"/>
                <w:b/>
                <w:sz w:val="20"/>
              </w:rPr>
            </w:pPr>
            <w:r>
              <w:rPr>
                <w:rFonts w:ascii="Verdana"/>
                <w:b/>
                <w:sz w:val="20"/>
              </w:rPr>
              <w:t>-</w:t>
            </w:r>
          </w:p>
        </w:tc>
        <w:tc>
          <w:tcPr>
            <w:tcW w:w="1278" w:type="dxa"/>
          </w:tcPr>
          <w:p w14:paraId="104BF1B9" w14:textId="77777777" w:rsidR="00AD79A7" w:rsidRDefault="00D44A60">
            <w:pPr>
              <w:pStyle w:val="TableParagraph"/>
              <w:spacing w:before="1"/>
              <w:ind w:left="0" w:right="94"/>
              <w:jc w:val="right"/>
              <w:rPr>
                <w:rFonts w:ascii="Verdana"/>
                <w:b/>
                <w:sz w:val="20"/>
              </w:rPr>
            </w:pPr>
            <w:r>
              <w:rPr>
                <w:rFonts w:ascii="Verdana"/>
                <w:b/>
                <w:sz w:val="20"/>
              </w:rPr>
              <w:t>-</w:t>
            </w:r>
          </w:p>
        </w:tc>
      </w:tr>
    </w:tbl>
    <w:p w14:paraId="27DB18AD" w14:textId="77777777" w:rsidR="00AD79A7" w:rsidRDefault="00AD79A7">
      <w:pPr>
        <w:pStyle w:val="BodyText"/>
        <w:rPr>
          <w:sz w:val="20"/>
        </w:rPr>
      </w:pPr>
    </w:p>
    <w:p w14:paraId="1B4E5CD2" w14:textId="77777777" w:rsidR="00AD79A7" w:rsidRDefault="00AD79A7">
      <w:pPr>
        <w:pStyle w:val="BodyText"/>
        <w:spacing w:before="6"/>
        <w:rPr>
          <w:sz w:val="17"/>
        </w:rPr>
      </w:pPr>
    </w:p>
    <w:p w14:paraId="284BB211" w14:textId="77777777" w:rsidR="00AD79A7" w:rsidRDefault="00D44A60">
      <w:pPr>
        <w:pStyle w:val="ListParagraph"/>
        <w:numPr>
          <w:ilvl w:val="0"/>
          <w:numId w:val="1"/>
        </w:numPr>
        <w:tabs>
          <w:tab w:val="left" w:pos="861"/>
          <w:tab w:val="left" w:pos="862"/>
        </w:tabs>
        <w:spacing w:before="90"/>
        <w:ind w:left="861" w:right="705"/>
        <w:jc w:val="both"/>
        <w:rPr>
          <w:sz w:val="24"/>
        </w:rPr>
      </w:pPr>
      <w:r>
        <w:rPr>
          <w:b/>
          <w:sz w:val="24"/>
        </w:rPr>
        <w:t xml:space="preserve">Agree </w:t>
      </w:r>
      <w:r>
        <w:rPr>
          <w:sz w:val="24"/>
        </w:rPr>
        <w:t xml:space="preserve">that the proposed change to appropriations for 2022/23 above be included in 2022/23 Supplementary Estimates and that, in the interim, the increase be met from </w:t>
      </w:r>
      <w:proofErr w:type="spellStart"/>
      <w:r>
        <w:rPr>
          <w:sz w:val="24"/>
        </w:rPr>
        <w:t>Imprest</w:t>
      </w:r>
      <w:proofErr w:type="spellEnd"/>
      <w:r>
        <w:rPr>
          <w:sz w:val="24"/>
        </w:rPr>
        <w:t xml:space="preserve"> Supply.</w:t>
      </w:r>
    </w:p>
    <w:p w14:paraId="7AFAFE7A" w14:textId="77777777" w:rsidR="00AD79A7" w:rsidRDefault="00AD79A7">
      <w:pPr>
        <w:pStyle w:val="BodyText"/>
        <w:spacing w:before="10"/>
        <w:rPr>
          <w:sz w:val="20"/>
        </w:rPr>
      </w:pPr>
    </w:p>
    <w:p w14:paraId="0A019964" w14:textId="77777777" w:rsidR="00AD79A7" w:rsidRDefault="00D44A60">
      <w:pPr>
        <w:pStyle w:val="ListParagraph"/>
        <w:numPr>
          <w:ilvl w:val="0"/>
          <w:numId w:val="1"/>
        </w:numPr>
        <w:tabs>
          <w:tab w:val="left" w:pos="861"/>
          <w:tab w:val="left" w:pos="862"/>
        </w:tabs>
        <w:spacing w:before="1"/>
        <w:ind w:left="861" w:right="711"/>
        <w:jc w:val="both"/>
        <w:rPr>
          <w:sz w:val="24"/>
        </w:rPr>
      </w:pPr>
      <w:r>
        <w:rPr>
          <w:b/>
          <w:sz w:val="24"/>
        </w:rPr>
        <w:t xml:space="preserve">Note </w:t>
      </w:r>
      <w:r>
        <w:rPr>
          <w:sz w:val="24"/>
        </w:rPr>
        <w:t>that the remaining $8 million of funding required for MTFJ will be reprioritised from within Vote Social Development.</w:t>
      </w:r>
    </w:p>
    <w:p w14:paraId="7A664999" w14:textId="77777777" w:rsidR="00AD79A7" w:rsidRDefault="00AD79A7">
      <w:pPr>
        <w:pStyle w:val="BodyText"/>
        <w:spacing w:before="9"/>
        <w:rPr>
          <w:sz w:val="20"/>
        </w:rPr>
      </w:pPr>
    </w:p>
    <w:p w14:paraId="41225C3B" w14:textId="77777777" w:rsidR="00AD79A7" w:rsidRDefault="00D44A60">
      <w:pPr>
        <w:pStyle w:val="ListParagraph"/>
        <w:numPr>
          <w:ilvl w:val="0"/>
          <w:numId w:val="1"/>
        </w:numPr>
        <w:tabs>
          <w:tab w:val="left" w:pos="861"/>
          <w:tab w:val="left" w:pos="862"/>
        </w:tabs>
        <w:spacing w:before="1"/>
        <w:ind w:left="861" w:right="699"/>
        <w:jc w:val="both"/>
        <w:rPr>
          <w:sz w:val="24"/>
        </w:rPr>
      </w:pPr>
      <w:r>
        <w:rPr>
          <w:b/>
          <w:sz w:val="24"/>
        </w:rPr>
        <w:t xml:space="preserve">Authorise </w:t>
      </w:r>
      <w:r>
        <w:rPr>
          <w:sz w:val="24"/>
        </w:rPr>
        <w:t>the Minister of Finance and the Minister for Social Development and Employment to make any required fiscally neutral adjustment</w:t>
      </w:r>
      <w:r>
        <w:rPr>
          <w:sz w:val="24"/>
        </w:rPr>
        <w:t xml:space="preserve"> as noted in recommendation 7 above, for the MTFJ.</w:t>
      </w:r>
    </w:p>
    <w:p w14:paraId="5E3921C4" w14:textId="77777777" w:rsidR="00AD79A7" w:rsidRDefault="00AD79A7">
      <w:pPr>
        <w:pStyle w:val="BodyText"/>
        <w:rPr>
          <w:sz w:val="26"/>
        </w:rPr>
      </w:pPr>
    </w:p>
    <w:p w14:paraId="50D15057" w14:textId="77777777" w:rsidR="00AD79A7" w:rsidRDefault="00AD79A7">
      <w:pPr>
        <w:pStyle w:val="BodyText"/>
        <w:spacing w:before="5"/>
        <w:rPr>
          <w:sz w:val="32"/>
        </w:rPr>
      </w:pPr>
    </w:p>
    <w:p w14:paraId="09040847" w14:textId="77777777" w:rsidR="00AD79A7" w:rsidRDefault="00D44A60">
      <w:pPr>
        <w:pStyle w:val="BodyText"/>
        <w:ind w:left="141"/>
      </w:pPr>
      <w:r>
        <w:t>Authorised</w:t>
      </w:r>
      <w:r>
        <w:rPr>
          <w:spacing w:val="-1"/>
        </w:rPr>
        <w:t xml:space="preserve"> </w:t>
      </w:r>
      <w:r>
        <w:t>for</w:t>
      </w:r>
      <w:r>
        <w:rPr>
          <w:spacing w:val="-1"/>
        </w:rPr>
        <w:t xml:space="preserve"> </w:t>
      </w:r>
      <w:r>
        <w:rPr>
          <w:spacing w:val="-2"/>
        </w:rPr>
        <w:t>lodgement</w:t>
      </w:r>
    </w:p>
    <w:p w14:paraId="7ABE4A21" w14:textId="77777777" w:rsidR="00AD79A7" w:rsidRDefault="00AD79A7">
      <w:pPr>
        <w:pStyle w:val="BodyText"/>
        <w:rPr>
          <w:sz w:val="26"/>
        </w:rPr>
      </w:pPr>
    </w:p>
    <w:p w14:paraId="712ED8FC" w14:textId="77777777" w:rsidR="00AD79A7" w:rsidRDefault="00AD79A7">
      <w:pPr>
        <w:pStyle w:val="BodyText"/>
        <w:rPr>
          <w:sz w:val="26"/>
        </w:rPr>
      </w:pPr>
    </w:p>
    <w:p w14:paraId="2D472546" w14:textId="77777777" w:rsidR="00AD79A7" w:rsidRDefault="00D44A60">
      <w:pPr>
        <w:pStyle w:val="BodyText"/>
        <w:spacing w:before="158"/>
        <w:ind w:left="141"/>
      </w:pPr>
      <w:r>
        <w:t>Hon</w:t>
      </w:r>
      <w:r>
        <w:rPr>
          <w:spacing w:val="-2"/>
        </w:rPr>
        <w:t xml:space="preserve"> </w:t>
      </w:r>
      <w:r>
        <w:t>Carmel</w:t>
      </w:r>
      <w:r>
        <w:rPr>
          <w:spacing w:val="-1"/>
        </w:rPr>
        <w:t xml:space="preserve"> </w:t>
      </w:r>
      <w:r>
        <w:rPr>
          <w:spacing w:val="-2"/>
        </w:rPr>
        <w:t>Sepuloni</w:t>
      </w:r>
    </w:p>
    <w:p w14:paraId="1D6DAD4C" w14:textId="77777777" w:rsidR="00AD79A7" w:rsidRDefault="00AD79A7">
      <w:pPr>
        <w:pStyle w:val="BodyText"/>
        <w:spacing w:before="10"/>
        <w:rPr>
          <w:sz w:val="20"/>
        </w:rPr>
      </w:pPr>
    </w:p>
    <w:p w14:paraId="139DFF4C" w14:textId="77777777" w:rsidR="00AD79A7" w:rsidRDefault="00D44A60">
      <w:pPr>
        <w:pStyle w:val="BodyText"/>
        <w:ind w:left="141"/>
      </w:pPr>
      <w:r>
        <w:t>Minister</w:t>
      </w:r>
      <w:r>
        <w:rPr>
          <w:spacing w:val="-2"/>
        </w:rPr>
        <w:t xml:space="preserve"> </w:t>
      </w:r>
      <w:r>
        <w:t>for</w:t>
      </w:r>
      <w:r>
        <w:rPr>
          <w:spacing w:val="-3"/>
        </w:rPr>
        <w:t xml:space="preserve"> </w:t>
      </w:r>
      <w:r>
        <w:t>Social</w:t>
      </w:r>
      <w:r>
        <w:rPr>
          <w:spacing w:val="-1"/>
        </w:rPr>
        <w:t xml:space="preserve"> </w:t>
      </w:r>
      <w:r>
        <w:t>Development</w:t>
      </w:r>
      <w:r>
        <w:rPr>
          <w:spacing w:val="-2"/>
        </w:rPr>
        <w:t xml:space="preserve"> </w:t>
      </w:r>
      <w:r>
        <w:t>and</w:t>
      </w:r>
      <w:r>
        <w:rPr>
          <w:spacing w:val="-2"/>
        </w:rPr>
        <w:t xml:space="preserve"> Employment</w:t>
      </w:r>
    </w:p>
    <w:sectPr w:rsidR="00AD79A7">
      <w:pgSz w:w="11910" w:h="16840"/>
      <w:pgMar w:top="1340" w:right="740" w:bottom="1180" w:left="130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2ADAD" w14:textId="77777777" w:rsidR="00D44A60" w:rsidRDefault="00D44A60">
      <w:r>
        <w:separator/>
      </w:r>
    </w:p>
  </w:endnote>
  <w:endnote w:type="continuationSeparator" w:id="0">
    <w:p w14:paraId="01CD274F" w14:textId="77777777" w:rsidR="00D44A60" w:rsidRDefault="00D4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FA78" w14:textId="77777777" w:rsidR="00AD79A7" w:rsidRDefault="00D44A60">
    <w:pPr>
      <w:pStyle w:val="BodyText"/>
      <w:spacing w:line="14" w:lineRule="auto"/>
      <w:rPr>
        <w:sz w:val="20"/>
      </w:rPr>
    </w:pPr>
    <w:r>
      <w:pict w14:anchorId="62246535">
        <v:shapetype id="_x0000_t202" coordsize="21600,21600" o:spt="202" path="m,l,21600r21600,l21600,xe">
          <v:stroke joinstyle="miter"/>
          <v:path gradientshapeok="t" o:connecttype="rect"/>
        </v:shapetype>
        <v:shape id="docshape2" o:spid="_x0000_s2051" type="#_x0000_t202" style="position:absolute;margin-left:514.4pt;margin-top:781.75pt;width:13.15pt;height:14.3pt;z-index:-15942144;mso-position-horizontal-relative:page;mso-position-vertical-relative:page" filled="f" stroked="f">
          <v:textbox inset="0,0,0,0">
            <w:txbxContent>
              <w:p w14:paraId="5DB1FA7F" w14:textId="77777777" w:rsidR="00AD79A7" w:rsidRDefault="00D44A60">
                <w:pPr>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w:r>
    <w:r>
      <w:pict w14:anchorId="294B9725">
        <v:shape id="docshape3" o:spid="_x0000_s2050" type="#_x0000_t202" style="position:absolute;margin-left:237.8pt;margin-top:794.35pt;width:116.75pt;height:13.2pt;z-index:-15941632;mso-position-horizontal-relative:page;mso-position-vertical-relative:page" filled="f" stroked="f">
          <v:textbox inset="0,0,0,0">
            <w:txbxContent>
              <w:p w14:paraId="31C09E59" w14:textId="77777777" w:rsidR="00AD79A7" w:rsidRDefault="00D44A60">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r>
      <w:pict w14:anchorId="53F227B4">
        <v:shape id="docshape4" o:spid="_x0000_s2049" type="#_x0000_t202" style="position:absolute;margin-left:15pt;margin-top:816.75pt;width:120.55pt;height:12.1pt;z-index:-15941120;mso-position-horizontal-relative:page;mso-position-vertical-relative:page" filled="f" stroked="f">
          <v:textbox inset="0,0,0,0">
            <w:txbxContent>
              <w:p w14:paraId="7E901C88" w14:textId="77777777" w:rsidR="00AD79A7" w:rsidRDefault="00D44A60">
                <w:pPr>
                  <w:spacing w:before="14"/>
                  <w:ind w:left="20"/>
                  <w:rPr>
                    <w:rFonts w:ascii="Arial"/>
                    <w:sz w:val="18"/>
                  </w:rPr>
                </w:pPr>
                <w:r>
                  <w:rPr>
                    <w:rFonts w:ascii="Arial"/>
                    <w:sz w:val="18"/>
                  </w:rPr>
                  <w:t>a2ifjvgtli</w:t>
                </w:r>
                <w:r>
                  <w:rPr>
                    <w:rFonts w:ascii="Arial"/>
                    <w:spacing w:val="-10"/>
                    <w:sz w:val="18"/>
                  </w:rPr>
                  <w:t xml:space="preserve"> </w:t>
                </w:r>
                <w:r>
                  <w:rPr>
                    <w:rFonts w:ascii="Arial"/>
                    <w:sz w:val="18"/>
                  </w:rPr>
                  <w:t>2022-06-27</w:t>
                </w:r>
                <w:r>
                  <w:rPr>
                    <w:rFonts w:ascii="Arial"/>
                    <w:spacing w:val="-10"/>
                    <w:sz w:val="18"/>
                  </w:rPr>
                  <w:t xml:space="preserve"> </w:t>
                </w:r>
                <w:r>
                  <w:rPr>
                    <w:rFonts w:ascii="Arial"/>
                    <w:spacing w:val="-2"/>
                    <w:sz w:val="18"/>
                  </w:rPr>
                  <w:t>11:00:22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4F220" w14:textId="77777777" w:rsidR="00D44A60" w:rsidRDefault="00D44A60">
      <w:r>
        <w:separator/>
      </w:r>
    </w:p>
  </w:footnote>
  <w:footnote w:type="continuationSeparator" w:id="0">
    <w:p w14:paraId="2372866F" w14:textId="77777777" w:rsidR="00D44A60" w:rsidRDefault="00D4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41A9" w14:textId="77777777" w:rsidR="00AD79A7" w:rsidRDefault="00D44A60">
    <w:pPr>
      <w:pStyle w:val="BodyText"/>
      <w:spacing w:line="14" w:lineRule="auto"/>
      <w:rPr>
        <w:sz w:val="20"/>
      </w:rPr>
    </w:pPr>
    <w:r>
      <w:pict w14:anchorId="6376DDB5">
        <v:shapetype id="_x0000_t202" coordsize="21600,21600" o:spt="202" path="m,l,21600r21600,l21600,xe">
          <v:stroke joinstyle="miter"/>
          <v:path gradientshapeok="t" o:connecttype="rect"/>
        </v:shapetype>
        <v:shape id="docshape1" o:spid="_x0000_s2052" type="#_x0000_t202" style="position:absolute;margin-left:219.6pt;margin-top:34.75pt;width:156.15pt;height:13.2pt;z-index:-15942656;mso-position-horizontal-relative:page;mso-position-vertical-relative:page" filled="f" stroked="f">
          <v:textbox inset="0,0,0,0">
            <w:txbxContent>
              <w:p w14:paraId="0BEA0640" w14:textId="77777777" w:rsidR="00AD79A7" w:rsidRDefault="00D44A60">
                <w:pPr>
                  <w:spacing w:before="13"/>
                  <w:ind w:left="20"/>
                  <w:rPr>
                    <w:rFonts w:ascii="Arial"/>
                    <w:b/>
                    <w:sz w:val="20"/>
                  </w:rPr>
                </w:pPr>
                <w:r>
                  <w:rPr>
                    <w:rFonts w:ascii="Arial"/>
                    <w:b/>
                    <w:sz w:val="20"/>
                  </w:rPr>
                  <w:t>S</w:t>
                </w:r>
                <w:r>
                  <w:rPr>
                    <w:rFonts w:ascii="Arial"/>
                    <w:b/>
                    <w:spacing w:val="4"/>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S</w:t>
                </w:r>
                <w:r>
                  <w:rPr>
                    <w:rFonts w:ascii="Arial"/>
                    <w:b/>
                    <w:spacing w:val="2"/>
                    <w:sz w:val="20"/>
                  </w:rPr>
                  <w:t xml:space="preserve"> </w:t>
                </w:r>
                <w:r>
                  <w:rPr>
                    <w:rFonts w:ascii="Arial"/>
                    <w:b/>
                    <w:sz w:val="20"/>
                  </w:rPr>
                  <w:t>I</w:t>
                </w:r>
                <w:r>
                  <w:rPr>
                    <w:rFonts w:ascii="Arial"/>
                    <w:b/>
                    <w:spacing w:val="4"/>
                    <w:sz w:val="20"/>
                  </w:rPr>
                  <w:t xml:space="preserve"> </w:t>
                </w:r>
                <w:r>
                  <w:rPr>
                    <w:rFonts w:ascii="Arial"/>
                    <w:b/>
                    <w:sz w:val="20"/>
                  </w:rPr>
                  <w:t>T</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V</w:t>
                </w:r>
                <w:r>
                  <w:rPr>
                    <w:rFonts w:ascii="Arial"/>
                    <w:b/>
                    <w:spacing w:val="2"/>
                    <w:sz w:val="20"/>
                  </w:rPr>
                  <w:t xml:space="preserve"> </w:t>
                </w:r>
                <w:proofErr w:type="gramStart"/>
                <w:r>
                  <w:rPr>
                    <w:rFonts w:ascii="Arial"/>
                    <w:b/>
                    <w:sz w:val="20"/>
                  </w:rPr>
                  <w:t>E</w:t>
                </w:r>
                <w:r>
                  <w:rPr>
                    <w:rFonts w:ascii="Arial"/>
                    <w:b/>
                    <w:spacing w:val="32"/>
                    <w:sz w:val="20"/>
                  </w:rPr>
                  <w:t xml:space="preserve">  </w:t>
                </w:r>
                <w:r>
                  <w:rPr>
                    <w:rFonts w:ascii="Arial"/>
                    <w:b/>
                    <w:sz w:val="20"/>
                  </w:rPr>
                  <w:t>-</w:t>
                </w:r>
                <w:proofErr w:type="gramEnd"/>
                <w:r>
                  <w:rPr>
                    <w:rFonts w:ascii="Arial"/>
                    <w:b/>
                    <w:spacing w:val="31"/>
                    <w:sz w:val="20"/>
                  </w:rPr>
                  <w:t xml:space="preserve">  </w:t>
                </w:r>
                <w:r>
                  <w:rPr>
                    <w:rFonts w:ascii="Arial"/>
                    <w:b/>
                    <w:sz w:val="20"/>
                  </w:rPr>
                  <w:t>B</w:t>
                </w:r>
                <w:r>
                  <w:rPr>
                    <w:rFonts w:ascii="Arial"/>
                    <w:b/>
                    <w:spacing w:val="4"/>
                    <w:sz w:val="20"/>
                  </w:rPr>
                  <w:t xml:space="preserve"> </w:t>
                </w:r>
                <w:r>
                  <w:rPr>
                    <w:rFonts w:ascii="Arial"/>
                    <w:b/>
                    <w:sz w:val="20"/>
                  </w:rPr>
                  <w:t>U</w:t>
                </w:r>
                <w:r>
                  <w:rPr>
                    <w:rFonts w:ascii="Arial"/>
                    <w:b/>
                    <w:spacing w:val="3"/>
                    <w:sz w:val="20"/>
                  </w:rPr>
                  <w:t xml:space="preserve"> </w:t>
                </w:r>
                <w:r>
                  <w:rPr>
                    <w:rFonts w:ascii="Arial"/>
                    <w:b/>
                    <w:sz w:val="20"/>
                  </w:rPr>
                  <w:t>D</w:t>
                </w:r>
                <w:r>
                  <w:rPr>
                    <w:rFonts w:ascii="Arial"/>
                    <w:b/>
                    <w:spacing w:val="3"/>
                    <w:sz w:val="20"/>
                  </w:rPr>
                  <w:t xml:space="preserve"> </w:t>
                </w:r>
                <w:r>
                  <w:rPr>
                    <w:rFonts w:ascii="Arial"/>
                    <w:b/>
                    <w:sz w:val="20"/>
                  </w:rPr>
                  <w:t>G</w:t>
                </w:r>
                <w:r>
                  <w:rPr>
                    <w:rFonts w:ascii="Arial"/>
                    <w:b/>
                    <w:spacing w:val="4"/>
                    <w:sz w:val="20"/>
                  </w:rPr>
                  <w:t xml:space="preserve"> </w:t>
                </w:r>
                <w:r>
                  <w:rPr>
                    <w:rFonts w:ascii="Arial"/>
                    <w:b/>
                    <w:sz w:val="20"/>
                  </w:rPr>
                  <w:t>E</w:t>
                </w:r>
                <w:r>
                  <w:rPr>
                    <w:rFonts w:ascii="Arial"/>
                    <w:b/>
                    <w:spacing w:val="4"/>
                    <w:sz w:val="20"/>
                  </w:rPr>
                  <w:t xml:space="preserve"> </w:t>
                </w:r>
                <w:r>
                  <w:rPr>
                    <w:rFonts w:ascii="Arial"/>
                    <w:b/>
                    <w:spacing w:val="-10"/>
                    <w:sz w:val="20"/>
                  </w:rPr>
                  <w:t>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B75D6"/>
    <w:multiLevelType w:val="hybridMultilevel"/>
    <w:tmpl w:val="B2F26F1E"/>
    <w:lvl w:ilvl="0" w:tplc="525C122E">
      <w:start w:val="1"/>
      <w:numFmt w:val="decimal"/>
      <w:lvlText w:val="%1"/>
      <w:lvlJc w:val="left"/>
      <w:pPr>
        <w:ind w:left="1430" w:hanging="720"/>
        <w:jc w:val="left"/>
      </w:pPr>
      <w:rPr>
        <w:rFonts w:ascii="Times New Roman" w:eastAsia="Times New Roman" w:hAnsi="Times New Roman" w:cs="Times New Roman" w:hint="default"/>
        <w:b w:val="0"/>
        <w:bCs w:val="0"/>
        <w:i w:val="0"/>
        <w:iCs w:val="0"/>
        <w:w w:val="100"/>
        <w:sz w:val="24"/>
        <w:szCs w:val="24"/>
        <w:lang w:val="en-NZ" w:eastAsia="en-US" w:bidi="ar-SA"/>
      </w:rPr>
    </w:lvl>
    <w:lvl w:ilvl="1" w:tplc="D14C01E4">
      <w:numFmt w:val="bullet"/>
      <w:lvlText w:val="•"/>
      <w:lvlJc w:val="left"/>
      <w:pPr>
        <w:ind w:left="2282" w:hanging="720"/>
      </w:pPr>
      <w:rPr>
        <w:rFonts w:hint="default"/>
        <w:lang w:val="en-NZ" w:eastAsia="en-US" w:bidi="ar-SA"/>
      </w:rPr>
    </w:lvl>
    <w:lvl w:ilvl="2" w:tplc="DC928222">
      <w:numFmt w:val="bullet"/>
      <w:lvlText w:val="•"/>
      <w:lvlJc w:val="left"/>
      <w:pPr>
        <w:ind w:left="3125" w:hanging="720"/>
      </w:pPr>
      <w:rPr>
        <w:rFonts w:hint="default"/>
        <w:lang w:val="en-NZ" w:eastAsia="en-US" w:bidi="ar-SA"/>
      </w:rPr>
    </w:lvl>
    <w:lvl w:ilvl="3" w:tplc="B0EA7F8A">
      <w:numFmt w:val="bullet"/>
      <w:lvlText w:val="•"/>
      <w:lvlJc w:val="left"/>
      <w:pPr>
        <w:ind w:left="3967" w:hanging="720"/>
      </w:pPr>
      <w:rPr>
        <w:rFonts w:hint="default"/>
        <w:lang w:val="en-NZ" w:eastAsia="en-US" w:bidi="ar-SA"/>
      </w:rPr>
    </w:lvl>
    <w:lvl w:ilvl="4" w:tplc="31B69C0C">
      <w:numFmt w:val="bullet"/>
      <w:lvlText w:val="•"/>
      <w:lvlJc w:val="left"/>
      <w:pPr>
        <w:ind w:left="4810" w:hanging="720"/>
      </w:pPr>
      <w:rPr>
        <w:rFonts w:hint="default"/>
        <w:lang w:val="en-NZ" w:eastAsia="en-US" w:bidi="ar-SA"/>
      </w:rPr>
    </w:lvl>
    <w:lvl w:ilvl="5" w:tplc="E8FEE808">
      <w:numFmt w:val="bullet"/>
      <w:lvlText w:val="•"/>
      <w:lvlJc w:val="left"/>
      <w:pPr>
        <w:ind w:left="5653" w:hanging="720"/>
      </w:pPr>
      <w:rPr>
        <w:rFonts w:hint="default"/>
        <w:lang w:val="en-NZ" w:eastAsia="en-US" w:bidi="ar-SA"/>
      </w:rPr>
    </w:lvl>
    <w:lvl w:ilvl="6" w:tplc="1F6820BC">
      <w:numFmt w:val="bullet"/>
      <w:lvlText w:val="•"/>
      <w:lvlJc w:val="left"/>
      <w:pPr>
        <w:ind w:left="6495" w:hanging="720"/>
      </w:pPr>
      <w:rPr>
        <w:rFonts w:hint="default"/>
        <w:lang w:val="en-NZ" w:eastAsia="en-US" w:bidi="ar-SA"/>
      </w:rPr>
    </w:lvl>
    <w:lvl w:ilvl="7" w:tplc="35EE4C16">
      <w:numFmt w:val="bullet"/>
      <w:lvlText w:val="•"/>
      <w:lvlJc w:val="left"/>
      <w:pPr>
        <w:ind w:left="7338" w:hanging="720"/>
      </w:pPr>
      <w:rPr>
        <w:rFonts w:hint="default"/>
        <w:lang w:val="en-NZ" w:eastAsia="en-US" w:bidi="ar-SA"/>
      </w:rPr>
    </w:lvl>
    <w:lvl w:ilvl="8" w:tplc="4D5C2EC4">
      <w:numFmt w:val="bullet"/>
      <w:lvlText w:val="•"/>
      <w:lvlJc w:val="left"/>
      <w:pPr>
        <w:ind w:left="8180" w:hanging="720"/>
      </w:pPr>
      <w:rPr>
        <w:rFonts w:hint="default"/>
        <w:lang w:val="en-NZ" w:eastAsia="en-US" w:bidi="ar-SA"/>
      </w:rPr>
    </w:lvl>
  </w:abstractNum>
  <w:abstractNum w:abstractNumId="1" w15:restartNumberingAfterBreak="0">
    <w:nsid w:val="732A6906"/>
    <w:multiLevelType w:val="hybridMultilevel"/>
    <w:tmpl w:val="98849E86"/>
    <w:lvl w:ilvl="0" w:tplc="F9864D18">
      <w:start w:val="1"/>
      <w:numFmt w:val="decimal"/>
      <w:lvlText w:val="%1"/>
      <w:lvlJc w:val="left"/>
      <w:pPr>
        <w:ind w:left="862" w:hanging="720"/>
        <w:jc w:val="left"/>
      </w:pPr>
      <w:rPr>
        <w:rFonts w:ascii="Times New Roman" w:eastAsia="Times New Roman" w:hAnsi="Times New Roman" w:cs="Times New Roman" w:hint="default"/>
        <w:b w:val="0"/>
        <w:bCs w:val="0"/>
        <w:i w:val="0"/>
        <w:iCs w:val="0"/>
        <w:w w:val="100"/>
        <w:sz w:val="24"/>
        <w:szCs w:val="24"/>
        <w:lang w:val="en-NZ" w:eastAsia="en-US" w:bidi="ar-SA"/>
      </w:rPr>
    </w:lvl>
    <w:lvl w:ilvl="1" w:tplc="FCDE6604">
      <w:numFmt w:val="bullet"/>
      <w:lvlText w:val="•"/>
      <w:lvlJc w:val="left"/>
      <w:pPr>
        <w:ind w:left="1760" w:hanging="720"/>
      </w:pPr>
      <w:rPr>
        <w:rFonts w:hint="default"/>
        <w:lang w:val="en-NZ" w:eastAsia="en-US" w:bidi="ar-SA"/>
      </w:rPr>
    </w:lvl>
    <w:lvl w:ilvl="2" w:tplc="00F86C12">
      <w:numFmt w:val="bullet"/>
      <w:lvlText w:val="•"/>
      <w:lvlJc w:val="left"/>
      <w:pPr>
        <w:ind w:left="2661" w:hanging="720"/>
      </w:pPr>
      <w:rPr>
        <w:rFonts w:hint="default"/>
        <w:lang w:val="en-NZ" w:eastAsia="en-US" w:bidi="ar-SA"/>
      </w:rPr>
    </w:lvl>
    <w:lvl w:ilvl="3" w:tplc="90B87C30">
      <w:numFmt w:val="bullet"/>
      <w:lvlText w:val="•"/>
      <w:lvlJc w:val="left"/>
      <w:pPr>
        <w:ind w:left="3561" w:hanging="720"/>
      </w:pPr>
      <w:rPr>
        <w:rFonts w:hint="default"/>
        <w:lang w:val="en-NZ" w:eastAsia="en-US" w:bidi="ar-SA"/>
      </w:rPr>
    </w:lvl>
    <w:lvl w:ilvl="4" w:tplc="AD8682E6">
      <w:numFmt w:val="bullet"/>
      <w:lvlText w:val="•"/>
      <w:lvlJc w:val="left"/>
      <w:pPr>
        <w:ind w:left="4462" w:hanging="720"/>
      </w:pPr>
      <w:rPr>
        <w:rFonts w:hint="default"/>
        <w:lang w:val="en-NZ" w:eastAsia="en-US" w:bidi="ar-SA"/>
      </w:rPr>
    </w:lvl>
    <w:lvl w:ilvl="5" w:tplc="35348524">
      <w:numFmt w:val="bullet"/>
      <w:lvlText w:val="•"/>
      <w:lvlJc w:val="left"/>
      <w:pPr>
        <w:ind w:left="5363" w:hanging="720"/>
      </w:pPr>
      <w:rPr>
        <w:rFonts w:hint="default"/>
        <w:lang w:val="en-NZ" w:eastAsia="en-US" w:bidi="ar-SA"/>
      </w:rPr>
    </w:lvl>
    <w:lvl w:ilvl="6" w:tplc="5F14F972">
      <w:numFmt w:val="bullet"/>
      <w:lvlText w:val="•"/>
      <w:lvlJc w:val="left"/>
      <w:pPr>
        <w:ind w:left="6263" w:hanging="720"/>
      </w:pPr>
      <w:rPr>
        <w:rFonts w:hint="default"/>
        <w:lang w:val="en-NZ" w:eastAsia="en-US" w:bidi="ar-SA"/>
      </w:rPr>
    </w:lvl>
    <w:lvl w:ilvl="7" w:tplc="25127168">
      <w:numFmt w:val="bullet"/>
      <w:lvlText w:val="•"/>
      <w:lvlJc w:val="left"/>
      <w:pPr>
        <w:ind w:left="7164" w:hanging="720"/>
      </w:pPr>
      <w:rPr>
        <w:rFonts w:hint="default"/>
        <w:lang w:val="en-NZ" w:eastAsia="en-US" w:bidi="ar-SA"/>
      </w:rPr>
    </w:lvl>
    <w:lvl w:ilvl="8" w:tplc="1F50A068">
      <w:numFmt w:val="bullet"/>
      <w:lvlText w:val="•"/>
      <w:lvlJc w:val="left"/>
      <w:pPr>
        <w:ind w:left="8064" w:hanging="720"/>
      </w:pPr>
      <w:rPr>
        <w:rFonts w:hint="default"/>
        <w:lang w:val="en-N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D79A7"/>
    <w:rsid w:val="000B14DA"/>
    <w:rsid w:val="00AD79A7"/>
    <w:rsid w:val="00D44A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B60F74"/>
  <w15:docId w15:val="{EB45D15A-1E23-4DF8-A91B-BCD5CDC3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rPr>
  </w:style>
  <w:style w:type="paragraph" w:styleId="Heading1">
    <w:name w:val="heading 1"/>
    <w:basedOn w:val="Normal"/>
    <w:uiPriority w:val="9"/>
    <w:qFormat/>
    <w:pPr>
      <w:ind w:left="141"/>
      <w:outlineLvl w:val="0"/>
    </w:pPr>
    <w:rPr>
      <w:rFonts w:ascii="Arial" w:eastAsia="Arial" w:hAnsi="Arial" w:cs="Arial"/>
      <w:b/>
      <w:bCs/>
      <w:sz w:val="28"/>
      <w:szCs w:val="28"/>
    </w:rPr>
  </w:style>
  <w:style w:type="paragraph" w:styleId="Heading2">
    <w:name w:val="heading 2"/>
    <w:basedOn w:val="Normal"/>
    <w:uiPriority w:val="9"/>
    <w:unhideWhenUsed/>
    <w:qFormat/>
    <w:pPr>
      <w:ind w:left="14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30" w:right="698" w:hanging="720"/>
      <w:jc w:val="both"/>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2447</Words>
  <Characters>13953</Characters>
  <Application>Microsoft Office Word</Application>
  <DocSecurity>0</DocSecurity>
  <Lines>116</Lines>
  <Paragraphs>32</Paragraphs>
  <ScaleCrop>false</ScaleCrop>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2022-08-11T00:21:00Z</dcterms:created>
  <dcterms:modified xsi:type="dcterms:W3CDTF">2022-08-11T00:21:00Z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Writer</vt:lpwstr>
  </property>
  <property fmtid="{D5CDD505-2E9C-101B-9397-08002B2CF9AE}" pid="4" name="LastSaved">
    <vt:filetime>2022-08-11T00:00:00Z</vt:filetime>
  </property>
</Properties>
</file>