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8B6195" w14:paraId="4E5735CC" w14:textId="77777777" w:rsidTr="00D65831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52E0B" w14:textId="77777777" w:rsidR="008B6195" w:rsidRPr="00D65149" w:rsidRDefault="008B6195" w:rsidP="00D65831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1DA41C8D" w14:textId="77777777" w:rsidR="008B6195" w:rsidRDefault="008B6195" w:rsidP="00D65831">
            <w:pPr>
              <w:pStyle w:val="LogoStyle"/>
            </w:pPr>
            <w:bookmarkStart w:id="0" w:name="bkmBrandingLogo"/>
          </w:p>
          <w:p w14:paraId="3BE80010" w14:textId="77777777" w:rsidR="008B6195" w:rsidRPr="00B17CB4" w:rsidRDefault="008B6195" w:rsidP="00D65831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73C95302" wp14:editId="0D8268EB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B6195" w14:paraId="296A8A42" w14:textId="77777777" w:rsidTr="00D65831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B7BC50" w14:textId="77777777" w:rsidR="008B6195" w:rsidRPr="00B77327" w:rsidRDefault="008B6195" w:rsidP="00D65831">
            <w:pPr>
              <w:rPr>
                <w:rStyle w:val="TemplateSubtitleChar"/>
                <w:rFonts w:eastAsiaTheme="minorHAnsi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FFD70" w14:textId="77777777" w:rsidR="008B6195" w:rsidRPr="00B77327" w:rsidRDefault="008B6195" w:rsidP="00D65831"/>
        </w:tc>
      </w:tr>
    </w:tbl>
    <w:p w14:paraId="7746C4EA" w14:textId="718BB56D" w:rsidR="008B6195" w:rsidRDefault="008B6195" w:rsidP="009C2ADD">
      <w:pPr>
        <w:pStyle w:val="NormalWeb"/>
        <w:shd w:val="clear" w:color="auto" w:fill="FFFFFF"/>
        <w:spacing w:before="240" w:after="210"/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</w:pP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Social Security (Benefit</w:t>
      </w:r>
      <w:r w:rsidR="00D226A5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s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 Adjustment) and Income Tax (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M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inimum 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F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amily 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T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ax 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C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redit) 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A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mendment 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B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ill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: A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pproval for </w:t>
      </w:r>
      <w:r w:rsidR="0059272A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>I</w:t>
      </w:r>
      <w:r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ntroduction </w:t>
      </w:r>
      <w:r w:rsidRPr="009B764D">
        <w:rPr>
          <w:rFonts w:ascii="Georgia" w:eastAsiaTheme="majorEastAsia" w:hAnsi="Georgia" w:cs="Arial"/>
          <w:b/>
          <w:bCs/>
          <w:kern w:val="32"/>
          <w:sz w:val="36"/>
          <w:szCs w:val="32"/>
          <w:lang w:eastAsia="en-NZ"/>
        </w:rPr>
        <w:t xml:space="preserve"> </w:t>
      </w:r>
    </w:p>
    <w:p w14:paraId="70FD3506" w14:textId="47B03BE9" w:rsidR="008B6195" w:rsidRPr="009C2ADD" w:rsidRDefault="008B6195" w:rsidP="008B6195">
      <w:pPr>
        <w:pStyle w:val="NormalWeb"/>
        <w:shd w:val="clear" w:color="auto" w:fill="FFFFFF"/>
        <w:spacing w:after="210"/>
        <w:rPr>
          <w:rFonts w:ascii="Verdana" w:hAnsi="Verdana" w:cs="Arial"/>
          <w:b/>
          <w:color w:val="333333"/>
          <w:sz w:val="20"/>
          <w:szCs w:val="20"/>
        </w:rPr>
      </w:pPr>
      <w:r w:rsidRPr="009C2ADD">
        <w:rPr>
          <w:rFonts w:ascii="Verdana" w:hAnsi="Verdana" w:cs="Arial"/>
          <w:b/>
          <w:color w:val="333333"/>
          <w:sz w:val="20"/>
          <w:szCs w:val="20"/>
        </w:rPr>
        <w:t>Hon Louise Upston, Minister for Social Development and Employment</w:t>
      </w:r>
    </w:p>
    <w:p w14:paraId="2EAC49D6" w14:textId="77777777" w:rsidR="008B6195" w:rsidRPr="009C2ADD" w:rsidRDefault="008B6195" w:rsidP="008B6195">
      <w:pPr>
        <w:pStyle w:val="NormalWeb"/>
        <w:shd w:val="clear" w:color="auto" w:fill="FFFFFF"/>
        <w:spacing w:after="210"/>
        <w:rPr>
          <w:rFonts w:ascii="Verdana" w:hAnsi="Verdana" w:cs="Arial"/>
          <w:color w:val="333333"/>
          <w:sz w:val="20"/>
          <w:szCs w:val="20"/>
        </w:rPr>
      </w:pPr>
      <w:r w:rsidRPr="009C2ADD">
        <w:rPr>
          <w:rFonts w:ascii="Verdana" w:hAnsi="Verdana" w:cs="Arial"/>
          <w:color w:val="333333"/>
          <w:sz w:val="20"/>
          <w:szCs w:val="20"/>
        </w:rPr>
        <w:t xml:space="preserve">These documents have been proactively released. </w:t>
      </w:r>
    </w:p>
    <w:p w14:paraId="718F8C2C" w14:textId="35817956" w:rsidR="008B6195" w:rsidRDefault="00D90D62" w:rsidP="008B6195">
      <w:pPr>
        <w:pStyle w:val="NormalWeb"/>
        <w:shd w:val="clear" w:color="auto" w:fill="FFFFFF"/>
        <w:spacing w:after="210"/>
        <w:rPr>
          <w:rFonts w:ascii="Verdana" w:hAnsi="Verdana" w:cs="Arial"/>
          <w:i/>
          <w:iCs/>
          <w:color w:val="333333"/>
          <w:sz w:val="20"/>
          <w:szCs w:val="20"/>
        </w:rPr>
      </w:pPr>
      <w:r w:rsidRPr="009C2ADD">
        <w:rPr>
          <w:rFonts w:ascii="Verdana" w:hAnsi="Verdana" w:cs="Arial"/>
          <w:i/>
          <w:iCs/>
          <w:color w:val="333333"/>
          <w:sz w:val="20"/>
          <w:szCs w:val="20"/>
        </w:rPr>
        <w:t>12</w:t>
      </w:r>
      <w:r w:rsidR="006A3A85" w:rsidRPr="009C2ADD">
        <w:rPr>
          <w:rFonts w:ascii="Verdana" w:hAnsi="Verdana" w:cs="Arial"/>
          <w:i/>
          <w:iCs/>
          <w:color w:val="333333"/>
          <w:sz w:val="20"/>
          <w:szCs w:val="20"/>
        </w:rPr>
        <w:t xml:space="preserve"> February 2024</w:t>
      </w:r>
      <w:r w:rsidR="008B6195" w:rsidRPr="009C2ADD">
        <w:rPr>
          <w:rFonts w:ascii="Verdana" w:hAnsi="Verdana" w:cs="Arial"/>
          <w:i/>
          <w:iCs/>
          <w:color w:val="333333"/>
          <w:sz w:val="20"/>
          <w:szCs w:val="20"/>
        </w:rPr>
        <w:t xml:space="preserve">, </w:t>
      </w:r>
      <w:r w:rsidR="006A3A85" w:rsidRPr="009C2ADD">
        <w:rPr>
          <w:rFonts w:ascii="Verdana" w:hAnsi="Verdana" w:cs="Arial"/>
          <w:i/>
          <w:iCs/>
          <w:color w:val="333333"/>
          <w:sz w:val="20"/>
          <w:szCs w:val="20"/>
        </w:rPr>
        <w:t xml:space="preserve">Cabinet paper </w:t>
      </w:r>
      <w:r w:rsidR="007B4848" w:rsidRPr="009C2ADD">
        <w:rPr>
          <w:rFonts w:ascii="Verdana" w:hAnsi="Verdana" w:cs="Arial"/>
          <w:i/>
          <w:iCs/>
          <w:color w:val="333333"/>
          <w:sz w:val="20"/>
          <w:szCs w:val="20"/>
        </w:rPr>
        <w:t>– Social Security (Benefits Adjustment) and Income Tax (Minimum Family Tax Credit) Amendment Bill: Approval for Introduction</w:t>
      </w:r>
    </w:p>
    <w:p w14:paraId="43189EE6" w14:textId="17035666" w:rsidR="008014E4" w:rsidRPr="009C2ADD" w:rsidRDefault="008014E4" w:rsidP="008B6195">
      <w:pPr>
        <w:pStyle w:val="NormalWeb"/>
        <w:shd w:val="clear" w:color="auto" w:fill="FFFFFF"/>
        <w:spacing w:after="210"/>
        <w:rPr>
          <w:rFonts w:ascii="Verdana" w:hAnsi="Verdana" w:cs="Arial"/>
          <w:i/>
          <w:iCs/>
          <w:color w:val="333333"/>
          <w:sz w:val="20"/>
          <w:szCs w:val="20"/>
        </w:rPr>
      </w:pPr>
      <w:r w:rsidRPr="009C2ADD">
        <w:rPr>
          <w:rFonts w:ascii="Verdana" w:hAnsi="Verdana" w:cs="Arial"/>
          <w:i/>
          <w:iCs/>
          <w:color w:val="333333"/>
          <w:sz w:val="20"/>
          <w:szCs w:val="20"/>
        </w:rPr>
        <w:t>12 February 2024, Cabinet Minute of Decision CAB-24-MIN-0025 – Social Security (Benefits Adjustment) and Income Tax (Minimum Family Tax Credit) Amendment Bill: Approval for Introduction</w:t>
      </w:r>
      <w:r>
        <w:rPr>
          <w:rFonts w:ascii="Verdana" w:hAnsi="Verdana" w:cs="Arial"/>
          <w:i/>
          <w:iCs/>
          <w:color w:val="333333"/>
          <w:sz w:val="20"/>
          <w:szCs w:val="20"/>
        </w:rPr>
        <w:t>.</w:t>
      </w:r>
    </w:p>
    <w:p w14:paraId="14686E9E" w14:textId="0E3C346F" w:rsidR="009C2ADD" w:rsidRDefault="009C2ADD" w:rsidP="008B6195">
      <w:pPr>
        <w:pStyle w:val="NormalWeb"/>
        <w:shd w:val="clear" w:color="auto" w:fill="FFFFFF"/>
        <w:spacing w:after="210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The following documents that accompanied the Cabinet paper are already public:</w:t>
      </w:r>
    </w:p>
    <w:p w14:paraId="2B0163C7" w14:textId="4867D144" w:rsidR="008B6195" w:rsidRPr="009C2ADD" w:rsidRDefault="0030229F" w:rsidP="009C2ADD">
      <w:pPr>
        <w:pStyle w:val="NormalWeb"/>
        <w:numPr>
          <w:ilvl w:val="0"/>
          <w:numId w:val="35"/>
        </w:numPr>
        <w:shd w:val="clear" w:color="auto" w:fill="FFFFFF"/>
        <w:spacing w:after="210"/>
        <w:rPr>
          <w:rFonts w:ascii="Verdana" w:hAnsi="Verdana" w:cs="Arial"/>
          <w:i/>
          <w:iCs/>
          <w:color w:val="333333"/>
          <w:sz w:val="20"/>
          <w:szCs w:val="20"/>
        </w:rPr>
      </w:pPr>
      <w:r w:rsidRPr="009C2ADD">
        <w:rPr>
          <w:rFonts w:ascii="Verdana" w:hAnsi="Verdana" w:cs="Arial"/>
          <w:i/>
          <w:iCs/>
          <w:color w:val="333333"/>
          <w:sz w:val="20"/>
          <w:szCs w:val="20"/>
        </w:rPr>
        <w:t>Supplementary Analysis Report: Indexing Main Benefits to Inflation</w:t>
      </w:r>
      <w:r w:rsidR="00393429">
        <w:rPr>
          <w:rFonts w:ascii="Verdana" w:hAnsi="Verdana" w:cs="Arial"/>
          <w:i/>
          <w:iCs/>
          <w:color w:val="333333"/>
          <w:sz w:val="20"/>
          <w:szCs w:val="20"/>
        </w:rPr>
        <w:t xml:space="preserve"> </w:t>
      </w:r>
      <w:hyperlink r:id="rId9" w:history="1">
        <w:r w:rsidR="00393429" w:rsidRPr="00F863B3">
          <w:rPr>
            <w:rStyle w:val="Hyperlink"/>
            <w:rFonts w:ascii="Verdana" w:hAnsi="Verdana" w:cs="Arial"/>
            <w:i/>
            <w:iCs/>
            <w:sz w:val="20"/>
            <w:szCs w:val="20"/>
          </w:rPr>
          <w:t>www.treasury.govt.nz/publications/risa/supplementary-analysis-report-indexing-main-benefits-inflation</w:t>
        </w:r>
      </w:hyperlink>
      <w:r w:rsidR="00393429">
        <w:rPr>
          <w:rFonts w:ascii="Verdana" w:hAnsi="Verdana" w:cs="Arial"/>
          <w:i/>
          <w:iCs/>
          <w:color w:val="333333"/>
          <w:sz w:val="20"/>
          <w:szCs w:val="20"/>
        </w:rPr>
        <w:t xml:space="preserve"> </w:t>
      </w:r>
    </w:p>
    <w:p w14:paraId="6F5DA36E" w14:textId="74825806" w:rsidR="008B6195" w:rsidRPr="009C2ADD" w:rsidRDefault="009C2ADD" w:rsidP="009C2ADD">
      <w:pPr>
        <w:pStyle w:val="NormalWeb"/>
        <w:numPr>
          <w:ilvl w:val="0"/>
          <w:numId w:val="35"/>
        </w:numPr>
        <w:shd w:val="clear" w:color="auto" w:fill="FFFFFF"/>
        <w:spacing w:after="210"/>
        <w:rPr>
          <w:rFonts w:ascii="Verdana" w:hAnsi="Verdana" w:cs="Arial"/>
          <w:i/>
          <w:iCs/>
          <w:color w:val="333333"/>
          <w:sz w:val="20"/>
          <w:szCs w:val="20"/>
        </w:rPr>
      </w:pPr>
      <w:r>
        <w:rPr>
          <w:rFonts w:ascii="Verdana" w:hAnsi="Verdana" w:cs="Arial"/>
          <w:i/>
          <w:iCs/>
          <w:color w:val="333333"/>
          <w:sz w:val="20"/>
          <w:szCs w:val="20"/>
        </w:rPr>
        <w:t>S</w:t>
      </w:r>
      <w:r w:rsidR="0030229F" w:rsidRPr="009C2ADD">
        <w:rPr>
          <w:rFonts w:ascii="Verdana" w:hAnsi="Verdana" w:cs="Arial"/>
          <w:i/>
          <w:iCs/>
          <w:color w:val="333333"/>
          <w:sz w:val="20"/>
          <w:szCs w:val="20"/>
        </w:rPr>
        <w:t xml:space="preserve">ocial Security (Benefits Adjustment) and Income Tax (Minimum Family Tax Credit) Amendment Bill </w:t>
      </w:r>
      <w:hyperlink r:id="rId10" w:history="1">
        <w:r w:rsidR="00393429" w:rsidRPr="00F863B3">
          <w:rPr>
            <w:rStyle w:val="Hyperlink"/>
            <w:rFonts w:ascii="Verdana" w:hAnsi="Verdana" w:cs="Arial"/>
            <w:i/>
            <w:iCs/>
            <w:sz w:val="20"/>
            <w:szCs w:val="20"/>
          </w:rPr>
          <w:t>https://disclosure.legislation.govt.nz/bill/government/</w:t>
        </w:r>
        <w:r w:rsidR="00393429" w:rsidRPr="00F863B3">
          <w:rPr>
            <w:rStyle w:val="Hyperlink"/>
            <w:rFonts w:ascii="Verdana" w:hAnsi="Verdana" w:cs="Arial"/>
            <w:i/>
            <w:iCs/>
            <w:sz w:val="20"/>
            <w:szCs w:val="20"/>
          </w:rPr>
          <w:br/>
          <w:t>2024/14/</w:t>
        </w:r>
      </w:hyperlink>
      <w:r w:rsidR="00393429">
        <w:rPr>
          <w:rFonts w:ascii="Verdana" w:hAnsi="Verdana" w:cs="Arial"/>
          <w:i/>
          <w:iCs/>
          <w:color w:val="333333"/>
          <w:sz w:val="20"/>
          <w:szCs w:val="20"/>
        </w:rPr>
        <w:t xml:space="preserve">  </w:t>
      </w:r>
    </w:p>
    <w:p w14:paraId="2D2FF240" w14:textId="084BAA18" w:rsidR="0030229F" w:rsidRPr="009C2ADD" w:rsidRDefault="0030229F" w:rsidP="009C2ADD">
      <w:pPr>
        <w:pStyle w:val="NormalWeb"/>
        <w:numPr>
          <w:ilvl w:val="0"/>
          <w:numId w:val="35"/>
        </w:numPr>
        <w:shd w:val="clear" w:color="auto" w:fill="FFFFFF"/>
        <w:spacing w:after="210"/>
        <w:rPr>
          <w:rFonts w:ascii="Verdana" w:hAnsi="Verdana" w:cs="Arial"/>
          <w:i/>
          <w:iCs/>
          <w:color w:val="333333"/>
          <w:sz w:val="20"/>
          <w:szCs w:val="20"/>
        </w:rPr>
      </w:pPr>
      <w:r w:rsidRPr="009C2ADD">
        <w:rPr>
          <w:rFonts w:ascii="Verdana" w:hAnsi="Verdana" w:cs="Arial"/>
          <w:i/>
          <w:iCs/>
          <w:color w:val="333333"/>
          <w:sz w:val="20"/>
          <w:szCs w:val="20"/>
        </w:rPr>
        <w:t>Departmental Disclosure Statement – Social Security (Benefits Adjustment) and Income Tax (Minimum Family Tax Credit) Amendment Bill</w:t>
      </w:r>
      <w:r w:rsidR="00393429">
        <w:rPr>
          <w:rFonts w:ascii="Verdana" w:hAnsi="Verdana" w:cs="Arial"/>
          <w:i/>
          <w:iCs/>
          <w:color w:val="333333"/>
          <w:sz w:val="20"/>
          <w:szCs w:val="20"/>
        </w:rPr>
        <w:t xml:space="preserve"> </w:t>
      </w:r>
      <w:hyperlink r:id="rId11" w:history="1">
        <w:r w:rsidR="00393429" w:rsidRPr="00F863B3">
          <w:rPr>
            <w:rStyle w:val="Hyperlink"/>
            <w:rFonts w:ascii="Verdana" w:hAnsi="Verdana" w:cs="Arial"/>
            <w:i/>
            <w:iCs/>
            <w:sz w:val="20"/>
            <w:szCs w:val="20"/>
          </w:rPr>
          <w:t>https://legislation.govt.nz/bill/government/2024/0014/latest/whole.html</w:t>
        </w:r>
      </w:hyperlink>
      <w:r w:rsidR="00393429">
        <w:rPr>
          <w:rFonts w:ascii="Verdana" w:hAnsi="Verdana" w:cs="Arial"/>
          <w:i/>
          <w:iCs/>
          <w:color w:val="333333"/>
          <w:sz w:val="20"/>
          <w:szCs w:val="20"/>
        </w:rPr>
        <w:t xml:space="preserve">. </w:t>
      </w:r>
    </w:p>
    <w:p w14:paraId="7602525F" w14:textId="05979C1E" w:rsidR="0087672A" w:rsidRPr="009C2ADD" w:rsidRDefault="00D90D62" w:rsidP="00A61ECA">
      <w:pPr>
        <w:pStyle w:val="NormalWeb"/>
        <w:shd w:val="clear" w:color="auto" w:fill="FFFFFF"/>
        <w:spacing w:after="210" w:line="264" w:lineRule="auto"/>
        <w:rPr>
          <w:rFonts w:ascii="Verdana" w:hAnsi="Verdana" w:cs="Arial"/>
          <w:color w:val="333333"/>
          <w:sz w:val="20"/>
          <w:szCs w:val="20"/>
        </w:rPr>
      </w:pPr>
      <w:r w:rsidRPr="009C2ADD">
        <w:rPr>
          <w:rFonts w:ascii="Verdana" w:hAnsi="Verdana" w:cs="Arial"/>
          <w:color w:val="333333"/>
          <w:sz w:val="20"/>
          <w:szCs w:val="20"/>
        </w:rPr>
        <w:t xml:space="preserve">The </w:t>
      </w:r>
      <w:r w:rsidR="0087672A" w:rsidRPr="009C2ADD">
        <w:rPr>
          <w:rFonts w:ascii="Verdana" w:hAnsi="Verdana" w:cs="Arial"/>
          <w:color w:val="333333"/>
          <w:sz w:val="20"/>
          <w:szCs w:val="20"/>
        </w:rPr>
        <w:t>paper ‘Social Security (Benefits Adjustment) and Income Tax (Minimum Family Tax Credit) Amendment Bill: Approval for Introduction’ s</w:t>
      </w:r>
      <w:r w:rsidR="009230C9" w:rsidRPr="009C2ADD">
        <w:rPr>
          <w:rFonts w:ascii="Verdana" w:hAnsi="Verdana" w:cs="Arial"/>
          <w:color w:val="333333"/>
          <w:sz w:val="20"/>
          <w:szCs w:val="20"/>
        </w:rPr>
        <w:t>ought</w:t>
      </w:r>
      <w:r w:rsidR="0087672A" w:rsidRPr="009C2ADD">
        <w:rPr>
          <w:rFonts w:ascii="Verdana" w:hAnsi="Verdana" w:cs="Arial"/>
          <w:color w:val="333333"/>
          <w:sz w:val="20"/>
          <w:szCs w:val="20"/>
        </w:rPr>
        <w:t xml:space="preserve"> approval for the introduction of the </w:t>
      </w:r>
      <w:r w:rsidRPr="009C2ADD">
        <w:rPr>
          <w:rFonts w:ascii="Verdana" w:hAnsi="Verdana" w:cs="Arial"/>
          <w:color w:val="333333"/>
          <w:sz w:val="20"/>
          <w:szCs w:val="20"/>
        </w:rPr>
        <w:t xml:space="preserve">Social Security (Benefits Adjustment) and Income </w:t>
      </w:r>
      <w:r w:rsidR="00313F5C" w:rsidRPr="009C2ADD">
        <w:rPr>
          <w:rFonts w:ascii="Verdana" w:hAnsi="Verdana" w:cs="Arial"/>
          <w:color w:val="333333"/>
          <w:sz w:val="20"/>
          <w:szCs w:val="20"/>
        </w:rPr>
        <w:t>Tax (Minimum Family Tax Credit) Amendment Bill</w:t>
      </w:r>
      <w:r w:rsidR="0087672A" w:rsidRPr="009C2ADD">
        <w:rPr>
          <w:rFonts w:ascii="Verdana" w:hAnsi="Verdana" w:cs="Arial"/>
          <w:color w:val="333333"/>
          <w:sz w:val="20"/>
          <w:szCs w:val="20"/>
        </w:rPr>
        <w:t xml:space="preserve"> (the Bill) to the House. </w:t>
      </w:r>
    </w:p>
    <w:p w14:paraId="6704563C" w14:textId="54B2A786" w:rsidR="008B6195" w:rsidRPr="009C2ADD" w:rsidRDefault="0087672A" w:rsidP="00A61ECA">
      <w:pPr>
        <w:pStyle w:val="NormalWeb"/>
        <w:shd w:val="clear" w:color="auto" w:fill="FFFFFF"/>
        <w:spacing w:after="210" w:line="264" w:lineRule="auto"/>
        <w:rPr>
          <w:rFonts w:ascii="Verdana" w:hAnsi="Verdana" w:cs="Arial"/>
          <w:sz w:val="20"/>
          <w:szCs w:val="20"/>
        </w:rPr>
      </w:pPr>
      <w:r w:rsidRPr="009C2ADD">
        <w:rPr>
          <w:rFonts w:ascii="Verdana" w:hAnsi="Verdana" w:cs="Arial"/>
          <w:color w:val="333333"/>
          <w:sz w:val="20"/>
          <w:szCs w:val="20"/>
        </w:rPr>
        <w:t>The Bill</w:t>
      </w:r>
      <w:r w:rsidR="00313F5C" w:rsidRPr="009C2ADD">
        <w:rPr>
          <w:rFonts w:ascii="Verdana" w:hAnsi="Verdana" w:cs="Arial"/>
          <w:color w:val="333333"/>
          <w:sz w:val="20"/>
          <w:szCs w:val="20"/>
        </w:rPr>
        <w:t xml:space="preserve"> </w:t>
      </w:r>
      <w:r w:rsidR="009230C9" w:rsidRPr="009C2ADD">
        <w:rPr>
          <w:rFonts w:ascii="Verdana" w:hAnsi="Verdana" w:cs="Arial"/>
          <w:color w:val="333333"/>
          <w:sz w:val="20"/>
          <w:szCs w:val="20"/>
        </w:rPr>
        <w:t>was</w:t>
      </w:r>
      <w:r w:rsidR="002A5854" w:rsidRPr="009C2ADD">
        <w:rPr>
          <w:rFonts w:ascii="Verdana" w:hAnsi="Verdana" w:cs="Arial"/>
          <w:color w:val="333333"/>
          <w:sz w:val="20"/>
          <w:szCs w:val="20"/>
        </w:rPr>
        <w:t xml:space="preserve"> an omnibus bill that amend</w:t>
      </w:r>
      <w:r w:rsidR="009230C9" w:rsidRPr="009C2ADD">
        <w:rPr>
          <w:rFonts w:ascii="Verdana" w:hAnsi="Verdana" w:cs="Arial"/>
          <w:color w:val="333333"/>
          <w:sz w:val="20"/>
          <w:szCs w:val="20"/>
        </w:rPr>
        <w:t>ed</w:t>
      </w:r>
      <w:r w:rsidR="002A5854" w:rsidRPr="009C2ADD">
        <w:rPr>
          <w:rFonts w:ascii="Verdana" w:hAnsi="Verdana" w:cs="Arial"/>
          <w:color w:val="333333"/>
          <w:sz w:val="20"/>
          <w:szCs w:val="20"/>
        </w:rPr>
        <w:t xml:space="preserve"> the Social Security Act </w:t>
      </w:r>
      <w:r w:rsidR="00994989" w:rsidRPr="009C2ADD">
        <w:rPr>
          <w:rFonts w:ascii="Verdana" w:hAnsi="Verdana" w:cs="Arial"/>
          <w:color w:val="333333"/>
          <w:sz w:val="20"/>
          <w:szCs w:val="20"/>
        </w:rPr>
        <w:t>2018 to index benefits currently listed in section 452A to inflation (any percentage movement upwards in the Consumers Price Index)</w:t>
      </w:r>
      <w:r w:rsidRPr="009C2ADD">
        <w:rPr>
          <w:rFonts w:ascii="Verdana" w:hAnsi="Verdana" w:cs="Arial"/>
          <w:color w:val="333333"/>
          <w:sz w:val="20"/>
          <w:szCs w:val="20"/>
        </w:rPr>
        <w:t>. It d</w:t>
      </w:r>
      <w:r w:rsidR="009230C9" w:rsidRPr="009C2ADD">
        <w:rPr>
          <w:rFonts w:ascii="Verdana" w:hAnsi="Verdana" w:cs="Arial"/>
          <w:color w:val="333333"/>
          <w:sz w:val="20"/>
          <w:szCs w:val="20"/>
        </w:rPr>
        <w:t>id</w:t>
      </w:r>
      <w:r w:rsidRPr="009C2ADD">
        <w:rPr>
          <w:rFonts w:ascii="Verdana" w:hAnsi="Verdana" w:cs="Arial"/>
          <w:color w:val="333333"/>
          <w:sz w:val="20"/>
          <w:szCs w:val="20"/>
        </w:rPr>
        <w:t xml:space="preserve"> this by repealing section 452A, and then adding the benefits that were listed in that section to those listed in section 453. Additionally, the Bill amend</w:t>
      </w:r>
      <w:r w:rsidR="009230C9" w:rsidRPr="009C2ADD">
        <w:rPr>
          <w:rFonts w:ascii="Verdana" w:hAnsi="Verdana" w:cs="Arial"/>
          <w:color w:val="333333"/>
          <w:sz w:val="20"/>
          <w:szCs w:val="20"/>
        </w:rPr>
        <w:t>ed</w:t>
      </w:r>
      <w:r w:rsidRPr="009C2ADD">
        <w:rPr>
          <w:rFonts w:ascii="Verdana" w:hAnsi="Verdana" w:cs="Arial"/>
          <w:color w:val="333333"/>
          <w:sz w:val="20"/>
          <w:szCs w:val="20"/>
        </w:rPr>
        <w:t xml:space="preserve"> the Income Tax Act 2007 to implement a related increase in the Minimum Family Tax Credit (MFTC) threshold, in line with Cabinet policy</w:t>
      </w:r>
      <w:r w:rsidR="00994989" w:rsidRPr="009C2ADD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14:paraId="2C6D2FA3" w14:textId="77777777" w:rsidR="008B6195" w:rsidRPr="009C2ADD" w:rsidRDefault="008B59AF" w:rsidP="008B6195">
      <w:pPr>
        <w:pStyle w:val="NormalWeb"/>
        <w:shd w:val="clear" w:color="auto" w:fill="FFFFFF"/>
        <w:spacing w:after="210"/>
        <w:rPr>
          <w:rFonts w:ascii="Verdana" w:hAnsi="Verdana" w:cs="Arial"/>
          <w:color w:val="333333"/>
          <w:sz w:val="20"/>
          <w:szCs w:val="20"/>
        </w:rPr>
      </w:pPr>
      <w:hyperlink r:id="rId12" w:history="1">
        <w:r w:rsidR="008B6195" w:rsidRPr="009C2ADD">
          <w:rPr>
            <w:rStyle w:val="Hyperlink"/>
            <w:rFonts w:ascii="Verdana" w:hAnsi="Verdana" w:cs="Arial"/>
            <w:i/>
            <w:iCs/>
            <w:color w:val="4C2C92"/>
            <w:sz w:val="20"/>
            <w:szCs w:val="20"/>
          </w:rPr>
          <w:t>© Crown Copyright, Creative Commons Attribution 4.0 International (CC BY 4.0)</w:t>
        </w:r>
      </w:hyperlink>
    </w:p>
    <w:p w14:paraId="123B86F2" w14:textId="3595545B" w:rsidR="00F829F6" w:rsidRPr="00393429" w:rsidRDefault="009C2ADD" w:rsidP="00F113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 </w:t>
      </w:r>
      <w:r w:rsidR="00393429" w:rsidRPr="00393429">
        <w:rPr>
          <w:rFonts w:ascii="Verdana" w:hAnsi="Verdana"/>
          <w:b/>
          <w:sz w:val="20"/>
          <w:szCs w:val="20"/>
        </w:rPr>
        <w:t>Social Security, Benefits Adjustment, Benefits, Income Tax, Tax Credit, Indexation. </w:t>
      </w:r>
    </w:p>
    <w:sectPr w:rsidR="00F829F6" w:rsidRPr="00393429" w:rsidSect="00865736">
      <w:headerReference w:type="even" r:id="rId13"/>
      <w:headerReference w:type="first" r:id="rId14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C61B" w14:textId="77777777" w:rsidR="008B59AF" w:rsidRDefault="008B59AF" w:rsidP="008B6195">
      <w:r>
        <w:separator/>
      </w:r>
    </w:p>
  </w:endnote>
  <w:endnote w:type="continuationSeparator" w:id="0">
    <w:p w14:paraId="33A53F1D" w14:textId="77777777" w:rsidR="008B59AF" w:rsidRDefault="008B59AF" w:rsidP="008B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BE24" w14:textId="77777777" w:rsidR="008B59AF" w:rsidRDefault="008B59AF" w:rsidP="008B6195">
      <w:r>
        <w:separator/>
      </w:r>
    </w:p>
  </w:footnote>
  <w:footnote w:type="continuationSeparator" w:id="0">
    <w:p w14:paraId="1A6380ED" w14:textId="77777777" w:rsidR="008B59AF" w:rsidRDefault="008B59AF" w:rsidP="008B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A58D" w14:textId="086BAD5D" w:rsidR="00593D8C" w:rsidRDefault="008B61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E68BEC" wp14:editId="4403B8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6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307A1" w14:textId="65487B49" w:rsidR="008B6195" w:rsidRPr="008B6195" w:rsidRDefault="008B6195" w:rsidP="008B619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619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68B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E0307A1" w14:textId="65487B49" w:rsidR="008B6195" w:rsidRPr="008B6195" w:rsidRDefault="008B6195" w:rsidP="008B619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619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BAC1" w14:textId="65B2CE24" w:rsidR="00593D8C" w:rsidRDefault="008B61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B288D" wp14:editId="765BDD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5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ED7BD" w14:textId="16575151" w:rsidR="008B6195" w:rsidRPr="008B6195" w:rsidRDefault="008B6195" w:rsidP="008B619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6195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B288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B6ED7BD" w14:textId="16575151" w:rsidR="008B6195" w:rsidRPr="008B6195" w:rsidRDefault="008B6195" w:rsidP="008B6195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6195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7DD3A2B"/>
    <w:multiLevelType w:val="hybridMultilevel"/>
    <w:tmpl w:val="7A5C92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90915078">
    <w:abstractNumId w:val="18"/>
  </w:num>
  <w:num w:numId="2" w16cid:durableId="150217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211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336939">
    <w:abstractNumId w:val="16"/>
  </w:num>
  <w:num w:numId="5" w16cid:durableId="1200554073">
    <w:abstractNumId w:val="9"/>
  </w:num>
  <w:num w:numId="6" w16cid:durableId="2067875950">
    <w:abstractNumId w:val="7"/>
  </w:num>
  <w:num w:numId="7" w16cid:durableId="824128638">
    <w:abstractNumId w:val="24"/>
  </w:num>
  <w:num w:numId="8" w16cid:durableId="944036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1861239">
    <w:abstractNumId w:val="9"/>
  </w:num>
  <w:num w:numId="10" w16cid:durableId="1446996291">
    <w:abstractNumId w:val="12"/>
  </w:num>
  <w:num w:numId="11" w16cid:durableId="801969001">
    <w:abstractNumId w:val="12"/>
  </w:num>
  <w:num w:numId="12" w16cid:durableId="216477580">
    <w:abstractNumId w:val="9"/>
  </w:num>
  <w:num w:numId="13" w16cid:durableId="1213273550">
    <w:abstractNumId w:val="10"/>
  </w:num>
  <w:num w:numId="14" w16cid:durableId="457384621">
    <w:abstractNumId w:val="21"/>
  </w:num>
  <w:num w:numId="15" w16cid:durableId="641888790">
    <w:abstractNumId w:val="14"/>
  </w:num>
  <w:num w:numId="16" w16cid:durableId="514925951">
    <w:abstractNumId w:val="6"/>
  </w:num>
  <w:num w:numId="17" w16cid:durableId="749498908">
    <w:abstractNumId w:val="5"/>
  </w:num>
  <w:num w:numId="18" w16cid:durableId="1795323282">
    <w:abstractNumId w:val="4"/>
  </w:num>
  <w:num w:numId="19" w16cid:durableId="1507357597">
    <w:abstractNumId w:val="8"/>
  </w:num>
  <w:num w:numId="20" w16cid:durableId="1358892952">
    <w:abstractNumId w:val="3"/>
  </w:num>
  <w:num w:numId="21" w16cid:durableId="1189104104">
    <w:abstractNumId w:val="2"/>
  </w:num>
  <w:num w:numId="22" w16cid:durableId="659697404">
    <w:abstractNumId w:val="1"/>
  </w:num>
  <w:num w:numId="23" w16cid:durableId="778529946">
    <w:abstractNumId w:val="0"/>
  </w:num>
  <w:num w:numId="24" w16cid:durableId="1547063248">
    <w:abstractNumId w:val="17"/>
  </w:num>
  <w:num w:numId="25" w16cid:durableId="515311696">
    <w:abstractNumId w:val="26"/>
  </w:num>
  <w:num w:numId="26" w16cid:durableId="188226042">
    <w:abstractNumId w:val="28"/>
  </w:num>
  <w:num w:numId="27" w16cid:durableId="806319989">
    <w:abstractNumId w:val="25"/>
  </w:num>
  <w:num w:numId="28" w16cid:durableId="2061175110">
    <w:abstractNumId w:val="19"/>
  </w:num>
  <w:num w:numId="29" w16cid:durableId="997414933">
    <w:abstractNumId w:val="11"/>
  </w:num>
  <w:num w:numId="30" w16cid:durableId="1739594980">
    <w:abstractNumId w:val="20"/>
  </w:num>
  <w:num w:numId="31" w16cid:durableId="1111241870">
    <w:abstractNumId w:val="29"/>
  </w:num>
  <w:num w:numId="32" w16cid:durableId="1585528287">
    <w:abstractNumId w:val="22"/>
  </w:num>
  <w:num w:numId="33" w16cid:durableId="516192532">
    <w:abstractNumId w:val="27"/>
  </w:num>
  <w:num w:numId="34" w16cid:durableId="1165170405">
    <w:abstractNumId w:val="13"/>
  </w:num>
  <w:num w:numId="35" w16cid:durableId="706100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95"/>
    <w:rsid w:val="00000B4C"/>
    <w:rsid w:val="00005BBE"/>
    <w:rsid w:val="000106D0"/>
    <w:rsid w:val="000236D4"/>
    <w:rsid w:val="00034336"/>
    <w:rsid w:val="00037CB0"/>
    <w:rsid w:val="00080FEB"/>
    <w:rsid w:val="000A576B"/>
    <w:rsid w:val="000E3BB9"/>
    <w:rsid w:val="00106AED"/>
    <w:rsid w:val="001B034E"/>
    <w:rsid w:val="001B6E8A"/>
    <w:rsid w:val="001C0D44"/>
    <w:rsid w:val="001D3744"/>
    <w:rsid w:val="001F0FF4"/>
    <w:rsid w:val="00213DA6"/>
    <w:rsid w:val="00216302"/>
    <w:rsid w:val="00236D2D"/>
    <w:rsid w:val="00245A2B"/>
    <w:rsid w:val="002A5854"/>
    <w:rsid w:val="002D1C62"/>
    <w:rsid w:val="002D367B"/>
    <w:rsid w:val="0030229F"/>
    <w:rsid w:val="00313F5C"/>
    <w:rsid w:val="00354EC2"/>
    <w:rsid w:val="00364176"/>
    <w:rsid w:val="00393429"/>
    <w:rsid w:val="00397220"/>
    <w:rsid w:val="003B0A38"/>
    <w:rsid w:val="003E2869"/>
    <w:rsid w:val="003E3722"/>
    <w:rsid w:val="004227ED"/>
    <w:rsid w:val="00445BCE"/>
    <w:rsid w:val="00454F25"/>
    <w:rsid w:val="00455E6B"/>
    <w:rsid w:val="004710B8"/>
    <w:rsid w:val="00485589"/>
    <w:rsid w:val="004A2164"/>
    <w:rsid w:val="004A4ECB"/>
    <w:rsid w:val="00533E65"/>
    <w:rsid w:val="0056681E"/>
    <w:rsid w:val="00572AA9"/>
    <w:rsid w:val="0059272A"/>
    <w:rsid w:val="00595906"/>
    <w:rsid w:val="005B11F9"/>
    <w:rsid w:val="00631D73"/>
    <w:rsid w:val="006A3A85"/>
    <w:rsid w:val="006B19BD"/>
    <w:rsid w:val="006C1DCC"/>
    <w:rsid w:val="007B201A"/>
    <w:rsid w:val="007B4848"/>
    <w:rsid w:val="007C18C0"/>
    <w:rsid w:val="007C2143"/>
    <w:rsid w:val="007F3ACD"/>
    <w:rsid w:val="0080133F"/>
    <w:rsid w:val="008014E4"/>
    <w:rsid w:val="0080498F"/>
    <w:rsid w:val="00860654"/>
    <w:rsid w:val="0087672A"/>
    <w:rsid w:val="008B59AF"/>
    <w:rsid w:val="008B6195"/>
    <w:rsid w:val="00903467"/>
    <w:rsid w:val="00906EAA"/>
    <w:rsid w:val="009107BD"/>
    <w:rsid w:val="009230C9"/>
    <w:rsid w:val="00952BBC"/>
    <w:rsid w:val="00970DD2"/>
    <w:rsid w:val="0099386E"/>
    <w:rsid w:val="00994989"/>
    <w:rsid w:val="009A447E"/>
    <w:rsid w:val="009C2ADD"/>
    <w:rsid w:val="009D15F1"/>
    <w:rsid w:val="009D2B10"/>
    <w:rsid w:val="00A2199C"/>
    <w:rsid w:val="00A43896"/>
    <w:rsid w:val="00A61ECA"/>
    <w:rsid w:val="00A6244E"/>
    <w:rsid w:val="00AA6AF5"/>
    <w:rsid w:val="00AB37BB"/>
    <w:rsid w:val="00B41635"/>
    <w:rsid w:val="00B47156"/>
    <w:rsid w:val="00B5357A"/>
    <w:rsid w:val="00C12F4B"/>
    <w:rsid w:val="00C503A7"/>
    <w:rsid w:val="00C51362"/>
    <w:rsid w:val="00C5215F"/>
    <w:rsid w:val="00CB4A28"/>
    <w:rsid w:val="00D226A5"/>
    <w:rsid w:val="00D34EA0"/>
    <w:rsid w:val="00D438C5"/>
    <w:rsid w:val="00D90D62"/>
    <w:rsid w:val="00DA4C72"/>
    <w:rsid w:val="00DD45FA"/>
    <w:rsid w:val="00DD6907"/>
    <w:rsid w:val="00DD7526"/>
    <w:rsid w:val="00E13EC9"/>
    <w:rsid w:val="00E671C3"/>
    <w:rsid w:val="00E90142"/>
    <w:rsid w:val="00E9269E"/>
    <w:rsid w:val="00F06EE8"/>
    <w:rsid w:val="00F07349"/>
    <w:rsid w:val="00F113EF"/>
    <w:rsid w:val="00F126F3"/>
    <w:rsid w:val="00F22AE5"/>
    <w:rsid w:val="00F50BC2"/>
    <w:rsid w:val="00F829C0"/>
    <w:rsid w:val="00F829F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445B9"/>
  <w15:chartTrackingRefBased/>
  <w15:docId w15:val="{75C0052C-4B80-43BA-8DB9-D0726F61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95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0A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  <w:rPr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8B6195"/>
    <w:rPr>
      <w:color w:val="0000FF" w:themeColor="hyperlink"/>
      <w:u w:val="single"/>
    </w:rPr>
  </w:style>
  <w:style w:type="paragraph" w:customStyle="1" w:styleId="TemplateSubtitle">
    <w:name w:val="_Template Subtitle"/>
    <w:basedOn w:val="Normal"/>
    <w:link w:val="TemplateSubtitleChar"/>
    <w:semiHidden/>
    <w:rsid w:val="008B6195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8B6195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8B6195"/>
    <w:rPr>
      <w:rFonts w:ascii="Verdana" w:eastAsia="Times New Roman" w:hAnsi="Verdana" w:cs="Calibri"/>
      <w:b/>
      <w:color w:val="000000"/>
      <w:lang w:eastAsia="en-NZ"/>
    </w:rPr>
  </w:style>
  <w:style w:type="paragraph" w:customStyle="1" w:styleId="LogoStyle">
    <w:name w:val="Logo Style"/>
    <w:basedOn w:val="Normal"/>
    <w:semiHidden/>
    <w:rsid w:val="008B6195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8B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95"/>
    <w:rPr>
      <w:rFonts w:eastAsia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6D4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6D4"/>
    <w:rPr>
      <w:rFonts w:ascii="Verdana" w:eastAsiaTheme="minorHAnsi" w:hAnsi="Verdana" w:cs="Arial"/>
      <w:b/>
      <w:bCs/>
    </w:rPr>
  </w:style>
  <w:style w:type="paragraph" w:styleId="Revision">
    <w:name w:val="Revision"/>
    <w:hidden/>
    <w:uiPriority w:val="99"/>
    <w:semiHidden/>
    <w:rsid w:val="0087672A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9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govt.nz/bill/government/2024/0014/latest/whol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closure.legislation.govt.nz/bill/government/2024/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asury.govt.nz/publications/risa/supplementary-analysis-report-indexing-main-benefits-inflatio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2223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Forde</dc:creator>
  <cp:keywords/>
  <dc:description/>
  <cp:lastModifiedBy>Carolyn Vasta</cp:lastModifiedBy>
  <cp:revision>6</cp:revision>
  <dcterms:created xsi:type="dcterms:W3CDTF">2024-03-03T20:40:00Z</dcterms:created>
  <dcterms:modified xsi:type="dcterms:W3CDTF">2024-03-04T22:22:00Z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2024-02-19T20:06:06Z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53cd808e-e499-4995-bbc5-12748639bb74</vt:lpwstr>
  </property>
  <property fmtid="{D5CDD505-2E9C-101B-9397-08002B2CF9AE}" pid="11" name="MSIP_Label_f43e46a9-9901-46e9-bfae-bb6189d4cb66_ContentBits">
    <vt:lpwstr>1</vt:lpwstr>
  </property>
</Properties>
</file>