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28A2E10D" w:rsidR="00FC072D" w:rsidRPr="00F116F3" w:rsidRDefault="00FF1C15" w:rsidP="00777027">
      <w:pPr>
        <w:pStyle w:val="Heading1"/>
        <w:spacing w:before="240" w:after="240"/>
      </w:pPr>
      <w:r>
        <w:t xml:space="preserve">Exempting the </w:t>
      </w:r>
      <w:proofErr w:type="gramStart"/>
      <w:r>
        <w:t>Cost of Living</w:t>
      </w:r>
      <w:proofErr w:type="gramEnd"/>
      <w:r>
        <w:t xml:space="preserve"> payment from being considered income or a cash asset for welfare support</w:t>
      </w:r>
    </w:p>
    <w:p w14:paraId="42B7D235" w14:textId="17DD21EE" w:rsidR="00412144" w:rsidRPr="002A3F32" w:rsidRDefault="00FF1C15" w:rsidP="00412144">
      <w:pPr>
        <w:pStyle w:val="NormalWeb"/>
        <w:shd w:val="clear" w:color="auto" w:fill="FFFFFF"/>
        <w:spacing w:after="210"/>
        <w:rPr>
          <w:rFonts w:cs="Helvetica"/>
          <w:b/>
          <w:color w:val="333333"/>
          <w:sz w:val="22"/>
          <w:szCs w:val="22"/>
        </w:rPr>
      </w:pPr>
      <w:r>
        <w:rPr>
          <w:rFonts w:cs="Helvetica"/>
          <w:b/>
          <w:color w:val="333333"/>
          <w:sz w:val="22"/>
          <w:szCs w:val="22"/>
        </w:rPr>
        <w:t xml:space="preserve">Hon Carmel Sepuloni, Minister for Social Development and Employment </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7D265AA9" w:rsidR="00865736" w:rsidRPr="00B8600F" w:rsidRDefault="00FF1C15" w:rsidP="00B8600F">
      <w:pPr>
        <w:spacing w:after="120"/>
        <w:rPr>
          <w:rFonts w:ascii="Verdana" w:hAnsi="Verdana"/>
          <w:i/>
          <w:sz w:val="20"/>
          <w:szCs w:val="20"/>
        </w:rPr>
      </w:pPr>
      <w:r>
        <w:rPr>
          <w:rFonts w:ascii="Verdana" w:hAnsi="Verdana"/>
          <w:i/>
          <w:sz w:val="20"/>
          <w:szCs w:val="20"/>
        </w:rPr>
        <w:t>9 June 2022</w:t>
      </w:r>
      <w:r w:rsidR="00865736" w:rsidRPr="00B8600F">
        <w:rPr>
          <w:rFonts w:ascii="Verdana" w:hAnsi="Verdana"/>
          <w:i/>
          <w:sz w:val="20"/>
          <w:szCs w:val="20"/>
        </w:rPr>
        <w:t>, Cabinet paper</w:t>
      </w:r>
      <w:r w:rsidR="00B8600F">
        <w:rPr>
          <w:rFonts w:ascii="Verdana" w:hAnsi="Verdana"/>
          <w:i/>
          <w:sz w:val="20"/>
          <w:szCs w:val="20"/>
        </w:rPr>
        <w:t xml:space="preserve"> </w:t>
      </w:r>
      <w:r w:rsidR="00540A33">
        <w:rPr>
          <w:rFonts w:ascii="Verdana" w:hAnsi="Verdana"/>
          <w:i/>
          <w:sz w:val="20"/>
          <w:szCs w:val="20"/>
        </w:rPr>
        <w:t>–</w:t>
      </w:r>
      <w:r w:rsidR="00865736" w:rsidRPr="00B8600F">
        <w:rPr>
          <w:rFonts w:ascii="Verdana" w:hAnsi="Verdana"/>
          <w:i/>
          <w:sz w:val="20"/>
          <w:szCs w:val="20"/>
        </w:rPr>
        <w:t xml:space="preserve"> </w:t>
      </w:r>
      <w:r w:rsidR="00540A33">
        <w:rPr>
          <w:rFonts w:ascii="Verdana" w:hAnsi="Verdana"/>
          <w:i/>
          <w:sz w:val="20"/>
          <w:szCs w:val="20"/>
        </w:rPr>
        <w:t xml:space="preserve">Exempting the </w:t>
      </w:r>
      <w:proofErr w:type="gramStart"/>
      <w:r w:rsidR="00540A33">
        <w:rPr>
          <w:rFonts w:ascii="Verdana" w:hAnsi="Verdana"/>
          <w:i/>
          <w:sz w:val="20"/>
          <w:szCs w:val="20"/>
        </w:rPr>
        <w:t>Cost of Living</w:t>
      </w:r>
      <w:proofErr w:type="gramEnd"/>
      <w:r w:rsidR="00540A33">
        <w:rPr>
          <w:rFonts w:ascii="Verdana" w:hAnsi="Verdana"/>
          <w:i/>
          <w:sz w:val="20"/>
          <w:szCs w:val="20"/>
        </w:rPr>
        <w:t xml:space="preserve"> payment from being considered income or a cash asset for welfare support</w:t>
      </w:r>
    </w:p>
    <w:p w14:paraId="6E4DA4B3" w14:textId="689464EB" w:rsidR="00865736" w:rsidRPr="00B8600F" w:rsidRDefault="00FF1C15" w:rsidP="00B8600F">
      <w:pPr>
        <w:spacing w:after="120"/>
        <w:rPr>
          <w:rFonts w:ascii="Verdana" w:hAnsi="Verdana"/>
          <w:i/>
          <w:sz w:val="20"/>
          <w:szCs w:val="20"/>
        </w:rPr>
      </w:pPr>
      <w:r>
        <w:rPr>
          <w:rFonts w:ascii="Verdana" w:hAnsi="Verdana"/>
          <w:i/>
          <w:sz w:val="20"/>
          <w:szCs w:val="20"/>
        </w:rPr>
        <w:t>9 June 2022</w:t>
      </w:r>
      <w:r w:rsidR="00865736" w:rsidRPr="00B8600F">
        <w:rPr>
          <w:rFonts w:ascii="Verdana" w:hAnsi="Verdana"/>
          <w:i/>
          <w:sz w:val="20"/>
          <w:szCs w:val="20"/>
        </w:rPr>
        <w:t xml:space="preserve">, Cabinet </w:t>
      </w:r>
      <w:r w:rsidR="00540A33">
        <w:rPr>
          <w:rFonts w:ascii="Verdana" w:hAnsi="Verdana"/>
          <w:i/>
          <w:sz w:val="20"/>
          <w:szCs w:val="20"/>
        </w:rPr>
        <w:t>Legislation</w:t>
      </w:r>
      <w:r w:rsidR="00865736" w:rsidRPr="00B8600F">
        <w:rPr>
          <w:rFonts w:ascii="Verdana" w:hAnsi="Verdana"/>
          <w:i/>
          <w:sz w:val="20"/>
          <w:szCs w:val="20"/>
        </w:rPr>
        <w:t xml:space="preserve"> Committee Minute </w:t>
      </w:r>
      <w:r w:rsidR="00540A33">
        <w:rPr>
          <w:rFonts w:ascii="Verdana" w:hAnsi="Verdana"/>
          <w:i/>
          <w:sz w:val="20"/>
          <w:szCs w:val="20"/>
        </w:rPr>
        <w:t>LEG</w:t>
      </w:r>
      <w:r w:rsidR="00865736" w:rsidRPr="00B8600F">
        <w:rPr>
          <w:rFonts w:ascii="Verdana" w:hAnsi="Verdana"/>
          <w:i/>
          <w:sz w:val="20"/>
          <w:szCs w:val="20"/>
        </w:rPr>
        <w:t>-</w:t>
      </w:r>
      <w:r w:rsidR="00540A33">
        <w:rPr>
          <w:rFonts w:ascii="Verdana" w:hAnsi="Verdana"/>
          <w:i/>
          <w:sz w:val="20"/>
          <w:szCs w:val="20"/>
        </w:rPr>
        <w:t>22</w:t>
      </w:r>
      <w:r w:rsidR="00865736" w:rsidRPr="00B8600F">
        <w:rPr>
          <w:rFonts w:ascii="Verdana" w:hAnsi="Verdana"/>
          <w:i/>
          <w:sz w:val="20"/>
          <w:szCs w:val="20"/>
        </w:rPr>
        <w:t>-MIN-</w:t>
      </w:r>
      <w:r w:rsidR="00540A33">
        <w:rPr>
          <w:rFonts w:ascii="Verdana" w:hAnsi="Verdana"/>
          <w:i/>
          <w:sz w:val="20"/>
          <w:szCs w:val="20"/>
        </w:rPr>
        <w:t>0099</w:t>
      </w:r>
      <w:r w:rsidR="00777027">
        <w:rPr>
          <w:rFonts w:ascii="Verdana" w:hAnsi="Verdana"/>
          <w:i/>
          <w:sz w:val="20"/>
          <w:szCs w:val="20"/>
        </w:rPr>
        <w:t>, Cabinet Office</w:t>
      </w:r>
    </w:p>
    <w:p w14:paraId="33B45C84" w14:textId="40A903BB" w:rsidR="00865736" w:rsidRPr="00B8600F" w:rsidRDefault="00FF1C15" w:rsidP="00B8600F">
      <w:pPr>
        <w:spacing w:after="120"/>
        <w:rPr>
          <w:rFonts w:ascii="Verdana" w:hAnsi="Verdana"/>
          <w:i/>
          <w:sz w:val="20"/>
          <w:szCs w:val="20"/>
        </w:rPr>
      </w:pPr>
      <w:r>
        <w:rPr>
          <w:rFonts w:ascii="Verdana" w:hAnsi="Verdana"/>
          <w:i/>
          <w:sz w:val="20"/>
          <w:szCs w:val="20"/>
        </w:rPr>
        <w:t>13</w:t>
      </w:r>
      <w:r w:rsidR="00865736" w:rsidRPr="00B8600F">
        <w:rPr>
          <w:rFonts w:ascii="Verdana" w:hAnsi="Verdana"/>
          <w:i/>
          <w:sz w:val="20"/>
          <w:szCs w:val="20"/>
        </w:rPr>
        <w:t xml:space="preserve"> </w:t>
      </w:r>
      <w:r>
        <w:rPr>
          <w:rFonts w:ascii="Verdana" w:hAnsi="Verdana"/>
          <w:i/>
          <w:sz w:val="20"/>
          <w:szCs w:val="20"/>
        </w:rPr>
        <w:t>June 2022</w:t>
      </w:r>
      <w:r w:rsidR="00865736" w:rsidRPr="00B8600F">
        <w:rPr>
          <w:rFonts w:ascii="Verdana" w:hAnsi="Verdana"/>
          <w:i/>
          <w:sz w:val="20"/>
          <w:szCs w:val="20"/>
        </w:rPr>
        <w:t>, Cabinet Minute CAB-</w:t>
      </w:r>
      <w:r w:rsidR="001A2B63">
        <w:rPr>
          <w:rFonts w:ascii="Verdana" w:hAnsi="Verdana"/>
          <w:i/>
          <w:sz w:val="20"/>
          <w:szCs w:val="20"/>
        </w:rPr>
        <w:t>22</w:t>
      </w:r>
      <w:r w:rsidR="00865736" w:rsidRPr="00B8600F">
        <w:rPr>
          <w:rFonts w:ascii="Verdana" w:hAnsi="Verdana"/>
          <w:i/>
          <w:sz w:val="20"/>
          <w:szCs w:val="20"/>
        </w:rPr>
        <w:t>-MIN-</w:t>
      </w:r>
      <w:r w:rsidR="001A2B63">
        <w:rPr>
          <w:rFonts w:ascii="Verdana" w:hAnsi="Verdana"/>
          <w:i/>
          <w:sz w:val="20"/>
          <w:szCs w:val="20"/>
        </w:rPr>
        <w:t>0230</w:t>
      </w:r>
      <w:r w:rsidR="00777027">
        <w:rPr>
          <w:rFonts w:ascii="Verdana" w:hAnsi="Verdana"/>
          <w:i/>
          <w:sz w:val="20"/>
          <w:szCs w:val="20"/>
        </w:rPr>
        <w:t>, Cabinet Office.</w:t>
      </w:r>
      <w:r w:rsidR="00865736" w:rsidRPr="00B8600F">
        <w:rPr>
          <w:rFonts w:ascii="Verdana" w:hAnsi="Verdana"/>
          <w:i/>
          <w:sz w:val="20"/>
          <w:szCs w:val="20"/>
        </w:rPr>
        <w:t xml:space="preserve"> </w:t>
      </w:r>
    </w:p>
    <w:p w14:paraId="294E069A" w14:textId="77777777" w:rsidR="00B8600F" w:rsidRPr="00F014A1" w:rsidRDefault="00B8600F" w:rsidP="00B8600F">
      <w:pPr>
        <w:pStyle w:val="ListParagraph"/>
        <w:rPr>
          <w:rFonts w:ascii="Verdana" w:hAnsi="Verdana"/>
          <w:i/>
          <w:sz w:val="20"/>
          <w:szCs w:val="20"/>
        </w:rPr>
      </w:pPr>
    </w:p>
    <w:p w14:paraId="441EA13E" w14:textId="21613508" w:rsidR="0086411C" w:rsidRPr="00B8600F" w:rsidRDefault="0086411C" w:rsidP="00865736">
      <w:pPr>
        <w:pStyle w:val="NormalWeb"/>
        <w:shd w:val="clear" w:color="auto" w:fill="FFFFFF"/>
        <w:spacing w:after="210"/>
        <w:rPr>
          <w:rFonts w:cs="Helvetica"/>
          <w:szCs w:val="20"/>
        </w:rPr>
      </w:pPr>
      <w:r>
        <w:rPr>
          <w:rFonts w:cs="Helvetica"/>
          <w:szCs w:val="20"/>
        </w:rPr>
        <w:t xml:space="preserve">Amendments to the Social Security Regulations 2018 and the Student Allowances Regulations 1998 are required to exclude the </w:t>
      </w:r>
      <w:proofErr w:type="gramStart"/>
      <w:r>
        <w:rPr>
          <w:rFonts w:cs="Helvetica"/>
          <w:szCs w:val="20"/>
        </w:rPr>
        <w:t>Cost of Living</w:t>
      </w:r>
      <w:proofErr w:type="gramEnd"/>
      <w:r>
        <w:rPr>
          <w:rFonts w:cs="Helvetica"/>
          <w:szCs w:val="20"/>
        </w:rPr>
        <w:t xml:space="preserve"> payment from being considered income or a cash asset for welfare support to </w:t>
      </w:r>
      <w:r w:rsidR="002D6F8C">
        <w:rPr>
          <w:rFonts w:cs="Helvetica"/>
          <w:szCs w:val="20"/>
        </w:rPr>
        <w:t xml:space="preserve">ensure clients do not receive a reduction in other financial assistance. </w:t>
      </w:r>
    </w:p>
    <w:p w14:paraId="4B598AC2" w14:textId="11355598"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codes used for this release:</w:t>
      </w:r>
    </w:p>
    <w:p w14:paraId="5E0E6048" w14:textId="772BA228" w:rsidR="00865736" w:rsidRPr="002E4A34" w:rsidRDefault="00865736" w:rsidP="00865736">
      <w:pPr>
        <w:pStyle w:val="NormalWeb"/>
        <w:numPr>
          <w:ilvl w:val="0"/>
          <w:numId w:val="2"/>
        </w:numPr>
        <w:shd w:val="clear" w:color="auto" w:fill="FFFFFF"/>
        <w:tabs>
          <w:tab w:val="left" w:pos="2694"/>
        </w:tabs>
        <w:spacing w:after="0" w:line="240" w:lineRule="auto"/>
        <w:ind w:left="714" w:hanging="357"/>
      </w:pPr>
      <w:r w:rsidRPr="002E4A34">
        <w:rPr>
          <w:rFonts w:cs="Helvetica"/>
          <w:szCs w:val="20"/>
        </w:rPr>
        <w:t>Out of scop</w:t>
      </w:r>
      <w:r>
        <w:rPr>
          <w:rFonts w:cs="Helvetica"/>
          <w:szCs w:val="20"/>
        </w:rPr>
        <w:t xml:space="preserve">e </w:t>
      </w:r>
      <w:r w:rsidRPr="002E4A34">
        <w:rPr>
          <w:rFonts w:cs="Helvetica"/>
          <w:szCs w:val="20"/>
        </w:rPr>
        <w:t xml:space="preserve">– material unrelated to the information released. </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AB4C88"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170C9B30"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2D6F8C">
        <w:rPr>
          <w:rFonts w:ascii="Verdana" w:hAnsi="Verdana"/>
          <w:b/>
          <w:sz w:val="20"/>
          <w:szCs w:val="20"/>
        </w:rPr>
        <w:t>Cost of Living, Student Allowance, student support</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6417" w14:textId="77777777" w:rsidR="00AB4C88" w:rsidRDefault="00AB4C88" w:rsidP="00742F0A">
      <w:r>
        <w:separator/>
      </w:r>
    </w:p>
  </w:endnote>
  <w:endnote w:type="continuationSeparator" w:id="0">
    <w:p w14:paraId="261D9822" w14:textId="77777777" w:rsidR="00AB4C88" w:rsidRDefault="00AB4C88"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4FD5" w14:textId="77777777" w:rsidR="00AB4C88" w:rsidRDefault="00AB4C88" w:rsidP="00742F0A">
      <w:r>
        <w:separator/>
      </w:r>
    </w:p>
  </w:footnote>
  <w:footnote w:type="continuationSeparator" w:id="0">
    <w:p w14:paraId="0C742E68" w14:textId="77777777" w:rsidR="00AB4C88" w:rsidRDefault="00AB4C88"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93FDA"/>
    <w:rsid w:val="000E6A5B"/>
    <w:rsid w:val="001642BD"/>
    <w:rsid w:val="00185AC5"/>
    <w:rsid w:val="001A2B63"/>
    <w:rsid w:val="00202D7B"/>
    <w:rsid w:val="002A3F32"/>
    <w:rsid w:val="002D6F8C"/>
    <w:rsid w:val="00412144"/>
    <w:rsid w:val="004512E3"/>
    <w:rsid w:val="004B7DCA"/>
    <w:rsid w:val="004D6B3F"/>
    <w:rsid w:val="0052783C"/>
    <w:rsid w:val="00532547"/>
    <w:rsid w:val="00540A33"/>
    <w:rsid w:val="005B375E"/>
    <w:rsid w:val="00623CE9"/>
    <w:rsid w:val="006B2F47"/>
    <w:rsid w:val="00713AE5"/>
    <w:rsid w:val="00742F0A"/>
    <w:rsid w:val="00777027"/>
    <w:rsid w:val="007F117E"/>
    <w:rsid w:val="007F4FAE"/>
    <w:rsid w:val="0086411C"/>
    <w:rsid w:val="00865736"/>
    <w:rsid w:val="009652CA"/>
    <w:rsid w:val="00A05C31"/>
    <w:rsid w:val="00AB4C88"/>
    <w:rsid w:val="00B01C70"/>
    <w:rsid w:val="00B8600F"/>
    <w:rsid w:val="00BC05D2"/>
    <w:rsid w:val="00C82047"/>
    <w:rsid w:val="00D31EE8"/>
    <w:rsid w:val="00F744AA"/>
    <w:rsid w:val="00FC072D"/>
    <w:rsid w:val="00FF1C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540A33"/>
    <w:rPr>
      <w:sz w:val="16"/>
      <w:szCs w:val="16"/>
    </w:rPr>
  </w:style>
  <w:style w:type="paragraph" w:styleId="CommentText">
    <w:name w:val="annotation text"/>
    <w:basedOn w:val="Normal"/>
    <w:link w:val="CommentTextChar"/>
    <w:uiPriority w:val="99"/>
    <w:semiHidden/>
    <w:unhideWhenUsed/>
    <w:rsid w:val="00540A33"/>
    <w:rPr>
      <w:sz w:val="20"/>
      <w:szCs w:val="20"/>
    </w:rPr>
  </w:style>
  <w:style w:type="character" w:customStyle="1" w:styleId="CommentTextChar">
    <w:name w:val="Comment Text Char"/>
    <w:basedOn w:val="DefaultParagraphFont"/>
    <w:link w:val="CommentText"/>
    <w:uiPriority w:val="99"/>
    <w:semiHidden/>
    <w:rsid w:val="00540A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0A33"/>
    <w:rPr>
      <w:b/>
      <w:bCs/>
    </w:rPr>
  </w:style>
  <w:style w:type="character" w:customStyle="1" w:styleId="CommentSubjectChar">
    <w:name w:val="Comment Subject Char"/>
    <w:basedOn w:val="CommentTextChar"/>
    <w:link w:val="CommentSubject"/>
    <w:uiPriority w:val="99"/>
    <w:semiHidden/>
    <w:rsid w:val="00540A3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Kahu Te Kani</cp:lastModifiedBy>
  <cp:revision>2</cp:revision>
  <cp:lastPrinted>2019-04-05T01:22:00Z</cp:lastPrinted>
  <dcterms:created xsi:type="dcterms:W3CDTF">2022-06-28T23:22:00Z</dcterms:created>
  <dcterms:modified xsi:type="dcterms:W3CDTF">2022-06-28T23:22:00Z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