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B1D" w:rsidRPr="00662131" w:rsidRDefault="00523ABC" w:rsidP="00C35B1D">
      <w:r w:rsidRPr="00CE4B2D">
        <w:rPr>
          <w:noProof/>
          <w:sz w:val="72"/>
          <w:szCs w:val="72"/>
          <w:lang w:eastAsia="en-NZ"/>
        </w:rPr>
        <w:drawing>
          <wp:anchor distT="0" distB="0" distL="114300" distR="114300" simplePos="0" relativeHeight="251660288" behindDoc="0" locked="0" layoutInCell="1" allowOverlap="1" wp14:anchorId="23D40445" wp14:editId="17B499BE">
            <wp:simplePos x="0" y="0"/>
            <wp:positionH relativeFrom="column">
              <wp:posOffset>-108585</wp:posOffset>
            </wp:positionH>
            <wp:positionV relativeFrom="paragraph">
              <wp:posOffset>-89535</wp:posOffset>
            </wp:positionV>
            <wp:extent cx="3007360" cy="695325"/>
            <wp:effectExtent l="0" t="0" r="2540" b="9525"/>
            <wp:wrapNone/>
            <wp:docPr id="7" name="Picture 7" descr="\\corp.ssi.govt.nz\usersm\mjohn034\Desktop\MSD Branding\MSD Logos\MSD_30mmBELOW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ssi.govt.nz\usersm\mjohn034\Desktop\MSD Branding\MSD Logos\MSD_30mmBELOW_WHIT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736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35B1D">
        <w:t xml:space="preserve"> </w:t>
      </w:r>
      <w:r w:rsidR="00C35B1D" w:rsidRPr="00662131">
        <w:rPr>
          <w:noProof/>
          <w:lang w:eastAsia="en-NZ"/>
        </w:rPr>
        <w:drawing>
          <wp:anchor distT="0" distB="0" distL="114300" distR="114300" simplePos="0" relativeHeight="251663360" behindDoc="0" locked="0" layoutInCell="1" allowOverlap="1" wp14:anchorId="067ADD3A" wp14:editId="3285AD53">
            <wp:simplePos x="0" y="0"/>
            <wp:positionH relativeFrom="page">
              <wp:posOffset>730250</wp:posOffset>
            </wp:positionH>
            <wp:positionV relativeFrom="page">
              <wp:posOffset>671830</wp:posOffset>
            </wp:positionV>
            <wp:extent cx="3005455" cy="701675"/>
            <wp:effectExtent l="0" t="0" r="4445" b="3175"/>
            <wp:wrapNone/>
            <wp:docPr id="6" name="Picture 6" descr="\\corp.ssi.govt.nz\usersm\mjohn034\Desktop\MSD Branding\MSD Logos\MSD_30mmBELO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p.ssi.govt.nz\usersm\mjohn034\Desktop\MSD Branding\MSD Logos\MSD_30mmBELOW_RGB.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723" t="13514" r="3990" b="13513"/>
                    <a:stretch/>
                  </pic:blipFill>
                  <pic:spPr bwMode="auto">
                    <a:xfrm>
                      <a:off x="0" y="0"/>
                      <a:ext cx="3005455" cy="701675"/>
                    </a:xfrm>
                    <a:prstGeom prst="rect">
                      <a:avLst/>
                    </a:prstGeom>
                    <a:noFill/>
                    <a:ln>
                      <a:noFill/>
                    </a:ln>
                    <a:extLst>
                      <a:ext uri="{53640926-AAD7-44D8-BBD7-CCE9431645EC}">
                        <a14:shadowObscured xmlns:a14="http://schemas.microsoft.com/office/drawing/2010/main"/>
                      </a:ext>
                    </a:extLst>
                  </pic:spPr>
                </pic:pic>
              </a:graphicData>
            </a:graphic>
          </wp:anchor>
        </w:drawing>
      </w:r>
    </w:p>
    <w:p w:rsidR="00C35B1D" w:rsidRPr="00662131" w:rsidRDefault="00C35B1D" w:rsidP="00C35B1D">
      <w:pPr>
        <w:spacing w:before="60" w:after="60"/>
      </w:pPr>
    </w:p>
    <w:p w:rsidR="00C35B1D" w:rsidRPr="00662131" w:rsidRDefault="00C35B1D" w:rsidP="00C35B1D">
      <w:pPr>
        <w:spacing w:before="60" w:after="60"/>
      </w:pPr>
    </w:p>
    <w:p w:rsidR="00C35B1D" w:rsidRPr="00662131" w:rsidRDefault="00C35B1D" w:rsidP="00C35B1D">
      <w:pPr>
        <w:spacing w:before="60" w:after="60"/>
      </w:pPr>
    </w:p>
    <w:p w:rsidR="00C35B1D" w:rsidRPr="00C2783B" w:rsidRDefault="00C35B1D" w:rsidP="00C2783B">
      <w:pPr>
        <w:tabs>
          <w:tab w:val="left" w:pos="9026"/>
        </w:tabs>
        <w:spacing w:before="7560" w:after="0" w:line="760" w:lineRule="atLeast"/>
        <w:ind w:right="-754"/>
        <w:rPr>
          <w:rFonts w:ascii="Georgia" w:hAnsi="Georgia"/>
          <w:b/>
          <w:noProof/>
          <w:color w:val="FFFFFF" w:themeColor="background1"/>
          <w:sz w:val="54"/>
          <w:szCs w:val="54"/>
          <w:lang w:eastAsia="en-NZ"/>
        </w:rPr>
      </w:pPr>
      <w:r w:rsidRPr="00C2783B">
        <w:rPr>
          <w:rFonts w:ascii="Georgia" w:hAnsi="Georgia"/>
          <w:b/>
          <w:noProof/>
          <w:color w:val="FFFFFF" w:themeColor="background1"/>
          <w:sz w:val="54"/>
          <w:szCs w:val="54"/>
          <w:lang w:eastAsia="en-NZ"/>
        </w:rPr>
        <w:drawing>
          <wp:anchor distT="0" distB="0" distL="114300" distR="114300" simplePos="0" relativeHeight="251664384" behindDoc="1" locked="0" layoutInCell="1" allowOverlap="1" wp14:anchorId="2674DDAF" wp14:editId="6C69397F">
            <wp:simplePos x="0" y="0"/>
            <wp:positionH relativeFrom="column">
              <wp:posOffset>-962025</wp:posOffset>
            </wp:positionH>
            <wp:positionV relativeFrom="paragraph">
              <wp:posOffset>3441797</wp:posOffset>
            </wp:positionV>
            <wp:extent cx="7620000" cy="41358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1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9597" cy="4141081"/>
                    </a:xfrm>
                    <a:prstGeom prst="rect">
                      <a:avLst/>
                    </a:prstGeom>
                  </pic:spPr>
                </pic:pic>
              </a:graphicData>
            </a:graphic>
            <wp14:sizeRelH relativeFrom="page">
              <wp14:pctWidth>0</wp14:pctWidth>
            </wp14:sizeRelH>
            <wp14:sizeRelV relativeFrom="page">
              <wp14:pctHeight>0</wp14:pctHeight>
            </wp14:sizeRelV>
          </wp:anchor>
        </w:drawing>
      </w:r>
      <w:r w:rsidR="00C2783B" w:rsidRPr="00C2783B">
        <w:rPr>
          <w:rFonts w:ascii="Georgia" w:hAnsi="Georgia"/>
          <w:b/>
          <w:noProof/>
          <w:color w:val="FFFFFF" w:themeColor="background1"/>
          <w:sz w:val="54"/>
          <w:szCs w:val="54"/>
          <w:lang w:eastAsia="en-NZ"/>
        </w:rPr>
        <w:t>Effectiveness of driver licensing programmes funded by the Ministry of Social Development</w:t>
      </w:r>
    </w:p>
    <w:p w:rsidR="00C35B1D" w:rsidRPr="002F3A0B" w:rsidRDefault="00C35B1D" w:rsidP="00C35B1D">
      <w:pPr>
        <w:pStyle w:val="Report2"/>
        <w:rPr>
          <w:sz w:val="32"/>
          <w:szCs w:val="32"/>
        </w:rPr>
      </w:pPr>
      <w:r>
        <w:rPr>
          <w:sz w:val="32"/>
          <w:szCs w:val="32"/>
        </w:rPr>
        <w:t>Evaluation report</w:t>
      </w:r>
    </w:p>
    <w:p w:rsidR="00C35B1D" w:rsidRPr="00662131" w:rsidRDefault="00C35B1D" w:rsidP="007829D3">
      <w:pPr>
        <w:spacing w:before="840" w:after="0" w:line="760" w:lineRule="atLeast"/>
        <w:ind w:right="-1038"/>
        <w:rPr>
          <w:rFonts w:ascii="Georgia" w:hAnsi="Georgia"/>
          <w:b/>
          <w:noProof/>
          <w:color w:val="121F6B"/>
          <w:sz w:val="56"/>
          <w:lang w:eastAsia="en-NZ"/>
        </w:rPr>
      </w:pPr>
      <w:r>
        <w:rPr>
          <w:rFonts w:eastAsiaTheme="majorEastAsia"/>
          <w:b/>
          <w:bCs/>
          <w:noProof/>
          <w:color w:val="121F6B"/>
          <w:sz w:val="24"/>
          <w:szCs w:val="22"/>
          <w:lang w:eastAsia="en-AU"/>
        </w:rPr>
        <w:t>August 2018</w:t>
      </w:r>
      <w:r w:rsidRPr="00662131">
        <w:rPr>
          <w:rFonts w:ascii="Georgia" w:hAnsi="Georgia"/>
          <w:b/>
          <w:noProof/>
          <w:color w:val="121F6B"/>
          <w:sz w:val="56"/>
          <w:lang w:eastAsia="en-NZ"/>
        </w:rPr>
        <w:br w:type="page"/>
      </w:r>
    </w:p>
    <w:p w:rsidR="00523ABC" w:rsidRPr="00C2783B" w:rsidRDefault="00523ABC" w:rsidP="00C2783B">
      <w:pPr>
        <w:pStyle w:val="Info1"/>
        <w:spacing w:before="0"/>
        <w:rPr>
          <w:sz w:val="20"/>
        </w:rPr>
      </w:pPr>
      <w:r w:rsidRPr="00C2783B">
        <w:rPr>
          <w:sz w:val="20"/>
        </w:rPr>
        <w:lastRenderedPageBreak/>
        <w:t>Author</w:t>
      </w:r>
    </w:p>
    <w:p w:rsidR="00C2783B" w:rsidRPr="00C2783B" w:rsidRDefault="00C2783B" w:rsidP="00C2783B">
      <w:pPr>
        <w:spacing w:after="0"/>
      </w:pPr>
      <w:r w:rsidRPr="00C2783B">
        <w:t>Bryan Ku, Analyst, Ministry of Social Development</w:t>
      </w:r>
    </w:p>
    <w:p w:rsidR="00C2783B" w:rsidRPr="00C2783B" w:rsidRDefault="00C2783B" w:rsidP="00C2783B">
      <w:r w:rsidRPr="00C2783B">
        <w:t>Marc de Boer, Principal Analyst, Ministry of Social Development</w:t>
      </w:r>
    </w:p>
    <w:p w:rsidR="00523ABC" w:rsidRPr="00C2783B" w:rsidRDefault="00523ABC" w:rsidP="00523ABC">
      <w:pPr>
        <w:pStyle w:val="Info2"/>
        <w:rPr>
          <w:sz w:val="20"/>
        </w:rPr>
      </w:pPr>
      <w:r w:rsidRPr="00C2783B">
        <w:rPr>
          <w:sz w:val="20"/>
        </w:rPr>
        <w:t>Acknowledgements</w:t>
      </w:r>
    </w:p>
    <w:p w:rsidR="00C2783B" w:rsidRPr="00C2783B" w:rsidRDefault="00C2783B" w:rsidP="00C2783B">
      <w:r w:rsidRPr="00C2783B">
        <w:t xml:space="preserve">Carolyn Fyfe from the New Zealand Transport Agency, and Karin Henshaw, Sarah Stacy-Baynes, Nicole </w:t>
      </w:r>
      <w:proofErr w:type="spellStart"/>
      <w:r w:rsidRPr="00C2783B">
        <w:t>Herdina</w:t>
      </w:r>
      <w:proofErr w:type="spellEnd"/>
      <w:r w:rsidRPr="00C2783B">
        <w:t>, Kerrie O’Hara Pepper, Chris O’Grady and Michelle Bly from THE Ministry of Social Development.</w:t>
      </w:r>
    </w:p>
    <w:p w:rsidR="00C2783B" w:rsidRPr="00C2783B" w:rsidRDefault="00C2783B" w:rsidP="00C2783B">
      <w:pPr>
        <w:rPr>
          <w:b/>
        </w:rPr>
      </w:pPr>
      <w:r w:rsidRPr="00C2783B">
        <w:rPr>
          <w:b/>
        </w:rPr>
        <w:t>Statistics New Zealand IDI disclaimer</w:t>
      </w:r>
    </w:p>
    <w:p w:rsidR="00C2783B" w:rsidRPr="00C2783B" w:rsidRDefault="00C2783B" w:rsidP="00C2783B">
      <w:pPr>
        <w:rPr>
          <w:lang w:eastAsia="en-AU"/>
        </w:rPr>
      </w:pPr>
      <w:r w:rsidRPr="00C2783B">
        <w:rPr>
          <w:lang w:eastAsia="en-AU"/>
        </w:rPr>
        <w:t xml:space="preserve">The results in this report are not official </w:t>
      </w:r>
      <w:proofErr w:type="gramStart"/>
      <w:r w:rsidRPr="00C2783B">
        <w:rPr>
          <w:lang w:eastAsia="en-AU"/>
        </w:rPr>
        <w:t>statistics,</w:t>
      </w:r>
      <w:proofErr w:type="gramEnd"/>
      <w:r w:rsidRPr="00C2783B">
        <w:rPr>
          <w:lang w:eastAsia="en-AU"/>
        </w:rPr>
        <w:t xml:space="preserve"> they have been created for research purposes from the Integrated Data Infrastructure (IDI) managed by Statistics New Zealand.</w:t>
      </w:r>
    </w:p>
    <w:p w:rsidR="00C2783B" w:rsidRPr="00C2783B" w:rsidRDefault="00C2783B" w:rsidP="00C2783B">
      <w:pPr>
        <w:rPr>
          <w:lang w:eastAsia="en-AU"/>
        </w:rPr>
      </w:pPr>
      <w:r w:rsidRPr="00C2783B">
        <w:rPr>
          <w:lang w:eastAsia="en-AU"/>
        </w:rPr>
        <w:t>The opinions, findings, recommendations and conclusions expressed in this paper are those of the author(s) and not Statistics NZ.</w:t>
      </w:r>
    </w:p>
    <w:p w:rsidR="00C2783B" w:rsidRPr="00C2783B" w:rsidRDefault="00C2783B" w:rsidP="00C2783B">
      <w:pPr>
        <w:rPr>
          <w:lang w:eastAsia="en-AU"/>
        </w:rPr>
      </w:pPr>
      <w:r w:rsidRPr="00C2783B">
        <w:rPr>
          <w:lang w:eastAsia="en-AU"/>
        </w:rPr>
        <w:t>Access to the anonymised data used in this study was provided by Statistics NZ in accordance with security and confidentiality provisions of the Statistics Act 1975. Only people authorised by the Statistic</w:t>
      </w:r>
      <w:bookmarkStart w:id="0" w:name="_GoBack"/>
      <w:bookmarkEnd w:id="0"/>
      <w:r w:rsidRPr="00C2783B">
        <w:rPr>
          <w:lang w:eastAsia="en-AU"/>
        </w:rPr>
        <w:t xml:space="preserve">s Act 1975 are allowed to see data about a particular person, household, business or organisation and the results in this paper have been </w:t>
      </w:r>
      <w:proofErr w:type="spellStart"/>
      <w:r w:rsidRPr="00C2783B">
        <w:rPr>
          <w:lang w:eastAsia="en-AU"/>
        </w:rPr>
        <w:t>confidentialised</w:t>
      </w:r>
      <w:proofErr w:type="spellEnd"/>
      <w:r w:rsidRPr="00C2783B">
        <w:rPr>
          <w:lang w:eastAsia="en-AU"/>
        </w:rPr>
        <w:t xml:space="preserve"> to protect these groups from identification.</w:t>
      </w:r>
    </w:p>
    <w:p w:rsidR="00C2783B" w:rsidRPr="00C2783B" w:rsidRDefault="00C2783B" w:rsidP="00C2783B">
      <w:pPr>
        <w:rPr>
          <w:lang w:eastAsia="en-AU"/>
        </w:rPr>
      </w:pPr>
      <w:r w:rsidRPr="00C2783B">
        <w:rPr>
          <w:lang w:eastAsia="en-AU"/>
        </w:rPr>
        <w:t xml:space="preserve">Careful consideration has been given to the privacy, security and confidentiality issues associated with using administrative and survey data in the IDI. Further details can be found in the Privacy impact assessment for the Integrated Data Infrastructure available from www.stats.govt.nz. </w:t>
      </w:r>
    </w:p>
    <w:p w:rsidR="00C2783B" w:rsidRPr="00C2783B" w:rsidRDefault="00C2783B" w:rsidP="00C2783B">
      <w:pPr>
        <w:rPr>
          <w:b/>
        </w:rPr>
      </w:pPr>
      <w:r w:rsidRPr="00C2783B">
        <w:rPr>
          <w:b/>
        </w:rPr>
        <w:t>Inland Revenue IDI disclaimer</w:t>
      </w:r>
    </w:p>
    <w:p w:rsidR="00C2783B" w:rsidRPr="00C2783B" w:rsidRDefault="00C2783B" w:rsidP="00C2783B">
      <w:pPr>
        <w:rPr>
          <w:lang w:eastAsia="en-AU"/>
        </w:rPr>
      </w:pPr>
      <w:r w:rsidRPr="00C2783B">
        <w:rPr>
          <w:lang w:eastAsia="en-AU"/>
        </w:rPr>
        <w:t>The results in this report are based in part on tax data supplied by Inland Revenue to Statistics NZ under the Tax Administration Act 1994. This tax data must be used only for statistical purposes, and no individual information may be published or disclosed in any other form, or provided to Inland Revenue for administrative or regulatory purposes.</w:t>
      </w:r>
    </w:p>
    <w:p w:rsidR="00C2783B" w:rsidRPr="00C2783B" w:rsidRDefault="00C2783B" w:rsidP="00C2783B">
      <w:pPr>
        <w:rPr>
          <w:lang w:eastAsia="en-AU"/>
        </w:rPr>
      </w:pPr>
      <w:r w:rsidRPr="00C2783B">
        <w:rPr>
          <w:lang w:eastAsia="en-AU"/>
        </w:rPr>
        <w:t>Any person who has had access to the unit record data has certified that they have been shown, have read, and have understood section 81 of the Tax Administration Act 1994, which relates to secrecy. Any discussion of data limitations or weaknesses is in the context of using the IDI for statistical purposes, and is not related to the data’s ability to support Inland Revenue’s core operational requirements.</w:t>
      </w:r>
    </w:p>
    <w:p w:rsidR="00523ABC" w:rsidRPr="00B812CC" w:rsidRDefault="00523ABC" w:rsidP="00523ABC">
      <w:pPr>
        <w:pStyle w:val="Info2"/>
      </w:pPr>
      <w:r w:rsidRPr="007525AF">
        <w:t>Published</w:t>
      </w:r>
    </w:p>
    <w:p w:rsidR="007829D3" w:rsidRPr="00CC5848" w:rsidRDefault="007829D3" w:rsidP="007829D3">
      <w:pPr>
        <w:rPr>
          <w:lang w:val="en-US"/>
        </w:rPr>
      </w:pPr>
      <w:r w:rsidRPr="00CC5848">
        <w:rPr>
          <w:lang w:val="en-US"/>
        </w:rPr>
        <w:t>Ministry of Social Development</w:t>
      </w:r>
      <w:r w:rsidRPr="00CC5848">
        <w:rPr>
          <w:lang w:val="en-US"/>
        </w:rPr>
        <w:br/>
        <w:t>PO Box 1556</w:t>
      </w:r>
      <w:r w:rsidRPr="00CC5848">
        <w:rPr>
          <w:lang w:val="en-US"/>
        </w:rPr>
        <w:br/>
        <w:t>Wellington</w:t>
      </w:r>
      <w:r w:rsidRPr="00CC5848">
        <w:rPr>
          <w:lang w:val="en-US"/>
        </w:rPr>
        <w:br/>
        <w:t>www.msd.govt.nz</w:t>
      </w:r>
    </w:p>
    <w:p w:rsidR="00523ABC" w:rsidRDefault="00523ABC" w:rsidP="00523ABC">
      <w:pPr>
        <w:pStyle w:val="InfoBody"/>
      </w:pPr>
      <w:r>
        <w:t xml:space="preserve">Published in </w:t>
      </w:r>
      <w:r w:rsidR="00C35B1D">
        <w:t xml:space="preserve">August </w:t>
      </w:r>
      <w:r>
        <w:t>2018</w:t>
      </w:r>
    </w:p>
    <w:p w:rsidR="007829D3" w:rsidRPr="007829D3" w:rsidRDefault="00523ABC" w:rsidP="0079096E">
      <w:pPr>
        <w:rPr>
          <w:b/>
          <w:sz w:val="24"/>
          <w:szCs w:val="24"/>
        </w:rPr>
      </w:pPr>
      <w:r w:rsidRPr="007829D3">
        <w:rPr>
          <w:b/>
          <w:sz w:val="24"/>
          <w:szCs w:val="24"/>
        </w:rPr>
        <w:t>ISBN</w:t>
      </w:r>
    </w:p>
    <w:p w:rsidR="00C2783B" w:rsidRPr="00C2783B" w:rsidRDefault="007829D3" w:rsidP="00C2783B">
      <w:pPr>
        <w:rPr>
          <w:rFonts w:eastAsia="Times New Roman"/>
          <w:color w:val="000000"/>
          <w:kern w:val="0"/>
          <w:lang w:eastAsia="en-NZ"/>
        </w:rPr>
      </w:pPr>
      <w:bookmarkStart w:id="1" w:name="_Toc386619898"/>
      <w:bookmarkStart w:id="2" w:name="_Toc402433422"/>
      <w:r>
        <w:t xml:space="preserve">Online </w:t>
      </w:r>
      <w:r w:rsidR="00C2783B" w:rsidRPr="00C2783B">
        <w:rPr>
          <w:rFonts w:eastAsia="Times New Roman"/>
          <w:color w:val="000000"/>
          <w:kern w:val="0"/>
          <w:lang w:eastAsia="en-NZ"/>
        </w:rPr>
        <w:t>978-1-98-854137-2</w:t>
      </w:r>
    </w:p>
    <w:p w:rsidR="00523ABC" w:rsidRDefault="000B20A9" w:rsidP="000B20A9">
      <w:pPr>
        <w:pStyle w:val="Heading1"/>
        <w:ind w:right="-46"/>
      </w:pPr>
      <w:bookmarkStart w:id="3" w:name="_Toc522866977"/>
      <w:r>
        <w:lastRenderedPageBreak/>
        <w:t>Contents</w:t>
      </w:r>
      <w:bookmarkEnd w:id="3"/>
    </w:p>
    <w:bookmarkEnd w:id="2" w:displacedByCustomXml="next"/>
    <w:bookmarkEnd w:id="1" w:displacedByCustomXml="next"/>
    <w:bookmarkStart w:id="4" w:name="_Toc386619899" w:displacedByCustomXml="next"/>
    <w:bookmarkStart w:id="5" w:name="_Toc402433423" w:displacedByCustomXml="next"/>
    <w:sdt>
      <w:sdtPr>
        <w:rPr>
          <w:b w:val="0"/>
          <w:bCs/>
          <w:noProof w:val="0"/>
        </w:rPr>
        <w:id w:val="644855135"/>
        <w:docPartObj>
          <w:docPartGallery w:val="Table of Contents"/>
          <w:docPartUnique/>
        </w:docPartObj>
      </w:sdtPr>
      <w:sdtEndPr>
        <w:rPr>
          <w:bCs w:val="0"/>
        </w:rPr>
      </w:sdtEndPr>
      <w:sdtContent>
        <w:p w:rsidR="00712A37" w:rsidRDefault="00523ABC">
          <w:pPr>
            <w:pStyle w:val="TOC1"/>
            <w:rPr>
              <w:rFonts w:asciiTheme="minorHAnsi" w:eastAsiaTheme="minorEastAsia" w:hAnsiTheme="minorHAnsi" w:cstheme="minorBidi"/>
              <w:b w:val="0"/>
              <w:kern w:val="0"/>
              <w:sz w:val="22"/>
              <w:szCs w:val="22"/>
              <w:lang w:eastAsia="en-NZ"/>
            </w:rPr>
          </w:pPr>
          <w:r>
            <w:rPr>
              <w:b w:val="0"/>
            </w:rPr>
            <w:fldChar w:fldCharType="begin"/>
          </w:r>
          <w:r>
            <w:rPr>
              <w:b w:val="0"/>
            </w:rPr>
            <w:instrText xml:space="preserve"> TOC \o "1-2" \h \z \u </w:instrText>
          </w:r>
          <w:r>
            <w:rPr>
              <w:b w:val="0"/>
            </w:rPr>
            <w:fldChar w:fldCharType="separate"/>
          </w:r>
          <w:hyperlink w:anchor="_Toc522866977" w:history="1">
            <w:r w:rsidR="00712A37" w:rsidRPr="001F5595">
              <w:rPr>
                <w:rStyle w:val="Hyperlink"/>
              </w:rPr>
              <w:t>Contents</w:t>
            </w:r>
            <w:r w:rsidR="00712A37">
              <w:rPr>
                <w:webHidden/>
              </w:rPr>
              <w:tab/>
            </w:r>
            <w:r w:rsidR="00712A37">
              <w:rPr>
                <w:webHidden/>
              </w:rPr>
              <w:fldChar w:fldCharType="begin"/>
            </w:r>
            <w:r w:rsidR="00712A37">
              <w:rPr>
                <w:webHidden/>
              </w:rPr>
              <w:instrText xml:space="preserve"> PAGEREF _Toc522866977 \h </w:instrText>
            </w:r>
            <w:r w:rsidR="00712A37">
              <w:rPr>
                <w:webHidden/>
              </w:rPr>
            </w:r>
            <w:r w:rsidR="00712A37">
              <w:rPr>
                <w:webHidden/>
              </w:rPr>
              <w:fldChar w:fldCharType="separate"/>
            </w:r>
            <w:r w:rsidR="00D24881">
              <w:rPr>
                <w:webHidden/>
              </w:rPr>
              <w:t>3</w:t>
            </w:r>
            <w:r w:rsidR="00712A37">
              <w:rPr>
                <w:webHidden/>
              </w:rPr>
              <w:fldChar w:fldCharType="end"/>
            </w:r>
          </w:hyperlink>
        </w:p>
        <w:p w:rsidR="00712A37" w:rsidRDefault="00712A37">
          <w:pPr>
            <w:pStyle w:val="TOC1"/>
            <w:rPr>
              <w:rFonts w:asciiTheme="minorHAnsi" w:eastAsiaTheme="minorEastAsia" w:hAnsiTheme="minorHAnsi" w:cstheme="minorBidi"/>
              <w:b w:val="0"/>
              <w:kern w:val="0"/>
              <w:sz w:val="22"/>
              <w:szCs w:val="22"/>
              <w:lang w:eastAsia="en-NZ"/>
            </w:rPr>
          </w:pPr>
          <w:hyperlink w:anchor="_Toc522866978" w:history="1">
            <w:r w:rsidRPr="00712A37">
              <w:rPr>
                <w:rStyle w:val="Hyperlink"/>
                <w:rFonts w:eastAsia="Times New Roman"/>
                <w:bCs/>
              </w:rPr>
              <w:t>Executive summary</w:t>
            </w:r>
            <w:r>
              <w:rPr>
                <w:webHidden/>
              </w:rPr>
              <w:tab/>
            </w:r>
            <w:r>
              <w:rPr>
                <w:webHidden/>
              </w:rPr>
              <w:fldChar w:fldCharType="begin"/>
            </w:r>
            <w:r>
              <w:rPr>
                <w:webHidden/>
              </w:rPr>
              <w:instrText xml:space="preserve"> PAGEREF _Toc522866978 \h </w:instrText>
            </w:r>
            <w:r>
              <w:rPr>
                <w:webHidden/>
              </w:rPr>
            </w:r>
            <w:r>
              <w:rPr>
                <w:webHidden/>
              </w:rPr>
              <w:fldChar w:fldCharType="separate"/>
            </w:r>
            <w:r w:rsidR="00D24881">
              <w:rPr>
                <w:webHidden/>
              </w:rPr>
              <w:t>4</w:t>
            </w:r>
            <w:r>
              <w:rPr>
                <w:webHidden/>
              </w:rPr>
              <w:fldChar w:fldCharType="end"/>
            </w:r>
          </w:hyperlink>
        </w:p>
        <w:p w:rsidR="00712A37" w:rsidRPr="00712A37" w:rsidRDefault="00712A37">
          <w:pPr>
            <w:pStyle w:val="TOC2"/>
            <w:tabs>
              <w:tab w:val="right" w:leader="dot" w:pos="9016"/>
            </w:tabs>
            <w:rPr>
              <w:rFonts w:asciiTheme="minorHAnsi" w:eastAsiaTheme="minorEastAsia" w:hAnsiTheme="minorHAnsi" w:cstheme="minorBidi"/>
              <w:noProof/>
              <w:kern w:val="0"/>
              <w:sz w:val="22"/>
              <w:szCs w:val="22"/>
              <w:lang w:eastAsia="en-NZ"/>
            </w:rPr>
          </w:pPr>
          <w:hyperlink w:anchor="_Toc522866979" w:history="1">
            <w:r w:rsidRPr="00712A37">
              <w:rPr>
                <w:rStyle w:val="Hyperlink"/>
                <w:noProof/>
              </w:rPr>
              <w:t>Driver licensing programmes helped participants gain a full licence</w:t>
            </w:r>
            <w:r w:rsidRPr="00712A37">
              <w:rPr>
                <w:noProof/>
                <w:webHidden/>
              </w:rPr>
              <w:tab/>
            </w:r>
            <w:r w:rsidRPr="00712A37">
              <w:rPr>
                <w:noProof/>
                <w:webHidden/>
              </w:rPr>
              <w:fldChar w:fldCharType="begin"/>
            </w:r>
            <w:r w:rsidRPr="00712A37">
              <w:rPr>
                <w:noProof/>
                <w:webHidden/>
              </w:rPr>
              <w:instrText xml:space="preserve"> PAGEREF _Toc522866979 \h </w:instrText>
            </w:r>
            <w:r w:rsidRPr="00712A37">
              <w:rPr>
                <w:noProof/>
                <w:webHidden/>
              </w:rPr>
            </w:r>
            <w:r w:rsidRPr="00712A37">
              <w:rPr>
                <w:noProof/>
                <w:webHidden/>
              </w:rPr>
              <w:fldChar w:fldCharType="separate"/>
            </w:r>
            <w:r w:rsidR="00D24881">
              <w:rPr>
                <w:noProof/>
                <w:webHidden/>
              </w:rPr>
              <w:t>4</w:t>
            </w:r>
            <w:r w:rsidRPr="00712A37">
              <w:rPr>
                <w:noProof/>
                <w:webHidden/>
              </w:rPr>
              <w:fldChar w:fldCharType="end"/>
            </w:r>
          </w:hyperlink>
        </w:p>
        <w:p w:rsidR="00712A37" w:rsidRPr="00712A37" w:rsidRDefault="00712A37">
          <w:pPr>
            <w:pStyle w:val="TOC2"/>
            <w:tabs>
              <w:tab w:val="right" w:leader="dot" w:pos="9016"/>
            </w:tabs>
            <w:rPr>
              <w:rFonts w:asciiTheme="minorHAnsi" w:eastAsiaTheme="minorEastAsia" w:hAnsiTheme="minorHAnsi" w:cstheme="minorBidi"/>
              <w:noProof/>
              <w:kern w:val="0"/>
              <w:sz w:val="22"/>
              <w:szCs w:val="22"/>
              <w:lang w:eastAsia="en-NZ"/>
            </w:rPr>
          </w:pPr>
          <w:hyperlink w:anchor="_Toc522866980" w:history="1">
            <w:r w:rsidRPr="00712A37">
              <w:rPr>
                <w:rStyle w:val="Hyperlink"/>
                <w:noProof/>
              </w:rPr>
              <w:t>Driver licensing programmes had a positive impact on employment and earnings</w:t>
            </w:r>
            <w:r w:rsidRPr="00712A37">
              <w:rPr>
                <w:noProof/>
                <w:webHidden/>
              </w:rPr>
              <w:tab/>
            </w:r>
            <w:r w:rsidRPr="00712A37">
              <w:rPr>
                <w:noProof/>
                <w:webHidden/>
              </w:rPr>
              <w:fldChar w:fldCharType="begin"/>
            </w:r>
            <w:r w:rsidRPr="00712A37">
              <w:rPr>
                <w:noProof/>
                <w:webHidden/>
              </w:rPr>
              <w:instrText xml:space="preserve"> PAGEREF _Toc522866980 \h </w:instrText>
            </w:r>
            <w:r w:rsidRPr="00712A37">
              <w:rPr>
                <w:noProof/>
                <w:webHidden/>
              </w:rPr>
            </w:r>
            <w:r w:rsidRPr="00712A37">
              <w:rPr>
                <w:noProof/>
                <w:webHidden/>
              </w:rPr>
              <w:fldChar w:fldCharType="separate"/>
            </w:r>
            <w:r w:rsidR="00D24881">
              <w:rPr>
                <w:noProof/>
                <w:webHidden/>
              </w:rPr>
              <w:t>4</w:t>
            </w:r>
            <w:r w:rsidRPr="00712A37">
              <w:rPr>
                <w:noProof/>
                <w:webHidden/>
              </w:rPr>
              <w:fldChar w:fldCharType="end"/>
            </w:r>
          </w:hyperlink>
        </w:p>
        <w:p w:rsidR="00712A37" w:rsidRPr="00712A37" w:rsidRDefault="00712A37">
          <w:pPr>
            <w:pStyle w:val="TOC1"/>
            <w:rPr>
              <w:rFonts w:eastAsiaTheme="minorEastAsia" w:cstheme="minorBidi"/>
              <w:b w:val="0"/>
              <w:kern w:val="0"/>
              <w:sz w:val="22"/>
              <w:szCs w:val="22"/>
              <w:lang w:eastAsia="en-NZ"/>
            </w:rPr>
          </w:pPr>
          <w:hyperlink w:anchor="_Toc522866981" w:history="1">
            <w:r w:rsidRPr="00712A37">
              <w:rPr>
                <w:rStyle w:val="Hyperlink"/>
                <w:rFonts w:eastAsia="Times New Roman"/>
                <w:bCs/>
              </w:rPr>
              <w:t>Driver licensing programmes</w:t>
            </w:r>
            <w:r w:rsidRPr="00712A37">
              <w:rPr>
                <w:webHidden/>
              </w:rPr>
              <w:tab/>
            </w:r>
            <w:r w:rsidRPr="00712A37">
              <w:rPr>
                <w:webHidden/>
              </w:rPr>
              <w:fldChar w:fldCharType="begin"/>
            </w:r>
            <w:r w:rsidRPr="00712A37">
              <w:rPr>
                <w:webHidden/>
              </w:rPr>
              <w:instrText xml:space="preserve"> PAGEREF _Toc522866981 \h </w:instrText>
            </w:r>
            <w:r w:rsidRPr="00712A37">
              <w:rPr>
                <w:webHidden/>
              </w:rPr>
            </w:r>
            <w:r w:rsidRPr="00712A37">
              <w:rPr>
                <w:webHidden/>
              </w:rPr>
              <w:fldChar w:fldCharType="separate"/>
            </w:r>
            <w:r w:rsidR="00D24881">
              <w:rPr>
                <w:webHidden/>
              </w:rPr>
              <w:t>6</w:t>
            </w:r>
            <w:r w:rsidRPr="00712A37">
              <w:rPr>
                <w:webHidden/>
              </w:rPr>
              <w:fldChar w:fldCharType="end"/>
            </w:r>
          </w:hyperlink>
        </w:p>
        <w:p w:rsidR="00712A37" w:rsidRPr="00712A37" w:rsidRDefault="00712A37">
          <w:pPr>
            <w:pStyle w:val="TOC1"/>
            <w:rPr>
              <w:rFonts w:eastAsiaTheme="minorEastAsia" w:cstheme="minorBidi"/>
              <w:b w:val="0"/>
              <w:kern w:val="0"/>
              <w:sz w:val="22"/>
              <w:szCs w:val="22"/>
              <w:lang w:eastAsia="en-NZ"/>
            </w:rPr>
          </w:pPr>
          <w:hyperlink w:anchor="_Toc522866982" w:history="1">
            <w:r w:rsidRPr="00712A37">
              <w:rPr>
                <w:rStyle w:val="Hyperlink"/>
                <w:rFonts w:eastAsia="Times New Roman"/>
                <w:bCs/>
              </w:rPr>
              <w:t>Findings</w:t>
            </w:r>
            <w:r w:rsidRPr="00712A37">
              <w:rPr>
                <w:webHidden/>
              </w:rPr>
              <w:tab/>
            </w:r>
            <w:r w:rsidRPr="00712A37">
              <w:rPr>
                <w:webHidden/>
              </w:rPr>
              <w:fldChar w:fldCharType="begin"/>
            </w:r>
            <w:r w:rsidRPr="00712A37">
              <w:rPr>
                <w:webHidden/>
              </w:rPr>
              <w:instrText xml:space="preserve"> PAGEREF _Toc522866982 \h </w:instrText>
            </w:r>
            <w:r w:rsidRPr="00712A37">
              <w:rPr>
                <w:webHidden/>
              </w:rPr>
            </w:r>
            <w:r w:rsidRPr="00712A37">
              <w:rPr>
                <w:webHidden/>
              </w:rPr>
              <w:fldChar w:fldCharType="separate"/>
            </w:r>
            <w:r w:rsidR="00D24881">
              <w:rPr>
                <w:webHidden/>
              </w:rPr>
              <w:t>7</w:t>
            </w:r>
            <w:r w:rsidRPr="00712A37">
              <w:rPr>
                <w:webHidden/>
              </w:rPr>
              <w:fldChar w:fldCharType="end"/>
            </w:r>
          </w:hyperlink>
        </w:p>
        <w:p w:rsidR="00712A37" w:rsidRPr="00712A37" w:rsidRDefault="00712A37">
          <w:pPr>
            <w:pStyle w:val="TOC2"/>
            <w:tabs>
              <w:tab w:val="right" w:leader="dot" w:pos="9016"/>
            </w:tabs>
            <w:rPr>
              <w:rFonts w:asciiTheme="minorHAnsi" w:eastAsiaTheme="minorEastAsia" w:hAnsiTheme="minorHAnsi" w:cstheme="minorBidi"/>
              <w:noProof/>
              <w:kern w:val="0"/>
              <w:lang w:eastAsia="en-NZ"/>
            </w:rPr>
          </w:pPr>
          <w:hyperlink w:anchor="_Toc522866983" w:history="1">
            <w:r w:rsidRPr="00712A37">
              <w:rPr>
                <w:rStyle w:val="Hyperlink"/>
                <w:noProof/>
              </w:rPr>
              <w:t>The programmes helped participants progress through the GDLS</w:t>
            </w:r>
            <w:r w:rsidRPr="00712A37">
              <w:rPr>
                <w:noProof/>
                <w:webHidden/>
              </w:rPr>
              <w:tab/>
            </w:r>
            <w:r w:rsidRPr="00712A37">
              <w:rPr>
                <w:noProof/>
                <w:webHidden/>
              </w:rPr>
              <w:fldChar w:fldCharType="begin"/>
            </w:r>
            <w:r w:rsidRPr="00712A37">
              <w:rPr>
                <w:noProof/>
                <w:webHidden/>
              </w:rPr>
              <w:instrText xml:space="preserve"> PAGEREF _Toc522866983 \h </w:instrText>
            </w:r>
            <w:r w:rsidRPr="00712A37">
              <w:rPr>
                <w:noProof/>
                <w:webHidden/>
              </w:rPr>
            </w:r>
            <w:r w:rsidRPr="00712A37">
              <w:rPr>
                <w:noProof/>
                <w:webHidden/>
              </w:rPr>
              <w:fldChar w:fldCharType="separate"/>
            </w:r>
            <w:r w:rsidR="00D24881">
              <w:rPr>
                <w:noProof/>
                <w:webHidden/>
              </w:rPr>
              <w:t>7</w:t>
            </w:r>
            <w:r w:rsidRPr="00712A37">
              <w:rPr>
                <w:noProof/>
                <w:webHidden/>
              </w:rPr>
              <w:fldChar w:fldCharType="end"/>
            </w:r>
          </w:hyperlink>
        </w:p>
        <w:p w:rsidR="00712A37" w:rsidRPr="00712A37" w:rsidRDefault="00712A37">
          <w:pPr>
            <w:pStyle w:val="TOC2"/>
            <w:tabs>
              <w:tab w:val="right" w:leader="dot" w:pos="9016"/>
            </w:tabs>
            <w:rPr>
              <w:rFonts w:asciiTheme="minorHAnsi" w:eastAsiaTheme="minorEastAsia" w:hAnsiTheme="minorHAnsi" w:cstheme="minorBidi"/>
              <w:noProof/>
              <w:kern w:val="0"/>
              <w:lang w:eastAsia="en-NZ"/>
            </w:rPr>
          </w:pPr>
          <w:hyperlink w:anchor="_Toc522866984" w:history="1">
            <w:r w:rsidRPr="00712A37">
              <w:rPr>
                <w:rStyle w:val="Hyperlink"/>
                <w:noProof/>
              </w:rPr>
              <w:t>Participants were more likely to be employed, although some participants were still receiving welfare assistance</w:t>
            </w:r>
            <w:r w:rsidRPr="00712A37">
              <w:rPr>
                <w:noProof/>
                <w:webHidden/>
              </w:rPr>
              <w:tab/>
            </w:r>
            <w:r w:rsidRPr="00712A37">
              <w:rPr>
                <w:noProof/>
                <w:webHidden/>
              </w:rPr>
              <w:fldChar w:fldCharType="begin"/>
            </w:r>
            <w:r w:rsidRPr="00712A37">
              <w:rPr>
                <w:noProof/>
                <w:webHidden/>
              </w:rPr>
              <w:instrText xml:space="preserve"> PAGEREF _Toc522866984 \h </w:instrText>
            </w:r>
            <w:r w:rsidRPr="00712A37">
              <w:rPr>
                <w:noProof/>
                <w:webHidden/>
              </w:rPr>
            </w:r>
            <w:r w:rsidRPr="00712A37">
              <w:rPr>
                <w:noProof/>
                <w:webHidden/>
              </w:rPr>
              <w:fldChar w:fldCharType="separate"/>
            </w:r>
            <w:r w:rsidR="00D24881">
              <w:rPr>
                <w:noProof/>
                <w:webHidden/>
              </w:rPr>
              <w:t>8</w:t>
            </w:r>
            <w:r w:rsidRPr="00712A37">
              <w:rPr>
                <w:noProof/>
                <w:webHidden/>
              </w:rPr>
              <w:fldChar w:fldCharType="end"/>
            </w:r>
          </w:hyperlink>
        </w:p>
        <w:p w:rsidR="00712A37" w:rsidRPr="00712A37" w:rsidRDefault="00712A37">
          <w:pPr>
            <w:pStyle w:val="TOC2"/>
            <w:tabs>
              <w:tab w:val="right" w:leader="dot" w:pos="9016"/>
            </w:tabs>
            <w:rPr>
              <w:rFonts w:asciiTheme="minorHAnsi" w:eastAsiaTheme="minorEastAsia" w:hAnsiTheme="minorHAnsi" w:cstheme="minorBidi"/>
              <w:noProof/>
              <w:kern w:val="0"/>
              <w:lang w:eastAsia="en-NZ"/>
            </w:rPr>
          </w:pPr>
          <w:hyperlink w:anchor="_Toc522866985" w:history="1">
            <w:r w:rsidRPr="00712A37">
              <w:rPr>
                <w:rStyle w:val="Hyperlink"/>
                <w:noProof/>
              </w:rPr>
              <w:t>The programmes had no impact on participants’ education outcomes</w:t>
            </w:r>
            <w:r w:rsidRPr="00712A37">
              <w:rPr>
                <w:noProof/>
                <w:webHidden/>
              </w:rPr>
              <w:tab/>
            </w:r>
            <w:r w:rsidRPr="00712A37">
              <w:rPr>
                <w:noProof/>
                <w:webHidden/>
              </w:rPr>
              <w:fldChar w:fldCharType="begin"/>
            </w:r>
            <w:r w:rsidRPr="00712A37">
              <w:rPr>
                <w:noProof/>
                <w:webHidden/>
              </w:rPr>
              <w:instrText xml:space="preserve"> PAGEREF _Toc522866985 \h </w:instrText>
            </w:r>
            <w:r w:rsidRPr="00712A37">
              <w:rPr>
                <w:noProof/>
                <w:webHidden/>
              </w:rPr>
            </w:r>
            <w:r w:rsidRPr="00712A37">
              <w:rPr>
                <w:noProof/>
                <w:webHidden/>
              </w:rPr>
              <w:fldChar w:fldCharType="separate"/>
            </w:r>
            <w:r w:rsidR="00D24881">
              <w:rPr>
                <w:noProof/>
                <w:webHidden/>
              </w:rPr>
              <w:t>9</w:t>
            </w:r>
            <w:r w:rsidRPr="00712A37">
              <w:rPr>
                <w:noProof/>
                <w:webHidden/>
              </w:rPr>
              <w:fldChar w:fldCharType="end"/>
            </w:r>
          </w:hyperlink>
        </w:p>
        <w:p w:rsidR="00712A37" w:rsidRPr="00712A37" w:rsidRDefault="00712A37">
          <w:pPr>
            <w:pStyle w:val="TOC2"/>
            <w:tabs>
              <w:tab w:val="right" w:leader="dot" w:pos="9016"/>
            </w:tabs>
            <w:rPr>
              <w:rFonts w:asciiTheme="minorHAnsi" w:eastAsiaTheme="minorEastAsia" w:hAnsiTheme="minorHAnsi" w:cstheme="minorBidi"/>
              <w:noProof/>
              <w:kern w:val="0"/>
              <w:lang w:eastAsia="en-NZ"/>
            </w:rPr>
          </w:pPr>
          <w:hyperlink w:anchor="_Toc522866986" w:history="1">
            <w:r w:rsidRPr="00712A37">
              <w:rPr>
                <w:rStyle w:val="Hyperlink"/>
                <w:noProof/>
              </w:rPr>
              <w:t>The programmes had no impact on the justice outcomes of the participants</w:t>
            </w:r>
            <w:r w:rsidRPr="00712A37">
              <w:rPr>
                <w:noProof/>
                <w:webHidden/>
              </w:rPr>
              <w:tab/>
            </w:r>
            <w:r w:rsidRPr="00712A37">
              <w:rPr>
                <w:noProof/>
                <w:webHidden/>
              </w:rPr>
              <w:fldChar w:fldCharType="begin"/>
            </w:r>
            <w:r w:rsidRPr="00712A37">
              <w:rPr>
                <w:noProof/>
                <w:webHidden/>
              </w:rPr>
              <w:instrText xml:space="preserve"> PAGEREF _Toc522866986 \h </w:instrText>
            </w:r>
            <w:r w:rsidRPr="00712A37">
              <w:rPr>
                <w:noProof/>
                <w:webHidden/>
              </w:rPr>
            </w:r>
            <w:r w:rsidRPr="00712A37">
              <w:rPr>
                <w:noProof/>
                <w:webHidden/>
              </w:rPr>
              <w:fldChar w:fldCharType="separate"/>
            </w:r>
            <w:r w:rsidR="00D24881">
              <w:rPr>
                <w:noProof/>
                <w:webHidden/>
              </w:rPr>
              <w:t>9</w:t>
            </w:r>
            <w:r w:rsidRPr="00712A37">
              <w:rPr>
                <w:noProof/>
                <w:webHidden/>
              </w:rPr>
              <w:fldChar w:fldCharType="end"/>
            </w:r>
          </w:hyperlink>
        </w:p>
        <w:p w:rsidR="00712A37" w:rsidRPr="00712A37" w:rsidRDefault="00712A37">
          <w:pPr>
            <w:pStyle w:val="TOC2"/>
            <w:tabs>
              <w:tab w:val="right" w:leader="dot" w:pos="9016"/>
            </w:tabs>
            <w:rPr>
              <w:rFonts w:asciiTheme="minorHAnsi" w:eastAsiaTheme="minorEastAsia" w:hAnsiTheme="minorHAnsi" w:cstheme="minorBidi"/>
              <w:noProof/>
              <w:kern w:val="0"/>
              <w:lang w:eastAsia="en-NZ"/>
            </w:rPr>
          </w:pPr>
          <w:hyperlink w:anchor="_Toc522866987" w:history="1">
            <w:r w:rsidRPr="00712A37">
              <w:rPr>
                <w:rStyle w:val="Hyperlink"/>
                <w:noProof/>
              </w:rPr>
              <w:t>Impact results and participant outcome values</w:t>
            </w:r>
            <w:r w:rsidRPr="00712A37">
              <w:rPr>
                <w:noProof/>
                <w:webHidden/>
              </w:rPr>
              <w:tab/>
            </w:r>
            <w:r w:rsidRPr="00712A37">
              <w:rPr>
                <w:noProof/>
                <w:webHidden/>
              </w:rPr>
              <w:fldChar w:fldCharType="begin"/>
            </w:r>
            <w:r w:rsidRPr="00712A37">
              <w:rPr>
                <w:noProof/>
                <w:webHidden/>
              </w:rPr>
              <w:instrText xml:space="preserve"> PAGEREF _Toc522866987 \h </w:instrText>
            </w:r>
            <w:r w:rsidRPr="00712A37">
              <w:rPr>
                <w:noProof/>
                <w:webHidden/>
              </w:rPr>
            </w:r>
            <w:r w:rsidRPr="00712A37">
              <w:rPr>
                <w:noProof/>
                <w:webHidden/>
              </w:rPr>
              <w:fldChar w:fldCharType="separate"/>
            </w:r>
            <w:r w:rsidR="00D24881">
              <w:rPr>
                <w:noProof/>
                <w:webHidden/>
              </w:rPr>
              <w:t>9</w:t>
            </w:r>
            <w:r w:rsidRPr="00712A37">
              <w:rPr>
                <w:noProof/>
                <w:webHidden/>
              </w:rPr>
              <w:fldChar w:fldCharType="end"/>
            </w:r>
          </w:hyperlink>
        </w:p>
        <w:p w:rsidR="00712A37" w:rsidRDefault="00712A37">
          <w:pPr>
            <w:pStyle w:val="TOC1"/>
            <w:rPr>
              <w:rFonts w:asciiTheme="minorHAnsi" w:eastAsiaTheme="minorEastAsia" w:hAnsiTheme="minorHAnsi" w:cstheme="minorBidi"/>
              <w:b w:val="0"/>
              <w:kern w:val="0"/>
              <w:sz w:val="22"/>
              <w:szCs w:val="22"/>
              <w:lang w:eastAsia="en-NZ"/>
            </w:rPr>
          </w:pPr>
          <w:hyperlink w:anchor="_Toc522866988" w:history="1">
            <w:r w:rsidRPr="00712A37">
              <w:rPr>
                <w:rStyle w:val="Hyperlink"/>
                <w:rFonts w:eastAsia="Times New Roman"/>
                <w:bCs/>
                <w:u w:val="none"/>
              </w:rPr>
              <w:t>Limitations of the analysis</w:t>
            </w:r>
            <w:r>
              <w:rPr>
                <w:webHidden/>
              </w:rPr>
              <w:tab/>
            </w:r>
            <w:r>
              <w:rPr>
                <w:webHidden/>
              </w:rPr>
              <w:fldChar w:fldCharType="begin"/>
            </w:r>
            <w:r>
              <w:rPr>
                <w:webHidden/>
              </w:rPr>
              <w:instrText xml:space="preserve"> PAGEREF _Toc522866988 \h </w:instrText>
            </w:r>
            <w:r>
              <w:rPr>
                <w:webHidden/>
              </w:rPr>
            </w:r>
            <w:r>
              <w:rPr>
                <w:webHidden/>
              </w:rPr>
              <w:fldChar w:fldCharType="separate"/>
            </w:r>
            <w:r w:rsidR="00D24881">
              <w:rPr>
                <w:webHidden/>
              </w:rPr>
              <w:t>11</w:t>
            </w:r>
            <w:r>
              <w:rPr>
                <w:webHidden/>
              </w:rPr>
              <w:fldChar w:fldCharType="end"/>
            </w:r>
          </w:hyperlink>
        </w:p>
        <w:p w:rsidR="00712A37" w:rsidRPr="00712A37" w:rsidRDefault="00712A37">
          <w:pPr>
            <w:pStyle w:val="TOC2"/>
            <w:tabs>
              <w:tab w:val="right" w:leader="dot" w:pos="9016"/>
            </w:tabs>
            <w:rPr>
              <w:rFonts w:asciiTheme="minorHAnsi" w:eastAsiaTheme="minorEastAsia" w:hAnsiTheme="minorHAnsi" w:cstheme="minorBidi"/>
              <w:noProof/>
              <w:kern w:val="0"/>
              <w:sz w:val="22"/>
              <w:szCs w:val="22"/>
              <w:lang w:eastAsia="en-NZ"/>
            </w:rPr>
          </w:pPr>
          <w:hyperlink w:anchor="_Toc522866989" w:history="1">
            <w:r w:rsidRPr="00712A37">
              <w:rPr>
                <w:rStyle w:val="Hyperlink"/>
                <w:noProof/>
              </w:rPr>
              <w:t>We do not have complete information about the licence type or the licence stage that participants were trying to obtain for all programmes</w:t>
            </w:r>
            <w:r w:rsidRPr="00712A37">
              <w:rPr>
                <w:noProof/>
                <w:webHidden/>
              </w:rPr>
              <w:tab/>
            </w:r>
            <w:r w:rsidRPr="00712A37">
              <w:rPr>
                <w:noProof/>
                <w:webHidden/>
              </w:rPr>
              <w:fldChar w:fldCharType="begin"/>
            </w:r>
            <w:r w:rsidRPr="00712A37">
              <w:rPr>
                <w:noProof/>
                <w:webHidden/>
              </w:rPr>
              <w:instrText xml:space="preserve"> PAGEREF _Toc522866989 \h </w:instrText>
            </w:r>
            <w:r w:rsidRPr="00712A37">
              <w:rPr>
                <w:noProof/>
                <w:webHidden/>
              </w:rPr>
            </w:r>
            <w:r w:rsidRPr="00712A37">
              <w:rPr>
                <w:noProof/>
                <w:webHidden/>
              </w:rPr>
              <w:fldChar w:fldCharType="separate"/>
            </w:r>
            <w:r w:rsidR="00D24881">
              <w:rPr>
                <w:noProof/>
                <w:webHidden/>
              </w:rPr>
              <w:t>11</w:t>
            </w:r>
            <w:r w:rsidRPr="00712A37">
              <w:rPr>
                <w:noProof/>
                <w:webHidden/>
              </w:rPr>
              <w:fldChar w:fldCharType="end"/>
            </w:r>
          </w:hyperlink>
        </w:p>
        <w:p w:rsidR="00712A37" w:rsidRPr="00712A37" w:rsidRDefault="00712A37">
          <w:pPr>
            <w:pStyle w:val="TOC2"/>
            <w:tabs>
              <w:tab w:val="right" w:leader="dot" w:pos="9016"/>
            </w:tabs>
            <w:rPr>
              <w:rFonts w:asciiTheme="minorHAnsi" w:eastAsiaTheme="minorEastAsia" w:hAnsiTheme="minorHAnsi" w:cstheme="minorBidi"/>
              <w:noProof/>
              <w:kern w:val="0"/>
              <w:sz w:val="22"/>
              <w:szCs w:val="22"/>
              <w:lang w:eastAsia="en-NZ"/>
            </w:rPr>
          </w:pPr>
          <w:hyperlink w:anchor="_Toc522866990" w:history="1">
            <w:r w:rsidRPr="00712A37">
              <w:rPr>
                <w:rStyle w:val="Hyperlink"/>
                <w:noProof/>
              </w:rPr>
              <w:t>We did not match the comparison group based on the length of time spent in a driver licence stage before starting the programmes</w:t>
            </w:r>
            <w:r w:rsidRPr="00712A37">
              <w:rPr>
                <w:noProof/>
                <w:webHidden/>
              </w:rPr>
              <w:tab/>
            </w:r>
            <w:r w:rsidRPr="00712A37">
              <w:rPr>
                <w:noProof/>
                <w:webHidden/>
              </w:rPr>
              <w:fldChar w:fldCharType="begin"/>
            </w:r>
            <w:r w:rsidRPr="00712A37">
              <w:rPr>
                <w:noProof/>
                <w:webHidden/>
              </w:rPr>
              <w:instrText xml:space="preserve"> PAGEREF _Toc522866990 \h </w:instrText>
            </w:r>
            <w:r w:rsidRPr="00712A37">
              <w:rPr>
                <w:noProof/>
                <w:webHidden/>
              </w:rPr>
            </w:r>
            <w:r w:rsidRPr="00712A37">
              <w:rPr>
                <w:noProof/>
                <w:webHidden/>
              </w:rPr>
              <w:fldChar w:fldCharType="separate"/>
            </w:r>
            <w:r w:rsidR="00D24881">
              <w:rPr>
                <w:noProof/>
                <w:webHidden/>
              </w:rPr>
              <w:t>11</w:t>
            </w:r>
            <w:r w:rsidRPr="00712A37">
              <w:rPr>
                <w:noProof/>
                <w:webHidden/>
              </w:rPr>
              <w:fldChar w:fldCharType="end"/>
            </w:r>
          </w:hyperlink>
        </w:p>
        <w:p w:rsidR="00712A37" w:rsidRPr="00712A37" w:rsidRDefault="00712A37">
          <w:pPr>
            <w:pStyle w:val="TOC2"/>
            <w:tabs>
              <w:tab w:val="right" w:leader="dot" w:pos="9016"/>
            </w:tabs>
            <w:rPr>
              <w:rFonts w:asciiTheme="minorHAnsi" w:eastAsiaTheme="minorEastAsia" w:hAnsiTheme="minorHAnsi" w:cstheme="minorBidi"/>
              <w:noProof/>
              <w:kern w:val="0"/>
              <w:sz w:val="22"/>
              <w:szCs w:val="22"/>
              <w:lang w:eastAsia="en-NZ"/>
            </w:rPr>
          </w:pPr>
          <w:hyperlink w:anchor="_Toc522866991" w:history="1">
            <w:r w:rsidRPr="00712A37">
              <w:rPr>
                <w:rStyle w:val="Hyperlink"/>
                <w:noProof/>
              </w:rPr>
              <w:t>We do not know the impacts of the programmes on different types of participants</w:t>
            </w:r>
            <w:r w:rsidRPr="00712A37">
              <w:rPr>
                <w:noProof/>
                <w:webHidden/>
              </w:rPr>
              <w:tab/>
            </w:r>
            <w:r w:rsidRPr="00712A37">
              <w:rPr>
                <w:noProof/>
                <w:webHidden/>
              </w:rPr>
              <w:fldChar w:fldCharType="begin"/>
            </w:r>
            <w:r w:rsidRPr="00712A37">
              <w:rPr>
                <w:noProof/>
                <w:webHidden/>
              </w:rPr>
              <w:instrText xml:space="preserve"> PAGEREF _Toc522866991 \h </w:instrText>
            </w:r>
            <w:r w:rsidRPr="00712A37">
              <w:rPr>
                <w:noProof/>
                <w:webHidden/>
              </w:rPr>
            </w:r>
            <w:r w:rsidRPr="00712A37">
              <w:rPr>
                <w:noProof/>
                <w:webHidden/>
              </w:rPr>
              <w:fldChar w:fldCharType="separate"/>
            </w:r>
            <w:r w:rsidR="00D24881">
              <w:rPr>
                <w:noProof/>
                <w:webHidden/>
              </w:rPr>
              <w:t>11</w:t>
            </w:r>
            <w:r w:rsidRPr="00712A37">
              <w:rPr>
                <w:noProof/>
                <w:webHidden/>
              </w:rPr>
              <w:fldChar w:fldCharType="end"/>
            </w:r>
          </w:hyperlink>
        </w:p>
        <w:p w:rsidR="00712A37" w:rsidRPr="00712A37" w:rsidRDefault="00712A37">
          <w:pPr>
            <w:pStyle w:val="TOC2"/>
            <w:tabs>
              <w:tab w:val="right" w:leader="dot" w:pos="9016"/>
            </w:tabs>
            <w:rPr>
              <w:rFonts w:asciiTheme="minorHAnsi" w:eastAsiaTheme="minorEastAsia" w:hAnsiTheme="minorHAnsi" w:cstheme="minorBidi"/>
              <w:noProof/>
              <w:kern w:val="0"/>
              <w:sz w:val="22"/>
              <w:szCs w:val="22"/>
              <w:lang w:eastAsia="en-NZ"/>
            </w:rPr>
          </w:pPr>
          <w:hyperlink w:anchor="_Toc522866992" w:history="1">
            <w:r w:rsidRPr="00712A37">
              <w:rPr>
                <w:rStyle w:val="Hyperlink"/>
                <w:noProof/>
              </w:rPr>
              <w:t>We observed a pre-existing difference in time spent receiving assistance from welfare between the participants and the comparison group</w:t>
            </w:r>
            <w:r w:rsidRPr="00712A37">
              <w:rPr>
                <w:noProof/>
                <w:webHidden/>
              </w:rPr>
              <w:tab/>
            </w:r>
            <w:r w:rsidRPr="00712A37">
              <w:rPr>
                <w:noProof/>
                <w:webHidden/>
              </w:rPr>
              <w:fldChar w:fldCharType="begin"/>
            </w:r>
            <w:r w:rsidRPr="00712A37">
              <w:rPr>
                <w:noProof/>
                <w:webHidden/>
              </w:rPr>
              <w:instrText xml:space="preserve"> PAGEREF _Toc522866992 \h </w:instrText>
            </w:r>
            <w:r w:rsidRPr="00712A37">
              <w:rPr>
                <w:noProof/>
                <w:webHidden/>
              </w:rPr>
            </w:r>
            <w:r w:rsidRPr="00712A37">
              <w:rPr>
                <w:noProof/>
                <w:webHidden/>
              </w:rPr>
              <w:fldChar w:fldCharType="separate"/>
            </w:r>
            <w:r w:rsidR="00D24881">
              <w:rPr>
                <w:noProof/>
                <w:webHidden/>
              </w:rPr>
              <w:t>11</w:t>
            </w:r>
            <w:r w:rsidRPr="00712A37">
              <w:rPr>
                <w:noProof/>
                <w:webHidden/>
              </w:rPr>
              <w:fldChar w:fldCharType="end"/>
            </w:r>
          </w:hyperlink>
        </w:p>
        <w:p w:rsidR="00712A37" w:rsidRPr="00712A37" w:rsidRDefault="00712A37">
          <w:pPr>
            <w:pStyle w:val="TOC2"/>
            <w:tabs>
              <w:tab w:val="right" w:leader="dot" w:pos="9016"/>
            </w:tabs>
            <w:rPr>
              <w:rFonts w:asciiTheme="minorHAnsi" w:eastAsiaTheme="minorEastAsia" w:hAnsiTheme="minorHAnsi" w:cstheme="minorBidi"/>
              <w:noProof/>
              <w:kern w:val="0"/>
              <w:sz w:val="22"/>
              <w:szCs w:val="22"/>
              <w:lang w:eastAsia="en-NZ"/>
            </w:rPr>
          </w:pPr>
          <w:hyperlink w:anchor="_Toc522866993" w:history="1">
            <w:r w:rsidRPr="00712A37">
              <w:rPr>
                <w:rStyle w:val="Hyperlink"/>
                <w:noProof/>
              </w:rPr>
              <w:t>We may not have accounted for all unobserved variables that influence participation</w:t>
            </w:r>
            <w:r w:rsidRPr="00712A37">
              <w:rPr>
                <w:noProof/>
                <w:webHidden/>
              </w:rPr>
              <w:tab/>
            </w:r>
            <w:r w:rsidRPr="00712A37">
              <w:rPr>
                <w:noProof/>
                <w:webHidden/>
              </w:rPr>
              <w:fldChar w:fldCharType="begin"/>
            </w:r>
            <w:r w:rsidRPr="00712A37">
              <w:rPr>
                <w:noProof/>
                <w:webHidden/>
              </w:rPr>
              <w:instrText xml:space="preserve"> PAGEREF _Toc522866993 \h </w:instrText>
            </w:r>
            <w:r w:rsidRPr="00712A37">
              <w:rPr>
                <w:noProof/>
                <w:webHidden/>
              </w:rPr>
            </w:r>
            <w:r w:rsidRPr="00712A37">
              <w:rPr>
                <w:noProof/>
                <w:webHidden/>
              </w:rPr>
              <w:fldChar w:fldCharType="separate"/>
            </w:r>
            <w:r w:rsidR="00D24881">
              <w:rPr>
                <w:noProof/>
                <w:webHidden/>
              </w:rPr>
              <w:t>12</w:t>
            </w:r>
            <w:r w:rsidRPr="00712A37">
              <w:rPr>
                <w:noProof/>
                <w:webHidden/>
              </w:rPr>
              <w:fldChar w:fldCharType="end"/>
            </w:r>
          </w:hyperlink>
        </w:p>
        <w:p w:rsidR="00712A37" w:rsidRPr="00712A37" w:rsidRDefault="00712A37">
          <w:pPr>
            <w:pStyle w:val="TOC1"/>
            <w:rPr>
              <w:rFonts w:eastAsiaTheme="minorEastAsia" w:cstheme="minorBidi"/>
              <w:b w:val="0"/>
              <w:kern w:val="0"/>
              <w:sz w:val="22"/>
              <w:szCs w:val="22"/>
              <w:lang w:eastAsia="en-NZ"/>
            </w:rPr>
          </w:pPr>
          <w:hyperlink w:anchor="_Toc522866994" w:history="1">
            <w:r w:rsidRPr="00712A37">
              <w:rPr>
                <w:rStyle w:val="Hyperlink"/>
                <w:rFonts w:eastAsia="Times New Roman"/>
                <w:bCs/>
              </w:rPr>
              <w:t>Driver licensing programme participation cost</w:t>
            </w:r>
            <w:r w:rsidRPr="00712A37">
              <w:rPr>
                <w:webHidden/>
              </w:rPr>
              <w:tab/>
            </w:r>
            <w:r w:rsidRPr="00712A37">
              <w:rPr>
                <w:webHidden/>
              </w:rPr>
              <w:fldChar w:fldCharType="begin"/>
            </w:r>
            <w:r w:rsidRPr="00712A37">
              <w:rPr>
                <w:webHidden/>
              </w:rPr>
              <w:instrText xml:space="preserve"> PAGEREF _Toc522866994 \h </w:instrText>
            </w:r>
            <w:r w:rsidRPr="00712A37">
              <w:rPr>
                <w:webHidden/>
              </w:rPr>
            </w:r>
            <w:r w:rsidRPr="00712A37">
              <w:rPr>
                <w:webHidden/>
              </w:rPr>
              <w:fldChar w:fldCharType="separate"/>
            </w:r>
            <w:r w:rsidR="00D24881">
              <w:rPr>
                <w:webHidden/>
              </w:rPr>
              <w:t>13</w:t>
            </w:r>
            <w:r w:rsidRPr="00712A37">
              <w:rPr>
                <w:webHidden/>
              </w:rPr>
              <w:fldChar w:fldCharType="end"/>
            </w:r>
          </w:hyperlink>
        </w:p>
        <w:p w:rsidR="00712A37" w:rsidRPr="00712A37" w:rsidRDefault="00712A37">
          <w:pPr>
            <w:pStyle w:val="TOC1"/>
            <w:rPr>
              <w:rFonts w:eastAsiaTheme="minorEastAsia" w:cstheme="minorBidi"/>
              <w:b w:val="0"/>
              <w:kern w:val="0"/>
              <w:sz w:val="22"/>
              <w:szCs w:val="22"/>
              <w:lang w:eastAsia="en-NZ"/>
            </w:rPr>
          </w:pPr>
          <w:hyperlink w:anchor="_Toc522866995" w:history="1">
            <w:r w:rsidRPr="00712A37">
              <w:rPr>
                <w:rStyle w:val="Hyperlink"/>
                <w:rFonts w:eastAsia="Times New Roman"/>
                <w:bCs/>
              </w:rPr>
              <w:t>Future work</w:t>
            </w:r>
            <w:r w:rsidRPr="00712A37">
              <w:rPr>
                <w:webHidden/>
              </w:rPr>
              <w:tab/>
            </w:r>
            <w:r w:rsidRPr="00712A37">
              <w:rPr>
                <w:webHidden/>
              </w:rPr>
              <w:fldChar w:fldCharType="begin"/>
            </w:r>
            <w:r w:rsidRPr="00712A37">
              <w:rPr>
                <w:webHidden/>
              </w:rPr>
              <w:instrText xml:space="preserve"> PAGEREF _Toc522866995 \h </w:instrText>
            </w:r>
            <w:r w:rsidRPr="00712A37">
              <w:rPr>
                <w:webHidden/>
              </w:rPr>
            </w:r>
            <w:r w:rsidRPr="00712A37">
              <w:rPr>
                <w:webHidden/>
              </w:rPr>
              <w:fldChar w:fldCharType="separate"/>
            </w:r>
            <w:r w:rsidR="00D24881">
              <w:rPr>
                <w:webHidden/>
              </w:rPr>
              <w:t>14</w:t>
            </w:r>
            <w:r w:rsidRPr="00712A37">
              <w:rPr>
                <w:webHidden/>
              </w:rPr>
              <w:fldChar w:fldCharType="end"/>
            </w:r>
          </w:hyperlink>
        </w:p>
        <w:p w:rsidR="00712A37" w:rsidRPr="00712A37" w:rsidRDefault="00712A37">
          <w:pPr>
            <w:pStyle w:val="TOC1"/>
            <w:rPr>
              <w:rFonts w:eastAsiaTheme="minorEastAsia" w:cstheme="minorBidi"/>
              <w:b w:val="0"/>
              <w:kern w:val="0"/>
              <w:sz w:val="22"/>
              <w:szCs w:val="22"/>
              <w:lang w:eastAsia="en-NZ"/>
            </w:rPr>
          </w:pPr>
          <w:hyperlink w:anchor="_Toc522866996" w:history="1">
            <w:r w:rsidRPr="00712A37">
              <w:rPr>
                <w:rStyle w:val="Hyperlink"/>
                <w:rFonts w:eastAsia="Times New Roman"/>
                <w:bCs/>
              </w:rPr>
              <w:t>Actionable insights</w:t>
            </w:r>
            <w:r w:rsidRPr="00712A37">
              <w:rPr>
                <w:webHidden/>
              </w:rPr>
              <w:tab/>
            </w:r>
            <w:r w:rsidRPr="00712A37">
              <w:rPr>
                <w:webHidden/>
              </w:rPr>
              <w:fldChar w:fldCharType="begin"/>
            </w:r>
            <w:r w:rsidRPr="00712A37">
              <w:rPr>
                <w:webHidden/>
              </w:rPr>
              <w:instrText xml:space="preserve"> PAGEREF _Toc522866996 \h </w:instrText>
            </w:r>
            <w:r w:rsidRPr="00712A37">
              <w:rPr>
                <w:webHidden/>
              </w:rPr>
            </w:r>
            <w:r w:rsidRPr="00712A37">
              <w:rPr>
                <w:webHidden/>
              </w:rPr>
              <w:fldChar w:fldCharType="separate"/>
            </w:r>
            <w:r w:rsidR="00D24881">
              <w:rPr>
                <w:webHidden/>
              </w:rPr>
              <w:t>15</w:t>
            </w:r>
            <w:r w:rsidRPr="00712A37">
              <w:rPr>
                <w:webHidden/>
              </w:rPr>
              <w:fldChar w:fldCharType="end"/>
            </w:r>
          </w:hyperlink>
        </w:p>
        <w:p w:rsidR="00712A37" w:rsidRPr="00712A37" w:rsidRDefault="00712A37">
          <w:pPr>
            <w:pStyle w:val="TOC1"/>
            <w:rPr>
              <w:rFonts w:eastAsiaTheme="minorEastAsia" w:cstheme="minorBidi"/>
              <w:b w:val="0"/>
              <w:kern w:val="0"/>
              <w:sz w:val="22"/>
              <w:szCs w:val="22"/>
              <w:lang w:eastAsia="en-NZ"/>
            </w:rPr>
          </w:pPr>
          <w:hyperlink w:anchor="_Toc522866997" w:history="1">
            <w:r w:rsidRPr="00712A37">
              <w:rPr>
                <w:rStyle w:val="Hyperlink"/>
                <w:rFonts w:eastAsia="Times New Roman"/>
              </w:rPr>
              <w:t>Appendix 1: Summary of methods</w:t>
            </w:r>
            <w:r w:rsidRPr="00712A37">
              <w:rPr>
                <w:webHidden/>
              </w:rPr>
              <w:tab/>
            </w:r>
            <w:r w:rsidRPr="00712A37">
              <w:rPr>
                <w:webHidden/>
              </w:rPr>
              <w:fldChar w:fldCharType="begin"/>
            </w:r>
            <w:r w:rsidRPr="00712A37">
              <w:rPr>
                <w:webHidden/>
              </w:rPr>
              <w:instrText xml:space="preserve"> PAGEREF _Toc522866997 \h </w:instrText>
            </w:r>
            <w:r w:rsidRPr="00712A37">
              <w:rPr>
                <w:webHidden/>
              </w:rPr>
            </w:r>
            <w:r w:rsidRPr="00712A37">
              <w:rPr>
                <w:webHidden/>
              </w:rPr>
              <w:fldChar w:fldCharType="separate"/>
            </w:r>
            <w:r w:rsidR="00D24881">
              <w:rPr>
                <w:webHidden/>
              </w:rPr>
              <w:t>16</w:t>
            </w:r>
            <w:r w:rsidRPr="00712A37">
              <w:rPr>
                <w:webHidden/>
              </w:rPr>
              <w:fldChar w:fldCharType="end"/>
            </w:r>
          </w:hyperlink>
        </w:p>
        <w:p w:rsidR="00712A37" w:rsidRPr="00712A37" w:rsidRDefault="00712A37">
          <w:pPr>
            <w:pStyle w:val="TOC2"/>
            <w:tabs>
              <w:tab w:val="right" w:leader="dot" w:pos="9016"/>
            </w:tabs>
            <w:rPr>
              <w:rFonts w:asciiTheme="minorHAnsi" w:eastAsiaTheme="minorEastAsia" w:hAnsiTheme="minorHAnsi" w:cstheme="minorBidi"/>
              <w:noProof/>
              <w:kern w:val="0"/>
              <w:sz w:val="22"/>
              <w:szCs w:val="22"/>
              <w:lang w:eastAsia="en-NZ"/>
            </w:rPr>
          </w:pPr>
          <w:hyperlink w:anchor="_Toc522866998" w:history="1">
            <w:r w:rsidRPr="00712A37">
              <w:rPr>
                <w:rStyle w:val="Hyperlink"/>
                <w:noProof/>
              </w:rPr>
              <w:t>How participants of driver licensing programmes were identified in the administrative data</w:t>
            </w:r>
            <w:r w:rsidRPr="00712A37">
              <w:rPr>
                <w:noProof/>
                <w:webHidden/>
              </w:rPr>
              <w:tab/>
            </w:r>
            <w:r w:rsidRPr="00712A37">
              <w:rPr>
                <w:noProof/>
                <w:webHidden/>
              </w:rPr>
              <w:fldChar w:fldCharType="begin"/>
            </w:r>
            <w:r w:rsidRPr="00712A37">
              <w:rPr>
                <w:noProof/>
                <w:webHidden/>
              </w:rPr>
              <w:instrText xml:space="preserve"> PAGEREF _Toc522866998 \h </w:instrText>
            </w:r>
            <w:r w:rsidRPr="00712A37">
              <w:rPr>
                <w:noProof/>
                <w:webHidden/>
              </w:rPr>
            </w:r>
            <w:r w:rsidRPr="00712A37">
              <w:rPr>
                <w:noProof/>
                <w:webHidden/>
              </w:rPr>
              <w:fldChar w:fldCharType="separate"/>
            </w:r>
            <w:r w:rsidR="00D24881">
              <w:rPr>
                <w:noProof/>
                <w:webHidden/>
              </w:rPr>
              <w:t>16</w:t>
            </w:r>
            <w:r w:rsidRPr="00712A37">
              <w:rPr>
                <w:noProof/>
                <w:webHidden/>
              </w:rPr>
              <w:fldChar w:fldCharType="end"/>
            </w:r>
          </w:hyperlink>
        </w:p>
        <w:p w:rsidR="00712A37" w:rsidRPr="00712A37" w:rsidRDefault="00712A37">
          <w:pPr>
            <w:pStyle w:val="TOC2"/>
            <w:tabs>
              <w:tab w:val="right" w:leader="dot" w:pos="9016"/>
            </w:tabs>
            <w:rPr>
              <w:rFonts w:asciiTheme="minorHAnsi" w:eastAsiaTheme="minorEastAsia" w:hAnsiTheme="minorHAnsi" w:cstheme="minorBidi"/>
              <w:noProof/>
              <w:kern w:val="0"/>
              <w:sz w:val="22"/>
              <w:szCs w:val="22"/>
              <w:lang w:eastAsia="en-NZ"/>
            </w:rPr>
          </w:pPr>
          <w:hyperlink w:anchor="_Toc522866999" w:history="1">
            <w:r w:rsidRPr="00712A37">
              <w:rPr>
                <w:rStyle w:val="Hyperlink"/>
                <w:noProof/>
              </w:rPr>
              <w:t>Estimating the effectiveness of the programme</w:t>
            </w:r>
            <w:r w:rsidRPr="00712A37">
              <w:rPr>
                <w:noProof/>
                <w:webHidden/>
              </w:rPr>
              <w:tab/>
            </w:r>
            <w:r w:rsidRPr="00712A37">
              <w:rPr>
                <w:noProof/>
                <w:webHidden/>
              </w:rPr>
              <w:fldChar w:fldCharType="begin"/>
            </w:r>
            <w:r w:rsidRPr="00712A37">
              <w:rPr>
                <w:noProof/>
                <w:webHidden/>
              </w:rPr>
              <w:instrText xml:space="preserve"> PAGEREF _Toc522866999 \h </w:instrText>
            </w:r>
            <w:r w:rsidRPr="00712A37">
              <w:rPr>
                <w:noProof/>
                <w:webHidden/>
              </w:rPr>
            </w:r>
            <w:r w:rsidRPr="00712A37">
              <w:rPr>
                <w:noProof/>
                <w:webHidden/>
              </w:rPr>
              <w:fldChar w:fldCharType="separate"/>
            </w:r>
            <w:r w:rsidR="00D24881">
              <w:rPr>
                <w:noProof/>
                <w:webHidden/>
              </w:rPr>
              <w:t>16</w:t>
            </w:r>
            <w:r w:rsidRPr="00712A37">
              <w:rPr>
                <w:noProof/>
                <w:webHidden/>
              </w:rPr>
              <w:fldChar w:fldCharType="end"/>
            </w:r>
          </w:hyperlink>
        </w:p>
        <w:p w:rsidR="00523ABC" w:rsidRDefault="00523ABC" w:rsidP="00523ABC">
          <w:r>
            <w:rPr>
              <w:b/>
              <w:noProof/>
            </w:rPr>
            <w:fldChar w:fldCharType="end"/>
          </w:r>
        </w:p>
      </w:sdtContent>
    </w:sdt>
    <w:p w:rsidR="00523ABC" w:rsidRPr="000B20A9" w:rsidRDefault="00523ABC" w:rsidP="00523ABC">
      <w:pPr>
        <w:spacing w:afterLines="100" w:after="240"/>
        <w:rPr>
          <w:rFonts w:ascii="Georgia" w:hAnsi="Georgia"/>
          <w:b/>
          <w:sz w:val="32"/>
          <w:szCs w:val="32"/>
        </w:rPr>
      </w:pPr>
      <w:bookmarkStart w:id="6" w:name="_Toc386619900"/>
      <w:bookmarkStart w:id="7" w:name="_Toc402433424"/>
      <w:bookmarkEnd w:id="5"/>
      <w:bookmarkEnd w:id="4"/>
      <w:r w:rsidRPr="000B20A9">
        <w:rPr>
          <w:rFonts w:ascii="Georgia" w:hAnsi="Georgia"/>
          <w:b/>
          <w:sz w:val="32"/>
          <w:szCs w:val="32"/>
        </w:rPr>
        <w:t>Table of tables</w:t>
      </w:r>
      <w:bookmarkEnd w:id="6"/>
      <w:bookmarkEnd w:id="7"/>
    </w:p>
    <w:p w:rsidR="004F2D04" w:rsidRDefault="00523ABC">
      <w:pPr>
        <w:pStyle w:val="TableofFigures"/>
        <w:tabs>
          <w:tab w:val="right" w:leader="dot" w:pos="9016"/>
        </w:tabs>
        <w:rPr>
          <w:rFonts w:asciiTheme="minorHAnsi" w:eastAsiaTheme="minorEastAsia" w:hAnsiTheme="minorHAnsi" w:cstheme="minorBidi"/>
          <w:noProof/>
          <w:kern w:val="0"/>
          <w:sz w:val="22"/>
          <w:szCs w:val="22"/>
          <w:lang w:eastAsia="en-NZ"/>
        </w:rPr>
      </w:pPr>
      <w:r>
        <w:fldChar w:fldCharType="begin"/>
      </w:r>
      <w:r>
        <w:instrText xml:space="preserve"> TOC \h \z \c "Table" </w:instrText>
      </w:r>
      <w:r>
        <w:fldChar w:fldCharType="separate"/>
      </w:r>
      <w:hyperlink w:anchor="_Toc522867892" w:history="1">
        <w:r w:rsidR="004F2D04" w:rsidRPr="00E32442">
          <w:rPr>
            <w:rStyle w:val="Hyperlink"/>
            <w:noProof/>
          </w:rPr>
          <w:t>Table 1 - Summary of observed impacts</w:t>
        </w:r>
        <w:r w:rsidR="004F2D04">
          <w:rPr>
            <w:noProof/>
            <w:webHidden/>
          </w:rPr>
          <w:tab/>
        </w:r>
        <w:r w:rsidR="004F2D04">
          <w:rPr>
            <w:noProof/>
            <w:webHidden/>
          </w:rPr>
          <w:fldChar w:fldCharType="begin"/>
        </w:r>
        <w:r w:rsidR="004F2D04">
          <w:rPr>
            <w:noProof/>
            <w:webHidden/>
          </w:rPr>
          <w:instrText xml:space="preserve"> PAGEREF _Toc522867892 \h </w:instrText>
        </w:r>
        <w:r w:rsidR="004F2D04">
          <w:rPr>
            <w:noProof/>
            <w:webHidden/>
          </w:rPr>
        </w:r>
        <w:r w:rsidR="004F2D04">
          <w:rPr>
            <w:noProof/>
            <w:webHidden/>
          </w:rPr>
          <w:fldChar w:fldCharType="separate"/>
        </w:r>
        <w:r w:rsidR="00D24881">
          <w:rPr>
            <w:noProof/>
            <w:webHidden/>
          </w:rPr>
          <w:t>5</w:t>
        </w:r>
        <w:r w:rsidR="004F2D04">
          <w:rPr>
            <w:noProof/>
            <w:webHidden/>
          </w:rPr>
          <w:fldChar w:fldCharType="end"/>
        </w:r>
      </w:hyperlink>
    </w:p>
    <w:p w:rsidR="004F2D04" w:rsidRDefault="004F2D04">
      <w:pPr>
        <w:pStyle w:val="TableofFigures"/>
        <w:tabs>
          <w:tab w:val="right" w:leader="dot" w:pos="9016"/>
        </w:tabs>
        <w:rPr>
          <w:rFonts w:asciiTheme="minorHAnsi" w:eastAsiaTheme="minorEastAsia" w:hAnsiTheme="minorHAnsi" w:cstheme="minorBidi"/>
          <w:noProof/>
          <w:kern w:val="0"/>
          <w:sz w:val="22"/>
          <w:szCs w:val="22"/>
          <w:lang w:eastAsia="en-NZ"/>
        </w:rPr>
      </w:pPr>
      <w:hyperlink w:anchor="_Toc522867893" w:history="1">
        <w:r w:rsidRPr="00E32442">
          <w:rPr>
            <w:rStyle w:val="Hyperlink"/>
            <w:noProof/>
          </w:rPr>
          <w:t>Table 2 - Percentage of participant and comparison groups at each licence stage</w:t>
        </w:r>
        <w:r>
          <w:rPr>
            <w:noProof/>
            <w:webHidden/>
          </w:rPr>
          <w:tab/>
        </w:r>
        <w:r>
          <w:rPr>
            <w:noProof/>
            <w:webHidden/>
          </w:rPr>
          <w:fldChar w:fldCharType="begin"/>
        </w:r>
        <w:r>
          <w:rPr>
            <w:noProof/>
            <w:webHidden/>
          </w:rPr>
          <w:instrText xml:space="preserve"> PAGEREF _Toc522867893 \h </w:instrText>
        </w:r>
        <w:r>
          <w:rPr>
            <w:noProof/>
            <w:webHidden/>
          </w:rPr>
        </w:r>
        <w:r>
          <w:rPr>
            <w:noProof/>
            <w:webHidden/>
          </w:rPr>
          <w:fldChar w:fldCharType="separate"/>
        </w:r>
        <w:r w:rsidR="00D24881">
          <w:rPr>
            <w:noProof/>
            <w:webHidden/>
          </w:rPr>
          <w:t>8</w:t>
        </w:r>
        <w:r>
          <w:rPr>
            <w:noProof/>
            <w:webHidden/>
          </w:rPr>
          <w:fldChar w:fldCharType="end"/>
        </w:r>
      </w:hyperlink>
    </w:p>
    <w:p w:rsidR="004F2D04" w:rsidRDefault="004F2D04">
      <w:pPr>
        <w:pStyle w:val="TableofFigures"/>
        <w:tabs>
          <w:tab w:val="right" w:leader="dot" w:pos="9016"/>
        </w:tabs>
        <w:rPr>
          <w:rFonts w:asciiTheme="minorHAnsi" w:eastAsiaTheme="minorEastAsia" w:hAnsiTheme="minorHAnsi" w:cstheme="minorBidi"/>
          <w:noProof/>
          <w:kern w:val="0"/>
          <w:sz w:val="22"/>
          <w:szCs w:val="22"/>
          <w:lang w:eastAsia="en-NZ"/>
        </w:rPr>
      </w:pPr>
      <w:hyperlink w:anchor="_Toc522867894" w:history="1">
        <w:r w:rsidRPr="00E32442">
          <w:rPr>
            <w:rStyle w:val="Hyperlink"/>
            <w:noProof/>
          </w:rPr>
          <w:t>Table 3 - Participants' outcomes and impact results by type of outcome</w:t>
        </w:r>
        <w:r>
          <w:rPr>
            <w:noProof/>
            <w:webHidden/>
          </w:rPr>
          <w:tab/>
        </w:r>
        <w:r>
          <w:rPr>
            <w:noProof/>
            <w:webHidden/>
          </w:rPr>
          <w:fldChar w:fldCharType="begin"/>
        </w:r>
        <w:r>
          <w:rPr>
            <w:noProof/>
            <w:webHidden/>
          </w:rPr>
          <w:instrText xml:space="preserve"> PAGEREF _Toc522867894 \h </w:instrText>
        </w:r>
        <w:r>
          <w:rPr>
            <w:noProof/>
            <w:webHidden/>
          </w:rPr>
        </w:r>
        <w:r>
          <w:rPr>
            <w:noProof/>
            <w:webHidden/>
          </w:rPr>
          <w:fldChar w:fldCharType="separate"/>
        </w:r>
        <w:r w:rsidR="00D24881">
          <w:rPr>
            <w:noProof/>
            <w:webHidden/>
          </w:rPr>
          <w:t>10</w:t>
        </w:r>
        <w:r>
          <w:rPr>
            <w:noProof/>
            <w:webHidden/>
          </w:rPr>
          <w:fldChar w:fldCharType="end"/>
        </w:r>
      </w:hyperlink>
    </w:p>
    <w:p w:rsidR="004F2D04" w:rsidRDefault="004F2D04">
      <w:pPr>
        <w:pStyle w:val="TableofFigures"/>
        <w:tabs>
          <w:tab w:val="right" w:leader="dot" w:pos="9016"/>
        </w:tabs>
        <w:rPr>
          <w:rFonts w:asciiTheme="minorHAnsi" w:eastAsiaTheme="minorEastAsia" w:hAnsiTheme="minorHAnsi" w:cstheme="minorBidi"/>
          <w:noProof/>
          <w:kern w:val="0"/>
          <w:sz w:val="22"/>
          <w:szCs w:val="22"/>
          <w:lang w:eastAsia="en-NZ"/>
        </w:rPr>
      </w:pPr>
      <w:hyperlink w:anchor="_Toc522867895" w:history="1">
        <w:r w:rsidRPr="00E32442">
          <w:rPr>
            <w:rStyle w:val="Hyperlink"/>
            <w:noProof/>
          </w:rPr>
          <w:t>Table 4 - Average cost per start in 2014 and 2015</w:t>
        </w:r>
        <w:r>
          <w:rPr>
            <w:noProof/>
            <w:webHidden/>
          </w:rPr>
          <w:tab/>
        </w:r>
        <w:r>
          <w:rPr>
            <w:noProof/>
            <w:webHidden/>
          </w:rPr>
          <w:fldChar w:fldCharType="begin"/>
        </w:r>
        <w:r>
          <w:rPr>
            <w:noProof/>
            <w:webHidden/>
          </w:rPr>
          <w:instrText xml:space="preserve"> PAGEREF _Toc522867895 \h </w:instrText>
        </w:r>
        <w:r>
          <w:rPr>
            <w:noProof/>
            <w:webHidden/>
          </w:rPr>
        </w:r>
        <w:r>
          <w:rPr>
            <w:noProof/>
            <w:webHidden/>
          </w:rPr>
          <w:fldChar w:fldCharType="separate"/>
        </w:r>
        <w:r w:rsidR="00D24881">
          <w:rPr>
            <w:noProof/>
            <w:webHidden/>
          </w:rPr>
          <w:t>13</w:t>
        </w:r>
        <w:r>
          <w:rPr>
            <w:noProof/>
            <w:webHidden/>
          </w:rPr>
          <w:fldChar w:fldCharType="end"/>
        </w:r>
      </w:hyperlink>
    </w:p>
    <w:p w:rsidR="00523ABC" w:rsidRDefault="00523ABC" w:rsidP="00523ABC">
      <w:r>
        <w:fldChar w:fldCharType="end"/>
      </w:r>
    </w:p>
    <w:p w:rsidR="00523ABC" w:rsidRDefault="00523ABC" w:rsidP="00523ABC">
      <w:pPr>
        <w:sectPr w:rsidR="00523ABC" w:rsidSect="000B20A9">
          <w:footerReference w:type="even" r:id="rId12"/>
          <w:footerReference w:type="default" r:id="rId13"/>
          <w:pgSz w:w="11906" w:h="16838" w:code="9"/>
          <w:pgMar w:top="1440" w:right="1440" w:bottom="1418" w:left="1440" w:header="709" w:footer="709" w:gutter="0"/>
          <w:cols w:space="708"/>
          <w:docGrid w:linePitch="360"/>
        </w:sectPr>
      </w:pPr>
    </w:p>
    <w:p w:rsidR="00712A37" w:rsidRPr="00712A37" w:rsidRDefault="00712A37" w:rsidP="00712A37">
      <w:pPr>
        <w:pStyle w:val="Heading1"/>
        <w:rPr>
          <w:rFonts w:eastAsia="Times New Roman"/>
        </w:rPr>
      </w:pPr>
      <w:bookmarkStart w:id="8" w:name="_Toc508620332"/>
      <w:bookmarkStart w:id="9" w:name="_Toc521668704"/>
      <w:bookmarkStart w:id="10" w:name="_Toc522866978"/>
      <w:r w:rsidRPr="00712A37">
        <w:rPr>
          <w:rFonts w:eastAsia="Times New Roman"/>
        </w:rPr>
        <w:lastRenderedPageBreak/>
        <w:t>Executive summary</w:t>
      </w:r>
      <w:bookmarkEnd w:id="9"/>
      <w:bookmarkEnd w:id="10"/>
    </w:p>
    <w:p w:rsidR="00712A37" w:rsidRPr="00712A37" w:rsidRDefault="00712A37" w:rsidP="004F2D04">
      <w:r w:rsidRPr="00712A37">
        <w:t>In this report, we examined the effectiveness of driver licensing programmes funded by the Ministry of Social Development (MSD) in 2014 and 2015. These programmes are aimed at helping clients progress through the stages of the New Zealand driver licensing system. This project was commissioned by the Driver Licensing Working Group</w:t>
      </w:r>
      <w:r w:rsidRPr="00712A37">
        <w:rPr>
          <w:rFonts w:ascii="Arial" w:hAnsi="Arial"/>
          <w:sz w:val="18"/>
          <w:szCs w:val="16"/>
          <w:vertAlign w:val="superscript"/>
          <w:lang w:val="en-US" w:eastAsia="x-none"/>
        </w:rPr>
        <w:footnoteReference w:id="1"/>
      </w:r>
      <w:r w:rsidRPr="00712A37">
        <w:t xml:space="preserve">. </w:t>
      </w:r>
    </w:p>
    <w:p w:rsidR="00712A37" w:rsidRPr="00712A37" w:rsidRDefault="00712A37" w:rsidP="004F2D04">
      <w:r w:rsidRPr="00712A37">
        <w:t xml:space="preserve">We measured the impact of the programmes on a range of participants’ outcomes. The short-term goal is obtaining a full driver licence, while longer-term goals include outcomes in income, employment, and time spent not receiving a main benefit or employment assistance. We also look at long-term impact on education and justice (including criminal offending and contact with the corrections system) as secondary outcomes. The term impact refers to the difference in outcomes between the participants and a matched comparison group. We estimated impact using a quasi-experimental design involving propensity score matching. </w:t>
      </w:r>
    </w:p>
    <w:p w:rsidR="00712A37" w:rsidRPr="00712A37" w:rsidRDefault="00712A37" w:rsidP="00712A37">
      <w:pPr>
        <w:pStyle w:val="Heading2"/>
      </w:pPr>
      <w:bookmarkStart w:id="11" w:name="_Toc521668705"/>
      <w:bookmarkStart w:id="12" w:name="_Toc522866979"/>
      <w:r w:rsidRPr="00712A37">
        <w:t>Driver licensing programmes helped participants gain a full licence</w:t>
      </w:r>
      <w:bookmarkEnd w:id="11"/>
      <w:bookmarkEnd w:id="12"/>
    </w:p>
    <w:p w:rsidR="00712A37" w:rsidRPr="00712A37" w:rsidRDefault="00712A37" w:rsidP="00712A37">
      <w:r w:rsidRPr="00712A37">
        <w:t>We estimated the effectiveness of the programmes by comparing outcomes of the participants with the outcomes of a matched group of people that did not take part. In the short-term, the programmes aim to support progression through the stages of driver licensing. After 18 months, 30 percent of participants held a full licence</w:t>
      </w:r>
      <w:r w:rsidRPr="00712A37">
        <w:rPr>
          <w:rFonts w:ascii="Arial" w:hAnsi="Arial"/>
          <w:sz w:val="18"/>
          <w:szCs w:val="16"/>
          <w:vertAlign w:val="superscript"/>
          <w:lang w:val="en-US" w:eastAsia="x-none"/>
        </w:rPr>
        <w:footnoteReference w:id="2"/>
      </w:r>
      <w:r w:rsidRPr="00712A37">
        <w:t xml:space="preserve"> compared to 17 percent of the comparison group. </w:t>
      </w:r>
    </w:p>
    <w:p w:rsidR="00712A37" w:rsidRPr="00712A37" w:rsidRDefault="00712A37" w:rsidP="00712A37">
      <w:pPr>
        <w:pStyle w:val="Heading2"/>
      </w:pPr>
      <w:bookmarkStart w:id="13" w:name="_Toc521668706"/>
      <w:bookmarkStart w:id="14" w:name="_Toc522866980"/>
      <w:r w:rsidRPr="00712A37">
        <w:t>Driver licensing programmes had a positive impact on employment and earnings</w:t>
      </w:r>
      <w:bookmarkEnd w:id="13"/>
      <w:bookmarkEnd w:id="14"/>
    </w:p>
    <w:p w:rsidR="00712A37" w:rsidRPr="00712A37" w:rsidRDefault="00712A37" w:rsidP="00712A37">
      <w:r w:rsidRPr="00712A37">
        <w:t xml:space="preserve">We examined a range of outcomes including </w:t>
      </w:r>
      <w:proofErr w:type="gramStart"/>
      <w:r w:rsidRPr="00712A37">
        <w:t>employment,</w:t>
      </w:r>
      <w:proofErr w:type="gramEnd"/>
      <w:r w:rsidRPr="00712A37">
        <w:t xml:space="preserve"> time spent not receiving a main benefit or employment assistance, and income. The important caveat to remember is that while we can establish impacts on these outcomes separately, we are not able to infer a causal link between the short-term outcome of obtaining a driver licence and these outcomes.</w:t>
      </w:r>
    </w:p>
    <w:p w:rsidR="00712A37" w:rsidRPr="00712A37" w:rsidRDefault="00712A37" w:rsidP="00712A37">
      <w:r w:rsidRPr="00712A37">
        <w:t xml:space="preserve">We found that the programmes increased the time participants spent in employment and their net income. </w:t>
      </w:r>
      <w:r w:rsidRPr="00712A37">
        <w:fldChar w:fldCharType="begin"/>
      </w:r>
      <w:r w:rsidRPr="00712A37">
        <w:instrText xml:space="preserve"> REF _Ref476940179 \h  \* MERGEFORMAT </w:instrText>
      </w:r>
      <w:r w:rsidRPr="00712A37">
        <w:fldChar w:fldCharType="separate"/>
      </w:r>
      <w:r w:rsidRPr="00712A37">
        <w:t>Table 1</w:t>
      </w:r>
      <w:r w:rsidRPr="00712A37">
        <w:fldChar w:fldCharType="end"/>
      </w:r>
      <w:r w:rsidRPr="00712A37">
        <w:t xml:space="preserve"> summarises employment, income, and welfare findings, as well as the impact of programmes on achieving a full licence.</w:t>
      </w:r>
    </w:p>
    <w:p w:rsidR="00712A37" w:rsidRPr="00712A37" w:rsidRDefault="00712A37" w:rsidP="00712A37">
      <w:r w:rsidRPr="00712A37">
        <w:t xml:space="preserve">Other outcomes included education and outcomes related to the justice system. The programmes did not have an impact on these outcomes. Please refer to </w:t>
      </w:r>
      <w:r w:rsidRPr="00712A37">
        <w:fldChar w:fldCharType="begin"/>
      </w:r>
      <w:r w:rsidRPr="00712A37">
        <w:instrText xml:space="preserve"> REF _Ref516046159 \h </w:instrText>
      </w:r>
      <w:r>
        <w:instrText xml:space="preserve"> \* MERGEFORMAT </w:instrText>
      </w:r>
      <w:r w:rsidRPr="00712A37">
        <w:fldChar w:fldCharType="separate"/>
      </w:r>
      <w:r w:rsidRPr="00712A37">
        <w:t xml:space="preserve">Table </w:t>
      </w:r>
      <w:r w:rsidRPr="00712A37">
        <w:rPr>
          <w:noProof/>
        </w:rPr>
        <w:t>3</w:t>
      </w:r>
      <w:r w:rsidRPr="00712A37">
        <w:fldChar w:fldCharType="end"/>
      </w:r>
      <w:r w:rsidRPr="00712A37">
        <w:t xml:space="preserve"> for further details.</w:t>
      </w:r>
    </w:p>
    <w:p w:rsidR="00712A37" w:rsidRPr="00712A37" w:rsidRDefault="00712A37" w:rsidP="00D24881">
      <w:pPr>
        <w:pStyle w:val="Heading4"/>
        <w:spacing w:after="120"/>
      </w:pPr>
      <w:bookmarkStart w:id="15" w:name="_Ref476940179"/>
      <w:bookmarkStart w:id="16" w:name="_Toc522867892"/>
      <w:r w:rsidRPr="00712A37">
        <w:lastRenderedPageBreak/>
        <w:t xml:space="preserve">Table </w:t>
      </w:r>
      <w:r w:rsidRPr="00712A37">
        <w:fldChar w:fldCharType="begin"/>
      </w:r>
      <w:r w:rsidRPr="00712A37">
        <w:instrText xml:space="preserve"> SEQ Table \* ARABIC </w:instrText>
      </w:r>
      <w:r w:rsidRPr="00712A37">
        <w:fldChar w:fldCharType="separate"/>
      </w:r>
      <w:r w:rsidRPr="00712A37">
        <w:rPr>
          <w:noProof/>
        </w:rPr>
        <w:t>1</w:t>
      </w:r>
      <w:r w:rsidRPr="00712A37">
        <w:rPr>
          <w:noProof/>
        </w:rPr>
        <w:fldChar w:fldCharType="end"/>
      </w:r>
      <w:bookmarkEnd w:id="15"/>
      <w:r w:rsidRPr="00712A37">
        <w:t xml:space="preserve"> - Summary of observed impacts</w:t>
      </w:r>
      <w:bookmarkEnd w:id="16"/>
    </w:p>
    <w:tbl>
      <w:tblPr>
        <w:tblStyle w:val="ImpactEvalTable"/>
        <w:tblW w:w="5000" w:type="pct"/>
        <w:tblLook w:val="04A0" w:firstRow="1" w:lastRow="0" w:firstColumn="1" w:lastColumn="0" w:noHBand="0" w:noVBand="1"/>
      </w:tblPr>
      <w:tblGrid>
        <w:gridCol w:w="7906"/>
        <w:gridCol w:w="1336"/>
      </w:tblGrid>
      <w:tr w:rsidR="00712A37" w:rsidRPr="00712A37" w:rsidTr="004F2D04">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277" w:type="pct"/>
            <w:tcBorders>
              <w:right w:val="outset" w:sz="6" w:space="0" w:color="FFFFFF" w:themeColor="background1"/>
            </w:tcBorders>
            <w:shd w:val="clear" w:color="auto" w:fill="121F6B"/>
          </w:tcPr>
          <w:p w:rsidR="00712A37" w:rsidRPr="004F2D04" w:rsidRDefault="00712A37" w:rsidP="00712A37">
            <w:pPr>
              <w:keepNext/>
              <w:spacing w:before="60" w:after="60"/>
              <w:rPr>
                <w:color w:val="FFFFFF" w:themeColor="background1"/>
              </w:rPr>
            </w:pPr>
            <w:r w:rsidRPr="004F2D04">
              <w:rPr>
                <w:color w:val="FFFFFF" w:themeColor="background1"/>
              </w:rPr>
              <w:t>Average cumulative impact on participants relative to the comparison group</w:t>
            </w:r>
          </w:p>
        </w:tc>
        <w:tc>
          <w:tcPr>
            <w:tcW w:w="723" w:type="pct"/>
            <w:tcBorders>
              <w:left w:val="outset" w:sz="6" w:space="0" w:color="FFFFFF" w:themeColor="background1"/>
            </w:tcBorders>
            <w:shd w:val="clear" w:color="auto" w:fill="121F6B"/>
          </w:tcPr>
          <w:p w:rsidR="00712A37" w:rsidRPr="004F2D04" w:rsidRDefault="00712A37" w:rsidP="00712A37">
            <w:pPr>
              <w:keepNext/>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4F2D04">
              <w:rPr>
                <w:color w:val="FFFFFF" w:themeColor="background1"/>
              </w:rPr>
              <w:t>Direction of impact</w:t>
            </w:r>
          </w:p>
        </w:tc>
      </w:tr>
      <w:tr w:rsidR="00712A37" w:rsidRPr="00712A37" w:rsidTr="00712A37">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277" w:type="pct"/>
          </w:tcPr>
          <w:p w:rsidR="00712A37" w:rsidRPr="00712A37" w:rsidRDefault="00712A37" w:rsidP="00712A37">
            <w:pPr>
              <w:keepNext/>
              <w:spacing w:before="60" w:after="60"/>
              <w:rPr>
                <w:b/>
              </w:rPr>
            </w:pPr>
            <w:r w:rsidRPr="00712A37">
              <w:t>Participants spent 20 additional days in employment (while off benefit) over a 18 month period</w:t>
            </w:r>
          </w:p>
        </w:tc>
        <w:tc>
          <w:tcPr>
            <w:tcW w:w="723" w:type="pct"/>
          </w:tcPr>
          <w:p w:rsidR="00712A37" w:rsidRPr="00712A37" w:rsidRDefault="00712A37" w:rsidP="00712A37">
            <w:pPr>
              <w:keepNext/>
              <w:spacing w:before="60" w:after="60"/>
              <w:cnfStyle w:val="000000100000" w:firstRow="0" w:lastRow="0" w:firstColumn="0" w:lastColumn="0" w:oddVBand="0" w:evenVBand="0" w:oddHBand="1" w:evenHBand="0" w:firstRowFirstColumn="0" w:firstRowLastColumn="0" w:lastRowFirstColumn="0" w:lastRowLastColumn="0"/>
            </w:pPr>
            <w:r w:rsidRPr="00712A37">
              <w:t>Positive</w:t>
            </w:r>
          </w:p>
        </w:tc>
      </w:tr>
      <w:tr w:rsidR="00712A37" w:rsidRPr="00712A37" w:rsidTr="00712A37">
        <w:trPr>
          <w:trHeight w:val="401"/>
        </w:trPr>
        <w:tc>
          <w:tcPr>
            <w:cnfStyle w:val="001000000000" w:firstRow="0" w:lastRow="0" w:firstColumn="1" w:lastColumn="0" w:oddVBand="0" w:evenVBand="0" w:oddHBand="0" w:evenHBand="0" w:firstRowFirstColumn="0" w:firstRowLastColumn="0" w:lastRowFirstColumn="0" w:lastRowLastColumn="0"/>
            <w:tcW w:w="4277" w:type="pct"/>
          </w:tcPr>
          <w:p w:rsidR="00712A37" w:rsidRPr="00712A37" w:rsidRDefault="00712A37" w:rsidP="00712A37">
            <w:pPr>
              <w:keepNext/>
              <w:spacing w:before="60" w:after="60"/>
              <w:rPr>
                <w:b/>
              </w:rPr>
            </w:pPr>
            <w:r w:rsidRPr="00712A37">
              <w:t xml:space="preserve">Participants earned $3,000 more from employment over a 18 month period </w:t>
            </w:r>
          </w:p>
        </w:tc>
        <w:tc>
          <w:tcPr>
            <w:tcW w:w="723" w:type="pct"/>
          </w:tcPr>
          <w:p w:rsidR="00712A37" w:rsidRPr="00712A37" w:rsidRDefault="00712A37" w:rsidP="00712A37">
            <w:pPr>
              <w:keepNext/>
              <w:spacing w:before="60" w:after="60"/>
              <w:cnfStyle w:val="000000000000" w:firstRow="0" w:lastRow="0" w:firstColumn="0" w:lastColumn="0" w:oddVBand="0" w:evenVBand="0" w:oddHBand="0" w:evenHBand="0" w:firstRowFirstColumn="0" w:firstRowLastColumn="0" w:lastRowFirstColumn="0" w:lastRowLastColumn="0"/>
            </w:pPr>
            <w:r w:rsidRPr="00712A37">
              <w:t>Positive</w:t>
            </w:r>
          </w:p>
        </w:tc>
      </w:tr>
      <w:tr w:rsidR="00712A37" w:rsidRPr="00712A37" w:rsidTr="00712A37">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4277" w:type="pct"/>
          </w:tcPr>
          <w:p w:rsidR="00712A37" w:rsidRPr="00712A37" w:rsidRDefault="00712A37" w:rsidP="00712A37">
            <w:pPr>
              <w:keepNext/>
              <w:spacing w:before="60" w:after="60"/>
              <w:rPr>
                <w:b/>
              </w:rPr>
            </w:pPr>
            <w:r w:rsidRPr="00712A37">
              <w:t>Participants spent equal time</w:t>
            </w:r>
            <w:r w:rsidRPr="00712A37">
              <w:rPr>
                <w:vertAlign w:val="superscript"/>
                <w:lang w:val="en-US" w:eastAsia="x-none"/>
              </w:rPr>
              <w:footnoteReference w:id="3"/>
            </w:r>
            <w:r w:rsidRPr="00712A37">
              <w:t xml:space="preserve"> not receiving a main benefit or employment assistance over a 18 month period</w:t>
            </w:r>
          </w:p>
        </w:tc>
        <w:tc>
          <w:tcPr>
            <w:tcW w:w="723" w:type="pct"/>
          </w:tcPr>
          <w:p w:rsidR="00712A37" w:rsidRPr="00712A37" w:rsidRDefault="00712A37" w:rsidP="00712A37">
            <w:pPr>
              <w:keepNext/>
              <w:spacing w:before="60" w:after="60"/>
              <w:cnfStyle w:val="000000100000" w:firstRow="0" w:lastRow="0" w:firstColumn="0" w:lastColumn="0" w:oddVBand="0" w:evenVBand="0" w:oddHBand="1" w:evenHBand="0" w:firstRowFirstColumn="0" w:firstRowLastColumn="0" w:lastRowFirstColumn="0" w:lastRowLastColumn="0"/>
            </w:pPr>
            <w:r w:rsidRPr="00712A37">
              <w:t>Neutral</w:t>
            </w:r>
          </w:p>
        </w:tc>
      </w:tr>
      <w:tr w:rsidR="00712A37" w:rsidRPr="00712A37" w:rsidTr="00712A37">
        <w:trPr>
          <w:trHeight w:val="394"/>
        </w:trPr>
        <w:tc>
          <w:tcPr>
            <w:cnfStyle w:val="001000000000" w:firstRow="0" w:lastRow="0" w:firstColumn="1" w:lastColumn="0" w:oddVBand="0" w:evenVBand="0" w:oddHBand="0" w:evenHBand="0" w:firstRowFirstColumn="0" w:firstRowLastColumn="0" w:lastRowFirstColumn="0" w:lastRowLastColumn="0"/>
            <w:tcW w:w="4277" w:type="pct"/>
          </w:tcPr>
          <w:p w:rsidR="00712A37" w:rsidRPr="00712A37" w:rsidRDefault="00712A37" w:rsidP="00712A37">
            <w:pPr>
              <w:keepNext/>
              <w:spacing w:before="60" w:after="60"/>
            </w:pPr>
            <w:r w:rsidRPr="00712A37">
              <w:t>An additional 13 percentage points of participants held a full licence after a 18 month period</w:t>
            </w:r>
          </w:p>
        </w:tc>
        <w:tc>
          <w:tcPr>
            <w:tcW w:w="723" w:type="pct"/>
          </w:tcPr>
          <w:p w:rsidR="00712A37" w:rsidRPr="00712A37" w:rsidRDefault="00712A37" w:rsidP="00712A37">
            <w:pPr>
              <w:keepNext/>
              <w:spacing w:before="60" w:after="60"/>
              <w:cnfStyle w:val="000000000000" w:firstRow="0" w:lastRow="0" w:firstColumn="0" w:lastColumn="0" w:oddVBand="0" w:evenVBand="0" w:oddHBand="0" w:evenHBand="0" w:firstRowFirstColumn="0" w:firstRowLastColumn="0" w:lastRowFirstColumn="0" w:lastRowLastColumn="0"/>
            </w:pPr>
            <w:r w:rsidRPr="00712A37">
              <w:t>Positive</w:t>
            </w:r>
          </w:p>
        </w:tc>
      </w:tr>
    </w:tbl>
    <w:p w:rsidR="00712A37" w:rsidRPr="004F2D04" w:rsidRDefault="00712A37" w:rsidP="00712A37">
      <w:pPr>
        <w:widowControl w:val="0"/>
        <w:suppressAutoHyphens/>
        <w:autoSpaceDE w:val="0"/>
        <w:autoSpaceDN w:val="0"/>
        <w:adjustRightInd w:val="0"/>
        <w:spacing w:before="40" w:after="40" w:line="220" w:lineRule="atLeast"/>
        <w:textAlignment w:val="center"/>
        <w:rPr>
          <w:i/>
          <w:kern w:val="0"/>
          <w:sz w:val="18"/>
          <w:szCs w:val="18"/>
          <w:lang w:eastAsia="en-NZ"/>
        </w:rPr>
      </w:pPr>
      <w:r w:rsidRPr="004F2D04">
        <w:rPr>
          <w:i/>
          <w:kern w:val="0"/>
          <w:sz w:val="18"/>
          <w:szCs w:val="18"/>
          <w:lang w:eastAsia="en-NZ"/>
        </w:rPr>
        <w:t>The average impact is measured with reference to a comparison group constructed from propensity score matching.</w:t>
      </w:r>
    </w:p>
    <w:p w:rsidR="00712A37" w:rsidRDefault="00712A37">
      <w:pPr>
        <w:spacing w:after="200" w:line="276" w:lineRule="auto"/>
        <w:rPr>
          <w:rFonts w:ascii="Georgia" w:eastAsia="Times New Roman" w:hAnsi="Georgia"/>
          <w:b/>
          <w:bCs/>
          <w:color w:val="121F6B"/>
          <w:kern w:val="0"/>
          <w:sz w:val="36"/>
          <w:szCs w:val="28"/>
        </w:rPr>
      </w:pPr>
      <w:bookmarkStart w:id="17" w:name="_Toc521668707"/>
      <w:bookmarkStart w:id="18" w:name="_Toc522866981"/>
      <w:r>
        <w:rPr>
          <w:rFonts w:eastAsia="Times New Roman"/>
        </w:rPr>
        <w:br w:type="page"/>
      </w:r>
    </w:p>
    <w:p w:rsidR="00712A37" w:rsidRPr="00712A37" w:rsidRDefault="00712A37" w:rsidP="00712A37">
      <w:pPr>
        <w:pStyle w:val="Heading1"/>
        <w:rPr>
          <w:rFonts w:eastAsia="Times New Roman"/>
        </w:rPr>
      </w:pPr>
      <w:r w:rsidRPr="00712A37">
        <w:lastRenderedPageBreak/>
        <w:t>Driver</w:t>
      </w:r>
      <w:r w:rsidRPr="00712A37">
        <w:rPr>
          <w:rFonts w:eastAsia="Times New Roman"/>
        </w:rPr>
        <w:t xml:space="preserve"> licensing programmes</w:t>
      </w:r>
      <w:bookmarkEnd w:id="17"/>
      <w:bookmarkEnd w:id="18"/>
    </w:p>
    <w:p w:rsidR="00712A37" w:rsidRPr="00712A37" w:rsidRDefault="00712A37" w:rsidP="00712A37">
      <w:r w:rsidRPr="00712A37">
        <w:t>MSD contracts external providers to fund and train its clients to progress through the New Zealand Transport Authority’s Graduated Driver Licence System (GDLS). The system has three stages, starting with obtaining a learner’s licence, a restricted licence and ending with a full licence.</w:t>
      </w:r>
    </w:p>
    <w:p w:rsidR="00712A37" w:rsidRPr="00712A37" w:rsidRDefault="00712A37" w:rsidP="00712A37">
      <w:r w:rsidRPr="00712A37">
        <w:t xml:space="preserve">There are a wide range of providers (including driving schools and charitable trusts), and they offer a variety of GDLS-related activities to clients, such as, helping people obtain forklift licences or helping them to progress from a learner’s to restricted licence. Throughout this report, we refer to this group of activities as ‘driver licensing programmes’. These programmes help MSD clients at various stages to progress through the GDLS. Holding a driver licence has important social and economic benefits. It helps people access work and education opportunities, access goods and services, and </w:t>
      </w:r>
      <w:proofErr w:type="gramStart"/>
      <w:r w:rsidRPr="00712A37">
        <w:t>connect</w:t>
      </w:r>
      <w:proofErr w:type="gramEnd"/>
      <w:r w:rsidRPr="00712A37">
        <w:t xml:space="preserve"> with friends and family.</w:t>
      </w:r>
    </w:p>
    <w:p w:rsidR="00D24881" w:rsidRDefault="00D24881">
      <w:pPr>
        <w:spacing w:after="200" w:line="276" w:lineRule="auto"/>
        <w:rPr>
          <w:rFonts w:ascii="Georgia" w:eastAsia="Times New Roman" w:hAnsi="Georgia"/>
          <w:b/>
          <w:bCs/>
          <w:color w:val="121F6B"/>
          <w:kern w:val="0"/>
          <w:sz w:val="36"/>
          <w:szCs w:val="28"/>
        </w:rPr>
      </w:pPr>
      <w:bookmarkStart w:id="19" w:name="_Toc521668708"/>
      <w:bookmarkStart w:id="20" w:name="_Toc452647005"/>
      <w:bookmarkStart w:id="21" w:name="_Toc452647370"/>
      <w:bookmarkStart w:id="22" w:name="OLE_LINK2"/>
      <w:bookmarkStart w:id="23" w:name="_Toc522866982"/>
      <w:r>
        <w:rPr>
          <w:rFonts w:eastAsia="Times New Roman"/>
        </w:rPr>
        <w:br w:type="page"/>
      </w:r>
    </w:p>
    <w:p w:rsidR="00712A37" w:rsidRPr="00712A37" w:rsidRDefault="00712A37" w:rsidP="00712A37">
      <w:pPr>
        <w:pStyle w:val="Heading1"/>
        <w:rPr>
          <w:rFonts w:eastAsia="Times New Roman"/>
        </w:rPr>
      </w:pPr>
      <w:r w:rsidRPr="00712A37">
        <w:rPr>
          <w:rFonts w:eastAsia="Times New Roman"/>
        </w:rPr>
        <w:lastRenderedPageBreak/>
        <w:t>Findings</w:t>
      </w:r>
      <w:bookmarkEnd w:id="19"/>
      <w:bookmarkEnd w:id="23"/>
    </w:p>
    <w:p w:rsidR="00712A37" w:rsidRPr="00712A37" w:rsidRDefault="00712A37" w:rsidP="00712A37">
      <w:pPr>
        <w:rPr>
          <w:noProof/>
        </w:rPr>
      </w:pPr>
      <w:r w:rsidRPr="00712A37">
        <w:t xml:space="preserve">In this section, we provide more detail on the impact of the driver licensing programmes on participants’ outcomes. </w:t>
      </w:r>
      <w:r w:rsidRPr="00712A37">
        <w:rPr>
          <w:noProof/>
        </w:rPr>
        <w:t xml:space="preserve">These outcomes include driver licence stage progression, employment, income, independence of the welfare assistance, justice, and education. We concentrate our discussion on findings that were statistically significant. See </w:t>
      </w:r>
      <w:r w:rsidRPr="00712A37">
        <w:rPr>
          <w:noProof/>
        </w:rPr>
        <w:fldChar w:fldCharType="begin"/>
      </w:r>
      <w:r w:rsidRPr="00712A37">
        <w:rPr>
          <w:noProof/>
        </w:rPr>
        <w:instrText xml:space="preserve"> REF _Ref516046159 \h </w:instrText>
      </w:r>
      <w:r w:rsidRPr="00712A37">
        <w:rPr>
          <w:noProof/>
        </w:rPr>
      </w:r>
      <w:r>
        <w:rPr>
          <w:noProof/>
        </w:rPr>
        <w:instrText xml:space="preserve"> \* MERGEFORMAT </w:instrText>
      </w:r>
      <w:r w:rsidRPr="00712A37">
        <w:rPr>
          <w:noProof/>
        </w:rPr>
        <w:fldChar w:fldCharType="separate"/>
      </w:r>
      <w:r w:rsidRPr="00712A37">
        <w:t xml:space="preserve">Table </w:t>
      </w:r>
      <w:r w:rsidRPr="00712A37">
        <w:rPr>
          <w:noProof/>
        </w:rPr>
        <w:t>3</w:t>
      </w:r>
      <w:r w:rsidRPr="00712A37">
        <w:rPr>
          <w:noProof/>
        </w:rPr>
        <w:fldChar w:fldCharType="end"/>
      </w:r>
      <w:r w:rsidRPr="00712A37">
        <w:rPr>
          <w:noProof/>
        </w:rPr>
        <w:t xml:space="preserve"> for details on all the impact results that we tracked.</w:t>
      </w:r>
    </w:p>
    <w:p w:rsidR="00712A37" w:rsidRPr="00712A37" w:rsidRDefault="00712A37" w:rsidP="00712A37">
      <w:r w:rsidRPr="00712A37">
        <w:t>In this analysis, we looked at approximately 1,400 MSD clients who took part in these programmes between 2014 and 2015</w:t>
      </w:r>
      <w:r w:rsidRPr="00712A37">
        <w:rPr>
          <w:rFonts w:ascii="Arial" w:hAnsi="Arial"/>
          <w:sz w:val="18"/>
          <w:szCs w:val="16"/>
          <w:vertAlign w:val="superscript"/>
          <w:lang w:val="en-US" w:eastAsia="x-none"/>
        </w:rPr>
        <w:footnoteReference w:id="4"/>
      </w:r>
      <w:r w:rsidRPr="00712A37">
        <w:t xml:space="preserve">. We tracked their outcomes from the time they started participating in the driver licensing programmes until the end of the observation period in June 2017. This means we tracked clients’ outcomes for an 18-month to three-year period, depending on when they started on a programme. </w:t>
      </w:r>
    </w:p>
    <w:p w:rsidR="00712A37" w:rsidRPr="00712A37" w:rsidRDefault="00712A37" w:rsidP="00712A37">
      <w:pPr>
        <w:pStyle w:val="Heading2"/>
        <w:rPr>
          <w:noProof/>
        </w:rPr>
      </w:pPr>
      <w:bookmarkStart w:id="24" w:name="_Toc521668709"/>
      <w:bookmarkStart w:id="25" w:name="_Toc522866983"/>
      <w:r w:rsidRPr="00712A37">
        <w:rPr>
          <w:noProof/>
        </w:rPr>
        <w:t>The programmes helped participants progress through the GDLS</w:t>
      </w:r>
      <w:bookmarkEnd w:id="24"/>
      <w:bookmarkEnd w:id="25"/>
    </w:p>
    <w:p w:rsidR="00712A37" w:rsidRPr="00712A37" w:rsidRDefault="00712A37" w:rsidP="00712A37">
      <w:pPr>
        <w:spacing w:before="60" w:after="60"/>
      </w:pPr>
      <w:r w:rsidRPr="00712A37">
        <w:t xml:space="preserve">To track the effect of the programmes on progress through the GDLS, we compared the percentage of participants and the comparison group at each licence stage (see </w:t>
      </w:r>
      <w:r w:rsidRPr="00712A37">
        <w:fldChar w:fldCharType="begin"/>
      </w:r>
      <w:r w:rsidRPr="00712A37">
        <w:instrText xml:space="preserve"> REF _Ref508355620 \h </w:instrText>
      </w:r>
      <w:r w:rsidRPr="00712A37">
        <w:fldChar w:fldCharType="separate"/>
      </w:r>
      <w:r w:rsidRPr="00712A37">
        <w:t xml:space="preserve">Table </w:t>
      </w:r>
      <w:r w:rsidRPr="00712A37">
        <w:rPr>
          <w:noProof/>
        </w:rPr>
        <w:t>2</w:t>
      </w:r>
      <w:r w:rsidRPr="00712A37">
        <w:fldChar w:fldCharType="end"/>
      </w:r>
      <w:r w:rsidRPr="00712A37">
        <w:t>). People are required to hold a licence at each stage for a minimum period of time before they can progress to the next one</w:t>
      </w:r>
      <w:r w:rsidRPr="00712A37">
        <w:rPr>
          <w:rFonts w:ascii="Arial" w:hAnsi="Arial"/>
          <w:sz w:val="18"/>
          <w:szCs w:val="16"/>
          <w:vertAlign w:val="superscript"/>
          <w:lang w:val="en-US" w:eastAsia="x-none"/>
        </w:rPr>
        <w:footnoteReference w:id="5"/>
      </w:r>
      <w:r w:rsidRPr="00712A37">
        <w:t>.</w:t>
      </w:r>
    </w:p>
    <w:p w:rsidR="00712A37" w:rsidRPr="00712A37" w:rsidRDefault="00712A37" w:rsidP="00712A37">
      <w:r w:rsidRPr="00712A37">
        <w:t>Both the participants and the comparison group had a similar percentage of people at each licence stage at the start of the programmes</w:t>
      </w:r>
      <w:r w:rsidRPr="00712A37">
        <w:rPr>
          <w:rFonts w:ascii="Arial" w:hAnsi="Arial"/>
          <w:sz w:val="18"/>
          <w:szCs w:val="16"/>
          <w:vertAlign w:val="superscript"/>
          <w:lang w:val="en-US" w:eastAsia="x-none"/>
        </w:rPr>
        <w:footnoteReference w:id="6"/>
      </w:r>
      <w:r w:rsidRPr="00712A37">
        <w:t xml:space="preserve">. Overall, the comparison group showed limited movement between licence stages. In contrast, the proportion of participants with a learner’s licence decreased over time as they progressed through a restricted licence to a full licence. The largest increase of participants obtaining a full licence happened within the first six months, with slower growth continuing over time. </w:t>
      </w:r>
    </w:p>
    <w:p w:rsidR="00D24881" w:rsidRDefault="00D24881">
      <w:pPr>
        <w:spacing w:after="200" w:line="276" w:lineRule="auto"/>
        <w:rPr>
          <w:rFonts w:eastAsiaTheme="majorEastAsia" w:cstheme="majorBidi"/>
          <w:b/>
          <w:bCs/>
          <w:i/>
          <w:iCs/>
          <w:color w:val="000000" w:themeColor="text1"/>
        </w:rPr>
      </w:pPr>
      <w:bookmarkStart w:id="26" w:name="_Ref508355620"/>
      <w:bookmarkStart w:id="27" w:name="_Toc522867893"/>
      <w:r>
        <w:br w:type="page"/>
      </w:r>
    </w:p>
    <w:p w:rsidR="00712A37" w:rsidRPr="00712A37" w:rsidRDefault="00712A37" w:rsidP="00D24881">
      <w:pPr>
        <w:pStyle w:val="Heading4"/>
        <w:spacing w:after="120"/>
        <w:ind w:right="-187"/>
      </w:pPr>
      <w:r w:rsidRPr="00712A37">
        <w:lastRenderedPageBreak/>
        <w:t xml:space="preserve">Table </w:t>
      </w:r>
      <w:r w:rsidRPr="00712A37">
        <w:fldChar w:fldCharType="begin"/>
      </w:r>
      <w:r w:rsidRPr="00712A37">
        <w:instrText xml:space="preserve"> SEQ Table \* ARABIC </w:instrText>
      </w:r>
      <w:r w:rsidRPr="00712A37">
        <w:fldChar w:fldCharType="separate"/>
      </w:r>
      <w:r w:rsidRPr="00712A37">
        <w:rPr>
          <w:noProof/>
        </w:rPr>
        <w:t>2</w:t>
      </w:r>
      <w:r w:rsidRPr="00712A37">
        <w:rPr>
          <w:noProof/>
        </w:rPr>
        <w:fldChar w:fldCharType="end"/>
      </w:r>
      <w:bookmarkEnd w:id="26"/>
      <w:r w:rsidRPr="00712A37">
        <w:t xml:space="preserve"> - Percentage of participant and comparison groups at each licence </w:t>
      </w:r>
      <w:proofErr w:type="gramStart"/>
      <w:r w:rsidRPr="00712A37">
        <w:t>stage</w:t>
      </w:r>
      <w:bookmarkEnd w:id="27"/>
      <w:proofErr w:type="gramEnd"/>
    </w:p>
    <w:tbl>
      <w:tblPr>
        <w:tblStyle w:val="ImpactEvalTable"/>
        <w:tblW w:w="0" w:type="auto"/>
        <w:tblLook w:val="04A0" w:firstRow="1" w:lastRow="0" w:firstColumn="1" w:lastColumn="0" w:noHBand="0" w:noVBand="1"/>
      </w:tblPr>
      <w:tblGrid>
        <w:gridCol w:w="1848"/>
        <w:gridCol w:w="1848"/>
        <w:gridCol w:w="1849"/>
        <w:gridCol w:w="1848"/>
        <w:gridCol w:w="1849"/>
      </w:tblGrid>
      <w:tr w:rsidR="00712A37" w:rsidRPr="00712A37" w:rsidTr="00D24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5"/>
            <w:tcBorders>
              <w:bottom w:val="outset" w:sz="6" w:space="0" w:color="000000" w:themeColor="text1"/>
            </w:tcBorders>
            <w:shd w:val="clear" w:color="auto" w:fill="121F6B"/>
          </w:tcPr>
          <w:p w:rsidR="00712A37" w:rsidRPr="00D24881" w:rsidRDefault="00712A37" w:rsidP="00712A37">
            <w:pPr>
              <w:spacing w:before="60" w:after="60"/>
              <w:rPr>
                <w:color w:val="FFFFFF" w:themeColor="background1"/>
              </w:rPr>
            </w:pPr>
            <w:r w:rsidRPr="00D24881">
              <w:rPr>
                <w:color w:val="FFFFFF" w:themeColor="background1"/>
              </w:rPr>
              <w:t>Programme participants</w:t>
            </w:r>
          </w:p>
        </w:tc>
      </w:tr>
      <w:tr w:rsidR="00712A37" w:rsidRPr="00712A37" w:rsidTr="00D24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pPr>
            <w:r w:rsidRPr="00712A37">
              <w:t>Snapshot at months since starting on the programme</w:t>
            </w:r>
          </w:p>
        </w:tc>
        <w:tc>
          <w:tcPr>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cnfStyle w:val="000000100000" w:firstRow="0" w:lastRow="0" w:firstColumn="0" w:lastColumn="0" w:oddVBand="0" w:evenVBand="0" w:oddHBand="1" w:evenHBand="0" w:firstRowFirstColumn="0" w:firstRowLastColumn="0" w:lastRowFirstColumn="0" w:lastRowLastColumn="0"/>
            </w:pPr>
            <w:r w:rsidRPr="00712A37">
              <w:t>Percentage with a full licence</w:t>
            </w:r>
          </w:p>
        </w:tc>
        <w:tc>
          <w:tcPr>
            <w:tcW w:w="1849"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cnfStyle w:val="000000100000" w:firstRow="0" w:lastRow="0" w:firstColumn="0" w:lastColumn="0" w:oddVBand="0" w:evenVBand="0" w:oddHBand="1" w:evenHBand="0" w:firstRowFirstColumn="0" w:firstRowLastColumn="0" w:lastRowFirstColumn="0" w:lastRowLastColumn="0"/>
            </w:pPr>
            <w:r w:rsidRPr="00712A37">
              <w:t>Percentage with a restricted licence</w:t>
            </w:r>
          </w:p>
        </w:tc>
        <w:tc>
          <w:tcPr>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cnfStyle w:val="000000100000" w:firstRow="0" w:lastRow="0" w:firstColumn="0" w:lastColumn="0" w:oddVBand="0" w:evenVBand="0" w:oddHBand="1" w:evenHBand="0" w:firstRowFirstColumn="0" w:firstRowLastColumn="0" w:lastRowFirstColumn="0" w:lastRowLastColumn="0"/>
            </w:pPr>
            <w:r w:rsidRPr="00712A37">
              <w:t>Percentage with a learner’s licence</w:t>
            </w:r>
          </w:p>
        </w:tc>
        <w:tc>
          <w:tcPr>
            <w:tcW w:w="1849"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cnfStyle w:val="000000100000" w:firstRow="0" w:lastRow="0" w:firstColumn="0" w:lastColumn="0" w:oddVBand="0" w:evenVBand="0" w:oddHBand="1" w:evenHBand="0" w:firstRowFirstColumn="0" w:firstRowLastColumn="0" w:lastRowFirstColumn="0" w:lastRowLastColumn="0"/>
            </w:pPr>
            <w:r w:rsidRPr="00712A37">
              <w:t>Total percentage with any licence</w:t>
            </w:r>
          </w:p>
        </w:tc>
      </w:tr>
      <w:tr w:rsidR="00712A37" w:rsidRPr="00712A37" w:rsidTr="00D24881">
        <w:tc>
          <w:tcPr>
            <w:cnfStyle w:val="001000000000" w:firstRow="0" w:lastRow="0" w:firstColumn="1" w:lastColumn="0" w:oddVBand="0" w:evenVBand="0" w:oddHBand="0" w:evenHBand="0" w:firstRowFirstColumn="0" w:firstRowLastColumn="0" w:lastRowFirstColumn="0" w:lastRowLastColumn="0"/>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pPr>
            <w:r w:rsidRPr="00712A37">
              <w:t>6</w:t>
            </w:r>
          </w:p>
        </w:tc>
        <w:tc>
          <w:tcPr>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cnfStyle w:val="000000000000" w:firstRow="0" w:lastRow="0" w:firstColumn="0" w:lastColumn="0" w:oddVBand="0" w:evenVBand="0" w:oddHBand="0" w:evenHBand="0" w:firstRowFirstColumn="0" w:firstRowLastColumn="0" w:lastRowFirstColumn="0" w:lastRowLastColumn="0"/>
            </w:pPr>
            <w:r w:rsidRPr="00712A37">
              <w:t>24%</w:t>
            </w:r>
          </w:p>
        </w:tc>
        <w:tc>
          <w:tcPr>
            <w:tcW w:w="1849"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cnfStyle w:val="000000000000" w:firstRow="0" w:lastRow="0" w:firstColumn="0" w:lastColumn="0" w:oddVBand="0" w:evenVBand="0" w:oddHBand="0" w:evenHBand="0" w:firstRowFirstColumn="0" w:firstRowLastColumn="0" w:lastRowFirstColumn="0" w:lastRowLastColumn="0"/>
            </w:pPr>
            <w:r w:rsidRPr="00712A37">
              <w:t>27%</w:t>
            </w:r>
          </w:p>
        </w:tc>
        <w:tc>
          <w:tcPr>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cnfStyle w:val="000000000000" w:firstRow="0" w:lastRow="0" w:firstColumn="0" w:lastColumn="0" w:oddVBand="0" w:evenVBand="0" w:oddHBand="0" w:evenHBand="0" w:firstRowFirstColumn="0" w:firstRowLastColumn="0" w:lastRowFirstColumn="0" w:lastRowLastColumn="0"/>
            </w:pPr>
            <w:r w:rsidRPr="00712A37">
              <w:t>39%</w:t>
            </w:r>
          </w:p>
        </w:tc>
        <w:tc>
          <w:tcPr>
            <w:tcW w:w="1849"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cnfStyle w:val="000000000000" w:firstRow="0" w:lastRow="0" w:firstColumn="0" w:lastColumn="0" w:oddVBand="0" w:evenVBand="0" w:oddHBand="0" w:evenHBand="0" w:firstRowFirstColumn="0" w:firstRowLastColumn="0" w:lastRowFirstColumn="0" w:lastRowLastColumn="0"/>
            </w:pPr>
            <w:r w:rsidRPr="00712A37">
              <w:t>90%</w:t>
            </w:r>
          </w:p>
        </w:tc>
      </w:tr>
      <w:tr w:rsidR="00712A37" w:rsidRPr="00712A37" w:rsidTr="00D24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pPr>
            <w:r w:rsidRPr="00712A37">
              <w:t>12</w:t>
            </w:r>
          </w:p>
        </w:tc>
        <w:tc>
          <w:tcPr>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cnfStyle w:val="000000100000" w:firstRow="0" w:lastRow="0" w:firstColumn="0" w:lastColumn="0" w:oddVBand="0" w:evenVBand="0" w:oddHBand="1" w:evenHBand="0" w:firstRowFirstColumn="0" w:firstRowLastColumn="0" w:lastRowFirstColumn="0" w:lastRowLastColumn="0"/>
            </w:pPr>
            <w:r w:rsidRPr="00712A37">
              <w:t>26%</w:t>
            </w:r>
          </w:p>
        </w:tc>
        <w:tc>
          <w:tcPr>
            <w:tcW w:w="1849"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cnfStyle w:val="000000100000" w:firstRow="0" w:lastRow="0" w:firstColumn="0" w:lastColumn="0" w:oddVBand="0" w:evenVBand="0" w:oddHBand="1" w:evenHBand="0" w:firstRowFirstColumn="0" w:firstRowLastColumn="0" w:lastRowFirstColumn="0" w:lastRowLastColumn="0"/>
            </w:pPr>
            <w:r w:rsidRPr="00712A37">
              <w:t>29%</w:t>
            </w:r>
          </w:p>
        </w:tc>
        <w:tc>
          <w:tcPr>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cnfStyle w:val="000000100000" w:firstRow="0" w:lastRow="0" w:firstColumn="0" w:lastColumn="0" w:oddVBand="0" w:evenVBand="0" w:oddHBand="1" w:evenHBand="0" w:firstRowFirstColumn="0" w:firstRowLastColumn="0" w:lastRowFirstColumn="0" w:lastRowLastColumn="0"/>
            </w:pPr>
            <w:r w:rsidRPr="00712A37">
              <w:t>36%</w:t>
            </w:r>
          </w:p>
        </w:tc>
        <w:tc>
          <w:tcPr>
            <w:tcW w:w="1849"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cnfStyle w:val="000000100000" w:firstRow="0" w:lastRow="0" w:firstColumn="0" w:lastColumn="0" w:oddVBand="0" w:evenVBand="0" w:oddHBand="1" w:evenHBand="0" w:firstRowFirstColumn="0" w:firstRowLastColumn="0" w:lastRowFirstColumn="0" w:lastRowLastColumn="0"/>
            </w:pPr>
            <w:r w:rsidRPr="00712A37">
              <w:t>91%</w:t>
            </w:r>
          </w:p>
        </w:tc>
      </w:tr>
      <w:tr w:rsidR="00712A37" w:rsidRPr="00712A37" w:rsidTr="00D24881">
        <w:tc>
          <w:tcPr>
            <w:cnfStyle w:val="001000000000" w:firstRow="0" w:lastRow="0" w:firstColumn="1" w:lastColumn="0" w:oddVBand="0" w:evenVBand="0" w:oddHBand="0" w:evenHBand="0" w:firstRowFirstColumn="0" w:firstRowLastColumn="0" w:lastRowFirstColumn="0" w:lastRowLastColumn="0"/>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pPr>
            <w:r w:rsidRPr="00712A37">
              <w:t>18</w:t>
            </w:r>
          </w:p>
        </w:tc>
        <w:tc>
          <w:tcPr>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cnfStyle w:val="000000000000" w:firstRow="0" w:lastRow="0" w:firstColumn="0" w:lastColumn="0" w:oddVBand="0" w:evenVBand="0" w:oddHBand="0" w:evenHBand="0" w:firstRowFirstColumn="0" w:firstRowLastColumn="0" w:lastRowFirstColumn="0" w:lastRowLastColumn="0"/>
            </w:pPr>
            <w:r w:rsidRPr="00712A37">
              <w:t>30%</w:t>
            </w:r>
          </w:p>
        </w:tc>
        <w:tc>
          <w:tcPr>
            <w:tcW w:w="1849"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cnfStyle w:val="000000000000" w:firstRow="0" w:lastRow="0" w:firstColumn="0" w:lastColumn="0" w:oddVBand="0" w:evenVBand="0" w:oddHBand="0" w:evenHBand="0" w:firstRowFirstColumn="0" w:firstRowLastColumn="0" w:lastRowFirstColumn="0" w:lastRowLastColumn="0"/>
            </w:pPr>
            <w:r w:rsidRPr="00712A37">
              <w:t>29%</w:t>
            </w:r>
          </w:p>
        </w:tc>
        <w:tc>
          <w:tcPr>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cnfStyle w:val="000000000000" w:firstRow="0" w:lastRow="0" w:firstColumn="0" w:lastColumn="0" w:oddVBand="0" w:evenVBand="0" w:oddHBand="0" w:evenHBand="0" w:firstRowFirstColumn="0" w:firstRowLastColumn="0" w:lastRowFirstColumn="0" w:lastRowLastColumn="0"/>
            </w:pPr>
            <w:r w:rsidRPr="00712A37">
              <w:t>31%</w:t>
            </w:r>
          </w:p>
        </w:tc>
        <w:tc>
          <w:tcPr>
            <w:tcW w:w="1849"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cnfStyle w:val="000000000000" w:firstRow="0" w:lastRow="0" w:firstColumn="0" w:lastColumn="0" w:oddVBand="0" w:evenVBand="0" w:oddHBand="0" w:evenHBand="0" w:firstRowFirstColumn="0" w:firstRowLastColumn="0" w:lastRowFirstColumn="0" w:lastRowLastColumn="0"/>
            </w:pPr>
            <w:r w:rsidRPr="00712A37">
              <w:t>90%</w:t>
            </w:r>
          </w:p>
        </w:tc>
      </w:tr>
      <w:tr w:rsidR="00712A37" w:rsidRPr="00712A37" w:rsidTr="00D24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5"/>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121F6B"/>
          </w:tcPr>
          <w:p w:rsidR="00712A37" w:rsidRPr="00712A37" w:rsidRDefault="00712A37" w:rsidP="00712A37">
            <w:pPr>
              <w:spacing w:before="60" w:after="60"/>
              <w:rPr>
                <w:b/>
              </w:rPr>
            </w:pPr>
            <w:r w:rsidRPr="00D24881">
              <w:rPr>
                <w:b/>
                <w:color w:val="FFFFFF" w:themeColor="background1"/>
              </w:rPr>
              <w:t>Comparison group</w:t>
            </w:r>
          </w:p>
        </w:tc>
      </w:tr>
      <w:tr w:rsidR="00712A37" w:rsidRPr="00712A37" w:rsidTr="00D24881">
        <w:tc>
          <w:tcPr>
            <w:cnfStyle w:val="001000000000" w:firstRow="0" w:lastRow="0" w:firstColumn="1" w:lastColumn="0" w:oddVBand="0" w:evenVBand="0" w:oddHBand="0" w:evenHBand="0" w:firstRowFirstColumn="0" w:firstRowLastColumn="0" w:lastRowFirstColumn="0" w:lastRowLastColumn="0"/>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pPr>
            <w:r w:rsidRPr="00712A37">
              <w:t>Snapshot at months since their profile date</w:t>
            </w:r>
          </w:p>
        </w:tc>
        <w:tc>
          <w:tcPr>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cnfStyle w:val="000000000000" w:firstRow="0" w:lastRow="0" w:firstColumn="0" w:lastColumn="0" w:oddVBand="0" w:evenVBand="0" w:oddHBand="0" w:evenHBand="0" w:firstRowFirstColumn="0" w:firstRowLastColumn="0" w:lastRowFirstColumn="0" w:lastRowLastColumn="0"/>
            </w:pPr>
            <w:r w:rsidRPr="00712A37">
              <w:t>Percentage with a full licence</w:t>
            </w:r>
          </w:p>
        </w:tc>
        <w:tc>
          <w:tcPr>
            <w:tcW w:w="1849"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cnfStyle w:val="000000000000" w:firstRow="0" w:lastRow="0" w:firstColumn="0" w:lastColumn="0" w:oddVBand="0" w:evenVBand="0" w:oddHBand="0" w:evenHBand="0" w:firstRowFirstColumn="0" w:firstRowLastColumn="0" w:lastRowFirstColumn="0" w:lastRowLastColumn="0"/>
            </w:pPr>
            <w:r w:rsidRPr="00712A37">
              <w:t>Percentage with a restricted licence</w:t>
            </w:r>
          </w:p>
        </w:tc>
        <w:tc>
          <w:tcPr>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cnfStyle w:val="000000000000" w:firstRow="0" w:lastRow="0" w:firstColumn="0" w:lastColumn="0" w:oddVBand="0" w:evenVBand="0" w:oddHBand="0" w:evenHBand="0" w:firstRowFirstColumn="0" w:firstRowLastColumn="0" w:lastRowFirstColumn="0" w:lastRowLastColumn="0"/>
            </w:pPr>
            <w:r w:rsidRPr="00712A37">
              <w:t>Percentage with a learner’s licence</w:t>
            </w:r>
          </w:p>
        </w:tc>
        <w:tc>
          <w:tcPr>
            <w:tcW w:w="1849"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cnfStyle w:val="000000000000" w:firstRow="0" w:lastRow="0" w:firstColumn="0" w:lastColumn="0" w:oddVBand="0" w:evenVBand="0" w:oddHBand="0" w:evenHBand="0" w:firstRowFirstColumn="0" w:firstRowLastColumn="0" w:lastRowFirstColumn="0" w:lastRowLastColumn="0"/>
            </w:pPr>
            <w:r w:rsidRPr="00712A37">
              <w:t>Total percentage with any licence</w:t>
            </w:r>
          </w:p>
        </w:tc>
      </w:tr>
      <w:tr w:rsidR="00712A37" w:rsidRPr="00712A37" w:rsidTr="00D24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pPr>
            <w:r w:rsidRPr="00712A37">
              <w:t>6</w:t>
            </w:r>
          </w:p>
        </w:tc>
        <w:tc>
          <w:tcPr>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cnfStyle w:val="000000100000" w:firstRow="0" w:lastRow="0" w:firstColumn="0" w:lastColumn="0" w:oddVBand="0" w:evenVBand="0" w:oddHBand="1" w:evenHBand="0" w:firstRowFirstColumn="0" w:firstRowLastColumn="0" w:lastRowFirstColumn="0" w:lastRowLastColumn="0"/>
            </w:pPr>
            <w:r w:rsidRPr="00712A37">
              <w:t>14%</w:t>
            </w:r>
          </w:p>
        </w:tc>
        <w:tc>
          <w:tcPr>
            <w:tcW w:w="1849"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cnfStyle w:val="000000100000" w:firstRow="0" w:lastRow="0" w:firstColumn="0" w:lastColumn="0" w:oddVBand="0" w:evenVBand="0" w:oddHBand="1" w:evenHBand="0" w:firstRowFirstColumn="0" w:firstRowLastColumn="0" w:lastRowFirstColumn="0" w:lastRowLastColumn="0"/>
            </w:pPr>
            <w:r w:rsidRPr="00712A37">
              <w:t>24%</w:t>
            </w:r>
          </w:p>
        </w:tc>
        <w:tc>
          <w:tcPr>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cnfStyle w:val="000000100000" w:firstRow="0" w:lastRow="0" w:firstColumn="0" w:lastColumn="0" w:oddVBand="0" w:evenVBand="0" w:oddHBand="1" w:evenHBand="0" w:firstRowFirstColumn="0" w:firstRowLastColumn="0" w:lastRowFirstColumn="0" w:lastRowLastColumn="0"/>
            </w:pPr>
            <w:r w:rsidRPr="00712A37">
              <w:t>37%</w:t>
            </w:r>
          </w:p>
        </w:tc>
        <w:tc>
          <w:tcPr>
            <w:tcW w:w="1849"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cnfStyle w:val="000000100000" w:firstRow="0" w:lastRow="0" w:firstColumn="0" w:lastColumn="0" w:oddVBand="0" w:evenVBand="0" w:oddHBand="1" w:evenHBand="0" w:firstRowFirstColumn="0" w:firstRowLastColumn="0" w:lastRowFirstColumn="0" w:lastRowLastColumn="0"/>
            </w:pPr>
            <w:r w:rsidRPr="00712A37">
              <w:t>75%</w:t>
            </w:r>
          </w:p>
        </w:tc>
      </w:tr>
      <w:tr w:rsidR="00712A37" w:rsidRPr="00712A37" w:rsidTr="00D24881">
        <w:tc>
          <w:tcPr>
            <w:cnfStyle w:val="001000000000" w:firstRow="0" w:lastRow="0" w:firstColumn="1" w:lastColumn="0" w:oddVBand="0" w:evenVBand="0" w:oddHBand="0" w:evenHBand="0" w:firstRowFirstColumn="0" w:firstRowLastColumn="0" w:lastRowFirstColumn="0" w:lastRowLastColumn="0"/>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pPr>
            <w:r w:rsidRPr="00712A37">
              <w:t>12</w:t>
            </w:r>
          </w:p>
        </w:tc>
        <w:tc>
          <w:tcPr>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cnfStyle w:val="000000000000" w:firstRow="0" w:lastRow="0" w:firstColumn="0" w:lastColumn="0" w:oddVBand="0" w:evenVBand="0" w:oddHBand="0" w:evenHBand="0" w:firstRowFirstColumn="0" w:firstRowLastColumn="0" w:lastRowFirstColumn="0" w:lastRowLastColumn="0"/>
            </w:pPr>
            <w:r w:rsidRPr="00712A37">
              <w:t>15%</w:t>
            </w:r>
          </w:p>
        </w:tc>
        <w:tc>
          <w:tcPr>
            <w:tcW w:w="1849"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cnfStyle w:val="000000000000" w:firstRow="0" w:lastRow="0" w:firstColumn="0" w:lastColumn="0" w:oddVBand="0" w:evenVBand="0" w:oddHBand="0" w:evenHBand="0" w:firstRowFirstColumn="0" w:firstRowLastColumn="0" w:lastRowFirstColumn="0" w:lastRowLastColumn="0"/>
            </w:pPr>
            <w:r w:rsidRPr="00712A37">
              <w:t>24%</w:t>
            </w:r>
          </w:p>
        </w:tc>
        <w:tc>
          <w:tcPr>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cnfStyle w:val="000000000000" w:firstRow="0" w:lastRow="0" w:firstColumn="0" w:lastColumn="0" w:oddVBand="0" w:evenVBand="0" w:oddHBand="0" w:evenHBand="0" w:firstRowFirstColumn="0" w:firstRowLastColumn="0" w:lastRowFirstColumn="0" w:lastRowLastColumn="0"/>
            </w:pPr>
            <w:r w:rsidRPr="00712A37">
              <w:t>37%</w:t>
            </w:r>
          </w:p>
        </w:tc>
        <w:tc>
          <w:tcPr>
            <w:tcW w:w="1849"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rsidR="00712A37" w:rsidRPr="00712A37" w:rsidRDefault="00712A37" w:rsidP="00712A37">
            <w:pPr>
              <w:spacing w:before="60" w:after="60"/>
              <w:cnfStyle w:val="000000000000" w:firstRow="0" w:lastRow="0" w:firstColumn="0" w:lastColumn="0" w:oddVBand="0" w:evenVBand="0" w:oddHBand="0" w:evenHBand="0" w:firstRowFirstColumn="0" w:firstRowLastColumn="0" w:lastRowFirstColumn="0" w:lastRowLastColumn="0"/>
            </w:pPr>
            <w:r w:rsidRPr="00712A37">
              <w:t>76%</w:t>
            </w:r>
          </w:p>
        </w:tc>
      </w:tr>
      <w:tr w:rsidR="00712A37" w:rsidRPr="00712A37" w:rsidTr="00D24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pPr>
            <w:r w:rsidRPr="00712A37">
              <w:t>18</w:t>
            </w:r>
          </w:p>
        </w:tc>
        <w:tc>
          <w:tcPr>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cnfStyle w:val="000000100000" w:firstRow="0" w:lastRow="0" w:firstColumn="0" w:lastColumn="0" w:oddVBand="0" w:evenVBand="0" w:oddHBand="1" w:evenHBand="0" w:firstRowFirstColumn="0" w:firstRowLastColumn="0" w:lastRowFirstColumn="0" w:lastRowLastColumn="0"/>
            </w:pPr>
            <w:r w:rsidRPr="00712A37">
              <w:t>17%</w:t>
            </w:r>
          </w:p>
        </w:tc>
        <w:tc>
          <w:tcPr>
            <w:tcW w:w="1849"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cnfStyle w:val="000000100000" w:firstRow="0" w:lastRow="0" w:firstColumn="0" w:lastColumn="0" w:oddVBand="0" w:evenVBand="0" w:oddHBand="1" w:evenHBand="0" w:firstRowFirstColumn="0" w:firstRowLastColumn="0" w:lastRowFirstColumn="0" w:lastRowLastColumn="0"/>
            </w:pPr>
            <w:r w:rsidRPr="00712A37">
              <w:t>25%</w:t>
            </w:r>
          </w:p>
        </w:tc>
        <w:tc>
          <w:tcPr>
            <w:tcW w:w="1848"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cnfStyle w:val="000000100000" w:firstRow="0" w:lastRow="0" w:firstColumn="0" w:lastColumn="0" w:oddVBand="0" w:evenVBand="0" w:oddHBand="1" w:evenHBand="0" w:firstRowFirstColumn="0" w:firstRowLastColumn="0" w:lastRowFirstColumn="0" w:lastRowLastColumn="0"/>
            </w:pPr>
            <w:r w:rsidRPr="00712A37">
              <w:t>35%</w:t>
            </w:r>
          </w:p>
        </w:tc>
        <w:tc>
          <w:tcPr>
            <w:tcW w:w="1849"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C6D9F1" w:themeFill="text2" w:themeFillTint="33"/>
          </w:tcPr>
          <w:p w:rsidR="00712A37" w:rsidRPr="00712A37" w:rsidRDefault="00712A37" w:rsidP="00712A37">
            <w:pPr>
              <w:spacing w:before="60" w:after="60"/>
              <w:cnfStyle w:val="000000100000" w:firstRow="0" w:lastRow="0" w:firstColumn="0" w:lastColumn="0" w:oddVBand="0" w:evenVBand="0" w:oddHBand="1" w:evenHBand="0" w:firstRowFirstColumn="0" w:firstRowLastColumn="0" w:lastRowFirstColumn="0" w:lastRowLastColumn="0"/>
            </w:pPr>
            <w:r w:rsidRPr="00712A37">
              <w:t>77%</w:t>
            </w:r>
          </w:p>
        </w:tc>
      </w:tr>
    </w:tbl>
    <w:p w:rsidR="00712A37" w:rsidRPr="00712A37" w:rsidRDefault="00712A37" w:rsidP="00712A37">
      <w:pPr>
        <w:spacing w:before="60" w:after="60"/>
      </w:pPr>
    </w:p>
    <w:p w:rsidR="00712A37" w:rsidRPr="00712A37" w:rsidRDefault="00712A37" w:rsidP="00712A37">
      <w:pPr>
        <w:spacing w:before="60" w:after="60"/>
      </w:pPr>
      <w:r w:rsidRPr="00712A37">
        <w:fldChar w:fldCharType="begin"/>
      </w:r>
      <w:r w:rsidRPr="00712A37">
        <w:instrText xml:space="preserve"> REF _Ref516046159 \h </w:instrText>
      </w:r>
      <w:r w:rsidRPr="00712A37">
        <w:fldChar w:fldCharType="separate"/>
      </w:r>
      <w:r w:rsidRPr="00712A37">
        <w:t xml:space="preserve">Table </w:t>
      </w:r>
      <w:r w:rsidRPr="00712A37">
        <w:rPr>
          <w:noProof/>
        </w:rPr>
        <w:t>3</w:t>
      </w:r>
      <w:r w:rsidRPr="00712A37">
        <w:fldChar w:fldCharType="end"/>
      </w:r>
      <w:r w:rsidRPr="00712A37">
        <w:t xml:space="preserve"> shows driver licence outcomes using another measure, the total days spent in each licence stage cumulatively until the end of the 18 month observation period. </w:t>
      </w:r>
      <w:r w:rsidRPr="00712A37">
        <w:fldChar w:fldCharType="begin"/>
      </w:r>
      <w:r w:rsidRPr="00712A37">
        <w:instrText xml:space="preserve"> REF _Ref516046159 \h </w:instrText>
      </w:r>
      <w:r w:rsidRPr="00712A37">
        <w:fldChar w:fldCharType="separate"/>
      </w:r>
      <w:r w:rsidRPr="00712A37">
        <w:t xml:space="preserve">Table </w:t>
      </w:r>
      <w:r w:rsidRPr="00712A37">
        <w:rPr>
          <w:noProof/>
        </w:rPr>
        <w:t>3</w:t>
      </w:r>
      <w:r w:rsidRPr="00712A37">
        <w:fldChar w:fldCharType="end"/>
      </w:r>
      <w:r w:rsidRPr="00712A37">
        <w:t xml:space="preserve"> also allows us to look at the days spent in each licence stage separately for private vehicles (cars and motorcycles) versus commercial vehicles (eg heavier vehicles). </w:t>
      </w:r>
    </w:p>
    <w:p w:rsidR="00712A37" w:rsidRPr="00712A37" w:rsidRDefault="00712A37" w:rsidP="00712A37">
      <w:pPr>
        <w:spacing w:before="60" w:after="60"/>
      </w:pPr>
      <w:r w:rsidRPr="00712A37">
        <w:t xml:space="preserve">At the end of the 18 month observation period, participants spent an additional 24 days holding a full licence for commercial vehicles, and an additional 65 days holding a full licence for private vehicles relative to the comparison group. Participants also spent an additional 22 days holding a restricted licence for private vehicles relative to the comparison group. There is no result available for restricted licences for commercial vehicles because we did not observe licences of this class in the dataset for this sample of MSD clients. </w:t>
      </w:r>
    </w:p>
    <w:p w:rsidR="00712A37" w:rsidRPr="00712A37" w:rsidRDefault="00712A37" w:rsidP="00712A37">
      <w:pPr>
        <w:pStyle w:val="Heading2"/>
      </w:pPr>
      <w:bookmarkStart w:id="28" w:name="_Toc521668710"/>
      <w:bookmarkStart w:id="29" w:name="_Toc522866984"/>
      <w:r w:rsidRPr="00712A37">
        <w:t>Participants were more likely to be employed, although some participants were still receiving welfare assistance</w:t>
      </w:r>
      <w:bookmarkEnd w:id="28"/>
      <w:bookmarkEnd w:id="29"/>
    </w:p>
    <w:p w:rsidR="00712A37" w:rsidRPr="00712A37" w:rsidRDefault="00712A37" w:rsidP="00712A37">
      <w:r w:rsidRPr="00712A37">
        <w:t>After 18 months, participants spent an average of 40 additional days in employment relative to the comparison group. 20 of those days were while participants did not receive a main benefit or employment assistance. Participants also earned $3,000 more on average across the 18 month period. The effect on employment outcomes was observed as early as five months after starting the programmes.</w:t>
      </w:r>
    </w:p>
    <w:p w:rsidR="00712A37" w:rsidRPr="00712A37" w:rsidRDefault="00712A37" w:rsidP="00712A37">
      <w:r w:rsidRPr="00712A37">
        <w:t xml:space="preserve">Participants and the comparison group spent the same amount of time receiving a main benefit or employment assistance, and both groups received $18,900 in benefits on average, over 18 months. This suggests that a proportion of participants were likely to </w:t>
      </w:r>
      <w:r w:rsidRPr="00712A37">
        <w:lastRenderedPageBreak/>
        <w:t xml:space="preserve">be receiving some form of income support while participating in the programmes.  The similarity in income support receipt can in part be explained by the increased time spent in employment by participants while remaining on main benefit (20 days after 18 months). Because people on income support can earn some income from employment before their income support payments are abated, we can have both an increase in employment and total income without a corresponding decrease in income support assistance. </w:t>
      </w:r>
    </w:p>
    <w:p w:rsidR="00712A37" w:rsidRPr="00712A37" w:rsidRDefault="00712A37" w:rsidP="00712A37">
      <w:pPr>
        <w:pStyle w:val="Heading2"/>
      </w:pPr>
      <w:bookmarkStart w:id="30" w:name="_Toc521668711"/>
      <w:bookmarkStart w:id="31" w:name="_Toc522866985"/>
      <w:r w:rsidRPr="00712A37">
        <w:t>The programmes had no impact on participants’ education outcomes</w:t>
      </w:r>
      <w:bookmarkEnd w:id="30"/>
      <w:bookmarkEnd w:id="31"/>
    </w:p>
    <w:p w:rsidR="00712A37" w:rsidRPr="00712A37" w:rsidRDefault="00712A37" w:rsidP="00712A37">
      <w:r w:rsidRPr="00712A37">
        <w:t>Education outcomes in this analysis include, qualifications (following National Qualifications Framework definitions) held by participants and the amount of time spent participating in tertiary education. We theorised that having a driver licence may help people access education. However, there was no significant evidence that MSD-funded programmes increased participation in education.</w:t>
      </w:r>
    </w:p>
    <w:p w:rsidR="00712A37" w:rsidRPr="00712A37" w:rsidRDefault="00712A37" w:rsidP="00712A37">
      <w:pPr>
        <w:pStyle w:val="Heading2"/>
      </w:pPr>
      <w:bookmarkStart w:id="32" w:name="_Toc521668712"/>
      <w:bookmarkStart w:id="33" w:name="_Toc522866986"/>
      <w:r w:rsidRPr="00712A37">
        <w:t>The programmes had no impact on the justice outcomes of the participants</w:t>
      </w:r>
      <w:bookmarkEnd w:id="32"/>
      <w:bookmarkEnd w:id="33"/>
    </w:p>
    <w:p w:rsidR="00712A37" w:rsidRPr="00712A37" w:rsidRDefault="00712A37" w:rsidP="00712A37">
      <w:r w:rsidRPr="00712A37">
        <w:t>We looked at the offending rate and duration of time spent in the Department of Corrections systems. We did not observe any significant difference between participants and the comparison group for justice outcomes. Both groups showed similar rates of offending and time spent in the corrections system.</w:t>
      </w:r>
    </w:p>
    <w:p w:rsidR="00712A37" w:rsidRPr="00712A37" w:rsidRDefault="00712A37" w:rsidP="00712A37">
      <w:pPr>
        <w:rPr>
          <w:sz w:val="18"/>
        </w:rPr>
      </w:pPr>
      <w:r w:rsidRPr="00712A37">
        <w:t>It should be noted that the offending rate excluded offences which could be dealt with by issuing an infringement notice. We could not tell if there was an impact on traffic offences of low severity, such as exceeding the speed limit or driving without a valid licence.</w:t>
      </w:r>
    </w:p>
    <w:p w:rsidR="00712A37" w:rsidRPr="00712A37" w:rsidRDefault="00712A37" w:rsidP="00712A37">
      <w:pPr>
        <w:pStyle w:val="Heading2"/>
      </w:pPr>
      <w:bookmarkStart w:id="34" w:name="_Toc521668713"/>
      <w:bookmarkStart w:id="35" w:name="_Ref512585912"/>
      <w:bookmarkStart w:id="36" w:name="_Toc522866987"/>
      <w:r w:rsidRPr="00712A37">
        <w:t>Impact results and participant outcome values</w:t>
      </w:r>
      <w:bookmarkEnd w:id="34"/>
      <w:bookmarkEnd w:id="36"/>
    </w:p>
    <w:p w:rsidR="00712A37" w:rsidRPr="00712A37" w:rsidRDefault="00712A37" w:rsidP="00712A37">
      <w:r w:rsidRPr="00712A37">
        <w:fldChar w:fldCharType="begin"/>
      </w:r>
      <w:r w:rsidRPr="00712A37">
        <w:instrText xml:space="preserve"> REF _Ref516046159 \h </w:instrText>
      </w:r>
      <w:r>
        <w:instrText xml:space="preserve"> \* MERGEFORMAT </w:instrText>
      </w:r>
      <w:r w:rsidRPr="00712A37">
        <w:fldChar w:fldCharType="separate"/>
      </w:r>
      <w:r w:rsidRPr="00712A37">
        <w:t xml:space="preserve">Table </w:t>
      </w:r>
      <w:r w:rsidRPr="00712A37">
        <w:rPr>
          <w:noProof/>
        </w:rPr>
        <w:t>3</w:t>
      </w:r>
      <w:r w:rsidRPr="00712A37">
        <w:fldChar w:fldCharType="end"/>
      </w:r>
      <w:r w:rsidRPr="00712A37">
        <w:t xml:space="preserve"> shows all the impact results and participant outcomes organised by type of outcome. Results show a cumulative sum across the time period (since starting the driver licensing programme) as listed in the </w:t>
      </w:r>
      <w:r w:rsidRPr="00712A37">
        <w:rPr>
          <w:b/>
        </w:rPr>
        <w:t>Year</w:t>
      </w:r>
      <w:r w:rsidRPr="00712A37">
        <w:t xml:space="preserve"> column. </w:t>
      </w:r>
    </w:p>
    <w:p w:rsidR="00712A37" w:rsidRPr="00712A37" w:rsidRDefault="00712A37" w:rsidP="00712A37">
      <w:r w:rsidRPr="00712A37">
        <w:t xml:space="preserve">The column labelled </w:t>
      </w:r>
      <w:r w:rsidRPr="00712A37">
        <w:rPr>
          <w:b/>
        </w:rPr>
        <w:t xml:space="preserve">Participants’ outcomes </w:t>
      </w:r>
      <w:r w:rsidRPr="00712A37">
        <w:t xml:space="preserve">shows the average value for the participant group, for a particular outcome summed over the number of years in the </w:t>
      </w:r>
      <w:r w:rsidRPr="00712A37">
        <w:rPr>
          <w:b/>
        </w:rPr>
        <w:t>Year</w:t>
      </w:r>
      <w:r w:rsidRPr="00712A37">
        <w:t xml:space="preserve"> column. Meanwhile, the </w:t>
      </w:r>
      <w:r w:rsidRPr="00712A37">
        <w:rPr>
          <w:b/>
        </w:rPr>
        <w:t>Impact</w:t>
      </w:r>
      <w:r w:rsidRPr="00712A37">
        <w:t xml:space="preserve"> column shows the difference between the outcomes for the participants and the comparison group over the same time period.</w:t>
      </w:r>
    </w:p>
    <w:p w:rsidR="00712A37" w:rsidRPr="00712A37" w:rsidRDefault="00712A37" w:rsidP="00712A37">
      <w:pPr>
        <w:rPr>
          <w:sz w:val="16"/>
          <w:szCs w:val="16"/>
        </w:rPr>
      </w:pPr>
      <w:r w:rsidRPr="00712A37">
        <w:t xml:space="preserve">Both the </w:t>
      </w:r>
      <w:r w:rsidRPr="00712A37">
        <w:rPr>
          <w:b/>
        </w:rPr>
        <w:t xml:space="preserve">Participants’ outcomes </w:t>
      </w:r>
      <w:r w:rsidRPr="00712A37">
        <w:t xml:space="preserve">and </w:t>
      </w:r>
      <w:r w:rsidRPr="00712A37">
        <w:rPr>
          <w:b/>
        </w:rPr>
        <w:t>Impact</w:t>
      </w:r>
      <w:r w:rsidRPr="00712A37">
        <w:t xml:space="preserve"> columns show the point estimate and the 95 percent confidence interval. For example, participants held a full private licence for an average of 146 days across a 1.5 year period, with a 95 percent confidence interval of between 131 and 161 days.</w:t>
      </w:r>
      <w:r w:rsidRPr="00712A37">
        <w:rPr>
          <w:b/>
          <w:bCs/>
          <w:szCs w:val="18"/>
        </w:rPr>
        <w:fldChar w:fldCharType="begin" w:fldLock="1"/>
      </w:r>
      <w:r w:rsidRPr="00712A37">
        <w:instrText xml:space="preserve"> LINK Excel.Sheet.12 "\\\\corp.ssi.govt.nz\\shared\\W&amp;I\\NAT\\CSRE\\CORE\\Projects\\487 Sustainable Employment Annual Report\\2017\\DriverLicense\\IDI_Impacts.xlsx" PM_IMPACT_DRIVERLICENCE3!R1C1:R24C6 \a \f 4 \r  \* MERGEFORMAT </w:instrText>
      </w:r>
      <w:r w:rsidRPr="00712A37">
        <w:rPr>
          <w:b/>
          <w:bCs/>
          <w:szCs w:val="18"/>
        </w:rPr>
        <w:fldChar w:fldCharType="separate"/>
      </w:r>
    </w:p>
    <w:p w:rsidR="00D24881" w:rsidRDefault="00D24881" w:rsidP="004F2D04">
      <w:pPr>
        <w:pStyle w:val="Heading4"/>
      </w:pPr>
      <w:bookmarkStart w:id="37" w:name="_Ref516046159"/>
      <w:bookmarkStart w:id="38" w:name="_Toc522867894"/>
    </w:p>
    <w:p w:rsidR="00D24881" w:rsidRDefault="00D24881">
      <w:pPr>
        <w:spacing w:after="200" w:line="276" w:lineRule="auto"/>
        <w:rPr>
          <w:rFonts w:eastAsiaTheme="majorEastAsia" w:cstheme="majorBidi"/>
          <w:b/>
          <w:bCs/>
          <w:i/>
          <w:iCs/>
          <w:color w:val="000000" w:themeColor="text1"/>
        </w:rPr>
      </w:pPr>
      <w:r>
        <w:br w:type="page"/>
      </w:r>
    </w:p>
    <w:p w:rsidR="00712A37" w:rsidRPr="00712A37" w:rsidRDefault="00712A37" w:rsidP="00D24881">
      <w:pPr>
        <w:pStyle w:val="Heading4"/>
        <w:spacing w:after="120"/>
      </w:pPr>
      <w:r w:rsidRPr="00712A37">
        <w:lastRenderedPageBreak/>
        <w:t xml:space="preserve">Table </w:t>
      </w:r>
      <w:r w:rsidRPr="00712A37">
        <w:fldChar w:fldCharType="begin"/>
      </w:r>
      <w:r w:rsidRPr="00712A37">
        <w:instrText xml:space="preserve"> SEQ Table \* ARABIC </w:instrText>
      </w:r>
      <w:r w:rsidRPr="00712A37">
        <w:fldChar w:fldCharType="separate"/>
      </w:r>
      <w:r w:rsidRPr="00712A37">
        <w:rPr>
          <w:noProof/>
        </w:rPr>
        <w:t>3</w:t>
      </w:r>
      <w:r w:rsidRPr="00712A37">
        <w:rPr>
          <w:noProof/>
        </w:rPr>
        <w:fldChar w:fldCharType="end"/>
      </w:r>
      <w:bookmarkEnd w:id="37"/>
      <w:r w:rsidRPr="00712A37">
        <w:t xml:space="preserve"> - Participants' outcomes and impact results by type of outcome</w:t>
      </w:r>
      <w:bookmarkEnd w:id="38"/>
    </w:p>
    <w:tbl>
      <w:tblPr>
        <w:tblW w:w="5060" w:type="pct"/>
        <w:tblBorders>
          <w:top w:val="single" w:sz="4" w:space="0" w:color="auto"/>
          <w:bottom w:val="single" w:sz="4" w:space="0" w:color="auto"/>
        </w:tblBorders>
        <w:tblLook w:val="0000" w:firstRow="0" w:lastRow="0" w:firstColumn="0" w:lastColumn="0" w:noHBand="0" w:noVBand="0"/>
      </w:tblPr>
      <w:tblGrid>
        <w:gridCol w:w="1384"/>
        <w:gridCol w:w="3118"/>
        <w:gridCol w:w="709"/>
        <w:gridCol w:w="1493"/>
        <w:gridCol w:w="1525"/>
        <w:gridCol w:w="1124"/>
      </w:tblGrid>
      <w:tr w:rsidR="004F2D04" w:rsidRPr="00712A37" w:rsidTr="004F2D04">
        <w:trPr>
          <w:trHeight w:val="290"/>
        </w:trPr>
        <w:tc>
          <w:tcPr>
            <w:tcW w:w="740" w:type="pct"/>
            <w:tcBorders>
              <w:top w:val="single" w:sz="4" w:space="0" w:color="auto"/>
              <w:bottom w:val="single" w:sz="4" w:space="0" w:color="auto"/>
              <w:right w:val="outset" w:sz="6" w:space="0" w:color="FFFFFF" w:themeColor="background1"/>
            </w:tcBorders>
            <w:shd w:val="clear" w:color="auto" w:fill="121F6B"/>
          </w:tcPr>
          <w:p w:rsidR="00712A37" w:rsidRPr="004F2D04" w:rsidRDefault="00712A37" w:rsidP="00D24881">
            <w:pPr>
              <w:autoSpaceDE w:val="0"/>
              <w:autoSpaceDN w:val="0"/>
              <w:adjustRightInd w:val="0"/>
              <w:spacing w:before="60" w:after="60" w:line="240" w:lineRule="auto"/>
              <w:rPr>
                <w:rFonts w:eastAsia="Times New Roman" w:cs="Calibri"/>
                <w:b/>
                <w:color w:val="1F497D"/>
                <w:kern w:val="0"/>
                <w:sz w:val="18"/>
                <w:szCs w:val="18"/>
                <w:lang w:eastAsia="en-NZ"/>
              </w:rPr>
            </w:pPr>
            <w:r w:rsidRPr="004F2D04">
              <w:rPr>
                <w:rFonts w:eastAsia="Times New Roman" w:cs="Calibri"/>
                <w:b/>
                <w:color w:val="FFFFFF" w:themeColor="background1"/>
                <w:kern w:val="0"/>
                <w:sz w:val="18"/>
                <w:szCs w:val="18"/>
                <w:lang w:eastAsia="en-NZ"/>
              </w:rPr>
              <w:t>Type of outcome</w:t>
            </w:r>
          </w:p>
        </w:tc>
        <w:tc>
          <w:tcPr>
            <w:tcW w:w="1667" w:type="pct"/>
            <w:tcBorders>
              <w:top w:val="single" w:sz="4" w:space="0" w:color="auto"/>
              <w:left w:val="outset" w:sz="6" w:space="0" w:color="FFFFFF" w:themeColor="background1"/>
              <w:bottom w:val="single" w:sz="4" w:space="0" w:color="auto"/>
              <w:right w:val="outset" w:sz="6" w:space="0" w:color="FFFFFF" w:themeColor="background1"/>
            </w:tcBorders>
            <w:shd w:val="clear" w:color="auto" w:fill="121F6B"/>
          </w:tcPr>
          <w:p w:rsidR="00712A37" w:rsidRPr="004F2D04" w:rsidRDefault="00712A37" w:rsidP="00D24881">
            <w:pPr>
              <w:autoSpaceDE w:val="0"/>
              <w:autoSpaceDN w:val="0"/>
              <w:adjustRightInd w:val="0"/>
              <w:spacing w:before="60" w:after="60" w:line="240" w:lineRule="auto"/>
              <w:rPr>
                <w:rFonts w:eastAsia="Times New Roman" w:cs="Calibri"/>
                <w:b/>
                <w:color w:val="FFFFFF" w:themeColor="background1"/>
                <w:kern w:val="0"/>
                <w:sz w:val="18"/>
                <w:szCs w:val="18"/>
                <w:lang w:eastAsia="en-NZ"/>
              </w:rPr>
            </w:pPr>
            <w:r w:rsidRPr="004F2D04">
              <w:rPr>
                <w:rFonts w:eastAsia="Times New Roman" w:cs="Calibri"/>
                <w:b/>
                <w:color w:val="FFFFFF" w:themeColor="background1"/>
                <w:kern w:val="0"/>
                <w:sz w:val="18"/>
                <w:szCs w:val="18"/>
                <w:lang w:eastAsia="en-NZ"/>
              </w:rPr>
              <w:t>Outcome</w:t>
            </w:r>
          </w:p>
        </w:tc>
        <w:tc>
          <w:tcPr>
            <w:tcW w:w="379" w:type="pct"/>
            <w:tcBorders>
              <w:top w:val="single" w:sz="4" w:space="0" w:color="auto"/>
              <w:left w:val="outset" w:sz="6" w:space="0" w:color="FFFFFF" w:themeColor="background1"/>
              <w:bottom w:val="single" w:sz="4" w:space="0" w:color="auto"/>
              <w:right w:val="outset" w:sz="6" w:space="0" w:color="FFFFFF" w:themeColor="background1"/>
            </w:tcBorders>
            <w:shd w:val="clear" w:color="auto" w:fill="121F6B"/>
          </w:tcPr>
          <w:p w:rsidR="00712A37" w:rsidRPr="004F2D04" w:rsidRDefault="00712A37" w:rsidP="00D24881">
            <w:pPr>
              <w:autoSpaceDE w:val="0"/>
              <w:autoSpaceDN w:val="0"/>
              <w:adjustRightInd w:val="0"/>
              <w:spacing w:before="60" w:after="60" w:line="240" w:lineRule="auto"/>
              <w:rPr>
                <w:rFonts w:eastAsia="Times New Roman" w:cs="Calibri"/>
                <w:b/>
                <w:color w:val="FFFFFF" w:themeColor="background1"/>
                <w:kern w:val="0"/>
                <w:sz w:val="18"/>
                <w:szCs w:val="18"/>
                <w:lang w:eastAsia="en-NZ"/>
              </w:rPr>
            </w:pPr>
            <w:r w:rsidRPr="004F2D04">
              <w:rPr>
                <w:rFonts w:eastAsia="Times New Roman" w:cs="Calibri"/>
                <w:b/>
                <w:color w:val="FFFFFF" w:themeColor="background1"/>
                <w:kern w:val="0"/>
                <w:sz w:val="18"/>
                <w:szCs w:val="18"/>
                <w:lang w:eastAsia="en-NZ"/>
              </w:rPr>
              <w:t>Year</w:t>
            </w:r>
          </w:p>
        </w:tc>
        <w:tc>
          <w:tcPr>
            <w:tcW w:w="798" w:type="pct"/>
            <w:tcBorders>
              <w:top w:val="single" w:sz="4" w:space="0" w:color="auto"/>
              <w:left w:val="outset" w:sz="6" w:space="0" w:color="FFFFFF" w:themeColor="background1"/>
              <w:bottom w:val="single" w:sz="4" w:space="0" w:color="auto"/>
              <w:right w:val="outset" w:sz="6" w:space="0" w:color="FFFFFF" w:themeColor="background1"/>
            </w:tcBorders>
            <w:shd w:val="clear" w:color="auto" w:fill="121F6B"/>
          </w:tcPr>
          <w:p w:rsidR="00712A37" w:rsidRPr="004F2D04" w:rsidRDefault="00712A37" w:rsidP="00D24881">
            <w:pPr>
              <w:autoSpaceDE w:val="0"/>
              <w:autoSpaceDN w:val="0"/>
              <w:adjustRightInd w:val="0"/>
              <w:spacing w:before="60" w:after="60" w:line="240" w:lineRule="auto"/>
              <w:rPr>
                <w:rFonts w:eastAsia="Times New Roman" w:cs="Calibri"/>
                <w:b/>
                <w:color w:val="FFFFFF" w:themeColor="background1"/>
                <w:kern w:val="0"/>
                <w:sz w:val="18"/>
                <w:szCs w:val="18"/>
                <w:lang w:eastAsia="en-NZ"/>
              </w:rPr>
            </w:pPr>
            <w:r w:rsidRPr="004F2D04">
              <w:rPr>
                <w:rFonts w:eastAsia="Times New Roman" w:cs="Calibri"/>
                <w:b/>
                <w:color w:val="FFFFFF" w:themeColor="background1"/>
                <w:kern w:val="0"/>
                <w:sz w:val="18"/>
                <w:szCs w:val="18"/>
                <w:lang w:eastAsia="en-NZ"/>
              </w:rPr>
              <w:t>Participants' outcomes</w:t>
            </w:r>
          </w:p>
        </w:tc>
        <w:tc>
          <w:tcPr>
            <w:tcW w:w="815" w:type="pct"/>
            <w:tcBorders>
              <w:top w:val="single" w:sz="4" w:space="0" w:color="auto"/>
              <w:left w:val="outset" w:sz="6" w:space="0" w:color="FFFFFF" w:themeColor="background1"/>
              <w:bottom w:val="single" w:sz="4" w:space="0" w:color="auto"/>
              <w:right w:val="outset" w:sz="6" w:space="0" w:color="FFFFFF" w:themeColor="background1"/>
            </w:tcBorders>
            <w:shd w:val="clear" w:color="auto" w:fill="121F6B"/>
          </w:tcPr>
          <w:p w:rsidR="00712A37" w:rsidRPr="004F2D04" w:rsidRDefault="00712A37" w:rsidP="00D24881">
            <w:pPr>
              <w:autoSpaceDE w:val="0"/>
              <w:autoSpaceDN w:val="0"/>
              <w:adjustRightInd w:val="0"/>
              <w:spacing w:before="60" w:after="60" w:line="240" w:lineRule="auto"/>
              <w:rPr>
                <w:rFonts w:eastAsia="Times New Roman" w:cs="Calibri"/>
                <w:b/>
                <w:color w:val="FFFFFF" w:themeColor="background1"/>
                <w:kern w:val="0"/>
                <w:sz w:val="18"/>
                <w:szCs w:val="18"/>
                <w:lang w:eastAsia="en-NZ"/>
              </w:rPr>
            </w:pPr>
            <w:r w:rsidRPr="004F2D04">
              <w:rPr>
                <w:rFonts w:eastAsia="Times New Roman" w:cs="Calibri"/>
                <w:b/>
                <w:color w:val="FFFFFF" w:themeColor="background1"/>
                <w:kern w:val="0"/>
                <w:sz w:val="18"/>
                <w:szCs w:val="18"/>
                <w:lang w:eastAsia="en-NZ"/>
              </w:rPr>
              <w:t>Impact</w:t>
            </w:r>
          </w:p>
        </w:tc>
        <w:tc>
          <w:tcPr>
            <w:tcW w:w="601" w:type="pct"/>
            <w:tcBorders>
              <w:top w:val="single" w:sz="4" w:space="0" w:color="auto"/>
              <w:left w:val="outset" w:sz="6" w:space="0" w:color="FFFFFF" w:themeColor="background1"/>
              <w:bottom w:val="single" w:sz="4" w:space="0" w:color="auto"/>
            </w:tcBorders>
            <w:shd w:val="clear" w:color="auto" w:fill="121F6B"/>
          </w:tcPr>
          <w:p w:rsidR="00712A37" w:rsidRPr="004F2D04" w:rsidRDefault="00712A37" w:rsidP="00D24881">
            <w:pPr>
              <w:autoSpaceDE w:val="0"/>
              <w:autoSpaceDN w:val="0"/>
              <w:adjustRightInd w:val="0"/>
              <w:spacing w:before="60" w:after="60" w:line="240" w:lineRule="auto"/>
              <w:rPr>
                <w:rFonts w:eastAsia="Times New Roman" w:cs="Calibri"/>
                <w:b/>
                <w:color w:val="FFFFFF" w:themeColor="background1"/>
                <w:kern w:val="0"/>
                <w:sz w:val="18"/>
                <w:szCs w:val="18"/>
                <w:lang w:eastAsia="en-NZ"/>
              </w:rPr>
            </w:pPr>
            <w:r w:rsidRPr="004F2D04">
              <w:rPr>
                <w:rFonts w:eastAsia="Times New Roman" w:cs="Calibri"/>
                <w:b/>
                <w:color w:val="FFFFFF" w:themeColor="background1"/>
                <w:kern w:val="0"/>
                <w:sz w:val="18"/>
                <w:szCs w:val="18"/>
                <w:lang w:eastAsia="en-NZ"/>
              </w:rPr>
              <w:t>Unit</w:t>
            </w:r>
          </w:p>
        </w:tc>
      </w:tr>
      <w:tr w:rsidR="004F2D04" w:rsidRPr="00712A37" w:rsidTr="004F2D04">
        <w:trPr>
          <w:trHeight w:val="290"/>
        </w:trPr>
        <w:tc>
          <w:tcPr>
            <w:tcW w:w="740" w:type="pct"/>
            <w:tcBorders>
              <w:top w:val="single" w:sz="4" w:space="0" w:color="auto"/>
            </w:tcBorders>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Driver licence</w:t>
            </w:r>
          </w:p>
        </w:tc>
        <w:tc>
          <w:tcPr>
            <w:tcW w:w="1667" w:type="pct"/>
            <w:tcBorders>
              <w:top w:val="single" w:sz="4" w:space="0" w:color="auto"/>
            </w:tcBorders>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Full commercial licence</w:t>
            </w:r>
          </w:p>
        </w:tc>
        <w:tc>
          <w:tcPr>
            <w:tcW w:w="379" w:type="pct"/>
            <w:tcBorders>
              <w:top w:val="single" w:sz="4" w:space="0" w:color="auto"/>
            </w:tcBorders>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tcBorders>
              <w:top w:val="single" w:sz="4" w:space="0" w:color="auto"/>
            </w:tcBorders>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32±8*</w:t>
            </w:r>
          </w:p>
        </w:tc>
        <w:tc>
          <w:tcPr>
            <w:tcW w:w="815" w:type="pct"/>
            <w:tcBorders>
              <w:top w:val="single" w:sz="4" w:space="0" w:color="auto"/>
            </w:tcBorders>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24±9*</w:t>
            </w:r>
          </w:p>
        </w:tc>
        <w:tc>
          <w:tcPr>
            <w:tcW w:w="601" w:type="pct"/>
            <w:tcBorders>
              <w:top w:val="single" w:sz="4" w:space="0" w:color="auto"/>
            </w:tcBorders>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days</w:t>
            </w:r>
          </w:p>
        </w:tc>
      </w:tr>
      <w:tr w:rsidR="004F2D04" w:rsidRPr="00712A37" w:rsidTr="004F2D04">
        <w:trPr>
          <w:trHeight w:val="290"/>
        </w:trPr>
        <w:tc>
          <w:tcPr>
            <w:tcW w:w="740"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p>
        </w:tc>
        <w:tc>
          <w:tcPr>
            <w:tcW w:w="1667"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Full private licence</w:t>
            </w:r>
          </w:p>
        </w:tc>
        <w:tc>
          <w:tcPr>
            <w:tcW w:w="379"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146±15*</w:t>
            </w:r>
          </w:p>
        </w:tc>
        <w:tc>
          <w:tcPr>
            <w:tcW w:w="815"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65±20*</w:t>
            </w:r>
          </w:p>
        </w:tc>
        <w:tc>
          <w:tcPr>
            <w:tcW w:w="601"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days</w:t>
            </w:r>
          </w:p>
        </w:tc>
      </w:tr>
      <w:tr w:rsidR="004F2D04" w:rsidRPr="00712A37" w:rsidTr="004F2D04">
        <w:trPr>
          <w:trHeight w:val="290"/>
        </w:trPr>
        <w:tc>
          <w:tcPr>
            <w:tcW w:w="740"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p>
        </w:tc>
        <w:tc>
          <w:tcPr>
            <w:tcW w:w="1667"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Learner's commercial licence</w:t>
            </w:r>
          </w:p>
        </w:tc>
        <w:tc>
          <w:tcPr>
            <w:tcW w:w="379"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6±3</w:t>
            </w:r>
          </w:p>
        </w:tc>
        <w:tc>
          <w:tcPr>
            <w:tcW w:w="815"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2±4</w:t>
            </w:r>
          </w:p>
        </w:tc>
        <w:tc>
          <w:tcPr>
            <w:tcW w:w="601"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days</w:t>
            </w:r>
          </w:p>
        </w:tc>
      </w:tr>
      <w:tr w:rsidR="004F2D04" w:rsidRPr="00712A37" w:rsidTr="004F2D04">
        <w:trPr>
          <w:trHeight w:val="290"/>
        </w:trPr>
        <w:tc>
          <w:tcPr>
            <w:tcW w:w="740"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p>
        </w:tc>
        <w:tc>
          <w:tcPr>
            <w:tcW w:w="1667"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Learner's private licence</w:t>
            </w:r>
          </w:p>
        </w:tc>
        <w:tc>
          <w:tcPr>
            <w:tcW w:w="379"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185±15</w:t>
            </w:r>
          </w:p>
        </w:tc>
        <w:tc>
          <w:tcPr>
            <w:tcW w:w="815"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-10±23</w:t>
            </w:r>
          </w:p>
        </w:tc>
        <w:tc>
          <w:tcPr>
            <w:tcW w:w="601"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days</w:t>
            </w:r>
          </w:p>
        </w:tc>
      </w:tr>
      <w:tr w:rsidR="004F2D04" w:rsidRPr="00712A37" w:rsidTr="004F2D04">
        <w:trPr>
          <w:trHeight w:val="290"/>
        </w:trPr>
        <w:tc>
          <w:tcPr>
            <w:tcW w:w="740"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p>
        </w:tc>
        <w:tc>
          <w:tcPr>
            <w:tcW w:w="1667"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Restricted private licence</w:t>
            </w:r>
          </w:p>
        </w:tc>
        <w:tc>
          <w:tcPr>
            <w:tcW w:w="379"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151±14*</w:t>
            </w:r>
          </w:p>
        </w:tc>
        <w:tc>
          <w:tcPr>
            <w:tcW w:w="815"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22±21*</w:t>
            </w:r>
          </w:p>
        </w:tc>
        <w:tc>
          <w:tcPr>
            <w:tcW w:w="601"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days</w:t>
            </w:r>
          </w:p>
        </w:tc>
      </w:tr>
      <w:tr w:rsidR="00D24881" w:rsidRPr="00712A37" w:rsidTr="00D24881">
        <w:trPr>
          <w:trHeight w:val="290"/>
        </w:trPr>
        <w:tc>
          <w:tcPr>
            <w:tcW w:w="740"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Earnings</w:t>
            </w:r>
          </w:p>
        </w:tc>
        <w:tc>
          <w:tcPr>
            <w:tcW w:w="1667"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Income tax paid</w:t>
            </w:r>
          </w:p>
        </w:tc>
        <w:tc>
          <w:tcPr>
            <w:tcW w:w="379"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3,900±130*</w:t>
            </w:r>
          </w:p>
        </w:tc>
        <w:tc>
          <w:tcPr>
            <w:tcW w:w="815"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500±200*</w:t>
            </w:r>
          </w:p>
        </w:tc>
        <w:tc>
          <w:tcPr>
            <w:tcW w:w="601"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dollars (nominal)</w:t>
            </w:r>
          </w:p>
        </w:tc>
      </w:tr>
      <w:tr w:rsidR="00D24881" w:rsidRPr="00712A37" w:rsidTr="00D24881">
        <w:trPr>
          <w:trHeight w:val="290"/>
        </w:trPr>
        <w:tc>
          <w:tcPr>
            <w:tcW w:w="740"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p>
        </w:tc>
        <w:tc>
          <w:tcPr>
            <w:tcW w:w="1667"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Net total income</w:t>
            </w:r>
          </w:p>
        </w:tc>
        <w:tc>
          <w:tcPr>
            <w:tcW w:w="379"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32,300±780*</w:t>
            </w:r>
          </w:p>
        </w:tc>
        <w:tc>
          <w:tcPr>
            <w:tcW w:w="815"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2,900±1,200*</w:t>
            </w:r>
          </w:p>
        </w:tc>
        <w:tc>
          <w:tcPr>
            <w:tcW w:w="601"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dollars (nominal)</w:t>
            </w:r>
          </w:p>
        </w:tc>
      </w:tr>
      <w:tr w:rsidR="00D24881" w:rsidRPr="00712A37" w:rsidTr="00D24881">
        <w:trPr>
          <w:trHeight w:val="290"/>
        </w:trPr>
        <w:tc>
          <w:tcPr>
            <w:tcW w:w="740"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p>
        </w:tc>
        <w:tc>
          <w:tcPr>
            <w:tcW w:w="1667"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Income from employment</w:t>
            </w:r>
          </w:p>
        </w:tc>
        <w:tc>
          <w:tcPr>
            <w:tcW w:w="379"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13,000±960*</w:t>
            </w:r>
          </w:p>
        </w:tc>
        <w:tc>
          <w:tcPr>
            <w:tcW w:w="815"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3,000±1,400*</w:t>
            </w:r>
          </w:p>
        </w:tc>
        <w:tc>
          <w:tcPr>
            <w:tcW w:w="601"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dollars (nominal)</w:t>
            </w:r>
          </w:p>
        </w:tc>
      </w:tr>
      <w:tr w:rsidR="00D24881" w:rsidRPr="00712A37" w:rsidTr="00D24881">
        <w:trPr>
          <w:trHeight w:val="290"/>
        </w:trPr>
        <w:tc>
          <w:tcPr>
            <w:tcW w:w="740"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p>
        </w:tc>
        <w:tc>
          <w:tcPr>
            <w:tcW w:w="1667"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Income from welfare payments</w:t>
            </w:r>
          </w:p>
        </w:tc>
        <w:tc>
          <w:tcPr>
            <w:tcW w:w="379"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18,900±660</w:t>
            </w:r>
          </w:p>
        </w:tc>
        <w:tc>
          <w:tcPr>
            <w:tcW w:w="815"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0±990</w:t>
            </w:r>
          </w:p>
        </w:tc>
        <w:tc>
          <w:tcPr>
            <w:tcW w:w="601"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dollars (nominal)</w:t>
            </w:r>
          </w:p>
        </w:tc>
      </w:tr>
      <w:tr w:rsidR="004F2D04" w:rsidRPr="00712A37" w:rsidTr="004F2D04">
        <w:trPr>
          <w:trHeight w:val="290"/>
        </w:trPr>
        <w:tc>
          <w:tcPr>
            <w:tcW w:w="740"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Education</w:t>
            </w:r>
          </w:p>
        </w:tc>
        <w:tc>
          <w:tcPr>
            <w:tcW w:w="1667"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 achieved NQF2</w:t>
            </w:r>
          </w:p>
        </w:tc>
        <w:tc>
          <w:tcPr>
            <w:tcW w:w="379"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1.6</w:t>
            </w:r>
          </w:p>
        </w:tc>
        <w:tc>
          <w:tcPr>
            <w:tcW w:w="798"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51±3</w:t>
            </w:r>
          </w:p>
        </w:tc>
        <w:tc>
          <w:tcPr>
            <w:tcW w:w="815"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601"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 of people</w:t>
            </w:r>
          </w:p>
        </w:tc>
      </w:tr>
      <w:tr w:rsidR="004F2D04" w:rsidRPr="00712A37" w:rsidTr="004F2D04">
        <w:trPr>
          <w:trHeight w:val="290"/>
        </w:trPr>
        <w:tc>
          <w:tcPr>
            <w:tcW w:w="740"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p>
        </w:tc>
        <w:tc>
          <w:tcPr>
            <w:tcW w:w="1667"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 achieved NQF3</w:t>
            </w:r>
          </w:p>
        </w:tc>
        <w:tc>
          <w:tcPr>
            <w:tcW w:w="379"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1.6</w:t>
            </w:r>
          </w:p>
        </w:tc>
        <w:tc>
          <w:tcPr>
            <w:tcW w:w="798"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35±3</w:t>
            </w:r>
          </w:p>
        </w:tc>
        <w:tc>
          <w:tcPr>
            <w:tcW w:w="815"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601"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 of people</w:t>
            </w:r>
          </w:p>
        </w:tc>
      </w:tr>
      <w:tr w:rsidR="004F2D04" w:rsidRPr="00712A37" w:rsidTr="004F2D04">
        <w:trPr>
          <w:trHeight w:val="290"/>
        </w:trPr>
        <w:tc>
          <w:tcPr>
            <w:tcW w:w="740"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p>
        </w:tc>
        <w:tc>
          <w:tcPr>
            <w:tcW w:w="1667"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 achieved NQF4</w:t>
            </w:r>
          </w:p>
        </w:tc>
        <w:tc>
          <w:tcPr>
            <w:tcW w:w="379"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1.6</w:t>
            </w:r>
          </w:p>
        </w:tc>
        <w:tc>
          <w:tcPr>
            <w:tcW w:w="798"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18±3</w:t>
            </w:r>
          </w:p>
        </w:tc>
        <w:tc>
          <w:tcPr>
            <w:tcW w:w="815"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-1±4</w:t>
            </w:r>
          </w:p>
        </w:tc>
        <w:tc>
          <w:tcPr>
            <w:tcW w:w="601"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 of people</w:t>
            </w:r>
          </w:p>
        </w:tc>
      </w:tr>
      <w:tr w:rsidR="004F2D04" w:rsidRPr="00712A37" w:rsidTr="004F2D04">
        <w:trPr>
          <w:trHeight w:val="290"/>
        </w:trPr>
        <w:tc>
          <w:tcPr>
            <w:tcW w:w="740"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p>
        </w:tc>
        <w:tc>
          <w:tcPr>
            <w:tcW w:w="1667"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Any participation in education</w:t>
            </w:r>
          </w:p>
        </w:tc>
        <w:tc>
          <w:tcPr>
            <w:tcW w:w="379"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120±13</w:t>
            </w:r>
          </w:p>
        </w:tc>
        <w:tc>
          <w:tcPr>
            <w:tcW w:w="815"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10±19</w:t>
            </w:r>
          </w:p>
        </w:tc>
        <w:tc>
          <w:tcPr>
            <w:tcW w:w="601"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days</w:t>
            </w:r>
          </w:p>
        </w:tc>
      </w:tr>
      <w:tr w:rsidR="004F2D04" w:rsidRPr="00712A37" w:rsidTr="004F2D04">
        <w:trPr>
          <w:trHeight w:val="290"/>
        </w:trPr>
        <w:tc>
          <w:tcPr>
            <w:tcW w:w="740"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p>
        </w:tc>
        <w:tc>
          <w:tcPr>
            <w:tcW w:w="1667"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Participation in NQF level 4 or higher</w:t>
            </w:r>
          </w:p>
        </w:tc>
        <w:tc>
          <w:tcPr>
            <w:tcW w:w="379"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36±8</w:t>
            </w:r>
          </w:p>
        </w:tc>
        <w:tc>
          <w:tcPr>
            <w:tcW w:w="815"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-10±14</w:t>
            </w:r>
          </w:p>
        </w:tc>
        <w:tc>
          <w:tcPr>
            <w:tcW w:w="601"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days</w:t>
            </w:r>
          </w:p>
        </w:tc>
      </w:tr>
      <w:tr w:rsidR="004F2D04" w:rsidRPr="00712A37" w:rsidTr="004F2D04">
        <w:trPr>
          <w:trHeight w:val="290"/>
        </w:trPr>
        <w:tc>
          <w:tcPr>
            <w:tcW w:w="740"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p>
        </w:tc>
        <w:tc>
          <w:tcPr>
            <w:tcW w:w="1667"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Participation while off main benefit</w:t>
            </w:r>
          </w:p>
        </w:tc>
        <w:tc>
          <w:tcPr>
            <w:tcW w:w="379"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60±10</w:t>
            </w:r>
          </w:p>
        </w:tc>
        <w:tc>
          <w:tcPr>
            <w:tcW w:w="815"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10±14</w:t>
            </w:r>
          </w:p>
        </w:tc>
        <w:tc>
          <w:tcPr>
            <w:tcW w:w="601"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days</w:t>
            </w:r>
          </w:p>
        </w:tc>
      </w:tr>
      <w:tr w:rsidR="00D24881" w:rsidRPr="00712A37" w:rsidTr="00D24881">
        <w:trPr>
          <w:trHeight w:val="290"/>
        </w:trPr>
        <w:tc>
          <w:tcPr>
            <w:tcW w:w="740"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Employment</w:t>
            </w:r>
          </w:p>
        </w:tc>
        <w:tc>
          <w:tcPr>
            <w:tcW w:w="1667"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Any time in employment</w:t>
            </w:r>
          </w:p>
        </w:tc>
        <w:tc>
          <w:tcPr>
            <w:tcW w:w="379"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210±12*</w:t>
            </w:r>
          </w:p>
        </w:tc>
        <w:tc>
          <w:tcPr>
            <w:tcW w:w="815"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40±17*</w:t>
            </w:r>
          </w:p>
        </w:tc>
        <w:tc>
          <w:tcPr>
            <w:tcW w:w="601"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days</w:t>
            </w:r>
          </w:p>
        </w:tc>
      </w:tr>
      <w:tr w:rsidR="00D24881" w:rsidRPr="00712A37" w:rsidTr="00D24881">
        <w:trPr>
          <w:trHeight w:val="290"/>
        </w:trPr>
        <w:tc>
          <w:tcPr>
            <w:tcW w:w="740"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p>
        </w:tc>
        <w:tc>
          <w:tcPr>
            <w:tcW w:w="1667"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Employment while off welfare</w:t>
            </w:r>
          </w:p>
        </w:tc>
        <w:tc>
          <w:tcPr>
            <w:tcW w:w="379"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120±10*</w:t>
            </w:r>
          </w:p>
        </w:tc>
        <w:tc>
          <w:tcPr>
            <w:tcW w:w="815"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20±14*</w:t>
            </w:r>
          </w:p>
        </w:tc>
        <w:tc>
          <w:tcPr>
            <w:tcW w:w="601"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days</w:t>
            </w:r>
          </w:p>
        </w:tc>
      </w:tr>
      <w:tr w:rsidR="00D24881" w:rsidRPr="00712A37" w:rsidTr="00D24881">
        <w:trPr>
          <w:trHeight w:val="290"/>
        </w:trPr>
        <w:tc>
          <w:tcPr>
            <w:tcW w:w="740"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p>
        </w:tc>
        <w:tc>
          <w:tcPr>
            <w:tcW w:w="1667"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Employment while on welfare</w:t>
            </w:r>
          </w:p>
        </w:tc>
        <w:tc>
          <w:tcPr>
            <w:tcW w:w="379"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91±8*</w:t>
            </w:r>
          </w:p>
        </w:tc>
        <w:tc>
          <w:tcPr>
            <w:tcW w:w="815"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20±11*</w:t>
            </w:r>
          </w:p>
        </w:tc>
        <w:tc>
          <w:tcPr>
            <w:tcW w:w="601"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days</w:t>
            </w:r>
          </w:p>
        </w:tc>
      </w:tr>
      <w:tr w:rsidR="004F2D04" w:rsidRPr="00712A37" w:rsidTr="004F2D04">
        <w:trPr>
          <w:trHeight w:val="290"/>
        </w:trPr>
        <w:tc>
          <w:tcPr>
            <w:tcW w:w="740"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Justice</w:t>
            </w:r>
          </w:p>
        </w:tc>
        <w:tc>
          <w:tcPr>
            <w:tcW w:w="1667"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Offending rate</w:t>
            </w:r>
          </w:p>
        </w:tc>
        <w:tc>
          <w:tcPr>
            <w:tcW w:w="379"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0.48±0.08</w:t>
            </w:r>
          </w:p>
        </w:tc>
        <w:tc>
          <w:tcPr>
            <w:tcW w:w="815"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-0.10±0.10</w:t>
            </w:r>
          </w:p>
        </w:tc>
        <w:tc>
          <w:tcPr>
            <w:tcW w:w="601"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count</w:t>
            </w:r>
          </w:p>
        </w:tc>
      </w:tr>
      <w:tr w:rsidR="004F2D04" w:rsidRPr="00712A37" w:rsidTr="004F2D04">
        <w:trPr>
          <w:trHeight w:val="290"/>
        </w:trPr>
        <w:tc>
          <w:tcPr>
            <w:tcW w:w="740"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p>
        </w:tc>
        <w:tc>
          <w:tcPr>
            <w:tcW w:w="1667"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Offending rate (serious offences)</w:t>
            </w:r>
          </w:p>
        </w:tc>
        <w:tc>
          <w:tcPr>
            <w:tcW w:w="379"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0.02±0.02</w:t>
            </w:r>
          </w:p>
        </w:tc>
        <w:tc>
          <w:tcPr>
            <w:tcW w:w="815"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0.00±0.03</w:t>
            </w:r>
          </w:p>
        </w:tc>
        <w:tc>
          <w:tcPr>
            <w:tcW w:w="601"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count</w:t>
            </w:r>
            <w:r w:rsidRPr="004F2D04">
              <w:rPr>
                <w:rFonts w:eastAsia="Times New Roman" w:cs="Calibri"/>
                <w:color w:val="000000"/>
                <w:kern w:val="0"/>
                <w:sz w:val="18"/>
                <w:szCs w:val="18"/>
                <w:lang w:eastAsia="en-NZ"/>
              </w:rPr>
              <w:tab/>
            </w:r>
          </w:p>
        </w:tc>
      </w:tr>
      <w:tr w:rsidR="004F2D04" w:rsidRPr="00712A37" w:rsidTr="004F2D04">
        <w:trPr>
          <w:trHeight w:val="290"/>
        </w:trPr>
        <w:tc>
          <w:tcPr>
            <w:tcW w:w="740"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p>
        </w:tc>
        <w:tc>
          <w:tcPr>
            <w:tcW w:w="1667"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Time spent in any corrections service</w:t>
            </w:r>
          </w:p>
        </w:tc>
        <w:tc>
          <w:tcPr>
            <w:tcW w:w="379"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25±4</w:t>
            </w:r>
          </w:p>
        </w:tc>
        <w:tc>
          <w:tcPr>
            <w:tcW w:w="815"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-5±8</w:t>
            </w:r>
          </w:p>
        </w:tc>
        <w:tc>
          <w:tcPr>
            <w:tcW w:w="601"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days</w:t>
            </w:r>
          </w:p>
        </w:tc>
      </w:tr>
      <w:tr w:rsidR="004F2D04" w:rsidRPr="00712A37" w:rsidTr="004F2D04">
        <w:trPr>
          <w:trHeight w:val="290"/>
        </w:trPr>
        <w:tc>
          <w:tcPr>
            <w:tcW w:w="740"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p>
        </w:tc>
        <w:tc>
          <w:tcPr>
            <w:tcW w:w="1667"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Time spent in prison</w:t>
            </w:r>
          </w:p>
        </w:tc>
        <w:tc>
          <w:tcPr>
            <w:tcW w:w="379"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2±1</w:t>
            </w:r>
          </w:p>
        </w:tc>
        <w:tc>
          <w:tcPr>
            <w:tcW w:w="815"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-2±2</w:t>
            </w:r>
          </w:p>
        </w:tc>
        <w:tc>
          <w:tcPr>
            <w:tcW w:w="601" w:type="pct"/>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days</w:t>
            </w:r>
          </w:p>
        </w:tc>
      </w:tr>
      <w:tr w:rsidR="00D24881" w:rsidRPr="00712A37" w:rsidTr="00D24881">
        <w:trPr>
          <w:trHeight w:val="290"/>
        </w:trPr>
        <w:tc>
          <w:tcPr>
            <w:tcW w:w="740"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Welfare</w:t>
            </w:r>
          </w:p>
        </w:tc>
        <w:tc>
          <w:tcPr>
            <w:tcW w:w="1667"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Time spent not receiving main benefit or employment assistance</w:t>
            </w:r>
            <w:r w:rsidRPr="004F2D04">
              <w:rPr>
                <w:rFonts w:eastAsia="Times New Roman" w:cs="Calibri"/>
                <w:color w:val="000000"/>
                <w:kern w:val="0"/>
                <w:sz w:val="18"/>
                <w:szCs w:val="18"/>
                <w:vertAlign w:val="superscript"/>
                <w:lang w:val="en-US" w:eastAsia="x-none"/>
              </w:rPr>
              <w:footnoteReference w:id="7"/>
            </w:r>
          </w:p>
        </w:tc>
        <w:tc>
          <w:tcPr>
            <w:tcW w:w="379"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1.5</w:t>
            </w:r>
          </w:p>
        </w:tc>
        <w:tc>
          <w:tcPr>
            <w:tcW w:w="798"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170±11</w:t>
            </w:r>
          </w:p>
        </w:tc>
        <w:tc>
          <w:tcPr>
            <w:tcW w:w="815"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0±16</w:t>
            </w:r>
          </w:p>
        </w:tc>
        <w:tc>
          <w:tcPr>
            <w:tcW w:w="601" w:type="pct"/>
            <w:shd w:val="clear" w:color="auto" w:fill="C6D9F1" w:themeFill="text2" w:themeFillTint="33"/>
          </w:tcPr>
          <w:p w:rsidR="00712A37" w:rsidRPr="004F2D04" w:rsidRDefault="00712A37" w:rsidP="004F2D04">
            <w:pPr>
              <w:autoSpaceDE w:val="0"/>
              <w:autoSpaceDN w:val="0"/>
              <w:adjustRightInd w:val="0"/>
              <w:spacing w:after="0" w:line="240" w:lineRule="auto"/>
              <w:rPr>
                <w:rFonts w:eastAsia="Times New Roman" w:cs="Calibri"/>
                <w:color w:val="000000"/>
                <w:kern w:val="0"/>
                <w:sz w:val="18"/>
                <w:szCs w:val="18"/>
                <w:lang w:eastAsia="en-NZ"/>
              </w:rPr>
            </w:pPr>
            <w:r w:rsidRPr="004F2D04">
              <w:rPr>
                <w:rFonts w:eastAsia="Times New Roman" w:cs="Calibri"/>
                <w:color w:val="000000"/>
                <w:kern w:val="0"/>
                <w:sz w:val="18"/>
                <w:szCs w:val="18"/>
                <w:lang w:eastAsia="en-NZ"/>
              </w:rPr>
              <w:t>days</w:t>
            </w:r>
          </w:p>
        </w:tc>
      </w:tr>
    </w:tbl>
    <w:p w:rsidR="00712A37" w:rsidRPr="004F2D04" w:rsidRDefault="00712A37" w:rsidP="00712A37">
      <w:pPr>
        <w:widowControl w:val="0"/>
        <w:suppressAutoHyphens/>
        <w:autoSpaceDE w:val="0"/>
        <w:autoSpaceDN w:val="0"/>
        <w:adjustRightInd w:val="0"/>
        <w:spacing w:before="40" w:after="40" w:line="220" w:lineRule="atLeast"/>
        <w:textAlignment w:val="center"/>
        <w:rPr>
          <w:i/>
          <w:color w:val="000000" w:themeColor="text1"/>
          <w:kern w:val="0"/>
          <w:sz w:val="18"/>
          <w:szCs w:val="16"/>
          <w:lang w:eastAsia="en-NZ"/>
        </w:rPr>
      </w:pPr>
      <w:r w:rsidRPr="00712A37">
        <w:rPr>
          <w:color w:val="1F497D"/>
          <w:kern w:val="0"/>
          <w:sz w:val="18"/>
          <w:szCs w:val="16"/>
          <w:lang w:eastAsia="en-NZ"/>
        </w:rPr>
        <w:fldChar w:fldCharType="end"/>
      </w:r>
      <w:r w:rsidRPr="004F2D04">
        <w:rPr>
          <w:i/>
          <w:color w:val="000000" w:themeColor="text1"/>
          <w:kern w:val="0"/>
          <w:sz w:val="18"/>
          <w:szCs w:val="16"/>
          <w:lang w:eastAsia="en-NZ"/>
        </w:rPr>
        <w:t>Nominal refers to dollar values that have not been inflated or discounted</w:t>
      </w:r>
      <w:r w:rsidR="004F2D04" w:rsidRPr="004F2D04">
        <w:rPr>
          <w:i/>
          <w:color w:val="000000" w:themeColor="text1"/>
          <w:kern w:val="0"/>
          <w:sz w:val="18"/>
          <w:szCs w:val="16"/>
          <w:lang w:eastAsia="en-NZ"/>
        </w:rPr>
        <w:t xml:space="preserve">. </w:t>
      </w:r>
      <w:r w:rsidRPr="004F2D04">
        <w:rPr>
          <w:i/>
          <w:color w:val="000000" w:themeColor="text1"/>
          <w:kern w:val="0"/>
          <w:sz w:val="18"/>
          <w:szCs w:val="16"/>
          <w:lang w:eastAsia="en-NZ"/>
        </w:rPr>
        <w:t>Statistically significant impact results at an alpha level of 0.05 are marked by an asterisk (*)</w:t>
      </w:r>
      <w:r w:rsidR="004F2D04" w:rsidRPr="004F2D04">
        <w:rPr>
          <w:i/>
          <w:color w:val="000000" w:themeColor="text1"/>
          <w:kern w:val="0"/>
          <w:sz w:val="18"/>
          <w:szCs w:val="16"/>
          <w:lang w:eastAsia="en-NZ"/>
        </w:rPr>
        <w:t xml:space="preserve">. </w:t>
      </w:r>
      <w:bookmarkStart w:id="39" w:name="_Toc452630504"/>
      <w:bookmarkStart w:id="40" w:name="_Toc454276572"/>
      <w:bookmarkEnd w:id="39"/>
      <w:bookmarkEnd w:id="40"/>
      <w:r w:rsidRPr="004F2D04">
        <w:rPr>
          <w:i/>
          <w:color w:val="000000" w:themeColor="text1"/>
          <w:kern w:val="0"/>
          <w:sz w:val="18"/>
          <w:szCs w:val="16"/>
          <w:lang w:eastAsia="en-NZ"/>
        </w:rPr>
        <w:t>The unit ‘% of people’ refers to percentage points (for example 50% minus 40% is 10 percentage points)</w:t>
      </w:r>
    </w:p>
    <w:p w:rsidR="00712A37" w:rsidRPr="00712A37" w:rsidRDefault="00712A37" w:rsidP="00D24881">
      <w:pPr>
        <w:pStyle w:val="Heading1"/>
        <w:rPr>
          <w:rFonts w:eastAsia="Times New Roman"/>
        </w:rPr>
      </w:pPr>
      <w:bookmarkStart w:id="41" w:name="_Ref515971522"/>
      <w:bookmarkStart w:id="42" w:name="_Ref516822050"/>
      <w:bookmarkStart w:id="43" w:name="_Toc521668714"/>
      <w:bookmarkStart w:id="44" w:name="_Toc522866988"/>
      <w:r w:rsidRPr="00712A37">
        <w:rPr>
          <w:rFonts w:eastAsia="Times New Roman"/>
        </w:rPr>
        <w:lastRenderedPageBreak/>
        <w:t>Limitations of the analysis</w:t>
      </w:r>
      <w:bookmarkEnd w:id="35"/>
      <w:bookmarkEnd w:id="41"/>
      <w:bookmarkEnd w:id="42"/>
      <w:bookmarkEnd w:id="43"/>
      <w:bookmarkEnd w:id="44"/>
    </w:p>
    <w:p w:rsidR="00712A37" w:rsidRPr="00712A37" w:rsidRDefault="00712A37" w:rsidP="004F2D04">
      <w:pPr>
        <w:pStyle w:val="Heading2"/>
      </w:pPr>
      <w:bookmarkStart w:id="45" w:name="_Toc521668715"/>
      <w:bookmarkStart w:id="46" w:name="_Toc522866989"/>
      <w:r w:rsidRPr="00712A37">
        <w:t>We do not have complete information about the licence type or the licence stage that participants were trying to obtain for all programmes</w:t>
      </w:r>
      <w:bookmarkEnd w:id="45"/>
      <w:bookmarkEnd w:id="46"/>
    </w:p>
    <w:p w:rsidR="00712A37" w:rsidRPr="00712A37" w:rsidRDefault="00712A37" w:rsidP="004F2D04">
      <w:r w:rsidRPr="00712A37">
        <w:t>From the administrative data, we know that some participants were working toward achieving a licence for commercial vehicles, such as taxis or forklifts, instead of a licence for private cars or motorcycles. However, this information was unreliable for some participation events (for example, the description of the programme did not specify the licence stage or class). Therefore, we grouped and analysed all programme participation events together, regardless of the type of programme.</w:t>
      </w:r>
    </w:p>
    <w:p w:rsidR="00712A37" w:rsidRPr="00712A37" w:rsidRDefault="00712A37" w:rsidP="004F2D04">
      <w:r w:rsidRPr="00712A37">
        <w:t>We also know that some programmes are aimed to help participants achieve a learner’s licence instead of a full licence. We do not have full information for all participation events, and so have chosen to analyse all the programmes together as one group.</w:t>
      </w:r>
    </w:p>
    <w:p w:rsidR="00712A37" w:rsidRPr="00712A37" w:rsidRDefault="00712A37" w:rsidP="004F2D04">
      <w:pPr>
        <w:pStyle w:val="Heading2"/>
      </w:pPr>
      <w:bookmarkStart w:id="47" w:name="_Toc521668716"/>
      <w:bookmarkStart w:id="48" w:name="_Toc522866990"/>
      <w:r w:rsidRPr="00712A37">
        <w:t>We did not match the comparison group based on the length of time spent in a driver licence stage before starting the programmes</w:t>
      </w:r>
      <w:bookmarkEnd w:id="47"/>
      <w:bookmarkEnd w:id="48"/>
    </w:p>
    <w:p w:rsidR="00712A37" w:rsidRPr="00712A37" w:rsidRDefault="00712A37" w:rsidP="004F2D04">
      <w:r w:rsidRPr="00712A37">
        <w:t>It is possible that participants who spent a long time in the same licence stage prior to starting the programme may have different characteristics to participants who spent less time. While we did not include this factor when identifying the current comparison group, we plan to include it if further analysis is done in the future.</w:t>
      </w:r>
    </w:p>
    <w:p w:rsidR="00712A37" w:rsidRPr="00712A37" w:rsidRDefault="00712A37" w:rsidP="004F2D04">
      <w:pPr>
        <w:pStyle w:val="Heading2"/>
      </w:pPr>
      <w:bookmarkStart w:id="49" w:name="_Toc521668717"/>
      <w:bookmarkStart w:id="50" w:name="_Toc522866991"/>
      <w:r w:rsidRPr="00712A37">
        <w:t>We do not know the impacts of the programmes on different types of participants</w:t>
      </w:r>
      <w:bookmarkEnd w:id="49"/>
      <w:bookmarkEnd w:id="50"/>
    </w:p>
    <w:p w:rsidR="00712A37" w:rsidRPr="00712A37" w:rsidRDefault="00712A37" w:rsidP="004F2D04">
      <w:r w:rsidRPr="00712A37">
        <w:t xml:space="preserve">Due to the small sample size of the participant cohort, we have limited information about the effects of programmes on different types of participants (for example, male participants versus female participants). For example, we could not see if there was a difference in impacts between participants of different ethnicities. </w:t>
      </w:r>
    </w:p>
    <w:p w:rsidR="00712A37" w:rsidRPr="00712A37" w:rsidRDefault="00712A37" w:rsidP="004F2D04">
      <w:pPr>
        <w:pStyle w:val="Heading2"/>
      </w:pPr>
      <w:bookmarkStart w:id="51" w:name="_Toc521668718"/>
      <w:bookmarkStart w:id="52" w:name="_Toc522866992"/>
      <w:r w:rsidRPr="00712A37">
        <w:t>We observed a pre-existing difference in time spent receiving assistance from welfare between the participants and the comparison group</w:t>
      </w:r>
      <w:bookmarkEnd w:id="51"/>
      <w:bookmarkEnd w:id="52"/>
    </w:p>
    <w:p w:rsidR="00712A37" w:rsidRPr="00712A37" w:rsidRDefault="00712A37" w:rsidP="004F2D04">
      <w:r w:rsidRPr="00712A37">
        <w:t xml:space="preserve">We checked for pre-existing differences between the participants and the comparison group for each outcome in order to identify if any differences had an effect on the impact of the driver licensing programmes. We are cautious about measuring the programmes’ effect on time spent receiving assistance from welfare (Work and Income) because the comparison group spent slightly more time receiving assistance compared to the participants before starting the programmes. </w:t>
      </w:r>
    </w:p>
    <w:p w:rsidR="00712A37" w:rsidRPr="00712A37" w:rsidRDefault="00712A37" w:rsidP="004F2D04">
      <w:r w:rsidRPr="00712A37">
        <w:t xml:space="preserve">Starting six months before and continuing up to the programme start date, the comparison group spent an average 1.5 additional days per month on welfare </w:t>
      </w:r>
      <w:r w:rsidRPr="00712A37">
        <w:lastRenderedPageBreak/>
        <w:t>assistance. With improvements to our propensity matching methodology, we intend to minimise this difference in future versions of this analysis.</w:t>
      </w:r>
    </w:p>
    <w:p w:rsidR="00712A37" w:rsidRPr="00712A37" w:rsidRDefault="00712A37" w:rsidP="004F2D04">
      <w:pPr>
        <w:pStyle w:val="Heading2"/>
      </w:pPr>
      <w:bookmarkStart w:id="53" w:name="_Toc521668719"/>
      <w:bookmarkStart w:id="54" w:name="_Toc522866993"/>
      <w:r w:rsidRPr="00712A37">
        <w:t>We may not have accounted for all unobserved variables that influence participation</w:t>
      </w:r>
      <w:bookmarkEnd w:id="53"/>
      <w:bookmarkEnd w:id="54"/>
    </w:p>
    <w:p w:rsidR="00712A37" w:rsidRPr="00712A37" w:rsidRDefault="00712A37" w:rsidP="004F2D04">
      <w:r w:rsidRPr="00712A37">
        <w:t>The robustness of propensity score matching depends on the assumption that by modelling the probability of participation based on observed variables, we also control for the effect of unobserved variables that influence participation. However, there is a risk that we may not have fully accounted for these unobserved variables such as the motivation and confidence of participants.</w:t>
      </w:r>
    </w:p>
    <w:p w:rsidR="004F2D04" w:rsidRDefault="004F2D04">
      <w:pPr>
        <w:spacing w:after="200" w:line="276" w:lineRule="auto"/>
        <w:rPr>
          <w:rFonts w:ascii="Georgia" w:eastAsia="Times New Roman" w:hAnsi="Georgia"/>
          <w:b/>
          <w:bCs/>
          <w:color w:val="121F6B"/>
          <w:kern w:val="0"/>
          <w:sz w:val="40"/>
          <w:szCs w:val="36"/>
        </w:rPr>
      </w:pPr>
      <w:bookmarkStart w:id="55" w:name="_Toc521668720"/>
      <w:bookmarkStart w:id="56" w:name="OLE_LINK4"/>
      <w:bookmarkStart w:id="57" w:name="_Toc522866994"/>
      <w:bookmarkEnd w:id="20"/>
      <w:bookmarkEnd w:id="21"/>
      <w:bookmarkEnd w:id="22"/>
      <w:r>
        <w:rPr>
          <w:rFonts w:ascii="Georgia" w:eastAsia="Times New Roman" w:hAnsi="Georgia"/>
          <w:b/>
          <w:bCs/>
          <w:color w:val="121F6B"/>
          <w:kern w:val="0"/>
          <w:sz w:val="40"/>
          <w:szCs w:val="36"/>
        </w:rPr>
        <w:br w:type="page"/>
      </w:r>
    </w:p>
    <w:p w:rsidR="00712A37" w:rsidRPr="00712A37" w:rsidRDefault="00712A37" w:rsidP="004F2D04">
      <w:pPr>
        <w:pStyle w:val="Heading1"/>
        <w:rPr>
          <w:rFonts w:eastAsia="Times New Roman"/>
        </w:rPr>
      </w:pPr>
      <w:r w:rsidRPr="00712A37">
        <w:rPr>
          <w:rFonts w:eastAsia="Times New Roman"/>
        </w:rPr>
        <w:lastRenderedPageBreak/>
        <w:t>Driver licensing programme participation cost</w:t>
      </w:r>
      <w:bookmarkEnd w:id="55"/>
      <w:bookmarkEnd w:id="57"/>
    </w:p>
    <w:p w:rsidR="00712A37" w:rsidRPr="00712A37" w:rsidRDefault="00712A37" w:rsidP="004F2D04">
      <w:pPr>
        <w:rPr>
          <w:noProof/>
        </w:rPr>
      </w:pPr>
      <w:r w:rsidRPr="00712A37">
        <w:rPr>
          <w:noProof/>
        </w:rPr>
        <w:t>Each time a client participated in a driver licensing programme in 2015, it cost MSD an average of $724. This value is in the highest 50 percent of costs when compared with costs of other employment assistance programmes in that year.</w:t>
      </w:r>
    </w:p>
    <w:p w:rsidR="00712A37" w:rsidRPr="00712A37" w:rsidRDefault="00712A37" w:rsidP="004F2D04">
      <w:pPr>
        <w:rPr>
          <w:noProof/>
        </w:rPr>
      </w:pPr>
      <w:r w:rsidRPr="00712A37">
        <w:fldChar w:fldCharType="begin"/>
      </w:r>
      <w:r w:rsidRPr="00712A37">
        <w:instrText xml:space="preserve"> REF _Ref477187850 \h  \* MERGEFORMAT </w:instrText>
      </w:r>
      <w:r w:rsidRPr="00712A37">
        <w:fldChar w:fldCharType="separate"/>
      </w:r>
      <w:r w:rsidRPr="00712A37">
        <w:t>Table 4</w:t>
      </w:r>
      <w:r w:rsidRPr="00712A37">
        <w:fldChar w:fldCharType="end"/>
      </w:r>
      <w:r w:rsidRPr="00712A37">
        <w:rPr>
          <w:noProof/>
        </w:rPr>
        <w:t xml:space="preserve"> shows the estimated total cost of running the programme for calendar years 2014 and 2015. The number of participants and cost decreased from 2014 to 2015. At this stage, we are unsure of the reasons for the reduced average cost per start. The analysis of the 2014-2015 cohort was limited to one participation event per participant, however, the total number of participant starts exceeds 1,400.</w:t>
      </w:r>
    </w:p>
    <w:p w:rsidR="00712A37" w:rsidRPr="00712A37" w:rsidRDefault="00712A37" w:rsidP="00D24881">
      <w:pPr>
        <w:pStyle w:val="Heading4"/>
        <w:spacing w:after="120"/>
      </w:pPr>
      <w:bookmarkStart w:id="58" w:name="_Ref477187850"/>
      <w:bookmarkStart w:id="59" w:name="_Toc522867895"/>
      <w:r w:rsidRPr="00712A37">
        <w:t xml:space="preserve">Table </w:t>
      </w:r>
      <w:r w:rsidRPr="00712A37">
        <w:fldChar w:fldCharType="begin"/>
      </w:r>
      <w:r w:rsidRPr="00712A37">
        <w:instrText xml:space="preserve"> SEQ Table \* ARABIC </w:instrText>
      </w:r>
      <w:r w:rsidRPr="00712A37">
        <w:fldChar w:fldCharType="separate"/>
      </w:r>
      <w:r w:rsidRPr="00712A37">
        <w:rPr>
          <w:noProof/>
        </w:rPr>
        <w:t>4</w:t>
      </w:r>
      <w:r w:rsidRPr="00712A37">
        <w:rPr>
          <w:noProof/>
        </w:rPr>
        <w:fldChar w:fldCharType="end"/>
      </w:r>
      <w:bookmarkEnd w:id="58"/>
      <w:r w:rsidRPr="00712A37">
        <w:t xml:space="preserve"> - Average cost per start in 2014 and 2015</w:t>
      </w:r>
      <w:bookmarkEnd w:id="59"/>
    </w:p>
    <w:tbl>
      <w:tblPr>
        <w:tblStyle w:val="ImpactEvalTable"/>
        <w:tblW w:w="0" w:type="auto"/>
        <w:tblLook w:val="04A0" w:firstRow="1" w:lastRow="0" w:firstColumn="1" w:lastColumn="0" w:noHBand="0" w:noVBand="1"/>
      </w:tblPr>
      <w:tblGrid>
        <w:gridCol w:w="2310"/>
        <w:gridCol w:w="2310"/>
        <w:gridCol w:w="2311"/>
        <w:gridCol w:w="2311"/>
      </w:tblGrid>
      <w:tr w:rsidR="00712A37" w:rsidRPr="00712A37" w:rsidTr="00D24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Borders>
              <w:right w:val="outset" w:sz="6" w:space="0" w:color="FFFFFF" w:themeColor="background1"/>
            </w:tcBorders>
            <w:shd w:val="clear" w:color="auto" w:fill="121F6B"/>
          </w:tcPr>
          <w:p w:rsidR="00712A37" w:rsidRPr="00D24881" w:rsidRDefault="00712A37" w:rsidP="00D24881">
            <w:pPr>
              <w:widowControl w:val="0"/>
              <w:suppressAutoHyphens/>
              <w:autoSpaceDE w:val="0"/>
              <w:autoSpaceDN w:val="0"/>
              <w:adjustRightInd w:val="0"/>
              <w:spacing w:before="60" w:after="60" w:line="220" w:lineRule="atLeast"/>
              <w:textAlignment w:val="center"/>
              <w:rPr>
                <w:color w:val="FFFFFF" w:themeColor="background1"/>
                <w:kern w:val="0"/>
                <w:lang w:eastAsia="en-NZ"/>
              </w:rPr>
            </w:pPr>
            <w:r w:rsidRPr="00D24881">
              <w:rPr>
                <w:color w:val="FFFFFF" w:themeColor="background1"/>
                <w:kern w:val="0"/>
                <w:lang w:eastAsia="en-NZ"/>
              </w:rPr>
              <w:t>Calendar year</w:t>
            </w:r>
          </w:p>
        </w:tc>
        <w:tc>
          <w:tcPr>
            <w:tcW w:w="2310" w:type="dxa"/>
            <w:tcBorders>
              <w:left w:val="outset" w:sz="6" w:space="0" w:color="FFFFFF" w:themeColor="background1"/>
              <w:right w:val="outset" w:sz="6" w:space="0" w:color="FFFFFF" w:themeColor="background1"/>
            </w:tcBorders>
            <w:shd w:val="clear" w:color="auto" w:fill="121F6B"/>
          </w:tcPr>
          <w:p w:rsidR="00712A37" w:rsidRPr="00D24881" w:rsidRDefault="00712A37" w:rsidP="00D24881">
            <w:pPr>
              <w:widowControl w:val="0"/>
              <w:suppressAutoHyphens/>
              <w:autoSpaceDE w:val="0"/>
              <w:autoSpaceDN w:val="0"/>
              <w:adjustRightInd w:val="0"/>
              <w:spacing w:before="60" w:after="60" w:line="220" w:lineRule="atLeast"/>
              <w:textAlignment w:val="center"/>
              <w:cnfStyle w:val="100000000000" w:firstRow="1" w:lastRow="0" w:firstColumn="0" w:lastColumn="0" w:oddVBand="0" w:evenVBand="0" w:oddHBand="0" w:evenHBand="0" w:firstRowFirstColumn="0" w:firstRowLastColumn="0" w:lastRowFirstColumn="0" w:lastRowLastColumn="0"/>
              <w:rPr>
                <w:color w:val="FFFFFF" w:themeColor="background1"/>
                <w:kern w:val="0"/>
                <w:lang w:eastAsia="en-NZ"/>
              </w:rPr>
            </w:pPr>
            <w:r w:rsidRPr="00D24881">
              <w:rPr>
                <w:color w:val="FFFFFF" w:themeColor="background1"/>
                <w:kern w:val="0"/>
                <w:lang w:eastAsia="en-NZ"/>
              </w:rPr>
              <w:t>Total estimated nominal cost</w:t>
            </w:r>
          </w:p>
        </w:tc>
        <w:tc>
          <w:tcPr>
            <w:tcW w:w="2311" w:type="dxa"/>
            <w:tcBorders>
              <w:left w:val="outset" w:sz="6" w:space="0" w:color="FFFFFF" w:themeColor="background1"/>
              <w:right w:val="outset" w:sz="6" w:space="0" w:color="FFFFFF" w:themeColor="background1"/>
            </w:tcBorders>
            <w:shd w:val="clear" w:color="auto" w:fill="121F6B"/>
          </w:tcPr>
          <w:p w:rsidR="00712A37" w:rsidRPr="00D24881" w:rsidRDefault="00712A37" w:rsidP="00D24881">
            <w:pPr>
              <w:widowControl w:val="0"/>
              <w:suppressAutoHyphens/>
              <w:autoSpaceDE w:val="0"/>
              <w:autoSpaceDN w:val="0"/>
              <w:adjustRightInd w:val="0"/>
              <w:spacing w:before="60" w:after="60" w:line="220" w:lineRule="atLeast"/>
              <w:textAlignment w:val="center"/>
              <w:cnfStyle w:val="100000000000" w:firstRow="1" w:lastRow="0" w:firstColumn="0" w:lastColumn="0" w:oddVBand="0" w:evenVBand="0" w:oddHBand="0" w:evenHBand="0" w:firstRowFirstColumn="0" w:firstRowLastColumn="0" w:lastRowFirstColumn="0" w:lastRowLastColumn="0"/>
              <w:rPr>
                <w:color w:val="FFFFFF" w:themeColor="background1"/>
                <w:kern w:val="0"/>
                <w:lang w:eastAsia="en-NZ"/>
              </w:rPr>
            </w:pPr>
            <w:r w:rsidRPr="00D24881">
              <w:rPr>
                <w:color w:val="FFFFFF" w:themeColor="background1"/>
                <w:kern w:val="0"/>
                <w:lang w:eastAsia="en-NZ"/>
              </w:rPr>
              <w:t>Number of participant starts</w:t>
            </w:r>
          </w:p>
        </w:tc>
        <w:tc>
          <w:tcPr>
            <w:tcW w:w="2311" w:type="dxa"/>
            <w:tcBorders>
              <w:left w:val="outset" w:sz="6" w:space="0" w:color="FFFFFF" w:themeColor="background1"/>
            </w:tcBorders>
            <w:shd w:val="clear" w:color="auto" w:fill="121F6B"/>
          </w:tcPr>
          <w:p w:rsidR="00712A37" w:rsidRPr="00D24881" w:rsidRDefault="00712A37" w:rsidP="00D24881">
            <w:pPr>
              <w:widowControl w:val="0"/>
              <w:suppressAutoHyphens/>
              <w:autoSpaceDE w:val="0"/>
              <w:autoSpaceDN w:val="0"/>
              <w:adjustRightInd w:val="0"/>
              <w:spacing w:before="60" w:after="60" w:line="220" w:lineRule="atLeast"/>
              <w:textAlignment w:val="center"/>
              <w:cnfStyle w:val="100000000000" w:firstRow="1" w:lastRow="0" w:firstColumn="0" w:lastColumn="0" w:oddVBand="0" w:evenVBand="0" w:oddHBand="0" w:evenHBand="0" w:firstRowFirstColumn="0" w:firstRowLastColumn="0" w:lastRowFirstColumn="0" w:lastRowLastColumn="0"/>
              <w:rPr>
                <w:color w:val="FFFFFF" w:themeColor="background1"/>
                <w:kern w:val="0"/>
                <w:lang w:eastAsia="en-NZ"/>
              </w:rPr>
            </w:pPr>
            <w:r w:rsidRPr="00D24881">
              <w:rPr>
                <w:color w:val="FFFFFF" w:themeColor="background1"/>
                <w:kern w:val="0"/>
                <w:lang w:eastAsia="en-NZ"/>
              </w:rPr>
              <w:t>Average nominal cost per start</w:t>
            </w:r>
          </w:p>
        </w:tc>
      </w:tr>
      <w:tr w:rsidR="00712A37" w:rsidRPr="00712A37" w:rsidTr="00712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712A37" w:rsidRPr="004F2D04" w:rsidRDefault="00712A37" w:rsidP="00712A37">
            <w:pPr>
              <w:widowControl w:val="0"/>
              <w:suppressAutoHyphens/>
              <w:autoSpaceDE w:val="0"/>
              <w:autoSpaceDN w:val="0"/>
              <w:adjustRightInd w:val="0"/>
              <w:spacing w:before="40" w:after="40" w:line="220" w:lineRule="atLeast"/>
              <w:textAlignment w:val="center"/>
              <w:rPr>
                <w:color w:val="000000" w:themeColor="text1"/>
                <w:kern w:val="0"/>
                <w:lang w:eastAsia="en-NZ"/>
              </w:rPr>
            </w:pPr>
            <w:r w:rsidRPr="004F2D04">
              <w:rPr>
                <w:color w:val="000000" w:themeColor="text1"/>
                <w:kern w:val="0"/>
                <w:lang w:eastAsia="en-NZ"/>
              </w:rPr>
              <w:t>2014</w:t>
            </w:r>
          </w:p>
        </w:tc>
        <w:tc>
          <w:tcPr>
            <w:tcW w:w="2310" w:type="dxa"/>
          </w:tcPr>
          <w:p w:rsidR="00712A37" w:rsidRPr="004F2D04" w:rsidRDefault="00712A37" w:rsidP="00712A37">
            <w:pPr>
              <w:widowControl w:val="0"/>
              <w:suppressAutoHyphens/>
              <w:autoSpaceDE w:val="0"/>
              <w:autoSpaceDN w:val="0"/>
              <w:adjustRightInd w:val="0"/>
              <w:spacing w:before="40" w:after="40" w:line="220" w:lineRule="atLeast"/>
              <w:textAlignment w:val="center"/>
              <w:cnfStyle w:val="000000100000" w:firstRow="0" w:lastRow="0" w:firstColumn="0" w:lastColumn="0" w:oddVBand="0" w:evenVBand="0" w:oddHBand="1" w:evenHBand="0" w:firstRowFirstColumn="0" w:firstRowLastColumn="0" w:lastRowFirstColumn="0" w:lastRowLastColumn="0"/>
              <w:rPr>
                <w:color w:val="000000" w:themeColor="text1"/>
                <w:kern w:val="0"/>
                <w:lang w:eastAsia="en-NZ"/>
              </w:rPr>
            </w:pPr>
            <w:r w:rsidRPr="004F2D04">
              <w:rPr>
                <w:color w:val="000000" w:themeColor="text1"/>
                <w:kern w:val="0"/>
                <w:lang w:eastAsia="en-NZ"/>
              </w:rPr>
              <w:t>$942,066</w:t>
            </w:r>
          </w:p>
        </w:tc>
        <w:tc>
          <w:tcPr>
            <w:tcW w:w="2311" w:type="dxa"/>
          </w:tcPr>
          <w:p w:rsidR="00712A37" w:rsidRPr="004F2D04" w:rsidRDefault="00712A37" w:rsidP="00712A37">
            <w:pPr>
              <w:widowControl w:val="0"/>
              <w:suppressAutoHyphens/>
              <w:autoSpaceDE w:val="0"/>
              <w:autoSpaceDN w:val="0"/>
              <w:adjustRightInd w:val="0"/>
              <w:spacing w:before="40" w:after="40" w:line="220" w:lineRule="atLeast"/>
              <w:textAlignment w:val="center"/>
              <w:cnfStyle w:val="000000100000" w:firstRow="0" w:lastRow="0" w:firstColumn="0" w:lastColumn="0" w:oddVBand="0" w:evenVBand="0" w:oddHBand="1" w:evenHBand="0" w:firstRowFirstColumn="0" w:firstRowLastColumn="0" w:lastRowFirstColumn="0" w:lastRowLastColumn="0"/>
              <w:rPr>
                <w:color w:val="000000" w:themeColor="text1"/>
                <w:kern w:val="0"/>
                <w:lang w:eastAsia="en-NZ"/>
              </w:rPr>
            </w:pPr>
            <w:r w:rsidRPr="004F2D04">
              <w:rPr>
                <w:color w:val="000000" w:themeColor="text1"/>
                <w:kern w:val="0"/>
                <w:lang w:eastAsia="en-NZ"/>
              </w:rPr>
              <w:t>789</w:t>
            </w:r>
          </w:p>
        </w:tc>
        <w:tc>
          <w:tcPr>
            <w:tcW w:w="2311" w:type="dxa"/>
          </w:tcPr>
          <w:p w:rsidR="00712A37" w:rsidRPr="004F2D04" w:rsidRDefault="00712A37" w:rsidP="00712A37">
            <w:pPr>
              <w:widowControl w:val="0"/>
              <w:suppressAutoHyphens/>
              <w:autoSpaceDE w:val="0"/>
              <w:autoSpaceDN w:val="0"/>
              <w:adjustRightInd w:val="0"/>
              <w:spacing w:before="40" w:after="40" w:line="220" w:lineRule="atLeast"/>
              <w:textAlignment w:val="center"/>
              <w:cnfStyle w:val="000000100000" w:firstRow="0" w:lastRow="0" w:firstColumn="0" w:lastColumn="0" w:oddVBand="0" w:evenVBand="0" w:oddHBand="1" w:evenHBand="0" w:firstRowFirstColumn="0" w:firstRowLastColumn="0" w:lastRowFirstColumn="0" w:lastRowLastColumn="0"/>
              <w:rPr>
                <w:color w:val="000000" w:themeColor="text1"/>
                <w:kern w:val="0"/>
                <w:lang w:eastAsia="en-NZ"/>
              </w:rPr>
            </w:pPr>
            <w:r w:rsidRPr="004F2D04">
              <w:rPr>
                <w:color w:val="000000" w:themeColor="text1"/>
                <w:kern w:val="0"/>
                <w:lang w:eastAsia="en-NZ"/>
              </w:rPr>
              <w:t>$1,194</w:t>
            </w:r>
          </w:p>
        </w:tc>
      </w:tr>
      <w:tr w:rsidR="00712A37" w:rsidRPr="00712A37" w:rsidTr="00D24881">
        <w:tc>
          <w:tcPr>
            <w:cnfStyle w:val="001000000000" w:firstRow="0" w:lastRow="0" w:firstColumn="1" w:lastColumn="0" w:oddVBand="0" w:evenVBand="0" w:oddHBand="0" w:evenHBand="0" w:firstRowFirstColumn="0" w:firstRowLastColumn="0" w:lastRowFirstColumn="0" w:lastRowLastColumn="0"/>
            <w:tcW w:w="2310" w:type="dxa"/>
            <w:shd w:val="clear" w:color="auto" w:fill="C6D9F1" w:themeFill="text2" w:themeFillTint="33"/>
          </w:tcPr>
          <w:p w:rsidR="00712A37" w:rsidRPr="004F2D04" w:rsidRDefault="00712A37" w:rsidP="00712A37">
            <w:pPr>
              <w:widowControl w:val="0"/>
              <w:suppressAutoHyphens/>
              <w:autoSpaceDE w:val="0"/>
              <w:autoSpaceDN w:val="0"/>
              <w:adjustRightInd w:val="0"/>
              <w:spacing w:before="40" w:after="40" w:line="220" w:lineRule="atLeast"/>
              <w:textAlignment w:val="center"/>
              <w:rPr>
                <w:color w:val="000000" w:themeColor="text1"/>
                <w:kern w:val="0"/>
                <w:lang w:eastAsia="en-NZ"/>
              </w:rPr>
            </w:pPr>
            <w:r w:rsidRPr="004F2D04">
              <w:rPr>
                <w:color w:val="000000" w:themeColor="text1"/>
                <w:kern w:val="0"/>
                <w:lang w:eastAsia="en-NZ"/>
              </w:rPr>
              <w:t>2015</w:t>
            </w:r>
          </w:p>
        </w:tc>
        <w:tc>
          <w:tcPr>
            <w:tcW w:w="2310" w:type="dxa"/>
            <w:tcBorders>
              <w:bottom w:val="single" w:sz="4" w:space="0" w:color="auto"/>
            </w:tcBorders>
            <w:shd w:val="clear" w:color="auto" w:fill="C6D9F1" w:themeFill="text2" w:themeFillTint="33"/>
          </w:tcPr>
          <w:p w:rsidR="00712A37" w:rsidRPr="004F2D04" w:rsidRDefault="00712A37" w:rsidP="00712A37">
            <w:pPr>
              <w:widowControl w:val="0"/>
              <w:suppressAutoHyphens/>
              <w:autoSpaceDE w:val="0"/>
              <w:autoSpaceDN w:val="0"/>
              <w:adjustRightInd w:val="0"/>
              <w:spacing w:before="40" w:after="40" w:line="220" w:lineRule="atLeast"/>
              <w:textAlignment w:val="center"/>
              <w:cnfStyle w:val="000000000000" w:firstRow="0" w:lastRow="0" w:firstColumn="0" w:lastColumn="0" w:oddVBand="0" w:evenVBand="0" w:oddHBand="0" w:evenHBand="0" w:firstRowFirstColumn="0" w:firstRowLastColumn="0" w:lastRowFirstColumn="0" w:lastRowLastColumn="0"/>
              <w:rPr>
                <w:color w:val="000000" w:themeColor="text1"/>
                <w:kern w:val="0"/>
                <w:lang w:eastAsia="en-NZ"/>
              </w:rPr>
            </w:pPr>
            <w:r w:rsidRPr="004F2D04">
              <w:rPr>
                <w:color w:val="000000" w:themeColor="text1"/>
                <w:kern w:val="0"/>
                <w:lang w:eastAsia="en-NZ"/>
              </w:rPr>
              <w:t>$532,140</w:t>
            </w:r>
          </w:p>
        </w:tc>
        <w:tc>
          <w:tcPr>
            <w:tcW w:w="2311" w:type="dxa"/>
            <w:tcBorders>
              <w:bottom w:val="single" w:sz="4" w:space="0" w:color="auto"/>
            </w:tcBorders>
            <w:shd w:val="clear" w:color="auto" w:fill="C6D9F1" w:themeFill="text2" w:themeFillTint="33"/>
          </w:tcPr>
          <w:p w:rsidR="00712A37" w:rsidRPr="004F2D04" w:rsidRDefault="00712A37" w:rsidP="00712A37">
            <w:pPr>
              <w:widowControl w:val="0"/>
              <w:suppressAutoHyphens/>
              <w:autoSpaceDE w:val="0"/>
              <w:autoSpaceDN w:val="0"/>
              <w:adjustRightInd w:val="0"/>
              <w:spacing w:before="40" w:after="40" w:line="220" w:lineRule="atLeast"/>
              <w:textAlignment w:val="center"/>
              <w:cnfStyle w:val="000000000000" w:firstRow="0" w:lastRow="0" w:firstColumn="0" w:lastColumn="0" w:oddVBand="0" w:evenVBand="0" w:oddHBand="0" w:evenHBand="0" w:firstRowFirstColumn="0" w:firstRowLastColumn="0" w:lastRowFirstColumn="0" w:lastRowLastColumn="0"/>
              <w:rPr>
                <w:color w:val="000000" w:themeColor="text1"/>
                <w:kern w:val="0"/>
                <w:lang w:eastAsia="en-NZ"/>
              </w:rPr>
            </w:pPr>
            <w:r w:rsidRPr="004F2D04">
              <w:rPr>
                <w:color w:val="000000" w:themeColor="text1"/>
                <w:kern w:val="0"/>
                <w:lang w:eastAsia="en-NZ"/>
              </w:rPr>
              <w:t>735</w:t>
            </w:r>
          </w:p>
        </w:tc>
        <w:tc>
          <w:tcPr>
            <w:tcW w:w="2311" w:type="dxa"/>
            <w:tcBorders>
              <w:bottom w:val="single" w:sz="4" w:space="0" w:color="auto"/>
            </w:tcBorders>
            <w:shd w:val="clear" w:color="auto" w:fill="C6D9F1" w:themeFill="text2" w:themeFillTint="33"/>
          </w:tcPr>
          <w:p w:rsidR="00712A37" w:rsidRPr="004F2D04" w:rsidRDefault="00712A37" w:rsidP="00712A37">
            <w:pPr>
              <w:widowControl w:val="0"/>
              <w:suppressAutoHyphens/>
              <w:autoSpaceDE w:val="0"/>
              <w:autoSpaceDN w:val="0"/>
              <w:adjustRightInd w:val="0"/>
              <w:spacing w:before="40" w:after="40" w:line="220" w:lineRule="atLeast"/>
              <w:textAlignment w:val="center"/>
              <w:cnfStyle w:val="000000000000" w:firstRow="0" w:lastRow="0" w:firstColumn="0" w:lastColumn="0" w:oddVBand="0" w:evenVBand="0" w:oddHBand="0" w:evenHBand="0" w:firstRowFirstColumn="0" w:firstRowLastColumn="0" w:lastRowFirstColumn="0" w:lastRowLastColumn="0"/>
              <w:rPr>
                <w:color w:val="000000" w:themeColor="text1"/>
                <w:kern w:val="0"/>
                <w:lang w:eastAsia="en-NZ"/>
              </w:rPr>
            </w:pPr>
            <w:r w:rsidRPr="004F2D04">
              <w:rPr>
                <w:color w:val="000000" w:themeColor="text1"/>
                <w:kern w:val="0"/>
                <w:lang w:eastAsia="en-NZ"/>
              </w:rPr>
              <w:t>$724</w:t>
            </w:r>
          </w:p>
        </w:tc>
      </w:tr>
    </w:tbl>
    <w:p w:rsidR="004F2D04" w:rsidRDefault="004F2D04" w:rsidP="00D24881">
      <w:pPr>
        <w:keepNext/>
        <w:keepLines/>
        <w:pBdr>
          <w:bottom w:val="outset" w:sz="6" w:space="1" w:color="FFFFFF" w:themeColor="background1"/>
        </w:pBdr>
        <w:spacing w:before="360" w:after="240"/>
        <w:ind w:right="-1440"/>
        <w:outlineLvl w:val="0"/>
        <w:rPr>
          <w:rFonts w:ascii="Georgia" w:eastAsia="Times New Roman" w:hAnsi="Georgia"/>
          <w:b/>
          <w:bCs/>
          <w:color w:val="121F6B"/>
          <w:kern w:val="0"/>
          <w:sz w:val="40"/>
          <w:szCs w:val="36"/>
        </w:rPr>
      </w:pPr>
      <w:bookmarkStart w:id="60" w:name="_Toc521668721"/>
      <w:bookmarkStart w:id="61" w:name="_Toc452647010"/>
      <w:bookmarkStart w:id="62" w:name="_Toc522866995"/>
    </w:p>
    <w:p w:rsidR="004F2D04" w:rsidRDefault="004F2D04">
      <w:pPr>
        <w:spacing w:after="200" w:line="276" w:lineRule="auto"/>
        <w:rPr>
          <w:rFonts w:ascii="Georgia" w:eastAsia="Times New Roman" w:hAnsi="Georgia"/>
          <w:b/>
          <w:bCs/>
          <w:color w:val="121F6B"/>
          <w:kern w:val="0"/>
          <w:sz w:val="40"/>
          <w:szCs w:val="36"/>
        </w:rPr>
      </w:pPr>
      <w:r>
        <w:rPr>
          <w:rFonts w:ascii="Georgia" w:eastAsia="Times New Roman" w:hAnsi="Georgia"/>
          <w:b/>
          <w:bCs/>
          <w:color w:val="121F6B"/>
          <w:kern w:val="0"/>
          <w:sz w:val="40"/>
          <w:szCs w:val="36"/>
        </w:rPr>
        <w:br w:type="page"/>
      </w:r>
    </w:p>
    <w:p w:rsidR="00712A37" w:rsidRPr="00712A37" w:rsidRDefault="00712A37" w:rsidP="004F2D04">
      <w:pPr>
        <w:pStyle w:val="Heading1"/>
        <w:rPr>
          <w:rFonts w:eastAsia="Times New Roman"/>
        </w:rPr>
      </w:pPr>
      <w:r w:rsidRPr="00712A37">
        <w:rPr>
          <w:rFonts w:eastAsia="Times New Roman"/>
        </w:rPr>
        <w:lastRenderedPageBreak/>
        <w:t>Future work</w:t>
      </w:r>
      <w:bookmarkEnd w:id="60"/>
      <w:bookmarkEnd w:id="62"/>
    </w:p>
    <w:p w:rsidR="00712A37" w:rsidRPr="00712A37" w:rsidRDefault="00712A37" w:rsidP="004F2D04">
      <w:r w:rsidRPr="00712A37">
        <w:t>MSD is currently analysing the cost effectiveness of employment assistance programmes, including the drivers licensing programmes. The first phase of this work focuses on producing return-on-investment results based on welfare costs (for example, the costs to MSD alone). This will be followed by return-on-investment results that will also include other societal costs, such as costs to the justice system.</w:t>
      </w:r>
    </w:p>
    <w:p w:rsidR="004F2D04" w:rsidRDefault="004F2D04">
      <w:pPr>
        <w:spacing w:after="200" w:line="276" w:lineRule="auto"/>
        <w:rPr>
          <w:rFonts w:ascii="Georgia" w:eastAsia="Times New Roman" w:hAnsi="Georgia"/>
          <w:b/>
          <w:bCs/>
          <w:color w:val="121F6B"/>
          <w:kern w:val="0"/>
          <w:sz w:val="36"/>
          <w:szCs w:val="36"/>
        </w:rPr>
      </w:pPr>
      <w:bookmarkStart w:id="63" w:name="_Toc521668722"/>
      <w:bookmarkStart w:id="64" w:name="_Toc522866996"/>
      <w:r>
        <w:rPr>
          <w:rFonts w:ascii="Georgia" w:eastAsia="Times New Roman" w:hAnsi="Georgia"/>
          <w:b/>
          <w:bCs/>
          <w:color w:val="121F6B"/>
          <w:kern w:val="0"/>
          <w:sz w:val="36"/>
          <w:szCs w:val="36"/>
        </w:rPr>
        <w:br w:type="page"/>
      </w:r>
    </w:p>
    <w:p w:rsidR="00712A37" w:rsidRPr="00712A37" w:rsidRDefault="00712A37" w:rsidP="004F2D04">
      <w:pPr>
        <w:pStyle w:val="Heading1"/>
        <w:rPr>
          <w:rFonts w:eastAsia="Times New Roman"/>
        </w:rPr>
      </w:pPr>
      <w:r w:rsidRPr="00712A37">
        <w:rPr>
          <w:rFonts w:eastAsia="Times New Roman"/>
        </w:rPr>
        <w:lastRenderedPageBreak/>
        <w:t>Actionable insights</w:t>
      </w:r>
      <w:bookmarkEnd w:id="63"/>
      <w:bookmarkEnd w:id="64"/>
    </w:p>
    <w:p w:rsidR="00712A37" w:rsidRPr="00712A37" w:rsidRDefault="00712A37" w:rsidP="004F2D04">
      <w:r w:rsidRPr="00712A37">
        <w:t>We consider that these programmes are promising: in the short-term, they help participants progress through the stages of the GDLS. We also observed an improvement in the income and employment outcomes of participants. However, the participants do not spend more time off main benefit or employment assistance. While there is a positive correlation between obtaining a full driver licence and income and employment outcomes, we cannot say one directly causes the other.</w:t>
      </w:r>
    </w:p>
    <w:p w:rsidR="00712A37" w:rsidRPr="00712A37" w:rsidRDefault="00712A37" w:rsidP="004F2D04">
      <w:r w:rsidRPr="00712A37">
        <w:t xml:space="preserve">It could be useful to conduct research into what motivates participants to obtain a driver licence. One possibility is that companies require job applicants to hold a current driver licence, even though the job itself does not involve any driving. </w:t>
      </w:r>
    </w:p>
    <w:p w:rsidR="00712A37" w:rsidRPr="00712A37" w:rsidRDefault="00712A37" w:rsidP="004F2D04">
      <w:r w:rsidRPr="00712A37">
        <w:t>Decision-makers could consider looking at the outcomes of these participants in the future when more time has elapsed, allowing us to observe the full impact of these programmes.</w:t>
      </w:r>
    </w:p>
    <w:p w:rsidR="00712A37" w:rsidRPr="00712A37" w:rsidRDefault="00712A37" w:rsidP="00712A37">
      <w:pPr>
        <w:spacing w:after="0" w:line="240" w:lineRule="auto"/>
        <w:rPr>
          <w:rFonts w:ascii="Georgia" w:eastAsia="Times New Roman" w:hAnsi="Georgia"/>
          <w:b/>
          <w:bCs/>
          <w:color w:val="121F6B"/>
          <w:kern w:val="0"/>
          <w:sz w:val="36"/>
          <w:szCs w:val="36"/>
        </w:rPr>
      </w:pPr>
      <w:bookmarkStart w:id="65" w:name="_Ref512586503"/>
      <w:bookmarkStart w:id="66" w:name="_Ref516822259"/>
      <w:r w:rsidRPr="00712A37">
        <w:br w:type="page"/>
      </w:r>
    </w:p>
    <w:p w:rsidR="00712A37" w:rsidRPr="00712A37" w:rsidRDefault="00712A37" w:rsidP="00712A37">
      <w:pPr>
        <w:pStyle w:val="Heading1"/>
        <w:rPr>
          <w:rFonts w:eastAsia="Times New Roman"/>
        </w:rPr>
      </w:pPr>
      <w:bookmarkStart w:id="67" w:name="_Ref521580405"/>
      <w:bookmarkStart w:id="68" w:name="_Toc521668723"/>
      <w:bookmarkStart w:id="69" w:name="_Toc522866997"/>
      <w:r w:rsidRPr="00712A37">
        <w:rPr>
          <w:rFonts w:eastAsia="Times New Roman"/>
        </w:rPr>
        <w:lastRenderedPageBreak/>
        <w:t xml:space="preserve">Appendix 1: Summary of </w:t>
      </w:r>
      <w:bookmarkEnd w:id="61"/>
      <w:bookmarkEnd w:id="65"/>
      <w:r w:rsidRPr="00712A37">
        <w:rPr>
          <w:rFonts w:eastAsia="Times New Roman"/>
        </w:rPr>
        <w:t>methods</w:t>
      </w:r>
      <w:bookmarkEnd w:id="66"/>
      <w:bookmarkEnd w:id="67"/>
      <w:bookmarkEnd w:id="68"/>
      <w:bookmarkEnd w:id="69"/>
    </w:p>
    <w:p w:rsidR="00712A37" w:rsidRPr="00712A37" w:rsidRDefault="00712A37" w:rsidP="004F2D04">
      <w:r w:rsidRPr="00712A37">
        <w:t xml:space="preserve">This section summarises the impact methods and how we estimated the effectiveness of the driver licensing programmes. </w:t>
      </w:r>
    </w:p>
    <w:p w:rsidR="00712A37" w:rsidRPr="00712A37" w:rsidRDefault="00712A37" w:rsidP="004F2D04">
      <w:pPr>
        <w:pStyle w:val="Heading2"/>
      </w:pPr>
      <w:bookmarkStart w:id="70" w:name="_Toc521668724"/>
      <w:bookmarkStart w:id="71" w:name="_Toc522866998"/>
      <w:r w:rsidRPr="00712A37">
        <w:t>How participants of driver licensing programmes were identified in the administrative data</w:t>
      </w:r>
      <w:bookmarkEnd w:id="70"/>
      <w:bookmarkEnd w:id="71"/>
    </w:p>
    <w:p w:rsidR="00712A37" w:rsidRPr="00712A37" w:rsidRDefault="00712A37" w:rsidP="004F2D04">
      <w:r w:rsidRPr="00712A37">
        <w:t xml:space="preserve">The MSD Contracts team identified a list of contracts where programmes were intended to assist MSD clients attain a driver licence. These contracts had unique identifier numbers which could be referenced in MSD individual-level employment assistance participation data. Using these identifiers, we were able to link these contracts back to individual participation periods in driver licensing programmes. As a check, we looked at service providers to see if they were plausible vendors for driver licensing programmes (such as driving schools). </w:t>
      </w:r>
    </w:p>
    <w:p w:rsidR="00712A37" w:rsidRPr="00712A37" w:rsidRDefault="00712A37" w:rsidP="004F2D04">
      <w:pPr>
        <w:pStyle w:val="Heading2"/>
      </w:pPr>
      <w:bookmarkStart w:id="72" w:name="_Toc521668725"/>
      <w:bookmarkStart w:id="73" w:name="_Toc522866999"/>
      <w:r w:rsidRPr="00712A37">
        <w:t>Estimating the effectiveness of the programme</w:t>
      </w:r>
      <w:bookmarkEnd w:id="72"/>
      <w:bookmarkEnd w:id="73"/>
      <w:r w:rsidRPr="00712A37" w:rsidDel="006A0E98">
        <w:t xml:space="preserve"> </w:t>
      </w:r>
    </w:p>
    <w:p w:rsidR="00712A37" w:rsidRPr="00712A37" w:rsidRDefault="00712A37" w:rsidP="004F2D04">
      <w:r w:rsidRPr="00712A37">
        <w:t>We estimated programme effectiveness by using a counterfactual design. The term counterfactual refers to the question: what would have happened to participants if they did not participate in the driver licensing programmes? By this definition, it is not possible to observe the counterfactual outcomes from the participants themselves.</w:t>
      </w:r>
    </w:p>
    <w:p w:rsidR="00712A37" w:rsidRPr="00712A37" w:rsidRDefault="00712A37" w:rsidP="004F2D04">
      <w:r w:rsidRPr="00712A37">
        <w:t>Therefore, we use a propensity score matching technique to identify a comparison group of non-participants who have the same (or similar) characteristics as the participants (ie amount of assistance received from the welfare system, driver licence status, age, gender and education level). For example, if 10 percent of the participants had a restricted licence, then a similar proportion should exist in the comparison group.</w:t>
      </w:r>
    </w:p>
    <w:p w:rsidR="00712A37" w:rsidRPr="00712A37" w:rsidRDefault="00712A37" w:rsidP="004F2D04">
      <w:r w:rsidRPr="00712A37">
        <w:t>By comparing outcomes of the participants and the comparison non-participants using administrative data in the Statistics New Zealand Integrated Data Infrastructure (IDI), we can estimate the effectiveness (or impact) of the driver licensing programmes.</w:t>
      </w:r>
    </w:p>
    <w:p w:rsidR="00712A37" w:rsidRPr="00712A37" w:rsidRDefault="00712A37" w:rsidP="004F2D04">
      <w:r w:rsidRPr="00712A37">
        <w:t xml:space="preserve">We are confident about the majority of the estimated impacts for the outcomes given in this report, except for the outcome of receiving a main benefit or employment assistance. This exception is discussed further in the </w:t>
      </w:r>
      <w:r w:rsidRPr="00712A37">
        <w:fldChar w:fldCharType="begin"/>
      </w:r>
      <w:r w:rsidRPr="00712A37">
        <w:instrText xml:space="preserve"> REF _Ref515971522 \h </w:instrText>
      </w:r>
      <w:r w:rsidR="004F2D04">
        <w:instrText xml:space="preserve"> \* MERGEFORMAT </w:instrText>
      </w:r>
      <w:r w:rsidRPr="00712A37">
        <w:fldChar w:fldCharType="separate"/>
      </w:r>
      <w:r w:rsidRPr="00712A37">
        <w:t>Limitations of the analysis</w:t>
      </w:r>
      <w:r w:rsidRPr="00712A37">
        <w:fldChar w:fldCharType="end"/>
      </w:r>
      <w:r w:rsidRPr="00712A37">
        <w:t xml:space="preserve"> section. </w:t>
      </w:r>
    </w:p>
    <w:bookmarkEnd w:id="56"/>
    <w:p w:rsidR="00712A37" w:rsidRPr="00712A37" w:rsidRDefault="00712A37" w:rsidP="00712A37">
      <w:pPr>
        <w:spacing w:before="60" w:after="60"/>
      </w:pPr>
    </w:p>
    <w:bookmarkEnd w:id="8"/>
    <w:p w:rsidR="00C95C45" w:rsidRDefault="00C95C45"/>
    <w:sectPr w:rsidR="00C95C45" w:rsidSect="000B20A9">
      <w:footerReference w:type="default" r:id="rId14"/>
      <w:pgSz w:w="11906" w:h="16838"/>
      <w:pgMar w:top="1440" w:right="1440" w:bottom="1418"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A37" w:rsidRDefault="00712A37" w:rsidP="0053424D">
      <w:pPr>
        <w:spacing w:after="0" w:line="240" w:lineRule="auto"/>
      </w:pPr>
      <w:r>
        <w:separator/>
      </w:r>
    </w:p>
  </w:endnote>
  <w:endnote w:type="continuationSeparator" w:id="0">
    <w:p w:rsidR="00712A37" w:rsidRDefault="00712A37" w:rsidP="00534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keley">
    <w:altName w:val="MV Boli"/>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A37" w:rsidRDefault="00712A37" w:rsidP="004F6D88">
    <w:pPr>
      <w:pStyle w:val="Footer"/>
    </w:pPr>
    <w:r>
      <w:t>Outcomes Evaluation - RTW Programme for Stroke Survivors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A37" w:rsidRDefault="00712A37">
    <w:pPr>
      <w:pStyle w:val="Footer"/>
      <w:jc w:val="right"/>
    </w:pPr>
  </w:p>
  <w:p w:rsidR="00712A37" w:rsidRDefault="00712A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A37" w:rsidRDefault="00712A37">
    <w:pPr>
      <w:pStyle w:val="Footer"/>
      <w:jc w:val="right"/>
    </w:pPr>
  </w:p>
  <w:p w:rsidR="00712A37" w:rsidRPr="000874C9" w:rsidRDefault="00D24881" w:rsidP="00842A86">
    <w:pPr>
      <w:pStyle w:val="Footer"/>
      <w:tabs>
        <w:tab w:val="clear" w:pos="9026"/>
        <w:tab w:val="right" w:pos="8931"/>
      </w:tabs>
      <w:ind w:right="1371"/>
    </w:pPr>
    <w:r>
      <w:rPr>
        <w:noProof/>
      </w:rPr>
      <w:t>Effectiveness of driver licensing porgrammes</w:t>
    </w:r>
    <w:r w:rsidR="00712A37">
      <w:rPr>
        <w:noProof/>
      </w:rPr>
      <w:t xml:space="preserve"> – Evaluation report</w:t>
    </w:r>
    <w:r w:rsidR="00712A37">
      <w:rPr>
        <w:noProof/>
      </w:rPr>
      <w:tab/>
    </w:r>
    <w:r w:rsidR="00712A37" w:rsidRPr="000874C9">
      <w:t xml:space="preserve">Page </w:t>
    </w:r>
    <w:r w:rsidR="00712A37" w:rsidRPr="000874C9">
      <w:fldChar w:fldCharType="begin"/>
    </w:r>
    <w:r w:rsidR="00712A37" w:rsidRPr="000874C9">
      <w:instrText xml:space="preserve"> PAGE   \* MERGEFORMAT </w:instrText>
    </w:r>
    <w:r w:rsidR="00712A37" w:rsidRPr="000874C9">
      <w:fldChar w:fldCharType="separate"/>
    </w:r>
    <w:r>
      <w:rPr>
        <w:noProof/>
      </w:rPr>
      <w:t>4</w:t>
    </w:r>
    <w:r w:rsidR="00712A37" w:rsidRPr="000874C9">
      <w:rPr>
        <w:noProof/>
      </w:rPr>
      <w:fldChar w:fldCharType="end"/>
    </w:r>
  </w:p>
  <w:p w:rsidR="00712A37" w:rsidRDefault="00712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A37" w:rsidRDefault="00712A37" w:rsidP="0053424D">
      <w:pPr>
        <w:spacing w:after="0" w:line="240" w:lineRule="auto"/>
      </w:pPr>
      <w:r>
        <w:separator/>
      </w:r>
    </w:p>
  </w:footnote>
  <w:footnote w:type="continuationSeparator" w:id="0">
    <w:p w:rsidR="00712A37" w:rsidRDefault="00712A37" w:rsidP="0053424D">
      <w:pPr>
        <w:spacing w:after="0" w:line="240" w:lineRule="auto"/>
      </w:pPr>
      <w:r>
        <w:continuationSeparator/>
      </w:r>
    </w:p>
  </w:footnote>
  <w:footnote w:id="1">
    <w:p w:rsidR="00712A37" w:rsidRPr="00712A37" w:rsidRDefault="00712A37" w:rsidP="00712A37">
      <w:pPr>
        <w:pStyle w:val="FootnoteText"/>
        <w:rPr>
          <w:rFonts w:ascii="Verdana" w:hAnsi="Verdana"/>
          <w:sz w:val="18"/>
          <w:szCs w:val="18"/>
        </w:rPr>
      </w:pPr>
      <w:r>
        <w:rPr>
          <w:rStyle w:val="FootnoteReference"/>
        </w:rPr>
        <w:footnoteRef/>
      </w:r>
      <w:r>
        <w:t xml:space="preserve"> </w:t>
      </w:r>
      <w:r w:rsidRPr="00712A37">
        <w:rPr>
          <w:rFonts w:ascii="Verdana" w:hAnsi="Verdana"/>
          <w:sz w:val="18"/>
          <w:szCs w:val="18"/>
        </w:rPr>
        <w:t>The working group comprises of senior officials from agencies that have responsibilities for driver licensing programmes and outcomes.</w:t>
      </w:r>
    </w:p>
  </w:footnote>
  <w:footnote w:id="2">
    <w:p w:rsidR="00712A37" w:rsidRPr="00712A37" w:rsidRDefault="00712A37" w:rsidP="00712A37">
      <w:pPr>
        <w:pStyle w:val="FootnoteText"/>
        <w:rPr>
          <w:rFonts w:ascii="Verdana" w:hAnsi="Verdana"/>
          <w:sz w:val="18"/>
          <w:szCs w:val="18"/>
        </w:rPr>
      </w:pPr>
      <w:r w:rsidRPr="00712A37">
        <w:rPr>
          <w:rStyle w:val="FootnoteReference"/>
          <w:rFonts w:ascii="Verdana" w:hAnsi="Verdana"/>
          <w:sz w:val="18"/>
          <w:szCs w:val="18"/>
        </w:rPr>
        <w:footnoteRef/>
      </w:r>
      <w:r w:rsidRPr="00712A37">
        <w:rPr>
          <w:rFonts w:ascii="Verdana" w:hAnsi="Verdana"/>
          <w:sz w:val="18"/>
          <w:szCs w:val="18"/>
        </w:rPr>
        <w:t xml:space="preserve"> This includes any licence class, eg car licence or motorcycle licence.</w:t>
      </w:r>
    </w:p>
  </w:footnote>
  <w:footnote w:id="3">
    <w:p w:rsidR="00712A37" w:rsidRDefault="00712A37" w:rsidP="00712A37">
      <w:pPr>
        <w:pStyle w:val="FootnoteText"/>
      </w:pPr>
      <w:r>
        <w:rPr>
          <w:rStyle w:val="FootnoteReference"/>
        </w:rPr>
        <w:footnoteRef/>
      </w:r>
      <w:r>
        <w:t xml:space="preserve"> This finding has to be interpreted with caution as there was a small pre-existing difference between the time that participants and the comparison group spent receiving a main benefit or employment assistance. See the </w:t>
      </w:r>
      <w:r>
        <w:fldChar w:fldCharType="begin"/>
      </w:r>
      <w:r>
        <w:instrText xml:space="preserve"> REF _Ref516822050 \h </w:instrText>
      </w:r>
      <w:r>
        <w:fldChar w:fldCharType="separate"/>
      </w:r>
      <w:r>
        <w:t>Limitations of the analysis</w:t>
      </w:r>
      <w:r>
        <w:fldChar w:fldCharType="end"/>
      </w:r>
      <w:r>
        <w:t xml:space="preserve"> section.</w:t>
      </w:r>
    </w:p>
  </w:footnote>
  <w:footnote w:id="4">
    <w:p w:rsidR="00712A37" w:rsidRPr="00712A37" w:rsidRDefault="00712A37" w:rsidP="00712A37">
      <w:pPr>
        <w:pStyle w:val="FootnoteText"/>
        <w:rPr>
          <w:rFonts w:ascii="Verdana" w:hAnsi="Verdana"/>
          <w:sz w:val="18"/>
          <w:szCs w:val="18"/>
        </w:rPr>
      </w:pPr>
      <w:r w:rsidRPr="00197EEE">
        <w:rPr>
          <w:rStyle w:val="FootnoteReference"/>
          <w:sz w:val="16"/>
        </w:rPr>
        <w:footnoteRef/>
      </w:r>
      <w:r w:rsidRPr="00197EEE">
        <w:t xml:space="preserve"> </w:t>
      </w:r>
      <w:r w:rsidRPr="00712A37">
        <w:rPr>
          <w:rFonts w:ascii="Verdana" w:hAnsi="Verdana"/>
          <w:sz w:val="18"/>
          <w:szCs w:val="18"/>
        </w:rPr>
        <w:t xml:space="preserve">From the administrative data, we consider that these programmes have been in operation since the early 2000s. However, we only report on the 2014 and 2015 cohort years as this was the scope of the commissioned work. See </w:t>
      </w:r>
      <w:r w:rsidRPr="00712A37">
        <w:rPr>
          <w:rFonts w:ascii="Verdana" w:hAnsi="Verdana"/>
          <w:sz w:val="18"/>
          <w:szCs w:val="18"/>
        </w:rPr>
        <w:fldChar w:fldCharType="begin"/>
      </w:r>
      <w:r w:rsidRPr="00712A37">
        <w:rPr>
          <w:rFonts w:ascii="Verdana" w:hAnsi="Verdana"/>
          <w:sz w:val="18"/>
          <w:szCs w:val="18"/>
        </w:rPr>
        <w:instrText xml:space="preserve"> REF _Ref521580405 \h </w:instrText>
      </w:r>
      <w:r w:rsidRPr="00712A37">
        <w:rPr>
          <w:rFonts w:ascii="Verdana" w:hAnsi="Verdana"/>
          <w:sz w:val="18"/>
          <w:szCs w:val="18"/>
        </w:rPr>
      </w:r>
      <w:r w:rsidRPr="00712A37">
        <w:rPr>
          <w:rFonts w:ascii="Verdana" w:hAnsi="Verdana"/>
          <w:sz w:val="18"/>
          <w:szCs w:val="18"/>
        </w:rPr>
        <w:instrText xml:space="preserve"> \* MERGEFORMAT </w:instrText>
      </w:r>
      <w:r w:rsidRPr="00712A37">
        <w:rPr>
          <w:rFonts w:ascii="Verdana" w:hAnsi="Verdana"/>
          <w:sz w:val="18"/>
          <w:szCs w:val="18"/>
        </w:rPr>
        <w:fldChar w:fldCharType="separate"/>
      </w:r>
      <w:r w:rsidRPr="00712A37">
        <w:rPr>
          <w:rFonts w:ascii="Verdana" w:hAnsi="Verdana"/>
          <w:sz w:val="18"/>
          <w:szCs w:val="18"/>
        </w:rPr>
        <w:t>Appendix 1: Summary of methods</w:t>
      </w:r>
      <w:r w:rsidRPr="00712A37">
        <w:rPr>
          <w:rFonts w:ascii="Verdana" w:hAnsi="Verdana"/>
          <w:sz w:val="18"/>
          <w:szCs w:val="18"/>
        </w:rPr>
        <w:fldChar w:fldCharType="end"/>
      </w:r>
      <w:r w:rsidRPr="00712A37">
        <w:rPr>
          <w:rFonts w:ascii="Verdana" w:hAnsi="Verdana"/>
          <w:sz w:val="18"/>
          <w:szCs w:val="18"/>
        </w:rPr>
        <w:t>.</w:t>
      </w:r>
    </w:p>
    <w:p w:rsidR="00712A37" w:rsidRPr="00712A37" w:rsidRDefault="00712A37" w:rsidP="00712A37">
      <w:pPr>
        <w:pStyle w:val="FootnoteText"/>
        <w:rPr>
          <w:rFonts w:ascii="Verdana" w:hAnsi="Verdana"/>
          <w:sz w:val="18"/>
          <w:szCs w:val="18"/>
        </w:rPr>
      </w:pPr>
    </w:p>
  </w:footnote>
  <w:footnote w:id="5">
    <w:p w:rsidR="00712A37" w:rsidRPr="00712A37" w:rsidRDefault="00712A37" w:rsidP="00712A37">
      <w:pPr>
        <w:pStyle w:val="FootnoteText"/>
        <w:rPr>
          <w:rFonts w:ascii="Verdana" w:hAnsi="Verdana"/>
          <w:sz w:val="18"/>
          <w:szCs w:val="18"/>
        </w:rPr>
      </w:pPr>
      <w:r w:rsidRPr="00712A37">
        <w:rPr>
          <w:rStyle w:val="FootnoteReference"/>
          <w:rFonts w:ascii="Verdana" w:hAnsi="Verdana"/>
          <w:sz w:val="18"/>
          <w:szCs w:val="18"/>
        </w:rPr>
        <w:footnoteRef/>
      </w:r>
      <w:r w:rsidRPr="00712A37">
        <w:rPr>
          <w:rFonts w:ascii="Verdana" w:hAnsi="Verdana"/>
          <w:sz w:val="18"/>
          <w:szCs w:val="18"/>
        </w:rPr>
        <w:t xml:space="preserve"> To give context to the findings in </w:t>
      </w:r>
      <w:r w:rsidRPr="00712A37">
        <w:rPr>
          <w:rFonts w:ascii="Verdana" w:hAnsi="Verdana"/>
          <w:sz w:val="18"/>
          <w:szCs w:val="18"/>
        </w:rPr>
        <w:fldChar w:fldCharType="begin"/>
      </w:r>
      <w:r w:rsidRPr="00712A37">
        <w:rPr>
          <w:rFonts w:ascii="Verdana" w:hAnsi="Verdana"/>
          <w:sz w:val="18"/>
          <w:szCs w:val="18"/>
        </w:rPr>
        <w:instrText xml:space="preserve"> REF _Ref508355620 \h </w:instrText>
      </w:r>
      <w:r w:rsidRPr="00712A37">
        <w:rPr>
          <w:rFonts w:ascii="Verdana" w:hAnsi="Verdana"/>
          <w:sz w:val="18"/>
          <w:szCs w:val="18"/>
        </w:rPr>
      </w:r>
      <w:r w:rsidRPr="00712A37">
        <w:rPr>
          <w:rFonts w:ascii="Verdana" w:hAnsi="Verdana"/>
          <w:sz w:val="18"/>
          <w:szCs w:val="18"/>
        </w:rPr>
        <w:instrText xml:space="preserve"> \* MERGEFORMAT </w:instrText>
      </w:r>
      <w:r w:rsidRPr="00712A37">
        <w:rPr>
          <w:rFonts w:ascii="Verdana" w:hAnsi="Verdana"/>
          <w:sz w:val="18"/>
          <w:szCs w:val="18"/>
        </w:rPr>
        <w:fldChar w:fldCharType="separate"/>
      </w:r>
      <w:r w:rsidRPr="00712A37">
        <w:rPr>
          <w:rFonts w:ascii="Verdana" w:hAnsi="Verdana"/>
          <w:sz w:val="18"/>
          <w:szCs w:val="18"/>
        </w:rPr>
        <w:t xml:space="preserve">Table </w:t>
      </w:r>
      <w:r w:rsidRPr="00712A37">
        <w:rPr>
          <w:rFonts w:ascii="Verdana" w:hAnsi="Verdana"/>
          <w:noProof/>
          <w:sz w:val="18"/>
          <w:szCs w:val="18"/>
        </w:rPr>
        <w:t>2</w:t>
      </w:r>
      <w:r w:rsidRPr="00712A37">
        <w:rPr>
          <w:rFonts w:ascii="Verdana" w:hAnsi="Verdana"/>
          <w:sz w:val="18"/>
          <w:szCs w:val="18"/>
        </w:rPr>
        <w:fldChar w:fldCharType="end"/>
      </w:r>
      <w:r w:rsidRPr="00712A37">
        <w:rPr>
          <w:rFonts w:ascii="Verdana" w:hAnsi="Verdana"/>
          <w:sz w:val="18"/>
          <w:szCs w:val="18"/>
        </w:rPr>
        <w:t>; drivers under 25 years of age must hold a restricted licence for at least 18 months (or 12 months if they completed an advanced driving course) before being able to apply for a full licence. Drivers aged 25 and over have to hold a licence for at least six months (or three months if they completed an advanced driving course). Those who have a learner’s licence must hold it for a minimum of six months before applying for a restricted licence. This information was sourced in March 2018.</w:t>
      </w:r>
    </w:p>
  </w:footnote>
  <w:footnote w:id="6">
    <w:p w:rsidR="00712A37" w:rsidRPr="00712A37" w:rsidRDefault="00712A37" w:rsidP="00712A37">
      <w:pPr>
        <w:pStyle w:val="FootnoteText"/>
        <w:rPr>
          <w:rFonts w:ascii="Verdana" w:hAnsi="Verdana"/>
          <w:sz w:val="18"/>
          <w:szCs w:val="18"/>
        </w:rPr>
      </w:pPr>
      <w:r>
        <w:rPr>
          <w:rStyle w:val="FootnoteReference"/>
        </w:rPr>
        <w:footnoteRef/>
      </w:r>
      <w:r>
        <w:t xml:space="preserve"> </w:t>
      </w:r>
      <w:r w:rsidRPr="00712A37">
        <w:rPr>
          <w:rFonts w:ascii="Verdana" w:hAnsi="Verdana"/>
          <w:sz w:val="18"/>
          <w:szCs w:val="18"/>
        </w:rPr>
        <w:t xml:space="preserve">There were approximately 10 percent of participants with a full licence at the start of the programme. This is partially explained by participants who had a full licence for cars but were working toward obtaining a full licence of another class. In the current analysis, we did not distinguish between licence classes. For example, a person who was holding a full licence for cars but was working toward a full licence for a heavy vehicle would appear to have already achieved the short-term goal of achieving a full licence. See the </w:t>
      </w:r>
      <w:r w:rsidRPr="00712A37">
        <w:rPr>
          <w:rFonts w:ascii="Verdana" w:hAnsi="Verdana"/>
          <w:sz w:val="18"/>
          <w:szCs w:val="18"/>
        </w:rPr>
        <w:fldChar w:fldCharType="begin"/>
      </w:r>
      <w:r w:rsidRPr="00712A37">
        <w:rPr>
          <w:rFonts w:ascii="Verdana" w:hAnsi="Verdana"/>
          <w:sz w:val="18"/>
          <w:szCs w:val="18"/>
        </w:rPr>
        <w:instrText xml:space="preserve"> REF _Ref515971522 \h </w:instrText>
      </w:r>
      <w:r w:rsidRPr="00712A37">
        <w:rPr>
          <w:rFonts w:ascii="Verdana" w:hAnsi="Verdana"/>
          <w:sz w:val="18"/>
          <w:szCs w:val="18"/>
        </w:rPr>
      </w:r>
      <w:r w:rsidRPr="00712A37">
        <w:rPr>
          <w:rFonts w:ascii="Verdana" w:hAnsi="Verdana"/>
          <w:sz w:val="18"/>
          <w:szCs w:val="18"/>
        </w:rPr>
        <w:instrText xml:space="preserve"> \* MERGEFORMAT </w:instrText>
      </w:r>
      <w:r w:rsidRPr="00712A37">
        <w:rPr>
          <w:rFonts w:ascii="Verdana" w:hAnsi="Verdana"/>
          <w:sz w:val="18"/>
          <w:szCs w:val="18"/>
        </w:rPr>
        <w:fldChar w:fldCharType="separate"/>
      </w:r>
      <w:r w:rsidRPr="00712A37">
        <w:rPr>
          <w:rFonts w:ascii="Verdana" w:hAnsi="Verdana"/>
          <w:sz w:val="18"/>
          <w:szCs w:val="18"/>
        </w:rPr>
        <w:t>Limitations of the analysis</w:t>
      </w:r>
      <w:r w:rsidRPr="00712A37">
        <w:rPr>
          <w:rFonts w:ascii="Verdana" w:hAnsi="Verdana"/>
          <w:sz w:val="18"/>
          <w:szCs w:val="18"/>
        </w:rPr>
        <w:fldChar w:fldCharType="end"/>
      </w:r>
      <w:r w:rsidRPr="00712A37">
        <w:rPr>
          <w:rFonts w:ascii="Verdana" w:hAnsi="Verdana"/>
          <w:sz w:val="18"/>
          <w:szCs w:val="18"/>
        </w:rPr>
        <w:t xml:space="preserve"> section.</w:t>
      </w:r>
    </w:p>
  </w:footnote>
  <w:footnote w:id="7">
    <w:p w:rsidR="00712A37" w:rsidRPr="004F2D04" w:rsidRDefault="00712A37" w:rsidP="00712A37">
      <w:pPr>
        <w:pStyle w:val="FootnoteText"/>
        <w:rPr>
          <w:rFonts w:ascii="Verdana" w:hAnsi="Verdana"/>
          <w:sz w:val="18"/>
          <w:szCs w:val="18"/>
        </w:rPr>
      </w:pPr>
      <w:r>
        <w:rPr>
          <w:rStyle w:val="FootnoteReference"/>
        </w:rPr>
        <w:footnoteRef/>
      </w:r>
      <w:r>
        <w:t xml:space="preserve"> </w:t>
      </w:r>
      <w:r w:rsidRPr="004F2D04">
        <w:rPr>
          <w:rFonts w:ascii="Verdana" w:hAnsi="Verdana"/>
          <w:sz w:val="18"/>
          <w:szCs w:val="18"/>
        </w:rPr>
        <w:t xml:space="preserve">There was a pre-existing difference in time spent receiving a main benefit or employment assistance between the participants and comparison group. See the </w:t>
      </w:r>
      <w:r w:rsidRPr="004F2D04">
        <w:rPr>
          <w:rFonts w:ascii="Verdana" w:hAnsi="Verdana"/>
          <w:sz w:val="18"/>
          <w:szCs w:val="18"/>
        </w:rPr>
        <w:fldChar w:fldCharType="begin"/>
      </w:r>
      <w:r w:rsidRPr="004F2D04">
        <w:rPr>
          <w:rFonts w:ascii="Verdana" w:hAnsi="Verdana"/>
          <w:sz w:val="18"/>
          <w:szCs w:val="18"/>
        </w:rPr>
        <w:instrText xml:space="preserve"> REF _Ref515971522 \h </w:instrText>
      </w:r>
      <w:r w:rsidRPr="004F2D04">
        <w:rPr>
          <w:rFonts w:ascii="Verdana" w:hAnsi="Verdana"/>
          <w:sz w:val="18"/>
          <w:szCs w:val="18"/>
        </w:rPr>
      </w:r>
      <w:r w:rsidR="004F2D04" w:rsidRPr="004F2D04">
        <w:rPr>
          <w:rFonts w:ascii="Verdana" w:hAnsi="Verdana"/>
          <w:sz w:val="18"/>
          <w:szCs w:val="18"/>
        </w:rPr>
        <w:instrText xml:space="preserve"> \* MERGEFORMAT </w:instrText>
      </w:r>
      <w:r w:rsidRPr="004F2D04">
        <w:rPr>
          <w:rFonts w:ascii="Verdana" w:hAnsi="Verdana"/>
          <w:sz w:val="18"/>
          <w:szCs w:val="18"/>
        </w:rPr>
        <w:fldChar w:fldCharType="separate"/>
      </w:r>
      <w:r w:rsidRPr="004F2D04">
        <w:rPr>
          <w:rFonts w:ascii="Verdana" w:hAnsi="Verdana"/>
          <w:sz w:val="18"/>
          <w:szCs w:val="18"/>
        </w:rPr>
        <w:t>Limitations of the analysis</w:t>
      </w:r>
      <w:r w:rsidRPr="004F2D04">
        <w:rPr>
          <w:rFonts w:ascii="Verdana" w:hAnsi="Verdana"/>
          <w:sz w:val="18"/>
          <w:szCs w:val="18"/>
        </w:rPr>
        <w:fldChar w:fldCharType="end"/>
      </w:r>
      <w:r w:rsidRPr="004F2D04">
        <w:rPr>
          <w:rFonts w:ascii="Verdana" w:hAnsi="Verdana"/>
          <w:sz w:val="18"/>
          <w:szCs w:val="18"/>
        </w:rPr>
        <w:t xml:space="preserve"> section for a discussion.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2561004"/>
    <w:lvl w:ilvl="0">
      <w:start w:val="1"/>
      <w:numFmt w:val="bullet"/>
      <w:pStyle w:val="Bullet1"/>
      <w:lvlText w:val=""/>
      <w:lvlJc w:val="left"/>
      <w:pPr>
        <w:tabs>
          <w:tab w:val="num" w:pos="360"/>
        </w:tabs>
        <w:ind w:left="360" w:hanging="360"/>
      </w:pPr>
      <w:rPr>
        <w:rFonts w:ascii="Symbol" w:hAnsi="Symbol" w:hint="default"/>
      </w:rPr>
    </w:lvl>
  </w:abstractNum>
  <w:abstractNum w:abstractNumId="1">
    <w:nsid w:val="054B3F57"/>
    <w:multiLevelType w:val="hybridMultilevel"/>
    <w:tmpl w:val="4A8088F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nsid w:val="05B763FC"/>
    <w:multiLevelType w:val="hybridMultilevel"/>
    <w:tmpl w:val="F1A4EB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09D44649"/>
    <w:multiLevelType w:val="hybridMultilevel"/>
    <w:tmpl w:val="068EE8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183D2112"/>
    <w:multiLevelType w:val="hybridMultilevel"/>
    <w:tmpl w:val="DDC2F85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1CDA0755"/>
    <w:multiLevelType w:val="hybridMultilevel"/>
    <w:tmpl w:val="EFC054E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1EB9454F"/>
    <w:multiLevelType w:val="hybridMultilevel"/>
    <w:tmpl w:val="6188F72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nsid w:val="1FA70E81"/>
    <w:multiLevelType w:val="hybridMultilevel"/>
    <w:tmpl w:val="2AF8B0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27E063A7"/>
    <w:multiLevelType w:val="hybridMultilevel"/>
    <w:tmpl w:val="F6F0178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nsid w:val="3A050E94"/>
    <w:multiLevelType w:val="hybridMultilevel"/>
    <w:tmpl w:val="EAA0B9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49602D6E"/>
    <w:multiLevelType w:val="hybridMultilevel"/>
    <w:tmpl w:val="3454E3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nsid w:val="4D654FC9"/>
    <w:multiLevelType w:val="hybridMultilevel"/>
    <w:tmpl w:val="2BD4E0A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nsid w:val="506B65DF"/>
    <w:multiLevelType w:val="hybridMultilevel"/>
    <w:tmpl w:val="B37C3B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nsid w:val="52F371C1"/>
    <w:multiLevelType w:val="hybridMultilevel"/>
    <w:tmpl w:val="721642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nsid w:val="558D3B93"/>
    <w:multiLevelType w:val="hybridMultilevel"/>
    <w:tmpl w:val="518A82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nsid w:val="62A10066"/>
    <w:multiLevelType w:val="hybridMultilevel"/>
    <w:tmpl w:val="623C242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nsid w:val="63115EA6"/>
    <w:multiLevelType w:val="hybridMultilevel"/>
    <w:tmpl w:val="B212F5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nsid w:val="63D47BAD"/>
    <w:multiLevelType w:val="hybridMultilevel"/>
    <w:tmpl w:val="C0A05F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640731B8"/>
    <w:multiLevelType w:val="hybridMultilevel"/>
    <w:tmpl w:val="E9A613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nsid w:val="72904C39"/>
    <w:multiLevelType w:val="hybridMultilevel"/>
    <w:tmpl w:val="F67CB4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nsid w:val="787C7F80"/>
    <w:multiLevelType w:val="hybridMultilevel"/>
    <w:tmpl w:val="3138817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nsid w:val="7B146F2F"/>
    <w:multiLevelType w:val="hybridMultilevel"/>
    <w:tmpl w:val="37A629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nsid w:val="7CF062E5"/>
    <w:multiLevelType w:val="hybridMultilevel"/>
    <w:tmpl w:val="49C4384A"/>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21"/>
  </w:num>
  <w:num w:numId="5">
    <w:abstractNumId w:val="3"/>
  </w:num>
  <w:num w:numId="6">
    <w:abstractNumId w:val="20"/>
  </w:num>
  <w:num w:numId="7">
    <w:abstractNumId w:val="8"/>
  </w:num>
  <w:num w:numId="8">
    <w:abstractNumId w:val="1"/>
  </w:num>
  <w:num w:numId="9">
    <w:abstractNumId w:val="0"/>
  </w:num>
  <w:num w:numId="10">
    <w:abstractNumId w:val="16"/>
  </w:num>
  <w:num w:numId="11">
    <w:abstractNumId w:val="11"/>
  </w:num>
  <w:num w:numId="12">
    <w:abstractNumId w:val="10"/>
  </w:num>
  <w:num w:numId="13">
    <w:abstractNumId w:val="12"/>
  </w:num>
  <w:num w:numId="14">
    <w:abstractNumId w:val="5"/>
  </w:num>
  <w:num w:numId="15">
    <w:abstractNumId w:val="14"/>
  </w:num>
  <w:num w:numId="16">
    <w:abstractNumId w:val="17"/>
  </w:num>
  <w:num w:numId="17">
    <w:abstractNumId w:val="4"/>
  </w:num>
  <w:num w:numId="18">
    <w:abstractNumId w:val="18"/>
  </w:num>
  <w:num w:numId="19">
    <w:abstractNumId w:val="6"/>
  </w:num>
  <w:num w:numId="20">
    <w:abstractNumId w:val="15"/>
  </w:num>
  <w:num w:numId="21">
    <w:abstractNumId w:val="13"/>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ABC"/>
    <w:rsid w:val="00023DFF"/>
    <w:rsid w:val="00025FC9"/>
    <w:rsid w:val="0003732B"/>
    <w:rsid w:val="00057584"/>
    <w:rsid w:val="000579DA"/>
    <w:rsid w:val="000619CB"/>
    <w:rsid w:val="00061BFD"/>
    <w:rsid w:val="0007317D"/>
    <w:rsid w:val="00083638"/>
    <w:rsid w:val="00083BE8"/>
    <w:rsid w:val="000B20A9"/>
    <w:rsid w:val="000B44A2"/>
    <w:rsid w:val="000E3420"/>
    <w:rsid w:val="000E495C"/>
    <w:rsid w:val="000E7584"/>
    <w:rsid w:val="000F7143"/>
    <w:rsid w:val="00105E78"/>
    <w:rsid w:val="00106CFC"/>
    <w:rsid w:val="00114646"/>
    <w:rsid w:val="00141124"/>
    <w:rsid w:val="00174CF8"/>
    <w:rsid w:val="001B1F6E"/>
    <w:rsid w:val="001B7285"/>
    <w:rsid w:val="001F74C3"/>
    <w:rsid w:val="00212B67"/>
    <w:rsid w:val="002146EC"/>
    <w:rsid w:val="00231A84"/>
    <w:rsid w:val="00257F1D"/>
    <w:rsid w:val="0027540F"/>
    <w:rsid w:val="002949F8"/>
    <w:rsid w:val="002B7301"/>
    <w:rsid w:val="002C464C"/>
    <w:rsid w:val="002D7715"/>
    <w:rsid w:val="002F2CE0"/>
    <w:rsid w:val="00301731"/>
    <w:rsid w:val="0038216D"/>
    <w:rsid w:val="00385940"/>
    <w:rsid w:val="00396EAC"/>
    <w:rsid w:val="003A270A"/>
    <w:rsid w:val="003B5D28"/>
    <w:rsid w:val="003D3D37"/>
    <w:rsid w:val="003E6E22"/>
    <w:rsid w:val="003E753D"/>
    <w:rsid w:val="003F332F"/>
    <w:rsid w:val="00405D87"/>
    <w:rsid w:val="00406D27"/>
    <w:rsid w:val="004256B0"/>
    <w:rsid w:val="00440391"/>
    <w:rsid w:val="00443966"/>
    <w:rsid w:val="00481B36"/>
    <w:rsid w:val="004A6E74"/>
    <w:rsid w:val="004B1957"/>
    <w:rsid w:val="004D2C06"/>
    <w:rsid w:val="004E09E7"/>
    <w:rsid w:val="004E6C3A"/>
    <w:rsid w:val="004F2D04"/>
    <w:rsid w:val="004F6D88"/>
    <w:rsid w:val="00523ABC"/>
    <w:rsid w:val="0053424D"/>
    <w:rsid w:val="00534BA8"/>
    <w:rsid w:val="00543E0D"/>
    <w:rsid w:val="00580302"/>
    <w:rsid w:val="005826E8"/>
    <w:rsid w:val="005953ED"/>
    <w:rsid w:val="005C3E9D"/>
    <w:rsid w:val="005C4090"/>
    <w:rsid w:val="005E280A"/>
    <w:rsid w:val="006013AE"/>
    <w:rsid w:val="00606BD4"/>
    <w:rsid w:val="00613934"/>
    <w:rsid w:val="00622251"/>
    <w:rsid w:val="00626385"/>
    <w:rsid w:val="00636B74"/>
    <w:rsid w:val="0064100F"/>
    <w:rsid w:val="006559A5"/>
    <w:rsid w:val="00675322"/>
    <w:rsid w:val="006772A7"/>
    <w:rsid w:val="006B2C9D"/>
    <w:rsid w:val="006B5710"/>
    <w:rsid w:val="006C3304"/>
    <w:rsid w:val="006C5B38"/>
    <w:rsid w:val="006C5B88"/>
    <w:rsid w:val="00702215"/>
    <w:rsid w:val="007039A6"/>
    <w:rsid w:val="00703DC0"/>
    <w:rsid w:val="00712A37"/>
    <w:rsid w:val="00724836"/>
    <w:rsid w:val="00746BF5"/>
    <w:rsid w:val="007477AF"/>
    <w:rsid w:val="00753649"/>
    <w:rsid w:val="00754433"/>
    <w:rsid w:val="00762AB3"/>
    <w:rsid w:val="007829D3"/>
    <w:rsid w:val="00783211"/>
    <w:rsid w:val="0079096E"/>
    <w:rsid w:val="007A6D94"/>
    <w:rsid w:val="007C1BE1"/>
    <w:rsid w:val="007E3AE5"/>
    <w:rsid w:val="007F0073"/>
    <w:rsid w:val="007F0DAA"/>
    <w:rsid w:val="00802A8C"/>
    <w:rsid w:val="00837822"/>
    <w:rsid w:val="00842A86"/>
    <w:rsid w:val="00871173"/>
    <w:rsid w:val="00887529"/>
    <w:rsid w:val="008945DE"/>
    <w:rsid w:val="0089602E"/>
    <w:rsid w:val="008B017F"/>
    <w:rsid w:val="008B1C18"/>
    <w:rsid w:val="008B6F84"/>
    <w:rsid w:val="008C1AD1"/>
    <w:rsid w:val="008C3A81"/>
    <w:rsid w:val="008C690C"/>
    <w:rsid w:val="00900D84"/>
    <w:rsid w:val="0090775A"/>
    <w:rsid w:val="009244D2"/>
    <w:rsid w:val="00925CD3"/>
    <w:rsid w:val="00950BE8"/>
    <w:rsid w:val="00975E38"/>
    <w:rsid w:val="0098324B"/>
    <w:rsid w:val="009903C5"/>
    <w:rsid w:val="00992405"/>
    <w:rsid w:val="00993CAC"/>
    <w:rsid w:val="009B72B9"/>
    <w:rsid w:val="009C5C84"/>
    <w:rsid w:val="00A00248"/>
    <w:rsid w:val="00A00ECC"/>
    <w:rsid w:val="00A060E3"/>
    <w:rsid w:val="00A528EF"/>
    <w:rsid w:val="00AB5570"/>
    <w:rsid w:val="00AB7847"/>
    <w:rsid w:val="00AC2503"/>
    <w:rsid w:val="00AC3AA6"/>
    <w:rsid w:val="00AE16C5"/>
    <w:rsid w:val="00AE6C1B"/>
    <w:rsid w:val="00B12785"/>
    <w:rsid w:val="00B27B21"/>
    <w:rsid w:val="00B4722C"/>
    <w:rsid w:val="00B5372B"/>
    <w:rsid w:val="00B5584C"/>
    <w:rsid w:val="00B909EF"/>
    <w:rsid w:val="00BB62B2"/>
    <w:rsid w:val="00BC4EFC"/>
    <w:rsid w:val="00BC7D84"/>
    <w:rsid w:val="00BE7F46"/>
    <w:rsid w:val="00C2783B"/>
    <w:rsid w:val="00C35B1D"/>
    <w:rsid w:val="00C411C6"/>
    <w:rsid w:val="00C525E8"/>
    <w:rsid w:val="00C555AE"/>
    <w:rsid w:val="00C56356"/>
    <w:rsid w:val="00C56CF4"/>
    <w:rsid w:val="00C947DB"/>
    <w:rsid w:val="00C95C45"/>
    <w:rsid w:val="00CA611B"/>
    <w:rsid w:val="00CB3137"/>
    <w:rsid w:val="00D06149"/>
    <w:rsid w:val="00D24881"/>
    <w:rsid w:val="00D54CEC"/>
    <w:rsid w:val="00D7180A"/>
    <w:rsid w:val="00D90280"/>
    <w:rsid w:val="00DB6D47"/>
    <w:rsid w:val="00DE7166"/>
    <w:rsid w:val="00DF2286"/>
    <w:rsid w:val="00DF4426"/>
    <w:rsid w:val="00E115C9"/>
    <w:rsid w:val="00E23D08"/>
    <w:rsid w:val="00E24A99"/>
    <w:rsid w:val="00E47AF0"/>
    <w:rsid w:val="00E670D3"/>
    <w:rsid w:val="00E9149C"/>
    <w:rsid w:val="00E97427"/>
    <w:rsid w:val="00EA67D5"/>
    <w:rsid w:val="00EB7C9E"/>
    <w:rsid w:val="00EC5A11"/>
    <w:rsid w:val="00ED57C3"/>
    <w:rsid w:val="00F127CF"/>
    <w:rsid w:val="00F17886"/>
    <w:rsid w:val="00F23949"/>
    <w:rsid w:val="00F31435"/>
    <w:rsid w:val="00F35D39"/>
    <w:rsid w:val="00F63440"/>
    <w:rsid w:val="00F64C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ABC"/>
    <w:pPr>
      <w:spacing w:after="120" w:line="288" w:lineRule="auto"/>
    </w:pPr>
    <w:rPr>
      <w:rFonts w:ascii="Verdana" w:eastAsia="Calibri" w:hAnsi="Verdana" w:cs="Arial"/>
      <w:kern w:val="28"/>
      <w:sz w:val="20"/>
      <w:szCs w:val="20"/>
    </w:rPr>
  </w:style>
  <w:style w:type="paragraph" w:styleId="Heading1">
    <w:name w:val="heading 1"/>
    <w:basedOn w:val="Normal"/>
    <w:next w:val="Normal"/>
    <w:link w:val="Heading1Char"/>
    <w:uiPriority w:val="99"/>
    <w:qFormat/>
    <w:rsid w:val="000B20A9"/>
    <w:pPr>
      <w:keepNext/>
      <w:keepLines/>
      <w:pBdr>
        <w:bottom w:val="single" w:sz="4" w:space="1" w:color="121F6B"/>
      </w:pBdr>
      <w:spacing w:before="360" w:after="240"/>
      <w:outlineLvl w:val="0"/>
    </w:pPr>
    <w:rPr>
      <w:rFonts w:ascii="Georgia" w:eastAsiaTheme="majorEastAsia" w:hAnsi="Georgia"/>
      <w:b/>
      <w:bCs/>
      <w:color w:val="121F6B"/>
      <w:kern w:val="0"/>
      <w:sz w:val="36"/>
      <w:szCs w:val="28"/>
    </w:rPr>
  </w:style>
  <w:style w:type="paragraph" w:styleId="Heading2">
    <w:name w:val="heading 2"/>
    <w:basedOn w:val="Normal"/>
    <w:next w:val="Normal"/>
    <w:link w:val="Heading2Char"/>
    <w:uiPriority w:val="9"/>
    <w:unhideWhenUsed/>
    <w:qFormat/>
    <w:rsid w:val="000B20A9"/>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06BD4"/>
    <w:pPr>
      <w:keepNext/>
      <w:keepLines/>
      <w:spacing w:before="240"/>
      <w:outlineLvl w:val="2"/>
    </w:pPr>
    <w:rPr>
      <w:rFonts w:eastAsiaTheme="majorEastAsia" w:cstheme="majorBidi"/>
      <w:b/>
      <w:bCs/>
      <w:kern w:val="0"/>
      <w:sz w:val="24"/>
      <w:szCs w:val="24"/>
      <w:lang w:eastAsia="en-AU"/>
    </w:rPr>
  </w:style>
  <w:style w:type="paragraph" w:styleId="Heading4">
    <w:name w:val="heading 4"/>
    <w:basedOn w:val="Normal"/>
    <w:next w:val="Normal"/>
    <w:link w:val="Heading4Char"/>
    <w:uiPriority w:val="9"/>
    <w:unhideWhenUsed/>
    <w:qFormat/>
    <w:rsid w:val="008C3A81"/>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20A9"/>
    <w:rPr>
      <w:rFonts w:ascii="Georgia" w:eastAsiaTheme="majorEastAsia" w:hAnsi="Georgia" w:cs="Arial"/>
      <w:b/>
      <w:bCs/>
      <w:color w:val="121F6B"/>
      <w:sz w:val="36"/>
      <w:szCs w:val="28"/>
    </w:rPr>
  </w:style>
  <w:style w:type="table" w:styleId="TableGrid">
    <w:name w:val="Table Grid"/>
    <w:basedOn w:val="TableNormal"/>
    <w:uiPriority w:val="59"/>
    <w:rsid w:val="00523ABC"/>
    <w:pPr>
      <w:spacing w:after="0" w:line="240" w:lineRule="auto"/>
    </w:pPr>
    <w:rPr>
      <w:rFonts w:ascii="Arial" w:eastAsia="Calibri"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23ABC"/>
    <w:pPr>
      <w:spacing w:before="480" w:line="276" w:lineRule="auto"/>
      <w:outlineLvl w:val="9"/>
    </w:pPr>
    <w:rPr>
      <w:rFonts w:asciiTheme="majorHAnsi" w:hAnsiTheme="majorHAnsi" w:cstheme="majorBidi"/>
      <w:color w:val="365F91" w:themeColor="accent1" w:themeShade="BF"/>
      <w:sz w:val="28"/>
      <w:lang w:val="en-US" w:eastAsia="ja-JP"/>
    </w:rPr>
  </w:style>
  <w:style w:type="paragraph" w:styleId="TOC1">
    <w:name w:val="toc 1"/>
    <w:basedOn w:val="Normal"/>
    <w:next w:val="Normal"/>
    <w:autoRedefine/>
    <w:uiPriority w:val="39"/>
    <w:rsid w:val="00523ABC"/>
    <w:pPr>
      <w:tabs>
        <w:tab w:val="right" w:leader="dot" w:pos="9016"/>
      </w:tabs>
      <w:spacing w:after="100"/>
    </w:pPr>
    <w:rPr>
      <w:b/>
      <w:noProof/>
    </w:rPr>
  </w:style>
  <w:style w:type="character" w:styleId="Hyperlink">
    <w:name w:val="Hyperlink"/>
    <w:basedOn w:val="DefaultParagraphFont"/>
    <w:uiPriority w:val="99"/>
    <w:unhideWhenUsed/>
    <w:rsid w:val="00523ABC"/>
    <w:rPr>
      <w:color w:val="0000FF" w:themeColor="hyperlink"/>
      <w:u w:val="single"/>
    </w:rPr>
  </w:style>
  <w:style w:type="paragraph" w:styleId="TOC2">
    <w:name w:val="toc 2"/>
    <w:basedOn w:val="Normal"/>
    <w:next w:val="Normal"/>
    <w:autoRedefine/>
    <w:uiPriority w:val="39"/>
    <w:rsid w:val="00523ABC"/>
    <w:pPr>
      <w:spacing w:after="100"/>
      <w:ind w:left="220"/>
    </w:pPr>
  </w:style>
  <w:style w:type="paragraph" w:styleId="TableofFigures">
    <w:name w:val="table of figures"/>
    <w:basedOn w:val="Normal"/>
    <w:next w:val="Normal"/>
    <w:uiPriority w:val="99"/>
    <w:rsid w:val="00523ABC"/>
    <w:pPr>
      <w:spacing w:after="0"/>
    </w:pPr>
  </w:style>
  <w:style w:type="paragraph" w:styleId="Footer">
    <w:name w:val="footer"/>
    <w:basedOn w:val="Normal"/>
    <w:link w:val="FooterChar"/>
    <w:uiPriority w:val="99"/>
    <w:rsid w:val="00523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ABC"/>
    <w:rPr>
      <w:rFonts w:ascii="Verdana" w:eastAsia="Calibri" w:hAnsi="Verdana" w:cs="Arial"/>
      <w:kern w:val="28"/>
      <w:sz w:val="20"/>
      <w:szCs w:val="20"/>
    </w:rPr>
  </w:style>
  <w:style w:type="paragraph" w:customStyle="1" w:styleId="Report">
    <w:name w:val="Report"/>
    <w:basedOn w:val="Normal"/>
    <w:qFormat/>
    <w:rsid w:val="00523ABC"/>
    <w:pPr>
      <w:pBdr>
        <w:bottom w:val="single" w:sz="24" w:space="9" w:color="FFFFFF" w:themeColor="background1"/>
      </w:pBdr>
      <w:spacing w:before="9960" w:after="0" w:line="960" w:lineRule="exact"/>
      <w:ind w:right="-1440"/>
    </w:pPr>
    <w:rPr>
      <w:rFonts w:ascii="Georgia" w:hAnsi="Georgia"/>
      <w:b/>
      <w:noProof/>
      <w:color w:val="FFFFFF" w:themeColor="background1"/>
      <w:sz w:val="96"/>
      <w:lang w:eastAsia="en-NZ"/>
    </w:rPr>
  </w:style>
  <w:style w:type="paragraph" w:customStyle="1" w:styleId="Report2">
    <w:name w:val="Report2"/>
    <w:qFormat/>
    <w:rsid w:val="00523ABC"/>
    <w:pPr>
      <w:spacing w:before="240" w:after="0" w:line="240" w:lineRule="auto"/>
    </w:pPr>
    <w:rPr>
      <w:rFonts w:ascii="Georgia" w:eastAsia="Calibri" w:hAnsi="Georgia" w:cs="Arial"/>
      <w:b/>
      <w:color w:val="FFFFFF" w:themeColor="background1"/>
      <w:kern w:val="28"/>
      <w:sz w:val="40"/>
      <w:szCs w:val="40"/>
      <w:lang w:val="en-US"/>
    </w:rPr>
  </w:style>
  <w:style w:type="paragraph" w:customStyle="1" w:styleId="Info1">
    <w:name w:val="Info1"/>
    <w:basedOn w:val="Normal"/>
    <w:qFormat/>
    <w:rsid w:val="00523ABC"/>
    <w:pPr>
      <w:spacing w:before="9000"/>
    </w:pPr>
    <w:rPr>
      <w:b/>
      <w:sz w:val="24"/>
    </w:rPr>
  </w:style>
  <w:style w:type="paragraph" w:customStyle="1" w:styleId="InfoBody">
    <w:name w:val="Info Body"/>
    <w:basedOn w:val="Normal"/>
    <w:qFormat/>
    <w:rsid w:val="00523ABC"/>
  </w:style>
  <w:style w:type="paragraph" w:customStyle="1" w:styleId="Info2">
    <w:name w:val="Info2"/>
    <w:basedOn w:val="Normal"/>
    <w:qFormat/>
    <w:rsid w:val="00523ABC"/>
    <w:rPr>
      <w:b/>
      <w:sz w:val="24"/>
    </w:rPr>
  </w:style>
  <w:style w:type="character" w:customStyle="1" w:styleId="tgc">
    <w:name w:val="_tgc"/>
    <w:basedOn w:val="DefaultParagraphFont"/>
    <w:rsid w:val="00523ABC"/>
  </w:style>
  <w:style w:type="paragraph" w:styleId="BalloonText">
    <w:name w:val="Balloon Text"/>
    <w:basedOn w:val="Normal"/>
    <w:link w:val="BalloonTextChar"/>
    <w:uiPriority w:val="99"/>
    <w:semiHidden/>
    <w:unhideWhenUsed/>
    <w:rsid w:val="00523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ABC"/>
    <w:rPr>
      <w:rFonts w:ascii="Tahoma" w:eastAsia="Calibri" w:hAnsi="Tahoma" w:cs="Tahoma"/>
      <w:kern w:val="28"/>
      <w:sz w:val="16"/>
      <w:szCs w:val="16"/>
    </w:rPr>
  </w:style>
  <w:style w:type="character" w:customStyle="1" w:styleId="Heading2Char">
    <w:name w:val="Heading 2 Char"/>
    <w:basedOn w:val="DefaultParagraphFont"/>
    <w:link w:val="Heading2"/>
    <w:uiPriority w:val="9"/>
    <w:rsid w:val="000B20A9"/>
    <w:rPr>
      <w:rFonts w:ascii="Verdana" w:eastAsiaTheme="majorEastAsia" w:hAnsi="Verdana" w:cstheme="majorBidi"/>
      <w:b/>
      <w:bCs/>
      <w:kern w:val="28"/>
      <w:sz w:val="28"/>
      <w:szCs w:val="26"/>
    </w:rPr>
  </w:style>
  <w:style w:type="character" w:customStyle="1" w:styleId="Heading3Char">
    <w:name w:val="Heading 3 Char"/>
    <w:basedOn w:val="DefaultParagraphFont"/>
    <w:link w:val="Heading3"/>
    <w:uiPriority w:val="9"/>
    <w:rsid w:val="00606BD4"/>
    <w:rPr>
      <w:rFonts w:ascii="Verdana" w:eastAsiaTheme="majorEastAsia" w:hAnsi="Verdana" w:cstheme="majorBidi"/>
      <w:b/>
      <w:bCs/>
      <w:sz w:val="24"/>
      <w:szCs w:val="24"/>
      <w:lang w:eastAsia="en-AU"/>
    </w:rPr>
  </w:style>
  <w:style w:type="paragraph" w:styleId="ListParagraph">
    <w:name w:val="List Paragraph"/>
    <w:basedOn w:val="Normal"/>
    <w:uiPriority w:val="34"/>
    <w:qFormat/>
    <w:rsid w:val="0053424D"/>
    <w:pPr>
      <w:ind w:left="720"/>
      <w:contextualSpacing/>
    </w:pPr>
  </w:style>
  <w:style w:type="paragraph" w:styleId="FootnoteText">
    <w:name w:val="footnote text"/>
    <w:basedOn w:val="Normal"/>
    <w:link w:val="FootnoteTextChar"/>
    <w:uiPriority w:val="99"/>
    <w:unhideWhenUsed/>
    <w:rsid w:val="0053424D"/>
    <w:pPr>
      <w:spacing w:after="0" w:line="240" w:lineRule="auto"/>
    </w:pPr>
    <w:rPr>
      <w:rFonts w:asciiTheme="minorHAnsi" w:eastAsiaTheme="minorHAnsi" w:hAnsiTheme="minorHAnsi" w:cstheme="minorBidi"/>
      <w:kern w:val="0"/>
    </w:rPr>
  </w:style>
  <w:style w:type="character" w:customStyle="1" w:styleId="FootnoteTextChar">
    <w:name w:val="Footnote Text Char"/>
    <w:basedOn w:val="DefaultParagraphFont"/>
    <w:link w:val="FootnoteText"/>
    <w:uiPriority w:val="99"/>
    <w:rsid w:val="0053424D"/>
    <w:rPr>
      <w:sz w:val="20"/>
      <w:szCs w:val="20"/>
    </w:rPr>
  </w:style>
  <w:style w:type="character" w:styleId="FootnoteReference">
    <w:name w:val="footnote reference"/>
    <w:basedOn w:val="DefaultParagraphFont"/>
    <w:uiPriority w:val="99"/>
    <w:semiHidden/>
    <w:rsid w:val="0053424D"/>
    <w:rPr>
      <w:vertAlign w:val="superscript"/>
    </w:rPr>
  </w:style>
  <w:style w:type="character" w:styleId="CommentReference">
    <w:name w:val="annotation reference"/>
    <w:basedOn w:val="DefaultParagraphFont"/>
    <w:uiPriority w:val="99"/>
    <w:semiHidden/>
    <w:rsid w:val="0053424D"/>
    <w:rPr>
      <w:sz w:val="16"/>
      <w:szCs w:val="16"/>
    </w:rPr>
  </w:style>
  <w:style w:type="paragraph" w:styleId="CommentText">
    <w:name w:val="annotation text"/>
    <w:basedOn w:val="Normal"/>
    <w:link w:val="CommentTextChar"/>
    <w:uiPriority w:val="99"/>
    <w:semiHidden/>
    <w:rsid w:val="0053424D"/>
    <w:pPr>
      <w:spacing w:line="240" w:lineRule="auto"/>
    </w:pPr>
  </w:style>
  <w:style w:type="character" w:customStyle="1" w:styleId="CommentTextChar">
    <w:name w:val="Comment Text Char"/>
    <w:basedOn w:val="DefaultParagraphFont"/>
    <w:link w:val="CommentText"/>
    <w:uiPriority w:val="99"/>
    <w:semiHidden/>
    <w:rsid w:val="0053424D"/>
    <w:rPr>
      <w:rFonts w:ascii="Verdana" w:eastAsia="Calibri" w:hAnsi="Verdana" w:cs="Arial"/>
      <w:kern w:val="28"/>
      <w:sz w:val="20"/>
      <w:szCs w:val="20"/>
    </w:rPr>
  </w:style>
  <w:style w:type="paragraph" w:styleId="BodyText">
    <w:name w:val="Body Text"/>
    <w:basedOn w:val="Normal"/>
    <w:link w:val="BodyTextChar"/>
    <w:unhideWhenUsed/>
    <w:rsid w:val="004F6D88"/>
    <w:pPr>
      <w:spacing w:line="240" w:lineRule="atLeast"/>
    </w:pPr>
    <w:rPr>
      <w:rFonts w:ascii="Berkeley" w:eastAsia="Times New Roman" w:hAnsi="Berkeley" w:cs="Times New Roman"/>
      <w:kern w:val="0"/>
      <w:sz w:val="24"/>
      <w:lang w:eastAsia="en-GB"/>
    </w:rPr>
  </w:style>
  <w:style w:type="character" w:customStyle="1" w:styleId="BodyTextChar">
    <w:name w:val="Body Text Char"/>
    <w:basedOn w:val="DefaultParagraphFont"/>
    <w:link w:val="BodyText"/>
    <w:rsid w:val="004F6D88"/>
    <w:rPr>
      <w:rFonts w:ascii="Berkeley" w:eastAsia="Times New Roman" w:hAnsi="Berkeley" w:cs="Times New Roman"/>
      <w:sz w:val="24"/>
      <w:szCs w:val="20"/>
      <w:lang w:eastAsia="en-GB"/>
    </w:rPr>
  </w:style>
  <w:style w:type="paragraph" w:styleId="Caption">
    <w:name w:val="caption"/>
    <w:basedOn w:val="Normal"/>
    <w:next w:val="Normal"/>
    <w:uiPriority w:val="35"/>
    <w:unhideWhenUsed/>
    <w:qFormat/>
    <w:rsid w:val="00440391"/>
    <w:pPr>
      <w:spacing w:after="200" w:line="240" w:lineRule="auto"/>
    </w:pPr>
    <w:rPr>
      <w:b/>
      <w:bCs/>
      <w:color w:val="4F81BD" w:themeColor="accent1"/>
      <w:sz w:val="18"/>
      <w:szCs w:val="18"/>
    </w:rPr>
  </w:style>
  <w:style w:type="paragraph" w:customStyle="1" w:styleId="Bullet1">
    <w:name w:val="Bullet1"/>
    <w:basedOn w:val="Normal"/>
    <w:qFormat/>
    <w:rsid w:val="0007317D"/>
    <w:pPr>
      <w:numPr>
        <w:numId w:val="9"/>
      </w:numPr>
      <w:suppressAutoHyphens/>
      <w:autoSpaceDE w:val="0"/>
      <w:autoSpaceDN w:val="0"/>
      <w:adjustRightInd w:val="0"/>
      <w:textAlignment w:val="center"/>
    </w:pPr>
    <w:rPr>
      <w:rFonts w:eastAsia="Times New Roman"/>
      <w:lang w:eastAsia="en-AU"/>
    </w:rPr>
  </w:style>
  <w:style w:type="paragraph" w:styleId="Quote">
    <w:name w:val="Quote"/>
    <w:basedOn w:val="Normal"/>
    <w:next w:val="Normal"/>
    <w:link w:val="QuoteChar"/>
    <w:uiPriority w:val="29"/>
    <w:qFormat/>
    <w:rsid w:val="0007317D"/>
    <w:rPr>
      <w:i/>
      <w:iCs/>
      <w:color w:val="000000" w:themeColor="text1"/>
      <w:sz w:val="18"/>
    </w:rPr>
  </w:style>
  <w:style w:type="character" w:customStyle="1" w:styleId="QuoteChar">
    <w:name w:val="Quote Char"/>
    <w:basedOn w:val="DefaultParagraphFont"/>
    <w:link w:val="Quote"/>
    <w:uiPriority w:val="29"/>
    <w:rsid w:val="0007317D"/>
    <w:rPr>
      <w:rFonts w:ascii="Verdana" w:eastAsia="Calibri" w:hAnsi="Verdana" w:cs="Arial"/>
      <w:i/>
      <w:iCs/>
      <w:color w:val="000000" w:themeColor="text1"/>
      <w:kern w:val="28"/>
      <w:sz w:val="18"/>
      <w:szCs w:val="20"/>
    </w:rPr>
  </w:style>
  <w:style w:type="paragraph" w:styleId="NormalWeb">
    <w:name w:val="Normal (Web)"/>
    <w:basedOn w:val="Normal"/>
    <w:uiPriority w:val="99"/>
    <w:unhideWhenUsed/>
    <w:rsid w:val="00F17886"/>
    <w:pPr>
      <w:spacing w:before="240" w:after="240" w:line="240" w:lineRule="auto"/>
    </w:pPr>
    <w:rPr>
      <w:rFonts w:ascii="Times New Roman" w:eastAsia="Times New Roman" w:hAnsi="Times New Roman" w:cs="Times New Roman"/>
      <w:kern w:val="0"/>
      <w:sz w:val="24"/>
      <w:szCs w:val="24"/>
      <w:lang w:eastAsia="en-NZ"/>
    </w:rPr>
  </w:style>
  <w:style w:type="paragraph" w:styleId="Header">
    <w:name w:val="header"/>
    <w:basedOn w:val="Normal"/>
    <w:link w:val="HeaderChar"/>
    <w:uiPriority w:val="99"/>
    <w:unhideWhenUsed/>
    <w:rsid w:val="00D71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80A"/>
    <w:rPr>
      <w:rFonts w:ascii="Verdana" w:eastAsia="Calibri" w:hAnsi="Verdana" w:cs="Arial"/>
      <w:kern w:val="28"/>
      <w:sz w:val="20"/>
      <w:szCs w:val="20"/>
    </w:rPr>
  </w:style>
  <w:style w:type="paragraph" w:customStyle="1" w:styleId="FooterRight">
    <w:name w:val="Footer Right"/>
    <w:basedOn w:val="Footer"/>
    <w:uiPriority w:val="35"/>
    <w:qFormat/>
    <w:rsid w:val="00D7180A"/>
    <w:pPr>
      <w:pBdr>
        <w:top w:val="dashed" w:sz="4" w:space="18" w:color="7F7F7F"/>
      </w:pBdr>
      <w:tabs>
        <w:tab w:val="clear" w:pos="4513"/>
        <w:tab w:val="clear" w:pos="9026"/>
        <w:tab w:val="center" w:pos="4320"/>
        <w:tab w:val="right" w:pos="8640"/>
      </w:tabs>
      <w:spacing w:after="200"/>
      <w:contextualSpacing/>
      <w:jc w:val="right"/>
    </w:pPr>
    <w:rPr>
      <w:rFonts w:asciiTheme="minorHAnsi" w:eastAsiaTheme="minorHAnsi" w:hAnsiTheme="minorHAnsi" w:cs="Times New Roman"/>
      <w:color w:val="7F7F7F" w:themeColor="text1" w:themeTint="80"/>
      <w:kern w:val="0"/>
      <w:szCs w:val="18"/>
      <w:lang w:val="en-US" w:eastAsia="ja-JP"/>
    </w:rPr>
  </w:style>
  <w:style w:type="character" w:styleId="Strong">
    <w:name w:val="Strong"/>
    <w:basedOn w:val="DefaultParagraphFont"/>
    <w:uiPriority w:val="22"/>
    <w:qFormat/>
    <w:rsid w:val="00580302"/>
    <w:rPr>
      <w:b/>
      <w:bCs/>
    </w:rPr>
  </w:style>
  <w:style w:type="character" w:customStyle="1" w:styleId="Heading4Char">
    <w:name w:val="Heading 4 Char"/>
    <w:basedOn w:val="DefaultParagraphFont"/>
    <w:link w:val="Heading4"/>
    <w:uiPriority w:val="9"/>
    <w:rsid w:val="008C3A81"/>
    <w:rPr>
      <w:rFonts w:ascii="Verdana" w:eastAsiaTheme="majorEastAsia" w:hAnsi="Verdana" w:cstheme="majorBidi"/>
      <w:b/>
      <w:bCs/>
      <w:i/>
      <w:iCs/>
      <w:color w:val="000000" w:themeColor="text1"/>
      <w:kern w:val="28"/>
      <w:sz w:val="20"/>
      <w:szCs w:val="20"/>
    </w:rPr>
  </w:style>
  <w:style w:type="paragraph" w:styleId="EndnoteText">
    <w:name w:val="endnote text"/>
    <w:basedOn w:val="Normal"/>
    <w:link w:val="EndnoteTextChar"/>
    <w:uiPriority w:val="99"/>
    <w:semiHidden/>
    <w:unhideWhenUsed/>
    <w:rsid w:val="00AB7847"/>
    <w:pPr>
      <w:spacing w:after="0" w:line="240" w:lineRule="auto"/>
    </w:pPr>
  </w:style>
  <w:style w:type="character" w:customStyle="1" w:styleId="EndnoteTextChar">
    <w:name w:val="Endnote Text Char"/>
    <w:basedOn w:val="DefaultParagraphFont"/>
    <w:link w:val="EndnoteText"/>
    <w:uiPriority w:val="99"/>
    <w:semiHidden/>
    <w:rsid w:val="00AB7847"/>
    <w:rPr>
      <w:rFonts w:ascii="Verdana" w:eastAsia="Calibri" w:hAnsi="Verdana" w:cs="Arial"/>
      <w:kern w:val="28"/>
      <w:sz w:val="20"/>
      <w:szCs w:val="20"/>
    </w:rPr>
  </w:style>
  <w:style w:type="character" w:styleId="EndnoteReference">
    <w:name w:val="endnote reference"/>
    <w:basedOn w:val="DefaultParagraphFont"/>
    <w:uiPriority w:val="99"/>
    <w:semiHidden/>
    <w:unhideWhenUsed/>
    <w:rsid w:val="00AB7847"/>
    <w:rPr>
      <w:vertAlign w:val="superscript"/>
    </w:rPr>
  </w:style>
  <w:style w:type="character" w:styleId="Emphasis">
    <w:name w:val="Emphasis"/>
    <w:basedOn w:val="DefaultParagraphFont"/>
    <w:uiPriority w:val="20"/>
    <w:qFormat/>
    <w:rsid w:val="008C690C"/>
    <w:rPr>
      <w:b/>
      <w:bCs/>
      <w:i w:val="0"/>
      <w:iCs w:val="0"/>
    </w:rPr>
  </w:style>
  <w:style w:type="character" w:customStyle="1" w:styleId="st1">
    <w:name w:val="st1"/>
    <w:basedOn w:val="DefaultParagraphFont"/>
    <w:rsid w:val="008C690C"/>
  </w:style>
  <w:style w:type="table" w:customStyle="1" w:styleId="ImpactEvalTable">
    <w:name w:val="ImpactEvalTable"/>
    <w:basedOn w:val="TableNormal"/>
    <w:uiPriority w:val="61"/>
    <w:rsid w:val="00712A37"/>
    <w:pPr>
      <w:spacing w:after="0" w:line="240" w:lineRule="auto"/>
    </w:pPr>
    <w:rPr>
      <w:lang w:val="en-GB"/>
    </w:rPr>
    <w:tblPr>
      <w:tblStyleRowBandSize w:val="1"/>
      <w:tblStyleColBandSize w:val="1"/>
      <w:tblBorders>
        <w:bottom w:val="single" w:sz="4" w:space="0" w:color="auto"/>
      </w:tblBorders>
    </w:tblPr>
    <w:tblStylePr w:type="firstRow">
      <w:pPr>
        <w:spacing w:before="0" w:after="0" w:line="240" w:lineRule="auto"/>
      </w:pPr>
      <w:rPr>
        <w:b/>
        <w:bCs/>
        <w:color w:val="1F497D"/>
      </w:rPr>
      <w:tblPr/>
      <w:tcPr>
        <w:tcBorders>
          <w:top w:val="single" w:sz="4" w:space="0" w:color="auto"/>
          <w:left w:val="nil"/>
          <w:bottom w:val="single" w:sz="4" w:space="0" w:color="auto"/>
          <w:right w:val="nil"/>
          <w:insideH w:val="nil"/>
          <w:insideV w:val="nil"/>
          <w:tl2br w:val="nil"/>
          <w:tr2bl w:val="nil"/>
        </w:tcBorders>
        <w:shd w:val="clear" w:color="auto" w:fill="C6D9F1"/>
      </w:tcPr>
    </w:tblStylePr>
    <w:tblStylePr w:type="lastRow">
      <w:pPr>
        <w:spacing w:before="0" w:after="0" w:line="240" w:lineRule="auto"/>
      </w:pPr>
      <w:rPr>
        <w:b w:val="0"/>
        <w:bCs/>
      </w:rPr>
      <w:tblPr/>
      <w:tcPr>
        <w:tcBorders>
          <w:top w:val="nil"/>
          <w:left w:val="nil"/>
          <w:bottom w:val="single" w:sz="4" w:space="0" w:color="auto"/>
          <w:right w:val="nil"/>
          <w:insideH w:val="nil"/>
          <w:insideV w:val="nil"/>
          <w:tl2br w:val="nil"/>
          <w:tr2bl w:val="nil"/>
        </w:tcBorders>
      </w:tcPr>
    </w:tblStylePr>
    <w:tblStylePr w:type="firstCol">
      <w:rPr>
        <w:b w:val="0"/>
        <w:bCs/>
      </w:rPr>
      <w:tblPr/>
      <w:tcPr>
        <w:tcBorders>
          <w:top w:val="nil"/>
          <w:left w:val="nil"/>
          <w:bottom w:val="single" w:sz="4" w:space="0" w:color="auto"/>
          <w:right w:val="nil"/>
          <w:insideH w:val="nil"/>
          <w:insideV w:val="nil"/>
          <w:tl2br w:val="nil"/>
          <w:tr2bl w:val="nil"/>
        </w:tcBorders>
      </w:tcPr>
    </w:tblStylePr>
    <w:tblStylePr w:type="lastCol">
      <w:rPr>
        <w:b w:val="0"/>
        <w:bCs/>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seCell">
      <w:tblPr/>
      <w:tcPr>
        <w:tcBorders>
          <w:bottom w:val="single" w:sz="4" w:space="0" w:color="auto"/>
        </w:tcBorders>
      </w:tcPr>
    </w:tblStylePr>
    <w:tblStylePr w:type="swCell">
      <w:tblPr/>
      <w:tcPr>
        <w:tcBorders>
          <w:bottom w:val="single" w:sz="4"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ABC"/>
    <w:pPr>
      <w:spacing w:after="120" w:line="288" w:lineRule="auto"/>
    </w:pPr>
    <w:rPr>
      <w:rFonts w:ascii="Verdana" w:eastAsia="Calibri" w:hAnsi="Verdana" w:cs="Arial"/>
      <w:kern w:val="28"/>
      <w:sz w:val="20"/>
      <w:szCs w:val="20"/>
    </w:rPr>
  </w:style>
  <w:style w:type="paragraph" w:styleId="Heading1">
    <w:name w:val="heading 1"/>
    <w:basedOn w:val="Normal"/>
    <w:next w:val="Normal"/>
    <w:link w:val="Heading1Char"/>
    <w:uiPriority w:val="99"/>
    <w:qFormat/>
    <w:rsid w:val="000B20A9"/>
    <w:pPr>
      <w:keepNext/>
      <w:keepLines/>
      <w:pBdr>
        <w:bottom w:val="single" w:sz="4" w:space="1" w:color="121F6B"/>
      </w:pBdr>
      <w:spacing w:before="360" w:after="240"/>
      <w:outlineLvl w:val="0"/>
    </w:pPr>
    <w:rPr>
      <w:rFonts w:ascii="Georgia" w:eastAsiaTheme="majorEastAsia" w:hAnsi="Georgia"/>
      <w:b/>
      <w:bCs/>
      <w:color w:val="121F6B"/>
      <w:kern w:val="0"/>
      <w:sz w:val="36"/>
      <w:szCs w:val="28"/>
    </w:rPr>
  </w:style>
  <w:style w:type="paragraph" w:styleId="Heading2">
    <w:name w:val="heading 2"/>
    <w:basedOn w:val="Normal"/>
    <w:next w:val="Normal"/>
    <w:link w:val="Heading2Char"/>
    <w:uiPriority w:val="9"/>
    <w:unhideWhenUsed/>
    <w:qFormat/>
    <w:rsid w:val="000B20A9"/>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06BD4"/>
    <w:pPr>
      <w:keepNext/>
      <w:keepLines/>
      <w:spacing w:before="240"/>
      <w:outlineLvl w:val="2"/>
    </w:pPr>
    <w:rPr>
      <w:rFonts w:eastAsiaTheme="majorEastAsia" w:cstheme="majorBidi"/>
      <w:b/>
      <w:bCs/>
      <w:kern w:val="0"/>
      <w:sz w:val="24"/>
      <w:szCs w:val="24"/>
      <w:lang w:eastAsia="en-AU"/>
    </w:rPr>
  </w:style>
  <w:style w:type="paragraph" w:styleId="Heading4">
    <w:name w:val="heading 4"/>
    <w:basedOn w:val="Normal"/>
    <w:next w:val="Normal"/>
    <w:link w:val="Heading4Char"/>
    <w:uiPriority w:val="9"/>
    <w:unhideWhenUsed/>
    <w:qFormat/>
    <w:rsid w:val="008C3A81"/>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20A9"/>
    <w:rPr>
      <w:rFonts w:ascii="Georgia" w:eastAsiaTheme="majorEastAsia" w:hAnsi="Georgia" w:cs="Arial"/>
      <w:b/>
      <w:bCs/>
      <w:color w:val="121F6B"/>
      <w:sz w:val="36"/>
      <w:szCs w:val="28"/>
    </w:rPr>
  </w:style>
  <w:style w:type="table" w:styleId="TableGrid">
    <w:name w:val="Table Grid"/>
    <w:basedOn w:val="TableNormal"/>
    <w:uiPriority w:val="59"/>
    <w:rsid w:val="00523ABC"/>
    <w:pPr>
      <w:spacing w:after="0" w:line="240" w:lineRule="auto"/>
    </w:pPr>
    <w:rPr>
      <w:rFonts w:ascii="Arial" w:eastAsia="Calibri"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23ABC"/>
    <w:pPr>
      <w:spacing w:before="480" w:line="276" w:lineRule="auto"/>
      <w:outlineLvl w:val="9"/>
    </w:pPr>
    <w:rPr>
      <w:rFonts w:asciiTheme="majorHAnsi" w:hAnsiTheme="majorHAnsi" w:cstheme="majorBidi"/>
      <w:color w:val="365F91" w:themeColor="accent1" w:themeShade="BF"/>
      <w:sz w:val="28"/>
      <w:lang w:val="en-US" w:eastAsia="ja-JP"/>
    </w:rPr>
  </w:style>
  <w:style w:type="paragraph" w:styleId="TOC1">
    <w:name w:val="toc 1"/>
    <w:basedOn w:val="Normal"/>
    <w:next w:val="Normal"/>
    <w:autoRedefine/>
    <w:uiPriority w:val="39"/>
    <w:rsid w:val="00523ABC"/>
    <w:pPr>
      <w:tabs>
        <w:tab w:val="right" w:leader="dot" w:pos="9016"/>
      </w:tabs>
      <w:spacing w:after="100"/>
    </w:pPr>
    <w:rPr>
      <w:b/>
      <w:noProof/>
    </w:rPr>
  </w:style>
  <w:style w:type="character" w:styleId="Hyperlink">
    <w:name w:val="Hyperlink"/>
    <w:basedOn w:val="DefaultParagraphFont"/>
    <w:uiPriority w:val="99"/>
    <w:unhideWhenUsed/>
    <w:rsid w:val="00523ABC"/>
    <w:rPr>
      <w:color w:val="0000FF" w:themeColor="hyperlink"/>
      <w:u w:val="single"/>
    </w:rPr>
  </w:style>
  <w:style w:type="paragraph" w:styleId="TOC2">
    <w:name w:val="toc 2"/>
    <w:basedOn w:val="Normal"/>
    <w:next w:val="Normal"/>
    <w:autoRedefine/>
    <w:uiPriority w:val="39"/>
    <w:rsid w:val="00523ABC"/>
    <w:pPr>
      <w:spacing w:after="100"/>
      <w:ind w:left="220"/>
    </w:pPr>
  </w:style>
  <w:style w:type="paragraph" w:styleId="TableofFigures">
    <w:name w:val="table of figures"/>
    <w:basedOn w:val="Normal"/>
    <w:next w:val="Normal"/>
    <w:uiPriority w:val="99"/>
    <w:rsid w:val="00523ABC"/>
    <w:pPr>
      <w:spacing w:after="0"/>
    </w:pPr>
  </w:style>
  <w:style w:type="paragraph" w:styleId="Footer">
    <w:name w:val="footer"/>
    <w:basedOn w:val="Normal"/>
    <w:link w:val="FooterChar"/>
    <w:uiPriority w:val="99"/>
    <w:rsid w:val="00523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ABC"/>
    <w:rPr>
      <w:rFonts w:ascii="Verdana" w:eastAsia="Calibri" w:hAnsi="Verdana" w:cs="Arial"/>
      <w:kern w:val="28"/>
      <w:sz w:val="20"/>
      <w:szCs w:val="20"/>
    </w:rPr>
  </w:style>
  <w:style w:type="paragraph" w:customStyle="1" w:styleId="Report">
    <w:name w:val="Report"/>
    <w:basedOn w:val="Normal"/>
    <w:qFormat/>
    <w:rsid w:val="00523ABC"/>
    <w:pPr>
      <w:pBdr>
        <w:bottom w:val="single" w:sz="24" w:space="9" w:color="FFFFFF" w:themeColor="background1"/>
      </w:pBdr>
      <w:spacing w:before="9960" w:after="0" w:line="960" w:lineRule="exact"/>
      <w:ind w:right="-1440"/>
    </w:pPr>
    <w:rPr>
      <w:rFonts w:ascii="Georgia" w:hAnsi="Georgia"/>
      <w:b/>
      <w:noProof/>
      <w:color w:val="FFFFFF" w:themeColor="background1"/>
      <w:sz w:val="96"/>
      <w:lang w:eastAsia="en-NZ"/>
    </w:rPr>
  </w:style>
  <w:style w:type="paragraph" w:customStyle="1" w:styleId="Report2">
    <w:name w:val="Report2"/>
    <w:qFormat/>
    <w:rsid w:val="00523ABC"/>
    <w:pPr>
      <w:spacing w:before="240" w:after="0" w:line="240" w:lineRule="auto"/>
    </w:pPr>
    <w:rPr>
      <w:rFonts w:ascii="Georgia" w:eastAsia="Calibri" w:hAnsi="Georgia" w:cs="Arial"/>
      <w:b/>
      <w:color w:val="FFFFFF" w:themeColor="background1"/>
      <w:kern w:val="28"/>
      <w:sz w:val="40"/>
      <w:szCs w:val="40"/>
      <w:lang w:val="en-US"/>
    </w:rPr>
  </w:style>
  <w:style w:type="paragraph" w:customStyle="1" w:styleId="Info1">
    <w:name w:val="Info1"/>
    <w:basedOn w:val="Normal"/>
    <w:qFormat/>
    <w:rsid w:val="00523ABC"/>
    <w:pPr>
      <w:spacing w:before="9000"/>
    </w:pPr>
    <w:rPr>
      <w:b/>
      <w:sz w:val="24"/>
    </w:rPr>
  </w:style>
  <w:style w:type="paragraph" w:customStyle="1" w:styleId="InfoBody">
    <w:name w:val="Info Body"/>
    <w:basedOn w:val="Normal"/>
    <w:qFormat/>
    <w:rsid w:val="00523ABC"/>
  </w:style>
  <w:style w:type="paragraph" w:customStyle="1" w:styleId="Info2">
    <w:name w:val="Info2"/>
    <w:basedOn w:val="Normal"/>
    <w:qFormat/>
    <w:rsid w:val="00523ABC"/>
    <w:rPr>
      <w:b/>
      <w:sz w:val="24"/>
    </w:rPr>
  </w:style>
  <w:style w:type="character" w:customStyle="1" w:styleId="tgc">
    <w:name w:val="_tgc"/>
    <w:basedOn w:val="DefaultParagraphFont"/>
    <w:rsid w:val="00523ABC"/>
  </w:style>
  <w:style w:type="paragraph" w:styleId="BalloonText">
    <w:name w:val="Balloon Text"/>
    <w:basedOn w:val="Normal"/>
    <w:link w:val="BalloonTextChar"/>
    <w:uiPriority w:val="99"/>
    <w:semiHidden/>
    <w:unhideWhenUsed/>
    <w:rsid w:val="00523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ABC"/>
    <w:rPr>
      <w:rFonts w:ascii="Tahoma" w:eastAsia="Calibri" w:hAnsi="Tahoma" w:cs="Tahoma"/>
      <w:kern w:val="28"/>
      <w:sz w:val="16"/>
      <w:szCs w:val="16"/>
    </w:rPr>
  </w:style>
  <w:style w:type="character" w:customStyle="1" w:styleId="Heading2Char">
    <w:name w:val="Heading 2 Char"/>
    <w:basedOn w:val="DefaultParagraphFont"/>
    <w:link w:val="Heading2"/>
    <w:uiPriority w:val="9"/>
    <w:rsid w:val="000B20A9"/>
    <w:rPr>
      <w:rFonts w:ascii="Verdana" w:eastAsiaTheme="majorEastAsia" w:hAnsi="Verdana" w:cstheme="majorBidi"/>
      <w:b/>
      <w:bCs/>
      <w:kern w:val="28"/>
      <w:sz w:val="28"/>
      <w:szCs w:val="26"/>
    </w:rPr>
  </w:style>
  <w:style w:type="character" w:customStyle="1" w:styleId="Heading3Char">
    <w:name w:val="Heading 3 Char"/>
    <w:basedOn w:val="DefaultParagraphFont"/>
    <w:link w:val="Heading3"/>
    <w:uiPriority w:val="9"/>
    <w:rsid w:val="00606BD4"/>
    <w:rPr>
      <w:rFonts w:ascii="Verdana" w:eastAsiaTheme="majorEastAsia" w:hAnsi="Verdana" w:cstheme="majorBidi"/>
      <w:b/>
      <w:bCs/>
      <w:sz w:val="24"/>
      <w:szCs w:val="24"/>
      <w:lang w:eastAsia="en-AU"/>
    </w:rPr>
  </w:style>
  <w:style w:type="paragraph" w:styleId="ListParagraph">
    <w:name w:val="List Paragraph"/>
    <w:basedOn w:val="Normal"/>
    <w:uiPriority w:val="34"/>
    <w:qFormat/>
    <w:rsid w:val="0053424D"/>
    <w:pPr>
      <w:ind w:left="720"/>
      <w:contextualSpacing/>
    </w:pPr>
  </w:style>
  <w:style w:type="paragraph" w:styleId="FootnoteText">
    <w:name w:val="footnote text"/>
    <w:basedOn w:val="Normal"/>
    <w:link w:val="FootnoteTextChar"/>
    <w:uiPriority w:val="99"/>
    <w:unhideWhenUsed/>
    <w:rsid w:val="0053424D"/>
    <w:pPr>
      <w:spacing w:after="0" w:line="240" w:lineRule="auto"/>
    </w:pPr>
    <w:rPr>
      <w:rFonts w:asciiTheme="minorHAnsi" w:eastAsiaTheme="minorHAnsi" w:hAnsiTheme="minorHAnsi" w:cstheme="minorBidi"/>
      <w:kern w:val="0"/>
    </w:rPr>
  </w:style>
  <w:style w:type="character" w:customStyle="1" w:styleId="FootnoteTextChar">
    <w:name w:val="Footnote Text Char"/>
    <w:basedOn w:val="DefaultParagraphFont"/>
    <w:link w:val="FootnoteText"/>
    <w:uiPriority w:val="99"/>
    <w:rsid w:val="0053424D"/>
    <w:rPr>
      <w:sz w:val="20"/>
      <w:szCs w:val="20"/>
    </w:rPr>
  </w:style>
  <w:style w:type="character" w:styleId="FootnoteReference">
    <w:name w:val="footnote reference"/>
    <w:basedOn w:val="DefaultParagraphFont"/>
    <w:uiPriority w:val="99"/>
    <w:semiHidden/>
    <w:rsid w:val="0053424D"/>
    <w:rPr>
      <w:vertAlign w:val="superscript"/>
    </w:rPr>
  </w:style>
  <w:style w:type="character" w:styleId="CommentReference">
    <w:name w:val="annotation reference"/>
    <w:basedOn w:val="DefaultParagraphFont"/>
    <w:uiPriority w:val="99"/>
    <w:semiHidden/>
    <w:rsid w:val="0053424D"/>
    <w:rPr>
      <w:sz w:val="16"/>
      <w:szCs w:val="16"/>
    </w:rPr>
  </w:style>
  <w:style w:type="paragraph" w:styleId="CommentText">
    <w:name w:val="annotation text"/>
    <w:basedOn w:val="Normal"/>
    <w:link w:val="CommentTextChar"/>
    <w:uiPriority w:val="99"/>
    <w:semiHidden/>
    <w:rsid w:val="0053424D"/>
    <w:pPr>
      <w:spacing w:line="240" w:lineRule="auto"/>
    </w:pPr>
  </w:style>
  <w:style w:type="character" w:customStyle="1" w:styleId="CommentTextChar">
    <w:name w:val="Comment Text Char"/>
    <w:basedOn w:val="DefaultParagraphFont"/>
    <w:link w:val="CommentText"/>
    <w:uiPriority w:val="99"/>
    <w:semiHidden/>
    <w:rsid w:val="0053424D"/>
    <w:rPr>
      <w:rFonts w:ascii="Verdana" w:eastAsia="Calibri" w:hAnsi="Verdana" w:cs="Arial"/>
      <w:kern w:val="28"/>
      <w:sz w:val="20"/>
      <w:szCs w:val="20"/>
    </w:rPr>
  </w:style>
  <w:style w:type="paragraph" w:styleId="BodyText">
    <w:name w:val="Body Text"/>
    <w:basedOn w:val="Normal"/>
    <w:link w:val="BodyTextChar"/>
    <w:unhideWhenUsed/>
    <w:rsid w:val="004F6D88"/>
    <w:pPr>
      <w:spacing w:line="240" w:lineRule="atLeast"/>
    </w:pPr>
    <w:rPr>
      <w:rFonts w:ascii="Berkeley" w:eastAsia="Times New Roman" w:hAnsi="Berkeley" w:cs="Times New Roman"/>
      <w:kern w:val="0"/>
      <w:sz w:val="24"/>
      <w:lang w:eastAsia="en-GB"/>
    </w:rPr>
  </w:style>
  <w:style w:type="character" w:customStyle="1" w:styleId="BodyTextChar">
    <w:name w:val="Body Text Char"/>
    <w:basedOn w:val="DefaultParagraphFont"/>
    <w:link w:val="BodyText"/>
    <w:rsid w:val="004F6D88"/>
    <w:rPr>
      <w:rFonts w:ascii="Berkeley" w:eastAsia="Times New Roman" w:hAnsi="Berkeley" w:cs="Times New Roman"/>
      <w:sz w:val="24"/>
      <w:szCs w:val="20"/>
      <w:lang w:eastAsia="en-GB"/>
    </w:rPr>
  </w:style>
  <w:style w:type="paragraph" w:styleId="Caption">
    <w:name w:val="caption"/>
    <w:basedOn w:val="Normal"/>
    <w:next w:val="Normal"/>
    <w:uiPriority w:val="35"/>
    <w:unhideWhenUsed/>
    <w:qFormat/>
    <w:rsid w:val="00440391"/>
    <w:pPr>
      <w:spacing w:after="200" w:line="240" w:lineRule="auto"/>
    </w:pPr>
    <w:rPr>
      <w:b/>
      <w:bCs/>
      <w:color w:val="4F81BD" w:themeColor="accent1"/>
      <w:sz w:val="18"/>
      <w:szCs w:val="18"/>
    </w:rPr>
  </w:style>
  <w:style w:type="paragraph" w:customStyle="1" w:styleId="Bullet1">
    <w:name w:val="Bullet1"/>
    <w:basedOn w:val="Normal"/>
    <w:qFormat/>
    <w:rsid w:val="0007317D"/>
    <w:pPr>
      <w:numPr>
        <w:numId w:val="9"/>
      </w:numPr>
      <w:suppressAutoHyphens/>
      <w:autoSpaceDE w:val="0"/>
      <w:autoSpaceDN w:val="0"/>
      <w:adjustRightInd w:val="0"/>
      <w:textAlignment w:val="center"/>
    </w:pPr>
    <w:rPr>
      <w:rFonts w:eastAsia="Times New Roman"/>
      <w:lang w:eastAsia="en-AU"/>
    </w:rPr>
  </w:style>
  <w:style w:type="paragraph" w:styleId="Quote">
    <w:name w:val="Quote"/>
    <w:basedOn w:val="Normal"/>
    <w:next w:val="Normal"/>
    <w:link w:val="QuoteChar"/>
    <w:uiPriority w:val="29"/>
    <w:qFormat/>
    <w:rsid w:val="0007317D"/>
    <w:rPr>
      <w:i/>
      <w:iCs/>
      <w:color w:val="000000" w:themeColor="text1"/>
      <w:sz w:val="18"/>
    </w:rPr>
  </w:style>
  <w:style w:type="character" w:customStyle="1" w:styleId="QuoteChar">
    <w:name w:val="Quote Char"/>
    <w:basedOn w:val="DefaultParagraphFont"/>
    <w:link w:val="Quote"/>
    <w:uiPriority w:val="29"/>
    <w:rsid w:val="0007317D"/>
    <w:rPr>
      <w:rFonts w:ascii="Verdana" w:eastAsia="Calibri" w:hAnsi="Verdana" w:cs="Arial"/>
      <w:i/>
      <w:iCs/>
      <w:color w:val="000000" w:themeColor="text1"/>
      <w:kern w:val="28"/>
      <w:sz w:val="18"/>
      <w:szCs w:val="20"/>
    </w:rPr>
  </w:style>
  <w:style w:type="paragraph" w:styleId="NormalWeb">
    <w:name w:val="Normal (Web)"/>
    <w:basedOn w:val="Normal"/>
    <w:uiPriority w:val="99"/>
    <w:unhideWhenUsed/>
    <w:rsid w:val="00F17886"/>
    <w:pPr>
      <w:spacing w:before="240" w:after="240" w:line="240" w:lineRule="auto"/>
    </w:pPr>
    <w:rPr>
      <w:rFonts w:ascii="Times New Roman" w:eastAsia="Times New Roman" w:hAnsi="Times New Roman" w:cs="Times New Roman"/>
      <w:kern w:val="0"/>
      <w:sz w:val="24"/>
      <w:szCs w:val="24"/>
      <w:lang w:eastAsia="en-NZ"/>
    </w:rPr>
  </w:style>
  <w:style w:type="paragraph" w:styleId="Header">
    <w:name w:val="header"/>
    <w:basedOn w:val="Normal"/>
    <w:link w:val="HeaderChar"/>
    <w:uiPriority w:val="99"/>
    <w:unhideWhenUsed/>
    <w:rsid w:val="00D71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80A"/>
    <w:rPr>
      <w:rFonts w:ascii="Verdana" w:eastAsia="Calibri" w:hAnsi="Verdana" w:cs="Arial"/>
      <w:kern w:val="28"/>
      <w:sz w:val="20"/>
      <w:szCs w:val="20"/>
    </w:rPr>
  </w:style>
  <w:style w:type="paragraph" w:customStyle="1" w:styleId="FooterRight">
    <w:name w:val="Footer Right"/>
    <w:basedOn w:val="Footer"/>
    <w:uiPriority w:val="35"/>
    <w:qFormat/>
    <w:rsid w:val="00D7180A"/>
    <w:pPr>
      <w:pBdr>
        <w:top w:val="dashed" w:sz="4" w:space="18" w:color="7F7F7F"/>
      </w:pBdr>
      <w:tabs>
        <w:tab w:val="clear" w:pos="4513"/>
        <w:tab w:val="clear" w:pos="9026"/>
        <w:tab w:val="center" w:pos="4320"/>
        <w:tab w:val="right" w:pos="8640"/>
      </w:tabs>
      <w:spacing w:after="200"/>
      <w:contextualSpacing/>
      <w:jc w:val="right"/>
    </w:pPr>
    <w:rPr>
      <w:rFonts w:asciiTheme="minorHAnsi" w:eastAsiaTheme="minorHAnsi" w:hAnsiTheme="minorHAnsi" w:cs="Times New Roman"/>
      <w:color w:val="7F7F7F" w:themeColor="text1" w:themeTint="80"/>
      <w:kern w:val="0"/>
      <w:szCs w:val="18"/>
      <w:lang w:val="en-US" w:eastAsia="ja-JP"/>
    </w:rPr>
  </w:style>
  <w:style w:type="character" w:styleId="Strong">
    <w:name w:val="Strong"/>
    <w:basedOn w:val="DefaultParagraphFont"/>
    <w:uiPriority w:val="22"/>
    <w:qFormat/>
    <w:rsid w:val="00580302"/>
    <w:rPr>
      <w:b/>
      <w:bCs/>
    </w:rPr>
  </w:style>
  <w:style w:type="character" w:customStyle="1" w:styleId="Heading4Char">
    <w:name w:val="Heading 4 Char"/>
    <w:basedOn w:val="DefaultParagraphFont"/>
    <w:link w:val="Heading4"/>
    <w:uiPriority w:val="9"/>
    <w:rsid w:val="008C3A81"/>
    <w:rPr>
      <w:rFonts w:ascii="Verdana" w:eastAsiaTheme="majorEastAsia" w:hAnsi="Verdana" w:cstheme="majorBidi"/>
      <w:b/>
      <w:bCs/>
      <w:i/>
      <w:iCs/>
      <w:color w:val="000000" w:themeColor="text1"/>
      <w:kern w:val="28"/>
      <w:sz w:val="20"/>
      <w:szCs w:val="20"/>
    </w:rPr>
  </w:style>
  <w:style w:type="paragraph" w:styleId="EndnoteText">
    <w:name w:val="endnote text"/>
    <w:basedOn w:val="Normal"/>
    <w:link w:val="EndnoteTextChar"/>
    <w:uiPriority w:val="99"/>
    <w:semiHidden/>
    <w:unhideWhenUsed/>
    <w:rsid w:val="00AB7847"/>
    <w:pPr>
      <w:spacing w:after="0" w:line="240" w:lineRule="auto"/>
    </w:pPr>
  </w:style>
  <w:style w:type="character" w:customStyle="1" w:styleId="EndnoteTextChar">
    <w:name w:val="Endnote Text Char"/>
    <w:basedOn w:val="DefaultParagraphFont"/>
    <w:link w:val="EndnoteText"/>
    <w:uiPriority w:val="99"/>
    <w:semiHidden/>
    <w:rsid w:val="00AB7847"/>
    <w:rPr>
      <w:rFonts w:ascii="Verdana" w:eastAsia="Calibri" w:hAnsi="Verdana" w:cs="Arial"/>
      <w:kern w:val="28"/>
      <w:sz w:val="20"/>
      <w:szCs w:val="20"/>
    </w:rPr>
  </w:style>
  <w:style w:type="character" w:styleId="EndnoteReference">
    <w:name w:val="endnote reference"/>
    <w:basedOn w:val="DefaultParagraphFont"/>
    <w:uiPriority w:val="99"/>
    <w:semiHidden/>
    <w:unhideWhenUsed/>
    <w:rsid w:val="00AB7847"/>
    <w:rPr>
      <w:vertAlign w:val="superscript"/>
    </w:rPr>
  </w:style>
  <w:style w:type="character" w:styleId="Emphasis">
    <w:name w:val="Emphasis"/>
    <w:basedOn w:val="DefaultParagraphFont"/>
    <w:uiPriority w:val="20"/>
    <w:qFormat/>
    <w:rsid w:val="008C690C"/>
    <w:rPr>
      <w:b/>
      <w:bCs/>
      <w:i w:val="0"/>
      <w:iCs w:val="0"/>
    </w:rPr>
  </w:style>
  <w:style w:type="character" w:customStyle="1" w:styleId="st1">
    <w:name w:val="st1"/>
    <w:basedOn w:val="DefaultParagraphFont"/>
    <w:rsid w:val="008C690C"/>
  </w:style>
  <w:style w:type="table" w:customStyle="1" w:styleId="ImpactEvalTable">
    <w:name w:val="ImpactEvalTable"/>
    <w:basedOn w:val="TableNormal"/>
    <w:uiPriority w:val="61"/>
    <w:rsid w:val="00712A37"/>
    <w:pPr>
      <w:spacing w:after="0" w:line="240" w:lineRule="auto"/>
    </w:pPr>
    <w:rPr>
      <w:lang w:val="en-GB"/>
    </w:rPr>
    <w:tblPr>
      <w:tblStyleRowBandSize w:val="1"/>
      <w:tblStyleColBandSize w:val="1"/>
      <w:tblBorders>
        <w:bottom w:val="single" w:sz="4" w:space="0" w:color="auto"/>
      </w:tblBorders>
    </w:tblPr>
    <w:tblStylePr w:type="firstRow">
      <w:pPr>
        <w:spacing w:before="0" w:after="0" w:line="240" w:lineRule="auto"/>
      </w:pPr>
      <w:rPr>
        <w:b/>
        <w:bCs/>
        <w:color w:val="1F497D"/>
      </w:rPr>
      <w:tblPr/>
      <w:tcPr>
        <w:tcBorders>
          <w:top w:val="single" w:sz="4" w:space="0" w:color="auto"/>
          <w:left w:val="nil"/>
          <w:bottom w:val="single" w:sz="4" w:space="0" w:color="auto"/>
          <w:right w:val="nil"/>
          <w:insideH w:val="nil"/>
          <w:insideV w:val="nil"/>
          <w:tl2br w:val="nil"/>
          <w:tr2bl w:val="nil"/>
        </w:tcBorders>
        <w:shd w:val="clear" w:color="auto" w:fill="C6D9F1"/>
      </w:tcPr>
    </w:tblStylePr>
    <w:tblStylePr w:type="lastRow">
      <w:pPr>
        <w:spacing w:before="0" w:after="0" w:line="240" w:lineRule="auto"/>
      </w:pPr>
      <w:rPr>
        <w:b w:val="0"/>
        <w:bCs/>
      </w:rPr>
      <w:tblPr/>
      <w:tcPr>
        <w:tcBorders>
          <w:top w:val="nil"/>
          <w:left w:val="nil"/>
          <w:bottom w:val="single" w:sz="4" w:space="0" w:color="auto"/>
          <w:right w:val="nil"/>
          <w:insideH w:val="nil"/>
          <w:insideV w:val="nil"/>
          <w:tl2br w:val="nil"/>
          <w:tr2bl w:val="nil"/>
        </w:tcBorders>
      </w:tcPr>
    </w:tblStylePr>
    <w:tblStylePr w:type="firstCol">
      <w:rPr>
        <w:b w:val="0"/>
        <w:bCs/>
      </w:rPr>
      <w:tblPr/>
      <w:tcPr>
        <w:tcBorders>
          <w:top w:val="nil"/>
          <w:left w:val="nil"/>
          <w:bottom w:val="single" w:sz="4" w:space="0" w:color="auto"/>
          <w:right w:val="nil"/>
          <w:insideH w:val="nil"/>
          <w:insideV w:val="nil"/>
          <w:tl2br w:val="nil"/>
          <w:tr2bl w:val="nil"/>
        </w:tcBorders>
      </w:tcPr>
    </w:tblStylePr>
    <w:tblStylePr w:type="lastCol">
      <w:rPr>
        <w:b w:val="0"/>
        <w:bCs/>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seCell">
      <w:tblPr/>
      <w:tcPr>
        <w:tcBorders>
          <w:bottom w:val="single" w:sz="4" w:space="0" w:color="auto"/>
        </w:tcBorders>
      </w:tcPr>
    </w:tblStylePr>
    <w:tblStylePr w:type="swCell">
      <w:tblPr/>
      <w:tcPr>
        <w:tcBorders>
          <w:bottom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90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4A69A-0094-4B85-86DC-C0850FA4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3905</Words>
  <Characters>22263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Dave2</dc:creator>
  <cp:lastModifiedBy>Tracy Dillimore</cp:lastModifiedBy>
  <cp:revision>3</cp:revision>
  <cp:lastPrinted>2018-05-09T22:41:00Z</cp:lastPrinted>
  <dcterms:created xsi:type="dcterms:W3CDTF">2018-08-23T21:27:00Z</dcterms:created>
  <dcterms:modified xsi:type="dcterms:W3CDTF">2018-08-23T22:07:00Z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A10632577</vt:lpwstr>
  </property>
  <property fmtid="{D5CDD505-2E9C-101B-9397-08002B2CF9AE}" pid="4" name="Objective-Title">
    <vt:lpwstr>2018 RTW Programme for Stroke Survivors</vt:lpwstr>
  </property>
  <property fmtid="{D5CDD505-2E9C-101B-9397-08002B2CF9AE}" pid="5" name="Objective-Comment">
    <vt:lpwstr/>
  </property>
  <property fmtid="{D5CDD505-2E9C-101B-9397-08002B2CF9AE}" pid="6" name="Objective-CreationStamp">
    <vt:filetime>2018-07-11T02:08:06Z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2018-07-25T21:17:29Z</vt:filetime>
  </property>
  <property fmtid="{D5CDD505-2E9C-101B-9397-08002B2CF9AE}" pid="10" name="Objective-ModificationStamp">
    <vt:filetime>2018-07-25T21:17:29Z</vt:filetime>
  </property>
  <property fmtid="{D5CDD505-2E9C-101B-9397-08002B2CF9AE}" pid="11" name="Objective-Owner">
    <vt:lpwstr>Fiona Conlon</vt:lpwstr>
  </property>
  <property fmtid="{D5CDD505-2E9C-101B-9397-08002B2CF9AE}" pid="12" name="Objective-Path">
    <vt:lpwstr>Global Folder:MSD INFORMATION REPOSITORY:Social Research &amp; Evaluation:Cross Ministry Initiatives:Welfare Reform:03 Sub projects:00 Investment Approach:05 Evaluation of trials:Stroke Foundation Trial:Final report:ministers briefing docs:</vt:lpwstr>
  </property>
  <property fmtid="{D5CDD505-2E9C-101B-9397-08002B2CF9AE}" pid="13" name="Objective-Parent">
    <vt:lpwstr>ministers briefing docs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SR/CM/11-7664</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