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BAAD" w14:textId="6E1BEF88" w:rsidR="00EE524A" w:rsidRPr="00D7573A" w:rsidRDefault="00BD6CBF" w:rsidP="00F940E5">
      <w:pPr>
        <w:pStyle w:val="Report"/>
        <w:rPr>
          <w:color w:val="121F6B"/>
        </w:rPr>
      </w:pPr>
      <w:r w:rsidRPr="00D7573A">
        <w:rPr>
          <w:color w:val="121F6B"/>
        </w:rPr>
        <w:t>Annual Report 2021-202</w:t>
      </w:r>
      <w:r w:rsidR="00EE524A" w:rsidRPr="00D7573A">
        <w:rPr>
          <w:color w:val="121F6B"/>
        </w:rPr>
        <w:t>2</w:t>
      </w:r>
    </w:p>
    <w:p w14:paraId="207CA937" w14:textId="3458C2A8" w:rsidR="00EC2CE7" w:rsidRDefault="00D7573A" w:rsidP="0066419D">
      <w:pPr>
        <w:pStyle w:val="Report2"/>
        <w:rPr>
          <w:color w:val="auto"/>
        </w:rPr>
      </w:pPr>
      <w:r>
        <w:rPr>
          <w:color w:val="auto"/>
        </w:rPr>
        <w:t xml:space="preserve">Chief Executive’s </w:t>
      </w:r>
      <w:r w:rsidR="00BD6CBF" w:rsidRPr="004226CA">
        <w:rPr>
          <w:color w:val="auto"/>
        </w:rPr>
        <w:t>Foreword and Executive Summary</w:t>
      </w:r>
    </w:p>
    <w:p w14:paraId="6ACC932C" w14:textId="4536FCA4" w:rsidR="00B83061" w:rsidRDefault="00B83061" w:rsidP="0066419D">
      <w:pPr>
        <w:pStyle w:val="Report2"/>
        <w:rPr>
          <w:color w:val="auto"/>
        </w:rPr>
      </w:pPr>
    </w:p>
    <w:p w14:paraId="6986EA94" w14:textId="77E22925" w:rsidR="00B83061" w:rsidRDefault="00B83061" w:rsidP="0066419D">
      <w:pPr>
        <w:pStyle w:val="Report2"/>
        <w:rPr>
          <w:color w:val="auto"/>
        </w:rPr>
      </w:pPr>
    </w:p>
    <w:p w14:paraId="605C48DC" w14:textId="77777777" w:rsidR="00B83061" w:rsidRPr="004226CA" w:rsidRDefault="00B83061" w:rsidP="0066419D">
      <w:pPr>
        <w:pStyle w:val="Report2"/>
        <w:rPr>
          <w:color w:val="auto"/>
        </w:rPr>
      </w:pPr>
    </w:p>
    <w:p w14:paraId="69745957" w14:textId="77777777" w:rsidR="00312697" w:rsidRPr="00C25E9D" w:rsidRDefault="00B83061" w:rsidP="00B812CC">
      <w:r>
        <w:rPr>
          <w:noProof/>
        </w:rPr>
        <w:drawing>
          <wp:inline distT="0" distB="0" distL="0" distR="0" wp14:anchorId="10E6CD9A" wp14:editId="77A3A6FD">
            <wp:extent cx="3008999" cy="888098"/>
            <wp:effectExtent l="0" t="0" r="1270" b="7620"/>
            <wp:docPr id="4" name="Picture 4" descr="The Ministry of Social Development (MSD) (Māori: Te Manatū Whakahiato O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Ministry of Social Development (MSD) (Māori: Te Manatū Whakahiato Ora) logo."/>
                    <pic:cNvPicPr/>
                  </pic:nvPicPr>
                  <pic:blipFill>
                    <a:blip r:embed="rId8">
                      <a:extLst>
                        <a:ext uri="{28A0092B-C50C-407E-A947-70E740481C1C}">
                          <a14:useLocalDpi xmlns:a14="http://schemas.microsoft.com/office/drawing/2010/main" val="0"/>
                        </a:ext>
                      </a:extLst>
                    </a:blip>
                    <a:stretch>
                      <a:fillRect/>
                    </a:stretch>
                  </pic:blipFill>
                  <pic:spPr>
                    <a:xfrm>
                      <a:off x="0" y="0"/>
                      <a:ext cx="3008999" cy="888098"/>
                    </a:xfrm>
                    <a:prstGeom prst="rect">
                      <a:avLst/>
                    </a:prstGeom>
                  </pic:spPr>
                </pic:pic>
              </a:graphicData>
            </a:graphic>
          </wp:inline>
        </w:drawing>
      </w:r>
      <w:r w:rsidR="00312697" w:rsidRPr="00C25E9D">
        <w:br w:type="page"/>
      </w:r>
    </w:p>
    <w:p w14:paraId="2F944333" w14:textId="77777777" w:rsidR="0089060C" w:rsidRDefault="0089060C" w:rsidP="00B812CC"/>
    <w:p w14:paraId="2B26DB4E" w14:textId="77777777" w:rsidR="00216BA5" w:rsidRPr="00B812CC" w:rsidRDefault="00216BA5" w:rsidP="004226CA">
      <w:pPr>
        <w:pStyle w:val="Info1"/>
        <w:spacing w:before="3600"/>
      </w:pPr>
      <w:r w:rsidRPr="007525AF">
        <w:t>Disclaimer</w:t>
      </w:r>
    </w:p>
    <w:p w14:paraId="6F74F9AA" w14:textId="759ADE79" w:rsidR="0085236A" w:rsidRDefault="0085236A" w:rsidP="00B812CC">
      <w:pPr>
        <w:pStyle w:val="InfoBody"/>
      </w:pPr>
      <w:r>
        <w:t>This work is licensed under the Creative Commons Attribution 3.0 New Zealand licence. In essence, you are free to copy, distribute and adapt the work, as long as you attribute the work to the Crown and abide by the other licence terms.</w:t>
      </w:r>
      <w:r>
        <w:tab/>
      </w:r>
    </w:p>
    <w:p w14:paraId="470B2BD2" w14:textId="07A5C950" w:rsidR="0085236A" w:rsidRDefault="0085236A" w:rsidP="00B812CC">
      <w:pPr>
        <w:pStyle w:val="InfoBody"/>
      </w:pPr>
      <w:r w:rsidRPr="0085236A">
        <w:t>To view a copy of this licence, visit:</w:t>
      </w:r>
      <w:r>
        <w:t xml:space="preserve"> </w:t>
      </w:r>
      <w:hyperlink r:id="rId9" w:history="1">
        <w:r w:rsidRPr="0085236A">
          <w:rPr>
            <w:rStyle w:val="Hyperlink"/>
          </w:rPr>
          <w:t>http://creativecommons.org/licenses/by/3.0/nz/</w:t>
        </w:r>
      </w:hyperlink>
      <w:r w:rsidRPr="0085236A" w:rsidDel="0085236A">
        <w:t xml:space="preserve"> </w:t>
      </w:r>
      <w:r>
        <w:tab/>
      </w:r>
    </w:p>
    <w:p w14:paraId="09670926" w14:textId="5695AD03" w:rsidR="0085236A" w:rsidRDefault="0085236A" w:rsidP="0085236A">
      <w:pPr>
        <w:pStyle w:val="InfoBody"/>
      </w:pPr>
      <w:r>
        <w:t xml:space="preserve">Please note that no departmental or governmental emblem, logo or Coat of Arms may be used in any way which infringes any provision of the Flags, Emblems, and Names Protection Act 1981. Attribution to the Crown should be in written form and not by reproduction of any such emblem, logo or Coat of Arms. </w:t>
      </w:r>
    </w:p>
    <w:p w14:paraId="0A57CB4E" w14:textId="77777777" w:rsidR="00216BA5" w:rsidRPr="00B812CC" w:rsidRDefault="00216BA5" w:rsidP="00B812CC">
      <w:pPr>
        <w:pStyle w:val="Info2"/>
      </w:pPr>
      <w:r w:rsidRPr="007525AF">
        <w:t>Published</w:t>
      </w:r>
    </w:p>
    <w:p w14:paraId="651F1A91" w14:textId="0D69FB86" w:rsidR="00312697" w:rsidRDefault="0085236A" w:rsidP="00B812CC">
      <w:pPr>
        <w:pStyle w:val="InfoBody"/>
      </w:pPr>
      <w:r>
        <w:t>Published October 2022</w:t>
      </w:r>
    </w:p>
    <w:p w14:paraId="4B5426F7" w14:textId="5E43854A" w:rsidR="0085236A" w:rsidRDefault="0085236A" w:rsidP="00B812CC">
      <w:pPr>
        <w:pStyle w:val="InfoBody"/>
      </w:pPr>
      <w:r>
        <w:t>Ministry of Social Development</w:t>
      </w:r>
    </w:p>
    <w:p w14:paraId="5F5D52F4" w14:textId="6D9AE6F7" w:rsidR="0085236A" w:rsidRDefault="0085236A" w:rsidP="00B812CC">
      <w:pPr>
        <w:pStyle w:val="InfoBody"/>
      </w:pPr>
      <w:r>
        <w:t>PO Box 1556</w:t>
      </w:r>
    </w:p>
    <w:p w14:paraId="6A9B8EDC" w14:textId="6A20464A" w:rsidR="0085236A" w:rsidRDefault="0085236A" w:rsidP="00B812CC">
      <w:pPr>
        <w:pStyle w:val="InfoBody"/>
      </w:pPr>
      <w:r>
        <w:t>Wellington 6140</w:t>
      </w:r>
    </w:p>
    <w:p w14:paraId="01627F2E" w14:textId="3AB5B27F" w:rsidR="004226CA" w:rsidRDefault="0085236A" w:rsidP="00B812CC">
      <w:pPr>
        <w:pStyle w:val="InfoBody"/>
      </w:pPr>
      <w:r>
        <w:t>New Zealand</w:t>
      </w:r>
    </w:p>
    <w:p w14:paraId="3C3B0C46" w14:textId="2B45EF45" w:rsidR="0085236A" w:rsidRDefault="0085236A" w:rsidP="00B812CC">
      <w:pPr>
        <w:pStyle w:val="InfoBody"/>
      </w:pPr>
      <w:r>
        <w:t>Telephone: +64 4 916 3300</w:t>
      </w:r>
    </w:p>
    <w:p w14:paraId="34F90721" w14:textId="5B4ADFB3" w:rsidR="0085236A" w:rsidRDefault="0085236A" w:rsidP="00B812CC">
      <w:pPr>
        <w:pStyle w:val="InfoBody"/>
      </w:pPr>
      <w:r>
        <w:t xml:space="preserve">Email: </w:t>
      </w:r>
      <w:hyperlink r:id="rId10" w:history="1">
        <w:r w:rsidRPr="006F6965">
          <w:rPr>
            <w:rStyle w:val="Hyperlink"/>
          </w:rPr>
          <w:t>info@msd.govt.nz</w:t>
        </w:r>
      </w:hyperlink>
    </w:p>
    <w:p w14:paraId="5099D43C" w14:textId="386AFC0A" w:rsidR="0085236A" w:rsidRDefault="0085236A" w:rsidP="00B812CC">
      <w:pPr>
        <w:pStyle w:val="InfoBody"/>
      </w:pPr>
      <w:r>
        <w:t xml:space="preserve">Web: </w:t>
      </w:r>
      <w:hyperlink r:id="rId11" w:history="1">
        <w:r w:rsidR="004226CA" w:rsidRPr="003541F6">
          <w:rPr>
            <w:rStyle w:val="Hyperlink"/>
          </w:rPr>
          <w:t>www.msd.govt.nz</w:t>
        </w:r>
      </w:hyperlink>
    </w:p>
    <w:p w14:paraId="61FBFA16" w14:textId="77777777" w:rsidR="0085236A" w:rsidRDefault="0085236A" w:rsidP="00B812CC">
      <w:pPr>
        <w:pStyle w:val="InfoBody"/>
      </w:pPr>
      <w:bookmarkStart w:id="0" w:name="_Toc386619898"/>
      <w:bookmarkStart w:id="1" w:name="_Toc402433422"/>
    </w:p>
    <w:p w14:paraId="3A9F05B6" w14:textId="385118A3" w:rsidR="004226CA" w:rsidRDefault="0085236A" w:rsidP="00B812CC">
      <w:pPr>
        <w:pStyle w:val="InfoBody"/>
      </w:pPr>
      <w:r>
        <w:t xml:space="preserve">The full </w:t>
      </w:r>
      <w:r w:rsidR="004226CA">
        <w:t xml:space="preserve">publication of the </w:t>
      </w:r>
      <w:r>
        <w:t xml:space="preserve">Ministry of Social Development Annual Report 2021/22 is available online at </w:t>
      </w:r>
      <w:hyperlink r:id="rId12" w:history="1">
        <w:r w:rsidRPr="006F6965">
          <w:rPr>
            <w:rStyle w:val="Hyperlink"/>
          </w:rPr>
          <w:t>www.msd.govt.nz/about-msd-and-our-work/publications-resources/corporate/annual-report/index.html</w:t>
        </w:r>
      </w:hyperlink>
    </w:p>
    <w:p w14:paraId="2C4208F6" w14:textId="678D811C" w:rsidR="0085236A" w:rsidRDefault="0085236A" w:rsidP="00B812CC">
      <w:pPr>
        <w:pStyle w:val="InfoBody"/>
      </w:pPr>
      <w:r>
        <w:t>Please note that the full publication is not an accessible format</w:t>
      </w:r>
      <w:r w:rsidR="000C1900">
        <w:t>.</w:t>
      </w:r>
    </w:p>
    <w:p w14:paraId="5EE8F236" w14:textId="5428563C" w:rsidR="0089060C" w:rsidRPr="00B812CC" w:rsidRDefault="0089060C" w:rsidP="00B812CC">
      <w:pPr>
        <w:pStyle w:val="InfoBody"/>
      </w:pPr>
      <w:r>
        <w:br w:type="page"/>
      </w:r>
    </w:p>
    <w:p w14:paraId="29A0F36F" w14:textId="77777777" w:rsidR="008C4B1D" w:rsidRPr="00D7573A" w:rsidRDefault="00EC2CE7" w:rsidP="00B812CC">
      <w:pPr>
        <w:pStyle w:val="Heading1"/>
      </w:pPr>
      <w:bookmarkStart w:id="2" w:name="_Toc116462336"/>
      <w:r w:rsidRPr="00D7573A">
        <w:lastRenderedPageBreak/>
        <w:t>Contents</w:t>
      </w:r>
      <w:bookmarkEnd w:id="0"/>
      <w:bookmarkEnd w:id="1"/>
      <w:bookmarkEnd w:id="2"/>
    </w:p>
    <w:sdt>
      <w:sdtPr>
        <w:rPr>
          <w:b w:val="0"/>
          <w:noProof w:val="0"/>
        </w:rPr>
        <w:id w:val="1310822592"/>
        <w:docPartObj>
          <w:docPartGallery w:val="Table of Contents"/>
          <w:docPartUnique/>
        </w:docPartObj>
      </w:sdtPr>
      <w:sdtEndPr/>
      <w:sdtContent>
        <w:p w14:paraId="6A1537D0" w14:textId="1B691C9A" w:rsidR="00A25148" w:rsidRDefault="00EC2CE7">
          <w:pPr>
            <w:pStyle w:val="TOC1"/>
            <w:rPr>
              <w:rFonts w:asciiTheme="minorHAnsi" w:eastAsiaTheme="minorEastAsia" w:hAnsiTheme="minorHAnsi" w:cstheme="minorBidi"/>
              <w:b w:val="0"/>
              <w:kern w:val="0"/>
              <w:szCs w:val="22"/>
              <w:lang w:eastAsia="en-NZ"/>
            </w:rPr>
          </w:pPr>
          <w:r>
            <w:fldChar w:fldCharType="begin"/>
          </w:r>
          <w:r>
            <w:instrText xml:space="preserve"> TOC \o "1-3" \h \z \u </w:instrText>
          </w:r>
          <w:r>
            <w:fldChar w:fldCharType="separate"/>
          </w:r>
          <w:hyperlink w:anchor="_Toc116462338" w:history="1">
            <w:r w:rsidR="00A25148" w:rsidRPr="001F06D4">
              <w:rPr>
                <w:rStyle w:val="Hyperlink"/>
              </w:rPr>
              <w:t>Chief Executive’s foreword</w:t>
            </w:r>
            <w:r w:rsidR="00A25148">
              <w:rPr>
                <w:webHidden/>
              </w:rPr>
              <w:tab/>
            </w:r>
            <w:r w:rsidR="00A25148">
              <w:rPr>
                <w:webHidden/>
              </w:rPr>
              <w:fldChar w:fldCharType="begin"/>
            </w:r>
            <w:r w:rsidR="00A25148">
              <w:rPr>
                <w:webHidden/>
              </w:rPr>
              <w:instrText xml:space="preserve"> PAGEREF _Toc116462338 \h </w:instrText>
            </w:r>
            <w:r w:rsidR="00A25148">
              <w:rPr>
                <w:webHidden/>
              </w:rPr>
            </w:r>
            <w:r w:rsidR="00A25148">
              <w:rPr>
                <w:webHidden/>
              </w:rPr>
              <w:fldChar w:fldCharType="separate"/>
            </w:r>
            <w:r w:rsidR="0085236A">
              <w:rPr>
                <w:webHidden/>
              </w:rPr>
              <w:t>4</w:t>
            </w:r>
            <w:r w:rsidR="00A25148">
              <w:rPr>
                <w:webHidden/>
              </w:rPr>
              <w:fldChar w:fldCharType="end"/>
            </w:r>
          </w:hyperlink>
        </w:p>
        <w:p w14:paraId="4B0B0653" w14:textId="2A7B10B8" w:rsidR="00A25148" w:rsidRDefault="00A85D1E">
          <w:pPr>
            <w:pStyle w:val="TOC1"/>
            <w:rPr>
              <w:rFonts w:asciiTheme="minorHAnsi" w:eastAsiaTheme="minorEastAsia" w:hAnsiTheme="minorHAnsi" w:cstheme="minorBidi"/>
              <w:b w:val="0"/>
              <w:kern w:val="0"/>
              <w:szCs w:val="22"/>
              <w:lang w:eastAsia="en-NZ"/>
            </w:rPr>
          </w:pPr>
          <w:hyperlink w:anchor="_Toc116462339" w:history="1">
            <w:r w:rsidR="00A25148" w:rsidRPr="001F06D4">
              <w:rPr>
                <w:rStyle w:val="Hyperlink"/>
              </w:rPr>
              <w:t>Executive summary</w:t>
            </w:r>
            <w:r w:rsidR="00A25148">
              <w:rPr>
                <w:webHidden/>
              </w:rPr>
              <w:tab/>
            </w:r>
            <w:r w:rsidR="00A25148">
              <w:rPr>
                <w:webHidden/>
              </w:rPr>
              <w:fldChar w:fldCharType="begin"/>
            </w:r>
            <w:r w:rsidR="00A25148">
              <w:rPr>
                <w:webHidden/>
              </w:rPr>
              <w:instrText xml:space="preserve"> PAGEREF _Toc116462339 \h </w:instrText>
            </w:r>
            <w:r w:rsidR="00A25148">
              <w:rPr>
                <w:webHidden/>
              </w:rPr>
            </w:r>
            <w:r w:rsidR="00A25148">
              <w:rPr>
                <w:webHidden/>
              </w:rPr>
              <w:fldChar w:fldCharType="separate"/>
            </w:r>
            <w:r w:rsidR="0085236A">
              <w:rPr>
                <w:webHidden/>
              </w:rPr>
              <w:t>7</w:t>
            </w:r>
            <w:r w:rsidR="00A25148">
              <w:rPr>
                <w:webHidden/>
              </w:rPr>
              <w:fldChar w:fldCharType="end"/>
            </w:r>
          </w:hyperlink>
        </w:p>
        <w:p w14:paraId="00FE6DE1" w14:textId="4E3D3557" w:rsidR="00A25148" w:rsidRDefault="00A85D1E">
          <w:pPr>
            <w:pStyle w:val="TOC2"/>
            <w:tabs>
              <w:tab w:val="right" w:leader="dot" w:pos="9016"/>
            </w:tabs>
            <w:rPr>
              <w:rFonts w:asciiTheme="minorHAnsi" w:eastAsiaTheme="minorEastAsia" w:hAnsiTheme="minorHAnsi" w:cstheme="minorBidi"/>
              <w:noProof/>
              <w:kern w:val="0"/>
              <w:szCs w:val="22"/>
              <w:lang w:eastAsia="en-NZ"/>
            </w:rPr>
          </w:pPr>
          <w:hyperlink w:anchor="_Toc116462340" w:history="1">
            <w:r w:rsidR="00A25148" w:rsidRPr="001F06D4">
              <w:rPr>
                <w:rStyle w:val="Hyperlink"/>
                <w:noProof/>
              </w:rPr>
              <w:t>A year of reconnecting New Zealanders and leading the COVID-19 welfare response</w:t>
            </w:r>
            <w:r w:rsidR="00A25148">
              <w:rPr>
                <w:noProof/>
                <w:webHidden/>
              </w:rPr>
              <w:tab/>
            </w:r>
            <w:r w:rsidR="00A25148">
              <w:rPr>
                <w:noProof/>
                <w:webHidden/>
              </w:rPr>
              <w:fldChar w:fldCharType="begin"/>
            </w:r>
            <w:r w:rsidR="00A25148">
              <w:rPr>
                <w:noProof/>
                <w:webHidden/>
              </w:rPr>
              <w:instrText xml:space="preserve"> PAGEREF _Toc116462340 \h </w:instrText>
            </w:r>
            <w:r w:rsidR="00A25148">
              <w:rPr>
                <w:noProof/>
                <w:webHidden/>
              </w:rPr>
            </w:r>
            <w:r w:rsidR="00A25148">
              <w:rPr>
                <w:noProof/>
                <w:webHidden/>
              </w:rPr>
              <w:fldChar w:fldCharType="separate"/>
            </w:r>
            <w:r w:rsidR="0085236A">
              <w:rPr>
                <w:noProof/>
                <w:webHidden/>
              </w:rPr>
              <w:t>7</w:t>
            </w:r>
            <w:r w:rsidR="00A25148">
              <w:rPr>
                <w:noProof/>
                <w:webHidden/>
              </w:rPr>
              <w:fldChar w:fldCharType="end"/>
            </w:r>
          </w:hyperlink>
        </w:p>
        <w:p w14:paraId="3BCA0E68" w14:textId="1D3423EC" w:rsidR="00A25148" w:rsidRDefault="00A85D1E">
          <w:pPr>
            <w:pStyle w:val="TOC2"/>
            <w:tabs>
              <w:tab w:val="right" w:leader="dot" w:pos="9016"/>
            </w:tabs>
            <w:rPr>
              <w:rFonts w:asciiTheme="minorHAnsi" w:eastAsiaTheme="minorEastAsia" w:hAnsiTheme="minorHAnsi" w:cstheme="minorBidi"/>
              <w:noProof/>
              <w:kern w:val="0"/>
              <w:szCs w:val="22"/>
              <w:lang w:eastAsia="en-NZ"/>
            </w:rPr>
          </w:pPr>
          <w:hyperlink w:anchor="_Toc116462341" w:history="1">
            <w:r w:rsidR="00A25148" w:rsidRPr="001F06D4">
              <w:rPr>
                <w:rStyle w:val="Hyperlink"/>
                <w:noProof/>
              </w:rPr>
              <w:t>Progressing our strategic direction</w:t>
            </w:r>
            <w:r w:rsidR="00A25148">
              <w:rPr>
                <w:noProof/>
                <w:webHidden/>
              </w:rPr>
              <w:tab/>
            </w:r>
            <w:r w:rsidR="00A25148">
              <w:rPr>
                <w:noProof/>
                <w:webHidden/>
              </w:rPr>
              <w:fldChar w:fldCharType="begin"/>
            </w:r>
            <w:r w:rsidR="00A25148">
              <w:rPr>
                <w:noProof/>
                <w:webHidden/>
              </w:rPr>
              <w:instrText xml:space="preserve"> PAGEREF _Toc116462341 \h </w:instrText>
            </w:r>
            <w:r w:rsidR="00A25148">
              <w:rPr>
                <w:noProof/>
                <w:webHidden/>
              </w:rPr>
            </w:r>
            <w:r w:rsidR="00A25148">
              <w:rPr>
                <w:noProof/>
                <w:webHidden/>
              </w:rPr>
              <w:fldChar w:fldCharType="separate"/>
            </w:r>
            <w:r w:rsidR="0085236A">
              <w:rPr>
                <w:noProof/>
                <w:webHidden/>
              </w:rPr>
              <w:t>8</w:t>
            </w:r>
            <w:r w:rsidR="00A25148">
              <w:rPr>
                <w:noProof/>
                <w:webHidden/>
              </w:rPr>
              <w:fldChar w:fldCharType="end"/>
            </w:r>
          </w:hyperlink>
        </w:p>
        <w:p w14:paraId="51977210" w14:textId="7452DBFD" w:rsidR="00A25148" w:rsidRDefault="00A85D1E">
          <w:pPr>
            <w:pStyle w:val="TOC3"/>
            <w:tabs>
              <w:tab w:val="right" w:leader="dot" w:pos="9016"/>
            </w:tabs>
            <w:rPr>
              <w:rFonts w:asciiTheme="minorHAnsi" w:eastAsiaTheme="minorEastAsia" w:hAnsiTheme="minorHAnsi" w:cstheme="minorBidi"/>
              <w:noProof/>
              <w:kern w:val="0"/>
              <w:szCs w:val="22"/>
              <w:lang w:eastAsia="en-NZ"/>
            </w:rPr>
          </w:pPr>
          <w:hyperlink w:anchor="_Toc116462342" w:history="1">
            <w:r w:rsidR="00A25148" w:rsidRPr="001F06D4">
              <w:rPr>
                <w:rStyle w:val="Hyperlink"/>
                <w:noProof/>
              </w:rPr>
              <w:t>Outcome: New Zealanders get the support they require</w:t>
            </w:r>
            <w:r w:rsidR="00A25148">
              <w:rPr>
                <w:noProof/>
                <w:webHidden/>
              </w:rPr>
              <w:tab/>
            </w:r>
            <w:r w:rsidR="00A25148">
              <w:rPr>
                <w:noProof/>
                <w:webHidden/>
              </w:rPr>
              <w:fldChar w:fldCharType="begin"/>
            </w:r>
            <w:r w:rsidR="00A25148">
              <w:rPr>
                <w:noProof/>
                <w:webHidden/>
              </w:rPr>
              <w:instrText xml:space="preserve"> PAGEREF _Toc116462342 \h </w:instrText>
            </w:r>
            <w:r w:rsidR="00A25148">
              <w:rPr>
                <w:noProof/>
                <w:webHidden/>
              </w:rPr>
            </w:r>
            <w:r w:rsidR="00A25148">
              <w:rPr>
                <w:noProof/>
                <w:webHidden/>
              </w:rPr>
              <w:fldChar w:fldCharType="separate"/>
            </w:r>
            <w:r w:rsidR="0085236A">
              <w:rPr>
                <w:noProof/>
                <w:webHidden/>
              </w:rPr>
              <w:t>8</w:t>
            </w:r>
            <w:r w:rsidR="00A25148">
              <w:rPr>
                <w:noProof/>
                <w:webHidden/>
              </w:rPr>
              <w:fldChar w:fldCharType="end"/>
            </w:r>
          </w:hyperlink>
        </w:p>
        <w:p w14:paraId="39FFC3A7" w14:textId="29CE6F26" w:rsidR="00A25148" w:rsidRDefault="00A85D1E">
          <w:pPr>
            <w:pStyle w:val="TOC3"/>
            <w:tabs>
              <w:tab w:val="right" w:leader="dot" w:pos="9016"/>
            </w:tabs>
            <w:rPr>
              <w:rFonts w:asciiTheme="minorHAnsi" w:eastAsiaTheme="minorEastAsia" w:hAnsiTheme="minorHAnsi" w:cstheme="minorBidi"/>
              <w:noProof/>
              <w:kern w:val="0"/>
              <w:szCs w:val="22"/>
              <w:lang w:eastAsia="en-NZ"/>
            </w:rPr>
          </w:pPr>
          <w:hyperlink w:anchor="_Toc116462343" w:history="1">
            <w:r w:rsidR="00A25148" w:rsidRPr="001F06D4">
              <w:rPr>
                <w:rStyle w:val="Hyperlink"/>
                <w:noProof/>
              </w:rPr>
              <w:t>Outcome: New Zealanders are resilient and live in inclusive and supportive communities</w:t>
            </w:r>
            <w:r w:rsidR="00A25148">
              <w:rPr>
                <w:noProof/>
                <w:webHidden/>
              </w:rPr>
              <w:tab/>
            </w:r>
            <w:r w:rsidR="00A25148">
              <w:rPr>
                <w:noProof/>
                <w:webHidden/>
              </w:rPr>
              <w:fldChar w:fldCharType="begin"/>
            </w:r>
            <w:r w:rsidR="00A25148">
              <w:rPr>
                <w:noProof/>
                <w:webHidden/>
              </w:rPr>
              <w:instrText xml:space="preserve"> PAGEREF _Toc116462343 \h </w:instrText>
            </w:r>
            <w:r w:rsidR="00A25148">
              <w:rPr>
                <w:noProof/>
                <w:webHidden/>
              </w:rPr>
            </w:r>
            <w:r w:rsidR="00A25148">
              <w:rPr>
                <w:noProof/>
                <w:webHidden/>
              </w:rPr>
              <w:fldChar w:fldCharType="separate"/>
            </w:r>
            <w:r w:rsidR="0085236A">
              <w:rPr>
                <w:noProof/>
                <w:webHidden/>
              </w:rPr>
              <w:t>8</w:t>
            </w:r>
            <w:r w:rsidR="00A25148">
              <w:rPr>
                <w:noProof/>
                <w:webHidden/>
              </w:rPr>
              <w:fldChar w:fldCharType="end"/>
            </w:r>
          </w:hyperlink>
        </w:p>
        <w:p w14:paraId="2401B077" w14:textId="6F8AD08E" w:rsidR="00A25148" w:rsidRDefault="00A85D1E">
          <w:pPr>
            <w:pStyle w:val="TOC3"/>
            <w:tabs>
              <w:tab w:val="right" w:leader="dot" w:pos="9016"/>
            </w:tabs>
            <w:rPr>
              <w:rFonts w:asciiTheme="minorHAnsi" w:eastAsiaTheme="minorEastAsia" w:hAnsiTheme="minorHAnsi" w:cstheme="minorBidi"/>
              <w:noProof/>
              <w:kern w:val="0"/>
              <w:szCs w:val="22"/>
              <w:lang w:eastAsia="en-NZ"/>
            </w:rPr>
          </w:pPr>
          <w:hyperlink w:anchor="_Toc116462344" w:history="1">
            <w:r w:rsidR="00A25148" w:rsidRPr="001F06D4">
              <w:rPr>
                <w:rStyle w:val="Hyperlink"/>
                <w:noProof/>
              </w:rPr>
              <w:t>Outcome: New Zealanders participate positively in society and reach their potential</w:t>
            </w:r>
            <w:r w:rsidR="00A25148">
              <w:rPr>
                <w:noProof/>
                <w:webHidden/>
              </w:rPr>
              <w:tab/>
            </w:r>
            <w:r w:rsidR="00A25148">
              <w:rPr>
                <w:noProof/>
                <w:webHidden/>
              </w:rPr>
              <w:fldChar w:fldCharType="begin"/>
            </w:r>
            <w:r w:rsidR="00A25148">
              <w:rPr>
                <w:noProof/>
                <w:webHidden/>
              </w:rPr>
              <w:instrText xml:space="preserve"> PAGEREF _Toc116462344 \h </w:instrText>
            </w:r>
            <w:r w:rsidR="00A25148">
              <w:rPr>
                <w:noProof/>
                <w:webHidden/>
              </w:rPr>
            </w:r>
            <w:r w:rsidR="00A25148">
              <w:rPr>
                <w:noProof/>
                <w:webHidden/>
              </w:rPr>
              <w:fldChar w:fldCharType="separate"/>
            </w:r>
            <w:r w:rsidR="0085236A">
              <w:rPr>
                <w:noProof/>
                <w:webHidden/>
              </w:rPr>
              <w:t>9</w:t>
            </w:r>
            <w:r w:rsidR="00A25148">
              <w:rPr>
                <w:noProof/>
                <w:webHidden/>
              </w:rPr>
              <w:fldChar w:fldCharType="end"/>
            </w:r>
          </w:hyperlink>
        </w:p>
        <w:p w14:paraId="6FDB940D" w14:textId="3B6FC9ED" w:rsidR="00A25148" w:rsidRDefault="00A85D1E">
          <w:pPr>
            <w:pStyle w:val="TOC3"/>
            <w:tabs>
              <w:tab w:val="right" w:leader="dot" w:pos="9016"/>
            </w:tabs>
            <w:rPr>
              <w:rFonts w:asciiTheme="minorHAnsi" w:eastAsiaTheme="minorEastAsia" w:hAnsiTheme="minorHAnsi" w:cstheme="minorBidi"/>
              <w:noProof/>
              <w:kern w:val="0"/>
              <w:szCs w:val="22"/>
              <w:lang w:eastAsia="en-NZ"/>
            </w:rPr>
          </w:pPr>
          <w:hyperlink w:anchor="_Toc116462345" w:history="1">
            <w:r w:rsidR="00A25148" w:rsidRPr="001F06D4">
              <w:rPr>
                <w:rStyle w:val="Hyperlink"/>
                <w:noProof/>
              </w:rPr>
              <w:t>Achieving our impact indicators and performance measures</w:t>
            </w:r>
            <w:r w:rsidR="00A25148">
              <w:rPr>
                <w:noProof/>
                <w:webHidden/>
              </w:rPr>
              <w:tab/>
            </w:r>
            <w:r w:rsidR="00A25148">
              <w:rPr>
                <w:noProof/>
                <w:webHidden/>
              </w:rPr>
              <w:fldChar w:fldCharType="begin"/>
            </w:r>
            <w:r w:rsidR="00A25148">
              <w:rPr>
                <w:noProof/>
                <w:webHidden/>
              </w:rPr>
              <w:instrText xml:space="preserve"> PAGEREF _Toc116462345 \h </w:instrText>
            </w:r>
            <w:r w:rsidR="00A25148">
              <w:rPr>
                <w:noProof/>
                <w:webHidden/>
              </w:rPr>
            </w:r>
            <w:r w:rsidR="00A25148">
              <w:rPr>
                <w:noProof/>
                <w:webHidden/>
              </w:rPr>
              <w:fldChar w:fldCharType="separate"/>
            </w:r>
            <w:r w:rsidR="0085236A">
              <w:rPr>
                <w:noProof/>
                <w:webHidden/>
              </w:rPr>
              <w:t>10</w:t>
            </w:r>
            <w:r w:rsidR="00A25148">
              <w:rPr>
                <w:noProof/>
                <w:webHidden/>
              </w:rPr>
              <w:fldChar w:fldCharType="end"/>
            </w:r>
          </w:hyperlink>
        </w:p>
        <w:p w14:paraId="55CBBA39" w14:textId="4AA26A21" w:rsidR="00A25148" w:rsidRDefault="00A85D1E">
          <w:pPr>
            <w:pStyle w:val="TOC3"/>
            <w:tabs>
              <w:tab w:val="right" w:leader="dot" w:pos="9016"/>
            </w:tabs>
            <w:rPr>
              <w:rFonts w:asciiTheme="minorHAnsi" w:eastAsiaTheme="minorEastAsia" w:hAnsiTheme="minorHAnsi" w:cstheme="minorBidi"/>
              <w:noProof/>
              <w:kern w:val="0"/>
              <w:szCs w:val="22"/>
              <w:lang w:eastAsia="en-NZ"/>
            </w:rPr>
          </w:pPr>
          <w:hyperlink w:anchor="_Toc116462346" w:history="1">
            <w:r w:rsidR="00A25148" w:rsidRPr="001F06D4">
              <w:rPr>
                <w:rStyle w:val="Hyperlink"/>
                <w:noProof/>
              </w:rPr>
              <w:t>Improving our organisational capabilities</w:t>
            </w:r>
            <w:r w:rsidR="00A25148">
              <w:rPr>
                <w:noProof/>
                <w:webHidden/>
              </w:rPr>
              <w:tab/>
            </w:r>
            <w:r w:rsidR="00A25148">
              <w:rPr>
                <w:noProof/>
                <w:webHidden/>
              </w:rPr>
              <w:fldChar w:fldCharType="begin"/>
            </w:r>
            <w:r w:rsidR="00A25148">
              <w:rPr>
                <w:noProof/>
                <w:webHidden/>
              </w:rPr>
              <w:instrText xml:space="preserve"> PAGEREF _Toc116462346 \h </w:instrText>
            </w:r>
            <w:r w:rsidR="00A25148">
              <w:rPr>
                <w:noProof/>
                <w:webHidden/>
              </w:rPr>
            </w:r>
            <w:r w:rsidR="00A25148">
              <w:rPr>
                <w:noProof/>
                <w:webHidden/>
              </w:rPr>
              <w:fldChar w:fldCharType="separate"/>
            </w:r>
            <w:r w:rsidR="0085236A">
              <w:rPr>
                <w:noProof/>
                <w:webHidden/>
              </w:rPr>
              <w:t>10</w:t>
            </w:r>
            <w:r w:rsidR="00A25148">
              <w:rPr>
                <w:noProof/>
                <w:webHidden/>
              </w:rPr>
              <w:fldChar w:fldCharType="end"/>
            </w:r>
          </w:hyperlink>
        </w:p>
        <w:p w14:paraId="03B3EE28" w14:textId="53CE5671" w:rsidR="00A25148" w:rsidRDefault="00A85D1E">
          <w:pPr>
            <w:pStyle w:val="TOC2"/>
            <w:tabs>
              <w:tab w:val="right" w:leader="dot" w:pos="9016"/>
            </w:tabs>
            <w:rPr>
              <w:rFonts w:asciiTheme="minorHAnsi" w:eastAsiaTheme="minorEastAsia" w:hAnsiTheme="minorHAnsi" w:cstheme="minorBidi"/>
              <w:noProof/>
              <w:kern w:val="0"/>
              <w:szCs w:val="22"/>
              <w:lang w:eastAsia="en-NZ"/>
            </w:rPr>
          </w:pPr>
          <w:hyperlink w:anchor="_Toc116462347" w:history="1">
            <w:r w:rsidR="00A25148" w:rsidRPr="001F06D4">
              <w:rPr>
                <w:rStyle w:val="Hyperlink"/>
                <w:noProof/>
                <w:lang w:val="mi-NZ"/>
              </w:rPr>
              <w:t>Ā mātau tatauranga hira mō te tau</w:t>
            </w:r>
            <w:r w:rsidR="00A25148" w:rsidRPr="001F06D4">
              <w:rPr>
                <w:rStyle w:val="Hyperlink"/>
                <w:noProof/>
              </w:rPr>
              <w:t xml:space="preserve"> 2021/22</w:t>
            </w:r>
            <w:r w:rsidR="00A25148">
              <w:rPr>
                <w:noProof/>
                <w:webHidden/>
              </w:rPr>
              <w:tab/>
            </w:r>
            <w:r w:rsidR="00A25148">
              <w:rPr>
                <w:noProof/>
                <w:webHidden/>
              </w:rPr>
              <w:fldChar w:fldCharType="begin"/>
            </w:r>
            <w:r w:rsidR="00A25148">
              <w:rPr>
                <w:noProof/>
                <w:webHidden/>
              </w:rPr>
              <w:instrText xml:space="preserve"> PAGEREF _Toc116462347 \h </w:instrText>
            </w:r>
            <w:r w:rsidR="00A25148">
              <w:rPr>
                <w:noProof/>
                <w:webHidden/>
              </w:rPr>
            </w:r>
            <w:r w:rsidR="00A25148">
              <w:rPr>
                <w:noProof/>
                <w:webHidden/>
              </w:rPr>
              <w:fldChar w:fldCharType="separate"/>
            </w:r>
            <w:r w:rsidR="0085236A">
              <w:rPr>
                <w:noProof/>
                <w:webHidden/>
              </w:rPr>
              <w:t>12</w:t>
            </w:r>
            <w:r w:rsidR="00A25148">
              <w:rPr>
                <w:noProof/>
                <w:webHidden/>
              </w:rPr>
              <w:fldChar w:fldCharType="end"/>
            </w:r>
          </w:hyperlink>
        </w:p>
        <w:p w14:paraId="28C43904" w14:textId="2DD720D1" w:rsidR="00A25148" w:rsidRDefault="00A85D1E">
          <w:pPr>
            <w:pStyle w:val="TOC3"/>
            <w:tabs>
              <w:tab w:val="right" w:leader="dot" w:pos="9016"/>
            </w:tabs>
            <w:rPr>
              <w:rFonts w:asciiTheme="minorHAnsi" w:eastAsiaTheme="minorEastAsia" w:hAnsiTheme="minorHAnsi" w:cstheme="minorBidi"/>
              <w:noProof/>
              <w:kern w:val="0"/>
              <w:szCs w:val="22"/>
              <w:lang w:eastAsia="en-NZ"/>
            </w:rPr>
          </w:pPr>
          <w:hyperlink w:anchor="_Toc116462348" w:history="1">
            <w:r w:rsidR="00A25148" w:rsidRPr="001F06D4">
              <w:rPr>
                <w:rStyle w:val="Hyperlink"/>
                <w:noProof/>
              </w:rPr>
              <w:t>Our key statistics for 2021/22</w:t>
            </w:r>
            <w:r w:rsidR="00A25148">
              <w:rPr>
                <w:noProof/>
                <w:webHidden/>
              </w:rPr>
              <w:tab/>
            </w:r>
            <w:r w:rsidR="00A25148">
              <w:rPr>
                <w:noProof/>
                <w:webHidden/>
              </w:rPr>
              <w:fldChar w:fldCharType="begin"/>
            </w:r>
            <w:r w:rsidR="00A25148">
              <w:rPr>
                <w:noProof/>
                <w:webHidden/>
              </w:rPr>
              <w:instrText xml:space="preserve"> PAGEREF _Toc116462348 \h </w:instrText>
            </w:r>
            <w:r w:rsidR="00A25148">
              <w:rPr>
                <w:noProof/>
                <w:webHidden/>
              </w:rPr>
            </w:r>
            <w:r w:rsidR="00A25148">
              <w:rPr>
                <w:noProof/>
                <w:webHidden/>
              </w:rPr>
              <w:fldChar w:fldCharType="separate"/>
            </w:r>
            <w:r w:rsidR="0085236A">
              <w:rPr>
                <w:noProof/>
                <w:webHidden/>
              </w:rPr>
              <w:t>12</w:t>
            </w:r>
            <w:r w:rsidR="00A25148">
              <w:rPr>
                <w:noProof/>
                <w:webHidden/>
              </w:rPr>
              <w:fldChar w:fldCharType="end"/>
            </w:r>
          </w:hyperlink>
        </w:p>
        <w:p w14:paraId="0ACC290C" w14:textId="3112BDC1" w:rsidR="00A25148" w:rsidRDefault="00A85D1E">
          <w:pPr>
            <w:pStyle w:val="TOC2"/>
            <w:tabs>
              <w:tab w:val="right" w:leader="dot" w:pos="9016"/>
            </w:tabs>
            <w:rPr>
              <w:rFonts w:asciiTheme="minorHAnsi" w:eastAsiaTheme="minorEastAsia" w:hAnsiTheme="minorHAnsi" w:cstheme="minorBidi"/>
              <w:noProof/>
              <w:kern w:val="0"/>
              <w:szCs w:val="22"/>
              <w:lang w:eastAsia="en-NZ"/>
            </w:rPr>
          </w:pPr>
          <w:hyperlink w:anchor="_Toc116462349" w:history="1">
            <w:r w:rsidR="00A25148" w:rsidRPr="001F06D4">
              <w:rPr>
                <w:rStyle w:val="Hyperlink"/>
                <w:noProof/>
                <w:lang w:val="mi-NZ"/>
              </w:rPr>
              <w:t>Ka whiwhi mātau i ā mātau pūtea mai i te Karauna</w:t>
            </w:r>
            <w:r w:rsidR="00A25148">
              <w:rPr>
                <w:noProof/>
                <w:webHidden/>
              </w:rPr>
              <w:tab/>
            </w:r>
            <w:r w:rsidR="00A25148">
              <w:rPr>
                <w:noProof/>
                <w:webHidden/>
              </w:rPr>
              <w:fldChar w:fldCharType="begin"/>
            </w:r>
            <w:r w:rsidR="00A25148">
              <w:rPr>
                <w:noProof/>
                <w:webHidden/>
              </w:rPr>
              <w:instrText xml:space="preserve"> PAGEREF _Toc116462349 \h </w:instrText>
            </w:r>
            <w:r w:rsidR="00A25148">
              <w:rPr>
                <w:noProof/>
                <w:webHidden/>
              </w:rPr>
            </w:r>
            <w:r w:rsidR="00A25148">
              <w:rPr>
                <w:noProof/>
                <w:webHidden/>
              </w:rPr>
              <w:fldChar w:fldCharType="separate"/>
            </w:r>
            <w:r w:rsidR="0085236A">
              <w:rPr>
                <w:noProof/>
                <w:webHidden/>
              </w:rPr>
              <w:t>14</w:t>
            </w:r>
            <w:r w:rsidR="00A25148">
              <w:rPr>
                <w:noProof/>
                <w:webHidden/>
              </w:rPr>
              <w:fldChar w:fldCharType="end"/>
            </w:r>
          </w:hyperlink>
        </w:p>
        <w:p w14:paraId="554F55A0" w14:textId="3706680F" w:rsidR="00A25148" w:rsidRDefault="00A85D1E">
          <w:pPr>
            <w:pStyle w:val="TOC3"/>
            <w:tabs>
              <w:tab w:val="right" w:leader="dot" w:pos="9016"/>
            </w:tabs>
            <w:rPr>
              <w:rFonts w:asciiTheme="minorHAnsi" w:eastAsiaTheme="minorEastAsia" w:hAnsiTheme="minorHAnsi" w:cstheme="minorBidi"/>
              <w:noProof/>
              <w:kern w:val="0"/>
              <w:szCs w:val="22"/>
              <w:lang w:eastAsia="en-NZ"/>
            </w:rPr>
          </w:pPr>
          <w:hyperlink w:anchor="_Toc116462350" w:history="1">
            <w:r w:rsidR="00A25148" w:rsidRPr="001F06D4">
              <w:rPr>
                <w:rStyle w:val="Hyperlink"/>
                <w:noProof/>
              </w:rPr>
              <w:t>We receive our funding from the Crown</w:t>
            </w:r>
            <w:r w:rsidR="00A25148">
              <w:rPr>
                <w:noProof/>
                <w:webHidden/>
              </w:rPr>
              <w:tab/>
            </w:r>
            <w:r w:rsidR="00A25148">
              <w:rPr>
                <w:noProof/>
                <w:webHidden/>
              </w:rPr>
              <w:fldChar w:fldCharType="begin"/>
            </w:r>
            <w:r w:rsidR="00A25148">
              <w:rPr>
                <w:noProof/>
                <w:webHidden/>
              </w:rPr>
              <w:instrText xml:space="preserve"> PAGEREF _Toc116462350 \h </w:instrText>
            </w:r>
            <w:r w:rsidR="00A25148">
              <w:rPr>
                <w:noProof/>
                <w:webHidden/>
              </w:rPr>
            </w:r>
            <w:r w:rsidR="00A25148">
              <w:rPr>
                <w:noProof/>
                <w:webHidden/>
              </w:rPr>
              <w:fldChar w:fldCharType="separate"/>
            </w:r>
            <w:r w:rsidR="0085236A">
              <w:rPr>
                <w:noProof/>
                <w:webHidden/>
              </w:rPr>
              <w:t>14</w:t>
            </w:r>
            <w:r w:rsidR="00A25148">
              <w:rPr>
                <w:noProof/>
                <w:webHidden/>
              </w:rPr>
              <w:fldChar w:fldCharType="end"/>
            </w:r>
          </w:hyperlink>
        </w:p>
        <w:p w14:paraId="5F94B1AA" w14:textId="0BD2E437" w:rsidR="00A25148" w:rsidRDefault="00A85D1E">
          <w:pPr>
            <w:pStyle w:val="TOC3"/>
            <w:tabs>
              <w:tab w:val="right" w:leader="dot" w:pos="9016"/>
            </w:tabs>
            <w:rPr>
              <w:rFonts w:asciiTheme="minorHAnsi" w:eastAsiaTheme="minorEastAsia" w:hAnsiTheme="minorHAnsi" w:cstheme="minorBidi"/>
              <w:noProof/>
              <w:kern w:val="0"/>
              <w:szCs w:val="22"/>
              <w:lang w:eastAsia="en-NZ"/>
            </w:rPr>
          </w:pPr>
          <w:hyperlink w:anchor="_Toc116462351" w:history="1">
            <w:r w:rsidR="00A25148" w:rsidRPr="001F06D4">
              <w:rPr>
                <w:rStyle w:val="Hyperlink"/>
                <w:noProof/>
              </w:rPr>
              <w:t>Key areas of spending</w:t>
            </w:r>
            <w:r w:rsidR="00A25148">
              <w:rPr>
                <w:noProof/>
                <w:webHidden/>
              </w:rPr>
              <w:tab/>
            </w:r>
            <w:r w:rsidR="00A25148">
              <w:rPr>
                <w:noProof/>
                <w:webHidden/>
              </w:rPr>
              <w:fldChar w:fldCharType="begin"/>
            </w:r>
            <w:r w:rsidR="00A25148">
              <w:rPr>
                <w:noProof/>
                <w:webHidden/>
              </w:rPr>
              <w:instrText xml:space="preserve"> PAGEREF _Toc116462351 \h </w:instrText>
            </w:r>
            <w:r w:rsidR="00A25148">
              <w:rPr>
                <w:noProof/>
                <w:webHidden/>
              </w:rPr>
            </w:r>
            <w:r w:rsidR="00A25148">
              <w:rPr>
                <w:noProof/>
                <w:webHidden/>
              </w:rPr>
              <w:fldChar w:fldCharType="separate"/>
            </w:r>
            <w:r w:rsidR="0085236A">
              <w:rPr>
                <w:noProof/>
                <w:webHidden/>
              </w:rPr>
              <w:t>14</w:t>
            </w:r>
            <w:r w:rsidR="00A25148">
              <w:rPr>
                <w:noProof/>
                <w:webHidden/>
              </w:rPr>
              <w:fldChar w:fldCharType="end"/>
            </w:r>
          </w:hyperlink>
        </w:p>
        <w:p w14:paraId="6A4A8C7A" w14:textId="6670BF17" w:rsidR="005C2100" w:rsidRPr="005C2100" w:rsidRDefault="00EC2CE7" w:rsidP="005C2100">
          <w:r>
            <w:rPr>
              <w:b/>
              <w:noProof/>
            </w:rPr>
            <w:fldChar w:fldCharType="end"/>
          </w:r>
        </w:p>
      </w:sdtContent>
    </w:sdt>
    <w:bookmarkStart w:id="3" w:name="_Toc402433423" w:displacedByCustomXml="prev"/>
    <w:bookmarkStart w:id="4" w:name="_Toc386619899" w:displacedByCustomXml="prev"/>
    <w:p w14:paraId="4E638E36" w14:textId="77777777" w:rsidR="00414E8A" w:rsidRPr="00317D0D" w:rsidRDefault="001D507A" w:rsidP="0004240D">
      <w:pPr>
        <w:pStyle w:val="Heading2"/>
      </w:pPr>
      <w:bookmarkStart w:id="5" w:name="_Toc386619900"/>
      <w:bookmarkStart w:id="6" w:name="_Toc402433424"/>
      <w:bookmarkStart w:id="7" w:name="_Toc116462337"/>
      <w:bookmarkEnd w:id="4"/>
      <w:bookmarkEnd w:id="3"/>
      <w:r w:rsidRPr="00317D0D">
        <w:t>Table of tables</w:t>
      </w:r>
      <w:bookmarkEnd w:id="5"/>
      <w:bookmarkEnd w:id="6"/>
      <w:bookmarkEnd w:id="7"/>
    </w:p>
    <w:p w14:paraId="4AE5C879" w14:textId="1EE91004" w:rsidR="00A25148" w:rsidRDefault="001D507A">
      <w:pPr>
        <w:pStyle w:val="TableofFigures"/>
        <w:tabs>
          <w:tab w:val="right" w:leader="dot" w:pos="9016"/>
        </w:tabs>
        <w:rPr>
          <w:rFonts w:asciiTheme="minorHAnsi" w:eastAsiaTheme="minorEastAsia" w:hAnsiTheme="minorHAnsi" w:cstheme="minorBidi"/>
          <w:noProof/>
          <w:kern w:val="0"/>
          <w:szCs w:val="22"/>
          <w:lang w:eastAsia="en-NZ"/>
        </w:rPr>
      </w:pPr>
      <w:r>
        <w:fldChar w:fldCharType="begin"/>
      </w:r>
      <w:r>
        <w:instrText xml:space="preserve"> TOC \h \z \c "Table" </w:instrText>
      </w:r>
      <w:r>
        <w:fldChar w:fldCharType="separate"/>
      </w:r>
      <w:hyperlink w:anchor="_Toc116462352" w:history="1">
        <w:r w:rsidR="00A25148" w:rsidRPr="0006421C">
          <w:rPr>
            <w:rStyle w:val="Hyperlink"/>
            <w:noProof/>
          </w:rPr>
          <w:t>Table 1: Key areas of spending from 2017 to 2022 (in billions or bn)</w:t>
        </w:r>
        <w:r w:rsidR="00A25148">
          <w:rPr>
            <w:noProof/>
            <w:webHidden/>
          </w:rPr>
          <w:tab/>
        </w:r>
        <w:r w:rsidR="00A25148">
          <w:rPr>
            <w:noProof/>
            <w:webHidden/>
          </w:rPr>
          <w:fldChar w:fldCharType="begin"/>
        </w:r>
        <w:r w:rsidR="00A25148">
          <w:rPr>
            <w:noProof/>
            <w:webHidden/>
          </w:rPr>
          <w:instrText xml:space="preserve"> PAGEREF _Toc116462352 \h </w:instrText>
        </w:r>
        <w:r w:rsidR="00A25148">
          <w:rPr>
            <w:noProof/>
            <w:webHidden/>
          </w:rPr>
        </w:r>
        <w:r w:rsidR="00A25148">
          <w:rPr>
            <w:noProof/>
            <w:webHidden/>
          </w:rPr>
          <w:fldChar w:fldCharType="separate"/>
        </w:r>
        <w:r w:rsidR="0085236A">
          <w:rPr>
            <w:noProof/>
            <w:webHidden/>
          </w:rPr>
          <w:t>14</w:t>
        </w:r>
        <w:r w:rsidR="00A25148">
          <w:rPr>
            <w:noProof/>
            <w:webHidden/>
          </w:rPr>
          <w:fldChar w:fldCharType="end"/>
        </w:r>
      </w:hyperlink>
    </w:p>
    <w:p w14:paraId="6C7A79DC" w14:textId="6C48A97D" w:rsidR="0089060C" w:rsidRDefault="001D507A" w:rsidP="00B812CC">
      <w:r>
        <w:fldChar w:fldCharType="end"/>
      </w:r>
    </w:p>
    <w:p w14:paraId="31A1DF43" w14:textId="77777777" w:rsidR="00312697" w:rsidRDefault="00312697" w:rsidP="00B812CC">
      <w:pPr>
        <w:sectPr w:rsidR="00312697" w:rsidSect="009E20F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134" w:left="1440" w:header="708" w:footer="708" w:gutter="0"/>
          <w:cols w:space="708"/>
          <w:docGrid w:linePitch="360"/>
        </w:sectPr>
      </w:pPr>
    </w:p>
    <w:p w14:paraId="7BAD1936" w14:textId="4C027EC1" w:rsidR="00034489" w:rsidRDefault="00034489" w:rsidP="00034489">
      <w:r>
        <w:rPr>
          <w:noProof/>
        </w:rPr>
        <w:lastRenderedPageBreak/>
        <w:drawing>
          <wp:inline distT="0" distB="0" distL="0" distR="0" wp14:anchorId="67D9FA2A" wp14:editId="1685B090">
            <wp:extent cx="1965960" cy="1960583"/>
            <wp:effectExtent l="0" t="0" r="0" b="1905"/>
            <wp:docPr id="9" name="docshape2" descr="MSD Chief Executive Debbie Power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cshape2" descr="MSD Chief Executive Debbie Power profile photo."/>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0695"/>
                    <a:stretch/>
                  </pic:blipFill>
                  <pic:spPr bwMode="auto">
                    <a:xfrm>
                      <a:off x="0" y="0"/>
                      <a:ext cx="1971320" cy="1965928"/>
                    </a:xfrm>
                    <a:prstGeom prst="rect">
                      <a:avLst/>
                    </a:prstGeom>
                    <a:noFill/>
                    <a:ln>
                      <a:noFill/>
                    </a:ln>
                  </pic:spPr>
                </pic:pic>
              </a:graphicData>
            </a:graphic>
          </wp:inline>
        </w:drawing>
      </w:r>
    </w:p>
    <w:p w14:paraId="7047D22A" w14:textId="3D9F5046" w:rsidR="00BD6CBF" w:rsidRPr="00BD6CBF" w:rsidRDefault="00BD6CBF" w:rsidP="00034489">
      <w:pPr>
        <w:pStyle w:val="Heading1"/>
      </w:pPr>
      <w:bookmarkStart w:id="8" w:name="_Toc116462338"/>
      <w:r w:rsidRPr="00BD6CBF">
        <w:t>Chief Executive’s</w:t>
      </w:r>
      <w:r w:rsidR="00034489">
        <w:t xml:space="preserve"> </w:t>
      </w:r>
      <w:r w:rsidRPr="00BD6CBF">
        <w:t>foreword</w:t>
      </w:r>
      <w:bookmarkEnd w:id="8"/>
    </w:p>
    <w:p w14:paraId="0E56898D" w14:textId="77777777" w:rsidR="00BD6CBF" w:rsidRPr="00BD6CBF" w:rsidRDefault="00BD6CBF" w:rsidP="00034489">
      <w:pPr>
        <w:rPr>
          <w:b/>
          <w:bCs/>
        </w:rPr>
      </w:pPr>
      <w:r w:rsidRPr="00DE5892">
        <w:rPr>
          <w:b/>
          <w:bCs/>
          <w:lang w:val="mi-NZ"/>
        </w:rPr>
        <w:t>Kia ora koutou</w:t>
      </w:r>
      <w:r w:rsidRPr="00BD6CBF">
        <w:rPr>
          <w:b/>
          <w:bCs/>
        </w:rPr>
        <w:t>,</w:t>
      </w:r>
    </w:p>
    <w:p w14:paraId="1CF778A5" w14:textId="77777777" w:rsidR="00BD6CBF" w:rsidRPr="00DE5892" w:rsidRDefault="00BD6CBF" w:rsidP="00034489">
      <w:pPr>
        <w:rPr>
          <w:b/>
          <w:bCs/>
          <w:lang w:val="mi-NZ"/>
        </w:rPr>
      </w:pPr>
      <w:r w:rsidRPr="00DE5892">
        <w:rPr>
          <w:b/>
          <w:bCs/>
          <w:lang w:val="mi-NZ"/>
        </w:rPr>
        <w:t xml:space="preserve">Manaaki tangata, Manaaki whānau </w:t>
      </w:r>
    </w:p>
    <w:p w14:paraId="28E7961B" w14:textId="7E6F6398" w:rsidR="00BD6CBF" w:rsidRPr="00BD6CBF" w:rsidRDefault="00BD6CBF" w:rsidP="00034489">
      <w:r w:rsidRPr="00BD6CBF">
        <w:t>We help New Zealanders to be safe,</w:t>
      </w:r>
      <w:r w:rsidR="00034489">
        <w:t xml:space="preserve"> </w:t>
      </w:r>
      <w:r w:rsidRPr="00BD6CBF">
        <w:t>strong and independent.</w:t>
      </w:r>
    </w:p>
    <w:p w14:paraId="32CD56BC" w14:textId="2D15BDC6" w:rsidR="00BD6CBF" w:rsidRDefault="00BD6CBF" w:rsidP="00034489"/>
    <w:p w14:paraId="167FBB5F" w14:textId="3D828CF7" w:rsidR="00BD6CBF" w:rsidRPr="00BD6CBF" w:rsidRDefault="00BD6CBF" w:rsidP="00BD6CBF">
      <w:r w:rsidRPr="00BD6CBF">
        <w:t>The Ministry of Social Development (MSD) is the organisation people in New</w:t>
      </w:r>
      <w:r w:rsidR="005E5E53">
        <w:t xml:space="preserve"> </w:t>
      </w:r>
      <w:r w:rsidRPr="00BD6CBF">
        <w:t xml:space="preserve">Zealand turn to if they need income support, a job, to study, or have nowhere to live. We are there for people at the times in their life when they need us, right through to supporting seniors in their later life. What we do – and how we do it – makes a big difference to people, to their whānau and their community. With over 160 sites across </w:t>
      </w:r>
      <w:r w:rsidRPr="00DE5892">
        <w:rPr>
          <w:lang w:val="mi-NZ"/>
        </w:rPr>
        <w:t>Aotearoa</w:t>
      </w:r>
      <w:r w:rsidRPr="00BD6CBF">
        <w:t>, we are part of our local communities and we understand the importance of our role in these communities.</w:t>
      </w:r>
    </w:p>
    <w:p w14:paraId="3D43DE9D" w14:textId="77777777" w:rsidR="00BD6CBF" w:rsidRPr="00BD6CBF" w:rsidRDefault="00BD6CBF" w:rsidP="00BD6CBF">
      <w:r w:rsidRPr="00BD6CBF">
        <w:t>Looking back over the last year, I have been constantly impressed by the way our people – and those we work with – have responded to every challenge and kept the welfare of New Zealanders at the front and centre of what we do.</w:t>
      </w:r>
    </w:p>
    <w:p w14:paraId="6FC0023A" w14:textId="77777777" w:rsidR="00BD6CBF" w:rsidRPr="00BD6CBF" w:rsidRDefault="00BD6CBF" w:rsidP="00BD6CBF">
      <w:r w:rsidRPr="00BD6CBF">
        <w:t>There is a lot we can reflect on and be proud of over the last year, including:</w:t>
      </w:r>
    </w:p>
    <w:p w14:paraId="34225911" w14:textId="77777777" w:rsidR="00BD6CBF" w:rsidRPr="00BD6CBF" w:rsidRDefault="00BD6CBF" w:rsidP="00BD6CBF">
      <w:pPr>
        <w:pStyle w:val="Bullet1"/>
      </w:pPr>
      <w:r w:rsidRPr="00BD6CBF">
        <w:t xml:space="preserve">setting up </w:t>
      </w:r>
      <w:r w:rsidRPr="00DE5892">
        <w:rPr>
          <w:lang w:val="mi-NZ"/>
        </w:rPr>
        <w:t>Whaikaha</w:t>
      </w:r>
      <w:r w:rsidRPr="00BD6CBF">
        <w:t xml:space="preserve"> – Ministry of Disabled People</w:t>
      </w:r>
    </w:p>
    <w:p w14:paraId="24BFAD88" w14:textId="77777777" w:rsidR="00BD6CBF" w:rsidRPr="00BD6CBF" w:rsidRDefault="00BD6CBF" w:rsidP="00BD6CBF">
      <w:pPr>
        <w:pStyle w:val="Bullet1"/>
      </w:pPr>
      <w:r w:rsidRPr="00BD6CBF">
        <w:t>our response to the evolving COVID-19 pandemic</w:t>
      </w:r>
    </w:p>
    <w:p w14:paraId="6870F167" w14:textId="77777777" w:rsidR="00BD6CBF" w:rsidRPr="00BD6CBF" w:rsidRDefault="00BD6CBF" w:rsidP="00BD6CBF">
      <w:pPr>
        <w:pStyle w:val="Bullet1"/>
      </w:pPr>
      <w:r w:rsidRPr="00BD6CBF">
        <w:t>our record results getting people into work</w:t>
      </w:r>
    </w:p>
    <w:p w14:paraId="4FE9E2B2" w14:textId="77777777" w:rsidR="00BD6CBF" w:rsidRPr="00BD6CBF" w:rsidRDefault="00BD6CBF" w:rsidP="00BD6CBF">
      <w:pPr>
        <w:pStyle w:val="Bullet1"/>
      </w:pPr>
      <w:r w:rsidRPr="00BD6CBF">
        <w:t>being able to build on the strength of our partnerships</w:t>
      </w:r>
    </w:p>
    <w:p w14:paraId="5AAA9E2E" w14:textId="77777777" w:rsidR="00BD6CBF" w:rsidRPr="00BD6CBF" w:rsidRDefault="00BD6CBF" w:rsidP="00BD6CBF">
      <w:pPr>
        <w:pStyle w:val="Bullet1"/>
      </w:pPr>
      <w:r w:rsidRPr="00BD6CBF">
        <w:t xml:space="preserve">reaching a major milestone with our </w:t>
      </w:r>
      <w:r w:rsidRPr="00DE5892">
        <w:rPr>
          <w:lang w:val="mi-NZ"/>
        </w:rPr>
        <w:t>Te Pae Tawhiti</w:t>
      </w:r>
      <w:r w:rsidRPr="00BD6CBF">
        <w:t xml:space="preserve"> programme.</w:t>
      </w:r>
    </w:p>
    <w:p w14:paraId="5E832A8B" w14:textId="77777777" w:rsidR="00BD6CBF" w:rsidRPr="00BD6CBF" w:rsidRDefault="00BD6CBF" w:rsidP="00EE524A">
      <w:pPr>
        <w:pStyle w:val="Heading4"/>
      </w:pPr>
      <w:r w:rsidRPr="00DE5892">
        <w:rPr>
          <w:lang w:val="mi-NZ"/>
        </w:rPr>
        <w:t>Whaikaha</w:t>
      </w:r>
      <w:r w:rsidRPr="00BD6CBF">
        <w:t xml:space="preserve"> – Ministry of Disabled People</w:t>
      </w:r>
    </w:p>
    <w:p w14:paraId="6903FC8C" w14:textId="77777777" w:rsidR="00BD6CBF" w:rsidRPr="00BD6CBF" w:rsidRDefault="00BD6CBF" w:rsidP="00BD6CBF">
      <w:r w:rsidRPr="00BD6CBF">
        <w:t xml:space="preserve">It is a privilege for MSD to be the host agency of </w:t>
      </w:r>
      <w:r w:rsidRPr="00DE5892">
        <w:rPr>
          <w:lang w:val="mi-NZ"/>
        </w:rPr>
        <w:t>Whaikaha</w:t>
      </w:r>
      <w:r w:rsidRPr="00BD6CBF">
        <w:t xml:space="preserve"> – Ministry of Disabled People. </w:t>
      </w:r>
      <w:r w:rsidRPr="00DE5892">
        <w:rPr>
          <w:lang w:val="mi-NZ"/>
        </w:rPr>
        <w:t>Whaikaha</w:t>
      </w:r>
      <w:r w:rsidRPr="00BD6CBF">
        <w:t xml:space="preserve"> was established on 1 July 2022 and represents a significant shift in how government works with, and for, disabled people. The launch was the culmination of a huge amount of work to set up the Ministry and </w:t>
      </w:r>
      <w:r w:rsidRPr="00BD6CBF">
        <w:lastRenderedPageBreak/>
        <w:t xml:space="preserve">was an emotional day, especially for those who had advocated for its creation for many years. </w:t>
      </w:r>
      <w:r w:rsidRPr="00DE5892">
        <w:rPr>
          <w:lang w:val="mi-NZ"/>
        </w:rPr>
        <w:t>Whaikaha</w:t>
      </w:r>
      <w:r w:rsidRPr="00BD6CBF">
        <w:t xml:space="preserve"> has its own Chief Executive, the first appointment of a disabled person as a public service Chief Executive.</w:t>
      </w:r>
    </w:p>
    <w:p w14:paraId="58FC6FD5" w14:textId="77777777" w:rsidR="00BD6CBF" w:rsidRPr="00BD6CBF" w:rsidRDefault="00BD6CBF" w:rsidP="00EE524A">
      <w:pPr>
        <w:pStyle w:val="Heading4"/>
      </w:pPr>
      <w:r w:rsidRPr="00BD6CBF">
        <w:t>Doing our bit for the COVID-19 response</w:t>
      </w:r>
    </w:p>
    <w:p w14:paraId="675B2A93" w14:textId="77777777" w:rsidR="00BD6CBF" w:rsidRPr="00BD6CBF" w:rsidRDefault="00BD6CBF" w:rsidP="00BD6CBF">
      <w:r w:rsidRPr="00BD6CBF">
        <w:t>The COVID-19 pandemic continues to impact the lives of New Zealanders, as does the subsequent rise in the cost of living. We have seen, and responded to, an increase in the demand for social support.</w:t>
      </w:r>
    </w:p>
    <w:p w14:paraId="632A9EB6" w14:textId="77777777" w:rsidR="00BD6CBF" w:rsidRPr="00BD6CBF" w:rsidRDefault="00BD6CBF" w:rsidP="00BD6CBF">
      <w:r w:rsidRPr="00BD6CBF">
        <w:t xml:space="preserve">As well as Wage Subsidies and the Leave Support Scheme, we alongside others led the Care in the Community welfare response, which helped </w:t>
      </w:r>
      <w:r w:rsidRPr="00DE5892">
        <w:rPr>
          <w:lang w:val="mi-NZ"/>
        </w:rPr>
        <w:t>whānau</w:t>
      </w:r>
      <w:r w:rsidRPr="00BD6CBF">
        <w:t xml:space="preserve"> who were isolating. Whether people needed income, emergency accommodation, assistance with food, masks, bills or medication, we were there (eg during the Omicron wave, Community Connectors supported 107,300 families who were isolating).</w:t>
      </w:r>
    </w:p>
    <w:p w14:paraId="751784E8" w14:textId="77777777" w:rsidR="00BD6CBF" w:rsidRPr="00BD6CBF" w:rsidRDefault="00BD6CBF" w:rsidP="00BD6CBF">
      <w:r w:rsidRPr="00BD6CBF">
        <w:t xml:space="preserve">We scaled our services up at pace and ensured support went to hard-to-reach communities. We made sure local organisations were ready to provide support on the ground, and we tailored that support for </w:t>
      </w:r>
      <w:r w:rsidRPr="00DE5892">
        <w:rPr>
          <w:lang w:val="mi-NZ"/>
        </w:rPr>
        <w:t>Māori</w:t>
      </w:r>
      <w:r w:rsidRPr="00BD6CBF">
        <w:t>, Pacific, ethnic and migrant communities, disabled, youth and older people.</w:t>
      </w:r>
    </w:p>
    <w:p w14:paraId="22529B7D" w14:textId="77777777" w:rsidR="00BD6CBF" w:rsidRPr="00BD6CBF" w:rsidRDefault="00BD6CBF" w:rsidP="00BD6CBF">
      <w:r w:rsidRPr="00BD6CBF">
        <w:t>More recently, we’ve been focused on the longer-term issues emerging from the pandemic, such as social isolation, reduced income, debt, and poor mental and physical health – the impact of which we will see for some time.</w:t>
      </w:r>
    </w:p>
    <w:p w14:paraId="5623D0C4" w14:textId="77777777" w:rsidR="00BD6CBF" w:rsidRPr="00BD6CBF" w:rsidRDefault="00BD6CBF" w:rsidP="00EE524A">
      <w:pPr>
        <w:pStyle w:val="Heading4"/>
      </w:pPr>
      <w:r w:rsidRPr="00BD6CBF">
        <w:t>Getting more people into jobs than ever before</w:t>
      </w:r>
    </w:p>
    <w:p w14:paraId="370CDE8C" w14:textId="77777777" w:rsidR="00BD6CBF" w:rsidRPr="00BD6CBF" w:rsidRDefault="00BD6CBF" w:rsidP="00BD6CBF">
      <w:r w:rsidRPr="00BD6CBF">
        <w:t>A relentless focus on getting people jobs has seen 226,836 clients move off benefit into work in the last two years – our highest recorded result.</w:t>
      </w:r>
    </w:p>
    <w:p w14:paraId="03C2778E" w14:textId="77777777" w:rsidR="00BD6CBF" w:rsidRPr="00BD6CBF" w:rsidRDefault="00BD6CBF" w:rsidP="00BD6CBF">
      <w:r w:rsidRPr="00BD6CBF">
        <w:t>Programmes like Flexi-wage and Apprenticeship Boost helped upskill jobseekers and encourage employers to take on new staff. Targeted campaigns around seasonal work connected students and other clients to work in the horticulture industry, while job expos held around the country saw queues around the block of people looking for work and had businesses signing up new recruits on the day.</w:t>
      </w:r>
    </w:p>
    <w:p w14:paraId="56713C21" w14:textId="77777777" w:rsidR="00BD6CBF" w:rsidRDefault="00BD6CBF" w:rsidP="00EE524A">
      <w:pPr>
        <w:pStyle w:val="Heading4"/>
      </w:pPr>
      <w:r w:rsidRPr="00DE5892">
        <w:rPr>
          <w:lang w:val="mi-NZ"/>
        </w:rPr>
        <w:t>Kotahitanga</w:t>
      </w:r>
      <w:r w:rsidRPr="00BD6CBF">
        <w:t xml:space="preserve"> </w:t>
      </w:r>
      <w:r>
        <w:t>–</w:t>
      </w:r>
      <w:r w:rsidRPr="00BD6CBF">
        <w:t xml:space="preserve"> partnering</w:t>
      </w:r>
    </w:p>
    <w:p w14:paraId="511CAB02" w14:textId="77777777" w:rsidR="00BD6CBF" w:rsidRPr="00BD6CBF" w:rsidRDefault="00BD6CBF" w:rsidP="00BD6CBF">
      <w:r w:rsidRPr="00BD6CBF">
        <w:t>This year we saw just how important the relationships and networks we have developed are. We have worked with a wide variety of individuals and organisations to focus on areas, such as:</w:t>
      </w:r>
    </w:p>
    <w:p w14:paraId="53D95094" w14:textId="77777777" w:rsidR="00BD6CBF" w:rsidRPr="00BD6CBF" w:rsidRDefault="00BD6CBF" w:rsidP="00BD6CBF">
      <w:pPr>
        <w:pStyle w:val="Bullet1"/>
      </w:pPr>
      <w:r w:rsidRPr="00BD6CBF">
        <w:t>reducing family and sexual violence</w:t>
      </w:r>
    </w:p>
    <w:p w14:paraId="52F52A56" w14:textId="77777777" w:rsidR="00BD6CBF" w:rsidRPr="00BD6CBF" w:rsidRDefault="00BD6CBF" w:rsidP="00BD6CBF">
      <w:pPr>
        <w:pStyle w:val="Bullet1"/>
      </w:pPr>
      <w:r w:rsidRPr="00BD6CBF">
        <w:t>strengthening social cohesion, following the 2019 terrorist attack on the Christchurch mosques</w:t>
      </w:r>
    </w:p>
    <w:p w14:paraId="226606A7" w14:textId="77777777" w:rsidR="00BD6CBF" w:rsidRPr="00BD6CBF" w:rsidRDefault="00BD6CBF" w:rsidP="00BD6CBF">
      <w:pPr>
        <w:pStyle w:val="Bullet1"/>
      </w:pPr>
      <w:r w:rsidRPr="00BD6CBF">
        <w:t>responding to civil defence emergencies, in particular the floods experienced up and down the country</w:t>
      </w:r>
    </w:p>
    <w:p w14:paraId="3F19ED3D" w14:textId="77777777" w:rsidR="00BD6CBF" w:rsidRPr="00BD6CBF" w:rsidRDefault="00BD6CBF" w:rsidP="00BD6CBF">
      <w:pPr>
        <w:pStyle w:val="Bullet1"/>
      </w:pPr>
      <w:r w:rsidRPr="00BD6CBF">
        <w:lastRenderedPageBreak/>
        <w:t>social sector commissioning on behalf of the public service</w:t>
      </w:r>
    </w:p>
    <w:p w14:paraId="60AF1C51" w14:textId="77777777" w:rsidR="00BD6CBF" w:rsidRPr="00BD6CBF" w:rsidRDefault="00BD6CBF" w:rsidP="00BD6CBF">
      <w:pPr>
        <w:pStyle w:val="Bullet1"/>
      </w:pPr>
      <w:r w:rsidRPr="00BD6CBF">
        <w:t>progressing youth development.</w:t>
      </w:r>
    </w:p>
    <w:p w14:paraId="38DE437E" w14:textId="77777777" w:rsidR="00BD6CBF" w:rsidRPr="00BD6CBF" w:rsidRDefault="00BD6CBF" w:rsidP="00BD6CBF">
      <w:r w:rsidRPr="00BD6CBF">
        <w:t>The work of the Regional Public Service Commissioners came to the fore, joining up the work of the public service in the regions. MSD has 12 senior leaders in these roles.</w:t>
      </w:r>
    </w:p>
    <w:p w14:paraId="41CFFA1C" w14:textId="77777777" w:rsidR="00BD6CBF" w:rsidRPr="00BD6CBF" w:rsidRDefault="00BD6CBF" w:rsidP="00BD6CBF">
      <w:r w:rsidRPr="00BD6CBF">
        <w:t>Our Crown-</w:t>
      </w:r>
      <w:r w:rsidRPr="00DE5892">
        <w:rPr>
          <w:lang w:val="mi-NZ"/>
        </w:rPr>
        <w:t>Māori</w:t>
      </w:r>
      <w:r w:rsidRPr="00BD6CBF">
        <w:t xml:space="preserve"> partnerships go from strength to strength with the </w:t>
      </w:r>
      <w:r w:rsidRPr="00DE5892">
        <w:rPr>
          <w:lang w:val="mi-NZ"/>
        </w:rPr>
        <w:t>Te Hiku o te Ika</w:t>
      </w:r>
      <w:r w:rsidRPr="00BD6CBF">
        <w:t xml:space="preserve"> Social Accord, </w:t>
      </w:r>
      <w:r w:rsidRPr="00DE5892">
        <w:rPr>
          <w:lang w:val="mi-NZ"/>
        </w:rPr>
        <w:t>Koiora</w:t>
      </w:r>
      <w:r w:rsidRPr="00BD6CBF">
        <w:t xml:space="preserve"> Accord with </w:t>
      </w:r>
      <w:r w:rsidRPr="00DE5892">
        <w:rPr>
          <w:lang w:val="mi-NZ"/>
        </w:rPr>
        <w:t>Waikato-Tainui</w:t>
      </w:r>
      <w:r w:rsidRPr="00BD6CBF">
        <w:t xml:space="preserve">, the </w:t>
      </w:r>
      <w:r w:rsidRPr="00DE5892">
        <w:rPr>
          <w:lang w:val="mi-NZ"/>
        </w:rPr>
        <w:t>Ngāi Tūhoe</w:t>
      </w:r>
      <w:r w:rsidRPr="00BD6CBF">
        <w:t xml:space="preserve"> Service Management Plan and other iwi relationship agreements. We have staff embedded at </w:t>
      </w:r>
      <w:r w:rsidRPr="000F7E4F">
        <w:rPr>
          <w:lang w:val="mi-NZ"/>
        </w:rPr>
        <w:t>marae</w:t>
      </w:r>
      <w:r w:rsidRPr="00BD6CBF">
        <w:t xml:space="preserve">, bringing support to </w:t>
      </w:r>
      <w:r w:rsidRPr="000F7E4F">
        <w:rPr>
          <w:lang w:val="mi-NZ"/>
        </w:rPr>
        <w:t>Māori whānau</w:t>
      </w:r>
      <w:r w:rsidRPr="00BD6CBF">
        <w:t xml:space="preserve"> in an environment they are comfortable in.</w:t>
      </w:r>
    </w:p>
    <w:p w14:paraId="62BAECFF" w14:textId="77777777" w:rsidR="00BD6CBF" w:rsidRPr="00BD6CBF" w:rsidRDefault="00BD6CBF" w:rsidP="00BD6CBF">
      <w:r w:rsidRPr="00BD6CBF">
        <w:t>Access to affordable housing remains an issue. Our priority is to make sure people have somewhere to stay and we work closely with local councils, city missions and other agencies to make this possible.</w:t>
      </w:r>
    </w:p>
    <w:p w14:paraId="6F7E9F84" w14:textId="77777777" w:rsidR="00BD6CBF" w:rsidRPr="00DE5892" w:rsidRDefault="00BD6CBF" w:rsidP="00EE524A">
      <w:pPr>
        <w:pStyle w:val="Heading4"/>
        <w:rPr>
          <w:lang w:val="mi-NZ"/>
        </w:rPr>
      </w:pPr>
      <w:r w:rsidRPr="00DE5892">
        <w:rPr>
          <w:lang w:val="mi-NZ"/>
        </w:rPr>
        <w:t>Te Pae Tawhiti</w:t>
      </w:r>
    </w:p>
    <w:p w14:paraId="67BA85C2" w14:textId="48027068" w:rsidR="00BD6CBF" w:rsidRPr="00BD6CBF" w:rsidRDefault="00BD6CBF" w:rsidP="00BD6CBF">
      <w:r w:rsidRPr="00BD6CBF">
        <w:t xml:space="preserve">I am proud of the contribution MSD has made to the lives of New Zealanders over the last 12 months. What we achieved is made all the more remarkable when you consider it was done using outdated technology and systems. This is why one of my highlights is Cabinet signing-off </w:t>
      </w:r>
      <w:r w:rsidRPr="000F7E4F">
        <w:rPr>
          <w:lang w:val="mi-NZ"/>
        </w:rPr>
        <w:t>Te Pae Tawhiti</w:t>
      </w:r>
      <w:r w:rsidRPr="00BD6CBF">
        <w:t xml:space="preserve"> – our transformation programme that will modernise our systems and the way we operate at MSD.</w:t>
      </w:r>
    </w:p>
    <w:p w14:paraId="17156F07" w14:textId="3A726196" w:rsidR="00BD6CBF" w:rsidRPr="00BD6CBF" w:rsidRDefault="00BD6CBF" w:rsidP="00BD6CBF">
      <w:r w:rsidRPr="00BD6CBF">
        <w:t>At no point, amid all this activity, did we lose sight of the important day-to-day work, income support, ensuring students get their loans and allowances, annual adjustments, increases</w:t>
      </w:r>
      <w:r w:rsidR="00EE524A">
        <w:t xml:space="preserve"> </w:t>
      </w:r>
      <w:r w:rsidRPr="00BD6CBF">
        <w:t>in benefits, winter energy payments, managing the Public Housing Register, hosting the Independent Children’s Monitor, managing historic claims, youth development and valuing the contribution of older people through the Better Later Life strategy.</w:t>
      </w:r>
    </w:p>
    <w:p w14:paraId="2C510ED3" w14:textId="77777777" w:rsidR="00BD6CBF" w:rsidRPr="00BD6CBF" w:rsidRDefault="00BD6CBF" w:rsidP="00BD6CBF">
      <w:r w:rsidRPr="00BD6CBF">
        <w:t>Having seen this organisation from every angle, I am full of admiration for what our people do. Of course, there is always more to do, but we have a great team in place keen to do more and make that difference in people’s lives.</w:t>
      </w:r>
    </w:p>
    <w:p w14:paraId="3CB27FBB" w14:textId="60552934" w:rsidR="00BD6CBF" w:rsidRPr="00BD6CBF" w:rsidRDefault="00BD6CBF" w:rsidP="00BD6CBF">
      <w:r w:rsidRPr="00BD6CBF">
        <w:t xml:space="preserve">COVID-19 may not be gone or forgotten, but we’re enjoying being able to open our sites back up, do more face-to-face and reconnect </w:t>
      </w:r>
      <w:r w:rsidR="000F7E4F" w:rsidRPr="00BD6CBF">
        <w:t>–</w:t>
      </w:r>
      <w:r w:rsidRPr="00BD6CBF">
        <w:t xml:space="preserve"> with clients, partners, each other, as well as with who we are and what we do.</w:t>
      </w:r>
    </w:p>
    <w:p w14:paraId="26DB02ED" w14:textId="55348D34" w:rsidR="00BD6CBF" w:rsidRPr="00BD6CBF" w:rsidRDefault="00EE524A" w:rsidP="00BD6CBF">
      <w:r>
        <w:rPr>
          <w:noProof/>
        </w:rPr>
        <w:drawing>
          <wp:inline distT="0" distB="0" distL="0" distR="0" wp14:anchorId="5040EB15" wp14:editId="1087F2FB">
            <wp:extent cx="1400149" cy="700087"/>
            <wp:effectExtent l="0" t="0" r="0" b="5080"/>
            <wp:docPr id="3" name="image3.png" descr="Signature of Debbie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Signature of Debbie Powe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00149" cy="700087"/>
                    </a:xfrm>
                    <a:prstGeom prst="rect">
                      <a:avLst/>
                    </a:prstGeom>
                  </pic:spPr>
                </pic:pic>
              </a:graphicData>
            </a:graphic>
          </wp:inline>
        </w:drawing>
      </w:r>
    </w:p>
    <w:p w14:paraId="3B0BF758" w14:textId="6916507D" w:rsidR="00BD6CBF" w:rsidRPr="00BD6CBF" w:rsidRDefault="00BD6CBF" w:rsidP="00BD6CBF">
      <w:r w:rsidRPr="00BD6CBF">
        <w:t>Debbie Power</w:t>
      </w:r>
    </w:p>
    <w:p w14:paraId="551CBC1D" w14:textId="77777777" w:rsidR="00BD6CBF" w:rsidRPr="00BD6CBF" w:rsidRDefault="00BD6CBF" w:rsidP="00BD6CBF">
      <w:r w:rsidRPr="00BD6CBF">
        <w:t>Secretary for Social Development</w:t>
      </w:r>
    </w:p>
    <w:p w14:paraId="4C3B0A91" w14:textId="6D2714AB" w:rsidR="00312697" w:rsidRDefault="00BD6CBF" w:rsidP="00B812CC">
      <w:r w:rsidRPr="00BD6CBF">
        <w:t>Chief Executive, Ministry of Social Development</w:t>
      </w:r>
    </w:p>
    <w:p w14:paraId="10112ECD" w14:textId="77777777" w:rsidR="00312697" w:rsidRDefault="00312697" w:rsidP="00B812CC">
      <w:pPr>
        <w:sectPr w:rsidR="00312697" w:rsidSect="006208A1">
          <w:footerReference w:type="even" r:id="rId21"/>
          <w:footerReference w:type="default" r:id="rId22"/>
          <w:pgSz w:w="11906" w:h="16838"/>
          <w:pgMar w:top="1440" w:right="1440" w:bottom="1134" w:left="1440" w:header="708" w:footer="557" w:gutter="0"/>
          <w:pgNumType w:start="4"/>
          <w:cols w:space="708"/>
          <w:docGrid w:linePitch="360"/>
        </w:sectPr>
      </w:pPr>
    </w:p>
    <w:p w14:paraId="7E3D24F1" w14:textId="2C152914" w:rsidR="00EC2CE7" w:rsidRDefault="00BD6CBF" w:rsidP="00B812CC">
      <w:pPr>
        <w:pStyle w:val="Heading1"/>
      </w:pPr>
      <w:bookmarkStart w:id="9" w:name="_Toc116462339"/>
      <w:r>
        <w:lastRenderedPageBreak/>
        <w:t>Executive summary</w:t>
      </w:r>
      <w:bookmarkEnd w:id="9"/>
    </w:p>
    <w:p w14:paraId="42D59F29" w14:textId="1AEB9778" w:rsidR="00BD6CBF" w:rsidRPr="00BD6CBF" w:rsidRDefault="00BD6CBF" w:rsidP="00BD6CBF">
      <w:r w:rsidRPr="00BD6CBF">
        <w:t>Our work at MSD, together with that of our social sector partners, is essential to achieving a sustainable and prosperous future in which all New Zealanders are able to take responsibility for themselves, be successful in their lives and participate in their communities.</w:t>
      </w:r>
    </w:p>
    <w:p w14:paraId="5B1E8DBD" w14:textId="649BAF26" w:rsidR="00BD6CBF" w:rsidRDefault="00BD6CBF" w:rsidP="00BD6CBF"/>
    <w:p w14:paraId="513BA9D6" w14:textId="77777777" w:rsidR="00BD6CBF" w:rsidRPr="00C677B2" w:rsidRDefault="00BD6CBF" w:rsidP="00C677B2">
      <w:pPr>
        <w:pStyle w:val="Heading2"/>
      </w:pPr>
      <w:bookmarkStart w:id="10" w:name="_Toc116462340"/>
      <w:r w:rsidRPr="00C677B2">
        <w:t>A year of reconnecting New Zealanders and leading the COVID-19 welfare response</w:t>
      </w:r>
      <w:bookmarkEnd w:id="10"/>
    </w:p>
    <w:p w14:paraId="78EF670E" w14:textId="77777777" w:rsidR="00BD6CBF" w:rsidRPr="00BD6CBF" w:rsidRDefault="00BD6CBF" w:rsidP="00C677B2">
      <w:r w:rsidRPr="00BD6CBF">
        <w:t>This year, we supported New Zealanders to reconnect or stay connected with the important parts of their everyday lives such as their community, wellbeing, employment and studies, while ensuring that their immediate housing and income needs were addressed.</w:t>
      </w:r>
    </w:p>
    <w:p w14:paraId="13518F02" w14:textId="77777777" w:rsidR="00BD6CBF" w:rsidRPr="00BD6CBF" w:rsidRDefault="00BD6CBF" w:rsidP="00C677B2">
      <w:r w:rsidRPr="00BD6CBF">
        <w:t xml:space="preserve">We recognise that the impacts of COVID-19 made it a challenging year for many. Our services played a key role in helping many people overcome these challenges. During the year, we continued to work with others to lead and deliver the Care in the Community (CiC) welfare response. We also made more fundamental changes to the way we work and reached a key milestone for </w:t>
      </w:r>
      <w:r w:rsidRPr="000F7E4F">
        <w:rPr>
          <w:lang w:val="mi-NZ"/>
        </w:rPr>
        <w:t>Te Pae Tawhiti</w:t>
      </w:r>
      <w:r w:rsidRPr="00BD6CBF">
        <w:t>, our transformation programme.</w:t>
      </w:r>
    </w:p>
    <w:p w14:paraId="3AE7EA36" w14:textId="77777777" w:rsidR="00BD6CBF" w:rsidRPr="00BD6CBF" w:rsidRDefault="00BD6CBF" w:rsidP="00C677B2">
      <w:r w:rsidRPr="00BD6CBF">
        <w:t>Some of our key highlights for 2021/22 include:</w:t>
      </w:r>
    </w:p>
    <w:p w14:paraId="6E10F314" w14:textId="77777777" w:rsidR="00BD6CBF" w:rsidRPr="00C677B2" w:rsidRDefault="00BD6CBF" w:rsidP="00C677B2">
      <w:pPr>
        <w:pStyle w:val="Bullet1"/>
      </w:pPr>
      <w:r w:rsidRPr="00C677B2">
        <w:t>having another year of record work-exit numbers with over 113,400 people moving off a benefit into work</w:t>
      </w:r>
    </w:p>
    <w:p w14:paraId="1B4A41D3" w14:textId="77777777" w:rsidR="00BD6CBF" w:rsidRPr="00C677B2" w:rsidRDefault="00BD6CBF" w:rsidP="00C677B2">
      <w:pPr>
        <w:pStyle w:val="Bullet1"/>
      </w:pPr>
      <w:r w:rsidRPr="00C677B2">
        <w:t>strengthening our partnerships with community providers and partners to deliver essential services, and investing in 500 Community Connectors as part of our CiC welfare response to support people self-isolating or at home due to COVID-19</w:t>
      </w:r>
    </w:p>
    <w:p w14:paraId="0ACC035D" w14:textId="77777777" w:rsidR="00BD6CBF" w:rsidRPr="00C677B2" w:rsidRDefault="00BD6CBF" w:rsidP="00C677B2">
      <w:pPr>
        <w:pStyle w:val="Bullet1"/>
      </w:pPr>
      <w:r w:rsidRPr="00C677B2">
        <w:t>implementing increases to main benefit rates and adjustments to income support policy and criteria, to make it easier for income assistance to be accessed by people at the right time</w:t>
      </w:r>
    </w:p>
    <w:p w14:paraId="4FA9B3BE" w14:textId="77777777" w:rsidR="00BD6CBF" w:rsidRPr="00C677B2" w:rsidRDefault="00BD6CBF" w:rsidP="00C677B2">
      <w:pPr>
        <w:pStyle w:val="Bullet1"/>
      </w:pPr>
      <w:r w:rsidRPr="00C677B2">
        <w:t>providing nearly $4.8 billion in Wage Subsidy Scheme August 2021 payments, in addition to other economic supports, to help soften the financial impacts of COVID-19</w:t>
      </w:r>
    </w:p>
    <w:p w14:paraId="3C615943" w14:textId="77777777" w:rsidR="00BD6CBF" w:rsidRPr="00C677B2" w:rsidRDefault="00BD6CBF" w:rsidP="00C677B2">
      <w:pPr>
        <w:pStyle w:val="Bullet1"/>
      </w:pPr>
      <w:r w:rsidRPr="00C677B2">
        <w:t>working with people in housing distress to contribute towards the drop of Emergency Housing Special Needs Grants (EH SNGs) over the last 6 months (from 6,225 in November 2021 to just over 5,000 distinct recipients by June 2022), demonstrating our commitment to work with others to support people into safe and sustainable housing solutions</w:t>
      </w:r>
    </w:p>
    <w:p w14:paraId="7DAA45FD" w14:textId="77777777" w:rsidR="00BD6CBF" w:rsidRPr="00C677B2" w:rsidRDefault="00BD6CBF" w:rsidP="00C677B2">
      <w:pPr>
        <w:pStyle w:val="Bullet1"/>
      </w:pPr>
      <w:r w:rsidRPr="00C677B2">
        <w:lastRenderedPageBreak/>
        <w:t xml:space="preserve">working collaboratively to establish </w:t>
      </w:r>
      <w:r w:rsidRPr="000F7E4F">
        <w:rPr>
          <w:lang w:val="mi-NZ"/>
        </w:rPr>
        <w:t>Whaikaha</w:t>
      </w:r>
      <w:r w:rsidRPr="00C677B2">
        <w:t xml:space="preserve"> – Ministry of Disabled People, as part of our role in progressing Disability System Transformation</w:t>
      </w:r>
    </w:p>
    <w:p w14:paraId="084BF546" w14:textId="77777777" w:rsidR="00BD6CBF" w:rsidRPr="00C677B2" w:rsidRDefault="00BD6CBF" w:rsidP="00C677B2">
      <w:pPr>
        <w:pStyle w:val="Bullet1"/>
      </w:pPr>
      <w:r w:rsidRPr="00C677B2">
        <w:t xml:space="preserve">progressing our Programme Business Case for </w:t>
      </w:r>
      <w:r w:rsidRPr="000F7E4F">
        <w:rPr>
          <w:lang w:val="mi-NZ"/>
        </w:rPr>
        <w:t>Te Pae Tawhiti</w:t>
      </w:r>
      <w:r w:rsidRPr="00C677B2">
        <w:t xml:space="preserve"> (the Programme), which will enable the transformation of our operating and service models to help us achieve positive outcomes for New Zealanders.</w:t>
      </w:r>
    </w:p>
    <w:p w14:paraId="1F9076AF" w14:textId="6AB4DC4C" w:rsidR="00BD6CBF" w:rsidRDefault="00BD6CBF" w:rsidP="00BD6CBF"/>
    <w:p w14:paraId="3774367D" w14:textId="67C78CF7" w:rsidR="00BD6CBF" w:rsidRDefault="00C677B2" w:rsidP="00C677B2">
      <w:pPr>
        <w:pStyle w:val="Heading2"/>
      </w:pPr>
      <w:bookmarkStart w:id="11" w:name="_Toc116462341"/>
      <w:r w:rsidRPr="00C677B2">
        <w:t>Progressing our strategic direction</w:t>
      </w:r>
      <w:bookmarkEnd w:id="11"/>
    </w:p>
    <w:p w14:paraId="145B5B7A" w14:textId="77777777" w:rsidR="00C677B2" w:rsidRPr="00C677B2" w:rsidRDefault="00C677B2" w:rsidP="00C677B2">
      <w:r w:rsidRPr="00C677B2">
        <w:t xml:space="preserve">Our strategic direction set out in </w:t>
      </w:r>
      <w:r w:rsidRPr="000F7E4F">
        <w:rPr>
          <w:lang w:val="mi-NZ"/>
        </w:rPr>
        <w:t>Te Pae Tawhiti</w:t>
      </w:r>
      <w:r w:rsidRPr="00C677B2">
        <w:t xml:space="preserve"> provides a strong and relevant guide for change in the way we work and work with others to achieve our outcomes for New Zealanders.</w:t>
      </w:r>
    </w:p>
    <w:p w14:paraId="7C257B3D" w14:textId="7227CB11" w:rsidR="00C677B2" w:rsidRDefault="00C677B2" w:rsidP="00C677B2">
      <w:r w:rsidRPr="00C677B2">
        <w:t>Our work towards achieving our three outcomes in 2021/22 included:</w:t>
      </w:r>
    </w:p>
    <w:p w14:paraId="5028BF3B" w14:textId="23E68D42" w:rsidR="00C677B2" w:rsidRPr="00C06A39" w:rsidRDefault="00C677B2" w:rsidP="00C06A39">
      <w:pPr>
        <w:pStyle w:val="Heading3"/>
      </w:pPr>
      <w:bookmarkStart w:id="12" w:name="_Toc116462342"/>
      <w:r w:rsidRPr="00C06A39">
        <w:t>Outcome: New Zealanders get the support they require</w:t>
      </w:r>
      <w:bookmarkEnd w:id="12"/>
    </w:p>
    <w:p w14:paraId="12517C74" w14:textId="545A9749" w:rsidR="00C677B2" w:rsidRPr="00C677B2" w:rsidRDefault="00406740" w:rsidP="00C677B2">
      <w:pPr>
        <w:pStyle w:val="Bullet1"/>
      </w:pPr>
      <w:r>
        <w:t>I</w:t>
      </w:r>
      <w:r w:rsidR="00C677B2" w:rsidRPr="00C677B2">
        <w:t>mplementing policy changes to increase the amount of income support available to people, such as to main benefit rates and hardship assistance</w:t>
      </w:r>
    </w:p>
    <w:p w14:paraId="5B202AFB" w14:textId="42227767" w:rsidR="00C677B2" w:rsidRPr="00C677B2" w:rsidRDefault="00406740" w:rsidP="00C677B2">
      <w:pPr>
        <w:pStyle w:val="Bullet1"/>
      </w:pPr>
      <w:r>
        <w:t>I</w:t>
      </w:r>
      <w:r w:rsidR="00C677B2" w:rsidRPr="00C677B2">
        <w:t>mplementing a range of policy changes to help make income support easier to access, such as removing the Subsequent Child Policy</w:t>
      </w:r>
    </w:p>
    <w:p w14:paraId="1E244C44" w14:textId="4DF876D7" w:rsidR="00C677B2" w:rsidRPr="00C677B2" w:rsidRDefault="00406740" w:rsidP="00C677B2">
      <w:pPr>
        <w:pStyle w:val="Bullet1"/>
      </w:pPr>
      <w:r>
        <w:t>P</w:t>
      </w:r>
      <w:r w:rsidR="00C677B2" w:rsidRPr="00C677B2">
        <w:t>roviding nearly $4.8 billion in Wage Subsidy Scheme August 2021 payments, along with other economic supports,</w:t>
      </w:r>
      <w:r w:rsidR="00EE524A">
        <w:t xml:space="preserve"> </w:t>
      </w:r>
      <w:r w:rsidR="00C677B2" w:rsidRPr="00C677B2">
        <w:t>to help soften the financial impacts of COVID-19</w:t>
      </w:r>
    </w:p>
    <w:p w14:paraId="718E7D2E" w14:textId="5BF86C35" w:rsidR="00C677B2" w:rsidRPr="00C677B2" w:rsidRDefault="00406740" w:rsidP="00C677B2">
      <w:pPr>
        <w:pStyle w:val="Bullet1"/>
      </w:pPr>
      <w:r>
        <w:t>P</w:t>
      </w:r>
      <w:r w:rsidR="00C677B2" w:rsidRPr="00C677B2">
        <w:t>roviding the Ready-to-Rent Programme, Housing Navigators, Intensive Case Management and housing brokers to help people with the support, skills and knowledge they need to acquire and successfully maintain a tenancy</w:t>
      </w:r>
    </w:p>
    <w:p w14:paraId="02653B8F" w14:textId="398335A6" w:rsidR="00C677B2" w:rsidRPr="00C677B2" w:rsidRDefault="00406740" w:rsidP="00C677B2">
      <w:pPr>
        <w:pStyle w:val="Bullet1"/>
      </w:pPr>
      <w:r>
        <w:t>P</w:t>
      </w:r>
      <w:r w:rsidR="00C677B2" w:rsidRPr="00C677B2">
        <w:t>roviding $1.8 million through the Flexifund to support the education and wellbeing of children in Emergency Housing</w:t>
      </w:r>
    </w:p>
    <w:p w14:paraId="6C393748" w14:textId="23B37EAA" w:rsidR="00C677B2" w:rsidRPr="00C677B2" w:rsidRDefault="00406740" w:rsidP="00C677B2">
      <w:pPr>
        <w:pStyle w:val="Bullet1"/>
      </w:pPr>
      <w:r>
        <w:t>I</w:t>
      </w:r>
      <w:r w:rsidR="00C677B2" w:rsidRPr="00C677B2">
        <w:t>mproving debt management processes for our clients.</w:t>
      </w:r>
    </w:p>
    <w:p w14:paraId="1273F807" w14:textId="660585B5" w:rsidR="00C677B2" w:rsidRPr="00C06A39" w:rsidRDefault="00C677B2" w:rsidP="00C06A39">
      <w:pPr>
        <w:pStyle w:val="Heading3"/>
      </w:pPr>
      <w:bookmarkStart w:id="13" w:name="_Toc116462343"/>
      <w:r w:rsidRPr="00C06A39">
        <w:t>Outcome: New Zealanders are resilient and live in inclusive and supportive communities</w:t>
      </w:r>
      <w:bookmarkEnd w:id="13"/>
    </w:p>
    <w:p w14:paraId="6241D065" w14:textId="354D6027" w:rsidR="00C677B2" w:rsidRPr="0080656B" w:rsidRDefault="00406740" w:rsidP="0080656B">
      <w:pPr>
        <w:pStyle w:val="Bullet1"/>
      </w:pPr>
      <w:r>
        <w:t>I</w:t>
      </w:r>
      <w:r w:rsidR="00C677B2" w:rsidRPr="0080656B">
        <w:t>nvesting in 500 Community Connectors and leading the cross-sector CiC welfare response to ensure people were</w:t>
      </w:r>
      <w:r w:rsidR="00EE524A">
        <w:t xml:space="preserve"> </w:t>
      </w:r>
      <w:r w:rsidR="00C677B2" w:rsidRPr="0080656B">
        <w:t>supported and remained connected with their communities while isolating at home due to COVID-19</w:t>
      </w:r>
    </w:p>
    <w:p w14:paraId="11E498AC" w14:textId="502670EF" w:rsidR="00C677B2" w:rsidRPr="0080656B" w:rsidRDefault="00406740" w:rsidP="0080656B">
      <w:pPr>
        <w:pStyle w:val="Bullet1"/>
      </w:pPr>
      <w:r>
        <w:t>S</w:t>
      </w:r>
      <w:r w:rsidR="00C677B2" w:rsidRPr="0080656B">
        <w:t>trengthening our partnerships with community providers and partners to deliver essential services</w:t>
      </w:r>
    </w:p>
    <w:p w14:paraId="680E4DF1" w14:textId="1460F842" w:rsidR="00C677B2" w:rsidRPr="0080656B" w:rsidRDefault="00406740" w:rsidP="0080656B">
      <w:pPr>
        <w:pStyle w:val="Bullet1"/>
      </w:pPr>
      <w:r>
        <w:t>M</w:t>
      </w:r>
      <w:r w:rsidR="00C677B2" w:rsidRPr="0080656B">
        <w:t xml:space="preserve">aintaining and investing in our Crown-Treaty relationships, including </w:t>
      </w:r>
      <w:r w:rsidR="00C677B2" w:rsidRPr="000F7E4F">
        <w:rPr>
          <w:lang w:val="mi-NZ"/>
        </w:rPr>
        <w:t>Te Hiku o te Ika</w:t>
      </w:r>
      <w:r w:rsidR="00C677B2" w:rsidRPr="0080656B">
        <w:t xml:space="preserve"> and the </w:t>
      </w:r>
      <w:r w:rsidR="00C677B2" w:rsidRPr="000F7E4F">
        <w:rPr>
          <w:lang w:val="mi-NZ"/>
        </w:rPr>
        <w:t>Ngāi Tūhoe</w:t>
      </w:r>
      <w:r w:rsidR="00C677B2" w:rsidRPr="0080656B">
        <w:t xml:space="preserve"> Service Management Plan, to help improve wellbeing for </w:t>
      </w:r>
      <w:r w:rsidR="00C677B2" w:rsidRPr="000F7E4F">
        <w:rPr>
          <w:lang w:val="mi-NZ"/>
        </w:rPr>
        <w:t>Māori</w:t>
      </w:r>
    </w:p>
    <w:p w14:paraId="07D0FB1C" w14:textId="6FF718C5" w:rsidR="00C677B2" w:rsidRPr="0080656B" w:rsidRDefault="00406740" w:rsidP="0080656B">
      <w:pPr>
        <w:pStyle w:val="Bullet1"/>
      </w:pPr>
      <w:r>
        <w:lastRenderedPageBreak/>
        <w:t>C</w:t>
      </w:r>
      <w:r w:rsidR="00C677B2" w:rsidRPr="0080656B">
        <w:t xml:space="preserve">ollaborating in </w:t>
      </w:r>
      <w:r w:rsidR="00C677B2" w:rsidRPr="000F7E4F">
        <w:rPr>
          <w:lang w:val="mi-NZ"/>
        </w:rPr>
        <w:t>Te Puna Aonui</w:t>
      </w:r>
      <w:r w:rsidR="00C677B2" w:rsidRPr="0080656B">
        <w:t xml:space="preserve"> and other joint ventures to strengthen our work to keep communities safe and eliminate family violence and sexual violence</w:t>
      </w:r>
    </w:p>
    <w:p w14:paraId="773E0B81" w14:textId="059ED121" w:rsidR="00C677B2" w:rsidRPr="0080656B" w:rsidRDefault="00406740" w:rsidP="0080656B">
      <w:pPr>
        <w:pStyle w:val="Bullet1"/>
      </w:pPr>
      <w:r>
        <w:t>A</w:t>
      </w:r>
      <w:r w:rsidR="00C677B2" w:rsidRPr="0080656B">
        <w:t>ddressing historic experiences of abuse and neglect in state care</w:t>
      </w:r>
    </w:p>
    <w:p w14:paraId="224C45C2" w14:textId="28CDE7DA" w:rsidR="00C677B2" w:rsidRPr="0080656B" w:rsidRDefault="00406740" w:rsidP="0080656B">
      <w:pPr>
        <w:pStyle w:val="Bullet1"/>
      </w:pPr>
      <w:r>
        <w:t>A</w:t>
      </w:r>
      <w:r w:rsidR="00C677B2" w:rsidRPr="0080656B">
        <w:t>dvocating for the interests and wellbeing of children and young people in the state care system</w:t>
      </w:r>
    </w:p>
    <w:p w14:paraId="631CDA8C" w14:textId="1F7CFE1F" w:rsidR="00C677B2" w:rsidRPr="0080656B" w:rsidRDefault="00406740" w:rsidP="0080656B">
      <w:pPr>
        <w:pStyle w:val="Bullet1"/>
      </w:pPr>
      <w:r>
        <w:t>A</w:t>
      </w:r>
      <w:r w:rsidR="00C677B2" w:rsidRPr="0080656B">
        <w:t>dvocating for people caring for family and whānau</w:t>
      </w:r>
    </w:p>
    <w:p w14:paraId="64F91A1A" w14:textId="0765FC5E" w:rsidR="00C677B2" w:rsidRPr="0080656B" w:rsidRDefault="00406740" w:rsidP="0080656B">
      <w:pPr>
        <w:pStyle w:val="Bullet1"/>
      </w:pPr>
      <w:r>
        <w:t>I</w:t>
      </w:r>
      <w:r w:rsidR="00C677B2" w:rsidRPr="0080656B">
        <w:t>mproving social cohesion in New Zealand</w:t>
      </w:r>
    </w:p>
    <w:p w14:paraId="7CE754A1" w14:textId="0E0DD332" w:rsidR="00C677B2" w:rsidRPr="0080656B" w:rsidRDefault="00406740" w:rsidP="0080656B">
      <w:pPr>
        <w:pStyle w:val="Bullet1"/>
      </w:pPr>
      <w:r>
        <w:t>E</w:t>
      </w:r>
      <w:r w:rsidR="00C677B2" w:rsidRPr="0080656B">
        <w:t>nsuring that social services are being safely delivered to New Zealanders.</w:t>
      </w:r>
    </w:p>
    <w:p w14:paraId="5E9F2F56" w14:textId="3A43B7B5" w:rsidR="00C677B2" w:rsidRPr="00C06A39" w:rsidRDefault="00C677B2" w:rsidP="00C06A39">
      <w:pPr>
        <w:pStyle w:val="Heading3"/>
      </w:pPr>
      <w:bookmarkStart w:id="14" w:name="_Toc116462344"/>
      <w:r w:rsidRPr="00C06A39">
        <w:t>Outcome: New Zealanders participate positively in society and reach their potential</w:t>
      </w:r>
      <w:bookmarkEnd w:id="14"/>
    </w:p>
    <w:p w14:paraId="3C0F5B5E" w14:textId="19C4EFE0" w:rsidR="00C677B2" w:rsidRPr="00C677B2" w:rsidRDefault="00406740" w:rsidP="00C677B2">
      <w:pPr>
        <w:pStyle w:val="Bullet1"/>
      </w:pPr>
      <w:r>
        <w:t>S</w:t>
      </w:r>
      <w:r w:rsidR="00C677B2" w:rsidRPr="00C677B2">
        <w:t xml:space="preserve">upporting further investments in </w:t>
      </w:r>
      <w:r w:rsidR="00C677B2" w:rsidRPr="000F7E4F">
        <w:rPr>
          <w:lang w:val="mi-NZ"/>
        </w:rPr>
        <w:t>Mana</w:t>
      </w:r>
      <w:r w:rsidR="00C677B2" w:rsidRPr="00C677B2">
        <w:t xml:space="preserve"> in </w:t>
      </w:r>
      <w:r w:rsidR="00C677B2" w:rsidRPr="000F7E4F">
        <w:rPr>
          <w:lang w:val="mi-NZ"/>
        </w:rPr>
        <w:t>Mahi</w:t>
      </w:r>
      <w:r w:rsidR="00C677B2" w:rsidRPr="00C677B2">
        <w:t>, Apprenticeship Boost and other employment programmes, to help New</w:t>
      </w:r>
      <w:r w:rsidR="00EE524A">
        <w:t xml:space="preserve"> </w:t>
      </w:r>
      <w:r w:rsidR="00C677B2" w:rsidRPr="00C677B2">
        <w:t>Zealanders prepare for, secure and sustain employment</w:t>
      </w:r>
    </w:p>
    <w:p w14:paraId="343109C7" w14:textId="4CC7799B" w:rsidR="00C677B2" w:rsidRPr="00C677B2" w:rsidRDefault="00406740" w:rsidP="00C677B2">
      <w:pPr>
        <w:pStyle w:val="Bullet1"/>
      </w:pPr>
      <w:r>
        <w:t>H</w:t>
      </w:r>
      <w:r w:rsidR="00C677B2" w:rsidRPr="00C677B2">
        <w:t>aving another year of record work-exits, with over 113,400 people moving off main benefits into work</w:t>
      </w:r>
    </w:p>
    <w:p w14:paraId="5850EEF5" w14:textId="253E524F" w:rsidR="00C677B2" w:rsidRPr="00C677B2" w:rsidRDefault="00406740" w:rsidP="00C677B2">
      <w:pPr>
        <w:pStyle w:val="Bullet1"/>
      </w:pPr>
      <w:r>
        <w:t>S</w:t>
      </w:r>
      <w:r w:rsidR="00C677B2" w:rsidRPr="00C677B2">
        <w:t>upporting Building Financial Capability service providers to offer over 133,000 sessions to improve people’s financial wellbeing</w:t>
      </w:r>
    </w:p>
    <w:p w14:paraId="33EC1AC6" w14:textId="06D249F0" w:rsidR="00C677B2" w:rsidRPr="00C677B2" w:rsidRDefault="00406740" w:rsidP="00C677B2">
      <w:pPr>
        <w:pStyle w:val="Bullet1"/>
      </w:pPr>
      <w:r>
        <w:t>W</w:t>
      </w:r>
      <w:r w:rsidR="00C677B2" w:rsidRPr="00C677B2">
        <w:t xml:space="preserve">orking collaboratively to establish </w:t>
      </w:r>
      <w:r w:rsidR="00C677B2" w:rsidRPr="000F7E4F">
        <w:rPr>
          <w:lang w:val="mi-NZ"/>
        </w:rPr>
        <w:t>Whaikaha</w:t>
      </w:r>
      <w:r w:rsidR="00C677B2" w:rsidRPr="00C677B2">
        <w:t xml:space="preserve"> – Ministry of Disabled People, and investing in work to support disabled people and their whānau to be independent and create good lives for themselves</w:t>
      </w:r>
    </w:p>
    <w:p w14:paraId="03CBFBBE" w14:textId="44D1784B" w:rsidR="00C677B2" w:rsidRPr="00C677B2" w:rsidRDefault="00406740" w:rsidP="00C677B2">
      <w:pPr>
        <w:pStyle w:val="Bullet1"/>
      </w:pPr>
      <w:r>
        <w:t>P</w:t>
      </w:r>
      <w:r w:rsidR="00C677B2" w:rsidRPr="00C677B2">
        <w:t>roviding New Zealand Superannuation and Veterans’ Pensions to over 858,300 recipients, and supporting older people to maintain their independence and continue to participate positively in society</w:t>
      </w:r>
    </w:p>
    <w:p w14:paraId="1790C75B" w14:textId="3F01515E" w:rsidR="00C677B2" w:rsidRPr="00C677B2" w:rsidRDefault="00406740" w:rsidP="00C677B2">
      <w:pPr>
        <w:pStyle w:val="Bullet1"/>
      </w:pPr>
      <w:r>
        <w:t>P</w:t>
      </w:r>
      <w:r w:rsidR="00C677B2" w:rsidRPr="00C677B2">
        <w:t xml:space="preserve">roviding youth development and youth enterprise programmes and services to over 72,000 young people and providing education, employment and training opportunities like </w:t>
      </w:r>
      <w:r w:rsidR="00C677B2" w:rsidRPr="000F7E4F">
        <w:rPr>
          <w:lang w:val="mi-NZ"/>
        </w:rPr>
        <w:t>He Poutama Rangatahi</w:t>
      </w:r>
      <w:r w:rsidR="00C677B2" w:rsidRPr="00C677B2">
        <w:t xml:space="preserve"> to help young people thrive.</w:t>
      </w:r>
    </w:p>
    <w:p w14:paraId="06B98A6C" w14:textId="14478756" w:rsidR="00C677B2" w:rsidRDefault="00C677B2" w:rsidP="00C06A39">
      <w:r>
        <w:br w:type="page"/>
      </w:r>
    </w:p>
    <w:p w14:paraId="6A46834C" w14:textId="6D1A972C" w:rsidR="00C677B2" w:rsidRDefault="00C677B2" w:rsidP="00C677B2">
      <w:pPr>
        <w:pStyle w:val="Heading3"/>
      </w:pPr>
      <w:bookmarkStart w:id="15" w:name="_Toc116462345"/>
      <w:r w:rsidRPr="00C677B2">
        <w:lastRenderedPageBreak/>
        <w:t>Achieving our impact indicators and performance measures</w:t>
      </w:r>
      <w:bookmarkEnd w:id="15"/>
    </w:p>
    <w:p w14:paraId="3DD3B325" w14:textId="021965C9" w:rsidR="00C677B2" w:rsidRPr="00C677B2" w:rsidRDefault="00C677B2" w:rsidP="00C677B2">
      <w:r w:rsidRPr="00C677B2">
        <w:t>Some areas of our services and performance this year have been affected by COVID-19, which required us to pivot our programmes of work to support the most immediate needs of</w:t>
      </w:r>
      <w:r>
        <w:t xml:space="preserve"> </w:t>
      </w:r>
      <w:r w:rsidRPr="00C677B2">
        <w:t>New Zealanders. While we continue working through the impacts of COVID-19, we are committed to improving the quality and outcomes of our operations and services.</w:t>
      </w:r>
    </w:p>
    <w:p w14:paraId="6E6BE865" w14:textId="77777777" w:rsidR="00C677B2" w:rsidRDefault="00C677B2" w:rsidP="00C677B2">
      <w:pPr>
        <w:pStyle w:val="Heading4"/>
      </w:pPr>
      <w:r>
        <w:t>Impact indicators</w:t>
      </w:r>
    </w:p>
    <w:p w14:paraId="506A1060" w14:textId="2CC50698" w:rsidR="00C677B2" w:rsidRDefault="00C677B2" w:rsidP="00C677B2">
      <w:r w:rsidRPr="00C677B2">
        <w:t>We have six impact indicators that align with our strategic direction and represent the way we measure progress towards achieving our outcomes, as introduced in our Statement of Intent 2018-2022.</w:t>
      </w:r>
      <w:r>
        <w:rPr>
          <w:rStyle w:val="FootnoteReference"/>
        </w:rPr>
        <w:footnoteReference w:id="1"/>
      </w:r>
      <w:r w:rsidRPr="00C677B2">
        <w:t xml:space="preserve"> Two of the impact indicators are split into sub-indicators, taking the total number of results we report to eight.</w:t>
      </w:r>
    </w:p>
    <w:p w14:paraId="3515884F" w14:textId="40AFA11F" w:rsidR="00C677B2" w:rsidRPr="001A59E7" w:rsidRDefault="005F5063" w:rsidP="001A59E7">
      <w:r w:rsidRPr="0096276C">
        <w:t xml:space="preserve">This year, </w:t>
      </w:r>
      <w:r w:rsidRPr="005F5063">
        <w:rPr>
          <w:b/>
          <w:bCs/>
        </w:rPr>
        <w:t>four out of eight measurements showed improved results</w:t>
      </w:r>
      <w:r w:rsidRPr="0096276C">
        <w:t xml:space="preserve"> compared to results in 2020/21. Looking at results in comparison over time, </w:t>
      </w:r>
      <w:r w:rsidRPr="005F5063">
        <w:rPr>
          <w:b/>
          <w:bCs/>
        </w:rPr>
        <w:t>three indicators show trends in the desired direction</w:t>
      </w:r>
      <w:r w:rsidRPr="0096276C">
        <w:t>.</w:t>
      </w:r>
    </w:p>
    <w:p w14:paraId="401D3BEC" w14:textId="1F58CB85" w:rsidR="00C677B2" w:rsidRPr="00C677B2" w:rsidRDefault="00C677B2" w:rsidP="00C677B2">
      <w:r w:rsidRPr="00C677B2">
        <w:t xml:space="preserve">Further information on our impact indicators results for 2021/22 can be found in the </w:t>
      </w:r>
      <w:r w:rsidR="00EE524A">
        <w:t>‘</w:t>
      </w:r>
      <w:r w:rsidRPr="00C677B2">
        <w:t>Our organisational impact indicators</w:t>
      </w:r>
      <w:r w:rsidR="00EE524A">
        <w:t>’</w:t>
      </w:r>
      <w:r w:rsidRPr="00C677B2">
        <w:t xml:space="preserve"> section of this Annual Report.</w:t>
      </w:r>
    </w:p>
    <w:p w14:paraId="14D1A163" w14:textId="77777777" w:rsidR="00C677B2" w:rsidRDefault="00C677B2" w:rsidP="00C677B2">
      <w:pPr>
        <w:pStyle w:val="Heading4"/>
      </w:pPr>
      <w:r w:rsidRPr="0096276C">
        <w:t>Performance measures</w:t>
      </w:r>
    </w:p>
    <w:p w14:paraId="476A1D65" w14:textId="54F6E496" w:rsidR="00C677B2" w:rsidRPr="00C677B2" w:rsidRDefault="00C677B2" w:rsidP="00C677B2">
      <w:r w:rsidRPr="00C677B2">
        <w:t>Each year we agree with the Government on how we will use the funding approved by Parliament and how we will measure our performance of this. The performance measures and agreed standards are published in the annual Vote Social Development Estimates of Appropriations and may be amended in Vote Social Development Supplementary Estimates of</w:t>
      </w:r>
      <w:r>
        <w:t xml:space="preserve"> </w:t>
      </w:r>
      <w:r w:rsidRPr="00C677B2">
        <w:t>Appropriations during the year.</w:t>
      </w:r>
    </w:p>
    <w:p w14:paraId="54CBD028" w14:textId="108729E4" w:rsidR="0096276C" w:rsidRPr="0096276C" w:rsidRDefault="0096276C" w:rsidP="00996F36">
      <w:r w:rsidRPr="0096276C">
        <w:t xml:space="preserve">This year, we achieved </w:t>
      </w:r>
      <w:r w:rsidRPr="00920672">
        <w:rPr>
          <w:b/>
          <w:bCs/>
        </w:rPr>
        <w:t>64</w:t>
      </w:r>
      <w:r w:rsidRPr="0096276C">
        <w:t xml:space="preserve"> </w:t>
      </w:r>
      <w:r w:rsidRPr="00920672">
        <w:rPr>
          <w:b/>
          <w:bCs/>
        </w:rPr>
        <w:t>out of 77</w:t>
      </w:r>
      <w:r w:rsidRPr="0096276C">
        <w:t xml:space="preserve"> performance measures</w:t>
      </w:r>
      <w:r w:rsidR="00A57727">
        <w:t xml:space="preserve">. This equates to </w:t>
      </w:r>
      <w:r w:rsidRPr="0096276C">
        <w:t>83.1 percent compared to</w:t>
      </w:r>
      <w:r>
        <w:t xml:space="preserve"> </w:t>
      </w:r>
      <w:r w:rsidRPr="0096276C">
        <w:t>83.5 percent last year</w:t>
      </w:r>
      <w:r w:rsidR="00A57727">
        <w:t>.</w:t>
      </w:r>
      <w:r>
        <w:rPr>
          <w:rStyle w:val="FootnoteReference"/>
          <w:b/>
          <w:bCs/>
        </w:rPr>
        <w:footnoteReference w:id="2"/>
      </w:r>
    </w:p>
    <w:p w14:paraId="321EE59F" w14:textId="6E4434EE" w:rsidR="00BD6CBF" w:rsidRPr="0096276C" w:rsidRDefault="0096276C" w:rsidP="0096276C">
      <w:r w:rsidRPr="0096276C">
        <w:t xml:space="preserve">For two additional performance measures, no results were available. Further information on our performance measures results for 2021/22 can be found in the </w:t>
      </w:r>
      <w:r w:rsidR="00BC726A">
        <w:t>‘</w:t>
      </w:r>
      <w:r w:rsidR="00A41D36">
        <w:t>Assessing</w:t>
      </w:r>
      <w:r w:rsidR="00A41D36" w:rsidRPr="0096276C">
        <w:t xml:space="preserve"> </w:t>
      </w:r>
      <w:r w:rsidR="00A41D36">
        <w:t>our</w:t>
      </w:r>
      <w:r w:rsidR="00A41D36" w:rsidRPr="0096276C">
        <w:t xml:space="preserve"> </w:t>
      </w:r>
      <w:r w:rsidRPr="0096276C">
        <w:t>Performance</w:t>
      </w:r>
      <w:r w:rsidR="00BC726A">
        <w:t>’</w:t>
      </w:r>
      <w:r w:rsidRPr="0096276C">
        <w:t xml:space="preserve"> section of this Annual Report.</w:t>
      </w:r>
    </w:p>
    <w:p w14:paraId="432C5339" w14:textId="77777777" w:rsidR="0096276C" w:rsidRPr="0096276C" w:rsidRDefault="0096276C" w:rsidP="004F5709">
      <w:pPr>
        <w:pStyle w:val="Heading3"/>
      </w:pPr>
      <w:bookmarkStart w:id="16" w:name="_Toc116462346"/>
      <w:r w:rsidRPr="0096276C">
        <w:t>Improving our organisational capabilities</w:t>
      </w:r>
      <w:bookmarkEnd w:id="16"/>
    </w:p>
    <w:p w14:paraId="168182A2" w14:textId="77777777" w:rsidR="0096276C" w:rsidRPr="0096276C" w:rsidRDefault="0096276C" w:rsidP="0096276C">
      <w:r w:rsidRPr="0096276C">
        <w:t xml:space="preserve">Delivering on our strategic direction relies on many things, including having the right organisational capability. This year, we worked to support and keep our </w:t>
      </w:r>
      <w:r w:rsidRPr="0096276C">
        <w:lastRenderedPageBreak/>
        <w:t xml:space="preserve">people and clients safe, reduce our carbon emissions and improve our corporate functions. We also advanced work on laying the foundations for change through </w:t>
      </w:r>
      <w:r w:rsidRPr="000F7E4F">
        <w:rPr>
          <w:lang w:val="mi-NZ"/>
        </w:rPr>
        <w:t>Te Pae Tawhiti</w:t>
      </w:r>
      <w:r w:rsidRPr="0096276C">
        <w:t xml:space="preserve"> (the Programme).</w:t>
      </w:r>
    </w:p>
    <w:p w14:paraId="12712DBD" w14:textId="6722E348" w:rsidR="0096276C" w:rsidRPr="0096276C" w:rsidRDefault="0096276C" w:rsidP="0096276C">
      <w:r w:rsidRPr="0096276C">
        <w:t>As we look to the future, we will undergo significant transformation through the Programme to deliver to our strategic direction and the Government’s Welfare Overhaul work programme.</w:t>
      </w:r>
      <w:r w:rsidR="00EE524A">
        <w:t xml:space="preserve"> </w:t>
      </w:r>
      <w:r w:rsidRPr="0096276C">
        <w:t>The changes made through the Programme will make it easier and simpler for New Zealanders to get help and support through the welfare system.</w:t>
      </w:r>
    </w:p>
    <w:p w14:paraId="7C7C43FC" w14:textId="00C21BE5" w:rsidR="0096276C" w:rsidRDefault="0096276C" w:rsidP="00C06A39">
      <w:r>
        <w:br w:type="page"/>
      </w:r>
    </w:p>
    <w:p w14:paraId="756F4AC1" w14:textId="261AAD8F" w:rsidR="0096276C" w:rsidRPr="00D7573A" w:rsidRDefault="0096276C" w:rsidP="0096276C">
      <w:pPr>
        <w:pStyle w:val="Heading3"/>
        <w:rPr>
          <w:rFonts w:eastAsia="Calibri"/>
          <w:b w:val="0"/>
          <w:bCs w:val="0"/>
          <w:color w:val="121F6B"/>
          <w:kern w:val="28"/>
          <w:sz w:val="32"/>
          <w:szCs w:val="28"/>
          <w:lang w:val="mi-NZ" w:eastAsia="en-US"/>
        </w:rPr>
      </w:pPr>
      <w:bookmarkStart w:id="17" w:name="_Toc116462348"/>
      <w:r w:rsidRPr="00D7573A">
        <w:rPr>
          <w:rFonts w:eastAsia="Calibri"/>
          <w:b w:val="0"/>
          <w:bCs w:val="0"/>
          <w:color w:val="121F6B"/>
          <w:kern w:val="28"/>
          <w:sz w:val="32"/>
          <w:szCs w:val="28"/>
          <w:lang w:val="mi-NZ" w:eastAsia="en-US"/>
        </w:rPr>
        <w:lastRenderedPageBreak/>
        <w:t>Our key stat</w:t>
      </w:r>
      <w:r w:rsidR="00484D39" w:rsidRPr="00D7573A">
        <w:rPr>
          <w:rFonts w:eastAsia="Calibri"/>
          <w:b w:val="0"/>
          <w:bCs w:val="0"/>
          <w:color w:val="121F6B"/>
          <w:kern w:val="28"/>
          <w:sz w:val="32"/>
          <w:szCs w:val="28"/>
          <w:lang w:val="mi-NZ" w:eastAsia="en-US"/>
        </w:rPr>
        <w:t>istics</w:t>
      </w:r>
      <w:r w:rsidRPr="00D7573A">
        <w:rPr>
          <w:rFonts w:eastAsia="Calibri"/>
          <w:b w:val="0"/>
          <w:bCs w:val="0"/>
          <w:color w:val="121F6B"/>
          <w:kern w:val="28"/>
          <w:sz w:val="32"/>
          <w:szCs w:val="28"/>
          <w:lang w:val="mi-NZ" w:eastAsia="en-US"/>
        </w:rPr>
        <w:t xml:space="preserve"> for 2021/22</w:t>
      </w:r>
      <w:bookmarkEnd w:id="17"/>
    </w:p>
    <w:p w14:paraId="37395797" w14:textId="77777777" w:rsidR="00815C88" w:rsidRPr="001A59E7" w:rsidRDefault="00815C88" w:rsidP="00815C88">
      <w:pPr>
        <w:pStyle w:val="Heading4"/>
      </w:pPr>
      <w:r w:rsidRPr="001A59E7">
        <w:t>People receiving NZ Superannuation</w:t>
      </w:r>
    </w:p>
    <w:p w14:paraId="2DE20609" w14:textId="77777777" w:rsidR="00815C88" w:rsidRPr="001A59E7" w:rsidRDefault="00815C88" w:rsidP="00815C88">
      <w:r w:rsidRPr="001A59E7">
        <w:t>30 June 2022</w:t>
      </w:r>
      <w:r>
        <w:t>:</w:t>
      </w:r>
      <w:r w:rsidRPr="001A59E7">
        <w:t xml:space="preserve"> </w:t>
      </w:r>
      <w:r w:rsidRPr="00815C88">
        <w:rPr>
          <w:b/>
          <w:bCs/>
        </w:rPr>
        <w:t>more than 858,300</w:t>
      </w:r>
    </w:p>
    <w:p w14:paraId="530E5A5D" w14:textId="77777777" w:rsidR="00815C88" w:rsidRPr="001A59E7" w:rsidRDefault="00815C88" w:rsidP="00815C88">
      <w:r w:rsidRPr="001A59E7">
        <w:t>30 June 2021</w:t>
      </w:r>
      <w:r>
        <w:t>:</w:t>
      </w:r>
      <w:r w:rsidRPr="001A59E7">
        <w:t xml:space="preserve"> </w:t>
      </w:r>
      <w:r>
        <w:t>m</w:t>
      </w:r>
      <w:r w:rsidRPr="001A59E7">
        <w:t>ore than 837,500</w:t>
      </w:r>
    </w:p>
    <w:p w14:paraId="68AD8C7B" w14:textId="77777777" w:rsidR="00815C88" w:rsidRPr="001A59E7" w:rsidRDefault="00815C88" w:rsidP="00815C88">
      <w:r w:rsidRPr="001A59E7">
        <w:t>30 June 2020</w:t>
      </w:r>
      <w:r>
        <w:t>:</w:t>
      </w:r>
      <w:r w:rsidRPr="001A59E7">
        <w:t xml:space="preserve"> </w:t>
      </w:r>
      <w:r>
        <w:t>m</w:t>
      </w:r>
      <w:r w:rsidRPr="001A59E7">
        <w:t>ore than 809,000</w:t>
      </w:r>
    </w:p>
    <w:p w14:paraId="64F33DB2" w14:textId="77777777" w:rsidR="00815C88" w:rsidRPr="001A59E7" w:rsidRDefault="00815C88" w:rsidP="00815C88">
      <w:pPr>
        <w:pStyle w:val="Heading4"/>
      </w:pPr>
      <w:r w:rsidRPr="001A59E7">
        <w:t xml:space="preserve">People receiving </w:t>
      </w:r>
      <w:r>
        <w:t>benefits</w:t>
      </w:r>
    </w:p>
    <w:p w14:paraId="6292CEE5" w14:textId="77777777" w:rsidR="00815C88" w:rsidRPr="001A59E7" w:rsidRDefault="00815C88" w:rsidP="00815C88">
      <w:r w:rsidRPr="001A59E7">
        <w:t>30 June 2022</w:t>
      </w:r>
      <w:r>
        <w:t xml:space="preserve">: </w:t>
      </w:r>
      <w:r w:rsidRPr="00815C88">
        <w:rPr>
          <w:b/>
          <w:bCs/>
        </w:rPr>
        <w:t>nearly 345,000</w:t>
      </w:r>
    </w:p>
    <w:p w14:paraId="35182359" w14:textId="77777777" w:rsidR="00815C88" w:rsidRPr="001A59E7" w:rsidRDefault="00815C88" w:rsidP="00815C88">
      <w:r w:rsidRPr="001A59E7">
        <w:t>30 June 2021</w:t>
      </w:r>
      <w:r>
        <w:t>: n</w:t>
      </w:r>
      <w:r w:rsidRPr="001A59E7">
        <w:t>early 355,000</w:t>
      </w:r>
    </w:p>
    <w:p w14:paraId="7A10E658" w14:textId="13AFDEBD" w:rsidR="00815C88" w:rsidRDefault="00815C88" w:rsidP="00815C88">
      <w:r w:rsidRPr="001A59E7">
        <w:t>30 June 2020</w:t>
      </w:r>
      <w:r>
        <w:t>: m</w:t>
      </w:r>
      <w:r w:rsidRPr="001A59E7">
        <w:t>ore than 353,000</w:t>
      </w:r>
    </w:p>
    <w:p w14:paraId="1937A5D1" w14:textId="77777777" w:rsidR="00815C88" w:rsidRPr="001A59E7" w:rsidRDefault="00815C88" w:rsidP="00815C88">
      <w:pPr>
        <w:pStyle w:val="Heading4"/>
      </w:pPr>
      <w:bookmarkStart w:id="18" w:name="_Toc115972799"/>
      <w:r w:rsidRPr="001A59E7">
        <w:t>Working-age</w:t>
      </w:r>
      <w:r>
        <w:t xml:space="preserve"> benefits </w:t>
      </w:r>
      <w:r w:rsidRPr="001A59E7">
        <w:t>cancelled because people got work</w:t>
      </w:r>
      <w:bookmarkEnd w:id="18"/>
    </w:p>
    <w:p w14:paraId="06E11131" w14:textId="77777777" w:rsidR="00815C88" w:rsidRPr="001A59E7" w:rsidRDefault="00815C88" w:rsidP="00815C88">
      <w:r w:rsidRPr="001A59E7">
        <w:t xml:space="preserve">2021/22: </w:t>
      </w:r>
      <w:r w:rsidRPr="005F5B92">
        <w:rPr>
          <w:b/>
          <w:bCs/>
        </w:rPr>
        <w:t>113,427</w:t>
      </w:r>
    </w:p>
    <w:p w14:paraId="035D40DC" w14:textId="77777777" w:rsidR="00815C88" w:rsidRPr="001A59E7" w:rsidRDefault="00815C88" w:rsidP="00815C88">
      <w:r w:rsidRPr="001A59E7">
        <w:t>2020/21: 113,409</w:t>
      </w:r>
    </w:p>
    <w:p w14:paraId="2324D885" w14:textId="77777777" w:rsidR="00815C88" w:rsidRPr="001A59E7" w:rsidRDefault="00815C88" w:rsidP="00815C88">
      <w:pPr>
        <w:pStyle w:val="Heading4"/>
      </w:pPr>
      <w:bookmarkStart w:id="19" w:name="_Toc115972796"/>
      <w:r w:rsidRPr="001A59E7">
        <w:t>Percentage of people with full-time work obligations who left</w:t>
      </w:r>
      <w:r>
        <w:t xml:space="preserve"> benefit system </w:t>
      </w:r>
      <w:r w:rsidRPr="001A59E7">
        <w:t>and stayed</w:t>
      </w:r>
      <w:r>
        <w:t xml:space="preserve"> off benefit </w:t>
      </w:r>
      <w:r w:rsidRPr="001A59E7">
        <w:t>for at least six months</w:t>
      </w:r>
      <w:bookmarkEnd w:id="19"/>
    </w:p>
    <w:p w14:paraId="579323AE" w14:textId="77777777" w:rsidR="00815C88" w:rsidRPr="001A59E7" w:rsidRDefault="00815C88" w:rsidP="00815C88">
      <w:r w:rsidRPr="001A59E7">
        <w:t xml:space="preserve">2021/22: </w:t>
      </w:r>
      <w:r w:rsidRPr="00815C88">
        <w:rPr>
          <w:b/>
          <w:bCs/>
        </w:rPr>
        <w:t>63.1%</w:t>
      </w:r>
    </w:p>
    <w:p w14:paraId="42CCC159" w14:textId="77777777" w:rsidR="00815C88" w:rsidRDefault="00815C88" w:rsidP="00815C88">
      <w:r w:rsidRPr="001A59E7">
        <w:t>2020/21: 58.9%</w:t>
      </w:r>
    </w:p>
    <w:p w14:paraId="7561B613" w14:textId="77777777" w:rsidR="00815C88" w:rsidRDefault="00815C88" w:rsidP="00815C88">
      <w:pPr>
        <w:pStyle w:val="Heading4"/>
      </w:pPr>
      <w:r>
        <w:t>Applications on the Public Housing Register</w:t>
      </w:r>
    </w:p>
    <w:p w14:paraId="4092FDB3" w14:textId="77777777" w:rsidR="00815C88" w:rsidRPr="001A59E7" w:rsidRDefault="00815C88" w:rsidP="00815C88">
      <w:r w:rsidRPr="001A59E7">
        <w:t>30 June 2022</w:t>
      </w:r>
      <w:r>
        <w:t>:</w:t>
      </w:r>
      <w:r w:rsidRPr="001A59E7">
        <w:t xml:space="preserve"> </w:t>
      </w:r>
      <w:r w:rsidRPr="00815C88">
        <w:rPr>
          <w:b/>
          <w:bCs/>
        </w:rPr>
        <w:t>more than 32,000</w:t>
      </w:r>
    </w:p>
    <w:p w14:paraId="621B8D2C" w14:textId="77777777" w:rsidR="00815C88" w:rsidRPr="001A59E7" w:rsidRDefault="00815C88" w:rsidP="00815C88">
      <w:r w:rsidRPr="001A59E7">
        <w:t>30 June 2021</w:t>
      </w:r>
      <w:r>
        <w:t>:</w:t>
      </w:r>
      <w:r w:rsidRPr="001A59E7">
        <w:t xml:space="preserve"> </w:t>
      </w:r>
      <w:r>
        <w:t>m</w:t>
      </w:r>
      <w:r w:rsidRPr="001A59E7">
        <w:t>ore than 29,000</w:t>
      </w:r>
    </w:p>
    <w:p w14:paraId="5603C652" w14:textId="77777777" w:rsidR="00815C88" w:rsidRPr="001A59E7" w:rsidRDefault="00815C88" w:rsidP="00815C88">
      <w:r w:rsidRPr="001A59E7">
        <w:t>30 June 2020</w:t>
      </w:r>
      <w:r>
        <w:t>: n</w:t>
      </w:r>
      <w:r w:rsidRPr="001A59E7">
        <w:t>early 22,000</w:t>
      </w:r>
    </w:p>
    <w:p w14:paraId="69DC22DC" w14:textId="62384943" w:rsidR="00815C88" w:rsidRPr="001A59E7" w:rsidRDefault="00815C88" w:rsidP="00815C88">
      <w:pPr>
        <w:pStyle w:val="Heading4"/>
      </w:pPr>
      <w:bookmarkStart w:id="20" w:name="_Toc115972794"/>
      <w:r w:rsidRPr="001A59E7">
        <w:t>Youth development opportunities funded</w:t>
      </w:r>
      <w:bookmarkEnd w:id="20"/>
    </w:p>
    <w:p w14:paraId="3D32416A" w14:textId="77777777" w:rsidR="00815C88" w:rsidRPr="001A59E7" w:rsidRDefault="00815C88" w:rsidP="00815C88">
      <w:r w:rsidRPr="001A59E7">
        <w:t xml:space="preserve">2021/22: </w:t>
      </w:r>
      <w:r w:rsidRPr="00815C88">
        <w:rPr>
          <w:b/>
          <w:bCs/>
        </w:rPr>
        <w:t>over 72,200</w:t>
      </w:r>
    </w:p>
    <w:p w14:paraId="4C046423" w14:textId="77777777" w:rsidR="00815C88" w:rsidRPr="001A59E7" w:rsidRDefault="00815C88" w:rsidP="00815C88">
      <w:r w:rsidRPr="001A59E7">
        <w:t xml:space="preserve">2020/21: </w:t>
      </w:r>
      <w:r>
        <w:t>n</w:t>
      </w:r>
      <w:r w:rsidRPr="001A59E7">
        <w:t>early 68,600</w:t>
      </w:r>
    </w:p>
    <w:p w14:paraId="5F826A61" w14:textId="77777777" w:rsidR="00815C88" w:rsidRPr="001A59E7" w:rsidRDefault="00815C88" w:rsidP="00815C88">
      <w:pPr>
        <w:pStyle w:val="Heading4"/>
      </w:pPr>
      <w:bookmarkStart w:id="21" w:name="_Toc115972795"/>
      <w:r w:rsidRPr="001A59E7">
        <w:t>Student Loan and Allowance applications processed</w:t>
      </w:r>
      <w:bookmarkEnd w:id="21"/>
    </w:p>
    <w:p w14:paraId="2937F903" w14:textId="77777777" w:rsidR="00815C88" w:rsidRPr="001A59E7" w:rsidRDefault="00815C88" w:rsidP="00815C88">
      <w:r w:rsidRPr="001A59E7">
        <w:t xml:space="preserve">2021/22: </w:t>
      </w:r>
      <w:r w:rsidRPr="00815C88">
        <w:rPr>
          <w:b/>
          <w:bCs/>
        </w:rPr>
        <w:t>nearly 266,800</w:t>
      </w:r>
    </w:p>
    <w:p w14:paraId="63589F89" w14:textId="77777777" w:rsidR="00815C88" w:rsidRPr="001A59E7" w:rsidRDefault="00815C88" w:rsidP="00815C88">
      <w:r w:rsidRPr="001A59E7">
        <w:t xml:space="preserve">2020/21: </w:t>
      </w:r>
      <w:r>
        <w:t>n</w:t>
      </w:r>
      <w:r w:rsidRPr="001A59E7">
        <w:t>early 324,600</w:t>
      </w:r>
    </w:p>
    <w:p w14:paraId="142F3DB6" w14:textId="77777777" w:rsidR="00815C88" w:rsidRPr="001A59E7" w:rsidRDefault="00815C88" w:rsidP="00815C88">
      <w:pPr>
        <w:pStyle w:val="Heading4"/>
      </w:pPr>
      <w:bookmarkStart w:id="22" w:name="_Toc115972797"/>
      <w:r w:rsidRPr="001A59E7">
        <w:t>Value of hardship grants</w:t>
      </w:r>
      <w:bookmarkEnd w:id="22"/>
    </w:p>
    <w:p w14:paraId="735F3027" w14:textId="3277F6D3" w:rsidR="00815C88" w:rsidRPr="001A59E7" w:rsidRDefault="00815C88" w:rsidP="00815C88">
      <w:r w:rsidRPr="001A59E7">
        <w:t>2021/22</w:t>
      </w:r>
      <w:r>
        <w:t>:</w:t>
      </w:r>
      <w:r w:rsidRPr="001A59E7">
        <w:t xml:space="preserve"> </w:t>
      </w:r>
      <w:r w:rsidRPr="00815C88">
        <w:rPr>
          <w:b/>
          <w:bCs/>
        </w:rPr>
        <w:t>$900 million</w:t>
      </w:r>
      <w:r w:rsidRPr="001A59E7">
        <w:t xml:space="preserve"> (more than </w:t>
      </w:r>
      <w:r w:rsidRPr="00815C88">
        <w:rPr>
          <w:b/>
          <w:bCs/>
        </w:rPr>
        <w:t>2.3 million</w:t>
      </w:r>
      <w:r w:rsidRPr="001A59E7">
        <w:t xml:space="preserve"> grants)</w:t>
      </w:r>
    </w:p>
    <w:p w14:paraId="25C73B7C" w14:textId="77777777" w:rsidR="00815C88" w:rsidRPr="001A59E7" w:rsidRDefault="00815C88" w:rsidP="00815C88">
      <w:pPr>
        <w:pStyle w:val="Bullet1"/>
        <w:numPr>
          <w:ilvl w:val="0"/>
          <w:numId w:val="5"/>
        </w:numPr>
        <w:tabs>
          <w:tab w:val="clear" w:pos="360"/>
        </w:tabs>
        <w:ind w:left="284" w:hanging="284"/>
      </w:pPr>
      <w:r w:rsidRPr="001A59E7">
        <w:t>$129.1 million for nearly 1.3 million</w:t>
      </w:r>
      <w:r>
        <w:t xml:space="preserve"> </w:t>
      </w:r>
      <w:r w:rsidRPr="001A59E7">
        <w:t>Special Needs Grants</w:t>
      </w:r>
      <w:r>
        <w:t xml:space="preserve"> for food</w:t>
      </w:r>
    </w:p>
    <w:p w14:paraId="6741CC80" w14:textId="77777777" w:rsidR="00815C88" w:rsidRPr="001A59E7" w:rsidRDefault="00815C88" w:rsidP="00815C88">
      <w:pPr>
        <w:pStyle w:val="Bullet1"/>
        <w:numPr>
          <w:ilvl w:val="0"/>
          <w:numId w:val="5"/>
        </w:numPr>
        <w:tabs>
          <w:tab w:val="clear" w:pos="360"/>
        </w:tabs>
        <w:ind w:left="284" w:hanging="284"/>
      </w:pPr>
      <w:r w:rsidRPr="001A59E7">
        <w:lastRenderedPageBreak/>
        <w:t>$393.1 million for over 144,500 Emergency Housing Special Needs Grants</w:t>
      </w:r>
    </w:p>
    <w:p w14:paraId="624F3D23" w14:textId="3F44C748" w:rsidR="00815C88" w:rsidRDefault="00815C88" w:rsidP="00815C88">
      <w:r w:rsidRPr="001A59E7">
        <w:t>2020/21</w:t>
      </w:r>
      <w:r>
        <w:t>:</w:t>
      </w:r>
      <w:r w:rsidRPr="001A59E7">
        <w:t xml:space="preserve"> $857.5 million (nearly 2.5 million grants)</w:t>
      </w:r>
    </w:p>
    <w:p w14:paraId="333645AB" w14:textId="77777777" w:rsidR="00815C88" w:rsidRPr="001A59E7" w:rsidRDefault="00815C88" w:rsidP="00815C88">
      <w:pPr>
        <w:pStyle w:val="Heading4"/>
      </w:pPr>
      <w:bookmarkStart w:id="23" w:name="_Toc115972800"/>
      <w:r w:rsidRPr="001A59E7">
        <w:t>People accessing community support services</w:t>
      </w:r>
      <w:bookmarkEnd w:id="23"/>
    </w:p>
    <w:p w14:paraId="441B8F75" w14:textId="77777777" w:rsidR="00815C88" w:rsidRPr="001A59E7" w:rsidRDefault="00815C88" w:rsidP="00815C88">
      <w:r w:rsidRPr="001A59E7">
        <w:t xml:space="preserve">2021/22: </w:t>
      </w:r>
      <w:r w:rsidRPr="00815C88">
        <w:rPr>
          <w:b/>
          <w:bCs/>
        </w:rPr>
        <w:t>90,111</w:t>
      </w:r>
    </w:p>
    <w:p w14:paraId="705B4947" w14:textId="77777777" w:rsidR="00815C88" w:rsidRPr="001A59E7" w:rsidRDefault="00815C88" w:rsidP="00815C88">
      <w:r w:rsidRPr="001A59E7">
        <w:t>2020/21: 83,736</w:t>
      </w:r>
    </w:p>
    <w:p w14:paraId="7372136B" w14:textId="04B36B5A" w:rsidR="0080656B" w:rsidRPr="001A59E7" w:rsidRDefault="0080656B" w:rsidP="00815C88">
      <w:pPr>
        <w:pStyle w:val="Heading4"/>
      </w:pPr>
      <w:r w:rsidRPr="001A59E7">
        <w:t>COVID-19 economic and welfare support</w:t>
      </w:r>
      <w:r w:rsidR="00EE524A">
        <w:t>s</w:t>
      </w:r>
      <w:r w:rsidRPr="001A59E7">
        <w:t xml:space="preserve"> provided</w:t>
      </w:r>
    </w:p>
    <w:p w14:paraId="6684D52E" w14:textId="61CDE0A3" w:rsidR="0080656B" w:rsidRPr="001A59E7" w:rsidRDefault="0080656B" w:rsidP="001A59E7">
      <w:r w:rsidRPr="001A59E7">
        <w:t>30 June 2022</w:t>
      </w:r>
      <w:r w:rsidR="00996F36">
        <w:t xml:space="preserve">: </w:t>
      </w:r>
      <w:r w:rsidR="00996F36" w:rsidRPr="00860ECE">
        <w:rPr>
          <w:b/>
          <w:bCs/>
        </w:rPr>
        <w:t>n</w:t>
      </w:r>
      <w:r w:rsidRPr="00860ECE">
        <w:rPr>
          <w:b/>
          <w:bCs/>
        </w:rPr>
        <w:t>early $4.8 billion</w:t>
      </w:r>
      <w:r w:rsidR="00860ECE">
        <w:rPr>
          <w:b/>
          <w:bCs/>
        </w:rPr>
        <w:t xml:space="preserve"> </w:t>
      </w:r>
      <w:r w:rsidRPr="001A59E7">
        <w:t>provided in COVID-19 Wage Subsidy Scheme August 2021 payments to support over 1.3 million jobs</w:t>
      </w:r>
    </w:p>
    <w:p w14:paraId="710F677D" w14:textId="6B8FBA14" w:rsidR="0080656B" w:rsidRPr="001A59E7" w:rsidRDefault="0080656B" w:rsidP="001A59E7">
      <w:r w:rsidRPr="001A59E7">
        <w:t>30 June 2022</w:t>
      </w:r>
      <w:r w:rsidR="00996F36">
        <w:t xml:space="preserve">: </w:t>
      </w:r>
      <w:r w:rsidR="00996F36" w:rsidRPr="00860ECE">
        <w:rPr>
          <w:b/>
          <w:bCs/>
        </w:rPr>
        <w:t>$</w:t>
      </w:r>
      <w:r w:rsidRPr="00860ECE">
        <w:rPr>
          <w:b/>
          <w:bCs/>
        </w:rPr>
        <w:t>98.3 million in funding</w:t>
      </w:r>
      <w:r w:rsidR="00860ECE">
        <w:rPr>
          <w:b/>
          <w:bCs/>
        </w:rPr>
        <w:t xml:space="preserve"> </w:t>
      </w:r>
      <w:r w:rsidRPr="001A59E7">
        <w:t>for community food providers to deliver over 548,000 food packs</w:t>
      </w:r>
    </w:p>
    <w:p w14:paraId="75C26948" w14:textId="3D81772F" w:rsidR="0080656B" w:rsidRPr="001A59E7" w:rsidRDefault="0080656B" w:rsidP="001A59E7">
      <w:r w:rsidRPr="001A59E7">
        <w:t>2021/22 Community Connectors</w:t>
      </w:r>
      <w:r w:rsidR="00996F36">
        <w:t xml:space="preserve">: </w:t>
      </w:r>
      <w:r w:rsidRPr="00860ECE">
        <w:rPr>
          <w:b/>
          <w:bCs/>
        </w:rPr>
        <w:t>expanded from 141 to 500</w:t>
      </w:r>
    </w:p>
    <w:p w14:paraId="134EED34" w14:textId="01EA03E4" w:rsidR="0080656B" w:rsidRPr="001A59E7" w:rsidRDefault="0080656B" w:rsidP="001A59E7"/>
    <w:p w14:paraId="62D44543" w14:textId="047218D9" w:rsidR="0080656B" w:rsidRPr="001A59E7" w:rsidRDefault="0080656B" w:rsidP="001A59E7">
      <w:r w:rsidRPr="001A59E7">
        <w:br w:type="page"/>
      </w:r>
    </w:p>
    <w:p w14:paraId="0149813F" w14:textId="77777777" w:rsidR="0080656B" w:rsidRPr="00D7573A" w:rsidRDefault="0080656B" w:rsidP="0080656B">
      <w:pPr>
        <w:pStyle w:val="Heading3"/>
        <w:rPr>
          <w:rFonts w:eastAsia="Calibri"/>
          <w:b w:val="0"/>
          <w:bCs w:val="0"/>
          <w:color w:val="121F6B"/>
          <w:kern w:val="28"/>
          <w:sz w:val="32"/>
          <w:szCs w:val="28"/>
          <w:lang w:val="mi-NZ" w:eastAsia="en-US"/>
        </w:rPr>
      </w:pPr>
      <w:bookmarkStart w:id="24" w:name="_Toc116462350"/>
      <w:r w:rsidRPr="00D7573A">
        <w:rPr>
          <w:rFonts w:eastAsia="Calibri"/>
          <w:b w:val="0"/>
          <w:bCs w:val="0"/>
          <w:color w:val="121F6B"/>
          <w:kern w:val="28"/>
          <w:sz w:val="32"/>
          <w:szCs w:val="28"/>
          <w:lang w:val="mi-NZ" w:eastAsia="en-US"/>
        </w:rPr>
        <w:lastRenderedPageBreak/>
        <w:t>We receive our funding from the Crown</w:t>
      </w:r>
      <w:bookmarkEnd w:id="24"/>
    </w:p>
    <w:p w14:paraId="498226B2" w14:textId="77777777" w:rsidR="0080656B" w:rsidRDefault="0080656B" w:rsidP="0080656B">
      <w:r w:rsidRPr="0080656B">
        <w:t xml:space="preserve">Our budgeted spending is approved by Parliament following the Budget announcement each year. </w:t>
      </w:r>
      <w:r>
        <w:t>The</w:t>
      </w:r>
      <w:r w:rsidRPr="001A59E7">
        <w:t xml:space="preserve"> </w:t>
      </w:r>
      <w:r>
        <w:t>annual</w:t>
      </w:r>
      <w:r w:rsidRPr="001A59E7">
        <w:t xml:space="preserve"> </w:t>
      </w:r>
      <w:r>
        <w:t>Vote</w:t>
      </w:r>
      <w:r w:rsidRPr="001A59E7">
        <w:t xml:space="preserve"> </w:t>
      </w:r>
      <w:r>
        <w:t>Social</w:t>
      </w:r>
      <w:r w:rsidRPr="001A59E7">
        <w:t xml:space="preserve"> </w:t>
      </w:r>
      <w:r>
        <w:t>Development</w:t>
      </w:r>
      <w:r w:rsidRPr="001A59E7">
        <w:t xml:space="preserve"> </w:t>
      </w:r>
      <w:r>
        <w:t>Estimates</w:t>
      </w:r>
      <w:r w:rsidRPr="001A59E7">
        <w:t xml:space="preserve"> </w:t>
      </w:r>
      <w:r>
        <w:t>of</w:t>
      </w:r>
      <w:r w:rsidRPr="001A59E7">
        <w:t xml:space="preserve"> </w:t>
      </w:r>
      <w:r>
        <w:t>Appropriations</w:t>
      </w:r>
      <w:r w:rsidRPr="001A59E7">
        <w:t xml:space="preserve"> </w:t>
      </w:r>
      <w:r>
        <w:t>details</w:t>
      </w:r>
      <w:r w:rsidRPr="001A59E7">
        <w:t xml:space="preserve"> </w:t>
      </w:r>
      <w:r>
        <w:t>the</w:t>
      </w:r>
      <w:r w:rsidRPr="001A59E7">
        <w:t xml:space="preserve"> </w:t>
      </w:r>
      <w:r>
        <w:t>funding</w:t>
      </w:r>
      <w:r w:rsidRPr="001A59E7">
        <w:t xml:space="preserve"> </w:t>
      </w:r>
      <w:r>
        <w:t xml:space="preserve">allocated, </w:t>
      </w:r>
      <w:r w:rsidRPr="0080656B">
        <w:t>policy initiatives approved, Ministers’ spending intentions and how performance will be assessed,</w:t>
      </w:r>
      <w:r w:rsidRPr="001A59E7">
        <w:t xml:space="preserve"> </w:t>
      </w:r>
      <w:r>
        <w:t>and</w:t>
      </w:r>
      <w:r w:rsidRPr="001A59E7">
        <w:t xml:space="preserve"> </w:t>
      </w:r>
      <w:r>
        <w:t>may</w:t>
      </w:r>
      <w:r w:rsidRPr="001A59E7">
        <w:t xml:space="preserve"> </w:t>
      </w:r>
      <w:r>
        <w:t>be</w:t>
      </w:r>
      <w:r w:rsidRPr="001A59E7">
        <w:t xml:space="preserve"> </w:t>
      </w:r>
      <w:r>
        <w:t>amended</w:t>
      </w:r>
      <w:r w:rsidRPr="001A59E7">
        <w:t xml:space="preserve"> </w:t>
      </w:r>
      <w:r>
        <w:t>in</w:t>
      </w:r>
      <w:r w:rsidRPr="001A59E7">
        <w:t xml:space="preserve"> </w:t>
      </w:r>
      <w:r>
        <w:t>Vote</w:t>
      </w:r>
      <w:r w:rsidRPr="001A59E7">
        <w:t xml:space="preserve"> </w:t>
      </w:r>
      <w:r>
        <w:t>Social</w:t>
      </w:r>
      <w:r w:rsidRPr="001A59E7">
        <w:t xml:space="preserve"> </w:t>
      </w:r>
      <w:r>
        <w:t>Development</w:t>
      </w:r>
      <w:r w:rsidRPr="001A59E7">
        <w:t xml:space="preserve"> </w:t>
      </w:r>
      <w:r>
        <w:t>Supplementary</w:t>
      </w:r>
      <w:r w:rsidRPr="001A59E7">
        <w:t xml:space="preserve"> </w:t>
      </w:r>
      <w:r>
        <w:t>Estimates</w:t>
      </w:r>
      <w:r w:rsidRPr="001A59E7">
        <w:t xml:space="preserve"> </w:t>
      </w:r>
      <w:r>
        <w:t>of</w:t>
      </w:r>
      <w:r w:rsidRPr="001A59E7">
        <w:t xml:space="preserve"> </w:t>
      </w:r>
      <w:r>
        <w:t>Appropriations during the year.</w:t>
      </w:r>
    </w:p>
    <w:p w14:paraId="211365F7" w14:textId="77777777" w:rsidR="0080656B" w:rsidRPr="0080656B" w:rsidRDefault="0080656B" w:rsidP="0080656B">
      <w:r w:rsidRPr="0080656B">
        <w:t>The Ministry also receives funding from some government agencies to provide agreed corporate and accreditation services.</w:t>
      </w:r>
    </w:p>
    <w:p w14:paraId="282FF9D3" w14:textId="6B634B25" w:rsidR="0080656B" w:rsidRDefault="0080656B" w:rsidP="0080656B">
      <w:r w:rsidRPr="0080656B">
        <w:t xml:space="preserve">Full details of spending in 2021/22 can be found in the </w:t>
      </w:r>
      <w:r w:rsidR="00EE524A">
        <w:t>‘</w:t>
      </w:r>
      <w:r w:rsidR="00A41D36">
        <w:t>F</w:t>
      </w:r>
      <w:r w:rsidRPr="0080656B">
        <w:t xml:space="preserve">inancial </w:t>
      </w:r>
      <w:r w:rsidR="00A41D36">
        <w:t>S</w:t>
      </w:r>
      <w:r w:rsidRPr="0080656B">
        <w:t>tatements</w:t>
      </w:r>
      <w:r w:rsidR="00EE524A">
        <w:t>’</w:t>
      </w:r>
      <w:r w:rsidRPr="0080656B">
        <w:t xml:space="preserve"> section </w:t>
      </w:r>
      <w:r w:rsidR="00BC726A" w:rsidRPr="00C677B2">
        <w:t>of this Annual Report</w:t>
      </w:r>
      <w:r w:rsidRPr="0080656B">
        <w:t>.</w:t>
      </w:r>
    </w:p>
    <w:p w14:paraId="64023967" w14:textId="3788D6EF" w:rsidR="004F5709" w:rsidRPr="0080656B" w:rsidRDefault="004F5709" w:rsidP="004F5709">
      <w:pPr>
        <w:pStyle w:val="Heading3"/>
      </w:pPr>
      <w:bookmarkStart w:id="25" w:name="_Toc116462351"/>
      <w:r>
        <w:t>Key areas of spending</w:t>
      </w:r>
      <w:bookmarkEnd w:id="25"/>
    </w:p>
    <w:p w14:paraId="2A141369" w14:textId="79CC2394" w:rsidR="00B2038E" w:rsidRPr="008F5E31" w:rsidRDefault="00B2038E" w:rsidP="00B2038E">
      <w:pPr>
        <w:pStyle w:val="Caption"/>
      </w:pPr>
      <w:bookmarkStart w:id="26" w:name="_Toc116462352"/>
      <w:bookmarkStart w:id="27" w:name="_Hlk116407963"/>
      <w:r w:rsidRPr="008F5E31">
        <w:t xml:space="preserve">Table </w:t>
      </w:r>
      <w:r w:rsidR="00A85D1E">
        <w:fldChar w:fldCharType="begin"/>
      </w:r>
      <w:r w:rsidR="00A85D1E">
        <w:instrText xml:space="preserve"> SEQ Table \* ARABIC </w:instrText>
      </w:r>
      <w:r w:rsidR="00A85D1E">
        <w:fldChar w:fldCharType="separate"/>
      </w:r>
      <w:r w:rsidR="00920672">
        <w:rPr>
          <w:noProof/>
        </w:rPr>
        <w:t>1</w:t>
      </w:r>
      <w:r w:rsidR="00A85D1E">
        <w:rPr>
          <w:noProof/>
        </w:rPr>
        <w:fldChar w:fldCharType="end"/>
      </w:r>
      <w:r>
        <w:t>: Key area</w:t>
      </w:r>
      <w:r w:rsidR="00FF6654">
        <w:t>s</w:t>
      </w:r>
      <w:r>
        <w:t xml:space="preserve"> of spending</w:t>
      </w:r>
      <w:r w:rsidR="009D291B">
        <w:t xml:space="preserve"> from 2017 to 2022</w:t>
      </w:r>
      <w:r w:rsidR="000656FC">
        <w:t xml:space="preserve"> (in billions or bn)</w:t>
      </w:r>
      <w:bookmarkEnd w:id="26"/>
    </w:p>
    <w:bookmarkEnd w:id="27"/>
    <w:tbl>
      <w:tblPr>
        <w:tblStyle w:val="TableGrid"/>
        <w:tblW w:w="5000" w:type="pct"/>
        <w:tblCellMar>
          <w:top w:w="85" w:type="dxa"/>
          <w:left w:w="85" w:type="dxa"/>
          <w:bottom w:w="85" w:type="dxa"/>
          <w:right w:w="85" w:type="dxa"/>
        </w:tblCellMar>
        <w:tblLook w:val="0660" w:firstRow="1" w:lastRow="1" w:firstColumn="0" w:lastColumn="0" w:noHBand="1" w:noVBand="1"/>
        <w:tblCaption w:val="Table 2. Key areas of spending from 2017 to 2022"/>
        <w:tblDescription w:val="The table has six areas of spending from 2017 until 2022. The total spending in 2021 to 2022 is $39.51 billion. The first area is New Zealand superannuation, with spending at $5.18 billion in 2021/22. The second area is COVID-19 wage subsidies at $17.76 billion. The third area is other benefits and assistance at$9.17 billion. The fourth area is housing assistance and rent subsidies at $2.40 billion. The fifth area is student support at $1.98 billion. The sixth area is departmental operating costs at $1.57 billion.&#10;"/>
      </w:tblPr>
      <w:tblGrid>
        <w:gridCol w:w="1925"/>
        <w:gridCol w:w="1635"/>
        <w:gridCol w:w="1635"/>
        <w:gridCol w:w="1239"/>
        <w:gridCol w:w="1239"/>
        <w:gridCol w:w="1343"/>
      </w:tblGrid>
      <w:tr w:rsidR="00B2038E" w:rsidRPr="00C67C42" w14:paraId="6660D3D2" w14:textId="57944E2F" w:rsidTr="004A76F0">
        <w:trPr>
          <w:cantSplit/>
          <w:tblHeader/>
        </w:trPr>
        <w:tc>
          <w:tcPr>
            <w:tcW w:w="19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1F6B"/>
            <w:vAlign w:val="center"/>
          </w:tcPr>
          <w:p w14:paraId="5F397FAE" w14:textId="1F010D0F" w:rsidR="00B2038E" w:rsidRPr="00C67C42" w:rsidRDefault="00B2038E" w:rsidP="000418F6">
            <w:pPr>
              <w:rPr>
                <w:lang w:eastAsia="en-AU"/>
              </w:rPr>
            </w:pPr>
          </w:p>
        </w:tc>
        <w:tc>
          <w:tcPr>
            <w:tcW w:w="1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1F6B"/>
            <w:vAlign w:val="center"/>
          </w:tcPr>
          <w:p w14:paraId="3BE41C90" w14:textId="245FCEA9" w:rsidR="00B2038E" w:rsidRPr="00C67C42" w:rsidRDefault="00B2038E" w:rsidP="000418F6">
            <w:pPr>
              <w:rPr>
                <w:lang w:eastAsia="en-AU"/>
              </w:rPr>
            </w:pPr>
            <w:r>
              <w:rPr>
                <w:lang w:eastAsia="en-AU"/>
              </w:rPr>
              <w:t>2017/18</w:t>
            </w:r>
          </w:p>
        </w:tc>
        <w:tc>
          <w:tcPr>
            <w:tcW w:w="1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1F6B"/>
            <w:vAlign w:val="center"/>
          </w:tcPr>
          <w:p w14:paraId="39289ECC" w14:textId="6EBAEF2A" w:rsidR="00B2038E" w:rsidRPr="00C67C42" w:rsidRDefault="00B2038E" w:rsidP="000418F6">
            <w:pPr>
              <w:rPr>
                <w:lang w:eastAsia="en-AU"/>
              </w:rPr>
            </w:pPr>
            <w:r>
              <w:rPr>
                <w:lang w:eastAsia="en-AU"/>
              </w:rPr>
              <w:t>2018/19</w:t>
            </w:r>
          </w:p>
        </w:tc>
        <w:tc>
          <w:tcPr>
            <w:tcW w:w="12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1F6B"/>
          </w:tcPr>
          <w:p w14:paraId="7CBCAD4C" w14:textId="7797DDD1" w:rsidR="00B2038E" w:rsidRPr="00C67C42" w:rsidRDefault="00B2038E" w:rsidP="000418F6">
            <w:pPr>
              <w:rPr>
                <w:lang w:eastAsia="en-AU"/>
              </w:rPr>
            </w:pPr>
            <w:r>
              <w:rPr>
                <w:lang w:eastAsia="en-AU"/>
              </w:rPr>
              <w:t>2019/20</w:t>
            </w:r>
          </w:p>
        </w:tc>
        <w:tc>
          <w:tcPr>
            <w:tcW w:w="12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1F6B"/>
          </w:tcPr>
          <w:p w14:paraId="1F211C61" w14:textId="7AC4BAA6" w:rsidR="00B2038E" w:rsidRPr="00C67C42" w:rsidRDefault="00B2038E" w:rsidP="000418F6">
            <w:pPr>
              <w:rPr>
                <w:lang w:eastAsia="en-AU"/>
              </w:rPr>
            </w:pPr>
            <w:r>
              <w:rPr>
                <w:lang w:eastAsia="en-AU"/>
              </w:rPr>
              <w:t>2020/21</w:t>
            </w:r>
          </w:p>
        </w:tc>
        <w:tc>
          <w:tcPr>
            <w:tcW w:w="12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1F6B"/>
          </w:tcPr>
          <w:p w14:paraId="6F883D02" w14:textId="1E416BD2" w:rsidR="00B2038E" w:rsidRPr="00C67C42" w:rsidRDefault="00B2038E" w:rsidP="000418F6">
            <w:pPr>
              <w:rPr>
                <w:lang w:eastAsia="en-AU"/>
              </w:rPr>
            </w:pPr>
            <w:r>
              <w:rPr>
                <w:lang w:eastAsia="en-AU"/>
              </w:rPr>
              <w:t>2021/22</w:t>
            </w:r>
          </w:p>
        </w:tc>
      </w:tr>
      <w:tr w:rsidR="00B2038E" w14:paraId="4F6D834F" w14:textId="5899710F" w:rsidTr="005F5B92">
        <w:tc>
          <w:tcPr>
            <w:tcW w:w="1925" w:type="dxa"/>
            <w:tcBorders>
              <w:top w:val="single" w:sz="4" w:space="0" w:color="FFFFFF" w:themeColor="background1"/>
              <w:left w:val="nil"/>
              <w:bottom w:val="nil"/>
            </w:tcBorders>
          </w:tcPr>
          <w:p w14:paraId="2BAB05B8" w14:textId="75718BB1" w:rsidR="00B2038E" w:rsidRDefault="00B2038E" w:rsidP="000418F6">
            <w:pPr>
              <w:rPr>
                <w:lang w:eastAsia="en-AU"/>
              </w:rPr>
            </w:pPr>
            <w:r>
              <w:rPr>
                <w:lang w:eastAsia="en-AU"/>
              </w:rPr>
              <w:t>NZ Superannuation</w:t>
            </w:r>
          </w:p>
        </w:tc>
        <w:tc>
          <w:tcPr>
            <w:tcW w:w="1684" w:type="dxa"/>
            <w:tcBorders>
              <w:top w:val="single" w:sz="4" w:space="0" w:color="FFFFFF" w:themeColor="background1"/>
              <w:bottom w:val="nil"/>
            </w:tcBorders>
          </w:tcPr>
          <w:p w14:paraId="5B0722EF" w14:textId="21A22E21" w:rsidR="00B2038E" w:rsidRDefault="00932FA3" w:rsidP="000418F6">
            <w:pPr>
              <w:rPr>
                <w:lang w:eastAsia="en-AU"/>
              </w:rPr>
            </w:pPr>
            <w:r>
              <w:rPr>
                <w:lang w:eastAsia="en-AU"/>
              </w:rPr>
              <w:t>$13.7</w:t>
            </w:r>
            <w:r w:rsidR="000656FC">
              <w:rPr>
                <w:lang w:eastAsia="en-AU"/>
              </w:rPr>
              <w:t>bn</w:t>
            </w:r>
          </w:p>
        </w:tc>
        <w:tc>
          <w:tcPr>
            <w:tcW w:w="1684" w:type="dxa"/>
            <w:tcBorders>
              <w:top w:val="single" w:sz="4" w:space="0" w:color="FFFFFF" w:themeColor="background1"/>
              <w:bottom w:val="nil"/>
              <w:right w:val="nil"/>
            </w:tcBorders>
          </w:tcPr>
          <w:p w14:paraId="3BD4026A" w14:textId="3C11D143" w:rsidR="00B2038E" w:rsidRDefault="00932FA3" w:rsidP="000418F6">
            <w:pPr>
              <w:rPr>
                <w:lang w:eastAsia="en-AU"/>
              </w:rPr>
            </w:pPr>
            <w:r>
              <w:rPr>
                <w:lang w:eastAsia="en-AU"/>
              </w:rPr>
              <w:t>$14.56</w:t>
            </w:r>
            <w:r w:rsidR="000656FC">
              <w:rPr>
                <w:lang w:eastAsia="en-AU"/>
              </w:rPr>
              <w:t xml:space="preserve"> bn</w:t>
            </w:r>
          </w:p>
        </w:tc>
        <w:tc>
          <w:tcPr>
            <w:tcW w:w="1241" w:type="dxa"/>
            <w:tcBorders>
              <w:top w:val="single" w:sz="4" w:space="0" w:color="FFFFFF" w:themeColor="background1"/>
              <w:bottom w:val="nil"/>
              <w:right w:val="nil"/>
            </w:tcBorders>
          </w:tcPr>
          <w:p w14:paraId="625CF4E0" w14:textId="4C085E7E" w:rsidR="00B2038E" w:rsidRDefault="00932FA3" w:rsidP="000418F6">
            <w:pPr>
              <w:rPr>
                <w:lang w:eastAsia="en-AU"/>
              </w:rPr>
            </w:pPr>
            <w:r>
              <w:rPr>
                <w:lang w:eastAsia="en-AU"/>
              </w:rPr>
              <w:t>$15.52bn</w:t>
            </w:r>
          </w:p>
        </w:tc>
        <w:tc>
          <w:tcPr>
            <w:tcW w:w="1241" w:type="dxa"/>
            <w:tcBorders>
              <w:top w:val="single" w:sz="4" w:space="0" w:color="FFFFFF" w:themeColor="background1"/>
              <w:bottom w:val="nil"/>
              <w:right w:val="nil"/>
            </w:tcBorders>
          </w:tcPr>
          <w:p w14:paraId="46F8F6A2" w14:textId="4B6ECF7B" w:rsidR="00B2038E" w:rsidRDefault="00932FA3" w:rsidP="000418F6">
            <w:pPr>
              <w:rPr>
                <w:lang w:eastAsia="en-AU"/>
              </w:rPr>
            </w:pPr>
            <w:r>
              <w:rPr>
                <w:lang w:eastAsia="en-AU"/>
              </w:rPr>
              <w:t>$16.57bn</w:t>
            </w:r>
          </w:p>
        </w:tc>
        <w:tc>
          <w:tcPr>
            <w:tcW w:w="1241" w:type="dxa"/>
            <w:tcBorders>
              <w:top w:val="single" w:sz="4" w:space="0" w:color="FFFFFF" w:themeColor="background1"/>
              <w:bottom w:val="nil"/>
              <w:right w:val="nil"/>
            </w:tcBorders>
          </w:tcPr>
          <w:p w14:paraId="119325B1" w14:textId="71FBDA3E" w:rsidR="00B2038E" w:rsidRPr="00932FA3" w:rsidRDefault="00932FA3" w:rsidP="000418F6">
            <w:pPr>
              <w:rPr>
                <w:b/>
                <w:bCs/>
                <w:lang w:eastAsia="en-AU"/>
              </w:rPr>
            </w:pPr>
            <w:r>
              <w:rPr>
                <w:b/>
                <w:bCs/>
                <w:lang w:eastAsia="en-AU"/>
              </w:rPr>
              <w:t>$17.76bn</w:t>
            </w:r>
          </w:p>
        </w:tc>
      </w:tr>
      <w:tr w:rsidR="00B2038E" w14:paraId="4DA14732" w14:textId="5519B797" w:rsidTr="005F5B92">
        <w:tc>
          <w:tcPr>
            <w:tcW w:w="1925" w:type="dxa"/>
            <w:tcBorders>
              <w:top w:val="nil"/>
              <w:left w:val="nil"/>
              <w:bottom w:val="nil"/>
              <w:right w:val="single" w:sz="4" w:space="0" w:color="121F6B"/>
            </w:tcBorders>
            <w:shd w:val="clear" w:color="auto" w:fill="CADDF3"/>
          </w:tcPr>
          <w:p w14:paraId="37534FA2" w14:textId="1B2D0297" w:rsidR="00B2038E" w:rsidRDefault="00B2038E" w:rsidP="000418F6">
            <w:pPr>
              <w:rPr>
                <w:lang w:eastAsia="en-AU"/>
              </w:rPr>
            </w:pPr>
            <w:r>
              <w:rPr>
                <w:lang w:eastAsia="en-AU"/>
              </w:rPr>
              <w:t>COVID-19 Wage Subsidies</w:t>
            </w:r>
          </w:p>
        </w:tc>
        <w:tc>
          <w:tcPr>
            <w:tcW w:w="1684" w:type="dxa"/>
            <w:tcBorders>
              <w:top w:val="nil"/>
              <w:left w:val="single" w:sz="4" w:space="0" w:color="121F6B"/>
              <w:bottom w:val="nil"/>
              <w:right w:val="single" w:sz="4" w:space="0" w:color="121F6B"/>
            </w:tcBorders>
            <w:shd w:val="clear" w:color="auto" w:fill="CADDF3"/>
          </w:tcPr>
          <w:p w14:paraId="1222BCD7" w14:textId="6E8CE2CC" w:rsidR="00B2038E" w:rsidRDefault="00932FA3" w:rsidP="000418F6">
            <w:pPr>
              <w:rPr>
                <w:lang w:eastAsia="en-AU"/>
              </w:rPr>
            </w:pPr>
            <w:r>
              <w:rPr>
                <w:lang w:eastAsia="en-AU"/>
              </w:rPr>
              <w:t>-</w:t>
            </w:r>
          </w:p>
        </w:tc>
        <w:tc>
          <w:tcPr>
            <w:tcW w:w="1684" w:type="dxa"/>
            <w:tcBorders>
              <w:top w:val="nil"/>
              <w:left w:val="single" w:sz="4" w:space="0" w:color="121F6B"/>
              <w:bottom w:val="nil"/>
              <w:right w:val="nil"/>
            </w:tcBorders>
            <w:shd w:val="clear" w:color="auto" w:fill="CADDF3"/>
          </w:tcPr>
          <w:p w14:paraId="59B3466A" w14:textId="2DE5B082" w:rsidR="00B2038E" w:rsidRDefault="00932FA3" w:rsidP="000418F6">
            <w:pPr>
              <w:rPr>
                <w:lang w:eastAsia="en-AU"/>
              </w:rPr>
            </w:pPr>
            <w:r>
              <w:rPr>
                <w:lang w:eastAsia="en-AU"/>
              </w:rPr>
              <w:t>-</w:t>
            </w:r>
          </w:p>
        </w:tc>
        <w:tc>
          <w:tcPr>
            <w:tcW w:w="1241" w:type="dxa"/>
            <w:tcBorders>
              <w:top w:val="nil"/>
              <w:left w:val="single" w:sz="4" w:space="0" w:color="121F6B"/>
              <w:bottom w:val="nil"/>
              <w:right w:val="nil"/>
            </w:tcBorders>
            <w:shd w:val="clear" w:color="auto" w:fill="CADDF3"/>
          </w:tcPr>
          <w:p w14:paraId="4718B576" w14:textId="5FB14391" w:rsidR="00B2038E" w:rsidRDefault="00932FA3" w:rsidP="000418F6">
            <w:pPr>
              <w:rPr>
                <w:lang w:eastAsia="en-AU"/>
              </w:rPr>
            </w:pPr>
            <w:r>
              <w:rPr>
                <w:lang w:eastAsia="en-AU"/>
              </w:rPr>
              <w:t>$12.17bn</w:t>
            </w:r>
          </w:p>
        </w:tc>
        <w:tc>
          <w:tcPr>
            <w:tcW w:w="1241" w:type="dxa"/>
            <w:tcBorders>
              <w:top w:val="nil"/>
              <w:left w:val="single" w:sz="4" w:space="0" w:color="121F6B"/>
              <w:bottom w:val="nil"/>
              <w:right w:val="nil"/>
            </w:tcBorders>
            <w:shd w:val="clear" w:color="auto" w:fill="CADDF3"/>
          </w:tcPr>
          <w:p w14:paraId="0C0AD783" w14:textId="4C119456" w:rsidR="00B2038E" w:rsidRDefault="00932FA3" w:rsidP="000418F6">
            <w:pPr>
              <w:rPr>
                <w:lang w:eastAsia="en-AU"/>
              </w:rPr>
            </w:pPr>
            <w:r>
              <w:rPr>
                <w:lang w:eastAsia="en-AU"/>
              </w:rPr>
              <w:t>$1.21bn</w:t>
            </w:r>
          </w:p>
        </w:tc>
        <w:tc>
          <w:tcPr>
            <w:tcW w:w="1241" w:type="dxa"/>
            <w:tcBorders>
              <w:top w:val="nil"/>
              <w:left w:val="single" w:sz="4" w:space="0" w:color="121F6B"/>
              <w:bottom w:val="nil"/>
              <w:right w:val="nil"/>
            </w:tcBorders>
            <w:shd w:val="clear" w:color="auto" w:fill="CADDF3"/>
          </w:tcPr>
          <w:p w14:paraId="56A4EFD9" w14:textId="71F7C2BD" w:rsidR="00B2038E" w:rsidRPr="00932FA3" w:rsidRDefault="00932FA3" w:rsidP="000418F6">
            <w:pPr>
              <w:rPr>
                <w:b/>
                <w:bCs/>
                <w:lang w:eastAsia="en-AU"/>
              </w:rPr>
            </w:pPr>
            <w:r>
              <w:rPr>
                <w:b/>
                <w:bCs/>
                <w:lang w:eastAsia="en-AU"/>
              </w:rPr>
              <w:t>$5.18bn</w:t>
            </w:r>
          </w:p>
        </w:tc>
      </w:tr>
      <w:tr w:rsidR="00B2038E" w14:paraId="20759580" w14:textId="1092496D" w:rsidTr="005F5B92">
        <w:tc>
          <w:tcPr>
            <w:tcW w:w="1925" w:type="dxa"/>
            <w:tcBorders>
              <w:top w:val="nil"/>
              <w:left w:val="nil"/>
              <w:bottom w:val="nil"/>
              <w:right w:val="single" w:sz="4" w:space="0" w:color="121F6B"/>
            </w:tcBorders>
          </w:tcPr>
          <w:p w14:paraId="3F351837" w14:textId="77FAD92C" w:rsidR="00B2038E" w:rsidRDefault="00B2038E" w:rsidP="000418F6">
            <w:pPr>
              <w:rPr>
                <w:lang w:eastAsia="en-AU"/>
              </w:rPr>
            </w:pPr>
            <w:r>
              <w:rPr>
                <w:lang w:eastAsia="en-AU"/>
              </w:rPr>
              <w:t>Other benefits and assistance</w:t>
            </w:r>
          </w:p>
        </w:tc>
        <w:tc>
          <w:tcPr>
            <w:tcW w:w="1684" w:type="dxa"/>
            <w:tcBorders>
              <w:top w:val="nil"/>
              <w:left w:val="single" w:sz="4" w:space="0" w:color="121F6B"/>
              <w:bottom w:val="nil"/>
              <w:right w:val="single" w:sz="4" w:space="0" w:color="121F6B"/>
            </w:tcBorders>
          </w:tcPr>
          <w:p w14:paraId="72EEC1A8" w14:textId="65D06008" w:rsidR="00B2038E" w:rsidRDefault="00932FA3" w:rsidP="000418F6">
            <w:pPr>
              <w:rPr>
                <w:lang w:eastAsia="en-AU"/>
              </w:rPr>
            </w:pPr>
            <w:r>
              <w:rPr>
                <w:lang w:eastAsia="en-AU"/>
              </w:rPr>
              <w:t>$5.91</w:t>
            </w:r>
            <w:r w:rsidR="000656FC">
              <w:rPr>
                <w:lang w:eastAsia="en-AU"/>
              </w:rPr>
              <w:t>bn</w:t>
            </w:r>
          </w:p>
        </w:tc>
        <w:tc>
          <w:tcPr>
            <w:tcW w:w="1684" w:type="dxa"/>
            <w:tcBorders>
              <w:top w:val="nil"/>
              <w:left w:val="single" w:sz="4" w:space="0" w:color="121F6B"/>
              <w:bottom w:val="nil"/>
              <w:right w:val="nil"/>
            </w:tcBorders>
          </w:tcPr>
          <w:p w14:paraId="4C883567" w14:textId="482C6B41" w:rsidR="00B2038E" w:rsidRDefault="00932FA3" w:rsidP="000418F6">
            <w:pPr>
              <w:rPr>
                <w:lang w:eastAsia="en-AU"/>
              </w:rPr>
            </w:pPr>
            <w:r>
              <w:rPr>
                <w:lang w:eastAsia="en-AU"/>
              </w:rPr>
              <w:t>$6.57bn</w:t>
            </w:r>
          </w:p>
        </w:tc>
        <w:tc>
          <w:tcPr>
            <w:tcW w:w="1241" w:type="dxa"/>
            <w:tcBorders>
              <w:top w:val="nil"/>
              <w:left w:val="single" w:sz="4" w:space="0" w:color="121F6B"/>
              <w:bottom w:val="nil"/>
              <w:right w:val="nil"/>
            </w:tcBorders>
          </w:tcPr>
          <w:p w14:paraId="18A4745C" w14:textId="115D6E92" w:rsidR="00B2038E" w:rsidRDefault="00932FA3" w:rsidP="000418F6">
            <w:pPr>
              <w:rPr>
                <w:lang w:eastAsia="en-AU"/>
              </w:rPr>
            </w:pPr>
            <w:r>
              <w:rPr>
                <w:lang w:eastAsia="en-AU"/>
              </w:rPr>
              <w:t>$7.84bn</w:t>
            </w:r>
          </w:p>
        </w:tc>
        <w:tc>
          <w:tcPr>
            <w:tcW w:w="1241" w:type="dxa"/>
            <w:tcBorders>
              <w:top w:val="nil"/>
              <w:left w:val="single" w:sz="4" w:space="0" w:color="121F6B"/>
              <w:bottom w:val="nil"/>
              <w:right w:val="nil"/>
            </w:tcBorders>
          </w:tcPr>
          <w:p w14:paraId="1E76A733" w14:textId="1963C67D" w:rsidR="00B2038E" w:rsidRDefault="00932FA3" w:rsidP="000418F6">
            <w:pPr>
              <w:rPr>
                <w:lang w:eastAsia="en-AU"/>
              </w:rPr>
            </w:pPr>
            <w:r>
              <w:rPr>
                <w:lang w:eastAsia="en-AU"/>
              </w:rPr>
              <w:t>$9.07bn</w:t>
            </w:r>
          </w:p>
        </w:tc>
        <w:tc>
          <w:tcPr>
            <w:tcW w:w="1241" w:type="dxa"/>
            <w:tcBorders>
              <w:top w:val="nil"/>
              <w:left w:val="single" w:sz="4" w:space="0" w:color="121F6B"/>
              <w:bottom w:val="nil"/>
              <w:right w:val="nil"/>
            </w:tcBorders>
          </w:tcPr>
          <w:p w14:paraId="57179C29" w14:textId="5C056531" w:rsidR="00B2038E" w:rsidRPr="00932FA3" w:rsidRDefault="00932FA3" w:rsidP="000418F6">
            <w:pPr>
              <w:rPr>
                <w:b/>
                <w:bCs/>
                <w:lang w:eastAsia="en-AU"/>
              </w:rPr>
            </w:pPr>
            <w:r w:rsidRPr="00932FA3">
              <w:rPr>
                <w:b/>
                <w:bCs/>
                <w:lang w:eastAsia="en-AU"/>
              </w:rPr>
              <w:t>$9.17bn</w:t>
            </w:r>
          </w:p>
        </w:tc>
      </w:tr>
      <w:tr w:rsidR="00932FA3" w14:paraId="6668EDEE" w14:textId="3FCEA843" w:rsidTr="005F5B92">
        <w:tc>
          <w:tcPr>
            <w:tcW w:w="1925" w:type="dxa"/>
            <w:tcBorders>
              <w:top w:val="nil"/>
              <w:left w:val="nil"/>
              <w:bottom w:val="nil"/>
              <w:right w:val="single" w:sz="4" w:space="0" w:color="121F6B"/>
            </w:tcBorders>
            <w:shd w:val="clear" w:color="auto" w:fill="CADDF3"/>
          </w:tcPr>
          <w:p w14:paraId="59F50440" w14:textId="45DDB761" w:rsidR="00932FA3" w:rsidRDefault="00932FA3" w:rsidP="00932FA3">
            <w:pPr>
              <w:rPr>
                <w:lang w:eastAsia="en-AU"/>
              </w:rPr>
            </w:pPr>
            <w:r>
              <w:rPr>
                <w:lang w:eastAsia="en-AU"/>
              </w:rPr>
              <w:t>Hou</w:t>
            </w:r>
            <w:r w:rsidR="006A2284">
              <w:rPr>
                <w:lang w:eastAsia="en-AU"/>
              </w:rPr>
              <w:t>s</w:t>
            </w:r>
            <w:r>
              <w:rPr>
                <w:lang w:eastAsia="en-AU"/>
              </w:rPr>
              <w:t>ing assistance and rent subsidies</w:t>
            </w:r>
          </w:p>
        </w:tc>
        <w:tc>
          <w:tcPr>
            <w:tcW w:w="1684" w:type="dxa"/>
            <w:tcBorders>
              <w:top w:val="nil"/>
              <w:left w:val="single" w:sz="4" w:space="0" w:color="121F6B"/>
              <w:bottom w:val="nil"/>
              <w:right w:val="single" w:sz="4" w:space="0" w:color="121F6B"/>
            </w:tcBorders>
            <w:shd w:val="clear" w:color="auto" w:fill="CADDF3"/>
          </w:tcPr>
          <w:p w14:paraId="27B0E04C" w14:textId="06010E04" w:rsidR="00932FA3" w:rsidRDefault="00932FA3" w:rsidP="00932FA3">
            <w:pPr>
              <w:rPr>
                <w:lang w:eastAsia="en-AU"/>
              </w:rPr>
            </w:pPr>
            <w:r>
              <w:rPr>
                <w:lang w:eastAsia="en-AU"/>
              </w:rPr>
              <w:t>$2.26</w:t>
            </w:r>
            <w:r w:rsidR="000656FC">
              <w:rPr>
                <w:lang w:eastAsia="en-AU"/>
              </w:rPr>
              <w:t>bn</w:t>
            </w:r>
          </w:p>
        </w:tc>
        <w:tc>
          <w:tcPr>
            <w:tcW w:w="1684" w:type="dxa"/>
            <w:tcBorders>
              <w:top w:val="nil"/>
              <w:left w:val="single" w:sz="4" w:space="0" w:color="121F6B"/>
              <w:bottom w:val="nil"/>
              <w:right w:val="nil"/>
            </w:tcBorders>
            <w:shd w:val="clear" w:color="auto" w:fill="CADDF3"/>
          </w:tcPr>
          <w:p w14:paraId="47997D4E" w14:textId="7E5FF909" w:rsidR="00932FA3" w:rsidRDefault="00932FA3" w:rsidP="00932FA3">
            <w:pPr>
              <w:rPr>
                <w:lang w:eastAsia="en-AU"/>
              </w:rPr>
            </w:pPr>
            <w:r>
              <w:rPr>
                <w:lang w:eastAsia="en-AU"/>
              </w:rPr>
              <w:t>$1.96bn</w:t>
            </w:r>
          </w:p>
        </w:tc>
        <w:tc>
          <w:tcPr>
            <w:tcW w:w="1241" w:type="dxa"/>
            <w:tcBorders>
              <w:top w:val="nil"/>
              <w:left w:val="single" w:sz="4" w:space="0" w:color="121F6B"/>
              <w:bottom w:val="nil"/>
              <w:right w:val="nil"/>
            </w:tcBorders>
            <w:shd w:val="clear" w:color="auto" w:fill="CADDF3"/>
          </w:tcPr>
          <w:p w14:paraId="32861761" w14:textId="42E1C09C" w:rsidR="00932FA3" w:rsidRDefault="00932FA3" w:rsidP="00932FA3">
            <w:pPr>
              <w:rPr>
                <w:lang w:eastAsia="en-AU"/>
              </w:rPr>
            </w:pPr>
            <w:r>
              <w:rPr>
                <w:lang w:eastAsia="en-AU"/>
              </w:rPr>
              <w:t>$1.98bn</w:t>
            </w:r>
          </w:p>
        </w:tc>
        <w:tc>
          <w:tcPr>
            <w:tcW w:w="1241" w:type="dxa"/>
            <w:tcBorders>
              <w:top w:val="nil"/>
              <w:left w:val="single" w:sz="4" w:space="0" w:color="121F6B"/>
              <w:bottom w:val="nil"/>
              <w:right w:val="nil"/>
            </w:tcBorders>
            <w:shd w:val="clear" w:color="auto" w:fill="CADDF3"/>
          </w:tcPr>
          <w:p w14:paraId="14344C31" w14:textId="69A701B4" w:rsidR="00932FA3" w:rsidRDefault="00932FA3" w:rsidP="00932FA3">
            <w:pPr>
              <w:rPr>
                <w:lang w:eastAsia="en-AU"/>
              </w:rPr>
            </w:pPr>
            <w:r>
              <w:rPr>
                <w:lang w:eastAsia="en-AU"/>
              </w:rPr>
              <w:t>$2.32bn</w:t>
            </w:r>
          </w:p>
        </w:tc>
        <w:tc>
          <w:tcPr>
            <w:tcW w:w="1241" w:type="dxa"/>
            <w:tcBorders>
              <w:top w:val="nil"/>
              <w:left w:val="single" w:sz="4" w:space="0" w:color="121F6B"/>
              <w:bottom w:val="nil"/>
              <w:right w:val="nil"/>
            </w:tcBorders>
            <w:shd w:val="clear" w:color="auto" w:fill="CADDF3"/>
          </w:tcPr>
          <w:p w14:paraId="7619E43C" w14:textId="46F938D9" w:rsidR="00932FA3" w:rsidRDefault="00932FA3" w:rsidP="00932FA3">
            <w:pPr>
              <w:rPr>
                <w:lang w:eastAsia="en-AU"/>
              </w:rPr>
            </w:pPr>
            <w:r w:rsidRPr="00932FA3">
              <w:rPr>
                <w:b/>
                <w:bCs/>
                <w:lang w:eastAsia="en-AU"/>
              </w:rPr>
              <w:t>$2.40bn</w:t>
            </w:r>
          </w:p>
        </w:tc>
      </w:tr>
      <w:tr w:rsidR="00932FA3" w14:paraId="59FF0D9B" w14:textId="5A55C017" w:rsidTr="005F5B92">
        <w:tc>
          <w:tcPr>
            <w:tcW w:w="1925" w:type="dxa"/>
            <w:tcBorders>
              <w:top w:val="nil"/>
              <w:left w:val="nil"/>
              <w:bottom w:val="nil"/>
              <w:right w:val="single" w:sz="4" w:space="0" w:color="121F6B"/>
            </w:tcBorders>
          </w:tcPr>
          <w:p w14:paraId="627CA012" w14:textId="64473541" w:rsidR="00932FA3" w:rsidRDefault="00932FA3" w:rsidP="00932FA3">
            <w:pPr>
              <w:rPr>
                <w:lang w:eastAsia="en-AU"/>
              </w:rPr>
            </w:pPr>
            <w:r>
              <w:rPr>
                <w:lang w:eastAsia="en-AU"/>
              </w:rPr>
              <w:t>Student support</w:t>
            </w:r>
          </w:p>
        </w:tc>
        <w:tc>
          <w:tcPr>
            <w:tcW w:w="1684" w:type="dxa"/>
            <w:tcBorders>
              <w:top w:val="nil"/>
              <w:left w:val="single" w:sz="4" w:space="0" w:color="121F6B"/>
              <w:bottom w:val="nil"/>
              <w:right w:val="single" w:sz="4" w:space="0" w:color="121F6B"/>
            </w:tcBorders>
          </w:tcPr>
          <w:p w14:paraId="6215BFDC" w14:textId="718373A3" w:rsidR="00932FA3" w:rsidRDefault="00932FA3" w:rsidP="00932FA3">
            <w:pPr>
              <w:rPr>
                <w:lang w:eastAsia="en-AU"/>
              </w:rPr>
            </w:pPr>
            <w:r>
              <w:rPr>
                <w:lang w:eastAsia="en-AU"/>
              </w:rPr>
              <w:t>$1.95</w:t>
            </w:r>
            <w:r w:rsidR="000656FC">
              <w:rPr>
                <w:lang w:eastAsia="en-AU"/>
              </w:rPr>
              <w:t>bn</w:t>
            </w:r>
          </w:p>
        </w:tc>
        <w:tc>
          <w:tcPr>
            <w:tcW w:w="1684" w:type="dxa"/>
            <w:tcBorders>
              <w:top w:val="nil"/>
              <w:left w:val="single" w:sz="4" w:space="0" w:color="121F6B"/>
              <w:bottom w:val="nil"/>
              <w:right w:val="nil"/>
            </w:tcBorders>
          </w:tcPr>
          <w:p w14:paraId="776E3548" w14:textId="34BD8BA0" w:rsidR="00932FA3" w:rsidRDefault="00932FA3" w:rsidP="00932FA3">
            <w:pPr>
              <w:rPr>
                <w:lang w:eastAsia="en-AU"/>
              </w:rPr>
            </w:pPr>
            <w:r>
              <w:rPr>
                <w:lang w:eastAsia="en-AU"/>
              </w:rPr>
              <w:t>$2.04bn</w:t>
            </w:r>
          </w:p>
        </w:tc>
        <w:tc>
          <w:tcPr>
            <w:tcW w:w="1241" w:type="dxa"/>
            <w:tcBorders>
              <w:top w:val="nil"/>
              <w:left w:val="single" w:sz="4" w:space="0" w:color="121F6B"/>
              <w:bottom w:val="nil"/>
              <w:right w:val="nil"/>
            </w:tcBorders>
          </w:tcPr>
          <w:p w14:paraId="58E94C13" w14:textId="66A24C12" w:rsidR="00932FA3" w:rsidRDefault="00932FA3" w:rsidP="00932FA3">
            <w:pPr>
              <w:rPr>
                <w:lang w:eastAsia="en-AU"/>
              </w:rPr>
            </w:pPr>
            <w:r>
              <w:rPr>
                <w:lang w:eastAsia="en-AU"/>
              </w:rPr>
              <w:t>$2.09bn</w:t>
            </w:r>
          </w:p>
        </w:tc>
        <w:tc>
          <w:tcPr>
            <w:tcW w:w="1241" w:type="dxa"/>
            <w:tcBorders>
              <w:top w:val="nil"/>
              <w:left w:val="single" w:sz="4" w:space="0" w:color="121F6B"/>
              <w:bottom w:val="nil"/>
              <w:right w:val="nil"/>
            </w:tcBorders>
          </w:tcPr>
          <w:p w14:paraId="1BC4F715" w14:textId="7B4D2B4C" w:rsidR="00932FA3" w:rsidRDefault="00932FA3" w:rsidP="00932FA3">
            <w:pPr>
              <w:rPr>
                <w:lang w:eastAsia="en-AU"/>
              </w:rPr>
            </w:pPr>
            <w:r>
              <w:rPr>
                <w:lang w:eastAsia="en-AU"/>
              </w:rPr>
              <w:t>$2.16bn</w:t>
            </w:r>
          </w:p>
        </w:tc>
        <w:tc>
          <w:tcPr>
            <w:tcW w:w="1241" w:type="dxa"/>
            <w:tcBorders>
              <w:top w:val="nil"/>
              <w:left w:val="single" w:sz="4" w:space="0" w:color="121F6B"/>
              <w:bottom w:val="nil"/>
              <w:right w:val="nil"/>
            </w:tcBorders>
          </w:tcPr>
          <w:p w14:paraId="26B71A95" w14:textId="5A82FDDD" w:rsidR="00932FA3" w:rsidRDefault="00932FA3" w:rsidP="00932FA3">
            <w:pPr>
              <w:rPr>
                <w:lang w:eastAsia="en-AU"/>
              </w:rPr>
            </w:pPr>
            <w:r w:rsidRPr="00932FA3">
              <w:rPr>
                <w:b/>
                <w:bCs/>
                <w:lang w:eastAsia="en-AU"/>
              </w:rPr>
              <w:t>$1.98bn</w:t>
            </w:r>
          </w:p>
        </w:tc>
      </w:tr>
      <w:tr w:rsidR="00932FA3" w14:paraId="3AC42628" w14:textId="59839301" w:rsidTr="005F5B92">
        <w:tc>
          <w:tcPr>
            <w:tcW w:w="1925" w:type="dxa"/>
            <w:tcBorders>
              <w:top w:val="nil"/>
              <w:left w:val="nil"/>
              <w:bottom w:val="nil"/>
              <w:right w:val="single" w:sz="4" w:space="0" w:color="121F6B"/>
            </w:tcBorders>
            <w:shd w:val="clear" w:color="auto" w:fill="CADDF3"/>
          </w:tcPr>
          <w:p w14:paraId="28B9D64A" w14:textId="7E806D9A" w:rsidR="00932FA3" w:rsidRDefault="00932FA3" w:rsidP="00932FA3">
            <w:pPr>
              <w:rPr>
                <w:lang w:eastAsia="en-AU"/>
              </w:rPr>
            </w:pPr>
            <w:r>
              <w:rPr>
                <w:lang w:eastAsia="en-AU"/>
              </w:rPr>
              <w:t>Departmental operating costs</w:t>
            </w:r>
          </w:p>
        </w:tc>
        <w:tc>
          <w:tcPr>
            <w:tcW w:w="1684" w:type="dxa"/>
            <w:tcBorders>
              <w:top w:val="nil"/>
              <w:left w:val="single" w:sz="4" w:space="0" w:color="121F6B"/>
              <w:bottom w:val="nil"/>
              <w:right w:val="single" w:sz="4" w:space="0" w:color="121F6B"/>
            </w:tcBorders>
            <w:shd w:val="clear" w:color="auto" w:fill="CADDF3"/>
          </w:tcPr>
          <w:p w14:paraId="7C5EACB2" w14:textId="5AF8194B" w:rsidR="00932FA3" w:rsidRDefault="00932FA3" w:rsidP="00932FA3">
            <w:pPr>
              <w:rPr>
                <w:lang w:eastAsia="en-AU"/>
              </w:rPr>
            </w:pPr>
            <w:r>
              <w:rPr>
                <w:lang w:eastAsia="en-AU"/>
              </w:rPr>
              <w:t>$1.03</w:t>
            </w:r>
            <w:r w:rsidR="000656FC">
              <w:rPr>
                <w:lang w:eastAsia="en-AU"/>
              </w:rPr>
              <w:t>bn</w:t>
            </w:r>
          </w:p>
        </w:tc>
        <w:tc>
          <w:tcPr>
            <w:tcW w:w="1684" w:type="dxa"/>
            <w:tcBorders>
              <w:top w:val="nil"/>
              <w:left w:val="single" w:sz="4" w:space="0" w:color="121F6B"/>
              <w:bottom w:val="nil"/>
              <w:right w:val="nil"/>
            </w:tcBorders>
            <w:shd w:val="clear" w:color="auto" w:fill="CADDF3"/>
          </w:tcPr>
          <w:p w14:paraId="5714245F" w14:textId="0EEFBCE2" w:rsidR="00932FA3" w:rsidRDefault="00932FA3" w:rsidP="00932FA3">
            <w:pPr>
              <w:rPr>
                <w:lang w:eastAsia="en-AU"/>
              </w:rPr>
            </w:pPr>
            <w:r>
              <w:rPr>
                <w:lang w:eastAsia="en-AU"/>
              </w:rPr>
              <w:t>$1.02bn</w:t>
            </w:r>
          </w:p>
        </w:tc>
        <w:tc>
          <w:tcPr>
            <w:tcW w:w="1241" w:type="dxa"/>
            <w:tcBorders>
              <w:top w:val="nil"/>
              <w:left w:val="single" w:sz="4" w:space="0" w:color="121F6B"/>
              <w:bottom w:val="nil"/>
              <w:right w:val="nil"/>
            </w:tcBorders>
            <w:shd w:val="clear" w:color="auto" w:fill="CADDF3"/>
          </w:tcPr>
          <w:p w14:paraId="045DE307" w14:textId="20E0D63A" w:rsidR="00932FA3" w:rsidRDefault="00932FA3" w:rsidP="00932FA3">
            <w:pPr>
              <w:rPr>
                <w:lang w:eastAsia="en-AU"/>
              </w:rPr>
            </w:pPr>
            <w:r>
              <w:rPr>
                <w:lang w:eastAsia="en-AU"/>
              </w:rPr>
              <w:t>$1.18bn</w:t>
            </w:r>
          </w:p>
        </w:tc>
        <w:tc>
          <w:tcPr>
            <w:tcW w:w="1241" w:type="dxa"/>
            <w:tcBorders>
              <w:top w:val="nil"/>
              <w:left w:val="single" w:sz="4" w:space="0" w:color="121F6B"/>
              <w:bottom w:val="nil"/>
              <w:right w:val="nil"/>
            </w:tcBorders>
            <w:shd w:val="clear" w:color="auto" w:fill="CADDF3"/>
          </w:tcPr>
          <w:p w14:paraId="4E9038DF" w14:textId="5B796570" w:rsidR="00932FA3" w:rsidRDefault="00932FA3" w:rsidP="00932FA3">
            <w:pPr>
              <w:rPr>
                <w:lang w:eastAsia="en-AU"/>
              </w:rPr>
            </w:pPr>
            <w:r>
              <w:rPr>
                <w:lang w:eastAsia="en-AU"/>
              </w:rPr>
              <w:t>$1.41bn</w:t>
            </w:r>
          </w:p>
        </w:tc>
        <w:tc>
          <w:tcPr>
            <w:tcW w:w="1241" w:type="dxa"/>
            <w:tcBorders>
              <w:top w:val="nil"/>
              <w:left w:val="single" w:sz="4" w:space="0" w:color="121F6B"/>
              <w:bottom w:val="nil"/>
              <w:right w:val="nil"/>
            </w:tcBorders>
            <w:shd w:val="clear" w:color="auto" w:fill="CADDF3"/>
          </w:tcPr>
          <w:p w14:paraId="27AB7524" w14:textId="4D405D08" w:rsidR="00932FA3" w:rsidRDefault="00932FA3" w:rsidP="00932FA3">
            <w:pPr>
              <w:rPr>
                <w:lang w:eastAsia="en-AU"/>
              </w:rPr>
            </w:pPr>
            <w:r>
              <w:rPr>
                <w:lang w:eastAsia="en-AU"/>
              </w:rPr>
              <w:t>$1.57bn</w:t>
            </w:r>
          </w:p>
        </w:tc>
      </w:tr>
      <w:tr w:rsidR="00932FA3" w:rsidRPr="00C67C42" w14:paraId="12237259" w14:textId="77777777" w:rsidTr="005F5B92">
        <w:tc>
          <w:tcPr>
            <w:tcW w:w="19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1F6B"/>
          </w:tcPr>
          <w:p w14:paraId="1DBFAFA8" w14:textId="34442CDB" w:rsidR="00932FA3" w:rsidRPr="00C67C42" w:rsidRDefault="00932FA3" w:rsidP="00932FA3">
            <w:pPr>
              <w:rPr>
                <w:lang w:eastAsia="en-AU"/>
              </w:rPr>
            </w:pPr>
            <w:r>
              <w:rPr>
                <w:lang w:eastAsia="en-AU"/>
              </w:rPr>
              <w:t>Total</w:t>
            </w:r>
          </w:p>
        </w:tc>
        <w:tc>
          <w:tcPr>
            <w:tcW w:w="1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1F6B"/>
          </w:tcPr>
          <w:p w14:paraId="5DC29440" w14:textId="754CB8B0" w:rsidR="00932FA3" w:rsidRPr="00C67C42" w:rsidRDefault="00932FA3" w:rsidP="00932FA3">
            <w:pPr>
              <w:rPr>
                <w:lang w:eastAsia="en-AU"/>
              </w:rPr>
            </w:pPr>
            <w:r>
              <w:rPr>
                <w:lang w:eastAsia="en-AU"/>
              </w:rPr>
              <w:t>$25.09</w:t>
            </w:r>
            <w:r w:rsidR="000656FC">
              <w:rPr>
                <w:lang w:eastAsia="en-AU"/>
              </w:rPr>
              <w:t>bn</w:t>
            </w:r>
          </w:p>
        </w:tc>
        <w:tc>
          <w:tcPr>
            <w:tcW w:w="1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1F6B"/>
          </w:tcPr>
          <w:p w14:paraId="0CBE3B63" w14:textId="5B80314A" w:rsidR="00932FA3" w:rsidRPr="00C67C42" w:rsidRDefault="00932FA3" w:rsidP="00932FA3">
            <w:pPr>
              <w:rPr>
                <w:lang w:eastAsia="en-AU"/>
              </w:rPr>
            </w:pPr>
            <w:r>
              <w:rPr>
                <w:lang w:eastAsia="en-AU"/>
              </w:rPr>
              <w:t>$26.43bn</w:t>
            </w:r>
          </w:p>
        </w:tc>
        <w:tc>
          <w:tcPr>
            <w:tcW w:w="12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1F6B"/>
          </w:tcPr>
          <w:p w14:paraId="78F8FA29" w14:textId="111F88E6" w:rsidR="00932FA3" w:rsidRPr="00C67C42" w:rsidRDefault="00932FA3" w:rsidP="00932FA3">
            <w:pPr>
              <w:rPr>
                <w:lang w:eastAsia="en-AU"/>
              </w:rPr>
            </w:pPr>
            <w:r>
              <w:rPr>
                <w:lang w:eastAsia="en-AU"/>
              </w:rPr>
              <w:t>$40.87bn</w:t>
            </w:r>
          </w:p>
        </w:tc>
        <w:tc>
          <w:tcPr>
            <w:tcW w:w="12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1F6B"/>
          </w:tcPr>
          <w:p w14:paraId="02A1F5C1" w14:textId="14BA58B5" w:rsidR="00932FA3" w:rsidRPr="00C67C42" w:rsidRDefault="00932FA3" w:rsidP="00932FA3">
            <w:pPr>
              <w:rPr>
                <w:lang w:eastAsia="en-AU"/>
              </w:rPr>
            </w:pPr>
            <w:r>
              <w:rPr>
                <w:lang w:eastAsia="en-AU"/>
              </w:rPr>
              <w:t>$33.71bn</w:t>
            </w:r>
          </w:p>
        </w:tc>
        <w:tc>
          <w:tcPr>
            <w:tcW w:w="12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1F6B"/>
          </w:tcPr>
          <w:p w14:paraId="1A5D8E29" w14:textId="79C2AF79" w:rsidR="00932FA3" w:rsidRPr="00932FA3" w:rsidRDefault="00932FA3" w:rsidP="00932FA3">
            <w:pPr>
              <w:rPr>
                <w:b/>
                <w:bCs/>
                <w:lang w:eastAsia="en-AU"/>
              </w:rPr>
            </w:pPr>
            <w:r w:rsidRPr="00932FA3">
              <w:rPr>
                <w:b/>
                <w:bCs/>
                <w:lang w:eastAsia="en-AU"/>
              </w:rPr>
              <w:t>$39.51bn</w:t>
            </w:r>
          </w:p>
        </w:tc>
      </w:tr>
    </w:tbl>
    <w:p w14:paraId="11F8979D" w14:textId="4771D66D" w:rsidR="00B2038E" w:rsidRDefault="00B2038E" w:rsidP="00406740">
      <w:pPr>
        <w:rPr>
          <w:lang w:eastAsia="en-AU"/>
        </w:rPr>
      </w:pPr>
    </w:p>
    <w:sectPr w:rsidR="00B2038E" w:rsidSect="00B05301">
      <w:pgSz w:w="11906" w:h="16838"/>
      <w:pgMar w:top="1440" w:right="1440" w:bottom="1134" w:left="1440" w:header="708"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8A8A" w14:textId="77777777" w:rsidR="00FC35E8" w:rsidRDefault="00FC35E8" w:rsidP="00B812CC">
      <w:r>
        <w:separator/>
      </w:r>
    </w:p>
    <w:p w14:paraId="7368B642" w14:textId="77777777" w:rsidR="00FC35E8" w:rsidRDefault="00FC35E8" w:rsidP="00B812CC"/>
    <w:p w14:paraId="1324F1EC" w14:textId="77777777" w:rsidR="00FC35E8" w:rsidRDefault="00FC35E8" w:rsidP="00B812CC"/>
    <w:p w14:paraId="0B61AC9A" w14:textId="77777777" w:rsidR="00FC35E8" w:rsidRDefault="00FC35E8" w:rsidP="00B812CC"/>
    <w:p w14:paraId="3D273675" w14:textId="77777777" w:rsidR="00FC35E8" w:rsidRDefault="00FC35E8"/>
  </w:endnote>
  <w:endnote w:type="continuationSeparator" w:id="0">
    <w:p w14:paraId="3A6DA996" w14:textId="77777777" w:rsidR="00FC35E8" w:rsidRDefault="00FC35E8" w:rsidP="00B812CC">
      <w:r>
        <w:continuationSeparator/>
      </w:r>
    </w:p>
    <w:p w14:paraId="1C0FB9A2" w14:textId="77777777" w:rsidR="00FC35E8" w:rsidRDefault="00FC35E8" w:rsidP="00B812CC"/>
    <w:p w14:paraId="22514309" w14:textId="77777777" w:rsidR="00FC35E8" w:rsidRDefault="00FC35E8" w:rsidP="00B812CC"/>
    <w:p w14:paraId="2285792D" w14:textId="77777777" w:rsidR="00FC35E8" w:rsidRDefault="00FC35E8" w:rsidP="00B812CC"/>
    <w:p w14:paraId="75868312" w14:textId="77777777" w:rsidR="00FC35E8" w:rsidRDefault="00FC3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Pro SemiBold">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62AD" w14:textId="46267DDA" w:rsidR="00D7573A" w:rsidRDefault="006116FD">
    <w:pPr>
      <w:pStyle w:val="Footer"/>
    </w:pPr>
    <w:r>
      <w:rPr>
        <w:color w:val="231F20"/>
        <w:spacing w:val="-3"/>
        <w:szCs w:val="22"/>
      </w:rPr>
      <w:t>G.60 MSD</w:t>
    </w:r>
    <w:r w:rsidRPr="00996F36">
      <w:rPr>
        <w:color w:val="231F20"/>
        <w:spacing w:val="-2"/>
        <w:szCs w:val="22"/>
      </w:rPr>
      <w:t xml:space="preserve"> </w:t>
    </w:r>
    <w:r w:rsidRPr="00996F36">
      <w:rPr>
        <w:color w:val="231F20"/>
        <w:spacing w:val="-2"/>
        <w:w w:val="95"/>
        <w:szCs w:val="22"/>
      </w:rPr>
      <w:t>|</w:t>
    </w:r>
    <w:r w:rsidRPr="00996F36">
      <w:rPr>
        <w:color w:val="231F20"/>
        <w:spacing w:val="-2"/>
        <w:szCs w:val="22"/>
      </w:rPr>
      <w:t xml:space="preserve"> </w:t>
    </w:r>
    <w:r>
      <w:rPr>
        <w:color w:val="231F20"/>
        <w:spacing w:val="-2"/>
        <w:szCs w:val="22"/>
      </w:rPr>
      <w:t xml:space="preserve">Annual Report 2021/22: </w:t>
    </w:r>
    <w:r>
      <w:rPr>
        <w:color w:val="231F20"/>
        <w:spacing w:val="-2"/>
        <w:w w:val="95"/>
        <w:szCs w:val="22"/>
      </w:rPr>
      <w:t>Foreword and Executive Summary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4DBC" w14:textId="4F3BD9FC" w:rsidR="00D7573A" w:rsidRDefault="006116FD">
    <w:pPr>
      <w:pStyle w:val="Footer"/>
    </w:pPr>
    <w:r>
      <w:rPr>
        <w:color w:val="231F20"/>
        <w:spacing w:val="-3"/>
        <w:szCs w:val="22"/>
      </w:rPr>
      <w:t>G.60 MSD</w:t>
    </w:r>
    <w:r w:rsidRPr="00996F36">
      <w:rPr>
        <w:color w:val="231F20"/>
        <w:spacing w:val="-2"/>
        <w:szCs w:val="22"/>
      </w:rPr>
      <w:t xml:space="preserve"> </w:t>
    </w:r>
    <w:r w:rsidRPr="00996F36">
      <w:rPr>
        <w:color w:val="231F20"/>
        <w:spacing w:val="-2"/>
        <w:w w:val="95"/>
        <w:szCs w:val="22"/>
      </w:rPr>
      <w:t>|</w:t>
    </w:r>
    <w:r w:rsidRPr="00996F36">
      <w:rPr>
        <w:color w:val="231F20"/>
        <w:spacing w:val="-2"/>
        <w:szCs w:val="22"/>
      </w:rPr>
      <w:t xml:space="preserve"> </w:t>
    </w:r>
    <w:r>
      <w:rPr>
        <w:color w:val="231F20"/>
        <w:spacing w:val="-2"/>
        <w:szCs w:val="22"/>
      </w:rPr>
      <w:t xml:space="preserve">Annual Report 2021/22: </w:t>
    </w:r>
    <w:r>
      <w:rPr>
        <w:color w:val="231F20"/>
        <w:spacing w:val="-2"/>
        <w:w w:val="95"/>
        <w:szCs w:val="22"/>
      </w:rPr>
      <w:t>Foreword and Executive Summary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6B1F" w14:textId="77777777" w:rsidR="006116FD" w:rsidRDefault="006116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641E" w14:textId="7D04C43B" w:rsidR="00DB01CC" w:rsidRPr="009E20F2" w:rsidRDefault="00541DA4" w:rsidP="00996F36">
    <w:pPr>
      <w:pStyle w:val="Footer"/>
      <w:tabs>
        <w:tab w:val="clear" w:pos="4513"/>
      </w:tabs>
    </w:pPr>
    <w:r w:rsidRPr="009E20F2">
      <w:t xml:space="preserve">Page </w:t>
    </w:r>
    <w:r w:rsidRPr="009E20F2">
      <w:fldChar w:fldCharType="begin"/>
    </w:r>
    <w:r w:rsidRPr="009E20F2">
      <w:instrText xml:space="preserve"> PAGE   \* MERGEFORMAT </w:instrText>
    </w:r>
    <w:r w:rsidRPr="009E20F2">
      <w:fldChar w:fldCharType="separate"/>
    </w:r>
    <w:r w:rsidR="00B812CC">
      <w:rPr>
        <w:noProof/>
      </w:rPr>
      <w:t>2</w:t>
    </w:r>
    <w:r w:rsidRPr="009E20F2">
      <w:rPr>
        <w:noProof/>
      </w:rPr>
      <w:fldChar w:fldCharType="end"/>
    </w:r>
    <w:r>
      <w:rPr>
        <w:noProof/>
      </w:rPr>
      <w:tab/>
    </w:r>
    <w:r w:rsidR="009A1DD4">
      <w:rPr>
        <w:color w:val="231F20"/>
        <w:spacing w:val="-3"/>
        <w:szCs w:val="22"/>
      </w:rPr>
      <w:t>G.60 MSD</w:t>
    </w:r>
    <w:r w:rsidR="00996F36" w:rsidRPr="00996F36">
      <w:rPr>
        <w:color w:val="231F20"/>
        <w:spacing w:val="-2"/>
        <w:szCs w:val="22"/>
      </w:rPr>
      <w:t xml:space="preserve"> </w:t>
    </w:r>
    <w:r w:rsidR="00996F36" w:rsidRPr="00996F36">
      <w:rPr>
        <w:color w:val="231F20"/>
        <w:spacing w:val="-2"/>
        <w:w w:val="95"/>
        <w:szCs w:val="22"/>
      </w:rPr>
      <w:t>|</w:t>
    </w:r>
    <w:r w:rsidR="00996F36" w:rsidRPr="00996F36">
      <w:rPr>
        <w:color w:val="231F20"/>
        <w:spacing w:val="-2"/>
        <w:szCs w:val="22"/>
      </w:rPr>
      <w:t xml:space="preserve"> </w:t>
    </w:r>
    <w:r w:rsidR="009A1DD4">
      <w:rPr>
        <w:color w:val="231F20"/>
        <w:spacing w:val="-2"/>
        <w:szCs w:val="22"/>
      </w:rPr>
      <w:t xml:space="preserve">Annual Report 2021/22: </w:t>
    </w:r>
    <w:r w:rsidR="009A1DD4">
      <w:rPr>
        <w:color w:val="231F20"/>
        <w:spacing w:val="-2"/>
        <w:w w:val="95"/>
        <w:szCs w:val="22"/>
      </w:rPr>
      <w:t>Foreword and Executive Summary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EC08" w14:textId="410CF097" w:rsidR="00312697" w:rsidRPr="00DB01CC" w:rsidRDefault="009A1DD4" w:rsidP="00B812CC">
    <w:pPr>
      <w:pStyle w:val="Footer"/>
    </w:pPr>
    <w:r>
      <w:rPr>
        <w:color w:val="231F20"/>
        <w:spacing w:val="-3"/>
        <w:szCs w:val="22"/>
      </w:rPr>
      <w:t>G.60 MSD</w:t>
    </w:r>
    <w:r w:rsidRPr="00996F36">
      <w:rPr>
        <w:color w:val="231F20"/>
        <w:spacing w:val="-2"/>
        <w:szCs w:val="22"/>
      </w:rPr>
      <w:t xml:space="preserve"> </w:t>
    </w:r>
    <w:r w:rsidRPr="00996F36">
      <w:rPr>
        <w:color w:val="231F20"/>
        <w:spacing w:val="-2"/>
        <w:w w:val="95"/>
        <w:szCs w:val="22"/>
      </w:rPr>
      <w:t>|</w:t>
    </w:r>
    <w:r w:rsidRPr="00996F36">
      <w:rPr>
        <w:color w:val="231F20"/>
        <w:spacing w:val="-2"/>
        <w:szCs w:val="22"/>
      </w:rPr>
      <w:t xml:space="preserve"> </w:t>
    </w:r>
    <w:r>
      <w:rPr>
        <w:color w:val="231F20"/>
        <w:spacing w:val="-2"/>
        <w:szCs w:val="22"/>
      </w:rPr>
      <w:t>Annual Report 2021/22:</w:t>
    </w:r>
    <w:r w:rsidR="006116FD">
      <w:rPr>
        <w:color w:val="231F20"/>
        <w:spacing w:val="-2"/>
        <w:szCs w:val="22"/>
      </w:rPr>
      <w:t xml:space="preserve"> </w:t>
    </w:r>
    <w:r>
      <w:rPr>
        <w:color w:val="231F20"/>
        <w:spacing w:val="-2"/>
        <w:w w:val="95"/>
        <w:szCs w:val="22"/>
      </w:rPr>
      <w:t>Foreword and Executive Summary</w:t>
    </w:r>
    <w:r w:rsidR="00A35350">
      <w:rPr>
        <w:noProof/>
      </w:rPr>
      <w:tab/>
    </w:r>
    <w:r w:rsidR="00541DA4" w:rsidRPr="00DB01CC">
      <w:t xml:space="preserve">Page </w:t>
    </w:r>
    <w:r w:rsidR="00541DA4" w:rsidRPr="00DB01CC">
      <w:fldChar w:fldCharType="begin"/>
    </w:r>
    <w:r w:rsidR="00541DA4" w:rsidRPr="00DB01CC">
      <w:instrText xml:space="preserve"> PAGE   \* MERGEFORMAT </w:instrText>
    </w:r>
    <w:r w:rsidR="00541DA4" w:rsidRPr="00DB01CC">
      <w:fldChar w:fldCharType="separate"/>
    </w:r>
    <w:r w:rsidR="00B812CC">
      <w:rPr>
        <w:noProof/>
      </w:rPr>
      <w:t>1</w:t>
    </w:r>
    <w:r w:rsidR="00541DA4" w:rsidRPr="00DB01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D0BD" w14:textId="77777777" w:rsidR="00FC35E8" w:rsidRPr="00406740" w:rsidRDefault="00FC35E8" w:rsidP="00406740">
      <w:pPr>
        <w:pStyle w:val="Footer"/>
      </w:pPr>
    </w:p>
  </w:footnote>
  <w:footnote w:type="continuationSeparator" w:id="0">
    <w:p w14:paraId="06D406B0" w14:textId="77777777" w:rsidR="00FC35E8" w:rsidRDefault="00FC35E8" w:rsidP="00B812CC">
      <w:r>
        <w:continuationSeparator/>
      </w:r>
    </w:p>
    <w:p w14:paraId="0F1141CB" w14:textId="77777777" w:rsidR="00FC35E8" w:rsidRDefault="00FC35E8" w:rsidP="00B812CC"/>
    <w:p w14:paraId="2415B089" w14:textId="77777777" w:rsidR="00FC35E8" w:rsidRDefault="00FC35E8" w:rsidP="00B812CC"/>
    <w:p w14:paraId="6F223C8D" w14:textId="77777777" w:rsidR="00FC35E8" w:rsidRDefault="00FC35E8" w:rsidP="00B812CC"/>
    <w:p w14:paraId="0F79E3B0" w14:textId="77777777" w:rsidR="00FC35E8" w:rsidRDefault="00FC35E8"/>
  </w:footnote>
  <w:footnote w:id="1">
    <w:p w14:paraId="053C620F" w14:textId="4074D412" w:rsidR="00C677B2" w:rsidRPr="00873EBD" w:rsidRDefault="00C677B2" w:rsidP="00873EBD">
      <w:pPr>
        <w:rPr>
          <w:sz w:val="20"/>
        </w:rPr>
      </w:pPr>
      <w:r w:rsidRPr="00873EBD">
        <w:rPr>
          <w:sz w:val="20"/>
        </w:rPr>
        <w:footnoteRef/>
      </w:r>
      <w:r w:rsidRPr="00873EBD">
        <w:rPr>
          <w:sz w:val="20"/>
        </w:rPr>
        <w:t xml:space="preserve"> See </w:t>
      </w:r>
      <w:hyperlink r:id="rId1" w:history="1">
        <w:r w:rsidR="00873EBD" w:rsidRPr="00873EBD">
          <w:rPr>
            <w:rStyle w:val="Hyperlink"/>
            <w:sz w:val="20"/>
          </w:rPr>
          <w:t>How we will assess our performance</w:t>
        </w:r>
      </w:hyperlink>
      <w:r w:rsidR="00873EBD" w:rsidRPr="00873EBD">
        <w:rPr>
          <w:sz w:val="20"/>
        </w:rPr>
        <w:t xml:space="preserve"> [PDF, 139 kilobytes</w:t>
      </w:r>
      <w:r w:rsidR="00F04C7A">
        <w:rPr>
          <w:sz w:val="20"/>
        </w:rPr>
        <w:t>, 1 page</w:t>
      </w:r>
      <w:r w:rsidR="00873EBD" w:rsidRPr="00873EBD">
        <w:rPr>
          <w:sz w:val="20"/>
        </w:rPr>
        <w:t>]. The name of the document is ‘How performance will be assessed in 2018/2019’.</w:t>
      </w:r>
    </w:p>
  </w:footnote>
  <w:footnote w:id="2">
    <w:p w14:paraId="65EE3EAC" w14:textId="4BCB6C1F" w:rsidR="0096276C" w:rsidRPr="00873EBD" w:rsidRDefault="0096276C" w:rsidP="00873EBD">
      <w:pPr>
        <w:rPr>
          <w:sz w:val="20"/>
        </w:rPr>
      </w:pPr>
      <w:r w:rsidRPr="00873EBD">
        <w:rPr>
          <w:sz w:val="20"/>
        </w:rPr>
        <w:footnoteRef/>
      </w:r>
      <w:r w:rsidRPr="00873EBD">
        <w:rPr>
          <w:sz w:val="20"/>
        </w:rPr>
        <w:t xml:space="preserve"> MSD</w:t>
      </w:r>
      <w:r w:rsidR="00EE524A" w:rsidRPr="00873EBD">
        <w:rPr>
          <w:sz w:val="20"/>
        </w:rPr>
        <w:t>’</w:t>
      </w:r>
      <w:r w:rsidRPr="00873EBD">
        <w:rPr>
          <w:sz w:val="20"/>
        </w:rPr>
        <w:t xml:space="preserve">s </w:t>
      </w:r>
      <w:hyperlink r:id="rId2" w:history="1">
        <w:r w:rsidRPr="00873EBD">
          <w:rPr>
            <w:rStyle w:val="Hyperlink"/>
            <w:sz w:val="20"/>
          </w:rPr>
          <w:t>2020/21 Annual Report</w:t>
        </w:r>
      </w:hyperlink>
      <w:r w:rsidRPr="00873EBD">
        <w:rPr>
          <w:sz w:val="20"/>
        </w:rPr>
        <w:t xml:space="preserve"> </w:t>
      </w:r>
      <w:r w:rsidR="00F04C7A">
        <w:rPr>
          <w:sz w:val="20"/>
        </w:rPr>
        <w:t xml:space="preserve">reported </w:t>
      </w:r>
      <w:r w:rsidRPr="00873EBD">
        <w:rPr>
          <w:sz w:val="20"/>
        </w:rPr>
        <w:t xml:space="preserve">this as a rounded figure of 84 percent. </w:t>
      </w:r>
      <w:r w:rsidR="00F04C7A">
        <w:rPr>
          <w:sz w:val="20"/>
        </w:rPr>
        <w:t>For this year’s 2021/22 annual report</w:t>
      </w:r>
      <w:r w:rsidRPr="00873EBD">
        <w:rPr>
          <w:sz w:val="20"/>
        </w:rPr>
        <w:t xml:space="preserve">, we have revised </w:t>
      </w:r>
      <w:r w:rsidR="00F04C7A">
        <w:rPr>
          <w:sz w:val="20"/>
        </w:rPr>
        <w:t xml:space="preserve">the figure </w:t>
      </w:r>
      <w:r w:rsidRPr="00873EBD">
        <w:rPr>
          <w:sz w:val="20"/>
        </w:rPr>
        <w:t>to 83.5 percent</w:t>
      </w:r>
      <w:r w:rsidR="00F04C7A">
        <w:rPr>
          <w:sz w:val="20"/>
        </w:rPr>
        <w:t>. The reason is</w:t>
      </w:r>
      <w:r w:rsidRPr="00873EBD">
        <w:rPr>
          <w:sz w:val="20"/>
        </w:rPr>
        <w:t xml:space="preserve"> to ensure consistency in the application of decimal place rounding throughout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BCDF" w14:textId="77777777" w:rsidR="006116FD" w:rsidRDefault="00611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3E0E" w14:textId="77777777" w:rsidR="006116FD" w:rsidRDefault="00611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E570" w14:textId="77777777" w:rsidR="006116FD" w:rsidRDefault="00611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12AAB3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2561004"/>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07383231"/>
    <w:multiLevelType w:val="hybridMultilevel"/>
    <w:tmpl w:val="8C02A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555407"/>
    <w:multiLevelType w:val="hybridMultilevel"/>
    <w:tmpl w:val="A468ACF6"/>
    <w:lvl w:ilvl="0" w:tplc="0D60640E">
      <w:numFmt w:val="bullet"/>
      <w:lvlText w:val="•"/>
      <w:lvlJc w:val="left"/>
      <w:pPr>
        <w:ind w:left="1404" w:hanging="284"/>
      </w:pPr>
      <w:rPr>
        <w:rFonts w:ascii="Calibri" w:eastAsia="Calibri" w:hAnsi="Calibri" w:cs="Calibri" w:hint="default"/>
        <w:b/>
        <w:bCs/>
        <w:i w:val="0"/>
        <w:iCs w:val="0"/>
        <w:color w:val="231F20"/>
        <w:w w:val="70"/>
        <w:sz w:val="24"/>
        <w:szCs w:val="24"/>
        <w:lang w:val="en-US" w:eastAsia="en-US" w:bidi="ar-SA"/>
      </w:rPr>
    </w:lvl>
    <w:lvl w:ilvl="1" w:tplc="081EB144">
      <w:numFmt w:val="bullet"/>
      <w:lvlText w:val="•"/>
      <w:lvlJc w:val="left"/>
      <w:pPr>
        <w:ind w:left="2392" w:hanging="284"/>
      </w:pPr>
      <w:rPr>
        <w:rFonts w:hint="default"/>
        <w:lang w:val="en-US" w:eastAsia="en-US" w:bidi="ar-SA"/>
      </w:rPr>
    </w:lvl>
    <w:lvl w:ilvl="2" w:tplc="02524C48">
      <w:numFmt w:val="bullet"/>
      <w:lvlText w:val="•"/>
      <w:lvlJc w:val="left"/>
      <w:pPr>
        <w:ind w:left="3385" w:hanging="284"/>
      </w:pPr>
      <w:rPr>
        <w:rFonts w:hint="default"/>
        <w:lang w:val="en-US" w:eastAsia="en-US" w:bidi="ar-SA"/>
      </w:rPr>
    </w:lvl>
    <w:lvl w:ilvl="3" w:tplc="D1A8D9BA">
      <w:numFmt w:val="bullet"/>
      <w:lvlText w:val="•"/>
      <w:lvlJc w:val="left"/>
      <w:pPr>
        <w:ind w:left="4377" w:hanging="284"/>
      </w:pPr>
      <w:rPr>
        <w:rFonts w:hint="default"/>
        <w:lang w:val="en-US" w:eastAsia="en-US" w:bidi="ar-SA"/>
      </w:rPr>
    </w:lvl>
    <w:lvl w:ilvl="4" w:tplc="2E886412">
      <w:numFmt w:val="bullet"/>
      <w:lvlText w:val="•"/>
      <w:lvlJc w:val="left"/>
      <w:pPr>
        <w:ind w:left="5370" w:hanging="284"/>
      </w:pPr>
      <w:rPr>
        <w:rFonts w:hint="default"/>
        <w:lang w:val="en-US" w:eastAsia="en-US" w:bidi="ar-SA"/>
      </w:rPr>
    </w:lvl>
    <w:lvl w:ilvl="5" w:tplc="88327B4A">
      <w:numFmt w:val="bullet"/>
      <w:lvlText w:val="•"/>
      <w:lvlJc w:val="left"/>
      <w:pPr>
        <w:ind w:left="6362" w:hanging="284"/>
      </w:pPr>
      <w:rPr>
        <w:rFonts w:hint="default"/>
        <w:lang w:val="en-US" w:eastAsia="en-US" w:bidi="ar-SA"/>
      </w:rPr>
    </w:lvl>
    <w:lvl w:ilvl="6" w:tplc="48AAF33A">
      <w:numFmt w:val="bullet"/>
      <w:lvlText w:val="•"/>
      <w:lvlJc w:val="left"/>
      <w:pPr>
        <w:ind w:left="7355" w:hanging="284"/>
      </w:pPr>
      <w:rPr>
        <w:rFonts w:hint="default"/>
        <w:lang w:val="en-US" w:eastAsia="en-US" w:bidi="ar-SA"/>
      </w:rPr>
    </w:lvl>
    <w:lvl w:ilvl="7" w:tplc="B2BEA376">
      <w:numFmt w:val="bullet"/>
      <w:lvlText w:val="•"/>
      <w:lvlJc w:val="left"/>
      <w:pPr>
        <w:ind w:left="8347" w:hanging="284"/>
      </w:pPr>
      <w:rPr>
        <w:rFonts w:hint="default"/>
        <w:lang w:val="en-US" w:eastAsia="en-US" w:bidi="ar-SA"/>
      </w:rPr>
    </w:lvl>
    <w:lvl w:ilvl="8" w:tplc="4DF63DC8">
      <w:numFmt w:val="bullet"/>
      <w:lvlText w:val="•"/>
      <w:lvlJc w:val="left"/>
      <w:pPr>
        <w:ind w:left="9340" w:hanging="284"/>
      </w:pPr>
      <w:rPr>
        <w:rFonts w:hint="default"/>
        <w:lang w:val="en-US" w:eastAsia="en-US" w:bidi="ar-SA"/>
      </w:rPr>
    </w:lvl>
  </w:abstractNum>
  <w:abstractNum w:abstractNumId="4" w15:restartNumberingAfterBreak="0">
    <w:nsid w:val="10D60A34"/>
    <w:multiLevelType w:val="hybridMultilevel"/>
    <w:tmpl w:val="89087920"/>
    <w:lvl w:ilvl="0" w:tplc="650E64C2">
      <w:start w:val="1"/>
      <w:numFmt w:val="bullet"/>
      <w:pStyle w:val="Bullet2"/>
      <w:lvlText w:val="-"/>
      <w:lvlJc w:val="left"/>
      <w:pPr>
        <w:tabs>
          <w:tab w:val="num" w:pos="797"/>
        </w:tabs>
        <w:ind w:left="79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8"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9"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1C4174"/>
    <w:multiLevelType w:val="hybridMultilevel"/>
    <w:tmpl w:val="A482AE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4E024E6"/>
    <w:multiLevelType w:val="hybridMultilevel"/>
    <w:tmpl w:val="8EE46B4E"/>
    <w:lvl w:ilvl="0" w:tplc="1FC08446">
      <w:numFmt w:val="bullet"/>
      <w:lvlText w:val="•"/>
      <w:lvlJc w:val="left"/>
      <w:pPr>
        <w:ind w:left="851" w:hanging="284"/>
      </w:pPr>
      <w:rPr>
        <w:rFonts w:ascii="Calibri" w:eastAsia="Calibri" w:hAnsi="Calibri" w:cs="Calibri" w:hint="default"/>
        <w:b/>
        <w:bCs/>
        <w:i w:val="0"/>
        <w:iCs w:val="0"/>
        <w:color w:val="231F20"/>
        <w:w w:val="70"/>
        <w:sz w:val="24"/>
        <w:szCs w:val="24"/>
        <w:lang w:val="en-US" w:eastAsia="en-US" w:bidi="ar-SA"/>
      </w:rPr>
    </w:lvl>
    <w:lvl w:ilvl="1" w:tplc="EE20DDC8">
      <w:numFmt w:val="bullet"/>
      <w:lvlText w:val="•"/>
      <w:lvlJc w:val="left"/>
      <w:pPr>
        <w:ind w:left="1405" w:hanging="284"/>
      </w:pPr>
      <w:rPr>
        <w:rFonts w:ascii="Calibri" w:eastAsia="Calibri" w:hAnsi="Calibri" w:cs="Calibri" w:hint="default"/>
        <w:b/>
        <w:bCs/>
        <w:i w:val="0"/>
        <w:iCs w:val="0"/>
        <w:color w:val="231F20"/>
        <w:w w:val="70"/>
        <w:sz w:val="24"/>
        <w:szCs w:val="24"/>
        <w:lang w:val="en-US" w:eastAsia="en-US" w:bidi="ar-SA"/>
      </w:rPr>
    </w:lvl>
    <w:lvl w:ilvl="2" w:tplc="DF30F930">
      <w:numFmt w:val="bullet"/>
      <w:lvlText w:val="•"/>
      <w:lvlJc w:val="left"/>
      <w:pPr>
        <w:ind w:left="2502" w:hanging="284"/>
      </w:pPr>
      <w:rPr>
        <w:rFonts w:hint="default"/>
        <w:lang w:val="en-US" w:eastAsia="en-US" w:bidi="ar-SA"/>
      </w:rPr>
    </w:lvl>
    <w:lvl w:ilvl="3" w:tplc="5F1E82F6">
      <w:numFmt w:val="bullet"/>
      <w:lvlText w:val="•"/>
      <w:lvlJc w:val="left"/>
      <w:pPr>
        <w:ind w:left="3605" w:hanging="284"/>
      </w:pPr>
      <w:rPr>
        <w:rFonts w:hint="default"/>
        <w:lang w:val="en-US" w:eastAsia="en-US" w:bidi="ar-SA"/>
      </w:rPr>
    </w:lvl>
    <w:lvl w:ilvl="4" w:tplc="B82E68BE">
      <w:numFmt w:val="bullet"/>
      <w:lvlText w:val="•"/>
      <w:lvlJc w:val="left"/>
      <w:pPr>
        <w:ind w:left="4708" w:hanging="284"/>
      </w:pPr>
      <w:rPr>
        <w:rFonts w:hint="default"/>
        <w:lang w:val="en-US" w:eastAsia="en-US" w:bidi="ar-SA"/>
      </w:rPr>
    </w:lvl>
    <w:lvl w:ilvl="5" w:tplc="9ACAB362">
      <w:numFmt w:val="bullet"/>
      <w:lvlText w:val="•"/>
      <w:lvlJc w:val="left"/>
      <w:pPr>
        <w:ind w:left="5811" w:hanging="284"/>
      </w:pPr>
      <w:rPr>
        <w:rFonts w:hint="default"/>
        <w:lang w:val="en-US" w:eastAsia="en-US" w:bidi="ar-SA"/>
      </w:rPr>
    </w:lvl>
    <w:lvl w:ilvl="6" w:tplc="5F86317E">
      <w:numFmt w:val="bullet"/>
      <w:lvlText w:val="•"/>
      <w:lvlJc w:val="left"/>
      <w:pPr>
        <w:ind w:left="6914" w:hanging="284"/>
      </w:pPr>
      <w:rPr>
        <w:rFonts w:hint="default"/>
        <w:lang w:val="en-US" w:eastAsia="en-US" w:bidi="ar-SA"/>
      </w:rPr>
    </w:lvl>
    <w:lvl w:ilvl="7" w:tplc="219A89AC">
      <w:numFmt w:val="bullet"/>
      <w:lvlText w:val="•"/>
      <w:lvlJc w:val="left"/>
      <w:pPr>
        <w:ind w:left="8017" w:hanging="284"/>
      </w:pPr>
      <w:rPr>
        <w:rFonts w:hint="default"/>
        <w:lang w:val="en-US" w:eastAsia="en-US" w:bidi="ar-SA"/>
      </w:rPr>
    </w:lvl>
    <w:lvl w:ilvl="8" w:tplc="143EFB80">
      <w:numFmt w:val="bullet"/>
      <w:lvlText w:val="•"/>
      <w:lvlJc w:val="left"/>
      <w:pPr>
        <w:ind w:left="9119" w:hanging="284"/>
      </w:pPr>
      <w:rPr>
        <w:rFonts w:hint="default"/>
        <w:lang w:val="en-US" w:eastAsia="en-US" w:bidi="ar-SA"/>
      </w:rPr>
    </w:lvl>
  </w:abstractNum>
  <w:abstractNum w:abstractNumId="12" w15:restartNumberingAfterBreak="0">
    <w:nsid w:val="7E0D1CC7"/>
    <w:multiLevelType w:val="multilevel"/>
    <w:tmpl w:val="62561004"/>
    <w:styleLink w:val="CurrentList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E362E58"/>
    <w:multiLevelType w:val="hybridMultilevel"/>
    <w:tmpl w:val="1EFC30FE"/>
    <w:lvl w:ilvl="0" w:tplc="DA740C72">
      <w:numFmt w:val="bullet"/>
      <w:lvlText w:val="•"/>
      <w:lvlJc w:val="left"/>
      <w:pPr>
        <w:ind w:left="837" w:hanging="284"/>
      </w:pPr>
      <w:rPr>
        <w:rFonts w:ascii="Calibri" w:eastAsia="Calibri" w:hAnsi="Calibri" w:cs="Calibri" w:hint="default"/>
        <w:b/>
        <w:bCs/>
        <w:i w:val="0"/>
        <w:iCs w:val="0"/>
        <w:color w:val="231F20"/>
        <w:w w:val="70"/>
        <w:sz w:val="24"/>
        <w:szCs w:val="24"/>
        <w:lang w:val="en-US" w:eastAsia="en-US" w:bidi="ar-SA"/>
      </w:rPr>
    </w:lvl>
    <w:lvl w:ilvl="1" w:tplc="DF4CF4D4">
      <w:numFmt w:val="bullet"/>
      <w:lvlText w:val="•"/>
      <w:lvlJc w:val="left"/>
      <w:pPr>
        <w:ind w:left="1410" w:hanging="284"/>
      </w:pPr>
      <w:rPr>
        <w:rFonts w:ascii="Calibri" w:eastAsia="Calibri" w:hAnsi="Calibri" w:cs="Calibri" w:hint="default"/>
        <w:b/>
        <w:bCs/>
        <w:i w:val="0"/>
        <w:iCs w:val="0"/>
        <w:color w:val="231F20"/>
        <w:w w:val="70"/>
        <w:sz w:val="24"/>
        <w:szCs w:val="24"/>
        <w:lang w:val="en-US" w:eastAsia="en-US" w:bidi="ar-SA"/>
      </w:rPr>
    </w:lvl>
    <w:lvl w:ilvl="2" w:tplc="EDAC6002">
      <w:numFmt w:val="bullet"/>
      <w:lvlText w:val="•"/>
      <w:lvlJc w:val="left"/>
      <w:pPr>
        <w:ind w:left="1335" w:hanging="284"/>
      </w:pPr>
      <w:rPr>
        <w:rFonts w:hint="default"/>
        <w:lang w:val="en-US" w:eastAsia="en-US" w:bidi="ar-SA"/>
      </w:rPr>
    </w:lvl>
    <w:lvl w:ilvl="3" w:tplc="8D7C4338">
      <w:numFmt w:val="bullet"/>
      <w:lvlText w:val="•"/>
      <w:lvlJc w:val="left"/>
      <w:pPr>
        <w:ind w:left="1251" w:hanging="284"/>
      </w:pPr>
      <w:rPr>
        <w:rFonts w:hint="default"/>
        <w:lang w:val="en-US" w:eastAsia="en-US" w:bidi="ar-SA"/>
      </w:rPr>
    </w:lvl>
    <w:lvl w:ilvl="4" w:tplc="2BB88BC0">
      <w:numFmt w:val="bullet"/>
      <w:lvlText w:val="•"/>
      <w:lvlJc w:val="left"/>
      <w:pPr>
        <w:ind w:left="1167" w:hanging="284"/>
      </w:pPr>
      <w:rPr>
        <w:rFonts w:hint="default"/>
        <w:lang w:val="en-US" w:eastAsia="en-US" w:bidi="ar-SA"/>
      </w:rPr>
    </w:lvl>
    <w:lvl w:ilvl="5" w:tplc="BCB269D8">
      <w:numFmt w:val="bullet"/>
      <w:lvlText w:val="•"/>
      <w:lvlJc w:val="left"/>
      <w:pPr>
        <w:ind w:left="1083" w:hanging="284"/>
      </w:pPr>
      <w:rPr>
        <w:rFonts w:hint="default"/>
        <w:lang w:val="en-US" w:eastAsia="en-US" w:bidi="ar-SA"/>
      </w:rPr>
    </w:lvl>
    <w:lvl w:ilvl="6" w:tplc="E73C7D90">
      <w:numFmt w:val="bullet"/>
      <w:lvlText w:val="•"/>
      <w:lvlJc w:val="left"/>
      <w:pPr>
        <w:ind w:left="998" w:hanging="284"/>
      </w:pPr>
      <w:rPr>
        <w:rFonts w:hint="default"/>
        <w:lang w:val="en-US" w:eastAsia="en-US" w:bidi="ar-SA"/>
      </w:rPr>
    </w:lvl>
    <w:lvl w:ilvl="7" w:tplc="7012D142">
      <w:numFmt w:val="bullet"/>
      <w:lvlText w:val="•"/>
      <w:lvlJc w:val="left"/>
      <w:pPr>
        <w:ind w:left="914" w:hanging="284"/>
      </w:pPr>
      <w:rPr>
        <w:rFonts w:hint="default"/>
        <w:lang w:val="en-US" w:eastAsia="en-US" w:bidi="ar-SA"/>
      </w:rPr>
    </w:lvl>
    <w:lvl w:ilvl="8" w:tplc="64048BD0">
      <w:numFmt w:val="bullet"/>
      <w:lvlText w:val="•"/>
      <w:lvlJc w:val="left"/>
      <w:pPr>
        <w:ind w:left="830" w:hanging="284"/>
      </w:pPr>
      <w:rPr>
        <w:rFonts w:hint="default"/>
        <w:lang w:val="en-US" w:eastAsia="en-US" w:bidi="ar-SA"/>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9"/>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10"/>
  </w:num>
  <w:num w:numId="12">
    <w:abstractNumId w:val="4"/>
  </w:num>
  <w:num w:numId="13">
    <w:abstractNumId w:val="12"/>
  </w:num>
  <w:num w:numId="14">
    <w:abstractNumId w:val="11"/>
  </w:num>
  <w:num w:numId="15">
    <w:abstractNumId w:val="3"/>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CA"/>
    <w:rsid w:val="00000B4C"/>
    <w:rsid w:val="00002A75"/>
    <w:rsid w:val="000106D0"/>
    <w:rsid w:val="000130D7"/>
    <w:rsid w:val="000165E6"/>
    <w:rsid w:val="00034489"/>
    <w:rsid w:val="00037CB0"/>
    <w:rsid w:val="0004240D"/>
    <w:rsid w:val="000656FC"/>
    <w:rsid w:val="000812E3"/>
    <w:rsid w:val="0008394E"/>
    <w:rsid w:val="000C1900"/>
    <w:rsid w:val="000E3BB9"/>
    <w:rsid w:val="000E6478"/>
    <w:rsid w:val="000F7E4F"/>
    <w:rsid w:val="00106AED"/>
    <w:rsid w:val="00151526"/>
    <w:rsid w:val="00165B58"/>
    <w:rsid w:val="001800C6"/>
    <w:rsid w:val="00187357"/>
    <w:rsid w:val="001A59E7"/>
    <w:rsid w:val="001D1F28"/>
    <w:rsid w:val="001D3744"/>
    <w:rsid w:val="001D507A"/>
    <w:rsid w:val="00213DA6"/>
    <w:rsid w:val="00216302"/>
    <w:rsid w:val="00216BA5"/>
    <w:rsid w:val="00245A2B"/>
    <w:rsid w:val="002D1C62"/>
    <w:rsid w:val="00312697"/>
    <w:rsid w:val="00317D0D"/>
    <w:rsid w:val="00354EC2"/>
    <w:rsid w:val="0037771C"/>
    <w:rsid w:val="00406740"/>
    <w:rsid w:val="00414E8A"/>
    <w:rsid w:val="004226CA"/>
    <w:rsid w:val="004227ED"/>
    <w:rsid w:val="004363DB"/>
    <w:rsid w:val="00445BCE"/>
    <w:rsid w:val="00454F25"/>
    <w:rsid w:val="00474273"/>
    <w:rsid w:val="00484D39"/>
    <w:rsid w:val="004A76F0"/>
    <w:rsid w:val="004B6E5C"/>
    <w:rsid w:val="004C0AC6"/>
    <w:rsid w:val="004F5709"/>
    <w:rsid w:val="005114A8"/>
    <w:rsid w:val="00511910"/>
    <w:rsid w:val="00533E65"/>
    <w:rsid w:val="00541DA4"/>
    <w:rsid w:val="0056681E"/>
    <w:rsid w:val="00572AA9"/>
    <w:rsid w:val="00574FAF"/>
    <w:rsid w:val="00595906"/>
    <w:rsid w:val="005B11F9"/>
    <w:rsid w:val="005B3EB7"/>
    <w:rsid w:val="005C2100"/>
    <w:rsid w:val="005C2F37"/>
    <w:rsid w:val="005C7E68"/>
    <w:rsid w:val="005D2193"/>
    <w:rsid w:val="005D68EF"/>
    <w:rsid w:val="005E5E53"/>
    <w:rsid w:val="005F5063"/>
    <w:rsid w:val="005F5B92"/>
    <w:rsid w:val="006116FD"/>
    <w:rsid w:val="00616152"/>
    <w:rsid w:val="006207F6"/>
    <w:rsid w:val="006208A1"/>
    <w:rsid w:val="00631D73"/>
    <w:rsid w:val="0066419D"/>
    <w:rsid w:val="0068037C"/>
    <w:rsid w:val="006A2284"/>
    <w:rsid w:val="006A39FA"/>
    <w:rsid w:val="0070040B"/>
    <w:rsid w:val="007525AF"/>
    <w:rsid w:val="007814CC"/>
    <w:rsid w:val="007A0573"/>
    <w:rsid w:val="007B201A"/>
    <w:rsid w:val="008001F2"/>
    <w:rsid w:val="00801891"/>
    <w:rsid w:val="0080498F"/>
    <w:rsid w:val="0080656B"/>
    <w:rsid w:val="00815C88"/>
    <w:rsid w:val="00821A10"/>
    <w:rsid w:val="00826EB5"/>
    <w:rsid w:val="0085236A"/>
    <w:rsid w:val="00860654"/>
    <w:rsid w:val="00860ECE"/>
    <w:rsid w:val="00873EBD"/>
    <w:rsid w:val="0089060C"/>
    <w:rsid w:val="008B2AEC"/>
    <w:rsid w:val="008C4B1D"/>
    <w:rsid w:val="008D1BF8"/>
    <w:rsid w:val="008E7493"/>
    <w:rsid w:val="008F5E31"/>
    <w:rsid w:val="00903467"/>
    <w:rsid w:val="00906EAA"/>
    <w:rsid w:val="00920672"/>
    <w:rsid w:val="00932FA3"/>
    <w:rsid w:val="00956942"/>
    <w:rsid w:val="0096276C"/>
    <w:rsid w:val="00964FD8"/>
    <w:rsid w:val="00970DD2"/>
    <w:rsid w:val="00996F36"/>
    <w:rsid w:val="009A1DD4"/>
    <w:rsid w:val="009B7419"/>
    <w:rsid w:val="009C7FED"/>
    <w:rsid w:val="009D15F1"/>
    <w:rsid w:val="009D291B"/>
    <w:rsid w:val="009D2B10"/>
    <w:rsid w:val="009E20F2"/>
    <w:rsid w:val="009E3D6F"/>
    <w:rsid w:val="00A017E9"/>
    <w:rsid w:val="00A16CAD"/>
    <w:rsid w:val="00A25148"/>
    <w:rsid w:val="00A35350"/>
    <w:rsid w:val="00A41D36"/>
    <w:rsid w:val="00A43896"/>
    <w:rsid w:val="00A57727"/>
    <w:rsid w:val="00A6244E"/>
    <w:rsid w:val="00A85D1E"/>
    <w:rsid w:val="00A97F5D"/>
    <w:rsid w:val="00AE0574"/>
    <w:rsid w:val="00B0242D"/>
    <w:rsid w:val="00B05301"/>
    <w:rsid w:val="00B2038E"/>
    <w:rsid w:val="00B22222"/>
    <w:rsid w:val="00B41635"/>
    <w:rsid w:val="00B5357A"/>
    <w:rsid w:val="00B545D3"/>
    <w:rsid w:val="00B812CC"/>
    <w:rsid w:val="00B83061"/>
    <w:rsid w:val="00BB6050"/>
    <w:rsid w:val="00BB619F"/>
    <w:rsid w:val="00BC44F8"/>
    <w:rsid w:val="00BC726A"/>
    <w:rsid w:val="00BD6CBF"/>
    <w:rsid w:val="00BE3F35"/>
    <w:rsid w:val="00BF7F79"/>
    <w:rsid w:val="00C06686"/>
    <w:rsid w:val="00C06A39"/>
    <w:rsid w:val="00C24EE2"/>
    <w:rsid w:val="00C25E9D"/>
    <w:rsid w:val="00C32537"/>
    <w:rsid w:val="00C5215F"/>
    <w:rsid w:val="00C677B2"/>
    <w:rsid w:val="00C67C42"/>
    <w:rsid w:val="00C93F62"/>
    <w:rsid w:val="00CB4A28"/>
    <w:rsid w:val="00CD2A75"/>
    <w:rsid w:val="00CF09EA"/>
    <w:rsid w:val="00D25BD7"/>
    <w:rsid w:val="00D31036"/>
    <w:rsid w:val="00D34EA0"/>
    <w:rsid w:val="00D66115"/>
    <w:rsid w:val="00D716CE"/>
    <w:rsid w:val="00D7573A"/>
    <w:rsid w:val="00D8664E"/>
    <w:rsid w:val="00DB01CC"/>
    <w:rsid w:val="00DD7526"/>
    <w:rsid w:val="00DE5892"/>
    <w:rsid w:val="00E332DC"/>
    <w:rsid w:val="00E52490"/>
    <w:rsid w:val="00E671C3"/>
    <w:rsid w:val="00E90142"/>
    <w:rsid w:val="00E9269E"/>
    <w:rsid w:val="00EB2D7C"/>
    <w:rsid w:val="00EC2CE7"/>
    <w:rsid w:val="00EC5E83"/>
    <w:rsid w:val="00ED3ACF"/>
    <w:rsid w:val="00EE524A"/>
    <w:rsid w:val="00F04C7A"/>
    <w:rsid w:val="00F06EE8"/>
    <w:rsid w:val="00F07349"/>
    <w:rsid w:val="00F167CA"/>
    <w:rsid w:val="00F22AE5"/>
    <w:rsid w:val="00F91695"/>
    <w:rsid w:val="00F926FD"/>
    <w:rsid w:val="00F940E5"/>
    <w:rsid w:val="00FC35E8"/>
    <w:rsid w:val="00FD4ADD"/>
    <w:rsid w:val="00FF66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AB44A"/>
  <w15:docId w15:val="{1F709B82-8FBE-504A-8005-597D7C7F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locked="1"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E9"/>
    <w:pPr>
      <w:spacing w:after="120" w:line="288" w:lineRule="auto"/>
    </w:pPr>
    <w:rPr>
      <w:rFonts w:ascii="Verdana" w:hAnsi="Verdana" w:cs="Arial"/>
      <w:kern w:val="28"/>
      <w:sz w:val="22"/>
    </w:rPr>
  </w:style>
  <w:style w:type="paragraph" w:styleId="Heading1">
    <w:name w:val="heading 1"/>
    <w:basedOn w:val="Normal"/>
    <w:next w:val="Normal"/>
    <w:link w:val="Heading1Char"/>
    <w:uiPriority w:val="99"/>
    <w:qFormat/>
    <w:rsid w:val="00A017E9"/>
    <w:pPr>
      <w:keepNext/>
      <w:keepLines/>
      <w:spacing w:before="360" w:after="240"/>
      <w:ind w:right="-1440"/>
      <w:outlineLvl w:val="0"/>
    </w:pPr>
    <w:rPr>
      <w:rFonts w:ascii="Verdana Pro SemiBold" w:eastAsiaTheme="majorEastAsia" w:hAnsi="Verdana Pro SemiBold"/>
      <w:bCs/>
      <w:color w:val="121F6B"/>
      <w:kern w:val="0"/>
      <w:sz w:val="44"/>
      <w:szCs w:val="28"/>
    </w:rPr>
  </w:style>
  <w:style w:type="paragraph" w:styleId="Heading2">
    <w:name w:val="heading 2"/>
    <w:basedOn w:val="Normal"/>
    <w:next w:val="Normal"/>
    <w:link w:val="Heading2Char"/>
    <w:uiPriority w:val="99"/>
    <w:qFormat/>
    <w:rsid w:val="00826EB5"/>
    <w:pPr>
      <w:spacing w:before="240"/>
      <w:outlineLvl w:val="1"/>
    </w:pPr>
    <w:rPr>
      <w:rFonts w:ascii="Verdana Pro SemiBold" w:hAnsi="Verdana Pro SemiBold"/>
      <w:color w:val="121F6B"/>
      <w:sz w:val="32"/>
      <w:szCs w:val="28"/>
    </w:rPr>
  </w:style>
  <w:style w:type="paragraph" w:styleId="Heading3">
    <w:name w:val="heading 3"/>
    <w:basedOn w:val="Normal"/>
    <w:next w:val="Normal"/>
    <w:link w:val="Heading3Char"/>
    <w:uiPriority w:val="99"/>
    <w:qFormat/>
    <w:rsid w:val="00A017E9"/>
    <w:pPr>
      <w:keepNext/>
      <w:keepLines/>
      <w:spacing w:before="240"/>
      <w:outlineLvl w:val="2"/>
    </w:pPr>
    <w:rPr>
      <w:rFonts w:ascii="Verdana Pro SemiBold" w:eastAsiaTheme="majorEastAsia" w:hAnsi="Verdana Pro SemiBold"/>
      <w:b/>
      <w:bCs/>
      <w:kern w:val="0"/>
      <w:sz w:val="28"/>
      <w:szCs w:val="24"/>
      <w:lang w:eastAsia="en-AU"/>
    </w:rPr>
  </w:style>
  <w:style w:type="paragraph" w:styleId="Heading4">
    <w:name w:val="heading 4"/>
    <w:basedOn w:val="Normal"/>
    <w:next w:val="Normal"/>
    <w:link w:val="Heading4Char"/>
    <w:uiPriority w:val="99"/>
    <w:qFormat/>
    <w:rsid w:val="00F940E5"/>
    <w:pPr>
      <w:keepNext/>
      <w:keepLines/>
      <w:spacing w:before="240"/>
      <w:outlineLvl w:val="3"/>
    </w:pPr>
    <w:rPr>
      <w:rFonts w:ascii="Verdana Pro SemiBold" w:eastAsiaTheme="majorEastAsia" w:hAnsi="Verdana Pro SemiBold" w:cs="Times New Roman"/>
      <w:b/>
      <w:bCs/>
      <w:iCs/>
      <w:kern w:val="0"/>
      <w:sz w:val="24"/>
    </w:rPr>
  </w:style>
  <w:style w:type="paragraph" w:styleId="Heading5">
    <w:name w:val="heading 5"/>
    <w:basedOn w:val="Normal"/>
    <w:next w:val="Normal"/>
    <w:link w:val="Heading5Char"/>
    <w:uiPriority w:val="9"/>
    <w:semiHidden/>
    <w:unhideWhenUsed/>
    <w:rsid w:val="00F940E5"/>
    <w:pPr>
      <w:keepNext/>
      <w:keepLines/>
      <w:spacing w:before="200"/>
      <w:outlineLvl w:val="4"/>
    </w:pPr>
    <w:rPr>
      <w:rFonts w:ascii="Verdana Pro SemiBold" w:eastAsiaTheme="majorEastAsia" w:hAnsi="Verdana Pro SemiBold" w:cstheme="majorBidi"/>
      <w:color w:val="000000" w:themeColor="text1"/>
    </w:rPr>
  </w:style>
  <w:style w:type="paragraph" w:styleId="Heading6">
    <w:name w:val="heading 6"/>
    <w:basedOn w:val="Normal"/>
    <w:next w:val="Normal"/>
    <w:link w:val="Heading6Char"/>
    <w:uiPriority w:val="9"/>
    <w:semiHidden/>
    <w:unhideWhenUsed/>
    <w:locked/>
    <w:rsid w:val="00C677B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locked/>
    <w:rsid w:val="00BD6CB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locked/>
    <w:rsid w:val="00BD6CB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17E9"/>
    <w:rPr>
      <w:rFonts w:ascii="Verdana Pro SemiBold" w:eastAsiaTheme="majorEastAsia" w:hAnsi="Verdana Pro SemiBold" w:cs="Arial"/>
      <w:bCs/>
      <w:color w:val="121F6B"/>
      <w:sz w:val="44"/>
      <w:szCs w:val="28"/>
    </w:rPr>
  </w:style>
  <w:style w:type="character" w:customStyle="1" w:styleId="Heading2Char">
    <w:name w:val="Heading 2 Char"/>
    <w:basedOn w:val="DefaultParagraphFont"/>
    <w:link w:val="Heading2"/>
    <w:uiPriority w:val="99"/>
    <w:rsid w:val="00826EB5"/>
    <w:rPr>
      <w:rFonts w:ascii="Verdana Pro SemiBold" w:hAnsi="Verdana Pro SemiBold" w:cs="Arial"/>
      <w:color w:val="121F6B"/>
      <w:kern w:val="28"/>
      <w:sz w:val="32"/>
      <w:szCs w:val="28"/>
    </w:rPr>
  </w:style>
  <w:style w:type="character" w:customStyle="1" w:styleId="Heading3Char">
    <w:name w:val="Heading 3 Char"/>
    <w:basedOn w:val="DefaultParagraphFont"/>
    <w:link w:val="Heading3"/>
    <w:uiPriority w:val="99"/>
    <w:rsid w:val="00A017E9"/>
    <w:rPr>
      <w:rFonts w:ascii="Verdana Pro SemiBold" w:eastAsiaTheme="majorEastAsia" w:hAnsi="Verdana Pro SemiBold" w:cs="Arial"/>
      <w:b/>
      <w:bCs/>
      <w:sz w:val="28"/>
      <w:szCs w:val="24"/>
      <w:lang w:eastAsia="en-AU"/>
    </w:rPr>
  </w:style>
  <w:style w:type="character" w:customStyle="1" w:styleId="Heading4Char">
    <w:name w:val="Heading 4 Char"/>
    <w:basedOn w:val="DefaultParagraphFont"/>
    <w:link w:val="Heading4"/>
    <w:uiPriority w:val="99"/>
    <w:rsid w:val="00F940E5"/>
    <w:rPr>
      <w:rFonts w:ascii="Verdana Pro SemiBold" w:eastAsiaTheme="majorEastAsia" w:hAnsi="Verdana Pro SemiBold"/>
      <w:b/>
      <w:bCs/>
      <w:iCs/>
      <w:sz w:val="24"/>
    </w:rPr>
  </w:style>
  <w:style w:type="paragraph" w:styleId="ListParagraph">
    <w:name w:val="List Paragraph"/>
    <w:basedOn w:val="Normal"/>
    <w:uiPriority w:val="1"/>
    <w:qFormat/>
    <w:rsid w:val="00F167CA"/>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940E5"/>
    <w:pPr>
      <w:numPr>
        <w:numId w:val="4"/>
      </w:numPr>
      <w:spacing w:before="60"/>
      <w:ind w:left="454" w:hanging="454"/>
    </w:pPr>
  </w:style>
  <w:style w:type="paragraph" w:styleId="List2">
    <w:name w:val="List 2"/>
    <w:basedOn w:val="Normal"/>
    <w:uiPriority w:val="99"/>
    <w:rsid w:val="00F940E5"/>
    <w:pPr>
      <w:numPr>
        <w:ilvl w:val="1"/>
        <w:numId w:val="4"/>
      </w:numPr>
      <w:spacing w:before="60"/>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character" w:styleId="SubtleEmphasis">
    <w:name w:val="Subtle Emphasis"/>
    <w:basedOn w:val="DefaultParagraphFont"/>
    <w:uiPriority w:val="99"/>
    <w:rsid w:val="00F940E5"/>
    <w:rPr>
      <w:rFonts w:ascii="Verdana Pro SemiBold" w:hAnsi="Verdana Pro SemiBold" w:cs="Times New Roman"/>
      <w:b w:val="0"/>
      <w:i w:val="0"/>
      <w:iCs/>
      <w:color w:val="auto"/>
      <w:sz w:val="20"/>
    </w:rPr>
  </w:style>
  <w:style w:type="paragraph" w:customStyle="1" w:styleId="Bullet1">
    <w:name w:val="Bullet1"/>
    <w:basedOn w:val="Normal"/>
    <w:qFormat/>
    <w:rsid w:val="00F940E5"/>
    <w:pPr>
      <w:numPr>
        <w:numId w:val="9"/>
      </w:numPr>
      <w:tabs>
        <w:tab w:val="clear" w:pos="360"/>
      </w:tabs>
      <w:suppressAutoHyphens/>
      <w:autoSpaceDE w:val="0"/>
      <w:autoSpaceDN w:val="0"/>
      <w:adjustRightInd w:val="0"/>
      <w:spacing w:before="60"/>
      <w:ind w:left="284" w:hanging="284"/>
      <w:textAlignment w:val="center"/>
    </w:pPr>
    <w:rPr>
      <w:rFonts w:eastAsia="Times New Roman"/>
      <w:lang w:eastAsia="en-AU"/>
    </w:rPr>
  </w:style>
  <w:style w:type="paragraph" w:customStyle="1" w:styleId="Bullet2">
    <w:name w:val="Bullet2"/>
    <w:qFormat/>
    <w:rsid w:val="00F940E5"/>
    <w:pPr>
      <w:numPr>
        <w:numId w:val="12"/>
      </w:numPr>
      <w:spacing w:before="60" w:after="120" w:line="288" w:lineRule="auto"/>
      <w:ind w:left="709" w:hanging="425"/>
    </w:pPr>
    <w:rPr>
      <w:rFonts w:ascii="Verdana" w:eastAsia="Times New Roman" w:hAnsi="Verdana"/>
      <w:lang w:eastAsia="en-AU"/>
    </w:rPr>
  </w:style>
  <w:style w:type="character" w:customStyle="1" w:styleId="Heading5Char">
    <w:name w:val="Heading 5 Char"/>
    <w:basedOn w:val="DefaultParagraphFont"/>
    <w:link w:val="Heading5"/>
    <w:uiPriority w:val="9"/>
    <w:semiHidden/>
    <w:rsid w:val="00F940E5"/>
    <w:rPr>
      <w:rFonts w:ascii="Verdana Pro SemiBold" w:eastAsiaTheme="majorEastAsia" w:hAnsi="Verdana Pro SemiBold" w:cstheme="majorBidi"/>
      <w:color w:val="000000" w:themeColor="text1"/>
      <w:kern w:val="28"/>
      <w:sz w:val="22"/>
    </w:rPr>
  </w:style>
  <w:style w:type="character" w:styleId="Strong">
    <w:name w:val="Strong"/>
    <w:basedOn w:val="DefaultParagraphFont"/>
    <w:uiPriority w:val="22"/>
    <w:rsid w:val="00F940E5"/>
    <w:rPr>
      <w:rFonts w:ascii="Verdana" w:hAnsi="Verdana"/>
      <w:b/>
      <w:bCs/>
    </w:rPr>
  </w:style>
  <w:style w:type="paragraph" w:styleId="TOCHeading">
    <w:name w:val="TOC Heading"/>
    <w:basedOn w:val="Heading1"/>
    <w:next w:val="Normal"/>
    <w:uiPriority w:val="39"/>
    <w:unhideWhenUsed/>
    <w:qFormat/>
    <w:rsid w:val="00A017E9"/>
    <w:pPr>
      <w:spacing w:before="480" w:line="276" w:lineRule="auto"/>
      <w:outlineLvl w:val="9"/>
    </w:pPr>
    <w:rPr>
      <w:rFonts w:cstheme="majorBidi"/>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D31036"/>
    <w:pPr>
      <w:tabs>
        <w:tab w:val="right" w:leader="dot" w:pos="9016"/>
      </w:tabs>
      <w:spacing w:after="100"/>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iPriority w:val="35"/>
    <w:unhideWhenUsed/>
    <w:qFormat/>
    <w:locked/>
    <w:rsid w:val="00A017E9"/>
    <w:pPr>
      <w:spacing w:after="200" w:line="240" w:lineRule="auto"/>
    </w:pPr>
    <w:rPr>
      <w:rFonts w:ascii="Verdana Pro SemiBold" w:hAnsi="Verdana Pro SemiBold"/>
      <w:b/>
      <w:bCs/>
      <w:color w:val="121F6B"/>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Report">
    <w:name w:val="Report"/>
    <w:basedOn w:val="Normal"/>
    <w:qFormat/>
    <w:rsid w:val="00A017E9"/>
    <w:pPr>
      <w:spacing w:before="6960" w:after="0" w:line="960" w:lineRule="exact"/>
      <w:ind w:right="-1440"/>
    </w:pPr>
    <w:rPr>
      <w:rFonts w:ascii="Verdana Pro SemiBold" w:hAnsi="Verdana Pro SemiBold"/>
      <w:noProof/>
      <w:color w:val="FFFFFF" w:themeColor="background1"/>
      <w:sz w:val="96"/>
      <w:lang w:eastAsia="en-NZ"/>
    </w:rPr>
  </w:style>
  <w:style w:type="paragraph" w:customStyle="1" w:styleId="Report2">
    <w:name w:val="Report2"/>
    <w:qFormat/>
    <w:rsid w:val="00A017E9"/>
    <w:pPr>
      <w:spacing w:before="240"/>
    </w:pPr>
    <w:rPr>
      <w:rFonts w:ascii="Verdana Pro SemiBold" w:hAnsi="Verdana Pro SemiBold" w:cs="Arial"/>
      <w:color w:val="FFFFFF" w:themeColor="background1"/>
      <w:kern w:val="28"/>
      <w:sz w:val="40"/>
      <w:szCs w:val="40"/>
      <w:lang w:val="en-US"/>
    </w:rPr>
  </w:style>
  <w:style w:type="paragraph" w:customStyle="1" w:styleId="Info1">
    <w:name w:val="Info1"/>
    <w:basedOn w:val="Normal"/>
    <w:qFormat/>
    <w:rsid w:val="00F940E5"/>
    <w:pPr>
      <w:spacing w:before="9000"/>
    </w:pPr>
    <w:rPr>
      <w:rFonts w:ascii="Verdana Pro SemiBold" w:hAnsi="Verdana Pro SemiBold"/>
      <w:sz w:val="24"/>
    </w:rPr>
  </w:style>
  <w:style w:type="paragraph" w:customStyle="1" w:styleId="InfoBody">
    <w:name w:val="Info Body"/>
    <w:basedOn w:val="Normal"/>
    <w:qFormat/>
    <w:rsid w:val="00F940E5"/>
    <w:pPr>
      <w:spacing w:before="60"/>
    </w:pPr>
  </w:style>
  <w:style w:type="paragraph" w:customStyle="1" w:styleId="Info2">
    <w:name w:val="Info2"/>
    <w:basedOn w:val="Normal"/>
    <w:qFormat/>
    <w:rsid w:val="00A017E9"/>
    <w:rPr>
      <w:rFonts w:ascii="Verdana Pro SemiBold" w:hAnsi="Verdana Pro SemiBold"/>
      <w:sz w:val="24"/>
    </w:rPr>
  </w:style>
  <w:style w:type="numbering" w:customStyle="1" w:styleId="CurrentList1">
    <w:name w:val="Current List1"/>
    <w:uiPriority w:val="99"/>
    <w:rsid w:val="00A017E9"/>
    <w:pPr>
      <w:numPr>
        <w:numId w:val="13"/>
      </w:numPr>
    </w:pPr>
  </w:style>
  <w:style w:type="paragraph" w:styleId="Quote">
    <w:name w:val="Quote"/>
    <w:basedOn w:val="Normal"/>
    <w:next w:val="Normal"/>
    <w:link w:val="QuoteChar"/>
    <w:uiPriority w:val="29"/>
    <w:qFormat/>
    <w:rsid w:val="00BE3F35"/>
    <w:pPr>
      <w:spacing w:before="200" w:after="160"/>
      <w:ind w:left="864" w:right="864"/>
    </w:pPr>
    <w:rPr>
      <w:iCs/>
      <w:color w:val="404040" w:themeColor="text1" w:themeTint="BF"/>
    </w:rPr>
  </w:style>
  <w:style w:type="character" w:customStyle="1" w:styleId="QuoteChar">
    <w:name w:val="Quote Char"/>
    <w:basedOn w:val="DefaultParagraphFont"/>
    <w:link w:val="Quote"/>
    <w:uiPriority w:val="29"/>
    <w:rsid w:val="00BE3F35"/>
    <w:rPr>
      <w:rFonts w:ascii="Verdana" w:hAnsi="Verdana" w:cs="Arial"/>
      <w:iCs/>
      <w:color w:val="404040" w:themeColor="text1" w:themeTint="BF"/>
      <w:kern w:val="28"/>
      <w:sz w:val="22"/>
    </w:rPr>
  </w:style>
  <w:style w:type="paragraph" w:styleId="BodyText">
    <w:name w:val="Body Text"/>
    <w:basedOn w:val="Normal"/>
    <w:link w:val="BodyTextChar"/>
    <w:uiPriority w:val="1"/>
    <w:qFormat/>
    <w:rsid w:val="00BD6CBF"/>
    <w:pPr>
      <w:widowControl w:val="0"/>
      <w:autoSpaceDE w:val="0"/>
      <w:autoSpaceDN w:val="0"/>
      <w:spacing w:after="0" w:line="240" w:lineRule="auto"/>
    </w:pPr>
    <w:rPr>
      <w:rFonts w:ascii="Calibri" w:hAnsi="Calibri" w:cs="Calibri"/>
      <w:kern w:val="0"/>
      <w:sz w:val="24"/>
      <w:szCs w:val="24"/>
      <w:lang w:val="en-US"/>
    </w:rPr>
  </w:style>
  <w:style w:type="character" w:customStyle="1" w:styleId="BodyTextChar">
    <w:name w:val="Body Text Char"/>
    <w:basedOn w:val="DefaultParagraphFont"/>
    <w:link w:val="BodyText"/>
    <w:uiPriority w:val="1"/>
    <w:rsid w:val="00BD6CBF"/>
    <w:rPr>
      <w:rFonts w:cs="Calibri"/>
      <w:sz w:val="24"/>
      <w:szCs w:val="24"/>
      <w:lang w:val="en-US"/>
    </w:rPr>
  </w:style>
  <w:style w:type="character" w:customStyle="1" w:styleId="Heading8Char">
    <w:name w:val="Heading 8 Char"/>
    <w:basedOn w:val="DefaultParagraphFont"/>
    <w:link w:val="Heading8"/>
    <w:uiPriority w:val="9"/>
    <w:semiHidden/>
    <w:rsid w:val="00BD6CBF"/>
    <w:rPr>
      <w:rFonts w:asciiTheme="majorHAnsi" w:eastAsiaTheme="majorEastAsia" w:hAnsiTheme="majorHAnsi" w:cstheme="majorBidi"/>
      <w:color w:val="272727" w:themeColor="text1" w:themeTint="D8"/>
      <w:kern w:val="28"/>
      <w:sz w:val="21"/>
      <w:szCs w:val="21"/>
    </w:rPr>
  </w:style>
  <w:style w:type="character" w:customStyle="1" w:styleId="Heading7Char">
    <w:name w:val="Heading 7 Char"/>
    <w:basedOn w:val="DefaultParagraphFont"/>
    <w:link w:val="Heading7"/>
    <w:uiPriority w:val="9"/>
    <w:semiHidden/>
    <w:rsid w:val="00BD6CBF"/>
    <w:rPr>
      <w:rFonts w:asciiTheme="majorHAnsi" w:eastAsiaTheme="majorEastAsia" w:hAnsiTheme="majorHAnsi" w:cstheme="majorBidi"/>
      <w:i/>
      <w:iCs/>
      <w:color w:val="243F60" w:themeColor="accent1" w:themeShade="7F"/>
      <w:kern w:val="28"/>
      <w:sz w:val="22"/>
    </w:rPr>
  </w:style>
  <w:style w:type="character" w:customStyle="1" w:styleId="Heading6Char">
    <w:name w:val="Heading 6 Char"/>
    <w:basedOn w:val="DefaultParagraphFont"/>
    <w:link w:val="Heading6"/>
    <w:uiPriority w:val="9"/>
    <w:semiHidden/>
    <w:rsid w:val="00C677B2"/>
    <w:rPr>
      <w:rFonts w:asciiTheme="majorHAnsi" w:eastAsiaTheme="majorEastAsia" w:hAnsiTheme="majorHAnsi" w:cstheme="majorBidi"/>
      <w:color w:val="243F60" w:themeColor="accent1" w:themeShade="7F"/>
      <w:kern w:val="28"/>
      <w:sz w:val="22"/>
    </w:rPr>
  </w:style>
  <w:style w:type="paragraph" w:styleId="FootnoteText">
    <w:name w:val="footnote text"/>
    <w:basedOn w:val="Normal"/>
    <w:link w:val="FootnoteTextChar"/>
    <w:uiPriority w:val="99"/>
    <w:semiHidden/>
    <w:unhideWhenUsed/>
    <w:rsid w:val="00C677B2"/>
    <w:pPr>
      <w:spacing w:after="0" w:line="240" w:lineRule="auto"/>
    </w:pPr>
    <w:rPr>
      <w:sz w:val="20"/>
    </w:rPr>
  </w:style>
  <w:style w:type="character" w:customStyle="1" w:styleId="FootnoteTextChar">
    <w:name w:val="Footnote Text Char"/>
    <w:basedOn w:val="DefaultParagraphFont"/>
    <w:link w:val="FootnoteText"/>
    <w:uiPriority w:val="99"/>
    <w:semiHidden/>
    <w:rsid w:val="00C677B2"/>
    <w:rPr>
      <w:rFonts w:ascii="Verdana" w:hAnsi="Verdana" w:cs="Arial"/>
      <w:kern w:val="28"/>
    </w:rPr>
  </w:style>
  <w:style w:type="character" w:styleId="FootnoteReference">
    <w:name w:val="footnote reference"/>
    <w:basedOn w:val="DefaultParagraphFont"/>
    <w:uiPriority w:val="99"/>
    <w:semiHidden/>
    <w:unhideWhenUsed/>
    <w:rsid w:val="00C677B2"/>
    <w:rPr>
      <w:vertAlign w:val="superscript"/>
    </w:rPr>
  </w:style>
  <w:style w:type="character" w:styleId="UnresolvedMention">
    <w:name w:val="Unresolved Mention"/>
    <w:basedOn w:val="DefaultParagraphFont"/>
    <w:uiPriority w:val="99"/>
    <w:semiHidden/>
    <w:unhideWhenUsed/>
    <w:rsid w:val="00C677B2"/>
    <w:rPr>
      <w:color w:val="605E5C"/>
      <w:shd w:val="clear" w:color="auto" w:fill="E1DFDD"/>
    </w:rPr>
  </w:style>
  <w:style w:type="character" w:styleId="CommentReference">
    <w:name w:val="annotation reference"/>
    <w:basedOn w:val="DefaultParagraphFont"/>
    <w:uiPriority w:val="99"/>
    <w:semiHidden/>
    <w:unhideWhenUsed/>
    <w:rsid w:val="0068037C"/>
    <w:rPr>
      <w:sz w:val="16"/>
      <w:szCs w:val="16"/>
    </w:rPr>
  </w:style>
  <w:style w:type="paragraph" w:styleId="CommentText">
    <w:name w:val="annotation text"/>
    <w:basedOn w:val="Normal"/>
    <w:link w:val="CommentTextChar"/>
    <w:uiPriority w:val="99"/>
    <w:unhideWhenUsed/>
    <w:rsid w:val="0068037C"/>
    <w:pPr>
      <w:spacing w:line="240" w:lineRule="auto"/>
    </w:pPr>
    <w:rPr>
      <w:sz w:val="20"/>
    </w:rPr>
  </w:style>
  <w:style w:type="character" w:customStyle="1" w:styleId="CommentTextChar">
    <w:name w:val="Comment Text Char"/>
    <w:basedOn w:val="DefaultParagraphFont"/>
    <w:link w:val="CommentText"/>
    <w:uiPriority w:val="99"/>
    <w:rsid w:val="0068037C"/>
    <w:rPr>
      <w:rFonts w:ascii="Verdana" w:hAnsi="Verdana" w:cs="Arial"/>
      <w:kern w:val="28"/>
    </w:rPr>
  </w:style>
  <w:style w:type="paragraph" w:styleId="CommentSubject">
    <w:name w:val="annotation subject"/>
    <w:basedOn w:val="CommentText"/>
    <w:next w:val="CommentText"/>
    <w:link w:val="CommentSubjectChar"/>
    <w:uiPriority w:val="99"/>
    <w:semiHidden/>
    <w:unhideWhenUsed/>
    <w:rsid w:val="0068037C"/>
    <w:rPr>
      <w:b/>
      <w:bCs/>
    </w:rPr>
  </w:style>
  <w:style w:type="character" w:customStyle="1" w:styleId="CommentSubjectChar">
    <w:name w:val="Comment Subject Char"/>
    <w:basedOn w:val="CommentTextChar"/>
    <w:link w:val="CommentSubject"/>
    <w:uiPriority w:val="99"/>
    <w:semiHidden/>
    <w:rsid w:val="0068037C"/>
    <w:rPr>
      <w:rFonts w:ascii="Verdana" w:hAnsi="Verdana" w:cs="Arial"/>
      <w:b/>
      <w:bCs/>
      <w:kern w:val="28"/>
    </w:rPr>
  </w:style>
  <w:style w:type="character" w:styleId="FollowedHyperlink">
    <w:name w:val="FollowedHyperlink"/>
    <w:basedOn w:val="DefaultParagraphFont"/>
    <w:uiPriority w:val="99"/>
    <w:semiHidden/>
    <w:unhideWhenUsed/>
    <w:rsid w:val="00873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51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msd.govt.nz/about-msd-and-our-work/publications-resources/corporate/annual-report/index.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d.govt.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info@msd.govt.nz"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creativecommons.org/licenses/by/3.0/nz/" TargetMode="Externa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annualreport2021.msd.govt.nz/?utm_source=msd&amp;utm_medium=referral&amp;utm_campaign=annualreport" TargetMode="External"/><Relationship Id="rId1" Type="http://schemas.openxmlformats.org/officeDocument/2006/relationships/hyperlink" Target="https://www.msd.govt.nz/documents/about-msd-and-our-work/publications-resources/corporate/statement-of-intent/2018/how-we-will-assess-our-perform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B222-E30E-4F56-A920-A5E34D2E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3046</Words>
  <Characters>17364</Characters>
  <Application>Microsoft Office Word</Application>
  <DocSecurity>6</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Kevin Lee</cp:lastModifiedBy>
  <cp:revision>2</cp:revision>
  <cp:lastPrinted>2022-10-11T20:59:00Z</cp:lastPrinted>
  <dcterms:created xsi:type="dcterms:W3CDTF">2022-10-20T02:47:00Z</dcterms:created>
  <dcterms:modified xsi:type="dcterms:W3CDTF">2022-10-20T02:47:00Z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96e5af-8d67-4c00-8226-9513c2a2e5a4_Enabled">
    <vt:lpwstr>true</vt:lpwstr>
  </property>
  <property fmtid="{D5CDD505-2E9C-101B-9397-08002B2CF9AE}" pid="3" name="MSIP_Label_5a96e5af-8d67-4c00-8226-9513c2a2e5a4_SetDate">
    <vt:lpwstr>2022-10-13T20:12:13Z</vt:lpwstr>
  </property>
  <property fmtid="{D5CDD505-2E9C-101B-9397-08002B2CF9AE}" pid="4" name="MSIP_Label_5a96e5af-8d67-4c00-8226-9513c2a2e5a4_Method">
    <vt:lpwstr>Privileged</vt:lpwstr>
  </property>
  <property fmtid="{D5CDD505-2E9C-101B-9397-08002B2CF9AE}" pid="5" name="MSIP_Label_5a96e5af-8d67-4c00-8226-9513c2a2e5a4_Name">
    <vt:lpwstr>Unclassified</vt:lpwstr>
  </property>
  <property fmtid="{D5CDD505-2E9C-101B-9397-08002B2CF9AE}" pid="6" name="MSIP_Label_5a96e5af-8d67-4c00-8226-9513c2a2e5a4_SiteId">
    <vt:lpwstr>e40c4f52-99bd-4d4f-bf7e-d001a2ca6556</vt:lpwstr>
  </property>
  <property fmtid="{D5CDD505-2E9C-101B-9397-08002B2CF9AE}" pid="7" name="MSIP_Label_5a96e5af-8d67-4c00-8226-9513c2a2e5a4_ActionId">
    <vt:lpwstr>1a05154b-378f-42f3-934d-2c78ab7b4701</vt:lpwstr>
  </property>
  <property fmtid="{D5CDD505-2E9C-101B-9397-08002B2CF9AE}" pid="8" name="MSIP_Label_5a96e5af-8d67-4c00-8226-9513c2a2e5a4_ContentBits">
    <vt:lpwstr>0</vt:lpwstr>
  </property>
</Properties>
</file>