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E8" w:rsidRPr="00EF4C81" w:rsidRDefault="009D38E8" w:rsidP="00EF4C81">
      <w:pPr>
        <w:pStyle w:val="Heading1"/>
        <w:rPr>
          <w:sz w:val="50"/>
          <w:szCs w:val="50"/>
          <w:lang w:val="en-GB"/>
        </w:rPr>
      </w:pPr>
      <w:r w:rsidRPr="00EF4C81">
        <w:rPr>
          <w:sz w:val="50"/>
          <w:szCs w:val="50"/>
          <w:lang w:val="en-GB"/>
        </w:rPr>
        <w:t>Statement of Objectives and Service Performance</w:t>
      </w:r>
    </w:p>
    <w:p w:rsidR="009D38E8" w:rsidRPr="00EF4C81" w:rsidRDefault="009D38E8" w:rsidP="009D38E8">
      <w:pPr>
        <w:pStyle w:val="finasat"/>
        <w:rPr>
          <w:color w:val="auto"/>
          <w:lang w:val="en-US"/>
        </w:rPr>
      </w:pPr>
      <w:r w:rsidRPr="00EF4C81">
        <w:rPr>
          <w:color w:val="auto"/>
          <w:lang w:val="en-US"/>
        </w:rPr>
        <w:t>For the yea</w:t>
      </w:r>
      <w:bookmarkStart w:id="0" w:name="_GoBack"/>
      <w:bookmarkEnd w:id="0"/>
      <w:r w:rsidRPr="00EF4C81">
        <w:rPr>
          <w:color w:val="auto"/>
          <w:lang w:val="en-US"/>
        </w:rPr>
        <w:t>r ended 30 June 2013</w:t>
      </w:r>
    </w:p>
    <w:p w:rsidR="009D38E8" w:rsidRPr="00EF4C81" w:rsidRDefault="009D38E8" w:rsidP="00EF4C81">
      <w:pPr>
        <w:pStyle w:val="Heading2"/>
        <w:rPr>
          <w:b w:val="0"/>
          <w:sz w:val="40"/>
          <w:szCs w:val="40"/>
          <w:lang w:val="en-GB"/>
        </w:rPr>
      </w:pPr>
      <w:r w:rsidRPr="00EF4C81">
        <w:rPr>
          <w:b w:val="0"/>
          <w:sz w:val="40"/>
          <w:szCs w:val="40"/>
          <w:lang w:val="en-GB"/>
        </w:rPr>
        <w:t>Vote Social Development</w:t>
      </w:r>
    </w:p>
    <w:p w:rsidR="009D38E8" w:rsidRPr="00D173BB" w:rsidRDefault="009D38E8" w:rsidP="00D173BB">
      <w:pPr>
        <w:pStyle w:val="Heading3"/>
      </w:pPr>
      <w:r w:rsidRPr="00D173BB">
        <w:t>Output Expense: Administration of Trialling New Approaches to Social Sector Change</w:t>
      </w:r>
    </w:p>
    <w:p w:rsidR="009D38E8" w:rsidRPr="00D173BB" w:rsidRDefault="009D38E8" w:rsidP="00D173BB">
      <w:pPr>
        <w:pStyle w:val="Subtitle"/>
      </w:pPr>
      <w:r w:rsidRPr="00D173BB">
        <w:t>Scope</w:t>
      </w:r>
    </w:p>
    <w:p w:rsidR="009D38E8" w:rsidRPr="00EF4C81" w:rsidRDefault="009D38E8" w:rsidP="009700FD">
      <w:pPr>
        <w:pStyle w:val="NoSpacing"/>
        <w:spacing w:after="240"/>
        <w:rPr>
          <w:color w:val="auto"/>
        </w:rPr>
      </w:pPr>
      <w:r w:rsidRPr="00EF4C81">
        <w:rPr>
          <w:color w:val="auto"/>
        </w:rPr>
        <w:t xml:space="preserve">This appropriation is limited to the administration by committed individuals of the delivery of social sector services for children and young people in specified locations. </w:t>
      </w:r>
    </w:p>
    <w:p w:rsidR="009D38E8" w:rsidRPr="00D173BB" w:rsidRDefault="009D38E8" w:rsidP="00D173BB">
      <w:pPr>
        <w:pStyle w:val="Subtitle"/>
      </w:pPr>
      <w:r w:rsidRPr="00D173BB">
        <w:t xml:space="preserve">Summary of Performance </w:t>
      </w:r>
    </w:p>
    <w:p w:rsidR="009D38E8" w:rsidRPr="00EF4C81" w:rsidRDefault="009D38E8" w:rsidP="009700FD">
      <w:pPr>
        <w:pStyle w:val="text"/>
        <w:spacing w:after="240"/>
        <w:rPr>
          <w:rFonts w:ascii="Arial Mäori" w:hAnsi="Arial Mäori"/>
          <w:color w:val="auto"/>
          <w:sz w:val="22"/>
          <w:szCs w:val="22"/>
          <w:lang w:val="en-GB"/>
        </w:rPr>
      </w:pPr>
      <w:r w:rsidRPr="00EF4C81">
        <w:rPr>
          <w:rFonts w:ascii="Arial Mäori" w:hAnsi="Arial Mäori"/>
          <w:color w:val="auto"/>
          <w:sz w:val="22"/>
          <w:szCs w:val="22"/>
          <w:lang w:val="en-GB"/>
        </w:rPr>
        <w:t>All performance standards in this output expense have been met.</w:t>
      </w:r>
    </w:p>
    <w:p w:rsidR="009D38E8" w:rsidRPr="00EF4C81" w:rsidRDefault="009D38E8" w:rsidP="009700FD">
      <w:pPr>
        <w:pStyle w:val="text"/>
        <w:spacing w:after="240"/>
        <w:rPr>
          <w:rFonts w:ascii="Arial Mäori" w:hAnsi="Arial Mäori"/>
          <w:color w:val="auto"/>
          <w:sz w:val="22"/>
          <w:szCs w:val="22"/>
          <w:lang w:val="en-GB"/>
        </w:rPr>
      </w:pPr>
      <w:r w:rsidRPr="00EF4C81">
        <w:rPr>
          <w:rFonts w:ascii="Arial Mäori" w:hAnsi="Arial Mäori"/>
          <w:color w:val="auto"/>
          <w:sz w:val="22"/>
          <w:szCs w:val="22"/>
          <w:lang w:val="en-GB"/>
        </w:rPr>
        <w:t xml:space="preserve">The three Social Sector Trials </w:t>
      </w:r>
      <w:r w:rsidR="005A68A6" w:rsidRPr="00EF4C81">
        <w:rPr>
          <w:rFonts w:ascii="Arial Mäori" w:hAnsi="Arial Mäori"/>
          <w:color w:val="auto"/>
          <w:sz w:val="22"/>
          <w:szCs w:val="22"/>
          <w:lang w:val="en-GB"/>
        </w:rPr>
        <w:t xml:space="preserve">in </w:t>
      </w:r>
      <w:proofErr w:type="spellStart"/>
      <w:r w:rsidR="005A68A6" w:rsidRPr="00EF4C81">
        <w:rPr>
          <w:rFonts w:ascii="Arial Mäori" w:hAnsi="Arial Mäori"/>
          <w:color w:val="auto"/>
          <w:sz w:val="22"/>
          <w:szCs w:val="22"/>
          <w:lang w:val="en-GB"/>
        </w:rPr>
        <w:t>Taumarunui</w:t>
      </w:r>
      <w:proofErr w:type="spellEnd"/>
      <w:r w:rsidR="005A68A6" w:rsidRPr="00EF4C81">
        <w:rPr>
          <w:rFonts w:ascii="Arial Mäori" w:hAnsi="Arial Mäori"/>
          <w:color w:val="auto"/>
          <w:sz w:val="22"/>
          <w:szCs w:val="22"/>
          <w:lang w:val="en-GB"/>
        </w:rPr>
        <w:t xml:space="preserve">, </w:t>
      </w:r>
      <w:proofErr w:type="spellStart"/>
      <w:r w:rsidR="005A68A6" w:rsidRPr="00EF4C81">
        <w:rPr>
          <w:rFonts w:ascii="Arial Mäori" w:hAnsi="Arial Mäori"/>
          <w:color w:val="auto"/>
          <w:sz w:val="22"/>
          <w:szCs w:val="22"/>
          <w:lang w:val="en-GB"/>
        </w:rPr>
        <w:t>Kawerau</w:t>
      </w:r>
      <w:proofErr w:type="spellEnd"/>
      <w:r w:rsidR="005A68A6" w:rsidRPr="00EF4C81">
        <w:rPr>
          <w:rFonts w:ascii="Arial Mäori" w:hAnsi="Arial Mäori"/>
          <w:color w:val="auto"/>
          <w:sz w:val="22"/>
          <w:szCs w:val="22"/>
          <w:lang w:val="en-GB"/>
        </w:rPr>
        <w:t xml:space="preserve"> District and </w:t>
      </w:r>
      <w:proofErr w:type="spellStart"/>
      <w:r w:rsidR="005A68A6" w:rsidRPr="00EF4C81">
        <w:rPr>
          <w:rFonts w:ascii="Arial Mäori" w:hAnsi="Arial Mäori"/>
          <w:color w:val="auto"/>
          <w:sz w:val="22"/>
          <w:szCs w:val="22"/>
          <w:lang w:val="en-GB"/>
        </w:rPr>
        <w:t>Waitomo</w:t>
      </w:r>
      <w:proofErr w:type="spellEnd"/>
      <w:r w:rsidR="005A68A6" w:rsidRPr="00EF4C81">
        <w:rPr>
          <w:rFonts w:ascii="Arial Mäori" w:hAnsi="Arial Mäori"/>
          <w:color w:val="auto"/>
          <w:sz w:val="22"/>
          <w:szCs w:val="22"/>
          <w:lang w:val="en-GB"/>
        </w:rPr>
        <w:t xml:space="preserve"> District </w:t>
      </w:r>
      <w:r w:rsidRPr="00EF4C81">
        <w:rPr>
          <w:rFonts w:ascii="Arial Mäori" w:hAnsi="Arial Mäori"/>
          <w:color w:val="auto"/>
          <w:sz w:val="22"/>
          <w:szCs w:val="22"/>
          <w:lang w:val="en-GB"/>
        </w:rPr>
        <w:t xml:space="preserve">continued to test new ways to deliver cross-sector initiatives for children and young people. </w:t>
      </w:r>
    </w:p>
    <w:p w:rsidR="005F4DA0" w:rsidRPr="00EF4C81" w:rsidRDefault="00C43114" w:rsidP="009E3C0A">
      <w:pPr>
        <w:pStyle w:val="text"/>
        <w:spacing w:after="120"/>
        <w:rPr>
          <w:rFonts w:ascii="Arial Mäori" w:hAnsi="Arial Mäori"/>
          <w:color w:val="auto"/>
          <w:sz w:val="22"/>
          <w:szCs w:val="22"/>
          <w:lang w:val="en-GB"/>
        </w:rPr>
      </w:pPr>
      <w:r w:rsidRPr="00EF4C81">
        <w:rPr>
          <w:rFonts w:ascii="Arial Mäori" w:hAnsi="Arial Mäori"/>
          <w:color w:val="auto"/>
          <w:sz w:val="22"/>
          <w:szCs w:val="22"/>
          <w:lang w:val="en-GB"/>
        </w:rPr>
        <w:t>In 2012/2013, k</w:t>
      </w:r>
      <w:r w:rsidR="005F4DA0" w:rsidRPr="00EF4C81">
        <w:rPr>
          <w:rFonts w:ascii="Arial Mäori" w:hAnsi="Arial Mäori"/>
          <w:color w:val="auto"/>
          <w:sz w:val="22"/>
          <w:szCs w:val="22"/>
          <w:lang w:val="en-GB"/>
        </w:rPr>
        <w:t>ey initiatives implemented included</w:t>
      </w:r>
      <w:r w:rsidR="009E3C0A" w:rsidRPr="00EF4C81">
        <w:rPr>
          <w:rFonts w:ascii="Arial Mäori" w:hAnsi="Arial Mäori"/>
          <w:color w:val="auto"/>
          <w:sz w:val="22"/>
          <w:szCs w:val="22"/>
          <w:lang w:val="en-GB"/>
        </w:rPr>
        <w:t xml:space="preserve"> </w:t>
      </w:r>
      <w:r w:rsidR="005F4DA0" w:rsidRPr="00EF4C81">
        <w:rPr>
          <w:rFonts w:ascii="Arial Mäori" w:hAnsi="Arial Mäori" w:cs="Arial"/>
          <w:color w:val="auto"/>
          <w:sz w:val="22"/>
          <w:szCs w:val="22"/>
          <w:lang w:val="en"/>
        </w:rPr>
        <w:t>the</w:t>
      </w:r>
      <w:r w:rsidR="005F4DA0" w:rsidRPr="00EF4C81">
        <w:rPr>
          <w:rFonts w:ascii="Arial Mäori" w:hAnsi="Arial Mäori"/>
          <w:color w:val="auto"/>
          <w:sz w:val="22"/>
          <w:szCs w:val="22"/>
          <w:lang w:val="en-GB"/>
        </w:rPr>
        <w:t xml:space="preserve"> redevelopment of the Alternative Education programme in </w:t>
      </w:r>
      <w:proofErr w:type="spellStart"/>
      <w:r w:rsidR="005F4DA0" w:rsidRPr="00EF4C81">
        <w:rPr>
          <w:rFonts w:ascii="Arial Mäori" w:hAnsi="Arial Mäori"/>
          <w:color w:val="auto"/>
          <w:sz w:val="22"/>
          <w:szCs w:val="22"/>
          <w:lang w:val="en-GB"/>
        </w:rPr>
        <w:t>Waitomo</w:t>
      </w:r>
      <w:proofErr w:type="spellEnd"/>
      <w:r w:rsidR="009E3C0A" w:rsidRPr="00EF4C81">
        <w:rPr>
          <w:rFonts w:ascii="Arial Mäori" w:hAnsi="Arial Mäori"/>
          <w:color w:val="auto"/>
          <w:sz w:val="22"/>
          <w:szCs w:val="22"/>
          <w:lang w:val="en-GB"/>
        </w:rPr>
        <w:t xml:space="preserve">, </w:t>
      </w:r>
      <w:r w:rsidR="005F4DA0" w:rsidRPr="00EF4C81">
        <w:rPr>
          <w:rFonts w:ascii="Arial Mäori" w:hAnsi="Arial Mäori"/>
          <w:color w:val="auto"/>
          <w:sz w:val="22"/>
          <w:szCs w:val="22"/>
          <w:lang w:val="en-GB"/>
        </w:rPr>
        <w:t xml:space="preserve">the delivery of new attendance services in all three locations, and the implementation of </w:t>
      </w:r>
      <w:proofErr w:type="gramStart"/>
      <w:r w:rsidR="005F4DA0" w:rsidRPr="00EF4C81">
        <w:rPr>
          <w:rFonts w:ascii="Arial Mäori" w:hAnsi="Arial Mäori"/>
          <w:color w:val="auto"/>
          <w:sz w:val="22"/>
          <w:szCs w:val="22"/>
          <w:lang w:val="en-GB"/>
        </w:rPr>
        <w:t>a career</w:t>
      </w:r>
      <w:proofErr w:type="gramEnd"/>
      <w:r w:rsidR="005F4DA0" w:rsidRPr="00EF4C81">
        <w:rPr>
          <w:rFonts w:ascii="Arial Mäori" w:hAnsi="Arial Mäori"/>
          <w:color w:val="auto"/>
          <w:sz w:val="22"/>
          <w:szCs w:val="22"/>
          <w:lang w:val="en-GB"/>
        </w:rPr>
        <w:t xml:space="preserve"> guidance and mentoring programme in </w:t>
      </w:r>
      <w:proofErr w:type="spellStart"/>
      <w:r w:rsidR="005F4DA0" w:rsidRPr="00EF4C81">
        <w:rPr>
          <w:rFonts w:ascii="Arial Mäori" w:hAnsi="Arial Mäori"/>
          <w:color w:val="auto"/>
          <w:sz w:val="22"/>
          <w:szCs w:val="22"/>
          <w:lang w:val="en-GB"/>
        </w:rPr>
        <w:t>Kawerau</w:t>
      </w:r>
      <w:proofErr w:type="spellEnd"/>
      <w:r w:rsidR="005F4DA0" w:rsidRPr="00EF4C81">
        <w:rPr>
          <w:rFonts w:ascii="Arial Mäori" w:hAnsi="Arial Mäori"/>
          <w:color w:val="auto"/>
          <w:sz w:val="22"/>
          <w:szCs w:val="22"/>
          <w:lang w:val="en-GB"/>
        </w:rPr>
        <w:t xml:space="preserve">. </w:t>
      </w:r>
    </w:p>
    <w:p w:rsidR="009D38E8" w:rsidRPr="00EF4C81" w:rsidRDefault="00846594" w:rsidP="009D38E8">
      <w:pPr>
        <w:pStyle w:val="text"/>
        <w:rPr>
          <w:rFonts w:ascii="Arial Mäori" w:hAnsi="Arial Mäori"/>
          <w:color w:val="auto"/>
          <w:sz w:val="22"/>
          <w:szCs w:val="22"/>
          <w:lang w:val="en-GB"/>
        </w:rPr>
      </w:pPr>
      <w:r w:rsidRPr="00EF4C81">
        <w:rPr>
          <w:rFonts w:ascii="Arial Mäori" w:hAnsi="Arial Mäori"/>
          <w:color w:val="auto"/>
          <w:sz w:val="22"/>
          <w:szCs w:val="22"/>
          <w:lang w:val="en-GB"/>
        </w:rPr>
        <w:t xml:space="preserve">A cross-agency evaluation </w:t>
      </w:r>
      <w:r w:rsidR="005050D7" w:rsidRPr="00EF4C81">
        <w:rPr>
          <w:rFonts w:ascii="Arial Mäori" w:hAnsi="Arial Mäori"/>
          <w:color w:val="auto"/>
          <w:sz w:val="22"/>
          <w:szCs w:val="22"/>
          <w:lang w:val="en-GB"/>
        </w:rPr>
        <w:t>found that, as a result of initiatives such as these, the Trials have:</w:t>
      </w:r>
    </w:p>
    <w:p w:rsidR="009D38E8" w:rsidRPr="00EF4C81" w:rsidRDefault="009D38E8" w:rsidP="0084135B">
      <w:pPr>
        <w:pStyle w:val="NormalWeb"/>
        <w:numPr>
          <w:ilvl w:val="0"/>
          <w:numId w:val="8"/>
        </w:numPr>
        <w:spacing w:before="0" w:beforeAutospacing="0" w:after="120" w:afterAutospacing="0"/>
        <w:ind w:left="425" w:hanging="425"/>
        <w:rPr>
          <w:rFonts w:ascii="Arial Mäori" w:hAnsi="Arial Mäori" w:cs="Arial"/>
          <w:sz w:val="22"/>
          <w:szCs w:val="22"/>
          <w:lang w:val="en"/>
        </w:rPr>
      </w:pPr>
      <w:r w:rsidRPr="00EF4C81">
        <w:rPr>
          <w:rFonts w:ascii="Arial Mäori" w:hAnsi="Arial Mäori" w:cs="Arial"/>
          <w:sz w:val="22"/>
          <w:szCs w:val="22"/>
          <w:lang w:val="en"/>
        </w:rPr>
        <w:t xml:space="preserve">improved community collaboration </w:t>
      </w:r>
      <w:r w:rsidR="00035E72" w:rsidRPr="00EF4C81">
        <w:rPr>
          <w:rFonts w:ascii="Arial Mäori" w:hAnsi="Arial Mäori" w:cs="Arial"/>
          <w:sz w:val="22"/>
          <w:szCs w:val="22"/>
          <w:lang w:val="en"/>
        </w:rPr>
        <w:t xml:space="preserve">and </w:t>
      </w:r>
      <w:r w:rsidRPr="00EF4C81">
        <w:rPr>
          <w:rFonts w:ascii="Arial Mäori" w:hAnsi="Arial Mäori" w:cs="Arial"/>
          <w:sz w:val="22"/>
          <w:szCs w:val="22"/>
          <w:lang w:val="en"/>
        </w:rPr>
        <w:t>responsiveness to issues faced by young people</w:t>
      </w:r>
    </w:p>
    <w:p w:rsidR="009D38E8" w:rsidRPr="00EF4C81" w:rsidRDefault="009D38E8" w:rsidP="0084135B">
      <w:pPr>
        <w:pStyle w:val="NormalWeb"/>
        <w:numPr>
          <w:ilvl w:val="0"/>
          <w:numId w:val="8"/>
        </w:numPr>
        <w:spacing w:before="0" w:beforeAutospacing="0" w:after="120" w:afterAutospacing="0"/>
        <w:ind w:left="425" w:hanging="425"/>
        <w:rPr>
          <w:rFonts w:ascii="Arial Mäori" w:hAnsi="Arial Mäori" w:cs="Arial"/>
          <w:sz w:val="22"/>
          <w:szCs w:val="22"/>
          <w:lang w:val="en"/>
        </w:rPr>
      </w:pPr>
      <w:r w:rsidRPr="00EF4C81">
        <w:rPr>
          <w:rFonts w:ascii="Arial Mäori" w:hAnsi="Arial Mäori" w:cs="Arial"/>
          <w:sz w:val="22"/>
          <w:szCs w:val="22"/>
          <w:lang w:val="en"/>
        </w:rPr>
        <w:t>made progress in achieving outcomes for young people and the wider community (including reduced offending, increased attendance and improved engagement in positive activities)</w:t>
      </w:r>
    </w:p>
    <w:p w:rsidR="009D38E8" w:rsidRPr="00EF4C81" w:rsidRDefault="009D38E8" w:rsidP="0084135B">
      <w:pPr>
        <w:pStyle w:val="NormalWeb"/>
        <w:numPr>
          <w:ilvl w:val="0"/>
          <w:numId w:val="8"/>
        </w:numPr>
        <w:spacing w:before="0" w:beforeAutospacing="0" w:after="240" w:afterAutospacing="0"/>
        <w:ind w:left="425" w:hanging="425"/>
        <w:rPr>
          <w:rFonts w:ascii="Arial Mäori" w:hAnsi="Arial Mäori" w:cs="Arial"/>
          <w:sz w:val="22"/>
          <w:szCs w:val="22"/>
          <w:lang w:val="en"/>
        </w:rPr>
      </w:pPr>
      <w:proofErr w:type="gramStart"/>
      <w:r w:rsidRPr="00EF4C81">
        <w:rPr>
          <w:rFonts w:ascii="Arial Mäori" w:hAnsi="Arial Mäori" w:cs="Arial"/>
          <w:sz w:val="22"/>
          <w:szCs w:val="22"/>
          <w:lang w:val="en"/>
        </w:rPr>
        <w:t>resulted</w:t>
      </w:r>
      <w:proofErr w:type="gramEnd"/>
      <w:r w:rsidRPr="00EF4C81">
        <w:rPr>
          <w:rFonts w:ascii="Arial Mäori" w:hAnsi="Arial Mäori" w:cs="Arial"/>
          <w:sz w:val="22"/>
          <w:szCs w:val="22"/>
          <w:lang w:val="en"/>
        </w:rPr>
        <w:t xml:space="preserve"> in a broader base of services aimed at young people. </w:t>
      </w:r>
    </w:p>
    <w:p w:rsidR="009D38E8" w:rsidRPr="00EF4C81" w:rsidRDefault="009D38E8" w:rsidP="009D38E8">
      <w:pPr>
        <w:pStyle w:val="Tableheader"/>
        <w:rPr>
          <w:color w:val="auto"/>
          <w:sz w:val="24"/>
          <w:szCs w:val="24"/>
          <w:lang w:val="en-GB"/>
        </w:rPr>
      </w:pPr>
      <w:r w:rsidRPr="00EF4C81">
        <w:rPr>
          <w:color w:val="auto"/>
          <w:sz w:val="24"/>
          <w:szCs w:val="24"/>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hanging="14"/>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427</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468</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283</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468</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427</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468</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283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468</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425</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443</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283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468</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2</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25</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br w:type="page"/>
      </w:r>
      <w:r w:rsidRPr="00EF4C81">
        <w:rPr>
          <w:color w:val="auto"/>
          <w:lang w:val="en-GB"/>
        </w:rPr>
        <w:lastRenderedPageBreak/>
        <w:t>Service Performance Information</w:t>
      </w:r>
    </w:p>
    <w:p w:rsidR="009D38E8" w:rsidRPr="00EF4C81" w:rsidRDefault="009D38E8" w:rsidP="009D38E8">
      <w:pPr>
        <w:pStyle w:val="Tableheader2"/>
        <w:rPr>
          <w:color w:val="auto"/>
          <w:lang w:val="en-GB"/>
        </w:rPr>
      </w:pPr>
      <w:r w:rsidRPr="00EF4C81">
        <w:rPr>
          <w:color w:val="auto"/>
          <w:lang w:val="en-GB"/>
        </w:rPr>
        <w:t>Output: Administration of Trialling New Approaches to Social Sector Change</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cantSplit/>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cantSplit/>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3 locations</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Services will be administered in no fewer than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3 locations</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3 locations</w:t>
            </w:r>
          </w:p>
        </w:tc>
      </w:tr>
      <w:tr w:rsidR="009D38E8" w:rsidRPr="00EF4C81" w:rsidTr="00A36A23">
        <w:trPr>
          <w:cantSplit/>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100%</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funding and contracting agreements that are consistent with the Code of Funding Practice</w:t>
            </w:r>
            <w:r w:rsidRPr="00EF4C81">
              <w:rPr>
                <w:rStyle w:val="FootnoteReference"/>
                <w:color w:val="auto"/>
              </w:rPr>
              <w:footnoteReference w:id="1"/>
            </w:r>
            <w:r w:rsidRPr="00EF4C81">
              <w:rPr>
                <w:color w:val="auto"/>
                <w:lang w:val="en-GB"/>
              </w:rPr>
              <w:t xml:space="preserve"> will be no 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100%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r>
      <w:tr w:rsidR="009D38E8" w:rsidRPr="00EF4C81" w:rsidTr="00A36A23">
        <w:trPr>
          <w:cantSplit/>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 xml:space="preserve">The percentage of payments made to providers on time will be no </w:t>
            </w:r>
            <w:r w:rsidRPr="00EF4C81">
              <w:rPr>
                <w:color w:val="auto"/>
                <w:lang w:val="en-GB"/>
              </w:rPr>
              <w:br/>
              <w:t>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r>
    </w:tbl>
    <w:p w:rsidR="009D38E8" w:rsidRPr="00EF4C81" w:rsidRDefault="009D38E8" w:rsidP="009D38E8">
      <w:pPr>
        <w:pStyle w:val="text"/>
        <w:rPr>
          <w:color w:val="auto"/>
          <w:lang w:val="en-GB"/>
        </w:rPr>
      </w:pPr>
    </w:p>
    <w:p w:rsidR="009D38E8" w:rsidRPr="00D173BB" w:rsidRDefault="009D38E8" w:rsidP="00D173BB">
      <w:pPr>
        <w:pStyle w:val="Heading3"/>
      </w:pPr>
      <w:r w:rsidRPr="00D173BB">
        <w:br w:type="page"/>
      </w:r>
      <w:r w:rsidRPr="00D173BB">
        <w:lastRenderedPageBreak/>
        <w:t>Output Expense: Adoption Services</w:t>
      </w:r>
    </w:p>
    <w:p w:rsidR="009D38E8" w:rsidRPr="00D173BB" w:rsidRDefault="009D38E8" w:rsidP="00D173BB">
      <w:pPr>
        <w:pStyle w:val="Subtitle"/>
      </w:pPr>
      <w:r w:rsidRPr="00D173BB">
        <w:t>Scope</w:t>
      </w:r>
    </w:p>
    <w:p w:rsidR="009D38E8" w:rsidRPr="00EF4C81" w:rsidRDefault="009D38E8" w:rsidP="009700FD">
      <w:pPr>
        <w:pStyle w:val="NoSpacing"/>
        <w:spacing w:after="240"/>
        <w:rPr>
          <w:color w:val="auto"/>
        </w:rPr>
      </w:pPr>
      <w:r w:rsidRPr="00EF4C81">
        <w:rPr>
          <w:color w:val="auto"/>
        </w:rPr>
        <w:t xml:space="preserve">The management of services, incorporating education, assessment, reporting, counselling, and mediation, to all people who are party to adoption-related matters, past or present. </w:t>
      </w:r>
    </w:p>
    <w:p w:rsidR="009D38E8" w:rsidRPr="00D173BB" w:rsidRDefault="009D38E8" w:rsidP="00D173BB">
      <w:pPr>
        <w:pStyle w:val="Subtitle"/>
      </w:pPr>
      <w:r w:rsidRPr="00D173BB">
        <w:t>Summary of Performance</w:t>
      </w:r>
    </w:p>
    <w:p w:rsidR="009D38E8" w:rsidRPr="00EF4C81" w:rsidRDefault="000E171E" w:rsidP="007E58F3">
      <w:pPr>
        <w:pStyle w:val="NoSpacing"/>
        <w:spacing w:after="240"/>
        <w:rPr>
          <w:color w:val="auto"/>
        </w:rPr>
      </w:pPr>
      <w:r w:rsidRPr="00EF4C81">
        <w:rPr>
          <w:color w:val="auto"/>
        </w:rPr>
        <w:t xml:space="preserve">The </w:t>
      </w:r>
      <w:r w:rsidR="009D38E8" w:rsidRPr="00EF4C81">
        <w:rPr>
          <w:color w:val="auto"/>
        </w:rPr>
        <w:t>performance standard in this output expense ha</w:t>
      </w:r>
      <w:r w:rsidRPr="00EF4C81">
        <w:rPr>
          <w:color w:val="auto"/>
        </w:rPr>
        <w:t>s</w:t>
      </w:r>
      <w:r w:rsidR="009D38E8" w:rsidRPr="00EF4C81">
        <w:rPr>
          <w:color w:val="auto"/>
        </w:rPr>
        <w:t xml:space="preserve"> been exceeded.</w:t>
      </w:r>
    </w:p>
    <w:p w:rsidR="00A00741" w:rsidRPr="00EF4C81" w:rsidRDefault="009D38E8" w:rsidP="007E58F3">
      <w:pPr>
        <w:pStyle w:val="NoSpacing"/>
        <w:spacing w:after="240"/>
        <w:rPr>
          <w:color w:val="auto"/>
        </w:rPr>
      </w:pPr>
      <w:r w:rsidRPr="00EF4C81">
        <w:rPr>
          <w:color w:val="auto"/>
        </w:rPr>
        <w:t xml:space="preserve">The demand for adoption services comes mainly from adults who have been adopted and from birth parents seeking birth information under the Adult Adoption Information Act 1985. </w:t>
      </w:r>
    </w:p>
    <w:p w:rsidR="009D38E8" w:rsidRPr="00EF4C81" w:rsidRDefault="009D38E8" w:rsidP="007E58F3">
      <w:pPr>
        <w:pStyle w:val="NoSpacing"/>
        <w:spacing w:after="240"/>
        <w:rPr>
          <w:color w:val="auto"/>
        </w:rPr>
      </w:pPr>
      <w:r w:rsidRPr="00EF4C81">
        <w:rPr>
          <w:color w:val="auto"/>
        </w:rPr>
        <w:t xml:space="preserve">In 2012/2013, we received 219 applications from adopted people, birth parents and other relatives for information about an adoption. </w:t>
      </w:r>
    </w:p>
    <w:p w:rsidR="00AF731B" w:rsidRPr="00EF4C81" w:rsidRDefault="009D38E8" w:rsidP="007E58F3">
      <w:pPr>
        <w:pStyle w:val="Tableheader"/>
        <w:rPr>
          <w:color w:val="auto"/>
        </w:rPr>
      </w:pPr>
      <w:r w:rsidRPr="00EF4C81">
        <w:rPr>
          <w:color w:val="auto"/>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F731B">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hanging="14"/>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F731B">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F731B">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7,176</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7,142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7,142</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7,142</w:t>
            </w:r>
          </w:p>
        </w:tc>
      </w:tr>
      <w:tr w:rsidR="009D38E8" w:rsidRPr="00EF4C81" w:rsidTr="00AF731B">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46</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F731B">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F731B">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7,222</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7,142</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7,142</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7,142</w:t>
            </w:r>
          </w:p>
        </w:tc>
      </w:tr>
      <w:tr w:rsidR="009D38E8" w:rsidRPr="00EF4C81" w:rsidTr="00AF731B">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5,989</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410861">
            <w:pPr>
              <w:pStyle w:val="FinFigures"/>
              <w:rPr>
                <w:color w:val="auto"/>
              </w:rPr>
            </w:pPr>
            <w:r w:rsidRPr="00EF4C81">
              <w:rPr>
                <w:color w:val="auto"/>
              </w:rPr>
              <w:t>6,8</w:t>
            </w:r>
            <w:r w:rsidR="00410861" w:rsidRPr="00EF4C81">
              <w:rPr>
                <w:color w:val="auto"/>
              </w:rPr>
              <w:t>14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7,142</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7,142</w:t>
            </w:r>
          </w:p>
        </w:tc>
      </w:tr>
      <w:tr w:rsidR="009D38E8" w:rsidRPr="00EF4C81" w:rsidTr="00AF731B">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1,233</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410861">
            <w:pPr>
              <w:pStyle w:val="FinFigures"/>
              <w:rPr>
                <w:color w:val="auto"/>
              </w:rPr>
            </w:pPr>
            <w:r w:rsidRPr="00EF4C81">
              <w:rPr>
                <w:color w:val="auto"/>
              </w:rPr>
              <w:t>3</w:t>
            </w:r>
            <w:r w:rsidR="00410861" w:rsidRPr="00EF4C81">
              <w:rPr>
                <w:color w:val="auto"/>
              </w:rPr>
              <w:t>28</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rFonts w:ascii="Arial Mäori" w:hAnsi="Arial Mäori"/>
          <w:color w:val="auto"/>
          <w:lang w:val="en-GB"/>
        </w:rPr>
      </w:pPr>
      <w:r w:rsidRPr="00EF4C81">
        <w:rPr>
          <w:rFonts w:ascii="Arial Mäori" w:hAnsi="Arial Mäori"/>
          <w:color w:val="auto"/>
          <w:lang w:val="en-GB"/>
        </w:rPr>
        <w:t>Service Performance Information</w:t>
      </w:r>
    </w:p>
    <w:p w:rsidR="009D38E8" w:rsidRPr="00EF4C81" w:rsidRDefault="009D38E8" w:rsidP="009D38E8">
      <w:pPr>
        <w:pStyle w:val="Tableheader2"/>
        <w:rPr>
          <w:rFonts w:ascii="Arial Mäori" w:hAnsi="Arial Mäori"/>
          <w:color w:val="auto"/>
          <w:sz w:val="22"/>
          <w:szCs w:val="22"/>
          <w:lang w:val="en-GB"/>
        </w:rPr>
      </w:pPr>
      <w:r w:rsidRPr="00EF4C81">
        <w:rPr>
          <w:rFonts w:ascii="Arial Mäori" w:hAnsi="Arial Mäori"/>
          <w:color w:val="auto"/>
          <w:sz w:val="22"/>
          <w:szCs w:val="22"/>
          <w:lang w:val="en-GB"/>
        </w:rPr>
        <w:t>Output: Adoption Services</w:t>
      </w:r>
    </w:p>
    <w:tbl>
      <w:tblPr>
        <w:tblW w:w="9638" w:type="dxa"/>
        <w:tblBorders>
          <w:top w:val="single" w:sz="6" w:space="0" w:color="auto"/>
          <w:left w:val="single" w:sz="6" w:space="0" w:color="000000"/>
          <w:bottom w:val="single" w:sz="4" w:space="0" w:color="000000"/>
          <w:right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bottom w:val="single" w:sz="6" w:space="0" w:color="000000"/>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bottom w:val="single" w:sz="6" w:space="0" w:color="000000"/>
            </w:tcBorders>
            <w:vAlign w:val="bottom"/>
          </w:tcPr>
          <w:p w:rsidR="009D38E8" w:rsidRPr="00EF4C81" w:rsidRDefault="009D38E8" w:rsidP="00A36A23">
            <w:pPr>
              <w:pStyle w:val="fintableheadsLeft"/>
              <w:ind w:left="109"/>
              <w:rPr>
                <w:color w:val="auto"/>
              </w:rPr>
            </w:pPr>
            <w:r w:rsidRPr="00EF4C81">
              <w:rPr>
                <w:color w:val="auto"/>
                <w:lang w:val="en-GB"/>
              </w:rPr>
              <w:t>PERFORMANCE MEASURE</w:t>
            </w:r>
          </w:p>
        </w:tc>
        <w:tc>
          <w:tcPr>
            <w:tcW w:w="1417" w:type="dxa"/>
            <w:tcBorders>
              <w:top w:val="single" w:sz="6" w:space="0" w:color="auto"/>
              <w:bottom w:val="single" w:sz="6" w:space="0" w:color="000000"/>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bottom w:val="single" w:sz="6"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bottom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6" w:space="0" w:color="000000"/>
              <w:bottom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number of requests</w:t>
            </w:r>
            <w:r w:rsidRPr="00EF4C81">
              <w:rPr>
                <w:rStyle w:val="FootnoteReference"/>
                <w:color w:val="auto"/>
              </w:rPr>
              <w:footnoteReference w:id="2"/>
            </w:r>
            <w:r w:rsidRPr="00EF4C81">
              <w:rPr>
                <w:color w:val="auto"/>
                <w:lang w:val="en-GB"/>
              </w:rPr>
              <w:t xml:space="preserve">  from adults seeking identifying information on birth parents will be between</w:t>
            </w:r>
          </w:p>
        </w:tc>
        <w:tc>
          <w:tcPr>
            <w:tcW w:w="1417" w:type="dxa"/>
            <w:tcBorders>
              <w:top w:val="single" w:sz="6" w:space="0" w:color="000000"/>
              <w:bottom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219</w:t>
            </w:r>
          </w:p>
        </w:tc>
        <w:tc>
          <w:tcPr>
            <w:tcW w:w="1418" w:type="dxa"/>
            <w:tcBorders>
              <w:top w:val="single" w:sz="6" w:space="0" w:color="000000"/>
              <w:bottom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170–200</w:t>
            </w:r>
          </w:p>
        </w:tc>
      </w:tr>
    </w:tbl>
    <w:p w:rsidR="009D38E8" w:rsidRPr="00EF4C81" w:rsidRDefault="009D38E8" w:rsidP="009D38E8">
      <w:pPr>
        <w:pStyle w:val="headwithrule"/>
        <w:pBdr>
          <w:bottom w:val="none" w:sz="0" w:space="0" w:color="auto"/>
        </w:pBdr>
        <w:rPr>
          <w:color w:val="auto"/>
          <w:lang w:val="en-GB"/>
        </w:rPr>
      </w:pPr>
    </w:p>
    <w:p w:rsidR="009D38E8" w:rsidRPr="00D173BB" w:rsidRDefault="009D38E8" w:rsidP="00D173BB">
      <w:pPr>
        <w:pStyle w:val="Heading3"/>
      </w:pPr>
      <w:r w:rsidRPr="00D173BB">
        <w:br w:type="page"/>
      </w:r>
      <w:r w:rsidRPr="00D173BB">
        <w:lastRenderedPageBreak/>
        <w:t>Output Expense: Care and Protection Services</w:t>
      </w:r>
    </w:p>
    <w:p w:rsidR="009D38E8" w:rsidRPr="00D173BB" w:rsidRDefault="009D38E8" w:rsidP="00D173BB">
      <w:pPr>
        <w:pStyle w:val="Subtitle"/>
      </w:pPr>
      <w:r w:rsidRPr="00D173BB">
        <w:t>Scope</w:t>
      </w:r>
    </w:p>
    <w:p w:rsidR="009D38E8" w:rsidRPr="00EF4C81" w:rsidRDefault="009D38E8" w:rsidP="007E58F3">
      <w:pPr>
        <w:pStyle w:val="NoSpacing"/>
        <w:spacing w:after="240"/>
        <w:rPr>
          <w:color w:val="auto"/>
        </w:rPr>
      </w:pPr>
      <w:r w:rsidRPr="00EF4C81">
        <w:rPr>
          <w:color w:val="auto"/>
        </w:rPr>
        <w:t xml:space="preserve">Social work services, both statutory and informal, </w:t>
      </w:r>
      <w:proofErr w:type="gramStart"/>
      <w:r w:rsidRPr="00EF4C81">
        <w:rPr>
          <w:color w:val="auto"/>
        </w:rPr>
        <w:t>that protect</w:t>
      </w:r>
      <w:proofErr w:type="gramEnd"/>
      <w:r w:rsidRPr="00EF4C81">
        <w:rPr>
          <w:color w:val="auto"/>
        </w:rPr>
        <w:t xml:space="preserve"> and assist children and young people who are in need of care and protection.</w:t>
      </w:r>
    </w:p>
    <w:p w:rsidR="009D38E8" w:rsidRPr="00D173BB" w:rsidRDefault="009D38E8" w:rsidP="00D173BB">
      <w:pPr>
        <w:pStyle w:val="Subtitle"/>
      </w:pPr>
      <w:r w:rsidRPr="00D173BB">
        <w:t>Summary of Performance</w:t>
      </w:r>
    </w:p>
    <w:p w:rsidR="009D38E8" w:rsidRPr="00EF4C81" w:rsidRDefault="009D38E8" w:rsidP="00401C8C">
      <w:pPr>
        <w:pStyle w:val="text"/>
        <w:spacing w:after="240"/>
        <w:rPr>
          <w:color w:val="auto"/>
          <w:sz w:val="22"/>
          <w:szCs w:val="22"/>
          <w:lang w:val="en-GB"/>
        </w:rPr>
      </w:pPr>
      <w:r w:rsidRPr="00EF4C81">
        <w:rPr>
          <w:color w:val="auto"/>
          <w:sz w:val="22"/>
          <w:szCs w:val="22"/>
          <w:lang w:val="en-GB"/>
        </w:rPr>
        <w:t xml:space="preserve">All performance standards in this output expense have been met or exceeded. </w:t>
      </w:r>
    </w:p>
    <w:p w:rsidR="009D38E8" w:rsidRPr="00EF4C81" w:rsidRDefault="009D38E8" w:rsidP="00401C8C">
      <w:pPr>
        <w:pStyle w:val="text"/>
        <w:spacing w:after="240"/>
        <w:rPr>
          <w:color w:val="auto"/>
          <w:sz w:val="22"/>
          <w:szCs w:val="22"/>
          <w:lang w:val="en-GB"/>
        </w:rPr>
      </w:pPr>
      <w:r w:rsidRPr="00EF4C81">
        <w:rPr>
          <w:color w:val="auto"/>
          <w:sz w:val="22"/>
          <w:szCs w:val="22"/>
          <w:lang w:val="en-GB"/>
        </w:rPr>
        <w:t>The continuing improvement in performance can be attributed to the quality of overall social work practice and to the additional care and protection social workers recruited during the year.</w:t>
      </w:r>
    </w:p>
    <w:p w:rsidR="009D38E8" w:rsidRPr="00EF4C81" w:rsidRDefault="009D38E8" w:rsidP="00401C8C">
      <w:pPr>
        <w:pStyle w:val="text"/>
        <w:spacing w:after="240"/>
        <w:rPr>
          <w:color w:val="auto"/>
          <w:sz w:val="22"/>
          <w:szCs w:val="22"/>
          <w:lang w:val="en-GB"/>
        </w:rPr>
      </w:pPr>
      <w:r w:rsidRPr="00EF4C81">
        <w:rPr>
          <w:color w:val="auto"/>
          <w:sz w:val="22"/>
          <w:szCs w:val="22"/>
          <w:lang w:val="en-GB"/>
        </w:rPr>
        <w:t xml:space="preserve">Being responsive to children and young people in need of care and protection services is the key priority for Child, Youth and Family. Response times to notifications continue to meet or exceed standards. </w:t>
      </w:r>
    </w:p>
    <w:p w:rsidR="009D38E8" w:rsidRPr="00EF4C81" w:rsidRDefault="009D38E8" w:rsidP="009D38E8">
      <w:pPr>
        <w:pStyle w:val="Tableheader"/>
        <w:rPr>
          <w:color w:val="auto"/>
          <w:lang w:val="en-GB"/>
        </w:rPr>
      </w:pPr>
      <w:r w:rsidRPr="00EF4C81">
        <w:rPr>
          <w:color w:val="auto"/>
          <w:lang w:val="en-GB"/>
        </w:rPr>
        <w:t xml:space="preserve">Financial Performance Information </w:t>
      </w:r>
    </w:p>
    <w:tbl>
      <w:tblPr>
        <w:tblW w:w="9638" w:type="dxa"/>
        <w:tblBorders>
          <w:top w:val="single" w:sz="6"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2012</w:t>
            </w:r>
          </w:p>
          <w:p w:rsidR="009D38E8" w:rsidRPr="00EF4C81" w:rsidRDefault="009D38E8" w:rsidP="00A36A23">
            <w:pPr>
              <w:pStyle w:val="fintableheads"/>
              <w:rPr>
                <w:color w:val="auto"/>
              </w:rPr>
            </w:pPr>
            <w:r w:rsidRPr="00EF4C81">
              <w:rPr>
                <w:color w:val="auto"/>
                <w:lang w:val="en-GB"/>
              </w:rPr>
              <w:t>$000</w:t>
            </w:r>
          </w:p>
        </w:tc>
        <w:tc>
          <w:tcPr>
            <w:tcW w:w="3969" w:type="dxa"/>
            <w:vAlign w:val="bottom"/>
          </w:tcPr>
          <w:p w:rsidR="009D38E8" w:rsidRPr="00EF4C81" w:rsidRDefault="009D38E8" w:rsidP="00A36A23">
            <w:pPr>
              <w:pStyle w:val="fintableheadsLeft"/>
              <w:ind w:left="137" w:hanging="14"/>
              <w:rPr>
                <w:color w:val="auto"/>
              </w:rPr>
            </w:pPr>
            <w:r w:rsidRPr="00EF4C81">
              <w:rPr>
                <w:color w:val="auto"/>
                <w:lang w:val="en-GB"/>
              </w:rPr>
              <w:t xml:space="preserve">FINANCIAL PERFORMANCE </w:t>
            </w:r>
            <w:r w:rsidRPr="00EF4C81">
              <w:rPr>
                <w:color w:val="auto"/>
                <w:lang w:val="en-GB"/>
              </w:rPr>
              <w:br/>
              <w:t>(FIGURES ARE GST EXCLUSIVE)</w:t>
            </w:r>
          </w:p>
        </w:tc>
        <w:tc>
          <w:tcPr>
            <w:tcW w:w="1417" w:type="dxa"/>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spacing w:val="-4"/>
                <w:lang w:val="en-GB"/>
              </w:rPr>
            </w:pPr>
            <w:r w:rsidRPr="00EF4C81">
              <w:rPr>
                <w:color w:val="auto"/>
                <w:spacing w:val="-4"/>
                <w:lang w:val="en-GB"/>
              </w:rPr>
              <w:t>2013</w:t>
            </w:r>
          </w:p>
          <w:p w:rsidR="009D38E8" w:rsidRPr="00EF4C81" w:rsidRDefault="009D38E8" w:rsidP="00A36A23">
            <w:pPr>
              <w:pStyle w:val="fintableheads"/>
              <w:rPr>
                <w:color w:val="auto"/>
              </w:rPr>
            </w:pPr>
            <w:r w:rsidRPr="00EF4C81">
              <w:rPr>
                <w:color w:val="auto"/>
                <w:spacing w:val="-4"/>
                <w:lang w:val="en-GB"/>
              </w:rPr>
              <w:t>$000</w:t>
            </w:r>
          </w:p>
        </w:tc>
      </w:tr>
      <w:tr w:rsidR="009D38E8" w:rsidRPr="00EF4C81" w:rsidTr="00A36A23">
        <w:trPr>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113"/>
        </w:trPr>
        <w:tc>
          <w:tcPr>
            <w:tcW w:w="1417" w:type="dxa"/>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331,223</w:t>
            </w:r>
          </w:p>
        </w:tc>
        <w:tc>
          <w:tcPr>
            <w:tcW w:w="3969" w:type="dxa"/>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343,966</w:t>
            </w:r>
          </w:p>
        </w:tc>
        <w:tc>
          <w:tcPr>
            <w:tcW w:w="1417"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343,966</w:t>
            </w:r>
          </w:p>
        </w:tc>
        <w:tc>
          <w:tcPr>
            <w:tcW w:w="1418"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343,966</w:t>
            </w:r>
          </w:p>
        </w:tc>
      </w:tr>
      <w:tr w:rsidR="009D38E8" w:rsidRPr="00EF4C81" w:rsidTr="00A36A23">
        <w:trPr>
          <w:trHeight w:val="113"/>
        </w:trPr>
        <w:tc>
          <w:tcPr>
            <w:tcW w:w="1417" w:type="dxa"/>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945</w:t>
            </w:r>
          </w:p>
        </w:tc>
        <w:tc>
          <w:tcPr>
            <w:tcW w:w="3969" w:type="dxa"/>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7"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1,018</w:t>
            </w:r>
          </w:p>
        </w:tc>
        <w:tc>
          <w:tcPr>
            <w:tcW w:w="3969" w:type="dxa"/>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1,721</w:t>
            </w:r>
          </w:p>
        </w:tc>
        <w:tc>
          <w:tcPr>
            <w:tcW w:w="1417"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1,799</w:t>
            </w:r>
          </w:p>
        </w:tc>
        <w:tc>
          <w:tcPr>
            <w:tcW w:w="1418"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1,799</w:t>
            </w:r>
          </w:p>
        </w:tc>
      </w:tr>
      <w:tr w:rsidR="009D38E8" w:rsidRPr="00EF4C81" w:rsidTr="00A36A23">
        <w:trPr>
          <w:trHeight w:val="113"/>
        </w:trPr>
        <w:tc>
          <w:tcPr>
            <w:tcW w:w="1417" w:type="dxa"/>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333,186</w:t>
            </w:r>
          </w:p>
        </w:tc>
        <w:tc>
          <w:tcPr>
            <w:tcW w:w="3969" w:type="dxa"/>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345,687</w:t>
            </w:r>
          </w:p>
        </w:tc>
        <w:tc>
          <w:tcPr>
            <w:tcW w:w="1417"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345,765</w:t>
            </w:r>
          </w:p>
        </w:tc>
        <w:tc>
          <w:tcPr>
            <w:tcW w:w="1418"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345,765</w:t>
            </w:r>
          </w:p>
        </w:tc>
      </w:tr>
      <w:tr w:rsidR="009D38E8" w:rsidRPr="00EF4C81" w:rsidTr="00A36A23">
        <w:trPr>
          <w:trHeight w:val="113"/>
        </w:trPr>
        <w:tc>
          <w:tcPr>
            <w:tcW w:w="1417" w:type="dxa"/>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330,637</w:t>
            </w:r>
          </w:p>
        </w:tc>
        <w:tc>
          <w:tcPr>
            <w:tcW w:w="3969" w:type="dxa"/>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shd w:val="solid" w:color="00C477" w:fill="auto"/>
            <w:tcMar>
              <w:top w:w="57" w:type="dxa"/>
              <w:left w:w="113" w:type="dxa"/>
              <w:bottom w:w="85" w:type="dxa"/>
              <w:right w:w="113" w:type="dxa"/>
            </w:tcMar>
          </w:tcPr>
          <w:p w:rsidR="009D38E8" w:rsidRPr="00EF4C81" w:rsidRDefault="009D38E8" w:rsidP="00410861">
            <w:pPr>
              <w:pStyle w:val="FinFigures"/>
              <w:rPr>
                <w:color w:val="auto"/>
              </w:rPr>
            </w:pPr>
            <w:r w:rsidRPr="00EF4C81">
              <w:rPr>
                <w:color w:val="auto"/>
              </w:rPr>
              <w:t>344,</w:t>
            </w:r>
            <w:r w:rsidR="00410861" w:rsidRPr="00EF4C81">
              <w:rPr>
                <w:color w:val="auto"/>
              </w:rPr>
              <w:t>499</w:t>
            </w:r>
          </w:p>
        </w:tc>
        <w:tc>
          <w:tcPr>
            <w:tcW w:w="1417"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345,765</w:t>
            </w:r>
          </w:p>
        </w:tc>
        <w:tc>
          <w:tcPr>
            <w:tcW w:w="1418"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345,765</w:t>
            </w:r>
          </w:p>
        </w:tc>
      </w:tr>
      <w:tr w:rsidR="009D38E8" w:rsidRPr="00EF4C81" w:rsidTr="00A36A23">
        <w:trPr>
          <w:trHeight w:val="113"/>
        </w:trPr>
        <w:tc>
          <w:tcPr>
            <w:tcW w:w="1417" w:type="dxa"/>
            <w:shd w:val="solid" w:color="F2F2F2" w:fill="auto"/>
            <w:tcMar>
              <w:top w:w="57" w:type="dxa"/>
              <w:left w:w="113" w:type="dxa"/>
              <w:bottom w:w="85" w:type="dxa"/>
              <w:right w:w="113" w:type="dxa"/>
            </w:tcMar>
          </w:tcPr>
          <w:p w:rsidR="009D38E8" w:rsidRPr="00EF4C81" w:rsidRDefault="009D38E8" w:rsidP="00A36A23">
            <w:pPr>
              <w:pStyle w:val="FinFigures0"/>
              <w:rPr>
                <w:color w:val="auto"/>
              </w:rPr>
            </w:pPr>
            <w:r w:rsidRPr="00EF4C81">
              <w:rPr>
                <w:color w:val="auto"/>
              </w:rPr>
              <w:t>2,549</w:t>
            </w:r>
          </w:p>
        </w:tc>
        <w:tc>
          <w:tcPr>
            <w:tcW w:w="3969" w:type="dxa"/>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shd w:val="solid" w:color="00C477" w:fill="auto"/>
            <w:tcMar>
              <w:top w:w="57" w:type="dxa"/>
              <w:left w:w="113" w:type="dxa"/>
              <w:bottom w:w="85" w:type="dxa"/>
              <w:right w:w="113" w:type="dxa"/>
            </w:tcMar>
          </w:tcPr>
          <w:p w:rsidR="009D38E8" w:rsidRPr="00EF4C81" w:rsidRDefault="009D38E8" w:rsidP="00410861">
            <w:pPr>
              <w:pStyle w:val="FinFigures0"/>
              <w:rPr>
                <w:color w:val="auto"/>
              </w:rPr>
            </w:pPr>
            <w:r w:rsidRPr="00EF4C81">
              <w:rPr>
                <w:color w:val="auto"/>
              </w:rPr>
              <w:t>1,</w:t>
            </w:r>
            <w:r w:rsidR="00410861" w:rsidRPr="00EF4C81">
              <w:rPr>
                <w:color w:val="auto"/>
              </w:rPr>
              <w:t>188</w:t>
            </w:r>
          </w:p>
        </w:tc>
        <w:tc>
          <w:tcPr>
            <w:tcW w:w="1417"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lang w:val="en-GB"/>
        </w:rPr>
      </w:pPr>
      <w:r w:rsidRPr="00EF4C81">
        <w:rPr>
          <w:color w:val="auto"/>
          <w:lang w:val="en-GB"/>
        </w:rPr>
        <w:t>Output: Engagement and Assessment</w:t>
      </w:r>
    </w:p>
    <w:tbl>
      <w:tblPr>
        <w:tblW w:w="963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4" w:space="0" w:color="000000"/>
              <w:bottom w:val="single" w:sz="6" w:space="0" w:color="000000"/>
              <w:right w:val="single" w:sz="4" w:space="0" w:color="000000"/>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4" w:space="0" w:color="000000"/>
              <w:bottom w:val="single" w:sz="6" w:space="0" w:color="000000"/>
              <w:right w:val="single" w:sz="4" w:space="0" w:color="000000"/>
            </w:tcBorders>
            <w:vAlign w:val="bottom"/>
          </w:tcPr>
          <w:p w:rsidR="009D38E8" w:rsidRPr="00EF4C81" w:rsidRDefault="009D38E8" w:rsidP="00A36A23">
            <w:pPr>
              <w:pStyle w:val="fintableheadsLeft"/>
              <w:ind w:left="109"/>
              <w:rPr>
                <w:color w:val="auto"/>
              </w:rPr>
            </w:pPr>
            <w:r w:rsidRPr="00EF4C81">
              <w:rPr>
                <w:color w:val="auto"/>
                <w:lang w:val="en-GB"/>
              </w:rPr>
              <w:t>PERFORMANCE MEASURE</w:t>
            </w:r>
          </w:p>
        </w:tc>
        <w:tc>
          <w:tcPr>
            <w:tcW w:w="1417" w:type="dxa"/>
            <w:tcBorders>
              <w:top w:val="single" w:sz="6" w:space="0" w:color="auto"/>
              <w:left w:val="single" w:sz="4" w:space="0" w:color="000000"/>
              <w:bottom w:val="single" w:sz="6" w:space="0" w:color="000000"/>
              <w:right w:val="single" w:sz="4" w:space="0" w:color="000000"/>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4" w:space="0" w:color="000000"/>
              <w:right w:val="single" w:sz="4" w:space="0" w:color="000000"/>
            </w:tcBorders>
            <w:shd w:val="solid" w:color="F2F2F2"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5386" w:type="dxa"/>
            <w:tcBorders>
              <w:top w:val="single" w:sz="6" w:space="0" w:color="000000"/>
              <w:left w:val="single" w:sz="4"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notifications that require further action allocated to a social worker within the timeframe appropriate to the safety of the child or young person will be between:</w:t>
            </w:r>
          </w:p>
        </w:tc>
        <w:tc>
          <w:tcPr>
            <w:tcW w:w="1417" w:type="dxa"/>
            <w:tcBorders>
              <w:top w:val="single" w:sz="6" w:space="0" w:color="000000"/>
              <w:left w:val="single" w:sz="4" w:space="0" w:color="000000"/>
              <w:right w:val="single" w:sz="4"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4"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98.6%</w:t>
            </w:r>
          </w:p>
          <w:p w:rsidR="009D38E8" w:rsidRPr="00EF4C81" w:rsidRDefault="009D38E8" w:rsidP="00A36A23">
            <w:pPr>
              <w:pStyle w:val="FinFigures"/>
              <w:rPr>
                <w:color w:val="auto"/>
                <w:lang w:val="en-GB"/>
              </w:rPr>
            </w:pPr>
            <w:r w:rsidRPr="00EF4C81">
              <w:rPr>
                <w:color w:val="auto"/>
                <w:lang w:val="en-GB"/>
              </w:rPr>
              <w:t>97.7%</w:t>
            </w:r>
          </w:p>
          <w:p w:rsidR="009D38E8" w:rsidRPr="00EF4C81" w:rsidRDefault="009D38E8" w:rsidP="00A36A23">
            <w:pPr>
              <w:pStyle w:val="FinFigures"/>
              <w:rPr>
                <w:color w:val="auto"/>
              </w:rPr>
            </w:pPr>
            <w:r w:rsidRPr="00EF4C81">
              <w:rPr>
                <w:color w:val="auto"/>
              </w:rPr>
              <w:t>94.4%</w:t>
            </w:r>
          </w:p>
          <w:p w:rsidR="009D38E8" w:rsidRPr="00EF4C81" w:rsidRDefault="009D38E8" w:rsidP="00A36A23">
            <w:pPr>
              <w:pStyle w:val="FinFigures"/>
              <w:rPr>
                <w:color w:val="auto"/>
              </w:rPr>
            </w:pPr>
            <w:r w:rsidRPr="00EF4C81">
              <w:rPr>
                <w:color w:val="auto"/>
              </w:rPr>
              <w:t>94.6%</w:t>
            </w:r>
          </w:p>
        </w:tc>
        <w:tc>
          <w:tcPr>
            <w:tcW w:w="5386" w:type="dxa"/>
            <w:tcBorders>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lang w:val="en-GB"/>
              </w:rPr>
            </w:pPr>
            <w:r w:rsidRPr="00EF4C81">
              <w:rPr>
                <w:color w:val="auto"/>
                <w:lang w:val="en-GB"/>
              </w:rPr>
              <w:t>Critical (less than 24 hours)</w:t>
            </w:r>
          </w:p>
          <w:p w:rsidR="009D38E8" w:rsidRPr="00EF4C81" w:rsidRDefault="009D38E8" w:rsidP="00A36A23">
            <w:pPr>
              <w:pStyle w:val="tablefintext"/>
              <w:rPr>
                <w:color w:val="auto"/>
                <w:lang w:val="en-GB"/>
              </w:rPr>
            </w:pPr>
            <w:r w:rsidRPr="00EF4C81">
              <w:rPr>
                <w:color w:val="auto"/>
                <w:lang w:val="en-GB"/>
              </w:rPr>
              <w:t>Very Urgent (up to 48 hours)</w:t>
            </w:r>
          </w:p>
          <w:p w:rsidR="009D38E8" w:rsidRPr="00EF4C81" w:rsidRDefault="009D38E8" w:rsidP="00A36A23">
            <w:pPr>
              <w:pStyle w:val="tablefintext"/>
              <w:rPr>
                <w:color w:val="auto"/>
                <w:lang w:val="en-GB"/>
              </w:rPr>
            </w:pPr>
            <w:r w:rsidRPr="00EF4C81">
              <w:rPr>
                <w:color w:val="auto"/>
                <w:lang w:val="en-GB"/>
              </w:rPr>
              <w:t>Urgent (up to seven days)</w:t>
            </w:r>
          </w:p>
          <w:p w:rsidR="009D38E8" w:rsidRPr="00EF4C81" w:rsidRDefault="009D38E8" w:rsidP="00A36A23">
            <w:pPr>
              <w:pStyle w:val="tablefintext"/>
              <w:rPr>
                <w:color w:val="auto"/>
                <w:lang w:val="en-GB"/>
              </w:rPr>
            </w:pPr>
            <w:r w:rsidRPr="00EF4C81">
              <w:rPr>
                <w:color w:val="auto"/>
                <w:lang w:val="en-GB"/>
              </w:rPr>
              <w:t>Low Urgent (up to 28 days)</w:t>
            </w:r>
          </w:p>
          <w:p w:rsidR="009D38E8" w:rsidRPr="00EF4C81" w:rsidRDefault="009D38E8" w:rsidP="00A36A23">
            <w:pPr>
              <w:pStyle w:val="tablefintext"/>
              <w:rPr>
                <w:color w:val="auto"/>
              </w:rPr>
            </w:pPr>
          </w:p>
        </w:tc>
        <w:tc>
          <w:tcPr>
            <w:tcW w:w="1417" w:type="dxa"/>
            <w:tcBorders>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98.6%</w:t>
            </w:r>
            <w:r w:rsidR="007911C5" w:rsidRPr="00EF4C81">
              <w:rPr>
                <w:rStyle w:val="FootnoteReference"/>
                <w:color w:val="auto"/>
              </w:rPr>
              <w:footnoteReference w:id="3"/>
            </w:r>
          </w:p>
          <w:p w:rsidR="009D38E8" w:rsidRPr="00EF4C81" w:rsidRDefault="009D38E8" w:rsidP="00A36A23">
            <w:pPr>
              <w:pStyle w:val="FinFigures"/>
              <w:rPr>
                <w:color w:val="auto"/>
              </w:rPr>
            </w:pPr>
            <w:r w:rsidRPr="00EF4C81">
              <w:rPr>
                <w:color w:val="auto"/>
              </w:rPr>
              <w:t>98.3%</w:t>
            </w:r>
            <w:r w:rsidR="007911C5" w:rsidRPr="00EF4C81">
              <w:rPr>
                <w:rStyle w:val="FootnoteReference"/>
                <w:color w:val="auto"/>
              </w:rPr>
              <w:footnoteReference w:id="4"/>
            </w:r>
          </w:p>
          <w:p w:rsidR="009D38E8" w:rsidRPr="00EF4C81" w:rsidRDefault="009D38E8" w:rsidP="00A36A23">
            <w:pPr>
              <w:pStyle w:val="FinFigures"/>
              <w:rPr>
                <w:color w:val="auto"/>
              </w:rPr>
            </w:pPr>
            <w:r w:rsidRPr="00EF4C81">
              <w:rPr>
                <w:color w:val="auto"/>
              </w:rPr>
              <w:t>94.6%</w:t>
            </w:r>
          </w:p>
          <w:p w:rsidR="009D38E8" w:rsidRPr="00EF4C81" w:rsidRDefault="009D38E8" w:rsidP="00A36A23">
            <w:pPr>
              <w:pStyle w:val="FinFigures"/>
              <w:rPr>
                <w:color w:val="auto"/>
              </w:rPr>
            </w:pPr>
            <w:r w:rsidRPr="00EF4C81">
              <w:rPr>
                <w:color w:val="auto"/>
              </w:rPr>
              <w:t>95.0%</w:t>
            </w:r>
          </w:p>
        </w:tc>
        <w:tc>
          <w:tcPr>
            <w:tcW w:w="1418" w:type="dxa"/>
            <w:tcBorders>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95–100%</w:t>
            </w:r>
          </w:p>
          <w:p w:rsidR="009D38E8" w:rsidRPr="00EF4C81" w:rsidRDefault="009D38E8" w:rsidP="00A36A23">
            <w:pPr>
              <w:pStyle w:val="FinFigures"/>
              <w:rPr>
                <w:color w:val="auto"/>
                <w:lang w:val="en-GB"/>
              </w:rPr>
            </w:pPr>
            <w:r w:rsidRPr="00EF4C81">
              <w:rPr>
                <w:color w:val="auto"/>
                <w:lang w:val="en-GB"/>
              </w:rPr>
              <w:t>95–100%</w:t>
            </w:r>
          </w:p>
          <w:p w:rsidR="009D38E8" w:rsidRPr="00EF4C81" w:rsidRDefault="009D38E8" w:rsidP="00A36A23">
            <w:pPr>
              <w:pStyle w:val="FinFigures"/>
              <w:rPr>
                <w:color w:val="auto"/>
                <w:lang w:val="en-GB"/>
              </w:rPr>
            </w:pPr>
            <w:r w:rsidRPr="00EF4C81">
              <w:rPr>
                <w:color w:val="auto"/>
                <w:lang w:val="en-GB"/>
              </w:rPr>
              <w:t>85–95%</w:t>
            </w:r>
          </w:p>
          <w:p w:rsidR="009D38E8" w:rsidRPr="00EF4C81" w:rsidRDefault="009D38E8" w:rsidP="00A36A23">
            <w:pPr>
              <w:pStyle w:val="FinFigures"/>
              <w:rPr>
                <w:color w:val="auto"/>
              </w:rPr>
            </w:pPr>
            <w:r w:rsidRPr="00EF4C81">
              <w:rPr>
                <w:color w:val="auto"/>
                <w:lang w:val="en-GB"/>
              </w:rPr>
              <w:t>85–95%</w:t>
            </w:r>
          </w:p>
        </w:tc>
      </w:tr>
      <w:tr w:rsidR="009D38E8" w:rsidRPr="00EF4C81" w:rsidTr="00A36A23">
        <w:trPr>
          <w:trHeight w:val="113"/>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85%</w:t>
            </w:r>
          </w:p>
        </w:tc>
        <w:tc>
          <w:tcPr>
            <w:tcW w:w="5386" w:type="dxa"/>
            <w:tcBorders>
              <w:top w:val="single" w:sz="4" w:space="0" w:color="000000"/>
              <w:left w:val="single" w:sz="4" w:space="0" w:color="000000"/>
              <w:bottom w:val="single" w:sz="4"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The percentage of investigations/child and family assessments completed within 60 days for those aged five and over is no less than</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89.0%</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80%</w:t>
            </w:r>
          </w:p>
        </w:tc>
      </w:tr>
    </w:tbl>
    <w:p w:rsidR="009D38E8" w:rsidRPr="00EF4C81" w:rsidRDefault="009D38E8" w:rsidP="009D38E8">
      <w:pPr>
        <w:pStyle w:val="Tableheader"/>
        <w:rPr>
          <w:color w:val="auto"/>
          <w:lang w:val="en-GB"/>
        </w:rPr>
      </w:pPr>
    </w:p>
    <w:p w:rsidR="00295984" w:rsidRPr="00EF4C81" w:rsidRDefault="00295984">
      <w:pPr>
        <w:spacing w:after="200" w:line="276" w:lineRule="auto"/>
        <w:rPr>
          <w:rFonts w:ascii="AvenirMaori-Heavy" w:eastAsia="Times New Roman" w:hAnsi="AvenirMaori-Heavy" w:cs="AvenirMaori-Heavy"/>
          <w:color w:val="auto"/>
          <w:spacing w:val="-2"/>
          <w:sz w:val="22"/>
          <w:lang w:val="en-GB" w:eastAsia="en-AU"/>
        </w:rPr>
      </w:pPr>
      <w:r w:rsidRPr="00EF4C81">
        <w:rPr>
          <w:color w:val="auto"/>
          <w:lang w:val="en-GB"/>
        </w:rPr>
        <w:br w:type="page"/>
      </w:r>
    </w:p>
    <w:p w:rsidR="009D38E8" w:rsidRPr="00EF4C81" w:rsidRDefault="009D38E8" w:rsidP="009D38E8">
      <w:pPr>
        <w:pStyle w:val="Tableheader"/>
        <w:rPr>
          <w:color w:val="auto"/>
          <w:lang w:val="en-GB"/>
        </w:rPr>
      </w:pPr>
      <w:r w:rsidRPr="00EF4C81">
        <w:rPr>
          <w:color w:val="auto"/>
          <w:lang w:val="en-GB"/>
        </w:rPr>
        <w:lastRenderedPageBreak/>
        <w:t xml:space="preserve">Service Performance Information </w:t>
      </w:r>
    </w:p>
    <w:p w:rsidR="009D38E8" w:rsidRPr="00EF4C81" w:rsidRDefault="009D38E8" w:rsidP="009D38E8">
      <w:pPr>
        <w:pStyle w:val="Tableheader2"/>
        <w:rPr>
          <w:color w:val="auto"/>
          <w:lang w:val="en-GB"/>
        </w:rPr>
      </w:pPr>
      <w:r w:rsidRPr="00EF4C81">
        <w:rPr>
          <w:color w:val="auto"/>
          <w:lang w:val="en-GB"/>
        </w:rPr>
        <w:t>Output: Seeking Safety and Security</w:t>
      </w:r>
    </w:p>
    <w:tbl>
      <w:tblPr>
        <w:tblW w:w="9646" w:type="dxa"/>
        <w:tblBorders>
          <w:top w:val="single" w:sz="6" w:space="0" w:color="auto"/>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
        <w:gridCol w:w="1409"/>
        <w:gridCol w:w="8"/>
        <w:gridCol w:w="5378"/>
        <w:gridCol w:w="8"/>
        <w:gridCol w:w="1409"/>
        <w:gridCol w:w="8"/>
        <w:gridCol w:w="1410"/>
        <w:gridCol w:w="8"/>
      </w:tblGrid>
      <w:tr w:rsidR="009D38E8" w:rsidRPr="00EF4C81" w:rsidTr="00435D15">
        <w:trPr>
          <w:gridAfter w:val="1"/>
          <w:wAfter w:w="8" w:type="dxa"/>
          <w:trHeight w:val="113"/>
        </w:trPr>
        <w:tc>
          <w:tcPr>
            <w:tcW w:w="1417" w:type="dxa"/>
            <w:gridSpan w:val="2"/>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gridSpan w:val="2"/>
            <w:vAlign w:val="bottom"/>
          </w:tcPr>
          <w:p w:rsidR="009D38E8" w:rsidRPr="00EF4C81" w:rsidRDefault="009D38E8" w:rsidP="00A36A23">
            <w:pPr>
              <w:pStyle w:val="fintableheadsLeft"/>
              <w:ind w:left="109"/>
              <w:rPr>
                <w:color w:val="auto"/>
              </w:rPr>
            </w:pPr>
            <w:r w:rsidRPr="00EF4C81">
              <w:rPr>
                <w:color w:val="auto"/>
                <w:lang w:val="en-GB"/>
              </w:rPr>
              <w:t>PERFORMANCE MEASURE</w:t>
            </w:r>
          </w:p>
        </w:tc>
        <w:tc>
          <w:tcPr>
            <w:tcW w:w="1417" w:type="dxa"/>
            <w:gridSpan w:val="2"/>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gridSpan w:val="2"/>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435D15">
        <w:tblPrEx>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13"/>
        </w:trPr>
        <w:tc>
          <w:tcPr>
            <w:tcW w:w="1417" w:type="dxa"/>
            <w:gridSpan w:val="2"/>
            <w:tcBorders>
              <w:top w:val="single" w:sz="4"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93.5%</w:t>
            </w:r>
          </w:p>
        </w:tc>
        <w:tc>
          <w:tcPr>
            <w:tcW w:w="5386" w:type="dxa"/>
            <w:gridSpan w:val="2"/>
            <w:tcBorders>
              <w:top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children and young people whose Care and Protection Family Group Conference plans were completed and the objectives were assessed as being met will be between</w:t>
            </w:r>
          </w:p>
        </w:tc>
        <w:tc>
          <w:tcPr>
            <w:tcW w:w="1417" w:type="dxa"/>
            <w:gridSpan w:val="2"/>
            <w:tcBorders>
              <w:top w:val="single" w:sz="4"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95.0%</w:t>
            </w:r>
          </w:p>
        </w:tc>
        <w:tc>
          <w:tcPr>
            <w:tcW w:w="1418" w:type="dxa"/>
            <w:gridSpan w:val="2"/>
            <w:tcBorders>
              <w:top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85–90%</w:t>
            </w:r>
          </w:p>
        </w:tc>
      </w:tr>
      <w:tr w:rsidR="009D38E8" w:rsidRPr="00EF4C81" w:rsidTr="00435D15">
        <w:tblPrEx>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13"/>
        </w:trPr>
        <w:tc>
          <w:tcPr>
            <w:tcW w:w="1417" w:type="dxa"/>
            <w:gridSpan w:val="2"/>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99.6%</w:t>
            </w:r>
          </w:p>
        </w:tc>
        <w:tc>
          <w:tcPr>
            <w:tcW w:w="5386" w:type="dxa"/>
            <w:gridSpan w:val="2"/>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Care and Protection Family Group Conference plans reviewed by the agreed due date will be between</w:t>
            </w:r>
          </w:p>
        </w:tc>
        <w:tc>
          <w:tcPr>
            <w:tcW w:w="1417" w:type="dxa"/>
            <w:gridSpan w:val="2"/>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98.5%</w:t>
            </w:r>
          </w:p>
        </w:tc>
        <w:tc>
          <w:tcPr>
            <w:tcW w:w="1418" w:type="dxa"/>
            <w:gridSpan w:val="2"/>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435D15">
        <w:tblPrEx>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13"/>
        </w:trPr>
        <w:tc>
          <w:tcPr>
            <w:tcW w:w="1417" w:type="dxa"/>
            <w:gridSpan w:val="2"/>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97.4%</w:t>
            </w:r>
          </w:p>
        </w:tc>
        <w:tc>
          <w:tcPr>
            <w:tcW w:w="5386" w:type="dxa"/>
            <w:gridSpan w:val="2"/>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The percentage of reports provided to Courts that are delivered on time will be between</w:t>
            </w:r>
          </w:p>
        </w:tc>
        <w:tc>
          <w:tcPr>
            <w:tcW w:w="1417" w:type="dxa"/>
            <w:gridSpan w:val="2"/>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97.1%</w:t>
            </w:r>
          </w:p>
        </w:tc>
        <w:tc>
          <w:tcPr>
            <w:tcW w:w="1418" w:type="dxa"/>
            <w:gridSpan w:val="2"/>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90–95%</w:t>
            </w:r>
          </w:p>
        </w:tc>
      </w:tr>
    </w:tbl>
    <w:p w:rsidR="009D38E8" w:rsidRPr="00EF4C81" w:rsidRDefault="009D38E8" w:rsidP="009D38E8">
      <w:pPr>
        <w:pStyle w:val="Tableheader"/>
        <w:rPr>
          <w:color w:val="auto"/>
          <w:lang w:val="en-GB"/>
        </w:rPr>
      </w:pPr>
    </w:p>
    <w:p w:rsidR="009D38E8" w:rsidRPr="00EF4C81" w:rsidRDefault="009D38E8" w:rsidP="009D38E8">
      <w:pPr>
        <w:pStyle w:val="Tableheader2"/>
        <w:rPr>
          <w:color w:val="auto"/>
          <w:lang w:val="en-GB"/>
        </w:rPr>
      </w:pPr>
      <w:r w:rsidRPr="00EF4C81">
        <w:rPr>
          <w:color w:val="auto"/>
          <w:lang w:val="en-GB"/>
        </w:rPr>
        <w:t>Output: Securing Stability and Wellbeing</w:t>
      </w:r>
    </w:p>
    <w:tbl>
      <w:tblPr>
        <w:tblW w:w="9638" w:type="dxa"/>
        <w:tblBorders>
          <w:top w:val="single" w:sz="6" w:space="0" w:color="auto"/>
          <w:left w:val="single" w:sz="6" w:space="0" w:color="000000"/>
          <w:bottom w:val="single" w:sz="4"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474"/>
        </w:trPr>
        <w:tc>
          <w:tcPr>
            <w:tcW w:w="1417" w:type="dxa"/>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vAlign w:val="bottom"/>
          </w:tcPr>
          <w:p w:rsidR="009D38E8" w:rsidRPr="00EF4C81" w:rsidRDefault="009D38E8" w:rsidP="00A36A23">
            <w:pPr>
              <w:pStyle w:val="fintableheadsLeft"/>
              <w:ind w:left="109"/>
              <w:rPr>
                <w:color w:val="auto"/>
              </w:rPr>
            </w:pPr>
            <w:r w:rsidRPr="00EF4C81">
              <w:rPr>
                <w:color w:val="auto"/>
                <w:lang w:val="en-GB"/>
              </w:rPr>
              <w:t>PERFORMANCE MEASURE</w:t>
            </w:r>
          </w:p>
        </w:tc>
        <w:tc>
          <w:tcPr>
            <w:tcW w:w="1417" w:type="dxa"/>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542"/>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97%</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b/>
                <w:color w:val="auto"/>
                <w:lang w:val="en-GB"/>
              </w:rPr>
            </w:pPr>
            <w:r w:rsidRPr="00EF4C81">
              <w:rPr>
                <w:rStyle w:val="fintextheavyFINANCIALS"/>
                <w:b/>
                <w:color w:val="auto"/>
                <w:lang w:val="en-GB"/>
              </w:rPr>
              <w:t>Quality</w:t>
            </w:r>
          </w:p>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The percentage of children and young people discharged from a care and protection residence with an individual transition plan to help them re-integrate into society will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99%</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90–100%</w:t>
            </w:r>
          </w:p>
        </w:tc>
      </w:tr>
      <w:tr w:rsidR="009D38E8" w:rsidRPr="00EF4C81" w:rsidTr="00A36A23">
        <w:trPr>
          <w:trHeight w:val="542"/>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95.8%</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Family Court plans reviewed on time will be between</w:t>
            </w:r>
            <w:r w:rsidRPr="00EF4C81">
              <w:rPr>
                <w:rStyle w:val="FootnoteReference"/>
                <w:color w:val="auto"/>
                <w:lang w:val="en-GB"/>
              </w:rPr>
              <w:footnoteReference w:id="5"/>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96.3%</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A36A23">
        <w:trPr>
          <w:trHeight w:val="542"/>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99.4%</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The percentage of Family/</w:t>
            </w:r>
            <w:proofErr w:type="spellStart"/>
            <w:r w:rsidRPr="00EF4C81">
              <w:rPr>
                <w:rStyle w:val="fintextheavyFINANCIALS"/>
                <w:color w:val="auto"/>
                <w:lang w:val="en-GB"/>
              </w:rPr>
              <w:t>Wh</w:t>
            </w:r>
            <w:r w:rsidRPr="00EF4C81">
              <w:rPr>
                <w:rStyle w:val="fintextheavyFINANCIALS"/>
                <w:rFonts w:ascii="Arial" w:hAnsi="Arial" w:cs="Arial"/>
                <w:color w:val="auto"/>
                <w:lang w:val="en-GB"/>
              </w:rPr>
              <w:t>ā</w:t>
            </w:r>
            <w:r w:rsidRPr="00EF4C81">
              <w:rPr>
                <w:rStyle w:val="fintextheavyFINANCIALS"/>
                <w:color w:val="auto"/>
                <w:lang w:val="en-GB"/>
              </w:rPr>
              <w:t>nau</w:t>
            </w:r>
            <w:proofErr w:type="spellEnd"/>
            <w:r w:rsidRPr="00EF4C81">
              <w:rPr>
                <w:rStyle w:val="fintextheavyFINANCIALS"/>
                <w:color w:val="auto"/>
                <w:lang w:val="en-GB"/>
              </w:rPr>
              <w:t xml:space="preserve"> Agreements that are reviewed within three months will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98.5%</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95–100%</w:t>
            </w:r>
          </w:p>
        </w:tc>
      </w:tr>
    </w:tbl>
    <w:p w:rsidR="009D38E8" w:rsidRPr="00EF4C81" w:rsidRDefault="009D38E8" w:rsidP="009D38E8">
      <w:pPr>
        <w:pStyle w:val="TABLESPACE"/>
        <w:rPr>
          <w:color w:val="auto"/>
          <w:sz w:val="21"/>
          <w:szCs w:val="21"/>
          <w:lang w:val="en-GB"/>
        </w:rPr>
      </w:pPr>
    </w:p>
    <w:p w:rsidR="009D38E8" w:rsidRPr="00D173BB" w:rsidRDefault="009D38E8" w:rsidP="00D173BB">
      <w:pPr>
        <w:pStyle w:val="Heading3"/>
      </w:pPr>
      <w:r w:rsidRPr="00D173BB">
        <w:br w:type="page"/>
      </w:r>
      <w:r w:rsidRPr="00D173BB">
        <w:lastRenderedPageBreak/>
        <w:t>Output Expense: Children's Action Plan</w:t>
      </w:r>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r w:rsidRPr="00EF4C81">
        <w:rPr>
          <w:color w:val="auto"/>
          <w:sz w:val="22"/>
          <w:szCs w:val="22"/>
          <w:lang w:val="en-GB"/>
        </w:rPr>
        <w:t>This appropriation is limited to activities necessary to implement the Children's Action Plan.</w:t>
      </w:r>
    </w:p>
    <w:p w:rsidR="009D38E8" w:rsidRPr="00D173BB" w:rsidRDefault="009D38E8" w:rsidP="00D173BB">
      <w:pPr>
        <w:pStyle w:val="Subtitle"/>
      </w:pPr>
      <w:r w:rsidRPr="00D173BB">
        <w:t>Summary of Performance</w:t>
      </w:r>
    </w:p>
    <w:p w:rsidR="009D38E8" w:rsidRPr="00EF4C81" w:rsidRDefault="009D38E8" w:rsidP="00401C8C">
      <w:pPr>
        <w:pStyle w:val="text"/>
        <w:spacing w:after="240"/>
        <w:rPr>
          <w:color w:val="auto"/>
          <w:sz w:val="22"/>
          <w:szCs w:val="22"/>
          <w:lang w:val="en-GB"/>
        </w:rPr>
      </w:pPr>
      <w:r w:rsidRPr="00EF4C81">
        <w:rPr>
          <w:color w:val="auto"/>
          <w:sz w:val="22"/>
          <w:szCs w:val="22"/>
          <w:lang w:val="en-GB"/>
        </w:rPr>
        <w:t xml:space="preserve">Both performance </w:t>
      </w:r>
      <w:r w:rsidR="00E53A13" w:rsidRPr="00EF4C81">
        <w:rPr>
          <w:color w:val="auto"/>
          <w:sz w:val="22"/>
          <w:szCs w:val="22"/>
          <w:lang w:val="en-GB"/>
        </w:rPr>
        <w:t>standards</w:t>
      </w:r>
      <w:r w:rsidRPr="00EF4C81">
        <w:rPr>
          <w:color w:val="auto"/>
          <w:sz w:val="22"/>
          <w:szCs w:val="22"/>
          <w:lang w:val="en-GB"/>
        </w:rPr>
        <w:t xml:space="preserve"> in this output </w:t>
      </w:r>
      <w:r w:rsidR="003918F0" w:rsidRPr="00EF4C81">
        <w:rPr>
          <w:color w:val="auto"/>
          <w:sz w:val="22"/>
          <w:szCs w:val="22"/>
          <w:lang w:val="en-GB"/>
        </w:rPr>
        <w:t>expense</w:t>
      </w:r>
      <w:r w:rsidRPr="00EF4C81">
        <w:rPr>
          <w:color w:val="auto"/>
          <w:sz w:val="22"/>
          <w:szCs w:val="22"/>
          <w:lang w:val="en-GB"/>
        </w:rPr>
        <w:t xml:space="preserve"> have been met.</w:t>
      </w:r>
    </w:p>
    <w:p w:rsidR="009D38E8" w:rsidRPr="00EF4C81" w:rsidRDefault="00FC5890" w:rsidP="00401C8C">
      <w:pPr>
        <w:pStyle w:val="text"/>
        <w:spacing w:after="240"/>
        <w:rPr>
          <w:color w:val="auto"/>
          <w:sz w:val="22"/>
          <w:szCs w:val="22"/>
          <w:lang w:val="en-GB"/>
        </w:rPr>
      </w:pPr>
      <w:r w:rsidRPr="00EF4C81">
        <w:rPr>
          <w:color w:val="auto"/>
          <w:sz w:val="22"/>
          <w:szCs w:val="22"/>
          <w:lang w:val="en-GB"/>
        </w:rPr>
        <w:t xml:space="preserve">In 2012/2013, </w:t>
      </w:r>
      <w:r w:rsidR="002B084E" w:rsidRPr="00EF4C81">
        <w:rPr>
          <w:color w:val="auto"/>
          <w:sz w:val="22"/>
          <w:szCs w:val="22"/>
          <w:lang w:val="en-GB"/>
        </w:rPr>
        <w:t xml:space="preserve">interim </w:t>
      </w:r>
      <w:r w:rsidRPr="00EF4C81">
        <w:rPr>
          <w:color w:val="auto"/>
          <w:sz w:val="22"/>
          <w:szCs w:val="22"/>
          <w:lang w:val="en-GB"/>
        </w:rPr>
        <w:t xml:space="preserve">Regional Children's Directors were appointed and </w:t>
      </w:r>
      <w:r w:rsidR="00C15461" w:rsidRPr="00EF4C81">
        <w:rPr>
          <w:color w:val="auto"/>
          <w:sz w:val="22"/>
          <w:szCs w:val="22"/>
          <w:lang w:val="en-GB"/>
        </w:rPr>
        <w:t xml:space="preserve">Children's Team sites were established in </w:t>
      </w:r>
      <w:proofErr w:type="spellStart"/>
      <w:r w:rsidR="00C15461" w:rsidRPr="00EF4C81">
        <w:rPr>
          <w:color w:val="auto"/>
          <w:sz w:val="22"/>
          <w:szCs w:val="22"/>
          <w:lang w:val="en-GB"/>
        </w:rPr>
        <w:t>Rotorua</w:t>
      </w:r>
      <w:proofErr w:type="spellEnd"/>
      <w:r w:rsidR="00C15461" w:rsidRPr="00EF4C81">
        <w:rPr>
          <w:color w:val="auto"/>
          <w:sz w:val="22"/>
          <w:szCs w:val="22"/>
          <w:lang w:val="en-GB"/>
        </w:rPr>
        <w:t xml:space="preserve"> and </w:t>
      </w:r>
      <w:proofErr w:type="spellStart"/>
      <w:r w:rsidR="00C15461" w:rsidRPr="00EF4C81">
        <w:rPr>
          <w:color w:val="auto"/>
          <w:sz w:val="22"/>
          <w:szCs w:val="22"/>
          <w:lang w:val="en-GB"/>
        </w:rPr>
        <w:t>Whangarei</w:t>
      </w:r>
      <w:proofErr w:type="spellEnd"/>
      <w:r w:rsidR="00C15461" w:rsidRPr="00EF4C81">
        <w:rPr>
          <w:color w:val="auto"/>
          <w:sz w:val="22"/>
          <w:szCs w:val="22"/>
          <w:lang w:val="en-GB"/>
        </w:rPr>
        <w:t>.</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60"/>
        </w:trPr>
        <w:tc>
          <w:tcPr>
            <w:tcW w:w="1417" w:type="dxa"/>
            <w:tcBorders>
              <w:top w:val="single" w:sz="6" w:space="0" w:color="auto"/>
              <w:left w:val="single" w:sz="4" w:space="0" w:color="000000"/>
              <w:bottom w:val="single" w:sz="6" w:space="0" w:color="000000"/>
              <w:right w:val="single" w:sz="4" w:space="0" w:color="000000"/>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4" w:space="0" w:color="000000"/>
              <w:bottom w:val="single" w:sz="6" w:space="0" w:color="000000"/>
              <w:right w:val="single" w:sz="4" w:space="0" w:color="000000"/>
            </w:tcBorders>
            <w:vAlign w:val="bottom"/>
          </w:tcPr>
          <w:p w:rsidR="009D38E8" w:rsidRPr="00EF4C81" w:rsidRDefault="009D38E8" w:rsidP="00A36A23">
            <w:pPr>
              <w:pStyle w:val="fintableheadsLeft"/>
              <w:ind w:left="123"/>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4" w:space="0" w:color="000000"/>
              <w:bottom w:val="single" w:sz="6" w:space="0" w:color="000000"/>
              <w:right w:val="single" w:sz="4" w:space="0" w:color="000000"/>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255"/>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255"/>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2,535</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2,535</w:t>
            </w:r>
          </w:p>
        </w:tc>
      </w:tr>
      <w:tr w:rsidR="009D38E8" w:rsidRPr="00EF4C81" w:rsidTr="00A36A23">
        <w:trPr>
          <w:trHeight w:val="255"/>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6"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2,535</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2,535</w:t>
            </w:r>
          </w:p>
        </w:tc>
      </w:tr>
      <w:tr w:rsidR="009D38E8" w:rsidRPr="00EF4C81" w:rsidTr="00A36A23">
        <w:trPr>
          <w:trHeight w:val="255"/>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1,242</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2,535</w:t>
            </w:r>
          </w:p>
        </w:tc>
      </w:tr>
      <w:tr w:rsidR="009D38E8" w:rsidRPr="00EF4C81" w:rsidTr="00A36A23">
        <w:trPr>
          <w:trHeight w:val="255"/>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1,293</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header"/>
        <w:rPr>
          <w:color w:val="auto"/>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lang w:val="en-GB"/>
        </w:rPr>
      </w:pPr>
      <w:r w:rsidRPr="00EF4C81">
        <w:rPr>
          <w:color w:val="auto"/>
          <w:lang w:val="en-GB"/>
        </w:rPr>
        <w:t>Output: Children's Action Plan</w:t>
      </w:r>
    </w:p>
    <w:tbl>
      <w:tblPr>
        <w:tblW w:w="9638" w:type="dxa"/>
        <w:tblBorders>
          <w:top w:val="single" w:sz="6"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blHeader/>
        </w:trPr>
        <w:tc>
          <w:tcPr>
            <w:tcW w:w="1417" w:type="dxa"/>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3918F0">
            <w:pPr>
              <w:pStyle w:val="tablefintext"/>
              <w:rPr>
                <w:color w:val="auto"/>
              </w:rPr>
            </w:pPr>
            <w:r w:rsidRPr="00EF4C81">
              <w:rPr>
                <w:color w:val="auto"/>
                <w:lang w:val="en-GB"/>
              </w:rPr>
              <w:t xml:space="preserve">The Children's Action Plan </w:t>
            </w:r>
            <w:r w:rsidR="003918F0" w:rsidRPr="00EF4C81">
              <w:rPr>
                <w:color w:val="auto"/>
                <w:lang w:val="en-GB"/>
              </w:rPr>
              <w:t>p</w:t>
            </w:r>
            <w:r w:rsidRPr="00EF4C81">
              <w:rPr>
                <w:color w:val="auto"/>
                <w:lang w:val="en-GB"/>
              </w:rPr>
              <w:t xml:space="preserve">rogramme </w:t>
            </w:r>
            <w:r w:rsidR="003918F0" w:rsidRPr="00EF4C81">
              <w:rPr>
                <w:color w:val="auto"/>
                <w:lang w:val="en-GB"/>
              </w:rPr>
              <w:t>o</w:t>
            </w:r>
            <w:r w:rsidRPr="00EF4C81">
              <w:rPr>
                <w:color w:val="auto"/>
                <w:lang w:val="en-GB"/>
              </w:rPr>
              <w:t>ffice will be established no later than 30 June 2013</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Standard met</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p>
        </w:tc>
      </w:tr>
      <w:tr w:rsidR="009D38E8" w:rsidRPr="00EF4C81" w:rsidTr="00A36A23">
        <w:trPr>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number of Children's Team sites that will be established under the Children's Action Plan will be no fewer than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Two</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Two</w:t>
            </w:r>
          </w:p>
        </w:tc>
      </w:tr>
    </w:tbl>
    <w:p w:rsidR="009D38E8" w:rsidRPr="00D173BB" w:rsidRDefault="009D38E8" w:rsidP="00D173BB">
      <w:pPr>
        <w:pStyle w:val="Heading3"/>
      </w:pPr>
      <w:r w:rsidRPr="00D173BB">
        <w:br w:type="page"/>
      </w:r>
      <w:r w:rsidRPr="00D173BB">
        <w:lastRenderedPageBreak/>
        <w:t xml:space="preserve">Output Expense: Collection of Balances Owed by Former Clients </w:t>
      </w:r>
      <w:r w:rsidRPr="00D173BB">
        <w:br/>
        <w:t>and Non-beneficiaries</w:t>
      </w:r>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r w:rsidRPr="00EF4C81">
        <w:rPr>
          <w:color w:val="auto"/>
          <w:sz w:val="22"/>
          <w:szCs w:val="22"/>
          <w:lang w:val="en-GB"/>
        </w:rPr>
        <w:t>Services to manage the collection of overpayments and recoverable assistance loans from former clients and other balances owed comprising of Student Allowance overpayments, Liable Parent Contributions, and court ordered Maintenance.</w:t>
      </w:r>
    </w:p>
    <w:p w:rsidR="009D38E8" w:rsidRPr="00D173BB" w:rsidRDefault="009D38E8" w:rsidP="00D173BB">
      <w:pPr>
        <w:pStyle w:val="Subtitle"/>
      </w:pPr>
      <w:r w:rsidRPr="00D173BB">
        <w:t>Summary of Performance</w:t>
      </w:r>
    </w:p>
    <w:p w:rsidR="009D38E8" w:rsidRPr="00EF4C81" w:rsidRDefault="009D38E8" w:rsidP="00401C8C">
      <w:pPr>
        <w:pStyle w:val="text"/>
        <w:spacing w:after="240"/>
        <w:rPr>
          <w:color w:val="auto"/>
          <w:sz w:val="22"/>
          <w:szCs w:val="22"/>
          <w:lang w:val="en-GB"/>
        </w:rPr>
      </w:pPr>
      <w:r w:rsidRPr="00EF4C81">
        <w:rPr>
          <w:color w:val="auto"/>
          <w:sz w:val="22"/>
          <w:szCs w:val="22"/>
          <w:lang w:val="en-GB"/>
        </w:rPr>
        <w:t xml:space="preserve">All performance </w:t>
      </w:r>
      <w:r w:rsidR="00E53A13" w:rsidRPr="00EF4C81">
        <w:rPr>
          <w:color w:val="auto"/>
          <w:sz w:val="22"/>
          <w:szCs w:val="22"/>
          <w:lang w:val="en-GB"/>
        </w:rPr>
        <w:t>standards</w:t>
      </w:r>
      <w:r w:rsidRPr="00EF4C81">
        <w:rPr>
          <w:color w:val="auto"/>
          <w:sz w:val="22"/>
          <w:szCs w:val="22"/>
          <w:lang w:val="en-GB"/>
        </w:rPr>
        <w:t xml:space="preserve"> in this output expense have been met or exceeded. </w:t>
      </w:r>
    </w:p>
    <w:p w:rsidR="009D38E8" w:rsidRPr="00EF4C81" w:rsidRDefault="00401C8C" w:rsidP="00401C8C">
      <w:pPr>
        <w:pStyle w:val="text"/>
        <w:spacing w:after="240"/>
        <w:rPr>
          <w:color w:val="auto"/>
          <w:sz w:val="22"/>
          <w:szCs w:val="22"/>
          <w:lang w:val="en-GB"/>
        </w:rPr>
      </w:pPr>
      <w:r w:rsidRPr="00EF4C81">
        <w:rPr>
          <w:color w:val="auto"/>
          <w:sz w:val="22"/>
          <w:szCs w:val="22"/>
          <w:lang w:val="en-GB"/>
        </w:rPr>
        <w:t>In 2012/2013</w:t>
      </w:r>
      <w:r w:rsidR="009D38E8" w:rsidRPr="00EF4C81">
        <w:rPr>
          <w:color w:val="auto"/>
          <w:sz w:val="22"/>
          <w:szCs w:val="22"/>
          <w:lang w:val="en-GB"/>
        </w:rPr>
        <w:t xml:space="preserve">, </w:t>
      </w:r>
      <w:r w:rsidR="005E6C7A" w:rsidRPr="00EF4C81">
        <w:rPr>
          <w:color w:val="auto"/>
          <w:sz w:val="22"/>
          <w:szCs w:val="22"/>
          <w:lang w:val="en-GB"/>
        </w:rPr>
        <w:t xml:space="preserve">we </w:t>
      </w:r>
      <w:r w:rsidR="009D38E8" w:rsidRPr="00EF4C81">
        <w:rPr>
          <w:color w:val="auto"/>
          <w:sz w:val="22"/>
          <w:szCs w:val="22"/>
          <w:lang w:val="en-GB"/>
        </w:rPr>
        <w:t xml:space="preserve">collected $80.7 million from former clients and non-beneficiaries compared to $79.7 million </w:t>
      </w:r>
      <w:r w:rsidR="00774A7B" w:rsidRPr="00EF4C81">
        <w:rPr>
          <w:color w:val="auto"/>
          <w:sz w:val="22"/>
          <w:szCs w:val="22"/>
          <w:lang w:val="en-GB"/>
        </w:rPr>
        <w:t>last year.</w:t>
      </w:r>
    </w:p>
    <w:p w:rsidR="009D38E8" w:rsidRPr="00EF4C81" w:rsidRDefault="009D38E8" w:rsidP="00401C8C">
      <w:pPr>
        <w:pStyle w:val="text"/>
        <w:spacing w:after="240"/>
        <w:rPr>
          <w:color w:val="auto"/>
          <w:sz w:val="22"/>
          <w:szCs w:val="22"/>
          <w:lang w:val="en-GB"/>
        </w:rPr>
      </w:pPr>
      <w:r w:rsidRPr="00EF4C81">
        <w:rPr>
          <w:color w:val="auto"/>
          <w:sz w:val="22"/>
          <w:szCs w:val="22"/>
          <w:lang w:val="en-GB"/>
        </w:rPr>
        <w:t xml:space="preserve">This year a greater percentage of </w:t>
      </w:r>
      <w:r w:rsidR="005E6C7A" w:rsidRPr="00EF4C81">
        <w:rPr>
          <w:color w:val="auto"/>
          <w:sz w:val="22"/>
          <w:szCs w:val="22"/>
          <w:lang w:val="en-GB"/>
        </w:rPr>
        <w:t xml:space="preserve">our </w:t>
      </w:r>
      <w:r w:rsidRPr="00EF4C81">
        <w:rPr>
          <w:color w:val="auto"/>
          <w:sz w:val="22"/>
          <w:szCs w:val="22"/>
          <w:lang w:val="en-GB"/>
        </w:rPr>
        <w:t xml:space="preserve">clients with balances owed made arrangements to pay or </w:t>
      </w:r>
      <w:r w:rsidR="00307932" w:rsidRPr="00EF4C81">
        <w:rPr>
          <w:color w:val="auto"/>
          <w:sz w:val="22"/>
          <w:szCs w:val="22"/>
          <w:lang w:val="en-GB"/>
        </w:rPr>
        <w:t>had</w:t>
      </w:r>
      <w:r w:rsidRPr="00EF4C81">
        <w:rPr>
          <w:color w:val="auto"/>
          <w:sz w:val="22"/>
          <w:szCs w:val="22"/>
          <w:lang w:val="en-GB"/>
        </w:rPr>
        <w:t xml:space="preserve"> paid </w:t>
      </w:r>
      <w:r w:rsidR="003906AB" w:rsidRPr="00EF4C81">
        <w:rPr>
          <w:color w:val="auto"/>
          <w:sz w:val="22"/>
          <w:szCs w:val="22"/>
          <w:lang w:val="en-GB"/>
        </w:rPr>
        <w:t>with</w:t>
      </w:r>
      <w:r w:rsidRPr="00EF4C81">
        <w:rPr>
          <w:color w:val="auto"/>
          <w:sz w:val="22"/>
          <w:szCs w:val="22"/>
          <w:lang w:val="en-GB"/>
        </w:rPr>
        <w:t xml:space="preserve">in 12 months. Eighty per cent of clients with debt owing made arrangements to pay or had paid in full within four months, compared to 77 per cent last year. Eighty-eight per cent </w:t>
      </w:r>
      <w:r w:rsidR="00307932" w:rsidRPr="00EF4C81">
        <w:rPr>
          <w:color w:val="auto"/>
          <w:sz w:val="22"/>
          <w:szCs w:val="22"/>
          <w:lang w:val="en-GB"/>
        </w:rPr>
        <w:t xml:space="preserve">of </w:t>
      </w:r>
      <w:r w:rsidRPr="00EF4C81">
        <w:rPr>
          <w:color w:val="auto"/>
          <w:sz w:val="22"/>
          <w:szCs w:val="22"/>
          <w:lang w:val="en-GB"/>
        </w:rPr>
        <w:t xml:space="preserve">clients were paying off their debt within 12 months, compared to 85 per cent last year. </w:t>
      </w:r>
    </w:p>
    <w:p w:rsidR="009D38E8" w:rsidRPr="00EF4C81" w:rsidRDefault="009D38E8" w:rsidP="00401C8C">
      <w:pPr>
        <w:pStyle w:val="text"/>
        <w:spacing w:after="240"/>
        <w:rPr>
          <w:color w:val="auto"/>
          <w:sz w:val="22"/>
          <w:szCs w:val="22"/>
          <w:lang w:val="en-GB"/>
        </w:rPr>
      </w:pPr>
      <w:r w:rsidRPr="00EF4C81">
        <w:rPr>
          <w:color w:val="auto"/>
          <w:sz w:val="22"/>
          <w:szCs w:val="22"/>
          <w:lang w:val="en-GB"/>
        </w:rPr>
        <w:t xml:space="preserve">The cost per dollar to collect debt </w:t>
      </w:r>
      <w:r w:rsidR="00307932" w:rsidRPr="00EF4C81">
        <w:rPr>
          <w:color w:val="auto"/>
          <w:sz w:val="22"/>
          <w:szCs w:val="22"/>
          <w:lang w:val="en-GB"/>
        </w:rPr>
        <w:t>was</w:t>
      </w:r>
      <w:r w:rsidRPr="00EF4C81">
        <w:rPr>
          <w:color w:val="auto"/>
          <w:sz w:val="22"/>
          <w:szCs w:val="22"/>
          <w:lang w:val="en-GB"/>
        </w:rPr>
        <w:t xml:space="preserve"> $0.17, with a 97 per cent accuracy rate. </w:t>
      </w:r>
      <w:r w:rsidR="00307932" w:rsidRPr="00EF4C81">
        <w:rPr>
          <w:color w:val="auto"/>
          <w:sz w:val="22"/>
          <w:szCs w:val="22"/>
          <w:lang w:val="en-GB"/>
        </w:rPr>
        <w:t>This was at the same level as last year.</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60"/>
        </w:trPr>
        <w:tc>
          <w:tcPr>
            <w:tcW w:w="1417" w:type="dxa"/>
            <w:tcBorders>
              <w:top w:val="single" w:sz="6" w:space="0" w:color="auto"/>
              <w:left w:val="single" w:sz="4" w:space="0" w:color="000000"/>
              <w:bottom w:val="single" w:sz="6" w:space="0" w:color="000000"/>
              <w:right w:val="single" w:sz="4" w:space="0" w:color="000000"/>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4" w:space="0" w:color="000000"/>
              <w:bottom w:val="single" w:sz="6" w:space="0" w:color="000000"/>
              <w:right w:val="single" w:sz="4" w:space="0" w:color="000000"/>
            </w:tcBorders>
            <w:vAlign w:val="bottom"/>
          </w:tcPr>
          <w:p w:rsidR="009D38E8" w:rsidRPr="00EF4C81" w:rsidRDefault="009D38E8" w:rsidP="00A36A23">
            <w:pPr>
              <w:pStyle w:val="fintableheadsLeft"/>
              <w:ind w:left="123"/>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4" w:space="0" w:color="000000"/>
              <w:bottom w:val="single" w:sz="6" w:space="0" w:color="000000"/>
              <w:right w:val="single" w:sz="4" w:space="0" w:color="000000"/>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255"/>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255"/>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16,020</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14,084</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14,084</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14,084</w:t>
            </w:r>
          </w:p>
        </w:tc>
      </w:tr>
      <w:tr w:rsidR="009D38E8" w:rsidRPr="00EF4C81" w:rsidTr="00A36A23">
        <w:trPr>
          <w:trHeight w:val="255"/>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215</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6"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16,235</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14,084</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14,084</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14,084</w:t>
            </w:r>
          </w:p>
        </w:tc>
      </w:tr>
      <w:tr w:rsidR="009D38E8" w:rsidRPr="00EF4C81" w:rsidTr="00A36A23">
        <w:trPr>
          <w:trHeight w:val="255"/>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13,835</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5C7ED6">
            <w:pPr>
              <w:pStyle w:val="FinFigures"/>
              <w:rPr>
                <w:color w:val="auto"/>
              </w:rPr>
            </w:pPr>
            <w:r w:rsidRPr="00EF4C81">
              <w:rPr>
                <w:color w:val="auto"/>
              </w:rPr>
              <w:t>13,5</w:t>
            </w:r>
            <w:r w:rsidR="005C7ED6" w:rsidRPr="00EF4C81">
              <w:rPr>
                <w:color w:val="auto"/>
              </w:rPr>
              <w:t>33</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14,084</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14,084</w:t>
            </w:r>
          </w:p>
        </w:tc>
      </w:tr>
      <w:tr w:rsidR="009D38E8" w:rsidRPr="00EF4C81" w:rsidTr="00A36A23">
        <w:trPr>
          <w:trHeight w:val="255"/>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2,400</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5C7ED6">
            <w:pPr>
              <w:pStyle w:val="FinFigures"/>
              <w:rPr>
                <w:color w:val="auto"/>
              </w:rPr>
            </w:pPr>
            <w:r w:rsidRPr="00EF4C81">
              <w:rPr>
                <w:color w:val="auto"/>
              </w:rPr>
              <w:t>5</w:t>
            </w:r>
            <w:r w:rsidR="005C7ED6" w:rsidRPr="00EF4C81">
              <w:rPr>
                <w:color w:val="auto"/>
              </w:rPr>
              <w:t>51</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header"/>
        <w:rPr>
          <w:color w:val="auto"/>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lang w:val="en-GB"/>
        </w:rPr>
      </w:pPr>
      <w:r w:rsidRPr="00EF4C81">
        <w:rPr>
          <w:color w:val="auto"/>
          <w:lang w:val="en-GB"/>
        </w:rPr>
        <w:t>Output: Collection of Balances Owed by Former Clients and Non-beneficiaries</w:t>
      </w:r>
    </w:p>
    <w:tbl>
      <w:tblPr>
        <w:tblW w:w="9638" w:type="dxa"/>
        <w:tblBorders>
          <w:top w:val="single" w:sz="6"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cantSplit/>
          <w:trHeight w:val="113"/>
          <w:tblHeader/>
        </w:trPr>
        <w:tc>
          <w:tcPr>
            <w:tcW w:w="1417" w:type="dxa"/>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cantSplit/>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$79.7m</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actual amount of money collected by the Collections Units is expected to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$80.7m</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$79–86m</w:t>
            </w:r>
          </w:p>
        </w:tc>
      </w:tr>
      <w:tr w:rsidR="009D38E8" w:rsidRPr="00EF4C81" w:rsidTr="00A36A23">
        <w:trPr>
          <w:cantSplit/>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$0.17</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The cost per dollar of collecting balances owed will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$0.17</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$0.18–0.24</w:t>
            </w:r>
          </w:p>
        </w:tc>
      </w:tr>
      <w:tr w:rsidR="009D38E8" w:rsidRPr="00EF4C81" w:rsidTr="00A36A23">
        <w:trPr>
          <w:cantSplit/>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97%</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work completed accurately by the Collections Units will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96.8%</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A36A23">
        <w:trPr>
          <w:cantSplit/>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77%</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clients on arrangement to pay, or paid in full within four months of the balances owed transferring to the Collections Units will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80.1%</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80–85%</w:t>
            </w:r>
          </w:p>
        </w:tc>
      </w:tr>
      <w:tr w:rsidR="009D38E8" w:rsidRPr="00EF4C81" w:rsidTr="00A36A23">
        <w:trPr>
          <w:cantSplit/>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85%</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 xml:space="preserve">The percentage of clients on arrangement to pay, or paid in full within </w:t>
            </w:r>
            <w:r w:rsidR="00123796" w:rsidRPr="00EF4C81">
              <w:rPr>
                <w:color w:val="auto"/>
                <w:lang w:val="en-GB"/>
              </w:rPr>
              <w:br/>
            </w:r>
            <w:r w:rsidRPr="00EF4C81">
              <w:rPr>
                <w:color w:val="auto"/>
                <w:lang w:val="en-GB"/>
              </w:rPr>
              <w:t>12 months of balances owed transferring to the Collections Units will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87.7%</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85–90%</w:t>
            </w:r>
          </w:p>
        </w:tc>
      </w:tr>
    </w:tbl>
    <w:p w:rsidR="009D38E8" w:rsidRPr="00EF4C81" w:rsidRDefault="009D38E8" w:rsidP="009D38E8">
      <w:pPr>
        <w:pStyle w:val="headwithrule"/>
        <w:pBdr>
          <w:bottom w:val="none" w:sz="0" w:space="0" w:color="auto"/>
        </w:pBdr>
        <w:rPr>
          <w:color w:val="auto"/>
          <w:lang w:val="en-GB"/>
        </w:rPr>
      </w:pPr>
    </w:p>
    <w:p w:rsidR="009D38E8" w:rsidRPr="00D173BB" w:rsidRDefault="009D38E8" w:rsidP="00D173BB">
      <w:pPr>
        <w:pStyle w:val="Heading3"/>
      </w:pPr>
      <w:r w:rsidRPr="00D173BB">
        <w:t>Output Expense: Development and Funding of Community Services</w:t>
      </w:r>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proofErr w:type="gramStart"/>
      <w:r w:rsidRPr="00EF4C81">
        <w:rPr>
          <w:color w:val="auto"/>
          <w:sz w:val="22"/>
          <w:szCs w:val="22"/>
          <w:lang w:val="en-GB"/>
        </w:rPr>
        <w:t>Management of Government funding of community-based social and welfare services.</w:t>
      </w:r>
      <w:proofErr w:type="gramEnd"/>
    </w:p>
    <w:p w:rsidR="009D38E8" w:rsidRPr="00D173BB" w:rsidRDefault="009D38E8" w:rsidP="00D173BB">
      <w:pPr>
        <w:pStyle w:val="Subtitle"/>
      </w:pPr>
      <w:r w:rsidRPr="00D173BB">
        <w:t>Summary of Performance</w:t>
      </w:r>
    </w:p>
    <w:p w:rsidR="009D38E8" w:rsidRPr="00EF4C81" w:rsidRDefault="009D38E8" w:rsidP="00401C8C">
      <w:pPr>
        <w:pStyle w:val="text"/>
        <w:spacing w:after="240"/>
        <w:rPr>
          <w:color w:val="auto"/>
          <w:sz w:val="22"/>
          <w:szCs w:val="22"/>
          <w:lang w:val="en-GB"/>
        </w:rPr>
      </w:pPr>
      <w:r w:rsidRPr="00EF4C81">
        <w:rPr>
          <w:color w:val="auto"/>
          <w:sz w:val="22"/>
          <w:szCs w:val="22"/>
          <w:lang w:val="en-GB"/>
        </w:rPr>
        <w:t xml:space="preserve">All performance standards in this output expense have been met. </w:t>
      </w:r>
    </w:p>
    <w:p w:rsidR="009D38E8" w:rsidRPr="00EF4C81" w:rsidRDefault="00401C8C" w:rsidP="00401C8C">
      <w:pPr>
        <w:pStyle w:val="text"/>
        <w:spacing w:after="240"/>
        <w:rPr>
          <w:color w:val="auto"/>
          <w:sz w:val="22"/>
          <w:szCs w:val="22"/>
          <w:lang w:val="en-GB"/>
        </w:rPr>
      </w:pPr>
      <w:r w:rsidRPr="00EF4C81">
        <w:rPr>
          <w:color w:val="auto"/>
          <w:sz w:val="22"/>
          <w:szCs w:val="22"/>
          <w:lang w:val="en-GB"/>
        </w:rPr>
        <w:t xml:space="preserve">This year, </w:t>
      </w:r>
      <w:r w:rsidR="005E6C7A" w:rsidRPr="00EF4C81">
        <w:rPr>
          <w:color w:val="auto"/>
          <w:sz w:val="22"/>
          <w:szCs w:val="22"/>
          <w:lang w:val="en-GB"/>
        </w:rPr>
        <w:t xml:space="preserve">we monitored and reviewed </w:t>
      </w:r>
      <w:r w:rsidR="009D38E8" w:rsidRPr="00EF4C81">
        <w:rPr>
          <w:color w:val="auto"/>
          <w:sz w:val="22"/>
          <w:szCs w:val="22"/>
          <w:lang w:val="en-GB"/>
        </w:rPr>
        <w:t xml:space="preserve">594 funding agreements and </w:t>
      </w:r>
      <w:r w:rsidR="005E6C7A" w:rsidRPr="00EF4C81">
        <w:rPr>
          <w:color w:val="auto"/>
          <w:sz w:val="22"/>
          <w:szCs w:val="22"/>
          <w:lang w:val="en-GB"/>
        </w:rPr>
        <w:t xml:space="preserve">assessed </w:t>
      </w:r>
      <w:r w:rsidR="009D38E8" w:rsidRPr="00EF4C81">
        <w:rPr>
          <w:color w:val="auto"/>
          <w:sz w:val="22"/>
          <w:szCs w:val="22"/>
          <w:lang w:val="en-GB"/>
        </w:rPr>
        <w:t>591 contracted providers against Child, Youth and Family Approval Standards within the required timeframes.</w:t>
      </w:r>
    </w:p>
    <w:p w:rsidR="009D38E8" w:rsidRPr="00EF4C81" w:rsidRDefault="009D38E8" w:rsidP="009D38E8">
      <w:pPr>
        <w:pStyle w:val="Tableheader"/>
        <w:rPr>
          <w:color w:val="auto"/>
          <w:lang w:val="en-GB"/>
        </w:rPr>
      </w:pPr>
      <w:r w:rsidRPr="00EF4C81">
        <w:rPr>
          <w:color w:val="auto"/>
          <w:lang w:val="en-GB"/>
        </w:rPr>
        <w:t xml:space="preserve">Financial Performance Information </w:t>
      </w:r>
    </w:p>
    <w:tbl>
      <w:tblPr>
        <w:tblW w:w="963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4" w:space="0" w:color="000000"/>
              <w:bottom w:val="single" w:sz="6" w:space="0" w:color="000000"/>
              <w:right w:val="single" w:sz="4" w:space="0" w:color="000000"/>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4" w:space="0" w:color="000000"/>
              <w:bottom w:val="single" w:sz="6" w:space="0" w:color="000000"/>
              <w:right w:val="single" w:sz="4" w:space="0" w:color="000000"/>
            </w:tcBorders>
            <w:vAlign w:val="bottom"/>
          </w:tcPr>
          <w:p w:rsidR="009D38E8" w:rsidRPr="00EF4C81" w:rsidRDefault="009D38E8" w:rsidP="00A36A23">
            <w:pPr>
              <w:pStyle w:val="fintableheadsLeft"/>
              <w:ind w:left="123"/>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4" w:space="0" w:color="000000"/>
              <w:bottom w:val="single" w:sz="6" w:space="0" w:color="000000"/>
              <w:right w:val="single" w:sz="4" w:space="0" w:color="000000"/>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8,068</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8,227</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8,227</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8,227</w:t>
            </w:r>
          </w:p>
        </w:tc>
      </w:tr>
      <w:tr w:rsidR="009D38E8" w:rsidRPr="00EF4C81" w:rsidTr="00A36A23">
        <w:trPr>
          <w:trHeight w:val="113"/>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59</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8,127</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8,227</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8,227</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8,227</w:t>
            </w:r>
          </w:p>
        </w:tc>
      </w:tr>
      <w:tr w:rsidR="009D38E8" w:rsidRPr="00EF4C81" w:rsidTr="00A36A23">
        <w:trPr>
          <w:trHeight w:val="113"/>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8,071</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B11766">
            <w:pPr>
              <w:pStyle w:val="FinFigures"/>
              <w:rPr>
                <w:color w:val="auto"/>
              </w:rPr>
            </w:pPr>
            <w:r w:rsidRPr="00EF4C81">
              <w:rPr>
                <w:color w:val="auto"/>
              </w:rPr>
              <w:t>8,2</w:t>
            </w:r>
            <w:r w:rsidR="00B11766" w:rsidRPr="00EF4C81">
              <w:rPr>
                <w:color w:val="auto"/>
              </w:rPr>
              <w:t>20</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8,227</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8,227</w:t>
            </w:r>
          </w:p>
        </w:tc>
      </w:tr>
      <w:tr w:rsidR="009D38E8" w:rsidRPr="00EF4C81" w:rsidTr="00A36A23">
        <w:trPr>
          <w:trHeight w:val="113"/>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56</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B11766" w:rsidP="00A36A23">
            <w:pPr>
              <w:pStyle w:val="FinFigures"/>
              <w:rPr>
                <w:color w:val="auto"/>
              </w:rPr>
            </w:pPr>
            <w:r w:rsidRPr="00EF4C81">
              <w:rPr>
                <w:color w:val="auto"/>
              </w:rPr>
              <w:t>7</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Development and Funding of Community Services</w:t>
      </w:r>
    </w:p>
    <w:tbl>
      <w:tblPr>
        <w:tblW w:w="9638" w:type="dxa"/>
        <w:tblBorders>
          <w:top w:val="single" w:sz="6"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3208FA">
        <w:trPr>
          <w:cantSplit/>
          <w:trHeight w:val="113"/>
          <w:tblHeader/>
        </w:trPr>
        <w:tc>
          <w:tcPr>
            <w:tcW w:w="1417" w:type="dxa"/>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3208FA">
        <w:trPr>
          <w:cantSplit/>
          <w:trHeight w:val="113"/>
          <w:tblHeader/>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funding agreements that will have their provider monitoring reports reviewed and assessed at least once a year for funding agreement compliance will be no less than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100%</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r>
    </w:tbl>
    <w:p w:rsidR="003208FA" w:rsidRPr="00EF4C81" w:rsidRDefault="003208FA">
      <w:pPr>
        <w:rPr>
          <w:color w:val="auto"/>
        </w:rPr>
      </w:pPr>
      <w:r w:rsidRPr="00EF4C81">
        <w:rPr>
          <w:caps/>
          <w:color w:val="auto"/>
        </w:rPr>
        <w:br w:type="page"/>
      </w:r>
    </w:p>
    <w:tbl>
      <w:tblPr>
        <w:tblW w:w="9638" w:type="dxa"/>
        <w:tblBorders>
          <w:top w:val="single" w:sz="6"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7"/>
        <w:gridCol w:w="5386"/>
        <w:gridCol w:w="1417"/>
        <w:gridCol w:w="1418"/>
      </w:tblGrid>
      <w:tr w:rsidR="003208FA" w:rsidRPr="00EF4C81" w:rsidTr="00897636">
        <w:trPr>
          <w:cantSplit/>
          <w:trHeight w:val="113"/>
          <w:tblHeader/>
        </w:trPr>
        <w:tc>
          <w:tcPr>
            <w:tcW w:w="1417" w:type="dxa"/>
            <w:shd w:val="solid" w:color="F2F2F2" w:fill="auto"/>
            <w:vAlign w:val="bottom"/>
          </w:tcPr>
          <w:p w:rsidR="003208FA" w:rsidRPr="00EF4C81" w:rsidRDefault="003208FA" w:rsidP="00897636">
            <w:pPr>
              <w:pStyle w:val="fintableheads"/>
              <w:rPr>
                <w:color w:val="auto"/>
                <w:lang w:val="en-GB"/>
              </w:rPr>
            </w:pPr>
            <w:r w:rsidRPr="00EF4C81">
              <w:rPr>
                <w:color w:val="auto"/>
                <w:lang w:val="en-GB"/>
              </w:rPr>
              <w:lastRenderedPageBreak/>
              <w:t xml:space="preserve">ACTUAL </w:t>
            </w:r>
          </w:p>
          <w:p w:rsidR="003208FA" w:rsidRPr="00EF4C81" w:rsidRDefault="003208FA" w:rsidP="00897636">
            <w:pPr>
              <w:pStyle w:val="fintableheads"/>
              <w:rPr>
                <w:color w:val="auto"/>
              </w:rPr>
            </w:pPr>
            <w:r w:rsidRPr="00EF4C81">
              <w:rPr>
                <w:color w:val="auto"/>
                <w:lang w:val="en-GB"/>
              </w:rPr>
              <w:t>30 JUNE 2012</w:t>
            </w:r>
          </w:p>
        </w:tc>
        <w:tc>
          <w:tcPr>
            <w:tcW w:w="5386" w:type="dxa"/>
            <w:vAlign w:val="bottom"/>
          </w:tcPr>
          <w:p w:rsidR="003208FA" w:rsidRPr="00EF4C81" w:rsidRDefault="003208FA" w:rsidP="00897636">
            <w:pPr>
              <w:pStyle w:val="fintableheadsLeft"/>
              <w:ind w:left="137"/>
              <w:rPr>
                <w:color w:val="auto"/>
              </w:rPr>
            </w:pPr>
            <w:r w:rsidRPr="00EF4C81">
              <w:rPr>
                <w:color w:val="auto"/>
                <w:lang w:val="en-GB"/>
              </w:rPr>
              <w:t>PERFORMANCE MEASURE</w:t>
            </w:r>
          </w:p>
        </w:tc>
        <w:tc>
          <w:tcPr>
            <w:tcW w:w="1417" w:type="dxa"/>
            <w:shd w:val="solid" w:color="00C477" w:fill="auto"/>
            <w:tcMar>
              <w:top w:w="113" w:type="dxa"/>
              <w:left w:w="0" w:type="dxa"/>
              <w:bottom w:w="57" w:type="dxa"/>
              <w:right w:w="113" w:type="dxa"/>
            </w:tcMar>
            <w:vAlign w:val="bottom"/>
          </w:tcPr>
          <w:p w:rsidR="003208FA" w:rsidRPr="00EF4C81" w:rsidRDefault="003208FA" w:rsidP="00897636">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Mar>
              <w:top w:w="113" w:type="dxa"/>
              <w:left w:w="113" w:type="dxa"/>
              <w:bottom w:w="57" w:type="dxa"/>
              <w:right w:w="0" w:type="dxa"/>
            </w:tcMar>
            <w:vAlign w:val="bottom"/>
          </w:tcPr>
          <w:p w:rsidR="003208FA" w:rsidRPr="00EF4C81" w:rsidRDefault="003208FA" w:rsidP="00897636">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3208FA">
        <w:trPr>
          <w:cantSplit/>
          <w:trHeight w:val="113"/>
          <w:tblHeader/>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The percentage of Child, Youth and Family contracted providers who will be assessed at least once every two years against Child, Youth and Family Approval Standards will be no less than</w:t>
            </w:r>
            <w:r w:rsidRPr="00EF4C81">
              <w:rPr>
                <w:rStyle w:val="FootnoteReference"/>
                <w:color w:val="auto"/>
                <w:lang w:val="en-GB"/>
              </w:rPr>
              <w:footnoteReference w:id="6"/>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3208FA">
        <w:trPr>
          <w:cantSplit/>
          <w:trHeight w:val="113"/>
          <w:tblHeader/>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 xml:space="preserve">The percentage of payments to providers made in accordance with their contracts will be no less than </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100%</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100%</w:t>
            </w:r>
          </w:p>
        </w:tc>
      </w:tr>
    </w:tbl>
    <w:p w:rsidR="009D38E8" w:rsidRPr="00EF4C81" w:rsidRDefault="009D38E8" w:rsidP="009D38E8">
      <w:pPr>
        <w:pStyle w:val="TABLESPACE"/>
        <w:rPr>
          <w:color w:val="auto"/>
          <w:sz w:val="21"/>
          <w:szCs w:val="21"/>
          <w:lang w:val="en-GB"/>
        </w:rPr>
      </w:pPr>
    </w:p>
    <w:p w:rsidR="009D38E8" w:rsidRPr="00D173BB" w:rsidRDefault="009D38E8" w:rsidP="00D173BB">
      <w:pPr>
        <w:pStyle w:val="Heading3"/>
      </w:pPr>
      <w:r w:rsidRPr="00D173BB">
        <w:br w:type="page"/>
      </w:r>
      <w:bookmarkStart w:id="1" w:name="OLE_LINK1"/>
      <w:bookmarkStart w:id="2" w:name="OLE_LINK2"/>
      <w:r w:rsidRPr="00D173BB">
        <w:lastRenderedPageBreak/>
        <w:t>Output Expense: Family and Community Services</w:t>
      </w:r>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proofErr w:type="gramStart"/>
      <w:r w:rsidRPr="00EF4C81">
        <w:rPr>
          <w:color w:val="auto"/>
          <w:sz w:val="22"/>
          <w:szCs w:val="22"/>
          <w:lang w:val="en-GB"/>
        </w:rPr>
        <w:t xml:space="preserve">Provision of leadership and co-ordination services to support and strengthen families and </w:t>
      </w:r>
      <w:proofErr w:type="spellStart"/>
      <w:r w:rsidRPr="00EF4C81">
        <w:rPr>
          <w:color w:val="auto"/>
          <w:sz w:val="22"/>
          <w:szCs w:val="22"/>
          <w:lang w:val="en-GB"/>
        </w:rPr>
        <w:t>wh</w:t>
      </w:r>
      <w:r w:rsidRPr="00EF4C81">
        <w:rPr>
          <w:rFonts w:ascii="Arial" w:hAnsi="Arial" w:cs="Arial"/>
          <w:color w:val="auto"/>
          <w:sz w:val="22"/>
          <w:szCs w:val="22"/>
          <w:lang w:val="en-GB"/>
        </w:rPr>
        <w:t>ā</w:t>
      </w:r>
      <w:r w:rsidRPr="00EF4C81">
        <w:rPr>
          <w:color w:val="auto"/>
          <w:sz w:val="22"/>
          <w:szCs w:val="22"/>
          <w:lang w:val="en-GB"/>
        </w:rPr>
        <w:t>nau</w:t>
      </w:r>
      <w:proofErr w:type="spellEnd"/>
      <w:r w:rsidRPr="00EF4C81">
        <w:rPr>
          <w:color w:val="auto"/>
          <w:sz w:val="22"/>
          <w:szCs w:val="22"/>
          <w:lang w:val="en-GB"/>
        </w:rPr>
        <w:t>; including providing information and advice that assists families, young people and communities and managing preventative social services programmes.</w:t>
      </w:r>
      <w:proofErr w:type="gramEnd"/>
    </w:p>
    <w:p w:rsidR="009D38E8" w:rsidRPr="00D173BB" w:rsidRDefault="009D38E8" w:rsidP="00D173BB">
      <w:pPr>
        <w:pStyle w:val="Subtitle"/>
      </w:pPr>
      <w:r w:rsidRPr="00D173BB">
        <w:t>Summary of Performance</w:t>
      </w:r>
    </w:p>
    <w:p w:rsidR="009D38E8" w:rsidRPr="00EF4C81" w:rsidRDefault="009D38E8" w:rsidP="00401C8C">
      <w:pPr>
        <w:pStyle w:val="text"/>
        <w:spacing w:after="240"/>
        <w:rPr>
          <w:color w:val="auto"/>
          <w:sz w:val="22"/>
          <w:szCs w:val="22"/>
          <w:lang w:val="en-GB"/>
        </w:rPr>
      </w:pPr>
      <w:r w:rsidRPr="00EF4C81">
        <w:rPr>
          <w:color w:val="auto"/>
          <w:sz w:val="22"/>
          <w:szCs w:val="22"/>
          <w:lang w:val="en-GB"/>
        </w:rPr>
        <w:t>All performance standards in this output expense have been met or exceeded.</w:t>
      </w:r>
    </w:p>
    <w:p w:rsidR="009D38E8" w:rsidRPr="00EF4C81" w:rsidRDefault="009D38E8" w:rsidP="00401C8C">
      <w:pPr>
        <w:pStyle w:val="text"/>
        <w:spacing w:after="240"/>
        <w:rPr>
          <w:color w:val="auto"/>
          <w:sz w:val="22"/>
          <w:szCs w:val="22"/>
          <w:lang w:val="en-GB"/>
        </w:rPr>
      </w:pPr>
      <w:r w:rsidRPr="00EF4C81">
        <w:rPr>
          <w:color w:val="auto"/>
          <w:sz w:val="22"/>
          <w:szCs w:val="22"/>
          <w:lang w:val="en-GB"/>
        </w:rPr>
        <w:t>In 2012/2013, over 95,000 people gained access to government and non-government social services through the 34 Heartland Services Centres. In an independent survey, 95 per cent of clients agreed that Heartland Services Centres provided improved access to government and community services in their community.</w:t>
      </w:r>
    </w:p>
    <w:p w:rsidR="00B7640E" w:rsidRPr="00EF4C81" w:rsidRDefault="00B7640E" w:rsidP="00401C8C">
      <w:pPr>
        <w:pStyle w:val="text"/>
        <w:spacing w:after="240"/>
        <w:rPr>
          <w:color w:val="auto"/>
          <w:sz w:val="22"/>
          <w:szCs w:val="22"/>
          <w:lang w:val="en-GB"/>
        </w:rPr>
      </w:pPr>
      <w:r w:rsidRPr="00EF4C81">
        <w:rPr>
          <w:color w:val="auto"/>
          <w:sz w:val="22"/>
          <w:szCs w:val="22"/>
          <w:lang w:val="en-GB"/>
        </w:rPr>
        <w:t xml:space="preserve">This year, </w:t>
      </w:r>
      <w:r w:rsidR="00D42B31" w:rsidRPr="00EF4C81">
        <w:rPr>
          <w:color w:val="auto"/>
          <w:sz w:val="22"/>
          <w:szCs w:val="22"/>
          <w:lang w:val="en-GB"/>
        </w:rPr>
        <w:t xml:space="preserve">86 per cent of </w:t>
      </w:r>
      <w:r w:rsidRPr="00EF4C81">
        <w:rPr>
          <w:color w:val="auto"/>
          <w:sz w:val="22"/>
          <w:szCs w:val="22"/>
          <w:lang w:val="en-GB"/>
        </w:rPr>
        <w:t xml:space="preserve">surveyed agencies </w:t>
      </w:r>
      <w:r w:rsidR="00D42B31" w:rsidRPr="00EF4C81">
        <w:rPr>
          <w:color w:val="auto"/>
          <w:sz w:val="22"/>
          <w:szCs w:val="22"/>
          <w:lang w:val="en-GB"/>
        </w:rPr>
        <w:t xml:space="preserve">reported that they were satisfied or very satisfied with Heartland Services Centres accessibility, services and facilities, compared to 94 per cent last year. The drop in </w:t>
      </w:r>
      <w:r w:rsidR="00000141" w:rsidRPr="00EF4C81">
        <w:rPr>
          <w:color w:val="auto"/>
          <w:sz w:val="22"/>
          <w:szCs w:val="22"/>
          <w:lang w:val="en-GB"/>
        </w:rPr>
        <w:t>satisfaction</w:t>
      </w:r>
      <w:r w:rsidR="00D42B31" w:rsidRPr="00EF4C81">
        <w:rPr>
          <w:color w:val="auto"/>
          <w:sz w:val="22"/>
          <w:szCs w:val="22"/>
          <w:lang w:val="en-GB"/>
        </w:rPr>
        <w:t xml:space="preserve"> </w:t>
      </w:r>
      <w:r w:rsidR="00021A17" w:rsidRPr="00EF4C81">
        <w:rPr>
          <w:color w:val="auto"/>
          <w:sz w:val="22"/>
          <w:szCs w:val="22"/>
          <w:lang w:val="en-GB"/>
        </w:rPr>
        <w:t xml:space="preserve">is due </w:t>
      </w:r>
      <w:r w:rsidR="00D42B31" w:rsidRPr="00EF4C81">
        <w:rPr>
          <w:color w:val="auto"/>
          <w:sz w:val="22"/>
          <w:szCs w:val="22"/>
          <w:lang w:val="en-GB"/>
        </w:rPr>
        <w:t xml:space="preserve">to </w:t>
      </w:r>
      <w:r w:rsidR="00493383" w:rsidRPr="00EF4C81">
        <w:rPr>
          <w:color w:val="auto"/>
          <w:sz w:val="22"/>
          <w:szCs w:val="22"/>
          <w:lang w:val="en-GB"/>
        </w:rPr>
        <w:t>increasing expectations regarding the availability of internet access.</w:t>
      </w:r>
    </w:p>
    <w:p w:rsidR="009D38E8" w:rsidRPr="00EF4C81" w:rsidRDefault="00401C8C" w:rsidP="00401C8C">
      <w:pPr>
        <w:pStyle w:val="text"/>
        <w:spacing w:after="240"/>
        <w:rPr>
          <w:color w:val="auto"/>
          <w:sz w:val="22"/>
          <w:szCs w:val="22"/>
          <w:lang w:val="en-GB"/>
        </w:rPr>
      </w:pPr>
      <w:r w:rsidRPr="00EF4C81">
        <w:rPr>
          <w:color w:val="auto"/>
          <w:sz w:val="22"/>
          <w:szCs w:val="22"/>
          <w:lang w:val="en-GB"/>
        </w:rPr>
        <w:t>This year</w:t>
      </w:r>
      <w:r w:rsidR="009D38E8" w:rsidRPr="00EF4C81">
        <w:rPr>
          <w:color w:val="auto"/>
          <w:sz w:val="22"/>
          <w:szCs w:val="22"/>
          <w:lang w:val="en-GB"/>
        </w:rPr>
        <w:t xml:space="preserve">, 51 community projects received direct support through the Strategy </w:t>
      </w:r>
      <w:r w:rsidR="00785E03" w:rsidRPr="00EF4C81">
        <w:rPr>
          <w:color w:val="auto"/>
          <w:sz w:val="22"/>
          <w:szCs w:val="22"/>
          <w:lang w:val="en-GB"/>
        </w:rPr>
        <w:t xml:space="preserve">with </w:t>
      </w:r>
      <w:r w:rsidR="009D38E8" w:rsidRPr="00EF4C81">
        <w:rPr>
          <w:color w:val="auto"/>
          <w:sz w:val="22"/>
          <w:szCs w:val="22"/>
          <w:lang w:val="en-GB"/>
        </w:rPr>
        <w:t xml:space="preserve">Kids, Information for Parents (SKIP) Local Initiatives Fund. These projects focus on young </w:t>
      </w:r>
      <w:r w:rsidR="00E53A13" w:rsidRPr="00EF4C81">
        <w:rPr>
          <w:color w:val="auto"/>
          <w:sz w:val="22"/>
          <w:szCs w:val="22"/>
          <w:lang w:val="en-GB"/>
        </w:rPr>
        <w:t>fathers</w:t>
      </w:r>
      <w:r w:rsidR="009D38E8" w:rsidRPr="00EF4C81">
        <w:rPr>
          <w:color w:val="auto"/>
          <w:sz w:val="22"/>
          <w:szCs w:val="22"/>
          <w:lang w:val="en-GB"/>
        </w:rPr>
        <w:t>, grandparents raising grandchildren, refugees and Pacific, Asian and Islamic communities.</w:t>
      </w:r>
    </w:p>
    <w:p w:rsidR="009D38E8" w:rsidRPr="00EF4C81" w:rsidRDefault="00E53A13" w:rsidP="00401C8C">
      <w:pPr>
        <w:pStyle w:val="text"/>
        <w:spacing w:after="240"/>
        <w:rPr>
          <w:color w:val="auto"/>
          <w:sz w:val="22"/>
          <w:szCs w:val="22"/>
          <w:lang w:val="en-GB"/>
        </w:rPr>
      </w:pPr>
      <w:r w:rsidRPr="00EF4C81">
        <w:rPr>
          <w:color w:val="auto"/>
          <w:sz w:val="22"/>
          <w:szCs w:val="22"/>
          <w:lang w:val="en-GB"/>
        </w:rPr>
        <w:t>S</w:t>
      </w:r>
      <w:r w:rsidR="009D38E8" w:rsidRPr="00EF4C81">
        <w:rPr>
          <w:color w:val="auto"/>
          <w:sz w:val="22"/>
          <w:szCs w:val="22"/>
          <w:lang w:val="en-GB"/>
        </w:rPr>
        <w:t>even providers delivered group activities and events to 8,379 at-risk young people in Auckland</w:t>
      </w:r>
      <w:r w:rsidRPr="00EF4C81">
        <w:rPr>
          <w:color w:val="auto"/>
          <w:sz w:val="22"/>
          <w:szCs w:val="22"/>
          <w:lang w:val="en-GB"/>
        </w:rPr>
        <w:t xml:space="preserve"> through the Break Thru initiative</w:t>
      </w:r>
      <w:r w:rsidR="009D38E8" w:rsidRPr="00EF4C81">
        <w:rPr>
          <w:color w:val="auto"/>
          <w:sz w:val="22"/>
          <w:szCs w:val="22"/>
          <w:lang w:val="en-GB"/>
        </w:rPr>
        <w:t>. The initiative included programmes on leadership development, promoting healthy lifestyles, and sports and recreational activities.</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4" w:space="0" w:color="000000"/>
              <w:bottom w:val="single" w:sz="6" w:space="0" w:color="000000"/>
              <w:right w:val="single" w:sz="4" w:space="0" w:color="000000"/>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4" w:space="0" w:color="000000"/>
              <w:bottom w:val="single" w:sz="6" w:space="0" w:color="000000"/>
              <w:right w:val="single" w:sz="4" w:space="0" w:color="000000"/>
            </w:tcBorders>
            <w:vAlign w:val="bottom"/>
          </w:tcPr>
          <w:p w:rsidR="009D38E8" w:rsidRPr="00EF4C81" w:rsidRDefault="009D38E8" w:rsidP="00A36A23">
            <w:pPr>
              <w:pStyle w:val="fintableheadsLeft"/>
              <w:ind w:left="123"/>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4" w:space="0" w:color="000000"/>
              <w:bottom w:val="single" w:sz="6" w:space="0" w:color="000000"/>
              <w:right w:val="single" w:sz="4" w:space="0" w:color="000000"/>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33,346</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35,746</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35,546</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35,746</w:t>
            </w:r>
          </w:p>
        </w:tc>
      </w:tr>
      <w:tr w:rsidR="009D38E8" w:rsidRPr="00EF4C81" w:rsidTr="00A36A23">
        <w:trPr>
          <w:trHeight w:val="113"/>
        </w:trPr>
        <w:tc>
          <w:tcPr>
            <w:tcW w:w="1417" w:type="dxa"/>
            <w:tcBorders>
              <w:top w:val="single" w:sz="6" w:space="0" w:color="000000"/>
              <w:left w:val="single" w:sz="4" w:space="0" w:color="000000"/>
              <w:bottom w:val="single" w:sz="6"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129</w:t>
            </w:r>
          </w:p>
        </w:tc>
        <w:tc>
          <w:tcPr>
            <w:tcW w:w="3969"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4" w:space="0" w:color="000000"/>
              <w:bottom w:val="single" w:sz="6"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4" w:space="0" w:color="000000"/>
              <w:bottom w:val="single" w:sz="6"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33,475</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35,746</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35,546</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35,746</w:t>
            </w:r>
          </w:p>
        </w:tc>
      </w:tr>
      <w:tr w:rsidR="009D38E8" w:rsidRPr="00EF4C81" w:rsidTr="00A36A23">
        <w:trPr>
          <w:trHeight w:val="113"/>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32,284</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B11766">
            <w:pPr>
              <w:pStyle w:val="FinFigures"/>
              <w:rPr>
                <w:color w:val="auto"/>
              </w:rPr>
            </w:pPr>
            <w:r w:rsidRPr="00EF4C81">
              <w:rPr>
                <w:color w:val="auto"/>
              </w:rPr>
              <w:t>34,5</w:t>
            </w:r>
            <w:r w:rsidR="00B11766" w:rsidRPr="00EF4C81">
              <w:rPr>
                <w:color w:val="auto"/>
              </w:rPr>
              <w:t>56</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35,546</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35,746</w:t>
            </w:r>
          </w:p>
        </w:tc>
      </w:tr>
      <w:tr w:rsidR="009D38E8" w:rsidRPr="00EF4C81" w:rsidTr="00A36A23">
        <w:trPr>
          <w:trHeight w:val="113"/>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1,191</w:t>
            </w:r>
          </w:p>
        </w:tc>
        <w:tc>
          <w:tcPr>
            <w:tcW w:w="3969"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57" w:type="dxa"/>
              <w:left w:w="113" w:type="dxa"/>
              <w:bottom w:w="85" w:type="dxa"/>
              <w:right w:w="113" w:type="dxa"/>
            </w:tcMar>
          </w:tcPr>
          <w:p w:rsidR="009D38E8" w:rsidRPr="00EF4C81" w:rsidRDefault="009D38E8" w:rsidP="00B11766">
            <w:pPr>
              <w:pStyle w:val="FinFigures"/>
              <w:rPr>
                <w:color w:val="auto"/>
              </w:rPr>
            </w:pPr>
            <w:r w:rsidRPr="00EF4C81">
              <w:rPr>
                <w:color w:val="auto"/>
              </w:rPr>
              <w:t>1,</w:t>
            </w:r>
            <w:r w:rsidR="00B11766" w:rsidRPr="00EF4C81">
              <w:rPr>
                <w:color w:val="auto"/>
              </w:rPr>
              <w:t>190</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header"/>
        <w:rPr>
          <w:color w:val="auto"/>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Social Support Services Sector Leadership and Co-ordination</w:t>
      </w:r>
    </w:p>
    <w:tbl>
      <w:tblPr>
        <w:tblW w:w="963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3208FA">
        <w:trPr>
          <w:trHeight w:val="113"/>
        </w:trPr>
        <w:tc>
          <w:tcPr>
            <w:tcW w:w="1417" w:type="dxa"/>
            <w:tcBorders>
              <w:top w:val="single" w:sz="6" w:space="0" w:color="auto"/>
              <w:left w:val="single" w:sz="4" w:space="0" w:color="000000"/>
              <w:bottom w:val="single" w:sz="6" w:space="0" w:color="000000"/>
              <w:right w:val="single" w:sz="4" w:space="0" w:color="000000"/>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4" w:space="0" w:color="000000"/>
              <w:bottom w:val="single" w:sz="6" w:space="0" w:color="000000"/>
              <w:right w:val="single" w:sz="4" w:space="0" w:color="000000"/>
            </w:tcBorders>
            <w:vAlign w:val="bottom"/>
          </w:tcPr>
          <w:p w:rsidR="009D38E8" w:rsidRPr="00EF4C81" w:rsidRDefault="009D38E8" w:rsidP="00A36A23">
            <w:pPr>
              <w:pStyle w:val="fintableheadsLeft"/>
              <w:ind w:left="123" w:hanging="14"/>
              <w:rPr>
                <w:color w:val="auto"/>
              </w:rPr>
            </w:pPr>
            <w:r w:rsidRPr="00EF4C81">
              <w:rPr>
                <w:color w:val="auto"/>
                <w:lang w:val="en-GB"/>
              </w:rPr>
              <w:t>PERFORMANCE MEASURE</w:t>
            </w:r>
          </w:p>
        </w:tc>
        <w:tc>
          <w:tcPr>
            <w:tcW w:w="1417" w:type="dxa"/>
            <w:tcBorders>
              <w:top w:val="single" w:sz="6" w:space="0" w:color="auto"/>
              <w:left w:val="single" w:sz="4" w:space="0" w:color="000000"/>
              <w:bottom w:val="single" w:sz="6" w:space="0" w:color="000000"/>
              <w:right w:val="single" w:sz="4" w:space="0" w:color="000000"/>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3208FA">
        <w:trPr>
          <w:trHeight w:val="113"/>
        </w:trPr>
        <w:tc>
          <w:tcPr>
            <w:tcW w:w="1417" w:type="dxa"/>
            <w:tcBorders>
              <w:top w:val="single" w:sz="6" w:space="0" w:color="000000"/>
              <w:left w:val="single" w:sz="4" w:space="0" w:color="000000"/>
              <w:bottom w:val="single" w:sz="4" w:space="0" w:color="000000"/>
              <w:right w:val="single" w:sz="4"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95%</w:t>
            </w:r>
          </w:p>
        </w:tc>
        <w:tc>
          <w:tcPr>
            <w:tcW w:w="5386" w:type="dxa"/>
            <w:tcBorders>
              <w:top w:val="single" w:sz="6" w:space="0" w:color="000000"/>
              <w:left w:val="single" w:sz="4" w:space="0" w:color="000000"/>
              <w:bottom w:val="single" w:sz="4"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 xml:space="preserve">The percentage of surveyed clients agreeing that Heartland </w:t>
            </w:r>
            <w:r w:rsidR="00123796" w:rsidRPr="00EF4C81">
              <w:rPr>
                <w:color w:val="auto"/>
                <w:lang w:val="en-GB"/>
              </w:rPr>
              <w:t xml:space="preserve">Services </w:t>
            </w:r>
            <w:r w:rsidRPr="00EF4C81">
              <w:rPr>
                <w:color w:val="auto"/>
                <w:lang w:val="en-GB"/>
              </w:rPr>
              <w:t>Centres have improved access to government and community services in their community will be no less than</w:t>
            </w:r>
          </w:p>
        </w:tc>
        <w:tc>
          <w:tcPr>
            <w:tcW w:w="1417" w:type="dxa"/>
            <w:tcBorders>
              <w:top w:val="single" w:sz="6" w:space="0" w:color="000000"/>
              <w:left w:val="single" w:sz="4" w:space="0" w:color="000000"/>
              <w:bottom w:val="single" w:sz="4" w:space="0" w:color="000000"/>
              <w:right w:val="single" w:sz="4"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95%</w:t>
            </w:r>
          </w:p>
        </w:tc>
        <w:tc>
          <w:tcPr>
            <w:tcW w:w="1418" w:type="dxa"/>
            <w:tcBorders>
              <w:top w:val="single" w:sz="6" w:space="0" w:color="000000"/>
              <w:left w:val="single" w:sz="4" w:space="0" w:color="000000"/>
              <w:bottom w:val="single" w:sz="4"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80%</w:t>
            </w:r>
          </w:p>
        </w:tc>
      </w:tr>
    </w:tbl>
    <w:p w:rsidR="003208FA" w:rsidRPr="00EF4C81" w:rsidRDefault="003208FA">
      <w:pPr>
        <w:rPr>
          <w:color w:val="auto"/>
        </w:rPr>
      </w:pPr>
      <w:r w:rsidRPr="00EF4C81">
        <w:rPr>
          <w:caps/>
          <w:color w:val="auto"/>
        </w:rPr>
        <w:br w:type="page"/>
      </w:r>
    </w:p>
    <w:tbl>
      <w:tblPr>
        <w:tblW w:w="963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3208FA" w:rsidRPr="00EF4C81" w:rsidTr="003208FA">
        <w:trPr>
          <w:trHeight w:val="113"/>
        </w:trPr>
        <w:tc>
          <w:tcPr>
            <w:tcW w:w="1417" w:type="dxa"/>
            <w:tcBorders>
              <w:top w:val="single" w:sz="6" w:space="0" w:color="auto"/>
              <w:left w:val="single" w:sz="4" w:space="0" w:color="000000"/>
              <w:bottom w:val="single" w:sz="6" w:space="0" w:color="000000"/>
              <w:right w:val="single" w:sz="4" w:space="0" w:color="000000"/>
            </w:tcBorders>
            <w:shd w:val="solid" w:color="F2F2F2" w:fill="auto"/>
            <w:vAlign w:val="bottom"/>
          </w:tcPr>
          <w:p w:rsidR="003208FA" w:rsidRPr="00EF4C81" w:rsidRDefault="003208FA" w:rsidP="00897636">
            <w:pPr>
              <w:pStyle w:val="fintableheads"/>
              <w:rPr>
                <w:color w:val="auto"/>
                <w:lang w:val="en-GB"/>
              </w:rPr>
            </w:pPr>
            <w:r w:rsidRPr="00EF4C81">
              <w:rPr>
                <w:color w:val="auto"/>
                <w:lang w:val="en-GB"/>
              </w:rPr>
              <w:lastRenderedPageBreak/>
              <w:t xml:space="preserve">ACTUAL </w:t>
            </w:r>
          </w:p>
          <w:p w:rsidR="003208FA" w:rsidRPr="00EF4C81" w:rsidRDefault="003208FA" w:rsidP="00897636">
            <w:pPr>
              <w:pStyle w:val="fintableheads"/>
              <w:rPr>
                <w:color w:val="auto"/>
              </w:rPr>
            </w:pPr>
            <w:r w:rsidRPr="00EF4C81">
              <w:rPr>
                <w:color w:val="auto"/>
                <w:lang w:val="en-GB"/>
              </w:rPr>
              <w:t>30 JUNE 2012</w:t>
            </w:r>
          </w:p>
        </w:tc>
        <w:tc>
          <w:tcPr>
            <w:tcW w:w="5386" w:type="dxa"/>
            <w:tcBorders>
              <w:top w:val="single" w:sz="6" w:space="0" w:color="auto"/>
              <w:left w:val="single" w:sz="4" w:space="0" w:color="000000"/>
              <w:bottom w:val="single" w:sz="6" w:space="0" w:color="000000"/>
              <w:right w:val="single" w:sz="4" w:space="0" w:color="000000"/>
            </w:tcBorders>
            <w:vAlign w:val="bottom"/>
          </w:tcPr>
          <w:p w:rsidR="003208FA" w:rsidRPr="00EF4C81" w:rsidRDefault="003208FA" w:rsidP="00897636">
            <w:pPr>
              <w:pStyle w:val="fintableheadsLeft"/>
              <w:ind w:left="123" w:hanging="14"/>
              <w:rPr>
                <w:color w:val="auto"/>
              </w:rPr>
            </w:pPr>
            <w:r w:rsidRPr="00EF4C81">
              <w:rPr>
                <w:color w:val="auto"/>
                <w:lang w:val="en-GB"/>
              </w:rPr>
              <w:t>PERFORMANCE MEASURE</w:t>
            </w:r>
          </w:p>
        </w:tc>
        <w:tc>
          <w:tcPr>
            <w:tcW w:w="1417" w:type="dxa"/>
            <w:tcBorders>
              <w:top w:val="single" w:sz="6" w:space="0" w:color="auto"/>
              <w:left w:val="single" w:sz="4" w:space="0" w:color="000000"/>
              <w:bottom w:val="single" w:sz="6" w:space="0" w:color="000000"/>
              <w:right w:val="single" w:sz="4" w:space="0" w:color="000000"/>
            </w:tcBorders>
            <w:shd w:val="solid" w:color="00C477" w:fill="auto"/>
            <w:tcMar>
              <w:top w:w="113" w:type="dxa"/>
              <w:left w:w="0" w:type="dxa"/>
              <w:bottom w:w="57" w:type="dxa"/>
              <w:right w:w="113" w:type="dxa"/>
            </w:tcMar>
            <w:vAlign w:val="bottom"/>
          </w:tcPr>
          <w:p w:rsidR="003208FA" w:rsidRPr="00EF4C81" w:rsidRDefault="003208FA" w:rsidP="00897636">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4" w:space="0" w:color="000000"/>
              <w:bottom w:val="single" w:sz="6" w:space="0" w:color="000000"/>
              <w:right w:val="single" w:sz="4" w:space="0" w:color="000000"/>
            </w:tcBorders>
            <w:tcMar>
              <w:top w:w="113" w:type="dxa"/>
              <w:left w:w="113" w:type="dxa"/>
              <w:bottom w:w="57" w:type="dxa"/>
              <w:right w:w="0" w:type="dxa"/>
            </w:tcMar>
            <w:vAlign w:val="bottom"/>
          </w:tcPr>
          <w:p w:rsidR="003208FA" w:rsidRPr="00EF4C81" w:rsidRDefault="003208FA" w:rsidP="00897636">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3208FA">
        <w:trPr>
          <w:trHeight w:val="113"/>
        </w:trPr>
        <w:tc>
          <w:tcPr>
            <w:tcW w:w="1417" w:type="dxa"/>
            <w:tcBorders>
              <w:top w:val="single" w:sz="4" w:space="0" w:color="000000"/>
              <w:left w:val="single" w:sz="4" w:space="0" w:color="000000"/>
              <w:bottom w:val="single" w:sz="4" w:space="0" w:color="000000"/>
              <w:right w:val="single" w:sz="4"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94%</w:t>
            </w:r>
          </w:p>
        </w:tc>
        <w:tc>
          <w:tcPr>
            <w:tcW w:w="5386" w:type="dxa"/>
            <w:tcBorders>
              <w:top w:val="single" w:sz="4" w:space="0" w:color="000000"/>
              <w:left w:val="single" w:sz="4" w:space="0" w:color="000000"/>
              <w:bottom w:val="single" w:sz="4"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 xml:space="preserve">The percentage of surveyed agencies agreeing that they were satisfied or very satisfied with Heartland </w:t>
            </w:r>
            <w:r w:rsidR="00123796" w:rsidRPr="00EF4C81">
              <w:rPr>
                <w:color w:val="auto"/>
                <w:lang w:val="en-GB"/>
              </w:rPr>
              <w:t xml:space="preserve">Services </w:t>
            </w:r>
            <w:r w:rsidRPr="00EF4C81">
              <w:rPr>
                <w:color w:val="auto"/>
                <w:lang w:val="en-GB"/>
              </w:rPr>
              <w:t>Centres’ accessibility, range of services and facilities will be no less than</w:t>
            </w:r>
          </w:p>
        </w:tc>
        <w:tc>
          <w:tcPr>
            <w:tcW w:w="1417" w:type="dxa"/>
            <w:tcBorders>
              <w:top w:val="single" w:sz="4" w:space="0" w:color="000000"/>
              <w:left w:val="single" w:sz="4" w:space="0" w:color="000000"/>
              <w:bottom w:val="single" w:sz="4" w:space="0" w:color="000000"/>
              <w:right w:val="single" w:sz="4"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86%</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80%</w:t>
            </w:r>
          </w:p>
        </w:tc>
      </w:tr>
    </w:tbl>
    <w:p w:rsidR="009D38E8" w:rsidRPr="00EF4C81" w:rsidRDefault="009D38E8" w:rsidP="009D38E8">
      <w:pPr>
        <w:pStyle w:val="Tableheader"/>
        <w:rPr>
          <w:color w:val="auto"/>
          <w:lang w:val="en-GB"/>
        </w:rPr>
      </w:pPr>
    </w:p>
    <w:p w:rsidR="009D38E8" w:rsidRPr="00EF4C81" w:rsidRDefault="009D38E8" w:rsidP="009D38E8">
      <w:pPr>
        <w:pStyle w:val="Tableheader"/>
        <w:rPr>
          <w:color w:val="auto"/>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Supporting Families and Communities</w:t>
      </w:r>
    </w:p>
    <w:tbl>
      <w:tblPr>
        <w:tblW w:w="9638" w:type="dxa"/>
        <w:tblBorders>
          <w:top w:val="single" w:sz="6"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93%</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community projects funded through SKIP</w:t>
            </w:r>
            <w:r w:rsidRPr="00EF4C81">
              <w:rPr>
                <w:rStyle w:val="FootnoteReference"/>
                <w:color w:val="auto"/>
                <w:lang w:val="en-GB"/>
              </w:rPr>
              <w:footnoteReference w:id="7"/>
            </w:r>
            <w:r w:rsidRPr="00EF4C81">
              <w:rPr>
                <w:color w:val="auto"/>
                <w:lang w:val="en-GB"/>
              </w:rPr>
              <w:t xml:space="preserve"> that meet their objectives will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92%</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90–95%</w:t>
            </w:r>
          </w:p>
        </w:tc>
      </w:tr>
      <w:tr w:rsidR="009D38E8" w:rsidRPr="00EF4C81" w:rsidTr="00A36A23">
        <w:trPr>
          <w:trHeight w:val="113"/>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6,664</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rStyle w:val="tablefinitalicFINANCIALS"/>
                <w:color w:val="auto"/>
                <w:lang w:val="en-GB"/>
              </w:rPr>
            </w:pPr>
            <w:r w:rsidRPr="00EF4C81">
              <w:rPr>
                <w:rStyle w:val="tablefinitalicFINANCIALS"/>
                <w:color w:val="auto"/>
                <w:lang w:val="en-GB"/>
              </w:rPr>
              <w:t>Break Thru</w:t>
            </w:r>
          </w:p>
          <w:p w:rsidR="009D38E8" w:rsidRPr="00EF4C81" w:rsidRDefault="009D38E8" w:rsidP="00A36A23">
            <w:pPr>
              <w:pStyle w:val="tablefintext"/>
              <w:rPr>
                <w:color w:val="auto"/>
              </w:rPr>
            </w:pPr>
            <w:r w:rsidRPr="00EF4C81">
              <w:rPr>
                <w:color w:val="auto"/>
                <w:lang w:val="en-GB"/>
              </w:rPr>
              <w:t>The number of young people supported through group activities and events by youth workers will be no fewer than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8,379</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5,000</w:t>
            </w:r>
          </w:p>
        </w:tc>
      </w:tr>
    </w:tbl>
    <w:p w:rsidR="009D38E8" w:rsidRPr="00EF4C81" w:rsidRDefault="009D38E8" w:rsidP="009D38E8">
      <w:pPr>
        <w:pStyle w:val="TABLESPACE"/>
        <w:rPr>
          <w:color w:val="auto"/>
          <w:sz w:val="21"/>
          <w:szCs w:val="21"/>
          <w:lang w:val="en-GB"/>
        </w:rPr>
      </w:pPr>
    </w:p>
    <w:p w:rsidR="009D38E8" w:rsidRPr="00EF4C81" w:rsidRDefault="009D38E8" w:rsidP="009D38E8">
      <w:pPr>
        <w:pStyle w:val="Tableheader2"/>
        <w:rPr>
          <w:color w:val="auto"/>
          <w:lang w:val="en-GB"/>
        </w:rPr>
      </w:pPr>
      <w:r w:rsidRPr="00EF4C81">
        <w:rPr>
          <w:color w:val="auto"/>
          <w:lang w:val="en-GB"/>
        </w:rPr>
        <w:t>Output: Management of Social Services Funding Agreements</w:t>
      </w:r>
    </w:p>
    <w:tbl>
      <w:tblPr>
        <w:tblW w:w="0" w:type="auto"/>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hanging="28"/>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2,613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number of funding agreements will be between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highlight w:val="yellow"/>
                <w:lang w:val="en-GB"/>
              </w:rPr>
            </w:pPr>
          </w:p>
          <w:p w:rsidR="009D38E8" w:rsidRPr="00EF4C81" w:rsidRDefault="009D38E8" w:rsidP="00A36A23">
            <w:pPr>
              <w:pStyle w:val="FinFigures"/>
              <w:rPr>
                <w:color w:val="auto"/>
                <w:highlight w:val="yellow"/>
              </w:rPr>
            </w:pPr>
            <w:r w:rsidRPr="00EF4C81">
              <w:rPr>
                <w:color w:val="auto"/>
              </w:rPr>
              <w:t>2,567</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1,500–1,900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The percentage of provider reports due that are received for assessment annually will be no less than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87%</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85%</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The percentage of provider reports received that have been reviewed and assessed will be no less than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100%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100%</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rStyle w:val="fintextheavyFINANCIALS"/>
                <w:b/>
                <w:color w:val="auto"/>
                <w:lang w:val="en-GB"/>
              </w:rPr>
            </w:pPr>
            <w:r w:rsidRPr="00EF4C81">
              <w:rPr>
                <w:color w:val="auto"/>
                <w:lang w:val="en-GB"/>
              </w:rPr>
              <w:t xml:space="preserve">The percentage of payments to providers that are made in accordance with their contracts will be no less than </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100%</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97%</w:t>
            </w:r>
          </w:p>
        </w:tc>
      </w:tr>
    </w:tbl>
    <w:p w:rsidR="009D38E8" w:rsidRPr="00EF4C81" w:rsidRDefault="009D38E8" w:rsidP="009D38E8">
      <w:pPr>
        <w:pStyle w:val="headwithrule"/>
        <w:pBdr>
          <w:bottom w:val="none" w:sz="0" w:space="0" w:color="auto"/>
        </w:pBdr>
        <w:rPr>
          <w:color w:val="auto"/>
          <w:lang w:val="en-GB"/>
        </w:rPr>
      </w:pPr>
    </w:p>
    <w:bookmarkEnd w:id="1"/>
    <w:bookmarkEnd w:id="2"/>
    <w:p w:rsidR="009D38E8" w:rsidRPr="00D173BB" w:rsidRDefault="009D38E8" w:rsidP="00D173BB">
      <w:pPr>
        <w:pStyle w:val="Heading3"/>
      </w:pPr>
      <w:r w:rsidRPr="00D173BB">
        <w:br w:type="page"/>
      </w:r>
      <w:r w:rsidRPr="00D173BB">
        <w:lastRenderedPageBreak/>
        <w:t xml:space="preserve">Output Expense: Income Support and Assistance to </w:t>
      </w:r>
      <w:proofErr w:type="gramStart"/>
      <w:r w:rsidRPr="00D173BB">
        <w:t>Seniors</w:t>
      </w:r>
      <w:proofErr w:type="gramEnd"/>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r w:rsidRPr="00EF4C81">
        <w:rPr>
          <w:color w:val="auto"/>
          <w:sz w:val="22"/>
          <w:szCs w:val="22"/>
          <w:lang w:val="en-GB"/>
        </w:rPr>
        <w:t>This appropriation is limited to paying New Zealand Superannuation and social security entitlements (including administering related international social security agreements) and providing advice to help older people maintain independence and social participation; and administering international social security agreements relating to non-</w:t>
      </w:r>
      <w:proofErr w:type="spellStart"/>
      <w:r w:rsidRPr="00EF4C81">
        <w:rPr>
          <w:color w:val="auto"/>
          <w:sz w:val="22"/>
          <w:szCs w:val="22"/>
          <w:lang w:val="en-GB"/>
        </w:rPr>
        <w:t>superannuitants</w:t>
      </w:r>
      <w:proofErr w:type="spellEnd"/>
      <w:r w:rsidRPr="00EF4C81">
        <w:rPr>
          <w:color w:val="auto"/>
          <w:sz w:val="22"/>
          <w:szCs w:val="22"/>
          <w:lang w:val="en-GB"/>
        </w:rPr>
        <w:t>; and assessing financial entitlement to residential Care Subsidies.</w:t>
      </w:r>
    </w:p>
    <w:p w:rsidR="009D38E8" w:rsidRPr="00D173BB" w:rsidRDefault="009D38E8" w:rsidP="00D173BB">
      <w:pPr>
        <w:pStyle w:val="Subtitle"/>
      </w:pPr>
      <w:r w:rsidRPr="00D173BB">
        <w:t>Summary of Performance</w:t>
      </w:r>
    </w:p>
    <w:p w:rsidR="009D38E8" w:rsidRPr="00EF4C81" w:rsidRDefault="009D38E8" w:rsidP="0073614E">
      <w:pPr>
        <w:pStyle w:val="text"/>
        <w:spacing w:after="240"/>
        <w:rPr>
          <w:color w:val="auto"/>
          <w:sz w:val="22"/>
          <w:szCs w:val="22"/>
          <w:lang w:val="en-GB"/>
        </w:rPr>
      </w:pPr>
      <w:r w:rsidRPr="00EF4C81">
        <w:rPr>
          <w:color w:val="auto"/>
          <w:sz w:val="22"/>
          <w:szCs w:val="22"/>
          <w:lang w:val="en-GB"/>
        </w:rPr>
        <w:t xml:space="preserve">Two of the three performance standards in this output expense have been met. </w:t>
      </w:r>
    </w:p>
    <w:p w:rsidR="009D38E8" w:rsidRPr="00EF4C81" w:rsidRDefault="0073614E" w:rsidP="0073614E">
      <w:pPr>
        <w:pStyle w:val="text"/>
        <w:spacing w:after="240"/>
        <w:rPr>
          <w:color w:val="auto"/>
          <w:sz w:val="22"/>
          <w:szCs w:val="22"/>
          <w:lang w:val="en-GB"/>
        </w:rPr>
      </w:pPr>
      <w:r w:rsidRPr="00EF4C81">
        <w:rPr>
          <w:color w:val="auto"/>
          <w:sz w:val="22"/>
          <w:szCs w:val="22"/>
          <w:lang w:val="en-GB"/>
        </w:rPr>
        <w:t>In 2012/2013, t</w:t>
      </w:r>
      <w:r w:rsidR="009D38E8" w:rsidRPr="00EF4C81">
        <w:rPr>
          <w:color w:val="auto"/>
          <w:sz w:val="22"/>
          <w:szCs w:val="22"/>
          <w:lang w:val="en-GB"/>
        </w:rPr>
        <w:t>he results for client satisfaction and accuracy in completing entitlements for seniors reached 94 per cent and 90 per cent respectively.</w:t>
      </w:r>
    </w:p>
    <w:p w:rsidR="009D38E8" w:rsidRPr="00EF4C81" w:rsidRDefault="0073614E" w:rsidP="0073614E">
      <w:pPr>
        <w:pStyle w:val="text"/>
        <w:spacing w:after="240"/>
        <w:rPr>
          <w:color w:val="auto"/>
          <w:sz w:val="22"/>
          <w:szCs w:val="22"/>
          <w:lang w:val="en-GB"/>
        </w:rPr>
      </w:pPr>
      <w:r w:rsidRPr="00EF4C81">
        <w:rPr>
          <w:color w:val="auto"/>
          <w:sz w:val="22"/>
          <w:szCs w:val="22"/>
          <w:lang w:val="en-GB"/>
        </w:rPr>
        <w:t>This year, i</w:t>
      </w:r>
      <w:r w:rsidR="009D38E8" w:rsidRPr="00EF4C81">
        <w:rPr>
          <w:color w:val="auto"/>
          <w:sz w:val="22"/>
          <w:szCs w:val="22"/>
          <w:lang w:val="en-GB"/>
        </w:rPr>
        <w:t xml:space="preserve">ncreased volumes </w:t>
      </w:r>
      <w:r w:rsidR="00840C4C" w:rsidRPr="00EF4C81">
        <w:rPr>
          <w:color w:val="auto"/>
          <w:sz w:val="22"/>
          <w:szCs w:val="22"/>
          <w:lang w:val="en-GB"/>
        </w:rPr>
        <w:t>of applications of 12 per cent</w:t>
      </w:r>
      <w:r w:rsidR="00352770" w:rsidRPr="00EF4C81">
        <w:rPr>
          <w:rStyle w:val="FootnoteReference"/>
          <w:color w:val="auto"/>
          <w:lang w:val="en-GB"/>
        </w:rPr>
        <w:footnoteReference w:id="8"/>
      </w:r>
      <w:r w:rsidR="00840C4C" w:rsidRPr="00EF4C81">
        <w:rPr>
          <w:color w:val="auto"/>
          <w:sz w:val="22"/>
          <w:szCs w:val="22"/>
          <w:lang w:val="en-GB"/>
        </w:rPr>
        <w:t xml:space="preserve"> </w:t>
      </w:r>
      <w:r w:rsidR="009D38E8" w:rsidRPr="00EF4C81">
        <w:rPr>
          <w:color w:val="auto"/>
          <w:sz w:val="22"/>
          <w:szCs w:val="22"/>
          <w:lang w:val="en-GB"/>
        </w:rPr>
        <w:t xml:space="preserve">had an impact on performance. This resulted in the Ministry just missing its performance standard for timeliness by 0.2 per cent, </w:t>
      </w:r>
      <w:r w:rsidR="00E53A13" w:rsidRPr="00EF4C81">
        <w:rPr>
          <w:color w:val="auto"/>
          <w:sz w:val="22"/>
          <w:szCs w:val="22"/>
          <w:lang w:val="en-GB"/>
        </w:rPr>
        <w:t>achieving</w:t>
      </w:r>
      <w:r w:rsidR="009D38E8" w:rsidRPr="00EF4C81">
        <w:rPr>
          <w:color w:val="auto"/>
          <w:sz w:val="22"/>
          <w:szCs w:val="22"/>
          <w:lang w:val="en-GB"/>
        </w:rPr>
        <w:t xml:space="preserve"> a total result of 84.8 per cent for the year.  </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60"/>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r w:rsidRPr="00EF4C81">
              <w:rPr>
                <w:rStyle w:val="FootnoteReference"/>
                <w:color w:val="auto"/>
                <w:lang w:val="en-GB"/>
              </w:rPr>
              <w:footnoteReference w:id="9"/>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36,502</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35,907</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34,960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35,907</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602</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37,104</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35,907</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34,960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35,907</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35,896</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B11766">
            <w:pPr>
              <w:pStyle w:val="FinFigures"/>
              <w:rPr>
                <w:color w:val="auto"/>
              </w:rPr>
            </w:pPr>
            <w:r w:rsidRPr="00EF4C81">
              <w:rPr>
                <w:color w:val="auto"/>
              </w:rPr>
              <w:t>35,29</w:t>
            </w:r>
            <w:r w:rsidR="00B11766" w:rsidRPr="00EF4C81">
              <w:rPr>
                <w:color w:val="auto"/>
              </w:rPr>
              <w:t>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34,960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35,907</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1,208</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B11766">
            <w:pPr>
              <w:pStyle w:val="FinFigures"/>
              <w:rPr>
                <w:color w:val="auto"/>
              </w:rPr>
            </w:pPr>
            <w:r w:rsidRPr="00EF4C81">
              <w:rPr>
                <w:color w:val="auto"/>
              </w:rPr>
              <w:t>6</w:t>
            </w:r>
            <w:r w:rsidR="00B11766" w:rsidRPr="00EF4C81">
              <w:rPr>
                <w:color w:val="auto"/>
              </w:rPr>
              <w:t>17</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header"/>
        <w:rPr>
          <w:color w:val="auto"/>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 xml:space="preserve">Output: Service to </w:t>
      </w:r>
      <w:proofErr w:type="gramStart"/>
      <w:r w:rsidRPr="00EF4C81">
        <w:rPr>
          <w:color w:val="auto"/>
          <w:lang w:val="en-GB"/>
        </w:rPr>
        <w:t>Seniors</w:t>
      </w:r>
      <w:proofErr w:type="gramEnd"/>
    </w:p>
    <w:tbl>
      <w:tblPr>
        <w:tblW w:w="9638" w:type="dxa"/>
        <w:tblBorders>
          <w:top w:val="single" w:sz="6"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483"/>
        </w:trPr>
        <w:tc>
          <w:tcPr>
            <w:tcW w:w="1417" w:type="dxa"/>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542"/>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94%</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clients satisfied with the level of service provided by staff will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94%</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90–95%</w:t>
            </w:r>
          </w:p>
        </w:tc>
      </w:tr>
      <w:tr w:rsidR="009D38E8" w:rsidRPr="00EF4C81" w:rsidTr="00A36A23">
        <w:trPr>
          <w:trHeight w:val="542"/>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92.4%</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The percentage of entitlement assessments completed accurately</w:t>
            </w:r>
            <w:r w:rsidRPr="00EF4C81">
              <w:rPr>
                <w:rStyle w:val="FootnoteReference"/>
                <w:color w:val="auto"/>
                <w:spacing w:val="-2"/>
              </w:rPr>
              <w:footnoteReference w:id="10"/>
            </w:r>
            <w:r w:rsidRPr="00EF4C81">
              <w:rPr>
                <w:color w:val="auto"/>
                <w:lang w:val="en-GB"/>
              </w:rPr>
              <w:t xml:space="preserve"> will be between</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90%</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90–95%</w:t>
            </w:r>
          </w:p>
        </w:tc>
      </w:tr>
      <w:tr w:rsidR="009D38E8" w:rsidRPr="00EF4C81" w:rsidTr="00A36A23">
        <w:trPr>
          <w:trHeight w:val="542"/>
        </w:trPr>
        <w:tc>
          <w:tcPr>
            <w:tcW w:w="1417" w:type="dxa"/>
            <w:shd w:val="solid" w:color="F2F2F2"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86.9%</w:t>
            </w:r>
          </w:p>
        </w:tc>
        <w:tc>
          <w:tcPr>
            <w:tcW w:w="5386" w:type="dxa"/>
            <w:shd w:val="solid" w:color="FFFFFF" w:fill="auto"/>
            <w:tcMar>
              <w:top w:w="170" w:type="dxa"/>
              <w:left w:w="113" w:type="dxa"/>
              <w:bottom w:w="85" w:type="dxa"/>
              <w:right w:w="113" w:type="dxa"/>
            </w:tcMar>
          </w:tcPr>
          <w:p w:rsidR="009D38E8" w:rsidRPr="00EF4C81" w:rsidRDefault="009D38E8" w:rsidP="00A36A23">
            <w:pPr>
              <w:pStyle w:val="tablefintext"/>
              <w:rPr>
                <w:b/>
                <w:color w:val="auto"/>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spacing w:val="-2"/>
              </w:rPr>
              <w:t xml:space="preserve">The percentage of entitlement assessments for payment of New Zealand Superannuation (in New Zealand and overseas), Emergency Benefit for people over 65, other New Zealand entitlements paid overseas and residential subsidies, </w:t>
            </w:r>
            <w:proofErr w:type="spellStart"/>
            <w:r w:rsidRPr="00EF4C81">
              <w:rPr>
                <w:color w:val="auto"/>
                <w:spacing w:val="-2"/>
              </w:rPr>
              <w:t>finalised</w:t>
            </w:r>
            <w:proofErr w:type="spellEnd"/>
            <w:r w:rsidRPr="00EF4C81">
              <w:rPr>
                <w:color w:val="auto"/>
                <w:spacing w:val="-2"/>
              </w:rPr>
              <w:t xml:space="preserve"> within required timeframes</w:t>
            </w:r>
            <w:r w:rsidRPr="00EF4C81">
              <w:rPr>
                <w:rStyle w:val="FootnoteReference"/>
                <w:color w:val="auto"/>
                <w:spacing w:val="-2"/>
              </w:rPr>
              <w:footnoteReference w:id="11"/>
            </w:r>
            <w:r w:rsidRPr="00EF4C81">
              <w:rPr>
                <w:color w:val="auto"/>
                <w:spacing w:val="-2"/>
              </w:rPr>
              <w:t xml:space="preserve">  will be between </w:t>
            </w:r>
          </w:p>
        </w:tc>
        <w:tc>
          <w:tcPr>
            <w:tcW w:w="1417" w:type="dxa"/>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84.8%</w:t>
            </w:r>
          </w:p>
        </w:tc>
        <w:tc>
          <w:tcPr>
            <w:tcW w:w="1418" w:type="dxa"/>
            <w:shd w:val="solid" w:color="FFFFFF"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85–90%</w:t>
            </w:r>
          </w:p>
        </w:tc>
      </w:tr>
    </w:tbl>
    <w:p w:rsidR="009D38E8" w:rsidRPr="00D173BB" w:rsidRDefault="009D38E8" w:rsidP="009D38E8">
      <w:pPr>
        <w:pStyle w:val="headwithrule"/>
        <w:rPr>
          <w:rStyle w:val="Heading3Char"/>
          <w:color w:val="auto"/>
        </w:rPr>
      </w:pPr>
      <w:r w:rsidRPr="00D173BB">
        <w:rPr>
          <w:rStyle w:val="Heading3Char"/>
          <w:color w:val="auto"/>
        </w:rPr>
        <w:br w:type="page"/>
      </w:r>
      <w:r w:rsidRPr="00D173BB">
        <w:rPr>
          <w:rStyle w:val="Heading3Char"/>
          <w:color w:val="auto"/>
        </w:rPr>
        <w:lastRenderedPageBreak/>
        <w:t>Output Expense: Management of Service Cards (MCOA</w:t>
      </w:r>
      <w:r w:rsidRPr="00D173BB">
        <w:rPr>
          <w:color w:val="auto"/>
          <w:sz w:val="16"/>
          <w:szCs w:val="16"/>
          <w:vertAlign w:val="superscript"/>
          <w:lang w:val="en-GB"/>
        </w:rPr>
        <w:footnoteReference w:id="12"/>
      </w:r>
      <w:r w:rsidRPr="00D173BB">
        <w:rPr>
          <w:rStyle w:val="Heading3Char"/>
          <w:color w:val="auto"/>
        </w:rPr>
        <w:t>)</w:t>
      </w:r>
    </w:p>
    <w:p w:rsidR="009D38E8" w:rsidRPr="00EF4C81" w:rsidRDefault="009D38E8" w:rsidP="009D38E8">
      <w:pPr>
        <w:pStyle w:val="Tableheader"/>
        <w:rPr>
          <w:color w:val="auto"/>
        </w:rPr>
      </w:pPr>
      <w:r w:rsidRPr="00EF4C81">
        <w:rPr>
          <w:color w:val="auto"/>
        </w:rPr>
        <w:t>Output Class: Administration of Community Services Card</w:t>
      </w:r>
    </w:p>
    <w:p w:rsidR="00FF5E72" w:rsidRPr="00D173BB" w:rsidRDefault="00FF5E72" w:rsidP="00D173BB">
      <w:pPr>
        <w:pStyle w:val="Subtitle"/>
      </w:pPr>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r w:rsidRPr="00EF4C81">
        <w:rPr>
          <w:color w:val="auto"/>
          <w:sz w:val="22"/>
          <w:szCs w:val="22"/>
          <w:lang w:val="en-GB"/>
        </w:rPr>
        <w:t>This output class is limited to assessing entitlement, issuing cards, and promoting and distributing information about the Community Services Card.</w:t>
      </w:r>
    </w:p>
    <w:p w:rsidR="009D38E8" w:rsidRPr="00D173BB" w:rsidRDefault="009D38E8" w:rsidP="00D173BB">
      <w:pPr>
        <w:pStyle w:val="Subtitle"/>
      </w:pPr>
      <w:r w:rsidRPr="00D173BB">
        <w:t>Summary of Performance</w:t>
      </w:r>
    </w:p>
    <w:p w:rsidR="009D38E8" w:rsidRPr="00EF4C81" w:rsidRDefault="009D38E8" w:rsidP="00047C0B">
      <w:pPr>
        <w:pStyle w:val="text"/>
        <w:spacing w:after="240"/>
        <w:rPr>
          <w:color w:val="auto"/>
          <w:sz w:val="22"/>
          <w:szCs w:val="22"/>
          <w:lang w:val="en-GB"/>
        </w:rPr>
      </w:pPr>
      <w:r w:rsidRPr="00EF4C81">
        <w:rPr>
          <w:color w:val="auto"/>
          <w:sz w:val="22"/>
          <w:szCs w:val="22"/>
          <w:lang w:val="en-GB"/>
        </w:rPr>
        <w:t xml:space="preserve">Both performance standards in this output class have been met. </w:t>
      </w:r>
    </w:p>
    <w:p w:rsidR="009D38E8" w:rsidRPr="00EF4C81" w:rsidRDefault="006B29F9" w:rsidP="00047C0B">
      <w:pPr>
        <w:pStyle w:val="text"/>
        <w:spacing w:after="240"/>
        <w:rPr>
          <w:color w:val="auto"/>
          <w:sz w:val="22"/>
          <w:szCs w:val="22"/>
          <w:lang w:val="en-GB"/>
        </w:rPr>
      </w:pPr>
      <w:r w:rsidRPr="00EF4C81">
        <w:rPr>
          <w:color w:val="auto"/>
          <w:sz w:val="22"/>
          <w:szCs w:val="22"/>
          <w:lang w:val="en-GB"/>
        </w:rPr>
        <w:t>In 2012</w:t>
      </w:r>
      <w:r w:rsidR="00FC4449" w:rsidRPr="00EF4C81">
        <w:rPr>
          <w:color w:val="auto"/>
          <w:sz w:val="22"/>
          <w:szCs w:val="22"/>
          <w:lang w:val="en-GB"/>
        </w:rPr>
        <w:t>/2013</w:t>
      </w:r>
      <w:r w:rsidR="00047C0B" w:rsidRPr="00EF4C81">
        <w:rPr>
          <w:color w:val="auto"/>
          <w:sz w:val="22"/>
          <w:szCs w:val="22"/>
          <w:lang w:val="en-GB"/>
        </w:rPr>
        <w:t xml:space="preserve">, both </w:t>
      </w:r>
      <w:r w:rsidR="009D38E8" w:rsidRPr="00EF4C81">
        <w:rPr>
          <w:color w:val="auto"/>
          <w:sz w:val="22"/>
          <w:szCs w:val="22"/>
          <w:lang w:val="en-GB"/>
        </w:rPr>
        <w:t xml:space="preserve">performance standards for completing Community Services Card entitlement assessments accurately and within five working days </w:t>
      </w:r>
      <w:proofErr w:type="gramStart"/>
      <w:r w:rsidR="009D38E8" w:rsidRPr="00EF4C81">
        <w:rPr>
          <w:color w:val="auto"/>
          <w:sz w:val="22"/>
          <w:szCs w:val="22"/>
          <w:lang w:val="en-GB"/>
        </w:rPr>
        <w:t>increased</w:t>
      </w:r>
      <w:r w:rsidR="00047C0B" w:rsidRPr="00EF4C81">
        <w:rPr>
          <w:color w:val="auto"/>
          <w:sz w:val="22"/>
          <w:szCs w:val="22"/>
          <w:lang w:val="en-GB"/>
        </w:rPr>
        <w:t>,</w:t>
      </w:r>
      <w:proofErr w:type="gramEnd"/>
      <w:r w:rsidR="00047C0B" w:rsidRPr="00EF4C81">
        <w:rPr>
          <w:color w:val="auto"/>
          <w:sz w:val="22"/>
          <w:szCs w:val="22"/>
          <w:lang w:val="en-GB"/>
        </w:rPr>
        <w:t xml:space="preserve"> compared to </w:t>
      </w:r>
      <w:r w:rsidRPr="00EF4C81">
        <w:rPr>
          <w:color w:val="auto"/>
          <w:sz w:val="22"/>
          <w:szCs w:val="22"/>
          <w:lang w:val="en-GB"/>
        </w:rPr>
        <w:t>the previous</w:t>
      </w:r>
      <w:r w:rsidR="00047C0B" w:rsidRPr="00EF4C81">
        <w:rPr>
          <w:color w:val="auto"/>
          <w:sz w:val="22"/>
          <w:szCs w:val="22"/>
          <w:lang w:val="en-GB"/>
        </w:rPr>
        <w:t xml:space="preserve"> year</w:t>
      </w:r>
      <w:r w:rsidR="009D38E8" w:rsidRPr="00EF4C81">
        <w:rPr>
          <w:color w:val="auto"/>
          <w:sz w:val="22"/>
          <w:szCs w:val="22"/>
          <w:lang w:val="en-GB"/>
        </w:rPr>
        <w:t xml:space="preserve">. Assessments completed accurately and on time were both reported at </w:t>
      </w:r>
      <w:r w:rsidR="001E4D0D" w:rsidRPr="00EF4C81">
        <w:rPr>
          <w:color w:val="auto"/>
          <w:sz w:val="22"/>
          <w:szCs w:val="22"/>
          <w:lang w:val="en-GB"/>
        </w:rPr>
        <w:t xml:space="preserve">almost </w:t>
      </w:r>
      <w:r w:rsidR="009D38E8" w:rsidRPr="00EF4C81">
        <w:rPr>
          <w:color w:val="auto"/>
          <w:sz w:val="22"/>
          <w:szCs w:val="22"/>
          <w:lang w:val="en-GB"/>
        </w:rPr>
        <w:t xml:space="preserve">99 per cent for </w:t>
      </w:r>
      <w:r w:rsidRPr="00EF4C81">
        <w:rPr>
          <w:color w:val="auto"/>
          <w:sz w:val="22"/>
          <w:szCs w:val="22"/>
          <w:lang w:val="en-GB"/>
        </w:rPr>
        <w:t>2012/2013</w:t>
      </w:r>
      <w:r w:rsidR="009D38E8" w:rsidRPr="00EF4C81">
        <w:rPr>
          <w:color w:val="auto"/>
          <w:sz w:val="22"/>
          <w:szCs w:val="22"/>
          <w:lang w:val="en-GB"/>
        </w:rPr>
        <w:t xml:space="preserve">.    </w:t>
      </w:r>
    </w:p>
    <w:p w:rsidR="009D38E8" w:rsidRPr="00EF4C81" w:rsidRDefault="009D38E8" w:rsidP="009D38E8">
      <w:pPr>
        <w:pStyle w:val="Tableheader"/>
        <w:spacing w:before="57"/>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60"/>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r w:rsidRPr="00EF4C81">
              <w:rPr>
                <w:rStyle w:val="FootnoteReference"/>
                <w:color w:val="auto"/>
                <w:lang w:val="en-GB"/>
              </w:rPr>
              <w:footnoteReference w:id="13"/>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5,619</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4,914</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5,274</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4,914</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36</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5,655</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4,914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5,274</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4,914</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5,463</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FB6563">
            <w:pPr>
              <w:pStyle w:val="FinFigures"/>
              <w:rPr>
                <w:color w:val="auto"/>
              </w:rPr>
            </w:pPr>
            <w:r w:rsidRPr="00EF4C81">
              <w:rPr>
                <w:color w:val="auto"/>
              </w:rPr>
              <w:t>4,5</w:t>
            </w:r>
            <w:r w:rsidR="00FB6563" w:rsidRPr="00EF4C81">
              <w:rPr>
                <w:color w:val="auto"/>
              </w:rPr>
              <w:t>53</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5,274</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4,914</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192</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FB6563">
            <w:pPr>
              <w:pStyle w:val="FinFigures"/>
              <w:rPr>
                <w:color w:val="auto"/>
              </w:rPr>
            </w:pPr>
            <w:r w:rsidRPr="00EF4C81">
              <w:rPr>
                <w:color w:val="auto"/>
              </w:rPr>
              <w:t>36</w:t>
            </w:r>
            <w:r w:rsidR="00FB6563" w:rsidRPr="00EF4C81">
              <w:rPr>
                <w:color w:val="auto"/>
              </w:rPr>
              <w:t>1</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spacing w:before="57"/>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Class: Administration of Community Services Card</w:t>
      </w:r>
    </w:p>
    <w:tbl>
      <w:tblPr>
        <w:tblW w:w="0" w:type="auto"/>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474"/>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hanging="14"/>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542"/>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98.5%</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Community Services Card entitlement assessments</w:t>
            </w:r>
            <w:r w:rsidRPr="00EF4C81">
              <w:rPr>
                <w:rStyle w:val="FootnoteReference"/>
                <w:color w:val="auto"/>
                <w:lang w:val="en-GB"/>
              </w:rPr>
              <w:footnoteReference w:id="14"/>
            </w:r>
            <w:r w:rsidRPr="00EF4C81">
              <w:rPr>
                <w:color w:val="auto"/>
                <w:lang w:val="en-GB"/>
              </w:rPr>
              <w:t xml:space="preserve"> completed accurately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98.6%</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A36A23">
        <w:trPr>
          <w:trHeight w:val="542"/>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97.1%</w:t>
            </w:r>
            <w:r w:rsidRPr="00EF4C81">
              <w:rPr>
                <w:rStyle w:val="FootnoteReference"/>
                <w:color w:val="auto"/>
                <w:lang w:val="en-GB"/>
              </w:rPr>
              <w:footnoteReference w:id="15"/>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Community Services Card entitlement assessments completed within five working days of receipt will be between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98.6%</w:t>
            </w:r>
          </w:p>
          <w:p w:rsidR="009D38E8" w:rsidRPr="00EF4C81" w:rsidRDefault="009D38E8" w:rsidP="00A36A23">
            <w:pPr>
              <w:pStyle w:val="FinFigures"/>
              <w:rPr>
                <w:color w:val="auto"/>
              </w:rPr>
            </w:pP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bl>
    <w:p w:rsidR="009D38E8" w:rsidRPr="00EF4C81" w:rsidRDefault="009D38E8" w:rsidP="009D38E8">
      <w:pPr>
        <w:pStyle w:val="Tableheader"/>
        <w:rPr>
          <w:color w:val="auto"/>
        </w:rPr>
      </w:pPr>
      <w:r w:rsidRPr="00EF4C81">
        <w:rPr>
          <w:color w:val="auto"/>
        </w:rPr>
        <w:br w:type="page"/>
      </w:r>
      <w:r w:rsidRPr="00EF4C81">
        <w:rPr>
          <w:color w:val="auto"/>
        </w:rPr>
        <w:lastRenderedPageBreak/>
        <w:t xml:space="preserve">Output Class: Management of </w:t>
      </w:r>
      <w:proofErr w:type="spellStart"/>
      <w:r w:rsidRPr="00EF4C81">
        <w:rPr>
          <w:color w:val="auto"/>
        </w:rPr>
        <w:t>SuperGold</w:t>
      </w:r>
      <w:proofErr w:type="spellEnd"/>
      <w:r w:rsidRPr="00EF4C81">
        <w:rPr>
          <w:color w:val="auto"/>
        </w:rPr>
        <w:t xml:space="preserve"> Card </w:t>
      </w:r>
    </w:p>
    <w:p w:rsidR="00DA570F" w:rsidRPr="00D173BB" w:rsidRDefault="00DA570F" w:rsidP="00D173BB">
      <w:pPr>
        <w:pStyle w:val="Subtitle"/>
      </w:pPr>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r w:rsidRPr="00EF4C81">
        <w:rPr>
          <w:color w:val="auto"/>
          <w:sz w:val="22"/>
          <w:szCs w:val="22"/>
          <w:lang w:val="en-GB"/>
        </w:rPr>
        <w:t xml:space="preserve">This output class is limited to management of the </w:t>
      </w:r>
      <w:proofErr w:type="spellStart"/>
      <w:r w:rsidRPr="00EF4C81">
        <w:rPr>
          <w:color w:val="auto"/>
          <w:sz w:val="22"/>
          <w:szCs w:val="22"/>
          <w:lang w:val="en-GB"/>
        </w:rPr>
        <w:t>SuperGold</w:t>
      </w:r>
      <w:proofErr w:type="spellEnd"/>
      <w:r w:rsidRPr="00EF4C81">
        <w:rPr>
          <w:color w:val="auto"/>
          <w:sz w:val="22"/>
          <w:szCs w:val="22"/>
          <w:lang w:val="en-GB"/>
        </w:rPr>
        <w:t xml:space="preserve"> Card and the Veteran </w:t>
      </w:r>
      <w:proofErr w:type="spellStart"/>
      <w:r w:rsidRPr="00EF4C81">
        <w:rPr>
          <w:color w:val="auto"/>
          <w:sz w:val="22"/>
          <w:szCs w:val="22"/>
          <w:lang w:val="en-GB"/>
        </w:rPr>
        <w:t>SuperGold</w:t>
      </w:r>
      <w:proofErr w:type="spellEnd"/>
      <w:r w:rsidRPr="00EF4C81">
        <w:rPr>
          <w:color w:val="auto"/>
          <w:sz w:val="22"/>
          <w:szCs w:val="22"/>
          <w:lang w:val="en-GB"/>
        </w:rPr>
        <w:t xml:space="preserve"> Card comprising assessing entitlement for, and issuing cards, distributing information about the Card, enlisting business partners to provide discounts to cardholders, and promoting use of the Card and related discounts.</w:t>
      </w:r>
    </w:p>
    <w:p w:rsidR="009D38E8" w:rsidRPr="00D173BB" w:rsidRDefault="009D38E8" w:rsidP="00D173BB">
      <w:pPr>
        <w:pStyle w:val="Subtitle"/>
      </w:pPr>
      <w:r w:rsidRPr="00D173BB">
        <w:t>Summary of Performance</w:t>
      </w:r>
    </w:p>
    <w:p w:rsidR="009D38E8" w:rsidRPr="00EF4C81" w:rsidRDefault="009D38E8" w:rsidP="008C1EB2">
      <w:pPr>
        <w:pStyle w:val="text"/>
        <w:spacing w:after="240"/>
        <w:rPr>
          <w:color w:val="auto"/>
          <w:sz w:val="22"/>
          <w:szCs w:val="22"/>
          <w:lang w:val="en-GB"/>
        </w:rPr>
      </w:pPr>
      <w:r w:rsidRPr="00EF4C81">
        <w:rPr>
          <w:color w:val="auto"/>
          <w:sz w:val="22"/>
          <w:szCs w:val="22"/>
          <w:lang w:val="en-GB"/>
        </w:rPr>
        <w:t xml:space="preserve">All performance standards in this output class have been met or exceeded. </w:t>
      </w:r>
    </w:p>
    <w:p w:rsidR="009D38E8" w:rsidRPr="00EF4C81" w:rsidRDefault="00FC4449" w:rsidP="008C1EB2">
      <w:pPr>
        <w:pStyle w:val="text"/>
        <w:spacing w:after="240"/>
        <w:rPr>
          <w:color w:val="auto"/>
          <w:sz w:val="22"/>
          <w:szCs w:val="22"/>
          <w:lang w:val="en-GB"/>
        </w:rPr>
      </w:pPr>
      <w:r w:rsidRPr="00EF4C81">
        <w:rPr>
          <w:color w:val="auto"/>
          <w:sz w:val="22"/>
          <w:szCs w:val="22"/>
          <w:lang w:val="en-GB"/>
        </w:rPr>
        <w:t>In 2012/2013</w:t>
      </w:r>
      <w:r w:rsidR="008C1EB2" w:rsidRPr="00EF4C81">
        <w:rPr>
          <w:color w:val="auto"/>
          <w:sz w:val="22"/>
          <w:szCs w:val="22"/>
          <w:lang w:val="en-GB"/>
        </w:rPr>
        <w:t>,</w:t>
      </w:r>
      <w:r w:rsidR="009D38E8" w:rsidRPr="00EF4C81">
        <w:rPr>
          <w:color w:val="auto"/>
          <w:sz w:val="22"/>
          <w:szCs w:val="22"/>
          <w:lang w:val="en-GB"/>
        </w:rPr>
        <w:t xml:space="preserve"> 2,002 new business partners joined the </w:t>
      </w:r>
      <w:proofErr w:type="spellStart"/>
      <w:r w:rsidR="009D38E8" w:rsidRPr="00EF4C81">
        <w:rPr>
          <w:color w:val="auto"/>
          <w:sz w:val="22"/>
          <w:szCs w:val="22"/>
          <w:lang w:val="en-GB"/>
        </w:rPr>
        <w:t>SuperGold</w:t>
      </w:r>
      <w:proofErr w:type="spellEnd"/>
      <w:r w:rsidR="009D38E8" w:rsidRPr="00EF4C81">
        <w:rPr>
          <w:color w:val="auto"/>
          <w:sz w:val="22"/>
          <w:szCs w:val="22"/>
          <w:lang w:val="en-GB"/>
        </w:rPr>
        <w:t xml:space="preserve"> Card programme. This brings the total number of businesses participating across New Zealand to 5,636, representing 10,103 outlets. The increase was largely due to two recruitment campaigns targeting new health and wellbeing business partners carried out in October 2012 and May/June 2013.    </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60"/>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1,421</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1,407</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1,407</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1,407</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1,421</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1,407</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1,407</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1,407</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1,257</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1,13</w:t>
            </w:r>
            <w:r w:rsidR="00FB6563" w:rsidRPr="00EF4C81">
              <w:rPr>
                <w:color w:val="auto"/>
              </w:rPr>
              <w:t>3</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1,407</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1,407</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164</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27</w:t>
            </w:r>
            <w:r w:rsidR="00FB6563" w:rsidRPr="00EF4C81">
              <w:rPr>
                <w:color w:val="auto"/>
              </w:rPr>
              <w:t>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lang w:val="en-GB"/>
        </w:rPr>
      </w:pPr>
    </w:p>
    <w:p w:rsidR="009D38E8" w:rsidRPr="00EF4C81" w:rsidRDefault="009D38E8" w:rsidP="009D38E8">
      <w:pPr>
        <w:pStyle w:val="Tableheader"/>
        <w:rPr>
          <w:color w:val="auto"/>
        </w:rPr>
      </w:pPr>
      <w:r w:rsidRPr="00EF4C81">
        <w:rPr>
          <w:color w:val="auto"/>
        </w:rPr>
        <w:t xml:space="preserve">Service Performance Information </w:t>
      </w:r>
    </w:p>
    <w:p w:rsidR="009D38E8" w:rsidRPr="00EF4C81" w:rsidRDefault="009D38E8" w:rsidP="009D38E8">
      <w:pPr>
        <w:pStyle w:val="Tableheader2"/>
        <w:rPr>
          <w:b/>
          <w:color w:val="auto"/>
        </w:rPr>
      </w:pPr>
      <w:r w:rsidRPr="00EF4C81">
        <w:rPr>
          <w:color w:val="auto"/>
        </w:rPr>
        <w:t xml:space="preserve">Output Class: Management of </w:t>
      </w:r>
      <w:proofErr w:type="spellStart"/>
      <w:r w:rsidRPr="00EF4C81">
        <w:rPr>
          <w:color w:val="auto"/>
        </w:rPr>
        <w:t>SuperGold</w:t>
      </w:r>
      <w:proofErr w:type="spellEnd"/>
      <w:r w:rsidRPr="00EF4C81">
        <w:rPr>
          <w:color w:val="auto"/>
        </w:rPr>
        <w:t xml:space="preserve"> Card</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13"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2,342</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number of new business partners engaged will be no fewer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13"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2,002</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200</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13"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99.9%</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 xml:space="preserve">The percentage of </w:t>
            </w:r>
            <w:proofErr w:type="spellStart"/>
            <w:r w:rsidRPr="00EF4C81">
              <w:rPr>
                <w:color w:val="auto"/>
                <w:lang w:val="en-GB"/>
              </w:rPr>
              <w:t>SuperGold</w:t>
            </w:r>
            <w:proofErr w:type="spellEnd"/>
            <w:r w:rsidRPr="00EF4C81">
              <w:rPr>
                <w:color w:val="auto"/>
                <w:lang w:val="en-GB"/>
              </w:rPr>
              <w:t xml:space="preserve"> Card entitlement assessments</w:t>
            </w:r>
            <w:r w:rsidRPr="00EF4C81">
              <w:rPr>
                <w:rStyle w:val="FootnoteReference"/>
                <w:color w:val="auto"/>
                <w:lang w:val="en-GB"/>
              </w:rPr>
              <w:footnoteReference w:id="16"/>
            </w:r>
            <w:r w:rsidRPr="00EF4C81">
              <w:rPr>
                <w:color w:val="auto"/>
                <w:lang w:val="en-GB"/>
              </w:rPr>
              <w:t xml:space="preserve"> completed accurately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13"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99.8%</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13"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96%</w:t>
            </w:r>
            <w:r w:rsidRPr="00EF4C81">
              <w:rPr>
                <w:rStyle w:val="FootnoteReference"/>
                <w:color w:val="auto"/>
                <w:lang w:val="en-GB"/>
              </w:rPr>
              <w:footnoteReference w:id="17"/>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 xml:space="preserve">The percentage of </w:t>
            </w:r>
            <w:proofErr w:type="spellStart"/>
            <w:r w:rsidRPr="00EF4C81">
              <w:rPr>
                <w:color w:val="auto"/>
                <w:lang w:val="en-GB"/>
              </w:rPr>
              <w:t>SuperGold</w:t>
            </w:r>
            <w:proofErr w:type="spellEnd"/>
            <w:r w:rsidRPr="00EF4C81">
              <w:rPr>
                <w:color w:val="auto"/>
                <w:lang w:val="en-GB"/>
              </w:rPr>
              <w:t xml:space="preserve"> Card entitlement assessments completed within five working days of receipt will be between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13"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96.3%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bl>
    <w:p w:rsidR="009D38E8" w:rsidRPr="00EF4C81" w:rsidRDefault="009D38E8" w:rsidP="009D38E8">
      <w:pPr>
        <w:pStyle w:val="TABLESPACE"/>
        <w:rPr>
          <w:color w:val="auto"/>
          <w:sz w:val="21"/>
          <w:szCs w:val="21"/>
          <w:lang w:val="en-GB"/>
        </w:rPr>
      </w:pPr>
    </w:p>
    <w:p w:rsidR="009D38E8" w:rsidRPr="00EF4C81" w:rsidRDefault="00641975" w:rsidP="00F25CD3">
      <w:pPr>
        <w:pStyle w:val="headwithrule"/>
        <w:spacing w:before="170"/>
        <w:rPr>
          <w:color w:val="auto"/>
          <w:lang w:val="en-GB"/>
        </w:rPr>
      </w:pPr>
      <w:r w:rsidRPr="00EF4C81">
        <w:rPr>
          <w:color w:val="auto"/>
          <w:lang w:val="en-GB"/>
        </w:rPr>
        <w:br w:type="page"/>
      </w:r>
      <w:r w:rsidR="009D38E8" w:rsidRPr="00EF4C81">
        <w:rPr>
          <w:color w:val="auto"/>
          <w:lang w:val="en-GB"/>
        </w:rPr>
        <w:lastRenderedPageBreak/>
        <w:t>Output Expense: Management of Student Loans</w:t>
      </w:r>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r w:rsidRPr="00EF4C81">
        <w:rPr>
          <w:color w:val="auto"/>
          <w:sz w:val="22"/>
          <w:szCs w:val="22"/>
          <w:lang w:val="en-GB"/>
        </w:rPr>
        <w:t>This appropriation is limited to assessing and paying student loans to eligible tertiary students, and as part of managing this support, providing related guidance to students making financial and study decisions.</w:t>
      </w:r>
    </w:p>
    <w:p w:rsidR="009D38E8" w:rsidRPr="00D173BB" w:rsidRDefault="009D38E8" w:rsidP="00D173BB">
      <w:pPr>
        <w:pStyle w:val="Subtitle"/>
      </w:pPr>
      <w:r w:rsidRPr="00D173BB">
        <w:t>Summary of Performance</w:t>
      </w:r>
    </w:p>
    <w:p w:rsidR="009D38E8" w:rsidRPr="00EF4C81" w:rsidRDefault="009D38E8" w:rsidP="00CA515F">
      <w:pPr>
        <w:pStyle w:val="text"/>
        <w:spacing w:after="240"/>
        <w:rPr>
          <w:color w:val="auto"/>
          <w:sz w:val="22"/>
          <w:szCs w:val="22"/>
          <w:lang w:val="en-GB"/>
        </w:rPr>
      </w:pPr>
      <w:r w:rsidRPr="00EF4C81">
        <w:rPr>
          <w:color w:val="auto"/>
          <w:sz w:val="22"/>
          <w:szCs w:val="22"/>
          <w:lang w:val="en-GB"/>
        </w:rPr>
        <w:t xml:space="preserve">All performance standards in this output </w:t>
      </w:r>
      <w:r w:rsidR="00641975" w:rsidRPr="00EF4C81">
        <w:rPr>
          <w:color w:val="auto"/>
          <w:sz w:val="22"/>
          <w:szCs w:val="22"/>
          <w:lang w:val="en-GB"/>
        </w:rPr>
        <w:t xml:space="preserve">expense </w:t>
      </w:r>
      <w:r w:rsidRPr="00EF4C81">
        <w:rPr>
          <w:color w:val="auto"/>
          <w:sz w:val="22"/>
          <w:szCs w:val="22"/>
          <w:lang w:val="en-GB"/>
        </w:rPr>
        <w:t xml:space="preserve">have been met or exceeded. </w:t>
      </w:r>
    </w:p>
    <w:p w:rsidR="009D38E8" w:rsidRPr="00EF4C81" w:rsidRDefault="009D38E8" w:rsidP="00CA515F">
      <w:pPr>
        <w:pStyle w:val="text"/>
        <w:spacing w:after="240"/>
        <w:rPr>
          <w:color w:val="auto"/>
          <w:sz w:val="22"/>
          <w:szCs w:val="22"/>
          <w:lang w:val="en-GB"/>
        </w:rPr>
      </w:pPr>
      <w:r w:rsidRPr="00EF4C81">
        <w:rPr>
          <w:color w:val="auto"/>
          <w:sz w:val="22"/>
          <w:szCs w:val="22"/>
          <w:lang w:val="en-GB"/>
        </w:rPr>
        <w:t xml:space="preserve">In 2012/2013, </w:t>
      </w:r>
      <w:proofErr w:type="spellStart"/>
      <w:r w:rsidRPr="00EF4C81">
        <w:rPr>
          <w:color w:val="auto"/>
          <w:sz w:val="22"/>
          <w:szCs w:val="22"/>
          <w:lang w:val="en-GB"/>
        </w:rPr>
        <w:t>StudyLink</w:t>
      </w:r>
      <w:proofErr w:type="spellEnd"/>
      <w:r w:rsidRPr="00EF4C81">
        <w:rPr>
          <w:color w:val="auto"/>
          <w:sz w:val="22"/>
          <w:szCs w:val="22"/>
          <w:lang w:val="en-GB"/>
        </w:rPr>
        <w:t xml:space="preserve"> processed a total of 241,319 Student Loan applications, with 99.9 </w:t>
      </w:r>
      <w:r w:rsidR="00705713" w:rsidRPr="00EF4C81">
        <w:rPr>
          <w:color w:val="auto"/>
          <w:sz w:val="22"/>
          <w:szCs w:val="22"/>
          <w:lang w:val="en-GB"/>
        </w:rPr>
        <w:t xml:space="preserve">per cent </w:t>
      </w:r>
      <w:r w:rsidRPr="00EF4C81">
        <w:rPr>
          <w:color w:val="auto"/>
          <w:sz w:val="22"/>
          <w:szCs w:val="22"/>
          <w:lang w:val="en-GB"/>
        </w:rPr>
        <w:t>of students receiving their correct Student Loan entitlement (living cost component) on their first payment.</w:t>
      </w:r>
    </w:p>
    <w:p w:rsidR="009D38E8" w:rsidRPr="00EF4C81" w:rsidRDefault="009D38E8" w:rsidP="00CA515F">
      <w:pPr>
        <w:pStyle w:val="text"/>
        <w:spacing w:after="240"/>
        <w:rPr>
          <w:color w:val="auto"/>
          <w:sz w:val="22"/>
          <w:szCs w:val="22"/>
          <w:lang w:val="en-GB"/>
        </w:rPr>
      </w:pPr>
      <w:r w:rsidRPr="00EF4C81">
        <w:rPr>
          <w:color w:val="auto"/>
          <w:sz w:val="22"/>
          <w:szCs w:val="22"/>
          <w:lang w:val="en-GB"/>
        </w:rPr>
        <w:t>Student Loan online applications continue to be a high proportion of total</w:t>
      </w:r>
      <w:r w:rsidR="00FC4449" w:rsidRPr="00EF4C81">
        <w:rPr>
          <w:color w:val="auto"/>
          <w:sz w:val="22"/>
          <w:szCs w:val="22"/>
          <w:lang w:val="en-GB"/>
        </w:rPr>
        <w:t xml:space="preserve"> </w:t>
      </w:r>
      <w:r w:rsidR="00705713" w:rsidRPr="00EF4C81">
        <w:rPr>
          <w:color w:val="auto"/>
          <w:sz w:val="22"/>
          <w:szCs w:val="22"/>
          <w:lang w:val="en-GB"/>
        </w:rPr>
        <w:t xml:space="preserve">applications, </w:t>
      </w:r>
      <w:r w:rsidR="00FC4449" w:rsidRPr="00EF4C81">
        <w:rPr>
          <w:color w:val="auto"/>
          <w:sz w:val="22"/>
          <w:szCs w:val="22"/>
          <w:lang w:val="en-GB"/>
        </w:rPr>
        <w:t xml:space="preserve">with </w:t>
      </w:r>
      <w:r w:rsidRPr="00EF4C81">
        <w:rPr>
          <w:color w:val="auto"/>
          <w:sz w:val="22"/>
          <w:szCs w:val="22"/>
          <w:lang w:val="en-GB"/>
        </w:rPr>
        <w:t>95 per cent of total Student Loan applications made online.</w:t>
      </w:r>
    </w:p>
    <w:p w:rsidR="009D38E8" w:rsidRPr="00EF4C81" w:rsidRDefault="009D38E8" w:rsidP="00CA515F">
      <w:pPr>
        <w:pStyle w:val="text"/>
        <w:spacing w:after="240"/>
        <w:rPr>
          <w:color w:val="auto"/>
          <w:sz w:val="22"/>
          <w:szCs w:val="22"/>
          <w:lang w:val="en-GB"/>
        </w:rPr>
      </w:pPr>
      <w:r w:rsidRPr="00EF4C81">
        <w:rPr>
          <w:color w:val="auto"/>
          <w:sz w:val="22"/>
          <w:szCs w:val="22"/>
          <w:lang w:val="en-GB"/>
        </w:rPr>
        <w:t xml:space="preserve">The number of Sussed presentations delivered to secondary schools exceeded </w:t>
      </w:r>
      <w:r w:rsidR="00705713" w:rsidRPr="00EF4C81">
        <w:rPr>
          <w:color w:val="auto"/>
          <w:sz w:val="22"/>
          <w:szCs w:val="22"/>
          <w:lang w:val="en-GB"/>
        </w:rPr>
        <w:t xml:space="preserve">the </w:t>
      </w:r>
      <w:r w:rsidRPr="00EF4C81">
        <w:rPr>
          <w:color w:val="auto"/>
          <w:sz w:val="22"/>
          <w:szCs w:val="22"/>
          <w:lang w:val="en-GB"/>
        </w:rPr>
        <w:t xml:space="preserve">target due to stakeholder demand. </w:t>
      </w:r>
      <w:r w:rsidR="00705713" w:rsidRPr="00EF4C81">
        <w:rPr>
          <w:color w:val="auto"/>
          <w:sz w:val="22"/>
          <w:szCs w:val="22"/>
          <w:lang w:val="en-GB"/>
        </w:rPr>
        <w:t>Over 450 p</w:t>
      </w:r>
      <w:r w:rsidRPr="00EF4C81">
        <w:rPr>
          <w:color w:val="auto"/>
          <w:sz w:val="22"/>
          <w:szCs w:val="22"/>
          <w:lang w:val="en-GB"/>
        </w:rPr>
        <w:t>resentations were delivered to 318 schools. Sixty schools had more than one presentation.</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r w:rsidRPr="00EF4C81">
              <w:rPr>
                <w:rStyle w:val="FootnoteReference"/>
                <w:color w:val="auto"/>
                <w:lang w:val="en-GB"/>
              </w:rPr>
              <w:footnoteReference w:id="18"/>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16,667</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16,179</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15,593</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16,179</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16,667</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16,179</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15,593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16,179</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16,369</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15,8</w:t>
            </w:r>
            <w:r w:rsidR="00FB6563" w:rsidRPr="00EF4C81">
              <w:rPr>
                <w:color w:val="auto"/>
              </w:rPr>
              <w:t>4</w:t>
            </w:r>
            <w:r w:rsidRPr="00EF4C81">
              <w:rPr>
                <w:color w:val="auto"/>
              </w:rPr>
              <w:t>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15,593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16,179</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298</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3</w:t>
            </w:r>
            <w:r w:rsidR="00FB6563" w:rsidRPr="00EF4C81">
              <w:rPr>
                <w:color w:val="auto"/>
              </w:rPr>
              <w:t>3</w:t>
            </w:r>
            <w:r w:rsidRPr="00EF4C81">
              <w:rPr>
                <w:color w:val="auto"/>
              </w:rPr>
              <w:t>5</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700D0" w:rsidRPr="00EF4C81" w:rsidRDefault="009700D0" w:rsidP="00554182">
      <w:pPr>
        <w:pStyle w:val="Tableheader"/>
        <w:spacing w:before="240"/>
        <w:rPr>
          <w:color w:val="auto"/>
          <w:lang w:val="en-GB"/>
        </w:rPr>
      </w:pPr>
    </w:p>
    <w:p w:rsidR="009700D0" w:rsidRPr="00EF4C81" w:rsidRDefault="009700D0">
      <w:pPr>
        <w:spacing w:after="200" w:line="276" w:lineRule="auto"/>
        <w:rPr>
          <w:rFonts w:ascii="AvenirMaori-Heavy" w:eastAsia="Times New Roman" w:hAnsi="AvenirMaori-Heavy" w:cs="AvenirMaori-Heavy"/>
          <w:color w:val="auto"/>
          <w:spacing w:val="-2"/>
          <w:sz w:val="22"/>
          <w:lang w:val="en-GB" w:eastAsia="en-AU"/>
        </w:rPr>
      </w:pPr>
      <w:r w:rsidRPr="00EF4C81">
        <w:rPr>
          <w:color w:val="auto"/>
          <w:lang w:val="en-GB"/>
        </w:rPr>
        <w:br w:type="page"/>
      </w:r>
    </w:p>
    <w:p w:rsidR="009D38E8" w:rsidRPr="00EF4C81" w:rsidRDefault="009D38E8" w:rsidP="00554182">
      <w:pPr>
        <w:pStyle w:val="Tableheader"/>
        <w:spacing w:before="240"/>
        <w:rPr>
          <w:color w:val="auto"/>
          <w:lang w:val="en-GB"/>
        </w:rPr>
      </w:pPr>
      <w:r w:rsidRPr="00EF4C81">
        <w:rPr>
          <w:color w:val="auto"/>
          <w:lang w:val="en-GB"/>
        </w:rPr>
        <w:lastRenderedPageBreak/>
        <w:t>Service Performance Information</w:t>
      </w:r>
    </w:p>
    <w:p w:rsidR="009D38E8" w:rsidRPr="00EF4C81" w:rsidRDefault="009D38E8" w:rsidP="009D38E8">
      <w:pPr>
        <w:pStyle w:val="Tableheader2"/>
        <w:rPr>
          <w:color w:val="auto"/>
          <w:lang w:val="en-GB"/>
        </w:rPr>
      </w:pPr>
      <w:r w:rsidRPr="00EF4C81">
        <w:rPr>
          <w:color w:val="auto"/>
          <w:lang w:val="en-GB"/>
        </w:rPr>
        <w:t>Output: Student Loans</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87%</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surveyed students satisfied</w:t>
            </w:r>
            <w:r w:rsidRPr="00EF4C81">
              <w:rPr>
                <w:rStyle w:val="FootnoteReference"/>
                <w:color w:val="auto"/>
                <w:lang w:val="en-GB"/>
              </w:rPr>
              <w:footnoteReference w:id="19"/>
            </w:r>
            <w:r w:rsidRPr="00EF4C81">
              <w:rPr>
                <w:color w:val="auto"/>
                <w:lang w:val="en-GB"/>
              </w:rPr>
              <w:t xml:space="preserve"> with the quality of service received the last time</w:t>
            </w:r>
            <w:r w:rsidRPr="00EF4C81">
              <w:rPr>
                <w:rStyle w:val="FootnoteReference"/>
                <w:color w:val="auto"/>
                <w:lang w:val="en-GB"/>
              </w:rPr>
              <w:footnoteReference w:id="20"/>
            </w:r>
            <w:r w:rsidRPr="00EF4C81">
              <w:rPr>
                <w:color w:val="auto"/>
                <w:lang w:val="en-GB"/>
              </w:rPr>
              <w:t xml:space="preserve"> they contacted </w:t>
            </w:r>
            <w:proofErr w:type="spellStart"/>
            <w:r w:rsidRPr="00EF4C81">
              <w:rPr>
                <w:color w:val="auto"/>
                <w:lang w:val="en-GB"/>
              </w:rPr>
              <w:t>StudyLink</w:t>
            </w:r>
            <w:proofErr w:type="spellEnd"/>
            <w:r w:rsidRPr="00EF4C81">
              <w:rPr>
                <w:color w:val="auto"/>
                <w:lang w:val="en-GB"/>
              </w:rPr>
              <w:t xml:space="preserve"> will be between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86%</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85–90%</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The percentage of students who receive their correct entitlement (living cost component) on their first payment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99.9%</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99.9%</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initial entitlement assessment for a Student Loan completed within three working days of receipt of application will be between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99.9%</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13" w:type="dxa"/>
              <w:left w:w="113" w:type="dxa"/>
              <w:bottom w:w="74"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rStyle w:val="fintextheavyFINANCIALS"/>
                <w:b/>
                <w:color w:val="auto"/>
                <w:lang w:val="en-GB"/>
              </w:rPr>
            </w:pPr>
            <w:r w:rsidRPr="00EF4C81">
              <w:rPr>
                <w:color w:val="auto"/>
                <w:lang w:val="en-GB"/>
              </w:rPr>
              <w:t>The number of Sussed presentations</w:t>
            </w:r>
            <w:r w:rsidRPr="00EF4C81">
              <w:rPr>
                <w:rStyle w:val="FootnoteReference"/>
                <w:color w:val="auto"/>
                <w:lang w:val="en-GB"/>
              </w:rPr>
              <w:footnoteReference w:id="21"/>
            </w:r>
            <w:r w:rsidRPr="00EF4C81">
              <w:rPr>
                <w:color w:val="auto"/>
                <w:lang w:val="en-GB"/>
              </w:rPr>
              <w:t xml:space="preserve"> delivered to secondary schools will be between </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453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375–395</w:t>
            </w:r>
          </w:p>
        </w:tc>
      </w:tr>
    </w:tbl>
    <w:p w:rsidR="009D38E8" w:rsidRPr="00EF4C81" w:rsidRDefault="009D38E8" w:rsidP="009D38E8">
      <w:pPr>
        <w:pStyle w:val="headwithrule"/>
        <w:spacing w:before="170"/>
        <w:rPr>
          <w:color w:val="auto"/>
          <w:lang w:val="en-GB"/>
        </w:rPr>
      </w:pPr>
      <w:r w:rsidRPr="00EF4C81">
        <w:rPr>
          <w:color w:val="auto"/>
          <w:lang w:val="en-GB"/>
        </w:rPr>
        <w:br w:type="page"/>
      </w:r>
      <w:r w:rsidRPr="00EF4C81">
        <w:rPr>
          <w:color w:val="auto"/>
          <w:lang w:val="en-GB"/>
        </w:rPr>
        <w:lastRenderedPageBreak/>
        <w:t>Output Expense: Management of Student Support, excluding Student Loans</w:t>
      </w:r>
    </w:p>
    <w:p w:rsidR="009D38E8" w:rsidRPr="00D173BB" w:rsidRDefault="009D38E8" w:rsidP="00D173BB">
      <w:pPr>
        <w:pStyle w:val="Subtitle"/>
      </w:pPr>
      <w:r w:rsidRPr="00D173BB">
        <w:t>Scope</w:t>
      </w:r>
    </w:p>
    <w:p w:rsidR="009D38E8" w:rsidRPr="00EF4C81" w:rsidRDefault="009D38E8" w:rsidP="007501A3">
      <w:pPr>
        <w:pStyle w:val="text"/>
        <w:spacing w:after="240"/>
        <w:rPr>
          <w:color w:val="auto"/>
          <w:sz w:val="22"/>
          <w:szCs w:val="22"/>
          <w:lang w:val="en-GB"/>
        </w:rPr>
      </w:pPr>
      <w:r w:rsidRPr="00EF4C81">
        <w:rPr>
          <w:color w:val="auto"/>
          <w:sz w:val="22"/>
          <w:szCs w:val="22"/>
          <w:lang w:val="en-GB"/>
        </w:rPr>
        <w:t>This appropriation is limited to managing non-recoverable financial support to students, involving assessing and paying student allowances and other income support to eligible secondary and tertiary students.</w:t>
      </w:r>
    </w:p>
    <w:p w:rsidR="009D38E8" w:rsidRPr="00D173BB" w:rsidRDefault="009D38E8" w:rsidP="00D173BB">
      <w:pPr>
        <w:pStyle w:val="Subtitle"/>
      </w:pPr>
      <w:r w:rsidRPr="00D173BB">
        <w:t>Summary of Performance</w:t>
      </w:r>
    </w:p>
    <w:p w:rsidR="009D38E8" w:rsidRPr="00EF4C81" w:rsidRDefault="009D38E8" w:rsidP="007501A3">
      <w:pPr>
        <w:pStyle w:val="text"/>
        <w:spacing w:after="240"/>
        <w:rPr>
          <w:color w:val="auto"/>
          <w:sz w:val="22"/>
          <w:szCs w:val="22"/>
          <w:lang w:val="en-GB"/>
        </w:rPr>
      </w:pPr>
      <w:r w:rsidRPr="00EF4C81">
        <w:rPr>
          <w:color w:val="auto"/>
          <w:sz w:val="22"/>
          <w:szCs w:val="22"/>
          <w:lang w:val="en-GB"/>
        </w:rPr>
        <w:t xml:space="preserve">All performance standards in this output </w:t>
      </w:r>
      <w:r w:rsidR="00F67C4F" w:rsidRPr="00EF4C81">
        <w:rPr>
          <w:color w:val="auto"/>
          <w:sz w:val="22"/>
          <w:szCs w:val="22"/>
          <w:lang w:val="en-GB"/>
        </w:rPr>
        <w:t>expense</w:t>
      </w:r>
      <w:r w:rsidRPr="00EF4C81">
        <w:rPr>
          <w:color w:val="auto"/>
          <w:sz w:val="22"/>
          <w:szCs w:val="22"/>
          <w:lang w:val="en-GB"/>
        </w:rPr>
        <w:t xml:space="preserve"> have been met or exceeded. </w:t>
      </w:r>
    </w:p>
    <w:p w:rsidR="009D38E8" w:rsidRPr="00EF4C81" w:rsidRDefault="009D38E8" w:rsidP="007501A3">
      <w:pPr>
        <w:pStyle w:val="text"/>
        <w:spacing w:after="240"/>
        <w:rPr>
          <w:color w:val="auto"/>
          <w:sz w:val="22"/>
          <w:szCs w:val="22"/>
          <w:lang w:val="en-GB"/>
        </w:rPr>
      </w:pPr>
      <w:r w:rsidRPr="00EF4C81">
        <w:rPr>
          <w:color w:val="auto"/>
          <w:sz w:val="22"/>
          <w:szCs w:val="22"/>
          <w:lang w:val="en-GB"/>
        </w:rPr>
        <w:t xml:space="preserve">In 2012/2013, </w:t>
      </w:r>
      <w:proofErr w:type="spellStart"/>
      <w:r w:rsidRPr="00EF4C81">
        <w:rPr>
          <w:color w:val="auto"/>
          <w:sz w:val="22"/>
          <w:szCs w:val="22"/>
          <w:lang w:val="en-GB"/>
        </w:rPr>
        <w:t>StudyLink</w:t>
      </w:r>
      <w:proofErr w:type="spellEnd"/>
      <w:r w:rsidRPr="00EF4C81">
        <w:rPr>
          <w:color w:val="auto"/>
          <w:sz w:val="22"/>
          <w:szCs w:val="22"/>
          <w:lang w:val="en-GB"/>
        </w:rPr>
        <w:t xml:space="preserve"> processed a total of 148,040 Student Allowance applications, with 99.2</w:t>
      </w:r>
      <w:r w:rsidR="00F67C4F" w:rsidRPr="00EF4C81">
        <w:rPr>
          <w:color w:val="auto"/>
          <w:sz w:val="22"/>
          <w:szCs w:val="22"/>
          <w:lang w:val="en-GB"/>
        </w:rPr>
        <w:t xml:space="preserve"> per cent </w:t>
      </w:r>
      <w:r w:rsidRPr="00EF4C81">
        <w:rPr>
          <w:color w:val="auto"/>
          <w:sz w:val="22"/>
          <w:szCs w:val="22"/>
          <w:lang w:val="en-GB"/>
        </w:rPr>
        <w:t xml:space="preserve">of all Student Allowance assessments completed within five days.  </w:t>
      </w:r>
    </w:p>
    <w:p w:rsidR="009D38E8" w:rsidRPr="00EF4C81" w:rsidRDefault="009D38E8" w:rsidP="007501A3">
      <w:pPr>
        <w:pStyle w:val="text"/>
        <w:spacing w:after="240"/>
        <w:rPr>
          <w:color w:val="auto"/>
          <w:sz w:val="22"/>
          <w:szCs w:val="22"/>
          <w:lang w:val="en-GB"/>
        </w:rPr>
      </w:pPr>
      <w:r w:rsidRPr="00EF4C81">
        <w:rPr>
          <w:color w:val="auto"/>
          <w:sz w:val="22"/>
          <w:szCs w:val="22"/>
          <w:lang w:val="en-GB"/>
        </w:rPr>
        <w:t>Student Allowances online applications continue to be a high proportion of total applications</w:t>
      </w:r>
      <w:r w:rsidR="00FC4449" w:rsidRPr="00EF4C81">
        <w:rPr>
          <w:color w:val="auto"/>
          <w:sz w:val="22"/>
          <w:szCs w:val="22"/>
          <w:lang w:val="en-GB"/>
        </w:rPr>
        <w:t xml:space="preserve"> with </w:t>
      </w:r>
      <w:r w:rsidRPr="00EF4C81">
        <w:rPr>
          <w:color w:val="auto"/>
          <w:sz w:val="22"/>
          <w:szCs w:val="22"/>
          <w:lang w:val="en-GB"/>
        </w:rPr>
        <w:t xml:space="preserve">97 per cent of total Student Allowance applications made online.     </w:t>
      </w:r>
    </w:p>
    <w:p w:rsidR="009D38E8" w:rsidRPr="00EF4C81" w:rsidRDefault="009D38E8" w:rsidP="007501A3">
      <w:pPr>
        <w:pStyle w:val="text"/>
        <w:spacing w:after="240"/>
        <w:rPr>
          <w:color w:val="auto"/>
          <w:sz w:val="22"/>
          <w:szCs w:val="22"/>
          <w:lang w:val="en-GB"/>
        </w:rPr>
      </w:pPr>
      <w:r w:rsidRPr="00EF4C81">
        <w:rPr>
          <w:color w:val="auto"/>
          <w:sz w:val="22"/>
          <w:szCs w:val="22"/>
          <w:lang w:val="en-GB"/>
        </w:rPr>
        <w:t xml:space="preserve">The number of Sussed presentations delivered to secondary schools exceeded </w:t>
      </w:r>
      <w:r w:rsidR="00F67C4F" w:rsidRPr="00EF4C81">
        <w:rPr>
          <w:color w:val="auto"/>
          <w:sz w:val="22"/>
          <w:szCs w:val="22"/>
          <w:lang w:val="en-GB"/>
        </w:rPr>
        <w:t xml:space="preserve">the </w:t>
      </w:r>
      <w:r w:rsidRPr="00EF4C81">
        <w:rPr>
          <w:color w:val="auto"/>
          <w:sz w:val="22"/>
          <w:szCs w:val="22"/>
          <w:lang w:val="en-GB"/>
        </w:rPr>
        <w:t xml:space="preserve">target due to stakeholder demand. </w:t>
      </w:r>
      <w:r w:rsidR="00F67C4F" w:rsidRPr="00EF4C81">
        <w:rPr>
          <w:color w:val="auto"/>
          <w:sz w:val="22"/>
          <w:szCs w:val="22"/>
          <w:lang w:val="en-GB"/>
        </w:rPr>
        <w:t>Over 450 p</w:t>
      </w:r>
      <w:r w:rsidRPr="00EF4C81">
        <w:rPr>
          <w:color w:val="auto"/>
          <w:sz w:val="22"/>
          <w:szCs w:val="22"/>
          <w:lang w:val="en-GB"/>
        </w:rPr>
        <w:t>resentations were delivered to 318 schools. Sixty schools had more than one presentation.</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r w:rsidRPr="00EF4C81">
              <w:rPr>
                <w:rStyle w:val="FootnoteReference"/>
                <w:color w:val="auto"/>
                <w:lang w:val="en-GB"/>
              </w:rPr>
              <w:footnoteReference w:id="22"/>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15,930</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15,780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15,998</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15,780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164</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16,094</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15,780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15,998</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15,780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15,260</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15,7</w:t>
            </w:r>
            <w:r w:rsidR="00FB6563" w:rsidRPr="00EF4C81">
              <w:rPr>
                <w:color w:val="auto"/>
              </w:rPr>
              <w:t>4</w:t>
            </w:r>
            <w:r w:rsidRPr="00EF4C81">
              <w:rPr>
                <w:color w:val="auto"/>
              </w:rPr>
              <w:t>3</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15,998</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15,780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834</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FB6563" w:rsidP="00A36A23">
            <w:pPr>
              <w:pStyle w:val="FinFigures"/>
              <w:rPr>
                <w:color w:val="auto"/>
              </w:rPr>
            </w:pPr>
            <w:r w:rsidRPr="00EF4C81">
              <w:rPr>
                <w:color w:val="auto"/>
              </w:rPr>
              <w:t>3</w:t>
            </w:r>
            <w:r w:rsidR="009D38E8" w:rsidRPr="00EF4C81">
              <w:rPr>
                <w:color w:val="auto"/>
              </w:rPr>
              <w:t>7</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lang w:val="en-GB"/>
        </w:rPr>
      </w:pPr>
      <w:r w:rsidRPr="00EF4C81">
        <w:rPr>
          <w:color w:val="auto"/>
          <w:lang w:val="en-GB"/>
        </w:rPr>
        <w:t>Output: Student Allowances</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3208FA">
        <w:trPr>
          <w:cantSplit/>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hanging="14"/>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3208FA">
        <w:trPr>
          <w:cantSplit/>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87%</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surveyed students satisfied</w:t>
            </w:r>
            <w:r w:rsidRPr="00EF4C81">
              <w:rPr>
                <w:rStyle w:val="FootnoteReference"/>
                <w:color w:val="auto"/>
                <w:lang w:val="en-GB"/>
              </w:rPr>
              <w:footnoteReference w:id="23"/>
            </w:r>
            <w:r w:rsidRPr="00EF4C81">
              <w:rPr>
                <w:color w:val="auto"/>
                <w:lang w:val="en-GB"/>
              </w:rPr>
              <w:t xml:space="preserve"> with the quality of service received the last time</w:t>
            </w:r>
            <w:r w:rsidRPr="00EF4C81">
              <w:rPr>
                <w:rStyle w:val="FootnoteReference"/>
                <w:color w:val="auto"/>
                <w:lang w:val="en-GB"/>
              </w:rPr>
              <w:footnoteReference w:id="24"/>
            </w:r>
            <w:r w:rsidRPr="00EF4C81">
              <w:rPr>
                <w:color w:val="auto"/>
                <w:lang w:val="en-GB"/>
              </w:rPr>
              <w:t xml:space="preserve"> they contacted </w:t>
            </w:r>
            <w:proofErr w:type="spellStart"/>
            <w:r w:rsidRPr="00EF4C81">
              <w:rPr>
                <w:color w:val="auto"/>
                <w:lang w:val="en-GB"/>
              </w:rPr>
              <w:t>StudyLink</w:t>
            </w:r>
            <w:proofErr w:type="spellEnd"/>
            <w:r w:rsidRPr="00EF4C81">
              <w:rPr>
                <w:color w:val="auto"/>
                <w:lang w:val="en-GB"/>
              </w:rPr>
              <w:t xml:space="preserve"> will be between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85%</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85–90%</w:t>
            </w:r>
          </w:p>
        </w:tc>
      </w:tr>
      <w:tr w:rsidR="009D38E8" w:rsidRPr="00EF4C81" w:rsidTr="003208FA">
        <w:trPr>
          <w:cantSplit/>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13" w:type="dxa"/>
              <w:left w:w="113" w:type="dxa"/>
              <w:bottom w:w="68"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96.5%</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13" w:type="dxa"/>
              <w:left w:w="113" w:type="dxa"/>
              <w:bottom w:w="68" w:type="dxa"/>
              <w:right w:w="113" w:type="dxa"/>
            </w:tcMar>
          </w:tcPr>
          <w:p w:rsidR="009D38E8" w:rsidRPr="00EF4C81" w:rsidRDefault="009D38E8" w:rsidP="00A36A23">
            <w:pPr>
              <w:pStyle w:val="tablefintext"/>
              <w:rPr>
                <w:color w:val="auto"/>
              </w:rPr>
            </w:pPr>
            <w:r w:rsidRPr="00EF4C81">
              <w:rPr>
                <w:color w:val="auto"/>
                <w:lang w:val="en-GB"/>
              </w:rPr>
              <w:t>The percentage of students who receive their correct Student Allowance entitlement on their first payment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13" w:type="dxa"/>
              <w:left w:w="113" w:type="dxa"/>
              <w:bottom w:w="68"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95.5%</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13" w:type="dxa"/>
              <w:left w:w="113" w:type="dxa"/>
              <w:bottom w:w="68"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bl>
    <w:p w:rsidR="003208FA" w:rsidRPr="00EF4C81" w:rsidRDefault="003208FA">
      <w:pPr>
        <w:rPr>
          <w:color w:val="auto"/>
        </w:rPr>
      </w:pPr>
      <w:r w:rsidRPr="00EF4C81">
        <w:rPr>
          <w:caps/>
          <w:color w:val="auto"/>
        </w:rPr>
        <w:br w:type="page"/>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3208FA" w:rsidRPr="00EF4C81" w:rsidTr="00897636">
        <w:trPr>
          <w:cantSplit/>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3208FA" w:rsidRPr="00EF4C81" w:rsidRDefault="003208FA" w:rsidP="00897636">
            <w:pPr>
              <w:pStyle w:val="fintableheads"/>
              <w:rPr>
                <w:color w:val="auto"/>
                <w:lang w:val="en-GB"/>
              </w:rPr>
            </w:pPr>
            <w:r w:rsidRPr="00EF4C81">
              <w:rPr>
                <w:color w:val="auto"/>
                <w:lang w:val="en-GB"/>
              </w:rPr>
              <w:lastRenderedPageBreak/>
              <w:t xml:space="preserve">ACTUAL </w:t>
            </w:r>
          </w:p>
          <w:p w:rsidR="003208FA" w:rsidRPr="00EF4C81" w:rsidRDefault="003208FA" w:rsidP="00897636">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3208FA" w:rsidRPr="00EF4C81" w:rsidRDefault="003208FA" w:rsidP="00897636">
            <w:pPr>
              <w:pStyle w:val="fintableheadsLeft"/>
              <w:ind w:left="123" w:hanging="14"/>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3208FA" w:rsidRPr="00EF4C81" w:rsidRDefault="003208FA" w:rsidP="00897636">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3208FA" w:rsidRPr="00EF4C81" w:rsidRDefault="003208FA" w:rsidP="00897636">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3208FA">
        <w:trPr>
          <w:cantSplit/>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13" w:type="dxa"/>
              <w:left w:w="113" w:type="dxa"/>
              <w:bottom w:w="68"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99.5%</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68"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initial entitlement assessments for a Student Allowance completed within five working days of receipt of application will be between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13" w:type="dxa"/>
              <w:left w:w="113" w:type="dxa"/>
              <w:bottom w:w="68"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99.2%</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68"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3208FA">
        <w:trPr>
          <w:cantSplit/>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13" w:type="dxa"/>
              <w:left w:w="113" w:type="dxa"/>
              <w:bottom w:w="74"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rStyle w:val="fintextheavyFINANCIALS"/>
                <w:b/>
                <w:color w:val="auto"/>
                <w:lang w:val="en-GB"/>
              </w:rPr>
            </w:pPr>
            <w:r w:rsidRPr="00EF4C81">
              <w:rPr>
                <w:color w:val="auto"/>
                <w:lang w:val="en-GB"/>
              </w:rPr>
              <w:t>The number of Sussed presentations</w:t>
            </w:r>
            <w:r w:rsidRPr="00EF4C81">
              <w:rPr>
                <w:rStyle w:val="FootnoteReference"/>
                <w:color w:val="auto"/>
                <w:lang w:val="en-GB"/>
              </w:rPr>
              <w:footnoteReference w:id="25"/>
            </w:r>
            <w:r w:rsidRPr="00EF4C81">
              <w:rPr>
                <w:color w:val="auto"/>
                <w:lang w:val="en-GB"/>
              </w:rPr>
              <w:t xml:space="preserve"> delivered to secondary schools will be between </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453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375–395</w:t>
            </w:r>
          </w:p>
        </w:tc>
      </w:tr>
    </w:tbl>
    <w:p w:rsidR="009D38E8" w:rsidRPr="00EF4C81" w:rsidRDefault="009D38E8" w:rsidP="009D38E8">
      <w:pPr>
        <w:pStyle w:val="headwithrule"/>
        <w:spacing w:after="113"/>
        <w:rPr>
          <w:color w:val="auto"/>
          <w:lang w:val="en-GB"/>
        </w:rPr>
      </w:pPr>
      <w:r w:rsidRPr="00EF4C81">
        <w:rPr>
          <w:color w:val="auto"/>
          <w:lang w:val="en-GB"/>
        </w:rPr>
        <w:br w:type="page"/>
      </w:r>
      <w:r w:rsidRPr="00EF4C81">
        <w:rPr>
          <w:color w:val="auto"/>
          <w:lang w:val="en-GB"/>
        </w:rPr>
        <w:lastRenderedPageBreak/>
        <w:t>Output Expense: Planning</w:t>
      </w:r>
      <w:r w:rsidR="001569CC" w:rsidRPr="00EF4C81">
        <w:rPr>
          <w:color w:val="auto"/>
          <w:lang w:val="en-GB"/>
        </w:rPr>
        <w:t>,</w:t>
      </w:r>
      <w:r w:rsidRPr="00EF4C81">
        <w:rPr>
          <w:color w:val="auto"/>
          <w:lang w:val="en-GB"/>
        </w:rPr>
        <w:t xml:space="preserve"> Correspondence and Monitoring</w:t>
      </w:r>
    </w:p>
    <w:p w:rsidR="009D38E8" w:rsidRPr="00D173BB" w:rsidRDefault="009D38E8" w:rsidP="00D173BB">
      <w:pPr>
        <w:pStyle w:val="Subtitle"/>
      </w:pPr>
      <w:r w:rsidRPr="00D173BB">
        <w:t>Scope</w:t>
      </w:r>
    </w:p>
    <w:p w:rsidR="009D38E8" w:rsidRPr="00EF4C81" w:rsidRDefault="009D38E8" w:rsidP="007501A3">
      <w:pPr>
        <w:pStyle w:val="text"/>
        <w:spacing w:after="240"/>
        <w:rPr>
          <w:color w:val="auto"/>
          <w:spacing w:val="-4"/>
          <w:sz w:val="22"/>
          <w:szCs w:val="22"/>
          <w:lang w:val="en-GB"/>
        </w:rPr>
      </w:pPr>
      <w:r w:rsidRPr="00EF4C81">
        <w:rPr>
          <w:color w:val="auto"/>
          <w:spacing w:val="-4"/>
          <w:sz w:val="22"/>
          <w:szCs w:val="22"/>
          <w:lang w:val="en-GB"/>
        </w:rPr>
        <w:t>This appropriation is limited to providing planning, reporting and monitoring, Crown entity and statutory appointment advice (other than policy decision-making advice) and correspondence services to support Ministers to discharge their portfolio responsibilities.</w:t>
      </w:r>
    </w:p>
    <w:p w:rsidR="009D38E8" w:rsidRPr="00D173BB" w:rsidRDefault="009D38E8" w:rsidP="00D173BB">
      <w:pPr>
        <w:pStyle w:val="Subtitle"/>
      </w:pPr>
      <w:r w:rsidRPr="00D173BB">
        <w:t>Summary of Performance</w:t>
      </w:r>
    </w:p>
    <w:p w:rsidR="009D38E8" w:rsidRPr="00EF4C81" w:rsidRDefault="009D38E8" w:rsidP="007501A3">
      <w:pPr>
        <w:pStyle w:val="text"/>
        <w:spacing w:after="240"/>
        <w:rPr>
          <w:color w:val="auto"/>
          <w:spacing w:val="-4"/>
          <w:sz w:val="22"/>
          <w:szCs w:val="22"/>
          <w:lang w:val="en-GB"/>
        </w:rPr>
      </w:pPr>
      <w:r w:rsidRPr="00EF4C81">
        <w:rPr>
          <w:color w:val="auto"/>
          <w:spacing w:val="-4"/>
          <w:sz w:val="22"/>
          <w:szCs w:val="22"/>
          <w:lang w:val="en-GB"/>
        </w:rPr>
        <w:t xml:space="preserve">Fourteen out of 15 performance </w:t>
      </w:r>
      <w:r w:rsidR="00F25CD3" w:rsidRPr="00EF4C81">
        <w:rPr>
          <w:color w:val="auto"/>
          <w:spacing w:val="-4"/>
          <w:sz w:val="22"/>
          <w:szCs w:val="22"/>
          <w:lang w:val="en-GB"/>
        </w:rPr>
        <w:t>standards</w:t>
      </w:r>
      <w:r w:rsidRPr="00EF4C81">
        <w:rPr>
          <w:color w:val="auto"/>
          <w:spacing w:val="-4"/>
          <w:sz w:val="22"/>
          <w:szCs w:val="22"/>
          <w:lang w:val="en-GB"/>
        </w:rPr>
        <w:t xml:space="preserve"> in this output </w:t>
      </w:r>
      <w:r w:rsidR="001569CC" w:rsidRPr="00EF4C81">
        <w:rPr>
          <w:color w:val="auto"/>
          <w:spacing w:val="-4"/>
          <w:sz w:val="22"/>
          <w:szCs w:val="22"/>
          <w:lang w:val="en-GB"/>
        </w:rPr>
        <w:t>expense</w:t>
      </w:r>
      <w:r w:rsidRPr="00EF4C81">
        <w:rPr>
          <w:color w:val="auto"/>
          <w:spacing w:val="-4"/>
          <w:sz w:val="22"/>
          <w:szCs w:val="22"/>
          <w:lang w:val="en-GB"/>
        </w:rPr>
        <w:t xml:space="preserve"> have been met or exceeded.</w:t>
      </w:r>
    </w:p>
    <w:p w:rsidR="009D38E8" w:rsidRPr="00EF4C81" w:rsidRDefault="009D38E8" w:rsidP="007501A3">
      <w:pPr>
        <w:pStyle w:val="text"/>
        <w:spacing w:after="240"/>
        <w:rPr>
          <w:color w:val="auto"/>
          <w:spacing w:val="-4"/>
          <w:sz w:val="22"/>
          <w:szCs w:val="22"/>
          <w:lang w:val="en-GB"/>
        </w:rPr>
      </w:pPr>
      <w:r w:rsidRPr="00EF4C81">
        <w:rPr>
          <w:color w:val="auto"/>
          <w:spacing w:val="-4"/>
          <w:sz w:val="22"/>
          <w:szCs w:val="22"/>
          <w:lang w:val="en-GB"/>
        </w:rPr>
        <w:t xml:space="preserve">The quality measure for Parliamentary </w:t>
      </w:r>
      <w:r w:rsidR="001569CC" w:rsidRPr="00EF4C81">
        <w:rPr>
          <w:color w:val="auto"/>
          <w:spacing w:val="-4"/>
          <w:sz w:val="22"/>
          <w:szCs w:val="22"/>
          <w:lang w:val="en-GB"/>
        </w:rPr>
        <w:t>q</w:t>
      </w:r>
      <w:r w:rsidRPr="00EF4C81">
        <w:rPr>
          <w:color w:val="auto"/>
          <w:spacing w:val="-4"/>
          <w:sz w:val="22"/>
          <w:szCs w:val="22"/>
          <w:lang w:val="en-GB"/>
        </w:rPr>
        <w:t xml:space="preserve">uestion responses was not met this year, due to three written Parliamentary questions </w:t>
      </w:r>
      <w:r w:rsidR="001569CC" w:rsidRPr="00EF4C81">
        <w:rPr>
          <w:color w:val="auto"/>
          <w:spacing w:val="-4"/>
          <w:sz w:val="22"/>
          <w:szCs w:val="22"/>
          <w:lang w:val="en-GB"/>
        </w:rPr>
        <w:t xml:space="preserve">needing to be </w:t>
      </w:r>
      <w:r w:rsidRPr="00EF4C81">
        <w:rPr>
          <w:color w:val="auto"/>
          <w:spacing w:val="-4"/>
          <w:sz w:val="22"/>
          <w:szCs w:val="22"/>
          <w:lang w:val="en-GB"/>
        </w:rPr>
        <w:t xml:space="preserve">corrected. </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5,554</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5,554</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5,554</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5,554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5,554</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5,554</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5,35</w:t>
            </w:r>
            <w:r w:rsidR="00FB6563" w:rsidRPr="00EF4C81">
              <w:rPr>
                <w:color w:val="auto"/>
              </w:rPr>
              <w:t>9</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5,554</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5,554</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FB6563" w:rsidP="00A36A23">
            <w:pPr>
              <w:pStyle w:val="FinFigures"/>
              <w:rPr>
                <w:color w:val="auto"/>
              </w:rPr>
            </w:pPr>
            <w:r w:rsidRPr="00EF4C81">
              <w:rPr>
                <w:color w:val="auto"/>
              </w:rPr>
              <w:t>195</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lang w:val="en-GB"/>
        </w:rPr>
      </w:pPr>
      <w:r w:rsidRPr="00EF4C81">
        <w:rPr>
          <w:color w:val="auto"/>
          <w:lang w:val="en-GB"/>
        </w:rPr>
        <w:t>Crown Entity Monitoring</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cantSplit/>
          <w:trHeight w:val="113"/>
          <w:tblHeader/>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09"/>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cantSplit/>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100%</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Advice will be delivered to the Minister on all social development and employment Crown entities' statements of intent and output agreements</w:t>
            </w:r>
          </w:p>
          <w:p w:rsidR="009D38E8" w:rsidRPr="00EF4C81" w:rsidRDefault="009D38E8" w:rsidP="00A36A23">
            <w:pPr>
              <w:pStyle w:val="tablefintext"/>
              <w:rPr>
                <w:rStyle w:val="fintextheavyFINANCIALS"/>
                <w:color w:val="auto"/>
                <w:lang w:val="en-GB"/>
              </w:rPr>
            </w:pP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100%</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r>
      <w:tr w:rsidR="009D38E8" w:rsidRPr="00EF4C81" w:rsidTr="00A36A23">
        <w:trPr>
          <w:cantSplit/>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100%</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Monitoring advice will be provided to the Minister on all social development and employment Crown entities' performance reports</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100%</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100%</w:t>
            </w:r>
          </w:p>
        </w:tc>
      </w:tr>
      <w:tr w:rsidR="009D38E8" w:rsidRPr="00EF4C81" w:rsidTr="00A36A23">
        <w:trPr>
          <w:cantSplit/>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Standard met</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Provide advice to the Minister on Crown entity and Statutory Board appointments as required</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Standard met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Standard met</w:t>
            </w:r>
            <w:r w:rsidRPr="00EF4C81">
              <w:rPr>
                <w:rStyle w:val="FootnoteReference"/>
                <w:color w:val="auto"/>
                <w:lang w:val="en-GB"/>
              </w:rPr>
              <w:footnoteReference w:id="26"/>
            </w:r>
          </w:p>
        </w:tc>
      </w:tr>
      <w:tr w:rsidR="009D38E8" w:rsidRPr="00EF4C81" w:rsidTr="00A36A23">
        <w:trPr>
          <w:cantSplit/>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The percentage of all reports provided to the Minister that are factually accurate, meet any legislative requirements, and contain no avoidable errors will be no 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95%</w:t>
            </w:r>
          </w:p>
        </w:tc>
      </w:tr>
      <w:tr w:rsidR="009D38E8" w:rsidRPr="00EF4C81" w:rsidTr="00A36A23">
        <w:trPr>
          <w:cantSplit/>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Advice to Ministers on draft statements of intent for Crown entities for the next year will be provided no later than 31 May 2013 will be no 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100%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100%</w:t>
            </w:r>
          </w:p>
        </w:tc>
      </w:tr>
      <w:tr w:rsidR="009D38E8" w:rsidRPr="00EF4C81" w:rsidTr="00A36A23">
        <w:trPr>
          <w:cantSplit/>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lastRenderedPageBreak/>
              <w:t>100%</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Advice to Ministers on draft output agreements</w:t>
            </w:r>
            <w:r w:rsidRPr="00EF4C81">
              <w:rPr>
                <w:rStyle w:val="FootnoteReference"/>
                <w:color w:val="auto"/>
                <w:lang w:val="en-GB"/>
              </w:rPr>
              <w:footnoteReference w:id="27"/>
            </w:r>
            <w:r w:rsidRPr="00EF4C81">
              <w:rPr>
                <w:color w:val="auto"/>
                <w:lang w:val="en-GB"/>
              </w:rPr>
              <w:t xml:space="preserve"> for Crown entities for the next year will be provided no later than 30 June 2013 will be no 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A36A23">
        <w:trPr>
          <w:cantSplit/>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Performance reports are reviewed no later than 20 working days from receipt of the final Crown entity reports will be no 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bl>
    <w:p w:rsidR="009D38E8" w:rsidRPr="00EF4C81" w:rsidRDefault="009D38E8" w:rsidP="009D38E8">
      <w:pPr>
        <w:pStyle w:val="text"/>
        <w:rPr>
          <w:color w:val="auto"/>
        </w:rPr>
      </w:pPr>
    </w:p>
    <w:p w:rsidR="00F25311" w:rsidRPr="00EF4C81" w:rsidRDefault="00F25311" w:rsidP="00F25311">
      <w:pPr>
        <w:pStyle w:val="Tableheader"/>
        <w:rPr>
          <w:color w:val="auto"/>
          <w:lang w:val="en-GB"/>
        </w:rPr>
      </w:pPr>
      <w:r w:rsidRPr="00EF4C81">
        <w:rPr>
          <w:color w:val="auto"/>
          <w:lang w:val="en-GB"/>
        </w:rPr>
        <w:t>Service Performance Information</w:t>
      </w:r>
    </w:p>
    <w:p w:rsidR="009D38E8" w:rsidRPr="00EF4C81" w:rsidRDefault="00B5477B" w:rsidP="009D38E8">
      <w:pPr>
        <w:pStyle w:val="Tableheader2"/>
        <w:rPr>
          <w:color w:val="auto"/>
          <w:lang w:val="en-GB"/>
        </w:rPr>
      </w:pPr>
      <w:r w:rsidRPr="00EF4C81">
        <w:rPr>
          <w:color w:val="auto"/>
          <w:lang w:val="en-GB"/>
        </w:rPr>
        <w:t xml:space="preserve">Output: </w:t>
      </w:r>
      <w:r w:rsidR="009D38E8" w:rsidRPr="00EF4C81">
        <w:rPr>
          <w:color w:val="auto"/>
          <w:lang w:val="en-GB"/>
        </w:rPr>
        <w:t>Ministerial and Executive Services</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hanging="14"/>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5386" w:type="dxa"/>
            <w:tcBorders>
              <w:top w:val="single" w:sz="6" w:space="0" w:color="000000"/>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all drafts provided for the Minister’s signature that are factually accurate, meet any legislative requirements, and contain no avoidable errors will be no less than:</w:t>
            </w:r>
          </w:p>
        </w:tc>
        <w:tc>
          <w:tcPr>
            <w:tcW w:w="1417" w:type="dxa"/>
            <w:tcBorders>
              <w:top w:val="single" w:sz="6" w:space="0" w:color="000000"/>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99.1%</w:t>
            </w:r>
          </w:p>
        </w:tc>
        <w:tc>
          <w:tcPr>
            <w:tcW w:w="5386"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Ministerial correspondence replies</w:t>
            </w:r>
          </w:p>
        </w:tc>
        <w:tc>
          <w:tcPr>
            <w:tcW w:w="1417" w:type="dxa"/>
            <w:tcBorders>
              <w:left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99.5%</w:t>
            </w:r>
          </w:p>
        </w:tc>
        <w:tc>
          <w:tcPr>
            <w:tcW w:w="1418"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95%</w:t>
            </w: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c>
          <w:tcPr>
            <w:tcW w:w="5386"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Parliamentary question responses</w:t>
            </w:r>
          </w:p>
        </w:tc>
        <w:tc>
          <w:tcPr>
            <w:tcW w:w="1417" w:type="dxa"/>
            <w:tcBorders>
              <w:left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99.8%</w:t>
            </w:r>
          </w:p>
        </w:tc>
        <w:tc>
          <w:tcPr>
            <w:tcW w:w="1418"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c>
          <w:tcPr>
            <w:tcW w:w="5386"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Ministerial Official Information Act request replies</w:t>
            </w:r>
          </w:p>
        </w:tc>
        <w:tc>
          <w:tcPr>
            <w:tcW w:w="1417" w:type="dxa"/>
            <w:tcBorders>
              <w:left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A36A23">
        <w:trPr>
          <w:trHeight w:val="113"/>
        </w:trPr>
        <w:tc>
          <w:tcPr>
            <w:tcW w:w="1417" w:type="dxa"/>
            <w:tcBorders>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c>
          <w:tcPr>
            <w:tcW w:w="5386" w:type="dxa"/>
            <w:tcBorders>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Select Committee Estimates examination responses</w:t>
            </w:r>
          </w:p>
        </w:tc>
        <w:tc>
          <w:tcPr>
            <w:tcW w:w="1417" w:type="dxa"/>
            <w:tcBorders>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A36A23">
        <w:trPr>
          <w:trHeight w:val="113"/>
        </w:trPr>
        <w:tc>
          <w:tcPr>
            <w:tcW w:w="1417" w:type="dxa"/>
            <w:tcBorders>
              <w:top w:val="single" w:sz="4" w:space="0" w:color="000000"/>
              <w:left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5386" w:type="dxa"/>
            <w:tcBorders>
              <w:top w:val="single" w:sz="4" w:space="0" w:color="000000"/>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all drafts provided for the Minister’s signature within the following timeframes will be no less than:</w:t>
            </w:r>
          </w:p>
        </w:tc>
        <w:tc>
          <w:tcPr>
            <w:tcW w:w="1417" w:type="dxa"/>
            <w:tcBorders>
              <w:top w:val="single" w:sz="4" w:space="0" w:color="000000"/>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4" w:space="0" w:color="000000"/>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96.3%</w:t>
            </w:r>
          </w:p>
        </w:tc>
        <w:tc>
          <w:tcPr>
            <w:tcW w:w="5386" w:type="dxa"/>
            <w:tcBorders>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Ministerial correspondence replies completed within 20 working days of receipt by the Ministry, unless otherwise agreed</w:t>
            </w:r>
          </w:p>
        </w:tc>
        <w:tc>
          <w:tcPr>
            <w:tcW w:w="1417" w:type="dxa"/>
            <w:tcBorders>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97.7%</w:t>
            </w:r>
          </w:p>
        </w:tc>
        <w:tc>
          <w:tcPr>
            <w:tcW w:w="1418" w:type="dxa"/>
            <w:tcBorders>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95%</w:t>
            </w:r>
          </w:p>
        </w:tc>
      </w:tr>
      <w:tr w:rsidR="009D38E8" w:rsidRPr="00EF4C81" w:rsidTr="00A36A23">
        <w:trPr>
          <w:trHeight w:val="113"/>
        </w:trPr>
        <w:tc>
          <w:tcPr>
            <w:tcW w:w="1417" w:type="dxa"/>
            <w:tcBorders>
              <w:left w:val="single" w:sz="6" w:space="0" w:color="000000"/>
              <w:right w:val="single" w:sz="6" w:space="0" w:color="000000"/>
            </w:tcBorders>
            <w:shd w:val="solid" w:color="F2F2F2" w:fill="auto"/>
          </w:tcPr>
          <w:p w:rsidR="009D38E8" w:rsidRPr="00EF4C81" w:rsidRDefault="009D38E8" w:rsidP="00A36A23">
            <w:pPr>
              <w:pStyle w:val="FinFigures"/>
              <w:rPr>
                <w:color w:val="auto"/>
                <w:lang w:val="en-GB"/>
              </w:rPr>
            </w:pPr>
            <w:r w:rsidRPr="00EF4C81">
              <w:rPr>
                <w:color w:val="auto"/>
                <w:lang w:val="en-GB"/>
              </w:rPr>
              <w:t>100%</w:t>
            </w:r>
          </w:p>
        </w:tc>
        <w:tc>
          <w:tcPr>
            <w:tcW w:w="5386" w:type="dxa"/>
            <w:tcBorders>
              <w:left w:val="single" w:sz="6" w:space="0" w:color="000000"/>
              <w:right w:val="single" w:sz="6" w:space="0" w:color="000000"/>
            </w:tcBorders>
            <w:shd w:val="solid" w:color="FFFFFF" w:fill="auto"/>
            <w:tcMar>
              <w:right w:w="0" w:type="dxa"/>
            </w:tcMar>
          </w:tcPr>
          <w:p w:rsidR="009D38E8" w:rsidRPr="00EF4C81" w:rsidRDefault="009D38E8" w:rsidP="00A36A23">
            <w:pPr>
              <w:pStyle w:val="tablefintext"/>
              <w:ind w:left="137"/>
              <w:rPr>
                <w:color w:val="auto"/>
              </w:rPr>
            </w:pPr>
            <w:r w:rsidRPr="00EF4C81">
              <w:rPr>
                <w:color w:val="auto"/>
                <w:spacing w:val="-1"/>
              </w:rPr>
              <w:t xml:space="preserve">Parliamentary question responses provided to the Minister’s Office so that </w:t>
            </w:r>
            <w:r w:rsidRPr="00EF4C81">
              <w:rPr>
                <w:color w:val="auto"/>
              </w:rPr>
              <w:t>answers can meet the timeframe set in Parliamentary Standing Orders</w:t>
            </w:r>
          </w:p>
        </w:tc>
        <w:tc>
          <w:tcPr>
            <w:tcW w:w="1417" w:type="dxa"/>
            <w:tcBorders>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right w:val="single" w:sz="6" w:space="0" w:color="000000"/>
            </w:tcBorders>
            <w:shd w:val="solid" w:color="FFFFFF" w:fill="auto"/>
            <w:tcMar>
              <w:top w:w="170" w:type="dxa"/>
              <w:left w:w="113" w:type="dxa"/>
              <w:bottom w:w="85" w:type="dxa"/>
            </w:tcMar>
          </w:tcPr>
          <w:p w:rsidR="009D38E8" w:rsidRPr="00EF4C81" w:rsidRDefault="009D38E8" w:rsidP="00A36A23">
            <w:pPr>
              <w:pStyle w:val="FinFigures"/>
              <w:ind w:right="161"/>
              <w:rPr>
                <w:color w:val="auto"/>
                <w:lang w:val="en-GB"/>
              </w:rPr>
            </w:pPr>
            <w:r w:rsidRPr="00EF4C81">
              <w:rPr>
                <w:color w:val="auto"/>
                <w:lang w:val="en-GB"/>
              </w:rPr>
              <w:t>100%</w:t>
            </w: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c>
          <w:tcPr>
            <w:tcW w:w="5386" w:type="dxa"/>
            <w:tcBorders>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Ministerial Official Information Act request replies completed five days prior to the statutory time limit, unless otherwise agreed</w:t>
            </w:r>
          </w:p>
        </w:tc>
        <w:tc>
          <w:tcPr>
            <w:tcW w:w="1417" w:type="dxa"/>
            <w:tcBorders>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A36A23">
        <w:trPr>
          <w:trHeight w:val="113"/>
        </w:trPr>
        <w:tc>
          <w:tcPr>
            <w:tcW w:w="1417" w:type="dxa"/>
            <w:tcBorders>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c>
          <w:tcPr>
            <w:tcW w:w="5386" w:type="dxa"/>
            <w:tcBorders>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spacing w:val="-1"/>
                <w:lang w:val="en-GB"/>
              </w:rPr>
              <w:t>Responses to Select Committee examinations provided to the Minister’s Office so that answers can meet the timeframe set by the Committee(s)</w:t>
            </w:r>
          </w:p>
        </w:tc>
        <w:tc>
          <w:tcPr>
            <w:tcW w:w="1417" w:type="dxa"/>
            <w:tcBorders>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bl>
    <w:p w:rsidR="009D38E8" w:rsidRPr="00EF4C81" w:rsidRDefault="009D38E8" w:rsidP="009D38E8">
      <w:pPr>
        <w:pStyle w:val="text"/>
        <w:rPr>
          <w:color w:val="auto"/>
        </w:rPr>
      </w:pPr>
    </w:p>
    <w:p w:rsidR="009D38E8" w:rsidRPr="00EF4C81" w:rsidRDefault="009D38E8" w:rsidP="009D38E8">
      <w:pPr>
        <w:pStyle w:val="text"/>
        <w:rPr>
          <w:color w:val="auto"/>
        </w:rPr>
      </w:pPr>
    </w:p>
    <w:p w:rsidR="009D38E8" w:rsidRPr="00EF4C81" w:rsidRDefault="009D38E8" w:rsidP="0076714E">
      <w:pPr>
        <w:pStyle w:val="headwithrule"/>
        <w:pBdr>
          <w:bottom w:val="none" w:sz="0" w:space="0" w:color="auto"/>
        </w:pBdr>
        <w:spacing w:after="113"/>
        <w:rPr>
          <w:color w:val="auto"/>
          <w:lang w:val="en-GB"/>
        </w:rPr>
      </w:pPr>
    </w:p>
    <w:p w:rsidR="009D38E8" w:rsidRPr="00EF4C81" w:rsidRDefault="009D38E8" w:rsidP="009D38E8">
      <w:pPr>
        <w:pStyle w:val="headwithrule"/>
        <w:spacing w:after="113"/>
        <w:rPr>
          <w:color w:val="auto"/>
          <w:lang w:val="en-GB"/>
        </w:rPr>
      </w:pPr>
      <w:r w:rsidRPr="00EF4C81">
        <w:rPr>
          <w:color w:val="auto"/>
          <w:lang w:val="en-GB"/>
        </w:rPr>
        <w:br w:type="page"/>
      </w:r>
      <w:r w:rsidRPr="00EF4C81">
        <w:rPr>
          <w:color w:val="auto"/>
          <w:lang w:val="en-GB"/>
        </w:rPr>
        <w:lastRenderedPageBreak/>
        <w:t>Output Expense: Prevention Services</w:t>
      </w:r>
    </w:p>
    <w:p w:rsidR="009D38E8" w:rsidRPr="00D173BB" w:rsidRDefault="009D38E8" w:rsidP="00D173BB">
      <w:pPr>
        <w:pStyle w:val="Subtitle"/>
      </w:pPr>
      <w:r w:rsidRPr="00D173BB">
        <w:t>Scope</w:t>
      </w:r>
    </w:p>
    <w:p w:rsidR="009D38E8" w:rsidRPr="00EF4C81" w:rsidRDefault="009D38E8" w:rsidP="00D31C2A">
      <w:pPr>
        <w:pStyle w:val="text"/>
        <w:spacing w:after="240"/>
        <w:rPr>
          <w:color w:val="auto"/>
          <w:spacing w:val="-4"/>
          <w:sz w:val="22"/>
          <w:szCs w:val="22"/>
          <w:lang w:val="en-GB"/>
        </w:rPr>
      </w:pPr>
      <w:proofErr w:type="gramStart"/>
      <w:r w:rsidRPr="00EF4C81">
        <w:rPr>
          <w:color w:val="auto"/>
          <w:spacing w:val="-4"/>
          <w:sz w:val="22"/>
          <w:szCs w:val="22"/>
          <w:lang w:val="en-GB"/>
        </w:rPr>
        <w:t>Education and advice services for the prevention of child abuse and neglect, and the promotion of the wellbeing of children, young people and their families.</w:t>
      </w:r>
      <w:proofErr w:type="gramEnd"/>
    </w:p>
    <w:p w:rsidR="009D38E8" w:rsidRPr="00D173BB" w:rsidRDefault="009D38E8" w:rsidP="00D173BB">
      <w:pPr>
        <w:pStyle w:val="Subtitle"/>
      </w:pPr>
      <w:r w:rsidRPr="00D173BB">
        <w:t>Summary of Performance</w:t>
      </w:r>
    </w:p>
    <w:p w:rsidR="009D38E8" w:rsidRPr="00EF4C81" w:rsidRDefault="009D38E8" w:rsidP="00D31C2A">
      <w:pPr>
        <w:pStyle w:val="text"/>
        <w:spacing w:after="240"/>
        <w:rPr>
          <w:color w:val="auto"/>
          <w:spacing w:val="-4"/>
          <w:sz w:val="22"/>
          <w:szCs w:val="22"/>
          <w:lang w:val="en-GB"/>
        </w:rPr>
      </w:pPr>
      <w:r w:rsidRPr="00EF4C81">
        <w:rPr>
          <w:color w:val="auto"/>
          <w:spacing w:val="-4"/>
          <w:sz w:val="22"/>
          <w:szCs w:val="22"/>
          <w:lang w:val="en-GB"/>
        </w:rPr>
        <w:t xml:space="preserve">The two performance standards in this output expense have been met. </w:t>
      </w:r>
    </w:p>
    <w:p w:rsidR="009D38E8" w:rsidRPr="00EF4C81" w:rsidRDefault="007501A3" w:rsidP="00D31C2A">
      <w:pPr>
        <w:pStyle w:val="text"/>
        <w:spacing w:after="240"/>
        <w:rPr>
          <w:color w:val="auto"/>
          <w:spacing w:val="-4"/>
          <w:sz w:val="22"/>
          <w:szCs w:val="22"/>
          <w:lang w:val="en-GB"/>
        </w:rPr>
      </w:pPr>
      <w:r w:rsidRPr="00EF4C81">
        <w:rPr>
          <w:color w:val="auto"/>
          <w:spacing w:val="-4"/>
          <w:sz w:val="22"/>
          <w:szCs w:val="22"/>
          <w:lang w:val="en-GB"/>
        </w:rPr>
        <w:t>In 2012/2013, 85 workshops were held</w:t>
      </w:r>
      <w:r w:rsidR="00F25311" w:rsidRPr="00EF4C81">
        <w:rPr>
          <w:color w:val="auto"/>
          <w:spacing w:val="-4"/>
          <w:sz w:val="22"/>
          <w:szCs w:val="22"/>
          <w:lang w:val="en-GB"/>
        </w:rPr>
        <w:t>. T</w:t>
      </w:r>
      <w:r w:rsidRPr="00EF4C81">
        <w:rPr>
          <w:color w:val="auto"/>
          <w:spacing w:val="-4"/>
          <w:sz w:val="22"/>
          <w:szCs w:val="22"/>
          <w:lang w:val="en-GB"/>
        </w:rPr>
        <w:t>he</w:t>
      </w:r>
      <w:r w:rsidR="00F25311" w:rsidRPr="00EF4C81">
        <w:rPr>
          <w:color w:val="auto"/>
          <w:spacing w:val="-4"/>
          <w:sz w:val="22"/>
          <w:szCs w:val="22"/>
          <w:lang w:val="en-GB"/>
        </w:rPr>
        <w:t xml:space="preserve"> workshops were</w:t>
      </w:r>
      <w:r w:rsidR="009D38E8" w:rsidRPr="00EF4C81">
        <w:rPr>
          <w:color w:val="auto"/>
          <w:spacing w:val="-4"/>
          <w:sz w:val="22"/>
          <w:szCs w:val="22"/>
          <w:lang w:val="en-GB"/>
        </w:rPr>
        <w:t xml:space="preserve"> tailored to ensure every person c</w:t>
      </w:r>
      <w:r w:rsidR="00690481" w:rsidRPr="00EF4C81">
        <w:rPr>
          <w:color w:val="auto"/>
          <w:spacing w:val="-4"/>
          <w:sz w:val="22"/>
          <w:szCs w:val="22"/>
          <w:lang w:val="en-GB"/>
        </w:rPr>
        <w:t>a</w:t>
      </w:r>
      <w:r w:rsidR="009D38E8" w:rsidRPr="00EF4C81">
        <w:rPr>
          <w:color w:val="auto"/>
          <w:spacing w:val="-4"/>
          <w:sz w:val="22"/>
          <w:szCs w:val="22"/>
          <w:lang w:val="en-GB"/>
        </w:rPr>
        <w:t>me away with an enhanced knowledge of the signs of child abuse</w:t>
      </w:r>
      <w:r w:rsidR="00690481" w:rsidRPr="00EF4C81">
        <w:rPr>
          <w:color w:val="auto"/>
          <w:spacing w:val="-4"/>
          <w:sz w:val="22"/>
          <w:szCs w:val="22"/>
          <w:lang w:val="en-GB"/>
        </w:rPr>
        <w:t>, how to help</w:t>
      </w:r>
      <w:r w:rsidR="009D38E8" w:rsidRPr="00EF4C81">
        <w:rPr>
          <w:color w:val="auto"/>
          <w:spacing w:val="-4"/>
          <w:sz w:val="22"/>
          <w:szCs w:val="22"/>
          <w:lang w:val="en-GB"/>
        </w:rPr>
        <w:t xml:space="preserve">, and </w:t>
      </w:r>
      <w:r w:rsidR="00F25CD3" w:rsidRPr="00EF4C81">
        <w:rPr>
          <w:color w:val="auto"/>
          <w:spacing w:val="-4"/>
          <w:sz w:val="22"/>
          <w:szCs w:val="22"/>
          <w:lang w:val="en-GB"/>
        </w:rPr>
        <w:t xml:space="preserve">how to </w:t>
      </w:r>
      <w:r w:rsidR="009D38E8" w:rsidRPr="00EF4C81">
        <w:rPr>
          <w:color w:val="auto"/>
          <w:spacing w:val="-4"/>
          <w:sz w:val="22"/>
          <w:szCs w:val="22"/>
          <w:lang w:val="en-GB"/>
        </w:rPr>
        <w:t>connect</w:t>
      </w:r>
      <w:r w:rsidR="00690481" w:rsidRPr="00EF4C81">
        <w:rPr>
          <w:color w:val="auto"/>
          <w:spacing w:val="-4"/>
          <w:sz w:val="22"/>
          <w:szCs w:val="22"/>
          <w:lang w:val="en-GB"/>
        </w:rPr>
        <w:t xml:space="preserve"> with social </w:t>
      </w:r>
      <w:r w:rsidR="009D38E8" w:rsidRPr="00EF4C81">
        <w:rPr>
          <w:color w:val="auto"/>
          <w:spacing w:val="-4"/>
          <w:sz w:val="22"/>
          <w:szCs w:val="22"/>
          <w:lang w:val="en-GB"/>
        </w:rPr>
        <w:t xml:space="preserve">services in their community. </w:t>
      </w:r>
    </w:p>
    <w:p w:rsidR="009D38E8" w:rsidRPr="00EF4C81" w:rsidRDefault="009D38E8" w:rsidP="009D38E8">
      <w:pPr>
        <w:pStyle w:val="Tableheader"/>
        <w:rPr>
          <w:color w:val="auto"/>
          <w:lang w:val="en-GB"/>
        </w:rPr>
      </w:pPr>
      <w:r w:rsidRPr="00EF4C81">
        <w:rPr>
          <w:color w:val="auto"/>
          <w:lang w:val="en-GB"/>
        </w:rPr>
        <w:t xml:space="preserve">Financial Performance Information </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3,786</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4,032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4,032</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4,032</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601</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4,400</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4,033</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4,045</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4,045</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3,402</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3,50</w:t>
            </w:r>
            <w:r w:rsidR="00FB6563" w:rsidRPr="00EF4C81">
              <w:rPr>
                <w:color w:val="auto"/>
              </w:rPr>
              <w:t>5</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4,045</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4,045</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998</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5</w:t>
            </w:r>
            <w:r w:rsidR="00FB6563" w:rsidRPr="00EF4C81">
              <w:rPr>
                <w:color w:val="auto"/>
              </w:rPr>
              <w:t>28</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Prevention Services</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452"/>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542"/>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number of child protection workshops delivered to professionals and service providers on how to recognise and respond to child abuse and to keep children safe will be no fewer than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85</w:t>
            </w:r>
            <w:r w:rsidRPr="00EF4C81">
              <w:rPr>
                <w:rStyle w:val="FootnoteReference"/>
                <w:color w:val="auto"/>
                <w:lang w:val="en-GB"/>
              </w:rPr>
              <w:footnoteReference w:id="28"/>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85</w:t>
            </w:r>
          </w:p>
        </w:tc>
      </w:tr>
      <w:tr w:rsidR="009D38E8" w:rsidRPr="00EF4C81" w:rsidTr="00A36A23">
        <w:trPr>
          <w:trHeight w:val="542"/>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95%</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The percentage of professionals and service providers attending child protection workshops with increased awareness and knowledge on how to respond to child abuse and neglect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99.9%</w:t>
            </w:r>
            <w:r w:rsidRPr="00EF4C81">
              <w:rPr>
                <w:rStyle w:val="FootnoteReference"/>
                <w:color w:val="auto"/>
                <w:lang w:val="en-GB"/>
              </w:rPr>
              <w:footnoteReference w:id="29"/>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bl>
    <w:p w:rsidR="009D38E8" w:rsidRPr="00EF4C81" w:rsidRDefault="009D38E8" w:rsidP="009D38E8">
      <w:pPr>
        <w:pStyle w:val="TABLESPACE"/>
        <w:rPr>
          <w:color w:val="auto"/>
          <w:sz w:val="21"/>
          <w:szCs w:val="21"/>
          <w:lang w:val="en-GB"/>
        </w:rPr>
      </w:pPr>
    </w:p>
    <w:p w:rsidR="009D38E8" w:rsidRPr="00D173BB" w:rsidRDefault="009D38E8" w:rsidP="00D173BB">
      <w:pPr>
        <w:pStyle w:val="Heading3"/>
      </w:pPr>
      <w:r w:rsidRPr="00D173BB">
        <w:br w:type="page"/>
      </w:r>
      <w:r w:rsidRPr="00D173BB">
        <w:lastRenderedPageBreak/>
        <w:t>Output Expense: Promoting Positive Outcomes for Disabled People</w:t>
      </w:r>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r w:rsidRPr="00EF4C81">
        <w:rPr>
          <w:color w:val="auto"/>
          <w:sz w:val="22"/>
          <w:szCs w:val="22"/>
          <w:lang w:val="en-GB"/>
        </w:rPr>
        <w:t>This appropriation is limited to providing services to promote and monitor the implementation of the New Zealand Disability Strategy, to monitor and implement the United Nations Convention on the Rights of Persons with Disabilities, and to provide information to Ministers on disability matters.</w:t>
      </w:r>
    </w:p>
    <w:p w:rsidR="009D38E8" w:rsidRPr="00D173BB" w:rsidRDefault="009D38E8" w:rsidP="00D173BB">
      <w:pPr>
        <w:pStyle w:val="Subtitle"/>
      </w:pPr>
      <w:r w:rsidRPr="00D173BB">
        <w:t>Summary of Performance</w:t>
      </w:r>
    </w:p>
    <w:p w:rsidR="009D38E8" w:rsidRPr="00EF4C81" w:rsidRDefault="009D38E8" w:rsidP="00D31C2A">
      <w:pPr>
        <w:pStyle w:val="text"/>
        <w:spacing w:after="240"/>
        <w:rPr>
          <w:color w:val="auto"/>
          <w:sz w:val="22"/>
          <w:szCs w:val="22"/>
          <w:lang w:val="en-GB"/>
        </w:rPr>
      </w:pPr>
      <w:bookmarkStart w:id="3" w:name="OLE_LINK3"/>
      <w:bookmarkStart w:id="4" w:name="OLE_LINK4"/>
      <w:r w:rsidRPr="00EF4C81">
        <w:rPr>
          <w:color w:val="auto"/>
          <w:sz w:val="22"/>
          <w:szCs w:val="22"/>
          <w:lang w:val="en-GB"/>
        </w:rPr>
        <w:t>All three performance standards in this output expense have been met or exceeded.</w:t>
      </w:r>
    </w:p>
    <w:p w:rsidR="009D38E8" w:rsidRPr="00EF4C81" w:rsidRDefault="00D31C2A" w:rsidP="00D31C2A">
      <w:pPr>
        <w:pStyle w:val="text"/>
        <w:spacing w:after="240"/>
        <w:rPr>
          <w:color w:val="auto"/>
          <w:sz w:val="22"/>
          <w:szCs w:val="22"/>
          <w:lang w:val="en-GB"/>
        </w:rPr>
      </w:pPr>
      <w:r w:rsidRPr="00EF4C81">
        <w:rPr>
          <w:color w:val="auto"/>
          <w:sz w:val="22"/>
          <w:szCs w:val="22"/>
          <w:lang w:val="en-GB"/>
        </w:rPr>
        <w:t>In 2012/2013, t</w:t>
      </w:r>
      <w:r w:rsidR="009D38E8" w:rsidRPr="00EF4C81">
        <w:rPr>
          <w:color w:val="auto"/>
          <w:sz w:val="22"/>
          <w:szCs w:val="22"/>
          <w:lang w:val="en-GB"/>
        </w:rPr>
        <w:t xml:space="preserve">he year-end result for </w:t>
      </w:r>
      <w:r w:rsidR="001D5D2B" w:rsidRPr="00EF4C81">
        <w:rPr>
          <w:color w:val="auto"/>
          <w:sz w:val="22"/>
          <w:szCs w:val="22"/>
          <w:lang w:val="en-GB"/>
        </w:rPr>
        <w:t xml:space="preserve">the </w:t>
      </w:r>
      <w:r w:rsidR="009D38E8" w:rsidRPr="00EF4C81">
        <w:rPr>
          <w:color w:val="auto"/>
          <w:sz w:val="22"/>
          <w:szCs w:val="22"/>
          <w:lang w:val="en-GB"/>
        </w:rPr>
        <w:t>number of national and community-driven projects, to promote positive at</w:t>
      </w:r>
      <w:r w:rsidR="001D5D2B" w:rsidRPr="00EF4C81">
        <w:rPr>
          <w:color w:val="auto"/>
          <w:sz w:val="22"/>
          <w:szCs w:val="22"/>
          <w:lang w:val="en-GB"/>
        </w:rPr>
        <w:t>titudes</w:t>
      </w:r>
      <w:r w:rsidR="009D38E8" w:rsidRPr="00EF4C81">
        <w:rPr>
          <w:color w:val="auto"/>
          <w:sz w:val="22"/>
          <w:szCs w:val="22"/>
          <w:lang w:val="en-GB"/>
        </w:rPr>
        <w:t xml:space="preserve"> measure has exceeded the standard</w:t>
      </w:r>
      <w:r w:rsidRPr="00EF4C81">
        <w:rPr>
          <w:color w:val="auto"/>
          <w:sz w:val="22"/>
          <w:szCs w:val="22"/>
          <w:lang w:val="en-GB"/>
        </w:rPr>
        <w:t>.</w:t>
      </w:r>
      <w:r w:rsidR="009D38E8" w:rsidRPr="00EF4C81">
        <w:rPr>
          <w:color w:val="auto"/>
          <w:sz w:val="22"/>
          <w:szCs w:val="22"/>
          <w:lang w:val="en-GB"/>
        </w:rPr>
        <w:t xml:space="preserve"> This </w:t>
      </w:r>
      <w:r w:rsidRPr="00EF4C81">
        <w:rPr>
          <w:color w:val="auto"/>
          <w:sz w:val="22"/>
          <w:szCs w:val="22"/>
          <w:lang w:val="en-GB"/>
        </w:rPr>
        <w:t xml:space="preserve">standard was </w:t>
      </w:r>
      <w:r w:rsidR="009D38E8" w:rsidRPr="00EF4C81">
        <w:rPr>
          <w:color w:val="auto"/>
          <w:sz w:val="22"/>
          <w:szCs w:val="22"/>
          <w:lang w:val="en-GB"/>
        </w:rPr>
        <w:t>exceed</w:t>
      </w:r>
      <w:r w:rsidRPr="00EF4C81">
        <w:rPr>
          <w:color w:val="auto"/>
          <w:sz w:val="22"/>
          <w:szCs w:val="22"/>
          <w:lang w:val="en-GB"/>
        </w:rPr>
        <w:t>ed</w:t>
      </w:r>
      <w:r w:rsidR="009D38E8" w:rsidRPr="00EF4C81">
        <w:rPr>
          <w:color w:val="auto"/>
          <w:sz w:val="22"/>
          <w:szCs w:val="22"/>
          <w:lang w:val="en-GB"/>
        </w:rPr>
        <w:t xml:space="preserve"> largely due to an increased interest in the Making a Difference Fund, and an increase in funding allocated. </w:t>
      </w:r>
    </w:p>
    <w:bookmarkEnd w:id="3"/>
    <w:bookmarkEnd w:id="4"/>
    <w:p w:rsidR="009D38E8" w:rsidRPr="00EF4C81" w:rsidRDefault="009D38E8" w:rsidP="007E58F3">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1,250</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2,210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2,160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2,210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1,250</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2,210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2,160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2,210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1,231</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1,784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2,160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2,210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19</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426</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Promoting Positive Outcomes for Disabled People</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hanging="14"/>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 report</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number of  monitoring reports by disabled people on their rights under the United Nations Convention on the Rights of Persons with Disabilities will be no fewer than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13" w:type="dxa"/>
              <w:left w:w="113" w:type="dxa"/>
              <w:bottom w:w="74"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 xml:space="preserve"> 1 report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1 report</w:t>
            </w:r>
            <w:r w:rsidRPr="00EF4C81">
              <w:rPr>
                <w:rStyle w:val="FootnoteReference"/>
                <w:color w:val="auto"/>
                <w:lang w:val="en-GB"/>
              </w:rPr>
              <w:footnoteReference w:id="30"/>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13"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5</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The number of national partners engaged to promote positive attitudes with whom agreements are established will be between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13" w:type="dxa"/>
              <w:left w:w="113" w:type="dxa"/>
              <w:bottom w:w="74" w:type="dxa"/>
              <w:right w:w="113" w:type="dxa"/>
            </w:tcMar>
          </w:tcPr>
          <w:p w:rsidR="009D38E8" w:rsidRPr="00EF4C81" w:rsidRDefault="009D38E8" w:rsidP="00A36A23">
            <w:pPr>
              <w:pStyle w:val="FinFigures"/>
              <w:rPr>
                <w:color w:val="auto"/>
              </w:rPr>
            </w:pPr>
            <w:r w:rsidRPr="00EF4C81">
              <w:rPr>
                <w:color w:val="auto"/>
              </w:rPr>
              <w:t>8</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5–8</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13" w:type="dxa"/>
              <w:left w:w="113" w:type="dxa"/>
              <w:bottom w:w="74" w:type="dxa"/>
              <w:right w:w="113" w:type="dxa"/>
            </w:tcMar>
          </w:tcPr>
          <w:p w:rsidR="009D38E8" w:rsidRPr="00EF4C81" w:rsidRDefault="009D38E8" w:rsidP="00A36A23">
            <w:pPr>
              <w:pStyle w:val="FinFigures"/>
              <w:rPr>
                <w:color w:val="auto"/>
              </w:rPr>
            </w:pPr>
            <w:r w:rsidRPr="00EF4C81">
              <w:rPr>
                <w:color w:val="auto"/>
              </w:rPr>
              <w:t>24</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1D5D2B">
            <w:pPr>
              <w:pStyle w:val="tablefintext"/>
              <w:rPr>
                <w:color w:val="auto"/>
              </w:rPr>
            </w:pPr>
            <w:r w:rsidRPr="00EF4C81">
              <w:rPr>
                <w:color w:val="auto"/>
                <w:lang w:val="en-GB"/>
              </w:rPr>
              <w:t>The number of national and community-driven projects to promote positive attitudes will be between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13" w:type="dxa"/>
              <w:left w:w="113" w:type="dxa"/>
              <w:bottom w:w="74" w:type="dxa"/>
              <w:right w:w="113" w:type="dxa"/>
            </w:tcMar>
          </w:tcPr>
          <w:p w:rsidR="009D38E8" w:rsidRPr="00EF4C81" w:rsidRDefault="009D38E8" w:rsidP="00A36A23">
            <w:pPr>
              <w:pStyle w:val="FinFigures"/>
              <w:rPr>
                <w:color w:val="auto"/>
              </w:rPr>
            </w:pPr>
            <w:r w:rsidRPr="00EF4C81">
              <w:rPr>
                <w:color w:val="auto"/>
              </w:rPr>
              <w:t>23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13"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14–20</w:t>
            </w:r>
          </w:p>
        </w:tc>
      </w:tr>
    </w:tbl>
    <w:p w:rsidR="009D38E8" w:rsidRPr="00EF4C81" w:rsidRDefault="009D38E8" w:rsidP="009D38E8">
      <w:pPr>
        <w:pStyle w:val="text"/>
        <w:rPr>
          <w:color w:val="auto"/>
        </w:rPr>
      </w:pPr>
    </w:p>
    <w:p w:rsidR="009D38E8" w:rsidRPr="00D173BB" w:rsidRDefault="009D38E8" w:rsidP="00D173BB">
      <w:pPr>
        <w:pStyle w:val="Heading3"/>
      </w:pPr>
      <w:r w:rsidRPr="00D173BB">
        <w:br w:type="page"/>
      </w:r>
      <w:r w:rsidRPr="00D173BB">
        <w:lastRenderedPageBreak/>
        <w:t>Output Expense: Property Management Centre of Expertise</w:t>
      </w:r>
    </w:p>
    <w:p w:rsidR="009D38E8" w:rsidRPr="00D173BB" w:rsidRDefault="009D38E8" w:rsidP="00D173BB">
      <w:pPr>
        <w:pStyle w:val="Subtitle"/>
      </w:pPr>
      <w:r w:rsidRPr="00D173BB">
        <w:t>Scope</w:t>
      </w:r>
    </w:p>
    <w:p w:rsidR="009D38E8" w:rsidRPr="00EF4C81" w:rsidRDefault="009D38E8" w:rsidP="009D38E8">
      <w:pPr>
        <w:pStyle w:val="text"/>
        <w:rPr>
          <w:color w:val="auto"/>
          <w:sz w:val="22"/>
          <w:szCs w:val="22"/>
          <w:lang w:val="en-GB"/>
        </w:rPr>
      </w:pPr>
      <w:r w:rsidRPr="00EF4C81">
        <w:rPr>
          <w:color w:val="auto"/>
          <w:sz w:val="22"/>
          <w:szCs w:val="22"/>
          <w:lang w:val="en-GB"/>
        </w:rPr>
        <w:t xml:space="preserve">The appropriation is limited to the operation of a Property Management Centre of Expertise, to provide guidance, support and monitoring in respect of property management within the Public Sector. </w:t>
      </w:r>
    </w:p>
    <w:p w:rsidR="009D38E8" w:rsidRPr="00D173BB" w:rsidRDefault="009D38E8" w:rsidP="00D173BB">
      <w:pPr>
        <w:pStyle w:val="Subtitle"/>
      </w:pPr>
      <w:r w:rsidRPr="00D173BB">
        <w:t>Summary of Performance</w:t>
      </w:r>
    </w:p>
    <w:p w:rsidR="009D38E8" w:rsidRPr="00EF4C81" w:rsidRDefault="009D38E8" w:rsidP="00D31C2A">
      <w:pPr>
        <w:pStyle w:val="text"/>
        <w:spacing w:after="240"/>
        <w:rPr>
          <w:color w:val="auto"/>
          <w:sz w:val="22"/>
          <w:szCs w:val="22"/>
          <w:lang w:val="en-GB"/>
        </w:rPr>
      </w:pPr>
      <w:r w:rsidRPr="00EF4C81">
        <w:rPr>
          <w:color w:val="auto"/>
          <w:sz w:val="22"/>
          <w:szCs w:val="22"/>
          <w:lang w:val="en-GB"/>
        </w:rPr>
        <w:t>Both of the performance standards in this output expense have been met.</w:t>
      </w:r>
    </w:p>
    <w:p w:rsidR="009D38E8" w:rsidRPr="00EF4C81" w:rsidRDefault="00D31C2A" w:rsidP="00D31C2A">
      <w:pPr>
        <w:pStyle w:val="text"/>
        <w:spacing w:after="240"/>
        <w:rPr>
          <w:color w:val="auto"/>
          <w:sz w:val="22"/>
          <w:szCs w:val="22"/>
          <w:lang w:val="en-GB"/>
        </w:rPr>
      </w:pPr>
      <w:r w:rsidRPr="00EF4C81">
        <w:rPr>
          <w:color w:val="auto"/>
          <w:sz w:val="22"/>
          <w:szCs w:val="22"/>
          <w:lang w:val="en-GB"/>
        </w:rPr>
        <w:t>In 2012/2013, t</w:t>
      </w:r>
      <w:r w:rsidR="009D38E8" w:rsidRPr="00EF4C81">
        <w:rPr>
          <w:color w:val="auto"/>
          <w:sz w:val="22"/>
          <w:szCs w:val="22"/>
          <w:lang w:val="en-GB"/>
        </w:rPr>
        <w:t>he Property Management Centre of Expertise under</w:t>
      </w:r>
      <w:r w:rsidR="001D5D2B" w:rsidRPr="00EF4C81">
        <w:rPr>
          <w:color w:val="auto"/>
          <w:sz w:val="22"/>
          <w:szCs w:val="22"/>
          <w:lang w:val="en-GB"/>
        </w:rPr>
        <w:t>went</w:t>
      </w:r>
      <w:r w:rsidR="009D38E8" w:rsidRPr="00EF4C81">
        <w:rPr>
          <w:color w:val="auto"/>
          <w:sz w:val="22"/>
          <w:szCs w:val="22"/>
          <w:lang w:val="en-GB"/>
        </w:rPr>
        <w:t xml:space="preserve"> significant change, migrating from an entity issuing guidelines and support </w:t>
      </w:r>
      <w:r w:rsidR="00F25CD3" w:rsidRPr="00EF4C81">
        <w:rPr>
          <w:color w:val="auto"/>
          <w:sz w:val="22"/>
          <w:szCs w:val="22"/>
          <w:lang w:val="en-GB"/>
        </w:rPr>
        <w:t>to</w:t>
      </w:r>
      <w:r w:rsidR="009D38E8" w:rsidRPr="00EF4C81">
        <w:rPr>
          <w:color w:val="auto"/>
          <w:sz w:val="22"/>
          <w:szCs w:val="22"/>
          <w:lang w:val="en-GB"/>
        </w:rPr>
        <w:t xml:space="preserve"> one setting strategy, policy and standards for the public sector.</w:t>
      </w:r>
    </w:p>
    <w:p w:rsidR="009D38E8" w:rsidRPr="00EF4C81" w:rsidRDefault="00D31C2A" w:rsidP="00D31C2A">
      <w:pPr>
        <w:pStyle w:val="text"/>
        <w:spacing w:after="240"/>
        <w:rPr>
          <w:color w:val="auto"/>
          <w:sz w:val="22"/>
          <w:szCs w:val="22"/>
          <w:lang w:val="en-GB"/>
        </w:rPr>
      </w:pPr>
      <w:r w:rsidRPr="00EF4C81">
        <w:rPr>
          <w:color w:val="auto"/>
          <w:sz w:val="22"/>
          <w:szCs w:val="22"/>
          <w:lang w:val="en-GB"/>
        </w:rPr>
        <w:t>This year, k</w:t>
      </w:r>
      <w:r w:rsidR="009D38E8" w:rsidRPr="00EF4C81">
        <w:rPr>
          <w:color w:val="auto"/>
          <w:sz w:val="22"/>
          <w:szCs w:val="22"/>
          <w:lang w:val="en-GB"/>
        </w:rPr>
        <w:t xml:space="preserve">ey elements </w:t>
      </w:r>
      <w:r w:rsidR="00F25CD3" w:rsidRPr="00EF4C81">
        <w:rPr>
          <w:color w:val="auto"/>
          <w:sz w:val="22"/>
          <w:szCs w:val="22"/>
          <w:lang w:val="en-GB"/>
        </w:rPr>
        <w:t xml:space="preserve">were </w:t>
      </w:r>
      <w:r w:rsidR="009D38E8" w:rsidRPr="00EF4C81">
        <w:rPr>
          <w:color w:val="auto"/>
          <w:sz w:val="22"/>
          <w:szCs w:val="22"/>
          <w:lang w:val="en-GB"/>
        </w:rPr>
        <w:t>introduced</w:t>
      </w:r>
      <w:r w:rsidR="00F25CD3" w:rsidRPr="00EF4C81">
        <w:rPr>
          <w:color w:val="auto"/>
          <w:sz w:val="22"/>
          <w:szCs w:val="22"/>
          <w:lang w:val="en-GB"/>
        </w:rPr>
        <w:t>. These</w:t>
      </w:r>
      <w:r w:rsidR="009D38E8" w:rsidRPr="00EF4C81">
        <w:rPr>
          <w:color w:val="auto"/>
          <w:sz w:val="22"/>
          <w:szCs w:val="22"/>
          <w:lang w:val="en-GB"/>
        </w:rPr>
        <w:t xml:space="preserve"> include</w:t>
      </w:r>
      <w:r w:rsidRPr="00EF4C81">
        <w:rPr>
          <w:color w:val="auto"/>
          <w:sz w:val="22"/>
          <w:szCs w:val="22"/>
          <w:lang w:val="en-GB"/>
        </w:rPr>
        <w:t>d</w:t>
      </w:r>
      <w:r w:rsidR="009D38E8" w:rsidRPr="00EF4C81">
        <w:rPr>
          <w:color w:val="auto"/>
          <w:sz w:val="22"/>
          <w:szCs w:val="22"/>
          <w:lang w:val="en-GB"/>
        </w:rPr>
        <w:t xml:space="preserve"> a new cross-agency property information database, the inaugural Government National Property Strategy, a requirement for agencies to hold Strategic Property Plans, </w:t>
      </w:r>
      <w:r w:rsidR="00F25CD3" w:rsidRPr="00EF4C81">
        <w:rPr>
          <w:color w:val="auto"/>
          <w:sz w:val="22"/>
          <w:szCs w:val="22"/>
          <w:lang w:val="en-GB"/>
        </w:rPr>
        <w:t>leadership of</w:t>
      </w:r>
      <w:r w:rsidR="009D38E8" w:rsidRPr="00EF4C81">
        <w:rPr>
          <w:color w:val="auto"/>
          <w:sz w:val="22"/>
          <w:szCs w:val="22"/>
          <w:lang w:val="en-GB"/>
        </w:rPr>
        <w:t xml:space="preserve"> significant accommodation projects, and increased seismic </w:t>
      </w:r>
      <w:r w:rsidR="001D5D2B" w:rsidRPr="00EF4C81">
        <w:rPr>
          <w:color w:val="auto"/>
          <w:sz w:val="22"/>
          <w:szCs w:val="22"/>
          <w:lang w:val="en-GB"/>
        </w:rPr>
        <w:t xml:space="preserve">assessment guidance </w:t>
      </w:r>
      <w:r w:rsidR="009D38E8" w:rsidRPr="00EF4C81">
        <w:rPr>
          <w:color w:val="auto"/>
          <w:sz w:val="22"/>
          <w:szCs w:val="22"/>
          <w:lang w:val="en-GB"/>
        </w:rPr>
        <w:t xml:space="preserve">for agencies. The </w:t>
      </w:r>
      <w:r w:rsidRPr="00EF4C81">
        <w:rPr>
          <w:color w:val="auto"/>
          <w:sz w:val="22"/>
          <w:szCs w:val="22"/>
          <w:lang w:val="en-GB"/>
        </w:rPr>
        <w:t>purpose for introducing the key elements is to deliver savings in the coming years.</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400</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1,350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1,350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1,019</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1,301</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rStyle w:val="fintextheavyFINANCIALS"/>
                <w:color w:val="auto"/>
                <w:lang w:val="en-GB"/>
              </w:rPr>
              <w:t>400</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2,369</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2,651</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74" w:type="dxa"/>
              <w:right w:w="113" w:type="dxa"/>
            </w:tcMar>
          </w:tcPr>
          <w:p w:rsidR="009D38E8" w:rsidRPr="00EF4C81" w:rsidRDefault="009D38E8" w:rsidP="00A36A23">
            <w:pPr>
              <w:pStyle w:val="FinFigures"/>
              <w:rPr>
                <w:color w:val="auto"/>
              </w:rPr>
            </w:pPr>
            <w:r w:rsidRPr="00EF4C81">
              <w:rPr>
                <w:rStyle w:val="fintextheavyFINANCIALS"/>
                <w:color w:val="auto"/>
                <w:lang w:val="en-GB"/>
              </w:rPr>
              <w:t>371</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74" w:type="dxa"/>
              <w:right w:w="113" w:type="dxa"/>
            </w:tcMar>
          </w:tcPr>
          <w:p w:rsidR="009D38E8" w:rsidRPr="00EF4C81" w:rsidRDefault="009D38E8" w:rsidP="00FB6563">
            <w:pPr>
              <w:pStyle w:val="FinFigures"/>
              <w:rPr>
                <w:color w:val="auto"/>
              </w:rPr>
            </w:pPr>
            <w:r w:rsidRPr="00EF4C81">
              <w:rPr>
                <w:color w:val="auto"/>
              </w:rPr>
              <w:t>2,60</w:t>
            </w:r>
            <w:r w:rsidR="00FB6563" w:rsidRPr="00EF4C81">
              <w:rPr>
                <w:color w:val="auto"/>
              </w:rPr>
              <w:t>6</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74" w:type="dxa"/>
              <w:right w:w="113" w:type="dxa"/>
            </w:tcMar>
          </w:tcPr>
          <w:p w:rsidR="009D38E8" w:rsidRPr="00EF4C81" w:rsidRDefault="009D38E8" w:rsidP="00A36A23">
            <w:pPr>
              <w:pStyle w:val="FinFigures"/>
              <w:rPr>
                <w:color w:val="auto"/>
              </w:rPr>
            </w:pPr>
            <w:r w:rsidRPr="00EF4C81">
              <w:rPr>
                <w:color w:val="auto"/>
              </w:rPr>
              <w:t>2,651</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(23</w:t>
            </w:r>
            <w:r w:rsidR="00FB6563" w:rsidRPr="00EF4C81">
              <w:rPr>
                <w:color w:val="auto"/>
              </w:rPr>
              <w:t>7</w:t>
            </w:r>
            <w:r w:rsidRPr="00EF4C81">
              <w:rPr>
                <w:color w:val="auto"/>
              </w:rPr>
              <w:t>)</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lang w:val="en-GB"/>
        </w:rPr>
      </w:pPr>
      <w:r w:rsidRPr="00EF4C81">
        <w:rPr>
          <w:color w:val="auto"/>
          <w:lang w:val="en-GB"/>
        </w:rPr>
        <w:t>Output: Property Management Centre of Expertise</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hanging="14"/>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Standard not met</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Publish report</w:t>
            </w:r>
            <w:r w:rsidRPr="00EF4C81">
              <w:rPr>
                <w:rStyle w:val="FootnoteReference"/>
                <w:color w:val="auto"/>
                <w:lang w:val="en-GB"/>
              </w:rPr>
              <w:footnoteReference w:id="31"/>
            </w:r>
            <w:r w:rsidRPr="00EF4C81">
              <w:rPr>
                <w:color w:val="auto"/>
                <w:lang w:val="en-GB"/>
              </w:rPr>
              <w:t xml:space="preserve"> on property management information for agencies by  </w:t>
            </w:r>
            <w:r w:rsidRPr="00EF4C81">
              <w:rPr>
                <w:color w:val="auto"/>
                <w:lang w:val="en-GB"/>
              </w:rPr>
              <w:br/>
              <w:t>30 June 2013</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Standard met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35</w:t>
            </w:r>
            <w:r w:rsidRPr="00EF4C81">
              <w:rPr>
                <w:rStyle w:val="FootnoteReference"/>
                <w:color w:val="auto"/>
              </w:rPr>
              <w:footnoteReference w:id="32"/>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number of agencies who receive brokerage, guidance, or support as at 30 June 2013 will be no fewer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30</w:t>
            </w:r>
          </w:p>
          <w:p w:rsidR="009D38E8" w:rsidRPr="00EF4C81" w:rsidRDefault="009D38E8" w:rsidP="00A36A23">
            <w:pPr>
              <w:pStyle w:val="FinFigures"/>
              <w:rPr>
                <w:color w:val="auto"/>
              </w:rPr>
            </w:pP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30</w:t>
            </w:r>
          </w:p>
        </w:tc>
      </w:tr>
    </w:tbl>
    <w:p w:rsidR="009D38E8" w:rsidRPr="00EF4C81" w:rsidRDefault="009D38E8" w:rsidP="009D38E8">
      <w:pPr>
        <w:pStyle w:val="text"/>
        <w:rPr>
          <w:color w:val="auto"/>
        </w:rPr>
      </w:pPr>
    </w:p>
    <w:p w:rsidR="009D38E8" w:rsidRPr="00D173BB" w:rsidRDefault="009D38E8" w:rsidP="00D173BB">
      <w:pPr>
        <w:pStyle w:val="Heading3"/>
      </w:pPr>
      <w:r w:rsidRPr="00D173BB">
        <w:br w:type="page"/>
      </w:r>
      <w:r w:rsidRPr="00D173BB">
        <w:lastRenderedPageBreak/>
        <w:t>Output Expense: Services to Protect the Integrity of the Benefit System</w:t>
      </w:r>
    </w:p>
    <w:p w:rsidR="009D38E8" w:rsidRPr="00D173BB" w:rsidRDefault="009D38E8" w:rsidP="00D173BB">
      <w:pPr>
        <w:pStyle w:val="Subtitle"/>
      </w:pPr>
      <w:r w:rsidRPr="00D173BB">
        <w:t>Scope</w:t>
      </w:r>
    </w:p>
    <w:p w:rsidR="009D38E8" w:rsidRPr="00EF4C81" w:rsidRDefault="009D38E8" w:rsidP="0089480F">
      <w:pPr>
        <w:pStyle w:val="text"/>
        <w:spacing w:after="240"/>
        <w:rPr>
          <w:color w:val="auto"/>
          <w:sz w:val="22"/>
          <w:szCs w:val="22"/>
          <w:lang w:val="en-GB"/>
        </w:rPr>
      </w:pPr>
      <w:proofErr w:type="gramStart"/>
      <w:r w:rsidRPr="00EF4C81">
        <w:rPr>
          <w:color w:val="auto"/>
          <w:sz w:val="22"/>
          <w:szCs w:val="22"/>
          <w:lang w:val="en-GB"/>
        </w:rPr>
        <w:t>Services to minimise errors, fraud and abuse of the benefit system.</w:t>
      </w:r>
      <w:proofErr w:type="gramEnd"/>
      <w:r w:rsidRPr="00EF4C81">
        <w:rPr>
          <w:color w:val="auto"/>
          <w:sz w:val="22"/>
          <w:szCs w:val="22"/>
          <w:lang w:val="en-GB"/>
        </w:rPr>
        <w:t xml:space="preserve"> </w:t>
      </w:r>
    </w:p>
    <w:p w:rsidR="009D38E8" w:rsidRPr="00D173BB" w:rsidRDefault="009D38E8" w:rsidP="00D173BB">
      <w:pPr>
        <w:pStyle w:val="Subtitle"/>
      </w:pPr>
      <w:r w:rsidRPr="00D173BB">
        <w:t>Summary of Performance</w:t>
      </w:r>
    </w:p>
    <w:p w:rsidR="009D38E8" w:rsidRPr="00EF4C81" w:rsidRDefault="009D38E8" w:rsidP="00AA2C6A">
      <w:pPr>
        <w:pStyle w:val="text"/>
        <w:spacing w:after="240"/>
        <w:rPr>
          <w:color w:val="auto"/>
          <w:sz w:val="22"/>
          <w:szCs w:val="22"/>
          <w:lang w:val="en-GB"/>
        </w:rPr>
      </w:pPr>
      <w:r w:rsidRPr="00EF4C81">
        <w:rPr>
          <w:color w:val="auto"/>
          <w:sz w:val="22"/>
          <w:szCs w:val="22"/>
          <w:lang w:val="en-GB"/>
        </w:rPr>
        <w:t xml:space="preserve">All three performance standards in this output expense have been met or exceeded. </w:t>
      </w:r>
    </w:p>
    <w:p w:rsidR="009D38E8" w:rsidRPr="00EF4C81" w:rsidRDefault="009D38E8" w:rsidP="00AA2C6A">
      <w:pPr>
        <w:pStyle w:val="text"/>
        <w:spacing w:after="240"/>
        <w:rPr>
          <w:color w:val="auto"/>
          <w:sz w:val="22"/>
          <w:szCs w:val="22"/>
          <w:lang w:val="en-GB"/>
        </w:rPr>
      </w:pPr>
      <w:r w:rsidRPr="00EF4C81">
        <w:rPr>
          <w:color w:val="auto"/>
          <w:sz w:val="22"/>
          <w:szCs w:val="22"/>
          <w:lang w:val="en-GB"/>
        </w:rPr>
        <w:t xml:space="preserve">In 2012/2013, 96 per cent of prosecutions were successful, the same as in 2011/2012. The proportion of cases referred </w:t>
      </w:r>
      <w:r w:rsidR="0016785C" w:rsidRPr="00EF4C81">
        <w:rPr>
          <w:color w:val="auto"/>
          <w:sz w:val="22"/>
          <w:szCs w:val="22"/>
          <w:lang w:val="en-GB"/>
        </w:rPr>
        <w:t>that were</w:t>
      </w:r>
      <w:r w:rsidRPr="00EF4C81">
        <w:rPr>
          <w:color w:val="auto"/>
          <w:sz w:val="22"/>
          <w:szCs w:val="22"/>
          <w:lang w:val="en-GB"/>
        </w:rPr>
        <w:t xml:space="preserve"> fully investigated was 97 per cent and </w:t>
      </w:r>
      <w:r w:rsidR="0016785C" w:rsidRPr="00EF4C81">
        <w:rPr>
          <w:color w:val="auto"/>
          <w:sz w:val="22"/>
          <w:szCs w:val="22"/>
          <w:lang w:val="en-GB"/>
        </w:rPr>
        <w:t xml:space="preserve">the proportion of </w:t>
      </w:r>
      <w:r w:rsidR="00AA2C6A" w:rsidRPr="00EF4C81">
        <w:rPr>
          <w:color w:val="auto"/>
          <w:sz w:val="22"/>
          <w:szCs w:val="22"/>
          <w:lang w:val="en-GB"/>
        </w:rPr>
        <w:t xml:space="preserve">investigations completed within 12 months was </w:t>
      </w:r>
      <w:r w:rsidRPr="00EF4C81">
        <w:rPr>
          <w:color w:val="auto"/>
          <w:sz w:val="22"/>
          <w:szCs w:val="22"/>
          <w:lang w:val="en-GB"/>
        </w:rPr>
        <w:t>98 per cent.</w:t>
      </w:r>
    </w:p>
    <w:p w:rsidR="009D38E8" w:rsidRPr="00EF4C81" w:rsidRDefault="009D38E8" w:rsidP="00AA2C6A">
      <w:pPr>
        <w:pStyle w:val="text"/>
        <w:spacing w:after="240"/>
        <w:rPr>
          <w:color w:val="auto"/>
          <w:sz w:val="22"/>
          <w:szCs w:val="22"/>
          <w:lang w:val="en-GB"/>
        </w:rPr>
      </w:pPr>
      <w:r w:rsidRPr="00EF4C81">
        <w:rPr>
          <w:color w:val="auto"/>
          <w:sz w:val="22"/>
          <w:szCs w:val="22"/>
          <w:lang w:val="en-GB"/>
        </w:rPr>
        <w:t xml:space="preserve">The number of completed prosecutions increased to 979, up from 742 in the previous year.     </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r w:rsidRPr="00EF4C81">
              <w:rPr>
                <w:rStyle w:val="FootnoteReference"/>
                <w:color w:val="auto"/>
                <w:lang w:val="en-GB"/>
              </w:rPr>
              <w:footnoteReference w:id="33"/>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35,900</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34,516</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35,316</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34,516</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431</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36,331</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34,516</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35,316</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34,516</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35,873</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33,</w:t>
            </w:r>
            <w:r w:rsidR="00FB6563" w:rsidRPr="00EF4C81">
              <w:rPr>
                <w:color w:val="auto"/>
              </w:rPr>
              <w:t>616</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35,316</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34,516</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458</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9</w:t>
            </w:r>
            <w:r w:rsidR="00FB6563" w:rsidRPr="00EF4C81">
              <w:rPr>
                <w:color w:val="auto"/>
              </w:rPr>
              <w:t>00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r w:rsidRPr="00EF4C81">
        <w:rPr>
          <w:rFonts w:ascii="AvenirMaori-Medium" w:hAnsi="AvenirMaori-Medium" w:cs="AvenirMaori-Medium"/>
          <w:color w:val="auto"/>
          <w:sz w:val="21"/>
          <w:szCs w:val="21"/>
          <w:lang w:val="en-GB"/>
        </w:rPr>
        <w:t xml:space="preserve"> </w:t>
      </w:r>
    </w:p>
    <w:p w:rsidR="009D38E8" w:rsidRPr="00EF4C81" w:rsidRDefault="009D38E8" w:rsidP="009D38E8">
      <w:pPr>
        <w:pStyle w:val="Tableheader2"/>
        <w:rPr>
          <w:color w:val="auto"/>
          <w:lang w:val="en-GB"/>
        </w:rPr>
      </w:pPr>
      <w:r w:rsidRPr="00EF4C81">
        <w:rPr>
          <w:color w:val="auto"/>
          <w:lang w:val="en-GB"/>
        </w:rPr>
        <w:t>Output: Services to Protect the Integrity of the Benefit System</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98.3%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percentage of cases referred to the National Fraud Investigators that are 'fully investigated'</w:t>
            </w:r>
            <w:r w:rsidRPr="00EF4C81">
              <w:rPr>
                <w:rStyle w:val="FootnoteReference"/>
                <w:color w:val="auto"/>
                <w:lang w:val="en-GB"/>
              </w:rPr>
              <w:footnoteReference w:id="34"/>
            </w:r>
            <w:r w:rsidRPr="00EF4C81">
              <w:rPr>
                <w:color w:val="auto"/>
                <w:lang w:val="en-GB"/>
              </w:rPr>
              <w:t xml:space="preserve"> will be between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96.9%</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96.2%</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Fonts w:ascii="AvenirMaori-Medium" w:hAnsi="AvenirMaori-Medium" w:cs="AvenirMaori-Medium"/>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Of all the cases we prosecute, the percentage of successful prosecutions concluded will no less than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95.5%</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98.3%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cases</w:t>
            </w:r>
            <w:r w:rsidRPr="00EF4C81">
              <w:rPr>
                <w:rStyle w:val="FootnoteReference"/>
                <w:color w:val="auto"/>
                <w:lang w:val="en-GB"/>
              </w:rPr>
              <w:footnoteReference w:id="35"/>
            </w:r>
            <w:r w:rsidRPr="00EF4C81">
              <w:rPr>
                <w:color w:val="auto"/>
                <w:lang w:val="en-GB"/>
              </w:rPr>
              <w:t xml:space="preserve"> completed within a 12-month period will be no 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98.2%</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w:t>
            </w:r>
          </w:p>
        </w:tc>
      </w:tr>
    </w:tbl>
    <w:p w:rsidR="009D38E8" w:rsidRPr="00EF4C81" w:rsidRDefault="009D38E8" w:rsidP="009D38E8">
      <w:pPr>
        <w:pStyle w:val="text"/>
        <w:rPr>
          <w:color w:val="auto"/>
        </w:rPr>
      </w:pPr>
    </w:p>
    <w:p w:rsidR="009D38E8" w:rsidRPr="00D173BB" w:rsidRDefault="009D38E8" w:rsidP="009D38E8">
      <w:pPr>
        <w:pStyle w:val="headwithrule"/>
        <w:spacing w:after="113"/>
        <w:rPr>
          <w:rStyle w:val="Heading3Char"/>
        </w:rPr>
      </w:pPr>
      <w:r w:rsidRPr="00D173BB">
        <w:rPr>
          <w:rStyle w:val="Heading3Char"/>
        </w:rPr>
        <w:br w:type="page"/>
      </w:r>
      <w:r w:rsidRPr="00D173BB">
        <w:rPr>
          <w:rStyle w:val="Heading3Char"/>
        </w:rPr>
        <w:lastRenderedPageBreak/>
        <w:t>Output Expense: Social Policy Advice (MCOA</w:t>
      </w:r>
      <w:r w:rsidRPr="00EF4C81">
        <w:rPr>
          <w:color w:val="auto"/>
          <w:vertAlign w:val="superscript"/>
          <w:lang w:val="en-GB"/>
        </w:rPr>
        <w:footnoteReference w:id="36"/>
      </w:r>
      <w:r w:rsidRPr="00D173BB">
        <w:rPr>
          <w:rStyle w:val="Heading3Char"/>
        </w:rPr>
        <w:t>)</w:t>
      </w:r>
    </w:p>
    <w:p w:rsidR="009D38E8" w:rsidRPr="00EF4C81" w:rsidRDefault="009D38E8" w:rsidP="009D38E8">
      <w:pPr>
        <w:pStyle w:val="Tableheader"/>
        <w:rPr>
          <w:color w:val="auto"/>
        </w:rPr>
      </w:pPr>
      <w:r w:rsidRPr="00EF4C81">
        <w:rPr>
          <w:color w:val="auto"/>
        </w:rPr>
        <w:t xml:space="preserve">Output Class: Forecast, </w:t>
      </w:r>
      <w:proofErr w:type="spellStart"/>
      <w:r w:rsidRPr="00EF4C81">
        <w:rPr>
          <w:color w:val="auto"/>
        </w:rPr>
        <w:t>Modelling</w:t>
      </w:r>
      <w:proofErr w:type="spellEnd"/>
      <w:r w:rsidRPr="00EF4C81">
        <w:rPr>
          <w:color w:val="auto"/>
        </w:rPr>
        <w:t>, Information Monitoring and Analysis</w:t>
      </w:r>
    </w:p>
    <w:p w:rsidR="009D38E8" w:rsidRPr="00D173BB" w:rsidRDefault="009D38E8" w:rsidP="00D173BB">
      <w:pPr>
        <w:pStyle w:val="Subtitle"/>
      </w:pPr>
      <w:r w:rsidRPr="00D173BB">
        <w:t>Scope</w:t>
      </w:r>
    </w:p>
    <w:p w:rsidR="009D38E8" w:rsidRPr="00EF4C81" w:rsidRDefault="009D38E8" w:rsidP="0089480F">
      <w:pPr>
        <w:pStyle w:val="text"/>
        <w:spacing w:after="240"/>
        <w:rPr>
          <w:color w:val="auto"/>
          <w:sz w:val="22"/>
          <w:szCs w:val="22"/>
          <w:lang w:val="en-GB"/>
        </w:rPr>
      </w:pPr>
      <w:r w:rsidRPr="00EF4C81">
        <w:rPr>
          <w:color w:val="auto"/>
          <w:sz w:val="22"/>
          <w:szCs w:val="22"/>
          <w:lang w:val="en-GB"/>
        </w:rPr>
        <w:t>This output class is limited to providing forecast, modelling, information monitoring and analysis used to inform social policy development and to support government decision-making.</w:t>
      </w:r>
    </w:p>
    <w:p w:rsidR="009D38E8" w:rsidRPr="00D173BB" w:rsidRDefault="009D38E8" w:rsidP="00D173BB">
      <w:pPr>
        <w:pStyle w:val="Subtitle"/>
      </w:pPr>
      <w:r w:rsidRPr="00D173BB">
        <w:t>Summary of Performance</w:t>
      </w:r>
    </w:p>
    <w:p w:rsidR="009D38E8" w:rsidRPr="00EF4C81" w:rsidRDefault="009D38E8" w:rsidP="0089480F">
      <w:pPr>
        <w:pStyle w:val="text"/>
        <w:spacing w:after="240"/>
        <w:rPr>
          <w:color w:val="auto"/>
          <w:sz w:val="22"/>
          <w:szCs w:val="22"/>
          <w:lang w:val="en-GB"/>
        </w:rPr>
      </w:pPr>
      <w:r w:rsidRPr="00EF4C81">
        <w:rPr>
          <w:color w:val="auto"/>
          <w:sz w:val="22"/>
          <w:szCs w:val="22"/>
          <w:lang w:val="en-GB"/>
        </w:rPr>
        <w:t xml:space="preserve">All performance standards in this output </w:t>
      </w:r>
      <w:r w:rsidR="005D0733" w:rsidRPr="00EF4C81">
        <w:rPr>
          <w:color w:val="auto"/>
          <w:sz w:val="22"/>
          <w:szCs w:val="22"/>
          <w:lang w:val="en-GB"/>
        </w:rPr>
        <w:t>class</w:t>
      </w:r>
      <w:r w:rsidRPr="00EF4C81">
        <w:rPr>
          <w:color w:val="auto"/>
          <w:sz w:val="22"/>
          <w:szCs w:val="22"/>
          <w:lang w:val="en-GB"/>
        </w:rPr>
        <w:t xml:space="preserve"> have been met or exceeded.</w:t>
      </w:r>
    </w:p>
    <w:p w:rsidR="009D38E8" w:rsidRPr="00EF4C81" w:rsidRDefault="0089480F" w:rsidP="0089480F">
      <w:pPr>
        <w:pStyle w:val="text"/>
        <w:spacing w:after="240"/>
        <w:rPr>
          <w:color w:val="auto"/>
          <w:sz w:val="22"/>
          <w:szCs w:val="22"/>
        </w:rPr>
      </w:pPr>
      <w:r w:rsidRPr="00EF4C81">
        <w:rPr>
          <w:color w:val="auto"/>
          <w:sz w:val="22"/>
          <w:szCs w:val="22"/>
        </w:rPr>
        <w:t>This year, a</w:t>
      </w:r>
      <w:r w:rsidR="009D38E8" w:rsidRPr="00EF4C81">
        <w:rPr>
          <w:color w:val="auto"/>
          <w:sz w:val="22"/>
          <w:szCs w:val="22"/>
        </w:rPr>
        <w:t xml:space="preserve"> paper to Ministers on the Half Year Economic Forecast Update of Benefit Forecasts was completed in December 2012. A paper to Ministers o</w:t>
      </w:r>
      <w:r w:rsidR="005D0733" w:rsidRPr="00EF4C81">
        <w:rPr>
          <w:color w:val="auto"/>
          <w:sz w:val="22"/>
          <w:szCs w:val="22"/>
        </w:rPr>
        <w:t>n</w:t>
      </w:r>
      <w:r w:rsidR="009D38E8" w:rsidRPr="00EF4C81">
        <w:rPr>
          <w:color w:val="auto"/>
          <w:sz w:val="22"/>
          <w:szCs w:val="22"/>
        </w:rPr>
        <w:t xml:space="preserve"> the Baseline Economic Forecast Update of Benefit Forecasts was completed in May 2013.</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13"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6,450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6,450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6,450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6,450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6,450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6,450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6,15</w:t>
            </w:r>
            <w:r w:rsidR="00FB6563" w:rsidRPr="00EF4C81">
              <w:rPr>
                <w:color w:val="auto"/>
              </w:rPr>
              <w:t>5</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6,450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6,450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FB6563" w:rsidP="00A36A23">
            <w:pPr>
              <w:pStyle w:val="FinFigures"/>
              <w:rPr>
                <w:color w:val="auto"/>
              </w:rPr>
            </w:pPr>
            <w:r w:rsidRPr="00EF4C81">
              <w:rPr>
                <w:color w:val="auto"/>
              </w:rPr>
              <w:t>295</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lang w:val="en-GB"/>
        </w:rPr>
      </w:pPr>
      <w:r w:rsidRPr="00EF4C81">
        <w:rPr>
          <w:color w:val="auto"/>
          <w:lang w:val="en-GB"/>
        </w:rPr>
        <w:t xml:space="preserve">Output Class: </w:t>
      </w:r>
      <w:r w:rsidRPr="00EF4C81">
        <w:rPr>
          <w:color w:val="auto"/>
        </w:rPr>
        <w:t xml:space="preserve">Forecast, </w:t>
      </w:r>
      <w:proofErr w:type="spellStart"/>
      <w:r w:rsidRPr="00EF4C81">
        <w:rPr>
          <w:color w:val="auto"/>
        </w:rPr>
        <w:t>Modelling</w:t>
      </w:r>
      <w:proofErr w:type="spellEnd"/>
      <w:r w:rsidRPr="00EF4C81">
        <w:rPr>
          <w:color w:val="auto"/>
        </w:rPr>
        <w:t>, Information Monitoring and Analysis</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blHeader/>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09"/>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The Annual Statistical Report is published by 30 June 2013</w:t>
            </w:r>
          </w:p>
          <w:p w:rsidR="009D38E8" w:rsidRPr="00EF4C81" w:rsidRDefault="009D38E8" w:rsidP="00A36A23">
            <w:pPr>
              <w:pStyle w:val="tablefintext"/>
              <w:rPr>
                <w:rStyle w:val="fintextheavyFINANCIALS"/>
                <w:color w:val="auto"/>
                <w:lang w:val="en-GB"/>
              </w:rPr>
            </w:pP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Standard met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2D0B14">
            <w:pPr>
              <w:pStyle w:val="tablefintext"/>
              <w:rPr>
                <w:color w:val="auto"/>
              </w:rPr>
            </w:pPr>
            <w:r w:rsidRPr="00EF4C81">
              <w:rPr>
                <w:color w:val="auto"/>
                <w:lang w:val="en-GB"/>
              </w:rPr>
              <w:t>Analysis, reporting, and costing advice will be delivered in accordance with work priorities identified and advised by Minister</w:t>
            </w:r>
            <w:r w:rsidR="002D0B14" w:rsidRPr="00EF4C81">
              <w:rPr>
                <w:color w:val="auto"/>
                <w:lang w:val="en-GB"/>
              </w:rPr>
              <w:t>s</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An audit</w:t>
            </w:r>
            <w:r w:rsidRPr="00EF4C81">
              <w:rPr>
                <w:rStyle w:val="FootnoteReference"/>
                <w:color w:val="auto"/>
                <w:lang w:val="en-GB"/>
              </w:rPr>
              <w:footnoteReference w:id="37"/>
            </w:r>
            <w:r w:rsidRPr="00EF4C81">
              <w:rPr>
                <w:rStyle w:val="fintextheavyFINANCIALS"/>
                <w:color w:val="auto"/>
                <w:lang w:val="en-GB"/>
              </w:rPr>
              <w:t xml:space="preserve"> shows the Ministry of Social Development's quality assurance processes have been followed in at least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100%</w:t>
            </w:r>
            <w:r w:rsidR="000808BC" w:rsidRPr="00EF4C81">
              <w:rPr>
                <w:color w:val="auto"/>
                <w:lang w:val="en-GB"/>
              </w:rPr>
              <w:t xml:space="preserve"> of cases</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90–95% of cases</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Joint Ministers' reports will be produced for each baseline update, within stipulated timelines, to enable baselines to be updated to reflect forecast changes</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p>
        </w:tc>
      </w:tr>
    </w:tbl>
    <w:p w:rsidR="009D38E8" w:rsidRPr="00EF4C81" w:rsidRDefault="009D38E8" w:rsidP="009D38E8">
      <w:pPr>
        <w:pStyle w:val="Tableheader"/>
        <w:rPr>
          <w:color w:val="auto"/>
          <w:lang w:val="en-GB"/>
        </w:rPr>
      </w:pPr>
      <w:r w:rsidRPr="00EF4C81">
        <w:rPr>
          <w:color w:val="auto"/>
          <w:lang w:val="en-GB"/>
        </w:rPr>
        <w:lastRenderedPageBreak/>
        <w:t>Output Class: Longitudinal Studies</w:t>
      </w:r>
    </w:p>
    <w:p w:rsidR="009D38E8" w:rsidRPr="00D173BB" w:rsidRDefault="009D38E8" w:rsidP="00D173BB">
      <w:pPr>
        <w:pStyle w:val="Subtitle"/>
      </w:pPr>
      <w:r w:rsidRPr="00D173BB">
        <w:t>Scope</w:t>
      </w:r>
    </w:p>
    <w:p w:rsidR="009D38E8" w:rsidRPr="00EF4C81" w:rsidRDefault="009D38E8" w:rsidP="000F2846">
      <w:pPr>
        <w:pStyle w:val="text"/>
        <w:spacing w:after="240"/>
        <w:rPr>
          <w:color w:val="auto"/>
          <w:sz w:val="22"/>
          <w:szCs w:val="22"/>
          <w:lang w:val="en-GB"/>
        </w:rPr>
      </w:pPr>
      <w:r w:rsidRPr="00EF4C81">
        <w:rPr>
          <w:color w:val="auto"/>
          <w:sz w:val="22"/>
          <w:szCs w:val="22"/>
          <w:lang w:val="en-GB"/>
        </w:rPr>
        <w:t>This output class is limited to providing longitudinal studies to inform social policy development and to support decision-making by Ministers on government social policy matters.</w:t>
      </w:r>
    </w:p>
    <w:p w:rsidR="009D38E8" w:rsidRPr="00D173BB" w:rsidRDefault="009D38E8" w:rsidP="00D173BB">
      <w:pPr>
        <w:pStyle w:val="Subtitle"/>
      </w:pPr>
      <w:r w:rsidRPr="00D173BB">
        <w:t>Summary of Performance</w:t>
      </w:r>
    </w:p>
    <w:p w:rsidR="009D38E8" w:rsidRPr="00EF4C81" w:rsidRDefault="009D38E8" w:rsidP="000F2846">
      <w:pPr>
        <w:pStyle w:val="text"/>
        <w:spacing w:after="240"/>
        <w:rPr>
          <w:color w:val="auto"/>
          <w:sz w:val="22"/>
          <w:szCs w:val="22"/>
          <w:lang w:val="en-GB"/>
        </w:rPr>
      </w:pPr>
      <w:r w:rsidRPr="00EF4C81">
        <w:rPr>
          <w:color w:val="auto"/>
          <w:sz w:val="22"/>
          <w:szCs w:val="22"/>
          <w:lang w:val="en-GB"/>
        </w:rPr>
        <w:t xml:space="preserve">One performance standard in this output </w:t>
      </w:r>
      <w:r w:rsidR="000808BC" w:rsidRPr="00EF4C81">
        <w:rPr>
          <w:color w:val="auto"/>
          <w:sz w:val="22"/>
          <w:szCs w:val="22"/>
          <w:lang w:val="en-GB"/>
        </w:rPr>
        <w:t>class</w:t>
      </w:r>
      <w:r w:rsidRPr="00EF4C81">
        <w:rPr>
          <w:color w:val="auto"/>
          <w:sz w:val="22"/>
          <w:szCs w:val="22"/>
          <w:lang w:val="en-GB"/>
        </w:rPr>
        <w:t xml:space="preserve"> was met and one was not achieved.</w:t>
      </w:r>
    </w:p>
    <w:p w:rsidR="009D38E8" w:rsidRPr="00EF4C81" w:rsidRDefault="000F2846" w:rsidP="000F2846">
      <w:pPr>
        <w:pStyle w:val="text"/>
        <w:spacing w:after="240"/>
        <w:rPr>
          <w:color w:val="auto"/>
          <w:sz w:val="22"/>
          <w:szCs w:val="22"/>
          <w:lang w:val="en-GB"/>
        </w:rPr>
      </w:pPr>
      <w:r w:rsidRPr="00EF4C81">
        <w:rPr>
          <w:color w:val="auto"/>
          <w:sz w:val="22"/>
          <w:szCs w:val="22"/>
          <w:lang w:val="en-GB"/>
        </w:rPr>
        <w:t>In 2012/2013, t</w:t>
      </w:r>
      <w:r w:rsidR="009D38E8" w:rsidRPr="00EF4C81">
        <w:rPr>
          <w:color w:val="auto"/>
          <w:sz w:val="22"/>
          <w:szCs w:val="22"/>
          <w:lang w:val="en-GB"/>
        </w:rPr>
        <w:t>he Growing Up in New Zealand longitudinal study was completed</w:t>
      </w:r>
      <w:r w:rsidRPr="00EF4C81">
        <w:rPr>
          <w:color w:val="auto"/>
          <w:sz w:val="22"/>
          <w:szCs w:val="22"/>
          <w:lang w:val="en-GB"/>
        </w:rPr>
        <w:t xml:space="preserve"> </w:t>
      </w:r>
      <w:r w:rsidR="009D38E8" w:rsidRPr="00EF4C81">
        <w:rPr>
          <w:color w:val="auto"/>
          <w:sz w:val="22"/>
          <w:szCs w:val="22"/>
          <w:lang w:val="en-GB"/>
        </w:rPr>
        <w:t>and was independently reviewed and confirmed as acceptable.</w:t>
      </w:r>
    </w:p>
    <w:p w:rsidR="009D38E8" w:rsidRPr="00EF4C81" w:rsidRDefault="009D38E8" w:rsidP="000F2846">
      <w:pPr>
        <w:pStyle w:val="text"/>
        <w:spacing w:after="240"/>
        <w:rPr>
          <w:color w:val="auto"/>
          <w:sz w:val="22"/>
          <w:szCs w:val="22"/>
          <w:lang w:val="en-GB"/>
        </w:rPr>
      </w:pPr>
      <w:r w:rsidRPr="00EF4C81">
        <w:rPr>
          <w:color w:val="auto"/>
          <w:sz w:val="22"/>
          <w:szCs w:val="22"/>
          <w:lang w:val="en-GB"/>
        </w:rPr>
        <w:t xml:space="preserve">Two out of </w:t>
      </w:r>
      <w:r w:rsidR="000808BC" w:rsidRPr="00EF4C81">
        <w:rPr>
          <w:color w:val="auto"/>
          <w:sz w:val="22"/>
          <w:szCs w:val="22"/>
          <w:lang w:val="en-GB"/>
        </w:rPr>
        <w:t>10</w:t>
      </w:r>
      <w:r w:rsidRPr="00EF4C81">
        <w:rPr>
          <w:color w:val="auto"/>
          <w:sz w:val="22"/>
          <w:szCs w:val="22"/>
          <w:lang w:val="en-GB"/>
        </w:rPr>
        <w:t xml:space="preserve"> contracted outputs for the Growing Up in New Zealand study were late, one by two weeks, one by four weeks. Late outputs were completed satisfactorily within a month of the contracted deadline.</w:t>
      </w:r>
    </w:p>
    <w:p w:rsidR="009D38E8" w:rsidRPr="00EF4C81" w:rsidRDefault="000808BC" w:rsidP="000F2846">
      <w:pPr>
        <w:pStyle w:val="text"/>
        <w:spacing w:after="240"/>
        <w:rPr>
          <w:color w:val="auto"/>
          <w:sz w:val="22"/>
          <w:szCs w:val="22"/>
          <w:lang w:val="en-GB"/>
        </w:rPr>
      </w:pPr>
      <w:r w:rsidRPr="00EF4C81">
        <w:rPr>
          <w:color w:val="auto"/>
          <w:sz w:val="22"/>
          <w:szCs w:val="22"/>
          <w:lang w:val="en-GB"/>
        </w:rPr>
        <w:t>The r</w:t>
      </w:r>
      <w:r w:rsidR="009D38E8" w:rsidRPr="00EF4C81">
        <w:rPr>
          <w:color w:val="auto"/>
          <w:sz w:val="22"/>
          <w:szCs w:val="22"/>
          <w:lang w:val="en-GB"/>
        </w:rPr>
        <w:t>esponsibility for th</w:t>
      </w:r>
      <w:r w:rsidRPr="00EF4C81">
        <w:rPr>
          <w:color w:val="auto"/>
          <w:sz w:val="22"/>
          <w:szCs w:val="22"/>
          <w:lang w:val="en-GB"/>
        </w:rPr>
        <w:t>is</w:t>
      </w:r>
      <w:r w:rsidR="009D38E8" w:rsidRPr="00EF4C81">
        <w:rPr>
          <w:color w:val="auto"/>
          <w:sz w:val="22"/>
          <w:szCs w:val="22"/>
          <w:lang w:val="en-GB"/>
        </w:rPr>
        <w:t xml:space="preserve"> longitudinal study is </w:t>
      </w:r>
      <w:r w:rsidR="00AE5EED" w:rsidRPr="00EF4C81">
        <w:rPr>
          <w:color w:val="auto"/>
          <w:sz w:val="22"/>
          <w:szCs w:val="22"/>
          <w:lang w:val="en-GB"/>
        </w:rPr>
        <w:t>transferring</w:t>
      </w:r>
      <w:r w:rsidR="009D38E8" w:rsidRPr="00EF4C81">
        <w:rPr>
          <w:color w:val="auto"/>
          <w:sz w:val="22"/>
          <w:szCs w:val="22"/>
          <w:lang w:val="en-GB"/>
        </w:rPr>
        <w:t xml:space="preserve"> to the Families Commission</w:t>
      </w:r>
      <w:r w:rsidR="00AE5EED" w:rsidRPr="00EF4C81">
        <w:rPr>
          <w:color w:val="auto"/>
          <w:sz w:val="22"/>
          <w:szCs w:val="22"/>
          <w:lang w:val="en-GB"/>
        </w:rPr>
        <w:t>'s new Social Policy and Evaluation Research Unit (</w:t>
      </w:r>
      <w:proofErr w:type="spellStart"/>
      <w:r w:rsidR="00AE5EED" w:rsidRPr="00EF4C81">
        <w:rPr>
          <w:color w:val="auto"/>
          <w:sz w:val="22"/>
          <w:szCs w:val="22"/>
          <w:lang w:val="en-GB"/>
        </w:rPr>
        <w:t>SuPERU</w:t>
      </w:r>
      <w:proofErr w:type="spellEnd"/>
      <w:r w:rsidR="00AE5EED" w:rsidRPr="00EF4C81">
        <w:rPr>
          <w:color w:val="auto"/>
          <w:sz w:val="22"/>
          <w:szCs w:val="22"/>
          <w:lang w:val="en-GB"/>
        </w:rPr>
        <w:t xml:space="preserve">) from 1 </w:t>
      </w:r>
      <w:r w:rsidR="009D38E8" w:rsidRPr="00EF4C81">
        <w:rPr>
          <w:color w:val="auto"/>
          <w:sz w:val="22"/>
          <w:szCs w:val="22"/>
          <w:lang w:val="en-GB"/>
        </w:rPr>
        <w:t xml:space="preserve">October 2013. In this event, this performance measure will not be reported </w:t>
      </w:r>
      <w:r w:rsidR="00DF4981" w:rsidRPr="00EF4C81">
        <w:rPr>
          <w:color w:val="auto"/>
          <w:sz w:val="22"/>
          <w:szCs w:val="22"/>
          <w:lang w:val="en-GB"/>
        </w:rPr>
        <w:t xml:space="preserve">by </w:t>
      </w:r>
      <w:r w:rsidR="000F2846" w:rsidRPr="00EF4C81">
        <w:rPr>
          <w:color w:val="auto"/>
          <w:sz w:val="22"/>
          <w:szCs w:val="22"/>
          <w:lang w:val="en-GB"/>
        </w:rPr>
        <w:t xml:space="preserve">the Ministry </w:t>
      </w:r>
      <w:r w:rsidR="009D38E8" w:rsidRPr="00EF4C81">
        <w:rPr>
          <w:color w:val="auto"/>
          <w:sz w:val="22"/>
          <w:szCs w:val="22"/>
          <w:lang w:val="en-GB"/>
        </w:rPr>
        <w:t>in 2013-2014.</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60"/>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2,088</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2,088</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2,088</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1,322</w:t>
            </w:r>
          </w:p>
        </w:tc>
      </w:tr>
      <w:tr w:rsidR="009D38E8" w:rsidRPr="00EF4C81" w:rsidTr="00A36A23">
        <w:trPr>
          <w:trHeight w:val="255"/>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3,410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2,088</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3,410</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3,410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2,088</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3,410</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header"/>
        <w:rPr>
          <w:color w:val="auto"/>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rPr>
      </w:pPr>
      <w:r w:rsidRPr="00EF4C81">
        <w:rPr>
          <w:color w:val="auto"/>
        </w:rPr>
        <w:t>Output</w:t>
      </w:r>
      <w:r w:rsidR="00DF4981" w:rsidRPr="00EF4C81">
        <w:rPr>
          <w:color w:val="auto"/>
        </w:rPr>
        <w:t xml:space="preserve"> Class</w:t>
      </w:r>
      <w:r w:rsidRPr="00EF4C81">
        <w:rPr>
          <w:color w:val="auto"/>
        </w:rPr>
        <w:t xml:space="preserve">: Longitudinal Studies </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474"/>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
              <w:ind w:left="123" w:hanging="14"/>
              <w:jc w:val="left"/>
              <w:rPr>
                <w:color w:val="auto"/>
              </w:rPr>
            </w:pPr>
            <w:r w:rsidRPr="00EF4C81">
              <w:rPr>
                <w:color w:val="auto"/>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542"/>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 xml:space="preserve">A review panel confirms that contracted deliverables meet acceptable standards in at least  </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100%</w:t>
            </w:r>
            <w:r w:rsidR="004E76F1" w:rsidRPr="00EF4C81">
              <w:rPr>
                <w:color w:val="auto"/>
              </w:rPr>
              <w:t xml:space="preserve"> of cases</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90–95% of cases</w:t>
            </w:r>
          </w:p>
        </w:tc>
      </w:tr>
      <w:tr w:rsidR="009D38E8" w:rsidRPr="00EF4C81" w:rsidTr="00A36A23">
        <w:trPr>
          <w:trHeight w:val="542"/>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49075A" w:rsidP="00A36A23">
            <w:pPr>
              <w:pStyle w:val="FinFigures"/>
              <w:rPr>
                <w:color w:val="auto"/>
              </w:rPr>
            </w:pPr>
            <w:r w:rsidRPr="00EF4C81">
              <w:rPr>
                <w:color w:val="auto"/>
                <w:lang w:val="en-GB"/>
              </w:rPr>
              <w:t>New measure in 2012/2013</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contracted outputs that are delivered and completed within the agreed period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0912BE">
            <w:pPr>
              <w:pStyle w:val="FinFigures"/>
              <w:rPr>
                <w:color w:val="auto"/>
              </w:rPr>
            </w:pPr>
            <w:r w:rsidRPr="00EF4C81">
              <w:rPr>
                <w:color w:val="auto"/>
              </w:rPr>
              <w:t>80%</w:t>
            </w:r>
            <w:r w:rsidR="004E76F1" w:rsidRPr="00EF4C81">
              <w:rPr>
                <w:color w:val="auto"/>
              </w:rPr>
              <w:t xml:space="preserve"> of cases</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90–95% of cases</w:t>
            </w:r>
          </w:p>
        </w:tc>
      </w:tr>
    </w:tbl>
    <w:p w:rsidR="009D38E8" w:rsidRPr="00EF4C81" w:rsidRDefault="009D38E8" w:rsidP="009D38E8">
      <w:pPr>
        <w:pStyle w:val="text"/>
        <w:rPr>
          <w:color w:val="auto"/>
        </w:rPr>
      </w:pPr>
    </w:p>
    <w:p w:rsidR="000F2846" w:rsidRPr="00EF4C81" w:rsidRDefault="000F2846" w:rsidP="009D38E8">
      <w:pPr>
        <w:pStyle w:val="Tableheader"/>
        <w:rPr>
          <w:color w:val="auto"/>
          <w:lang w:val="en-GB"/>
        </w:rPr>
      </w:pPr>
    </w:p>
    <w:p w:rsidR="000F2846" w:rsidRPr="00EF4C81" w:rsidRDefault="000F2846" w:rsidP="009D38E8">
      <w:pPr>
        <w:pStyle w:val="Tableheader"/>
        <w:rPr>
          <w:color w:val="auto"/>
          <w:lang w:val="en-GB"/>
        </w:rPr>
      </w:pPr>
    </w:p>
    <w:p w:rsidR="009D38E8" w:rsidRPr="00EF4C81" w:rsidRDefault="009D38E8" w:rsidP="009D38E8">
      <w:pPr>
        <w:pStyle w:val="Tableheader"/>
        <w:rPr>
          <w:color w:val="auto"/>
          <w:lang w:val="en-GB"/>
        </w:rPr>
      </w:pPr>
      <w:r w:rsidRPr="00EF4C81">
        <w:rPr>
          <w:color w:val="auto"/>
          <w:lang w:val="en-GB"/>
        </w:rPr>
        <w:lastRenderedPageBreak/>
        <w:t>Output Class: Policy Advice</w:t>
      </w:r>
    </w:p>
    <w:p w:rsidR="009D38E8" w:rsidRPr="00EF4C81" w:rsidRDefault="009D38E8" w:rsidP="009D38E8">
      <w:pPr>
        <w:pStyle w:val="subhead"/>
        <w:rPr>
          <w:b/>
          <w:color w:val="auto"/>
          <w:lang w:val="en-GB"/>
        </w:rPr>
      </w:pPr>
      <w:r w:rsidRPr="00EF4C81">
        <w:rPr>
          <w:b/>
          <w:color w:val="auto"/>
          <w:lang w:val="en-GB"/>
        </w:rPr>
        <w:t>Scope</w:t>
      </w:r>
    </w:p>
    <w:p w:rsidR="009D38E8" w:rsidRPr="00EF4C81" w:rsidRDefault="009D38E8" w:rsidP="000F2846">
      <w:pPr>
        <w:pStyle w:val="text"/>
        <w:spacing w:after="240"/>
        <w:rPr>
          <w:color w:val="auto"/>
          <w:sz w:val="22"/>
          <w:szCs w:val="22"/>
          <w:lang w:val="en-GB"/>
        </w:rPr>
      </w:pPr>
      <w:r w:rsidRPr="00EF4C81">
        <w:rPr>
          <w:color w:val="auto"/>
          <w:sz w:val="22"/>
          <w:szCs w:val="22"/>
          <w:lang w:val="en-GB"/>
        </w:rPr>
        <w:t>This output class is limited to providing advice (including second opinion advice and contributions to policy advice led by other agencies) to support decision-making by Ministers on government social policy matters, including social sector issues.</w:t>
      </w:r>
    </w:p>
    <w:p w:rsidR="009D38E8" w:rsidRPr="00EF4C81" w:rsidRDefault="009D38E8" w:rsidP="009D38E8">
      <w:pPr>
        <w:pStyle w:val="subhead"/>
        <w:rPr>
          <w:b/>
          <w:color w:val="auto"/>
          <w:lang w:val="en-GB"/>
        </w:rPr>
      </w:pPr>
      <w:r w:rsidRPr="00EF4C81">
        <w:rPr>
          <w:b/>
          <w:color w:val="auto"/>
          <w:lang w:val="en-GB"/>
        </w:rPr>
        <w:t>Summary of Performance</w:t>
      </w:r>
    </w:p>
    <w:p w:rsidR="009D38E8" w:rsidRPr="00EF4C81" w:rsidRDefault="009D38E8" w:rsidP="000F2846">
      <w:pPr>
        <w:pStyle w:val="text"/>
        <w:spacing w:after="240"/>
        <w:rPr>
          <w:color w:val="auto"/>
          <w:sz w:val="22"/>
          <w:szCs w:val="22"/>
          <w:lang w:val="en-GB"/>
        </w:rPr>
      </w:pPr>
      <w:r w:rsidRPr="00EF4C81">
        <w:rPr>
          <w:color w:val="auto"/>
          <w:sz w:val="22"/>
          <w:szCs w:val="22"/>
          <w:lang w:val="en-GB"/>
        </w:rPr>
        <w:t>All three performance standards in this output class were met.</w:t>
      </w:r>
    </w:p>
    <w:p w:rsidR="009D38E8" w:rsidRPr="00EF4C81" w:rsidRDefault="00C70207" w:rsidP="000F2846">
      <w:pPr>
        <w:pStyle w:val="text"/>
        <w:spacing w:after="240"/>
        <w:rPr>
          <w:color w:val="auto"/>
          <w:sz w:val="22"/>
          <w:szCs w:val="22"/>
          <w:lang w:val="en-GB"/>
        </w:rPr>
      </w:pPr>
      <w:r w:rsidRPr="00EF4C81">
        <w:rPr>
          <w:color w:val="auto"/>
          <w:sz w:val="22"/>
          <w:szCs w:val="22"/>
          <w:lang w:val="en-GB"/>
        </w:rPr>
        <w:t>The New Zealand Institute of Economic Research (NZIER) reviewed a sample of policy advice papers completed by the Ministry in the July 2012 to June 2013 period. NZIER's assessment of the papers against pre-determined criteria confirmed that the Ministry's policy advice met acceptable standards.</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60"/>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18,362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18,362</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18,362</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18,362</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18,362</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18,362</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17,</w:t>
            </w:r>
            <w:r w:rsidR="00FB6563" w:rsidRPr="00EF4C81">
              <w:rPr>
                <w:color w:val="auto"/>
              </w:rPr>
              <w:t>304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18,362</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18,362</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FB6563">
            <w:pPr>
              <w:pStyle w:val="FinFigures"/>
              <w:rPr>
                <w:color w:val="auto"/>
              </w:rPr>
            </w:pPr>
            <w:r w:rsidRPr="00EF4C81">
              <w:rPr>
                <w:color w:val="auto"/>
              </w:rPr>
              <w:t>1,0</w:t>
            </w:r>
            <w:r w:rsidR="00FB6563" w:rsidRPr="00EF4C81">
              <w:rPr>
                <w:color w:val="auto"/>
              </w:rPr>
              <w:t>58</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header"/>
        <w:rPr>
          <w:color w:val="auto"/>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rPr>
      </w:pPr>
      <w:r w:rsidRPr="00EF4C81">
        <w:rPr>
          <w:color w:val="auto"/>
        </w:rPr>
        <w:t>Output</w:t>
      </w:r>
      <w:r w:rsidR="00CB3781" w:rsidRPr="00EF4C81">
        <w:rPr>
          <w:color w:val="auto"/>
        </w:rPr>
        <w:t xml:space="preserve"> Class</w:t>
      </w:r>
      <w:r w:rsidRPr="00EF4C81">
        <w:rPr>
          <w:color w:val="auto"/>
        </w:rPr>
        <w:t xml:space="preserve">: Policy Advice </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474"/>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
              <w:ind w:left="123" w:hanging="14"/>
              <w:jc w:val="left"/>
              <w:rPr>
                <w:color w:val="auto"/>
              </w:rPr>
            </w:pPr>
            <w:r w:rsidRPr="00EF4C81">
              <w:rPr>
                <w:color w:val="auto"/>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542"/>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Policy advice will be delivered in accordance with work priorities identified and advised by Ministers</w:t>
            </w:r>
            <w:r w:rsidRPr="00EF4C81">
              <w:rPr>
                <w:rStyle w:val="FootnoteReference"/>
                <w:color w:val="auto"/>
                <w:lang w:val="en-GB"/>
              </w:rPr>
              <w:footnoteReference w:id="38"/>
            </w:r>
            <w:r w:rsidRPr="00EF4C81">
              <w:rPr>
                <w:rStyle w:val="fintextheavyFINANCIALS"/>
                <w:color w:val="auto"/>
                <w:lang w:val="en-GB"/>
              </w:rPr>
              <w:t xml:space="preserve"> </w:t>
            </w:r>
            <w:r w:rsidRPr="00EF4C81">
              <w:rPr>
                <w:color w:val="auto"/>
                <w:lang w:val="en-GB"/>
              </w:rPr>
              <w:t xml:space="preserve">  </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r w:rsidRPr="00EF4C81">
              <w:rPr>
                <w:rStyle w:val="FootnoteReference"/>
                <w:color w:val="auto"/>
                <w:lang w:val="en-GB"/>
              </w:rPr>
              <w:footnoteReference w:id="39"/>
            </w:r>
          </w:p>
        </w:tc>
      </w:tr>
      <w:tr w:rsidR="009D38E8" w:rsidRPr="00EF4C81" w:rsidTr="00A36A23">
        <w:trPr>
          <w:trHeight w:val="542"/>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97% of cases</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An audit</w:t>
            </w:r>
            <w:r w:rsidRPr="00EF4C81">
              <w:rPr>
                <w:rStyle w:val="FootnoteReference"/>
                <w:color w:val="auto"/>
                <w:lang w:val="en-GB"/>
              </w:rPr>
              <w:footnoteReference w:id="40"/>
            </w:r>
            <w:r w:rsidRPr="00EF4C81">
              <w:rPr>
                <w:rStyle w:val="fintextheavyFINANCIALS"/>
                <w:color w:val="auto"/>
                <w:lang w:val="en-GB"/>
              </w:rPr>
              <w:t xml:space="preserve"> shows the Ministry of Social Development's quality assurance processes have been followed in at least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95%</w:t>
            </w:r>
            <w:r w:rsidR="00992E63" w:rsidRPr="00EF4C81">
              <w:rPr>
                <w:color w:val="auto"/>
              </w:rPr>
              <w:t>of cases</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90–95% of cases</w:t>
            </w:r>
          </w:p>
        </w:tc>
      </w:tr>
      <w:tr w:rsidR="009D38E8" w:rsidRPr="00EF4C81" w:rsidTr="00A36A23">
        <w:trPr>
          <w:trHeight w:val="542"/>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Standard met</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An independent review of the Ministry of Social Development's policy advice confirms that it meets acceptable standards based on pre-determined criteria</w:t>
            </w:r>
            <w:r w:rsidRPr="00EF4C81">
              <w:rPr>
                <w:rStyle w:val="FootnoteReference"/>
                <w:color w:val="auto"/>
                <w:lang w:val="en-GB"/>
              </w:rPr>
              <w:footnoteReference w:id="41"/>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Standard met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Standard met</w:t>
            </w:r>
            <w:r w:rsidRPr="00EF4C81">
              <w:rPr>
                <w:rStyle w:val="FootnoteReference"/>
                <w:color w:val="auto"/>
                <w:lang w:val="en-GB"/>
              </w:rPr>
              <w:footnoteReference w:id="42"/>
            </w:r>
          </w:p>
        </w:tc>
      </w:tr>
    </w:tbl>
    <w:p w:rsidR="009D38E8" w:rsidRPr="00EF4C81" w:rsidRDefault="009D38E8" w:rsidP="009D38E8">
      <w:pPr>
        <w:pStyle w:val="text"/>
        <w:rPr>
          <w:color w:val="auto"/>
        </w:rPr>
      </w:pPr>
    </w:p>
    <w:p w:rsidR="009D38E8" w:rsidRPr="00EF4C81" w:rsidRDefault="009D38E8" w:rsidP="009D38E8">
      <w:pPr>
        <w:pStyle w:val="Tableheader"/>
        <w:rPr>
          <w:color w:val="auto"/>
          <w:lang w:val="en-GB"/>
        </w:rPr>
      </w:pPr>
      <w:r w:rsidRPr="00EF4C81">
        <w:rPr>
          <w:color w:val="auto"/>
          <w:lang w:val="en-GB"/>
        </w:rPr>
        <w:t xml:space="preserve">Output Class: Research and Evaluation </w:t>
      </w:r>
    </w:p>
    <w:p w:rsidR="009D38E8" w:rsidRPr="00D173BB" w:rsidRDefault="009D38E8" w:rsidP="00D173BB">
      <w:pPr>
        <w:pStyle w:val="Subtitle"/>
      </w:pPr>
      <w:r w:rsidRPr="00D173BB">
        <w:t>Scope</w:t>
      </w:r>
    </w:p>
    <w:p w:rsidR="009D38E8" w:rsidRPr="00EF4C81" w:rsidRDefault="009D38E8" w:rsidP="000F2846">
      <w:pPr>
        <w:pStyle w:val="text"/>
        <w:spacing w:after="240"/>
        <w:rPr>
          <w:color w:val="auto"/>
          <w:sz w:val="22"/>
          <w:szCs w:val="22"/>
          <w:lang w:val="en-GB"/>
        </w:rPr>
      </w:pPr>
      <w:r w:rsidRPr="00EF4C81">
        <w:rPr>
          <w:color w:val="auto"/>
          <w:sz w:val="22"/>
          <w:szCs w:val="22"/>
          <w:lang w:val="en-GB"/>
        </w:rPr>
        <w:t xml:space="preserve">This output class is limited to providing research and evaluation to inform the development of social policy advice and to support government decision-making. </w:t>
      </w:r>
    </w:p>
    <w:p w:rsidR="009D38E8" w:rsidRPr="00D173BB" w:rsidRDefault="009D38E8" w:rsidP="00D173BB">
      <w:pPr>
        <w:pStyle w:val="Subtitle"/>
      </w:pPr>
      <w:r w:rsidRPr="00D173BB">
        <w:t>Summary of Performance</w:t>
      </w:r>
    </w:p>
    <w:p w:rsidR="009D38E8" w:rsidRPr="00EF4C81" w:rsidRDefault="009D38E8" w:rsidP="000F2846">
      <w:pPr>
        <w:pStyle w:val="text"/>
        <w:spacing w:after="240"/>
        <w:rPr>
          <w:color w:val="auto"/>
          <w:sz w:val="22"/>
          <w:szCs w:val="22"/>
          <w:lang w:val="en-GB"/>
        </w:rPr>
      </w:pPr>
      <w:r w:rsidRPr="00EF4C81">
        <w:rPr>
          <w:color w:val="auto"/>
          <w:sz w:val="22"/>
          <w:szCs w:val="22"/>
          <w:lang w:val="en-GB"/>
        </w:rPr>
        <w:t xml:space="preserve">All three performance standards in this output </w:t>
      </w:r>
      <w:r w:rsidR="003756C8" w:rsidRPr="00EF4C81">
        <w:rPr>
          <w:color w:val="auto"/>
          <w:sz w:val="22"/>
          <w:szCs w:val="22"/>
          <w:lang w:val="en-GB"/>
        </w:rPr>
        <w:t>class</w:t>
      </w:r>
      <w:r w:rsidRPr="00EF4C81">
        <w:rPr>
          <w:color w:val="auto"/>
          <w:sz w:val="22"/>
          <w:szCs w:val="22"/>
          <w:lang w:val="en-GB"/>
        </w:rPr>
        <w:t xml:space="preserve"> have been met or exceeded.</w:t>
      </w:r>
    </w:p>
    <w:p w:rsidR="009D38E8" w:rsidRPr="00EF4C81" w:rsidRDefault="000F2846" w:rsidP="000F2846">
      <w:pPr>
        <w:pStyle w:val="text"/>
        <w:spacing w:after="240"/>
        <w:rPr>
          <w:color w:val="auto"/>
          <w:sz w:val="22"/>
          <w:szCs w:val="22"/>
          <w:lang w:val="en-GB"/>
        </w:rPr>
      </w:pPr>
      <w:r w:rsidRPr="00EF4C81">
        <w:rPr>
          <w:color w:val="auto"/>
          <w:sz w:val="22"/>
          <w:szCs w:val="22"/>
          <w:lang w:val="en-GB"/>
        </w:rPr>
        <w:t>In 2012/2013, a</w:t>
      </w:r>
      <w:r w:rsidR="009D38E8" w:rsidRPr="00EF4C81">
        <w:rPr>
          <w:color w:val="auto"/>
          <w:sz w:val="22"/>
          <w:szCs w:val="22"/>
          <w:lang w:val="en-GB"/>
        </w:rPr>
        <w:t xml:space="preserve"> sample of five research and evaluation papers was audited</w:t>
      </w:r>
      <w:r w:rsidR="003756C8" w:rsidRPr="00EF4C81">
        <w:rPr>
          <w:color w:val="auto"/>
          <w:sz w:val="22"/>
          <w:szCs w:val="22"/>
          <w:lang w:val="en-GB"/>
        </w:rPr>
        <w:t>.</w:t>
      </w:r>
      <w:r w:rsidR="009D38E8" w:rsidRPr="00EF4C81">
        <w:rPr>
          <w:color w:val="auto"/>
          <w:sz w:val="22"/>
          <w:szCs w:val="22"/>
          <w:lang w:val="en-GB"/>
        </w:rPr>
        <w:t xml:space="preserve"> </w:t>
      </w:r>
      <w:r w:rsidR="003756C8" w:rsidRPr="00EF4C81">
        <w:rPr>
          <w:color w:val="auto"/>
          <w:sz w:val="22"/>
          <w:szCs w:val="22"/>
          <w:lang w:val="en-GB"/>
        </w:rPr>
        <w:t>I</w:t>
      </w:r>
      <w:r w:rsidR="009D38E8" w:rsidRPr="00EF4C81">
        <w:rPr>
          <w:color w:val="auto"/>
          <w:sz w:val="22"/>
          <w:szCs w:val="22"/>
          <w:lang w:val="en-GB"/>
        </w:rPr>
        <w:t>n all cases the correct quality assurance process was followed, giving a standard achieved of 100 per cent.</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60"/>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7,130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3,650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7,130</w:t>
            </w:r>
          </w:p>
        </w:tc>
      </w:tr>
      <w:tr w:rsidR="009D38E8" w:rsidRPr="00EF4C81" w:rsidTr="00A36A23">
        <w:trPr>
          <w:trHeight w:val="255"/>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7,130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3,650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7,130</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22186B">
            <w:pPr>
              <w:pStyle w:val="FinFigures"/>
              <w:rPr>
                <w:color w:val="auto"/>
              </w:rPr>
            </w:pPr>
            <w:r w:rsidRPr="00EF4C81">
              <w:rPr>
                <w:color w:val="auto"/>
              </w:rPr>
              <w:t>5,44</w:t>
            </w:r>
            <w:r w:rsidR="0022186B" w:rsidRPr="00EF4C81">
              <w:rPr>
                <w:color w:val="auto"/>
              </w:rPr>
              <w:t>9</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3,650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7,130</w:t>
            </w:r>
          </w:p>
        </w:tc>
      </w:tr>
      <w:tr w:rsidR="009D38E8" w:rsidRPr="00EF4C81" w:rsidTr="00A36A23">
        <w:trPr>
          <w:trHeight w:val="255"/>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22186B">
            <w:pPr>
              <w:pStyle w:val="FinFigures"/>
              <w:rPr>
                <w:color w:val="auto"/>
              </w:rPr>
            </w:pPr>
            <w:r w:rsidRPr="00EF4C81">
              <w:rPr>
                <w:color w:val="auto"/>
              </w:rPr>
              <w:t>1,68</w:t>
            </w:r>
            <w:r w:rsidR="0022186B" w:rsidRPr="00EF4C81">
              <w:rPr>
                <w:color w:val="auto"/>
              </w:rPr>
              <w:t>1</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header"/>
        <w:rPr>
          <w:color w:val="auto"/>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9D38E8" w:rsidRPr="00EF4C81" w:rsidRDefault="009D38E8" w:rsidP="009D38E8">
      <w:pPr>
        <w:pStyle w:val="Tableheader2"/>
        <w:rPr>
          <w:color w:val="auto"/>
        </w:rPr>
      </w:pPr>
      <w:r w:rsidRPr="00EF4C81">
        <w:rPr>
          <w:color w:val="auto"/>
        </w:rPr>
        <w:t>Output</w:t>
      </w:r>
      <w:r w:rsidR="003756C8" w:rsidRPr="00EF4C81">
        <w:rPr>
          <w:color w:val="auto"/>
        </w:rPr>
        <w:t xml:space="preserve"> Class</w:t>
      </w:r>
      <w:r w:rsidRPr="00EF4C81">
        <w:rPr>
          <w:color w:val="auto"/>
        </w:rPr>
        <w:t xml:space="preserve">: Research and Evaluation </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474"/>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
              <w:ind w:left="123" w:hanging="14"/>
              <w:jc w:val="left"/>
              <w:rPr>
                <w:color w:val="auto"/>
              </w:rPr>
            </w:pPr>
            <w:r w:rsidRPr="00EF4C81">
              <w:rPr>
                <w:color w:val="auto"/>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542"/>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Research and evaluation will be delivered in accordance with work priorities identified and advised by Ministers</w:t>
            </w:r>
            <w:r w:rsidRPr="00EF4C81">
              <w:rPr>
                <w:rStyle w:val="FootnoteReference"/>
                <w:color w:val="auto"/>
                <w:lang w:val="en-GB"/>
              </w:rPr>
              <w:footnoteReference w:id="43"/>
            </w:r>
            <w:r w:rsidRPr="00EF4C81">
              <w:rPr>
                <w:rStyle w:val="fintextheavyFINANCIALS"/>
                <w:color w:val="auto"/>
                <w:lang w:val="en-GB"/>
              </w:rPr>
              <w:t xml:space="preserve"> </w:t>
            </w:r>
            <w:r w:rsidRPr="00EF4C81">
              <w:rPr>
                <w:color w:val="auto"/>
                <w:lang w:val="en-GB"/>
              </w:rPr>
              <w:t xml:space="preserve">  </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Standard met</w:t>
            </w:r>
            <w:r w:rsidRPr="00EF4C81">
              <w:rPr>
                <w:rStyle w:val="FootnoteReference"/>
                <w:color w:val="auto"/>
                <w:lang w:val="en-GB"/>
              </w:rPr>
              <w:footnoteReference w:id="44"/>
            </w:r>
          </w:p>
        </w:tc>
      </w:tr>
      <w:tr w:rsidR="009D38E8" w:rsidRPr="00EF4C81" w:rsidTr="00A36A23">
        <w:trPr>
          <w:trHeight w:val="542"/>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An audit</w:t>
            </w:r>
            <w:r w:rsidRPr="00EF4C81">
              <w:rPr>
                <w:rStyle w:val="FootnoteReference"/>
                <w:color w:val="auto"/>
                <w:lang w:val="en-GB"/>
              </w:rPr>
              <w:footnoteReference w:id="45"/>
            </w:r>
            <w:r w:rsidRPr="00EF4C81">
              <w:rPr>
                <w:rStyle w:val="fintextheavyFINANCIALS"/>
                <w:color w:val="auto"/>
                <w:lang w:val="en-GB"/>
              </w:rPr>
              <w:t xml:space="preserve"> shows the Ministry of Social Development's quality assurance processes have been followed in at least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r w:rsidR="004C24C9" w:rsidRPr="00EF4C81">
              <w:rPr>
                <w:color w:val="auto"/>
              </w:rPr>
              <w:t xml:space="preserve"> of cases</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90–95% of cases</w:t>
            </w:r>
          </w:p>
        </w:tc>
      </w:tr>
      <w:tr w:rsidR="009D38E8" w:rsidRPr="00EF4C81" w:rsidTr="00A36A23">
        <w:trPr>
          <w:trHeight w:val="542"/>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An independent review of the Ministry of Social Development's research and evaluation advice confirms that it meets acceptable standards based on pre-determined criteria</w:t>
            </w:r>
            <w:r w:rsidRPr="00EF4C81">
              <w:rPr>
                <w:rStyle w:val="FootnoteReference"/>
                <w:color w:val="auto"/>
                <w:lang w:val="en-GB"/>
              </w:rPr>
              <w:footnoteReference w:id="46"/>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Standard met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Standard met</w:t>
            </w:r>
            <w:r w:rsidRPr="00EF4C81">
              <w:rPr>
                <w:rStyle w:val="FootnoteReference"/>
                <w:color w:val="auto"/>
                <w:lang w:val="en-GB"/>
              </w:rPr>
              <w:footnoteReference w:id="47"/>
            </w:r>
          </w:p>
        </w:tc>
      </w:tr>
    </w:tbl>
    <w:p w:rsidR="009D38E8" w:rsidRPr="00EF4C81" w:rsidRDefault="009D38E8" w:rsidP="009D38E8">
      <w:pPr>
        <w:pStyle w:val="text"/>
        <w:rPr>
          <w:color w:val="auto"/>
        </w:rPr>
      </w:pPr>
    </w:p>
    <w:p w:rsidR="009D38E8" w:rsidRPr="00D173BB" w:rsidRDefault="009D38E8" w:rsidP="00D173BB">
      <w:pPr>
        <w:pStyle w:val="Heading3"/>
      </w:pPr>
      <w:r w:rsidRPr="00D173BB">
        <w:t xml:space="preserve">Output Expense: Tailored Sets of Services to Help People into Work or </w:t>
      </w:r>
      <w:r w:rsidRPr="00D173BB">
        <w:br/>
        <w:t>Achieve Independence</w:t>
      </w:r>
    </w:p>
    <w:p w:rsidR="009D38E8" w:rsidRPr="00D173BB" w:rsidRDefault="009D38E8" w:rsidP="00D173BB">
      <w:pPr>
        <w:pStyle w:val="Subtitle"/>
      </w:pPr>
      <w:r w:rsidRPr="00D173BB">
        <w:t>Scope</w:t>
      </w:r>
    </w:p>
    <w:p w:rsidR="009D38E8" w:rsidRPr="00EF4C81" w:rsidRDefault="009D38E8" w:rsidP="000F2846">
      <w:pPr>
        <w:pStyle w:val="text"/>
        <w:spacing w:after="240"/>
        <w:rPr>
          <w:color w:val="auto"/>
          <w:spacing w:val="-1"/>
          <w:sz w:val="22"/>
          <w:szCs w:val="22"/>
          <w:lang w:val="en-GB"/>
        </w:rPr>
      </w:pPr>
      <w:r w:rsidRPr="00EF4C81">
        <w:rPr>
          <w:color w:val="auto"/>
          <w:sz w:val="22"/>
          <w:szCs w:val="22"/>
          <w:lang w:val="en-GB"/>
        </w:rPr>
        <w:t xml:space="preserve">The appropriation is limited to delivering tailored sets of services to individuals to help them into sustainable employment, participate more fully in their community or achieve a greater level of social independence; and the management of related non-departmental output contracts. </w:t>
      </w:r>
      <w:r w:rsidRPr="00EF4C81">
        <w:rPr>
          <w:color w:val="auto"/>
          <w:spacing w:val="-1"/>
          <w:sz w:val="22"/>
          <w:szCs w:val="22"/>
          <w:lang w:val="en-GB"/>
        </w:rPr>
        <w:t>The composition of each set of services is determined by the individual’s needs and selected from a mix of employment, readiness training and support, employment placement, social support services, payment of income support and training support benefits, and referrals to other employment or social support providers.</w:t>
      </w:r>
    </w:p>
    <w:p w:rsidR="009D38E8" w:rsidRPr="00D173BB" w:rsidRDefault="009D38E8" w:rsidP="00D173BB">
      <w:pPr>
        <w:pStyle w:val="Subtitle"/>
      </w:pPr>
      <w:r w:rsidRPr="00D173BB">
        <w:t>Summary of Performance</w:t>
      </w:r>
    </w:p>
    <w:p w:rsidR="009D38E8" w:rsidRPr="00EF4C81" w:rsidRDefault="009D38E8" w:rsidP="000F2846">
      <w:pPr>
        <w:pStyle w:val="text"/>
        <w:spacing w:after="240"/>
        <w:rPr>
          <w:color w:val="auto"/>
          <w:sz w:val="22"/>
          <w:szCs w:val="22"/>
          <w:lang w:val="en-GB"/>
        </w:rPr>
      </w:pPr>
      <w:r w:rsidRPr="00EF4C81">
        <w:rPr>
          <w:color w:val="auto"/>
          <w:sz w:val="22"/>
          <w:szCs w:val="22"/>
          <w:lang w:val="en-GB"/>
        </w:rPr>
        <w:t xml:space="preserve">All performance standards in this output expense were met or exceeded. </w:t>
      </w:r>
    </w:p>
    <w:p w:rsidR="000F2846" w:rsidRPr="00EF4C81" w:rsidRDefault="000F2846" w:rsidP="000F2846">
      <w:pPr>
        <w:pStyle w:val="text"/>
        <w:spacing w:after="240"/>
        <w:rPr>
          <w:color w:val="auto"/>
          <w:sz w:val="22"/>
          <w:szCs w:val="22"/>
          <w:lang w:val="en-GB"/>
        </w:rPr>
      </w:pPr>
      <w:r w:rsidRPr="00EF4C81">
        <w:rPr>
          <w:color w:val="auto"/>
          <w:sz w:val="22"/>
          <w:szCs w:val="22"/>
          <w:lang w:val="en-GB"/>
        </w:rPr>
        <w:t>As at 30 June 2013, t</w:t>
      </w:r>
      <w:r w:rsidR="009D38E8" w:rsidRPr="00EF4C81">
        <w:rPr>
          <w:color w:val="auto"/>
          <w:sz w:val="22"/>
          <w:szCs w:val="22"/>
          <w:lang w:val="en-GB"/>
        </w:rPr>
        <w:t xml:space="preserve">here were 48,438 Unemployment Benefit jobseekers, compared to 49,622 at the same time </w:t>
      </w:r>
      <w:r w:rsidR="006405E7" w:rsidRPr="00EF4C81">
        <w:rPr>
          <w:color w:val="auto"/>
          <w:sz w:val="22"/>
          <w:szCs w:val="22"/>
          <w:lang w:val="en-GB"/>
        </w:rPr>
        <w:t>in the previous</w:t>
      </w:r>
      <w:r w:rsidRPr="00EF4C81">
        <w:rPr>
          <w:color w:val="auto"/>
          <w:sz w:val="22"/>
          <w:szCs w:val="22"/>
          <w:lang w:val="en-GB"/>
        </w:rPr>
        <w:t xml:space="preserve"> year</w:t>
      </w:r>
      <w:r w:rsidR="005050D7" w:rsidRPr="00EF4C81">
        <w:rPr>
          <w:color w:val="auto"/>
          <w:sz w:val="22"/>
          <w:szCs w:val="22"/>
          <w:lang w:val="en-GB"/>
        </w:rPr>
        <w:t>,</w:t>
      </w:r>
      <w:r w:rsidRPr="00EF4C81">
        <w:rPr>
          <w:color w:val="auto"/>
          <w:sz w:val="22"/>
          <w:szCs w:val="22"/>
          <w:lang w:val="en-GB"/>
        </w:rPr>
        <w:t xml:space="preserve"> </w:t>
      </w:r>
      <w:r w:rsidR="009D38E8" w:rsidRPr="00EF4C81">
        <w:rPr>
          <w:color w:val="auto"/>
          <w:sz w:val="22"/>
          <w:szCs w:val="22"/>
          <w:lang w:val="en-GB"/>
        </w:rPr>
        <w:t xml:space="preserve">a reduction of 1,184 (2 per cent). </w:t>
      </w:r>
    </w:p>
    <w:p w:rsidR="009D38E8" w:rsidRPr="00EF4C81" w:rsidRDefault="000F2846" w:rsidP="000F2846">
      <w:pPr>
        <w:pStyle w:val="text"/>
        <w:spacing w:after="240"/>
        <w:rPr>
          <w:color w:val="auto"/>
          <w:sz w:val="22"/>
          <w:szCs w:val="22"/>
          <w:lang w:val="en-GB"/>
        </w:rPr>
      </w:pPr>
      <w:r w:rsidRPr="00EF4C81">
        <w:rPr>
          <w:color w:val="auto"/>
          <w:sz w:val="22"/>
          <w:szCs w:val="22"/>
          <w:lang w:val="en-GB"/>
        </w:rPr>
        <w:t>At the end of 2012/2013, t</w:t>
      </w:r>
      <w:r w:rsidR="009D38E8" w:rsidRPr="00EF4C81">
        <w:rPr>
          <w:color w:val="auto"/>
          <w:sz w:val="22"/>
          <w:szCs w:val="22"/>
          <w:lang w:val="en-GB"/>
        </w:rPr>
        <w:t xml:space="preserve">here were 104,446 Domestic Purposes Benefit recipients, a reduction of 9,931 (8.7 per cent) </w:t>
      </w:r>
      <w:r w:rsidRPr="00EF4C81">
        <w:rPr>
          <w:color w:val="auto"/>
          <w:sz w:val="22"/>
          <w:szCs w:val="22"/>
          <w:lang w:val="en-GB"/>
        </w:rPr>
        <w:t xml:space="preserve">when compared to the </w:t>
      </w:r>
      <w:r w:rsidR="009D38E8" w:rsidRPr="00EF4C81">
        <w:rPr>
          <w:color w:val="auto"/>
          <w:sz w:val="22"/>
          <w:szCs w:val="22"/>
          <w:lang w:val="en-GB"/>
        </w:rPr>
        <w:t>peak of 114,377 in 2011</w:t>
      </w:r>
      <w:r w:rsidR="003756C8" w:rsidRPr="00EF4C81">
        <w:rPr>
          <w:color w:val="auto"/>
          <w:sz w:val="22"/>
          <w:szCs w:val="22"/>
          <w:lang w:val="en-GB"/>
        </w:rPr>
        <w:t>/2012</w:t>
      </w:r>
      <w:r w:rsidR="009D38E8" w:rsidRPr="00EF4C81">
        <w:rPr>
          <w:color w:val="auto"/>
          <w:sz w:val="22"/>
          <w:szCs w:val="22"/>
          <w:lang w:val="en-GB"/>
        </w:rPr>
        <w:t xml:space="preserve">. Of particular note was the reduction in the number of Domestic Purposes Benefit </w:t>
      </w:r>
      <w:r w:rsidR="003756C8" w:rsidRPr="00EF4C81">
        <w:rPr>
          <w:color w:val="auto"/>
          <w:sz w:val="22"/>
          <w:szCs w:val="22"/>
          <w:lang w:val="en-GB"/>
        </w:rPr>
        <w:t>–</w:t>
      </w:r>
      <w:r w:rsidR="009D38E8" w:rsidRPr="00EF4C81">
        <w:rPr>
          <w:color w:val="auto"/>
          <w:sz w:val="22"/>
          <w:szCs w:val="22"/>
          <w:lang w:val="en-GB"/>
        </w:rPr>
        <w:t xml:space="preserve"> Sole Parent clients. </w:t>
      </w:r>
      <w:r w:rsidRPr="00EF4C81">
        <w:rPr>
          <w:color w:val="auto"/>
          <w:sz w:val="22"/>
          <w:szCs w:val="22"/>
          <w:lang w:val="en-GB"/>
        </w:rPr>
        <w:t xml:space="preserve">At the end of </w:t>
      </w:r>
      <w:r w:rsidR="006405E7" w:rsidRPr="00EF4C81">
        <w:rPr>
          <w:color w:val="auto"/>
          <w:sz w:val="22"/>
          <w:szCs w:val="22"/>
          <w:lang w:val="en-GB"/>
        </w:rPr>
        <w:t>2013/2013</w:t>
      </w:r>
      <w:r w:rsidR="009D38E8" w:rsidRPr="00EF4C81">
        <w:rPr>
          <w:color w:val="auto"/>
          <w:sz w:val="22"/>
          <w:szCs w:val="22"/>
          <w:lang w:val="en-GB"/>
        </w:rPr>
        <w:t xml:space="preserve">, the number </w:t>
      </w:r>
      <w:r w:rsidR="003756C8" w:rsidRPr="00EF4C81">
        <w:rPr>
          <w:color w:val="auto"/>
          <w:sz w:val="22"/>
          <w:szCs w:val="22"/>
          <w:lang w:val="en-GB"/>
        </w:rPr>
        <w:t>was down</w:t>
      </w:r>
      <w:r w:rsidR="009D38E8" w:rsidRPr="00EF4C81">
        <w:rPr>
          <w:color w:val="auto"/>
          <w:sz w:val="22"/>
          <w:szCs w:val="22"/>
          <w:lang w:val="en-GB"/>
        </w:rPr>
        <w:t xml:space="preserve"> by 7,347 (7.5 per cent). The number of Invalid's Benefit and Sickness Benefit clients remained stable.</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09"/>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r w:rsidRPr="00EF4C81">
              <w:rPr>
                <w:rStyle w:val="FootnoteReference"/>
                <w:color w:val="auto"/>
                <w:lang w:val="en-GB"/>
              </w:rPr>
              <w:footnoteReference w:id="48"/>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410,696</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444,081</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411,058</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444,081</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8,445</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816</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5,650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5,650</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2,602</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726</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4,349</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4,349</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421,743</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445,623</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421,057</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454,080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423,791</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22186B">
            <w:pPr>
              <w:pStyle w:val="FinFigures"/>
              <w:rPr>
                <w:color w:val="auto"/>
              </w:rPr>
            </w:pPr>
            <w:r w:rsidRPr="00EF4C81">
              <w:rPr>
                <w:color w:val="auto"/>
              </w:rPr>
              <w:t>452,</w:t>
            </w:r>
            <w:r w:rsidR="0022186B" w:rsidRPr="00EF4C81">
              <w:rPr>
                <w:color w:val="auto"/>
              </w:rPr>
              <w:t>860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421,057</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454,080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0"/>
              <w:rPr>
                <w:color w:val="auto"/>
              </w:rPr>
            </w:pPr>
            <w:r w:rsidRPr="00EF4C81">
              <w:rPr>
                <w:color w:val="auto"/>
              </w:rPr>
              <w:t>(2,048)</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22186B">
            <w:pPr>
              <w:pStyle w:val="FinFigures0"/>
              <w:rPr>
                <w:color w:val="auto"/>
              </w:rPr>
            </w:pPr>
            <w:r w:rsidRPr="00EF4C81">
              <w:rPr>
                <w:color w:val="auto"/>
              </w:rPr>
              <w:t>(</w:t>
            </w:r>
            <w:r w:rsidR="0022186B" w:rsidRPr="00EF4C81">
              <w:rPr>
                <w:color w:val="auto"/>
              </w:rPr>
              <w:t>7</w:t>
            </w:r>
            <w:r w:rsidRPr="00EF4C81">
              <w:rPr>
                <w:color w:val="auto"/>
              </w:rPr>
              <w:t>,</w:t>
            </w:r>
            <w:r w:rsidR="0022186B" w:rsidRPr="00EF4C81">
              <w:rPr>
                <w:color w:val="auto"/>
              </w:rPr>
              <w:t>237</w:t>
            </w:r>
            <w:r w:rsidRPr="00EF4C81">
              <w:rPr>
                <w:color w:val="auto"/>
              </w:rPr>
              <w:t>)</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Tailored Sets of Services to Help People into Work or Achieve Independence</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tablefinitalicFINANCIALS"/>
                <w:b/>
                <w:color w:val="auto"/>
                <w:lang w:val="en-GB"/>
              </w:rPr>
            </w:pPr>
            <w:r w:rsidRPr="00EF4C81">
              <w:rPr>
                <w:rStyle w:val="tablefinitalicFINANCIALS"/>
                <w:b/>
                <w:color w:val="auto"/>
                <w:lang w:val="en-GB"/>
              </w:rPr>
              <w:t>Quantity</w:t>
            </w:r>
          </w:p>
          <w:p w:rsidR="009D38E8" w:rsidRPr="00EF4C81" w:rsidRDefault="009D38E8" w:rsidP="00A36A23">
            <w:pPr>
              <w:pStyle w:val="tablefintext"/>
              <w:rPr>
                <w:rStyle w:val="tablefinitalicFINANCIALS"/>
                <w:color w:val="auto"/>
                <w:lang w:val="en-GB"/>
              </w:rPr>
            </w:pPr>
            <w:r w:rsidRPr="00EF4C81">
              <w:rPr>
                <w:rStyle w:val="tablefinitalicFINANCIALS"/>
                <w:color w:val="auto"/>
                <w:lang w:val="en-GB"/>
              </w:rPr>
              <w:t>The proportion of part-time work-obligated clients who participate in a work-focused intervention will be between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59.5%</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30–45%</w:t>
            </w:r>
          </w:p>
        </w:tc>
      </w:tr>
    </w:tbl>
    <w:p w:rsidR="003208FA" w:rsidRPr="00EF4C81" w:rsidRDefault="003208FA">
      <w:pPr>
        <w:rPr>
          <w:color w:val="auto"/>
        </w:rPr>
      </w:pPr>
      <w:r w:rsidRPr="00EF4C81">
        <w:rPr>
          <w:caps/>
          <w:color w:val="auto"/>
        </w:rPr>
        <w:br w:type="page"/>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3208FA" w:rsidRPr="00EF4C81" w:rsidTr="00897636">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3208FA" w:rsidRPr="00EF4C81" w:rsidRDefault="003208FA" w:rsidP="00897636">
            <w:pPr>
              <w:pStyle w:val="fintableheads"/>
              <w:rPr>
                <w:color w:val="auto"/>
                <w:lang w:val="en-GB"/>
              </w:rPr>
            </w:pPr>
            <w:r w:rsidRPr="00EF4C81">
              <w:rPr>
                <w:color w:val="auto"/>
                <w:lang w:val="en-GB"/>
              </w:rPr>
              <w:lastRenderedPageBreak/>
              <w:t xml:space="preserve">ACTUAL </w:t>
            </w:r>
          </w:p>
          <w:p w:rsidR="003208FA" w:rsidRPr="00EF4C81" w:rsidRDefault="003208FA" w:rsidP="00897636">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3208FA" w:rsidRPr="00EF4C81" w:rsidRDefault="003208FA" w:rsidP="00897636">
            <w:pPr>
              <w:pStyle w:val="fintableheadsLeft"/>
              <w:ind w:left="123"/>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3208FA" w:rsidRPr="00EF4C81" w:rsidRDefault="003208FA" w:rsidP="00897636">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3208FA" w:rsidRPr="00EF4C81" w:rsidRDefault="003208FA" w:rsidP="00897636">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tablefinitalicFINANCIALS"/>
                <w:color w:val="auto"/>
                <w:lang w:val="en-GB"/>
              </w:rPr>
            </w:pPr>
            <w:r w:rsidRPr="00EF4C81">
              <w:rPr>
                <w:rStyle w:val="tablefinitalicFINANCIALS"/>
                <w:color w:val="auto"/>
                <w:lang w:val="en-GB"/>
              </w:rPr>
              <w:t>The proportion of full-time work-obligated clients who participate in a work-focused intervention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79.5%</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70–85%</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right w:w="0" w:type="dxa"/>
            </w:tcMar>
          </w:tcPr>
          <w:p w:rsidR="009D38E8" w:rsidRPr="00EF4C81" w:rsidRDefault="009D38E8" w:rsidP="00A36A23">
            <w:pPr>
              <w:pStyle w:val="tablefintext"/>
              <w:ind w:left="137"/>
              <w:rPr>
                <w:color w:val="auto"/>
              </w:rPr>
            </w:pPr>
            <w:r w:rsidRPr="00EF4C81">
              <w:rPr>
                <w:color w:val="auto"/>
              </w:rPr>
              <w:t>The proportion of work-obligated Unemployment Benefit and Sickness Benefit clients who undertake a comprehensive work assessment</w:t>
            </w:r>
            <w:r w:rsidRPr="00EF4C81">
              <w:rPr>
                <w:rStyle w:val="FootnoteReference"/>
                <w:color w:val="auto"/>
                <w:lang w:val="en-GB"/>
              </w:rPr>
              <w:footnoteReference w:id="49"/>
            </w:r>
            <w:r w:rsidRPr="00EF4C81">
              <w:rPr>
                <w:color w:val="auto"/>
              </w:rPr>
              <w:t xml:space="preserve"> after reapplying for a benefit will be between</w:t>
            </w:r>
            <w:r w:rsidRPr="00EF4C81">
              <w:rPr>
                <w:rStyle w:val="FootnoteReference"/>
                <w:color w:val="auto"/>
                <w:lang w:val="en-GB"/>
              </w:rPr>
              <w:footnoteReference w:id="50"/>
            </w:r>
            <w:r w:rsidRPr="00EF4C81">
              <w:rPr>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highlight w:val="green"/>
              </w:rPr>
            </w:pPr>
            <w:r w:rsidRPr="00EF4C81">
              <w:rPr>
                <w:color w:val="auto"/>
              </w:rPr>
              <w:t>100%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tcMar>
          </w:tcPr>
          <w:p w:rsidR="009D38E8" w:rsidRPr="00EF4C81" w:rsidRDefault="009D38E8" w:rsidP="00A36A23">
            <w:pPr>
              <w:pStyle w:val="FinFigures"/>
              <w:rPr>
                <w:color w:val="auto"/>
              </w:rPr>
            </w:pPr>
            <w:r w:rsidRPr="00EF4C81">
              <w:rPr>
                <w:color w:val="auto"/>
                <w:lang w:val="en-GB"/>
              </w:rPr>
              <w:t>95–100%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right w:w="0" w:type="dxa"/>
            </w:tcMar>
          </w:tcPr>
          <w:p w:rsidR="009D38E8" w:rsidRPr="00EF4C81" w:rsidRDefault="009D38E8" w:rsidP="00A36A23">
            <w:pPr>
              <w:pStyle w:val="tablefintext"/>
              <w:ind w:left="137"/>
              <w:rPr>
                <w:color w:val="auto"/>
              </w:rPr>
            </w:pPr>
            <w:r w:rsidRPr="00EF4C81">
              <w:rPr>
                <w:color w:val="auto"/>
              </w:rPr>
              <w:t>The proportion of work-obligated clients with 12 months benefit duration who participate in a work-focused intervention will be between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highlight w:val="green"/>
              </w:rPr>
            </w:pPr>
            <w:r w:rsidRPr="00EF4C81">
              <w:rPr>
                <w:color w:val="auto"/>
              </w:rPr>
              <w:t>72.6%</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tcMar>
          </w:tcPr>
          <w:p w:rsidR="009D38E8" w:rsidRPr="00EF4C81" w:rsidRDefault="009D38E8" w:rsidP="00A36A23">
            <w:pPr>
              <w:pStyle w:val="FinFigures"/>
              <w:rPr>
                <w:color w:val="auto"/>
                <w:lang w:val="en-GB"/>
              </w:rPr>
            </w:pPr>
            <w:r w:rsidRPr="00EF4C81">
              <w:rPr>
                <w:color w:val="auto"/>
                <w:lang w:val="en-GB"/>
              </w:rPr>
              <w:t>35–55%</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tablefinitalicFINANCIALS"/>
                <w:b/>
                <w:color w:val="auto"/>
                <w:lang w:val="en-GB"/>
              </w:rPr>
            </w:pPr>
            <w:r w:rsidRPr="00EF4C81">
              <w:rPr>
                <w:rStyle w:val="tablefinitalicFINANCIALS"/>
                <w:b/>
                <w:color w:val="auto"/>
                <w:lang w:val="en-GB"/>
              </w:rPr>
              <w:t>Quality</w:t>
            </w:r>
          </w:p>
          <w:p w:rsidR="009D38E8" w:rsidRPr="00EF4C81" w:rsidRDefault="009D38E8" w:rsidP="00A36A23">
            <w:pPr>
              <w:pStyle w:val="tablefintext"/>
              <w:rPr>
                <w:color w:val="auto"/>
              </w:rPr>
            </w:pPr>
            <w:r w:rsidRPr="00EF4C81">
              <w:rPr>
                <w:color w:val="auto"/>
                <w:lang w:val="en-GB"/>
              </w:rPr>
              <w:t>The proportion of clients who participate in a triage service</w:t>
            </w:r>
            <w:r w:rsidR="00BB4692" w:rsidRPr="00EF4C81">
              <w:rPr>
                <w:rStyle w:val="FootnoteReference"/>
                <w:color w:val="auto"/>
                <w:lang w:val="en-GB"/>
              </w:rPr>
              <w:footnoteReference w:id="51"/>
            </w:r>
            <w:r w:rsidRPr="00EF4C81">
              <w:rPr>
                <w:color w:val="auto"/>
                <w:lang w:val="en-GB"/>
              </w:rPr>
              <w:t xml:space="preserve"> and do not require a benefit within 28 days will be between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39.7%</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35–40%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right w:w="0" w:type="dxa"/>
            </w:tcMar>
          </w:tcPr>
          <w:p w:rsidR="009D38E8" w:rsidRPr="00EF4C81" w:rsidRDefault="009D38E8" w:rsidP="00A36A23">
            <w:pPr>
              <w:pStyle w:val="tablefintext"/>
              <w:ind w:left="137"/>
              <w:rPr>
                <w:color w:val="auto"/>
              </w:rPr>
            </w:pPr>
            <w:r w:rsidRPr="00EF4C81">
              <w:rPr>
                <w:color w:val="auto"/>
              </w:rPr>
              <w:t>The proportion of payments to third-party youth providers that are made in accordance with their contracts will be no less than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highlight w:val="green"/>
              </w:rPr>
            </w:pPr>
            <w:r w:rsidRPr="00EF4C81">
              <w:rPr>
                <w:color w:val="auto"/>
              </w:rPr>
              <w:t>100%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tcMar>
          </w:tcPr>
          <w:p w:rsidR="009D38E8" w:rsidRPr="00EF4C81" w:rsidRDefault="009D38E8" w:rsidP="00A36A23">
            <w:pPr>
              <w:pStyle w:val="FinFigures"/>
              <w:rPr>
                <w:color w:val="auto"/>
                <w:lang w:val="en-GB"/>
              </w:rPr>
            </w:pPr>
            <w:r w:rsidRPr="00EF4C81">
              <w:rPr>
                <w:color w:val="auto"/>
                <w:lang w:val="en-GB"/>
              </w:rPr>
              <w:t>100%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Pr>
          <w:p w:rsidR="009D38E8" w:rsidRPr="00EF4C81" w:rsidRDefault="009D38E8" w:rsidP="00A36A23">
            <w:pPr>
              <w:pStyle w:val="FinFigures"/>
              <w:rPr>
                <w:color w:val="auto"/>
                <w:lang w:val="en-GB"/>
              </w:rPr>
            </w:pPr>
            <w:r w:rsidRPr="00EF4C81">
              <w:rPr>
                <w:color w:val="auto"/>
                <w:lang w:val="en-GB"/>
              </w:rPr>
              <w:t>91.6%</w:t>
            </w:r>
          </w:p>
        </w:tc>
        <w:tc>
          <w:tcPr>
            <w:tcW w:w="5386" w:type="dxa"/>
            <w:tcBorders>
              <w:top w:val="single" w:sz="6" w:space="0" w:color="000000"/>
              <w:left w:val="single" w:sz="6" w:space="0" w:color="000000"/>
              <w:bottom w:val="single" w:sz="6" w:space="0" w:color="000000"/>
              <w:right w:val="single" w:sz="6" w:space="0" w:color="000000"/>
            </w:tcBorders>
            <w:shd w:val="solid" w:color="FFFFFF" w:fill="auto"/>
            <w:tcMar>
              <w:right w:w="0" w:type="dxa"/>
            </w:tcMar>
          </w:tcPr>
          <w:p w:rsidR="009D38E8" w:rsidRPr="00EF4C81" w:rsidRDefault="009D38E8" w:rsidP="00A36A23">
            <w:pPr>
              <w:pStyle w:val="tablefintext"/>
              <w:ind w:left="137"/>
              <w:rPr>
                <w:color w:val="auto"/>
              </w:rPr>
            </w:pPr>
            <w:r w:rsidRPr="00EF4C81">
              <w:rPr>
                <w:color w:val="auto"/>
                <w:lang w:val="en-GB"/>
              </w:rPr>
              <w:t>The proportion of benefit entitlement assessments completed accurately will be no less than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90.1%</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tcMar>
          </w:tcPr>
          <w:p w:rsidR="009D38E8" w:rsidRPr="00EF4C81" w:rsidRDefault="009D38E8" w:rsidP="00A36A23">
            <w:pPr>
              <w:pStyle w:val="FinFigures"/>
              <w:rPr>
                <w:color w:val="auto"/>
                <w:lang w:val="en-GB"/>
              </w:rPr>
            </w:pPr>
            <w:r w:rsidRPr="00EF4C81">
              <w:rPr>
                <w:color w:val="auto"/>
                <w:lang w:val="en-GB"/>
              </w:rPr>
              <w:t>90%</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Pr>
          <w:p w:rsidR="009D38E8" w:rsidRPr="00EF4C81" w:rsidRDefault="009D38E8" w:rsidP="00A36A23">
            <w:pPr>
              <w:pStyle w:val="FinFigures"/>
              <w:rPr>
                <w:color w:val="auto"/>
                <w:lang w:val="en-GB"/>
              </w:rPr>
            </w:pPr>
            <w:r w:rsidRPr="00EF4C81">
              <w:rPr>
                <w:color w:val="auto"/>
                <w:lang w:val="en-GB"/>
              </w:rPr>
              <w:t>91.5%</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right w:w="0" w:type="dxa"/>
            </w:tcMar>
          </w:tcPr>
          <w:p w:rsidR="009D38E8" w:rsidRPr="00EF4C81" w:rsidRDefault="009D38E8" w:rsidP="00A36A23">
            <w:pPr>
              <w:pStyle w:val="tablefintext"/>
              <w:ind w:left="137"/>
              <w:rPr>
                <w:color w:val="auto"/>
                <w:lang w:val="en-GB"/>
              </w:rPr>
            </w:pPr>
            <w:r w:rsidRPr="00EF4C81">
              <w:rPr>
                <w:color w:val="auto"/>
                <w:lang w:val="en-GB"/>
              </w:rPr>
              <w:t xml:space="preserve">The proportion of </w:t>
            </w:r>
            <w:r w:rsidR="003756C8" w:rsidRPr="00EF4C81">
              <w:rPr>
                <w:color w:val="auto"/>
                <w:lang w:val="en-GB"/>
              </w:rPr>
              <w:t xml:space="preserve">benefit </w:t>
            </w:r>
            <w:r w:rsidRPr="00EF4C81">
              <w:rPr>
                <w:color w:val="auto"/>
                <w:lang w:val="en-GB"/>
              </w:rPr>
              <w:t>entitlement assessments completed within five working days will be no less than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91.6%</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tcMar>
          </w:tcPr>
          <w:p w:rsidR="009D38E8" w:rsidRPr="00EF4C81" w:rsidRDefault="009D38E8" w:rsidP="00A36A23">
            <w:pPr>
              <w:pStyle w:val="FinFigures"/>
              <w:rPr>
                <w:color w:val="auto"/>
                <w:lang w:val="en-GB"/>
              </w:rPr>
            </w:pPr>
            <w:r w:rsidRPr="00EF4C81">
              <w:rPr>
                <w:color w:val="auto"/>
                <w:lang w:val="en-GB"/>
              </w:rPr>
              <w:t>85%</w:t>
            </w:r>
          </w:p>
        </w:tc>
      </w:tr>
    </w:tbl>
    <w:p w:rsidR="009D38E8" w:rsidRPr="00D173BB" w:rsidRDefault="009D38E8" w:rsidP="00D173BB">
      <w:pPr>
        <w:pStyle w:val="Heading3"/>
      </w:pPr>
      <w:r w:rsidRPr="00D173BB">
        <w:br w:type="page"/>
      </w:r>
      <w:r w:rsidRPr="00D173BB">
        <w:lastRenderedPageBreak/>
        <w:t>Output Expense: Vocational Skills Training</w:t>
      </w:r>
    </w:p>
    <w:p w:rsidR="009D38E8" w:rsidRPr="00D173BB" w:rsidRDefault="009D38E8" w:rsidP="00D173BB">
      <w:pPr>
        <w:pStyle w:val="Subtitle"/>
      </w:pPr>
      <w:r w:rsidRPr="00D173BB">
        <w:t>Scope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This appropriation is limited to vocationally based skills training for working-age people through the Training Opportunities Programme.</w:t>
      </w:r>
    </w:p>
    <w:p w:rsidR="009D38E8" w:rsidRPr="00D173BB" w:rsidRDefault="009D38E8" w:rsidP="00D173BB">
      <w:pPr>
        <w:pStyle w:val="Subtitle"/>
      </w:pPr>
      <w:r w:rsidRPr="00D173BB">
        <w:t>Summary of Performance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 xml:space="preserve">No performance standards in this output expense have been met.  </w:t>
      </w:r>
    </w:p>
    <w:p w:rsidR="009D38E8" w:rsidRPr="00EF4C81" w:rsidRDefault="003F4206" w:rsidP="003F4206">
      <w:pPr>
        <w:pStyle w:val="text"/>
        <w:spacing w:after="240"/>
        <w:rPr>
          <w:color w:val="auto"/>
          <w:sz w:val="22"/>
          <w:szCs w:val="22"/>
          <w:lang w:val="en-GB"/>
        </w:rPr>
      </w:pPr>
      <w:r w:rsidRPr="00EF4C81">
        <w:rPr>
          <w:color w:val="auto"/>
          <w:sz w:val="22"/>
          <w:szCs w:val="22"/>
          <w:lang w:val="en-GB"/>
        </w:rPr>
        <w:t>In 2012/2013, t</w:t>
      </w:r>
      <w:r w:rsidR="009D38E8" w:rsidRPr="00EF4C81">
        <w:rPr>
          <w:color w:val="auto"/>
          <w:sz w:val="22"/>
          <w:szCs w:val="22"/>
          <w:lang w:val="en-GB"/>
        </w:rPr>
        <w:t>he standard for the number of contracted places in Foundation Focused Training Opportunity study programmes was not achieved</w:t>
      </w:r>
      <w:r w:rsidRPr="00EF4C81">
        <w:rPr>
          <w:color w:val="auto"/>
          <w:sz w:val="22"/>
          <w:szCs w:val="22"/>
          <w:lang w:val="en-GB"/>
        </w:rPr>
        <w:t xml:space="preserve"> because the</w:t>
      </w:r>
      <w:r w:rsidR="009D38E8" w:rsidRPr="00EF4C81">
        <w:rPr>
          <w:color w:val="auto"/>
          <w:sz w:val="22"/>
          <w:szCs w:val="22"/>
          <w:lang w:val="en-GB"/>
        </w:rPr>
        <w:t xml:space="preserve"> </w:t>
      </w:r>
      <w:r w:rsidR="004620C0" w:rsidRPr="00EF4C81">
        <w:rPr>
          <w:color w:val="auto"/>
          <w:sz w:val="22"/>
          <w:szCs w:val="22"/>
          <w:lang w:val="en-GB"/>
        </w:rPr>
        <w:t xml:space="preserve">target set for </w:t>
      </w:r>
      <w:r w:rsidR="009C41BF" w:rsidRPr="00EF4C81">
        <w:rPr>
          <w:color w:val="auto"/>
          <w:sz w:val="22"/>
          <w:szCs w:val="22"/>
          <w:lang w:val="en-GB"/>
        </w:rPr>
        <w:t xml:space="preserve">the number of </w:t>
      </w:r>
      <w:r w:rsidR="009D38E8" w:rsidRPr="00EF4C81">
        <w:rPr>
          <w:color w:val="auto"/>
          <w:sz w:val="22"/>
          <w:szCs w:val="22"/>
          <w:lang w:val="en-GB"/>
        </w:rPr>
        <w:t>contracted places was overstated</w:t>
      </w:r>
      <w:r w:rsidRPr="00EF4C81">
        <w:rPr>
          <w:color w:val="auto"/>
          <w:sz w:val="22"/>
          <w:szCs w:val="22"/>
          <w:lang w:val="en-GB"/>
        </w:rPr>
        <w:t>.</w:t>
      </w:r>
      <w:r w:rsidR="009D38E8" w:rsidRPr="00EF4C81">
        <w:rPr>
          <w:color w:val="auto"/>
          <w:sz w:val="22"/>
          <w:szCs w:val="22"/>
          <w:lang w:val="en-GB"/>
        </w:rPr>
        <w:t xml:space="preserve">  </w:t>
      </w:r>
    </w:p>
    <w:p w:rsidR="003F4206" w:rsidRPr="00EF4C81" w:rsidRDefault="009D38E8" w:rsidP="003F4206">
      <w:pPr>
        <w:pStyle w:val="text"/>
        <w:spacing w:after="240"/>
        <w:rPr>
          <w:color w:val="auto"/>
          <w:sz w:val="22"/>
          <w:szCs w:val="22"/>
          <w:lang w:val="en-GB"/>
        </w:rPr>
      </w:pPr>
      <w:r w:rsidRPr="00EF4C81">
        <w:rPr>
          <w:color w:val="auto"/>
          <w:sz w:val="22"/>
          <w:szCs w:val="22"/>
          <w:lang w:val="en-GB"/>
        </w:rPr>
        <w:t>The Foundation Focused Training Opportunit</w:t>
      </w:r>
      <w:r w:rsidR="003756C8" w:rsidRPr="00EF4C81">
        <w:rPr>
          <w:color w:val="auto"/>
          <w:sz w:val="22"/>
          <w:szCs w:val="22"/>
          <w:lang w:val="en-GB"/>
        </w:rPr>
        <w:t>y</w:t>
      </w:r>
      <w:r w:rsidRPr="00EF4C81">
        <w:rPr>
          <w:color w:val="auto"/>
          <w:sz w:val="22"/>
          <w:szCs w:val="22"/>
          <w:lang w:val="en-GB"/>
        </w:rPr>
        <w:t xml:space="preserve"> </w:t>
      </w:r>
      <w:r w:rsidR="003756C8" w:rsidRPr="00EF4C81">
        <w:rPr>
          <w:color w:val="auto"/>
          <w:sz w:val="22"/>
          <w:szCs w:val="22"/>
          <w:lang w:val="en-GB"/>
        </w:rPr>
        <w:t xml:space="preserve">study </w:t>
      </w:r>
      <w:r w:rsidRPr="00EF4C81">
        <w:rPr>
          <w:color w:val="auto"/>
          <w:sz w:val="22"/>
          <w:szCs w:val="22"/>
          <w:lang w:val="en-GB"/>
        </w:rPr>
        <w:t>programme</w:t>
      </w:r>
      <w:r w:rsidR="003756C8" w:rsidRPr="00EF4C81">
        <w:rPr>
          <w:color w:val="auto"/>
          <w:sz w:val="22"/>
          <w:szCs w:val="22"/>
          <w:lang w:val="en-GB"/>
        </w:rPr>
        <w:t>s</w:t>
      </w:r>
      <w:r w:rsidRPr="00EF4C81">
        <w:rPr>
          <w:color w:val="auto"/>
          <w:sz w:val="22"/>
          <w:szCs w:val="22"/>
          <w:lang w:val="en-GB"/>
        </w:rPr>
        <w:t xml:space="preserve"> ha</w:t>
      </w:r>
      <w:r w:rsidR="003756C8" w:rsidRPr="00EF4C81">
        <w:rPr>
          <w:color w:val="auto"/>
          <w:sz w:val="22"/>
          <w:szCs w:val="22"/>
          <w:lang w:val="en-GB"/>
        </w:rPr>
        <w:t>ve</w:t>
      </w:r>
      <w:r w:rsidRPr="00EF4C81">
        <w:rPr>
          <w:color w:val="auto"/>
          <w:sz w:val="22"/>
          <w:szCs w:val="22"/>
          <w:lang w:val="en-GB"/>
        </w:rPr>
        <w:t xml:space="preserve"> not achieved </w:t>
      </w:r>
      <w:r w:rsidR="003756C8" w:rsidRPr="00EF4C81">
        <w:rPr>
          <w:color w:val="auto"/>
          <w:sz w:val="22"/>
          <w:szCs w:val="22"/>
          <w:lang w:val="en-GB"/>
        </w:rPr>
        <w:t xml:space="preserve">the </w:t>
      </w:r>
      <w:r w:rsidRPr="00EF4C81">
        <w:rPr>
          <w:color w:val="auto"/>
          <w:sz w:val="22"/>
          <w:szCs w:val="22"/>
          <w:lang w:val="en-GB"/>
        </w:rPr>
        <w:t xml:space="preserve">targets for 14 weeks minimum completion of training or </w:t>
      </w:r>
      <w:r w:rsidR="003756C8" w:rsidRPr="00EF4C81">
        <w:rPr>
          <w:color w:val="auto"/>
          <w:sz w:val="22"/>
          <w:szCs w:val="22"/>
          <w:lang w:val="en-GB"/>
        </w:rPr>
        <w:t xml:space="preserve">for </w:t>
      </w:r>
      <w:r w:rsidRPr="00EF4C81">
        <w:rPr>
          <w:color w:val="auto"/>
          <w:sz w:val="22"/>
          <w:szCs w:val="22"/>
          <w:lang w:val="en-GB"/>
        </w:rPr>
        <w:t xml:space="preserve">the proportion of participants who move into employment after being on </w:t>
      </w:r>
      <w:r w:rsidR="003756C8" w:rsidRPr="00EF4C81">
        <w:rPr>
          <w:color w:val="auto"/>
          <w:sz w:val="22"/>
          <w:szCs w:val="22"/>
          <w:lang w:val="en-GB"/>
        </w:rPr>
        <w:t>a</w:t>
      </w:r>
      <w:r w:rsidRPr="00EF4C81">
        <w:rPr>
          <w:color w:val="auto"/>
          <w:sz w:val="22"/>
          <w:szCs w:val="22"/>
          <w:lang w:val="en-GB"/>
        </w:rPr>
        <w:t xml:space="preserve"> programme. Indications are that th</w:t>
      </w:r>
      <w:r w:rsidR="003756C8" w:rsidRPr="00EF4C81">
        <w:rPr>
          <w:color w:val="auto"/>
          <w:sz w:val="22"/>
          <w:szCs w:val="22"/>
          <w:lang w:val="en-GB"/>
        </w:rPr>
        <w:t>ese</w:t>
      </w:r>
      <w:r w:rsidRPr="00EF4C81">
        <w:rPr>
          <w:color w:val="auto"/>
          <w:sz w:val="22"/>
          <w:szCs w:val="22"/>
          <w:lang w:val="en-GB"/>
        </w:rPr>
        <w:t xml:space="preserve"> programme</w:t>
      </w:r>
      <w:r w:rsidR="003756C8" w:rsidRPr="00EF4C81">
        <w:rPr>
          <w:color w:val="auto"/>
          <w:sz w:val="22"/>
          <w:szCs w:val="22"/>
          <w:lang w:val="en-GB"/>
        </w:rPr>
        <w:t>s</w:t>
      </w:r>
      <w:r w:rsidRPr="00EF4C81">
        <w:rPr>
          <w:color w:val="auto"/>
          <w:sz w:val="22"/>
          <w:szCs w:val="22"/>
          <w:lang w:val="en-GB"/>
        </w:rPr>
        <w:t xml:space="preserve"> </w:t>
      </w:r>
      <w:r w:rsidR="003756C8" w:rsidRPr="00EF4C81">
        <w:rPr>
          <w:color w:val="auto"/>
          <w:sz w:val="22"/>
          <w:szCs w:val="22"/>
          <w:lang w:val="en-GB"/>
        </w:rPr>
        <w:t>are</w:t>
      </w:r>
      <w:r w:rsidRPr="00EF4C81">
        <w:rPr>
          <w:color w:val="auto"/>
          <w:sz w:val="22"/>
          <w:szCs w:val="22"/>
          <w:lang w:val="en-GB"/>
        </w:rPr>
        <w:t xml:space="preserve"> not an effective intervention for the new groups of participants</w:t>
      </w:r>
      <w:r w:rsidR="00672EB6" w:rsidRPr="00EF4C81">
        <w:rPr>
          <w:color w:val="auto"/>
          <w:sz w:val="22"/>
          <w:szCs w:val="22"/>
          <w:lang w:val="en-GB"/>
        </w:rPr>
        <w:t>, who typically face greater barriers in gaining employment.</w:t>
      </w:r>
      <w:r w:rsidR="003F4206" w:rsidRPr="00EF4C81">
        <w:rPr>
          <w:color w:val="auto"/>
          <w:sz w:val="22"/>
          <w:szCs w:val="22"/>
          <w:lang w:val="en-GB"/>
        </w:rPr>
        <w:t xml:space="preserve"> </w:t>
      </w:r>
    </w:p>
    <w:p w:rsidR="009D38E8" w:rsidRPr="00EF4C81" w:rsidRDefault="003F4206" w:rsidP="003F4206">
      <w:pPr>
        <w:pStyle w:val="text"/>
        <w:spacing w:after="240"/>
        <w:rPr>
          <w:color w:val="auto"/>
          <w:sz w:val="22"/>
          <w:szCs w:val="22"/>
          <w:lang w:val="en-GB"/>
        </w:rPr>
      </w:pPr>
      <w:r w:rsidRPr="00EF4C81">
        <w:rPr>
          <w:color w:val="auto"/>
          <w:sz w:val="22"/>
          <w:szCs w:val="22"/>
          <w:lang w:val="en-GB"/>
        </w:rPr>
        <w:t xml:space="preserve">It is expected that with the introduction of Welfare Reform, participants </w:t>
      </w:r>
      <w:r w:rsidR="009D38E8" w:rsidRPr="00EF4C81">
        <w:rPr>
          <w:color w:val="auto"/>
          <w:sz w:val="22"/>
          <w:szCs w:val="22"/>
          <w:lang w:val="en-GB"/>
        </w:rPr>
        <w:t xml:space="preserve">will increasingly </w:t>
      </w:r>
      <w:r w:rsidRPr="00EF4C81">
        <w:rPr>
          <w:color w:val="auto"/>
          <w:sz w:val="22"/>
          <w:szCs w:val="22"/>
          <w:lang w:val="en-GB"/>
        </w:rPr>
        <w:t xml:space="preserve">be </w:t>
      </w:r>
      <w:r w:rsidR="009D38E8" w:rsidRPr="00EF4C81">
        <w:rPr>
          <w:color w:val="auto"/>
          <w:sz w:val="22"/>
          <w:szCs w:val="22"/>
          <w:lang w:val="en-GB"/>
        </w:rPr>
        <w:t>engage</w:t>
      </w:r>
      <w:r w:rsidRPr="00EF4C81">
        <w:rPr>
          <w:color w:val="auto"/>
          <w:sz w:val="22"/>
          <w:szCs w:val="22"/>
          <w:lang w:val="en-GB"/>
        </w:rPr>
        <w:t>d</w:t>
      </w:r>
      <w:r w:rsidR="009D38E8" w:rsidRPr="00EF4C81">
        <w:rPr>
          <w:color w:val="auto"/>
          <w:sz w:val="22"/>
          <w:szCs w:val="22"/>
          <w:lang w:val="en-GB"/>
        </w:rPr>
        <w:t xml:space="preserve"> in employment-related training. Agencies are working on a suite of more tailored assistance that responds to </w:t>
      </w:r>
      <w:r w:rsidR="00AC54F0" w:rsidRPr="00EF4C81">
        <w:rPr>
          <w:color w:val="auto"/>
          <w:sz w:val="22"/>
          <w:szCs w:val="22"/>
          <w:lang w:val="en-GB"/>
        </w:rPr>
        <w:t xml:space="preserve">the </w:t>
      </w:r>
      <w:r w:rsidR="009D38E8" w:rsidRPr="00EF4C81">
        <w:rPr>
          <w:color w:val="auto"/>
          <w:sz w:val="22"/>
          <w:szCs w:val="22"/>
          <w:lang w:val="en-GB"/>
        </w:rPr>
        <w:t xml:space="preserve">diverse training needs and requirements of participants, while retaining </w:t>
      </w:r>
      <w:r w:rsidR="00AC54F0" w:rsidRPr="00EF4C81">
        <w:rPr>
          <w:color w:val="auto"/>
          <w:sz w:val="22"/>
          <w:szCs w:val="22"/>
          <w:lang w:val="en-GB"/>
        </w:rPr>
        <w:t xml:space="preserve">its </w:t>
      </w:r>
      <w:r w:rsidR="009D38E8" w:rsidRPr="00EF4C81">
        <w:rPr>
          <w:color w:val="auto"/>
          <w:sz w:val="22"/>
          <w:szCs w:val="22"/>
          <w:lang w:val="en-GB"/>
        </w:rPr>
        <w:t>relevance to employment.  </w:t>
      </w:r>
    </w:p>
    <w:p w:rsidR="009D38E8" w:rsidRPr="00EF4C81" w:rsidRDefault="009D38E8" w:rsidP="009D38E8">
      <w:pPr>
        <w:pStyle w:val="Tableheader"/>
        <w:rPr>
          <w:color w:val="auto"/>
        </w:rPr>
      </w:pPr>
      <w:r w:rsidRPr="00EF4C81">
        <w:rPr>
          <w:color w:val="auto"/>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431"/>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88"/>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54,515</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54,635</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54,635</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54,635</w:t>
            </w:r>
          </w:p>
        </w:tc>
      </w:tr>
      <w:tr w:rsidR="009D38E8" w:rsidRPr="00EF4C81" w:rsidTr="00A36A23">
        <w:trPr>
          <w:trHeight w:val="26"/>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49"/>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51"/>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54,515</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54,635</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54,635</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54,635</w:t>
            </w:r>
          </w:p>
        </w:tc>
      </w:tr>
      <w:tr w:rsidR="009D38E8" w:rsidRPr="00EF4C81" w:rsidTr="00A36A23">
        <w:trPr>
          <w:trHeight w:val="21"/>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54,515</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54,635</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54,635</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54,635</w:t>
            </w:r>
          </w:p>
        </w:tc>
      </w:tr>
      <w:tr w:rsidR="009D38E8" w:rsidRPr="00EF4C81" w:rsidTr="00A36A23">
        <w:trPr>
          <w:trHeight w:val="21"/>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B7609D" w:rsidRPr="00EF4C81" w:rsidRDefault="00B7609D">
      <w:pPr>
        <w:spacing w:after="200" w:line="276" w:lineRule="auto"/>
        <w:rPr>
          <w:rFonts w:ascii="AvenirMaori-Heavy" w:eastAsia="Times New Roman" w:hAnsi="AvenirMaori-Heavy" w:cs="AvenirMaori-Heavy"/>
          <w:color w:val="auto"/>
          <w:spacing w:val="-2"/>
          <w:sz w:val="22"/>
          <w:lang w:val="en-GB" w:eastAsia="en-AU"/>
        </w:rPr>
      </w:pPr>
      <w:r w:rsidRPr="00EF4C81">
        <w:rPr>
          <w:color w:val="auto"/>
          <w:lang w:val="en-GB"/>
        </w:rPr>
        <w:br w:type="page"/>
      </w:r>
    </w:p>
    <w:p w:rsidR="009D38E8" w:rsidRPr="00EF4C81" w:rsidRDefault="009D38E8" w:rsidP="009D38E8">
      <w:pPr>
        <w:pStyle w:val="Tableheader"/>
        <w:rPr>
          <w:color w:val="auto"/>
          <w:lang w:val="en-GB"/>
        </w:rPr>
      </w:pPr>
      <w:r w:rsidRPr="00EF4C81">
        <w:rPr>
          <w:color w:val="auto"/>
          <w:lang w:val="en-GB"/>
        </w:rPr>
        <w:lastRenderedPageBreak/>
        <w:t xml:space="preserve">Service Performance Information </w:t>
      </w:r>
    </w:p>
    <w:p w:rsidR="009D38E8" w:rsidRPr="00EF4C81" w:rsidRDefault="009D38E8" w:rsidP="009D38E8">
      <w:pPr>
        <w:pStyle w:val="Tableheader2"/>
        <w:rPr>
          <w:color w:val="auto"/>
          <w:lang w:val="en-GB"/>
        </w:rPr>
      </w:pPr>
      <w:r w:rsidRPr="00EF4C81">
        <w:rPr>
          <w:color w:val="auto"/>
          <w:lang w:val="en-GB"/>
        </w:rPr>
        <w:t>Output: Vocational Skills Training</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B7609D">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B7609D">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58.1%</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Quantity</w:t>
            </w:r>
          </w:p>
          <w:p w:rsidR="009D38E8" w:rsidRPr="00EF4C81" w:rsidRDefault="009D38E8" w:rsidP="00A36A23">
            <w:pPr>
              <w:pStyle w:val="tablefintext"/>
              <w:rPr>
                <w:color w:val="auto"/>
              </w:rPr>
            </w:pPr>
            <w:r w:rsidRPr="00EF4C81">
              <w:rPr>
                <w:color w:val="auto"/>
                <w:lang w:val="en-GB"/>
              </w:rPr>
              <w:t>The proportion of participants who complete a minimum of 14 weeks training in Foundation Focused Training Opportunity study programmes</w:t>
            </w:r>
            <w:r w:rsidRPr="00EF4C81">
              <w:rPr>
                <w:rStyle w:val="FootnoteReference"/>
                <w:color w:val="auto"/>
                <w:lang w:val="en-GB"/>
              </w:rPr>
              <w:footnoteReference w:id="52"/>
            </w:r>
            <w:r w:rsidRPr="00EF4C81">
              <w:rPr>
                <w:color w:val="auto"/>
                <w:lang w:val="en-GB"/>
              </w:rPr>
              <w:t xml:space="preserve">  will be no less than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54%</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80%</w:t>
            </w:r>
          </w:p>
        </w:tc>
      </w:tr>
      <w:tr w:rsidR="009D38E8" w:rsidRPr="00EF4C81" w:rsidTr="00B7609D">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rPr>
              <w:t>New measure in 2012/2013</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The number of contracted places in Foundation Focused Training Opportunity study programmes will be no less than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3,958</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4,150</w:t>
            </w:r>
          </w:p>
        </w:tc>
      </w:tr>
      <w:tr w:rsidR="009D38E8" w:rsidRPr="00EF4C81" w:rsidTr="00B7609D">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40.5%</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rPr>
            </w:pPr>
            <w:r w:rsidRPr="00EF4C81">
              <w:rPr>
                <w:b/>
                <w:color w:val="auto"/>
              </w:rPr>
              <w:t>Quality</w:t>
            </w:r>
          </w:p>
          <w:p w:rsidR="009D38E8" w:rsidRPr="00EF4C81" w:rsidRDefault="009D38E8" w:rsidP="00A36A23">
            <w:pPr>
              <w:pStyle w:val="tablefintext"/>
              <w:rPr>
                <w:color w:val="auto"/>
              </w:rPr>
            </w:pPr>
            <w:r w:rsidRPr="00EF4C81">
              <w:rPr>
                <w:color w:val="auto"/>
                <w:lang w:val="en-GB"/>
              </w:rPr>
              <w:t>The proportion of participants in Foundation Focused Training Opportunity study programmes who gain employment will be no 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28%</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38%</w:t>
            </w:r>
          </w:p>
        </w:tc>
      </w:tr>
    </w:tbl>
    <w:p w:rsidR="009D38E8" w:rsidRPr="00D173BB" w:rsidRDefault="009D38E8" w:rsidP="00D173BB">
      <w:pPr>
        <w:pStyle w:val="Heading3"/>
      </w:pPr>
      <w:r w:rsidRPr="00D173BB">
        <w:br w:type="page"/>
      </w:r>
      <w:r w:rsidRPr="00D173BB">
        <w:lastRenderedPageBreak/>
        <w:t>Output Expense: Youth Development</w:t>
      </w:r>
    </w:p>
    <w:p w:rsidR="009D38E8" w:rsidRPr="00D173BB" w:rsidRDefault="009D38E8" w:rsidP="00D173BB">
      <w:pPr>
        <w:pStyle w:val="Subtitle"/>
      </w:pPr>
      <w:r w:rsidRPr="00D173BB">
        <w:t>Scope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This appropriation is limited to providing leadership and service delivery to promote the interest</w:t>
      </w:r>
      <w:r w:rsidR="006A3247" w:rsidRPr="00EF4C81">
        <w:rPr>
          <w:color w:val="auto"/>
          <w:sz w:val="22"/>
          <w:szCs w:val="22"/>
          <w:lang w:val="en-GB"/>
        </w:rPr>
        <w:t>s</w:t>
      </w:r>
      <w:r w:rsidRPr="00EF4C81">
        <w:rPr>
          <w:color w:val="auto"/>
          <w:sz w:val="22"/>
          <w:szCs w:val="22"/>
          <w:lang w:val="en-GB"/>
        </w:rPr>
        <w:t xml:space="preserve"> of, and improve outcomes for, young people. </w:t>
      </w:r>
    </w:p>
    <w:p w:rsidR="009D38E8" w:rsidRPr="00D173BB" w:rsidRDefault="009D38E8" w:rsidP="00D173BB">
      <w:pPr>
        <w:pStyle w:val="Subtitle"/>
      </w:pPr>
      <w:r w:rsidRPr="00D173BB">
        <w:t>Summary of Performance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All performance standards in this output expense have been met or exceeded.</w:t>
      </w:r>
    </w:p>
    <w:p w:rsidR="003F4206" w:rsidRPr="00EF4C81" w:rsidRDefault="009D38E8" w:rsidP="003F4206">
      <w:pPr>
        <w:pStyle w:val="text"/>
        <w:spacing w:after="240"/>
        <w:rPr>
          <w:color w:val="auto"/>
          <w:sz w:val="22"/>
          <w:szCs w:val="22"/>
        </w:rPr>
      </w:pPr>
      <w:r w:rsidRPr="00EF4C81">
        <w:rPr>
          <w:color w:val="auto"/>
          <w:sz w:val="22"/>
          <w:szCs w:val="22"/>
        </w:rPr>
        <w:t>Th</w:t>
      </w:r>
      <w:r w:rsidR="006A3247" w:rsidRPr="00EF4C81">
        <w:rPr>
          <w:color w:val="auto"/>
          <w:sz w:val="22"/>
          <w:szCs w:val="22"/>
        </w:rPr>
        <w:t>e</w:t>
      </w:r>
      <w:r w:rsidRPr="00EF4C81">
        <w:rPr>
          <w:color w:val="auto"/>
          <w:sz w:val="22"/>
          <w:szCs w:val="22"/>
        </w:rPr>
        <w:t xml:space="preserve"> indicator for the number of young people participating in decision-making opportunities is measured through participants’ feedback following </w:t>
      </w:r>
      <w:r w:rsidR="006A3247" w:rsidRPr="00EF4C81">
        <w:rPr>
          <w:color w:val="auto"/>
          <w:sz w:val="22"/>
          <w:szCs w:val="22"/>
        </w:rPr>
        <w:t xml:space="preserve">the </w:t>
      </w:r>
      <w:r w:rsidRPr="00EF4C81">
        <w:rPr>
          <w:color w:val="auto"/>
          <w:sz w:val="22"/>
          <w:szCs w:val="22"/>
        </w:rPr>
        <w:t xml:space="preserve">completion of a </w:t>
      </w:r>
      <w:proofErr w:type="spellStart"/>
      <w:r w:rsidRPr="00EF4C81">
        <w:rPr>
          <w:color w:val="auto"/>
          <w:sz w:val="22"/>
          <w:szCs w:val="22"/>
        </w:rPr>
        <w:t>programme</w:t>
      </w:r>
      <w:proofErr w:type="spellEnd"/>
      <w:r w:rsidRPr="00EF4C81">
        <w:rPr>
          <w:color w:val="auto"/>
          <w:sz w:val="22"/>
          <w:szCs w:val="22"/>
        </w:rPr>
        <w:t xml:space="preserve"> or service.  </w:t>
      </w:r>
    </w:p>
    <w:p w:rsidR="009D38E8" w:rsidRPr="00EF4C81" w:rsidRDefault="003F4206" w:rsidP="003F4206">
      <w:pPr>
        <w:pStyle w:val="text"/>
        <w:spacing w:after="240"/>
        <w:rPr>
          <w:color w:val="auto"/>
          <w:sz w:val="22"/>
          <w:szCs w:val="22"/>
          <w:lang w:val="en-GB"/>
        </w:rPr>
      </w:pPr>
      <w:r w:rsidRPr="00EF4C81">
        <w:rPr>
          <w:color w:val="auto"/>
          <w:sz w:val="22"/>
          <w:szCs w:val="22"/>
        </w:rPr>
        <w:t>In 2012/2013,</w:t>
      </w:r>
      <w:r w:rsidR="009D38E8" w:rsidRPr="00EF4C81">
        <w:rPr>
          <w:color w:val="auto"/>
          <w:sz w:val="22"/>
          <w:szCs w:val="22"/>
        </w:rPr>
        <w:t xml:space="preserve"> there was increased demand for consultations with young people in the Central South and Southern regions.</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09"/>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4,101</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2,974</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2,974</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2,974</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37</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4,138</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2,974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2,974</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2,974</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3,862</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22186B">
            <w:pPr>
              <w:pStyle w:val="FinFigures"/>
              <w:rPr>
                <w:color w:val="auto"/>
              </w:rPr>
            </w:pPr>
            <w:r w:rsidRPr="00EF4C81">
              <w:rPr>
                <w:color w:val="auto"/>
              </w:rPr>
              <w:t>2,71</w:t>
            </w:r>
            <w:r w:rsidR="0022186B" w:rsidRPr="00EF4C81">
              <w:rPr>
                <w:color w:val="auto"/>
              </w:rPr>
              <w:t>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2,974</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2,974</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276</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22186B">
            <w:pPr>
              <w:pStyle w:val="FinFigures"/>
              <w:rPr>
                <w:color w:val="auto"/>
              </w:rPr>
            </w:pPr>
            <w:r w:rsidRPr="00EF4C81">
              <w:rPr>
                <w:color w:val="auto"/>
              </w:rPr>
              <w:t>26</w:t>
            </w:r>
            <w:r w:rsidR="0022186B" w:rsidRPr="00EF4C81">
              <w:rPr>
                <w:color w:val="auto"/>
              </w:rPr>
              <w:t>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Service Performance Information</w:t>
      </w:r>
    </w:p>
    <w:p w:rsidR="006A3247" w:rsidRPr="00EF4C81" w:rsidRDefault="006A3247" w:rsidP="009D38E8">
      <w:pPr>
        <w:pStyle w:val="Tableheader"/>
        <w:rPr>
          <w:rStyle w:val="FootnoteReference"/>
          <w:color w:val="auto"/>
          <w:lang w:val="en-GB"/>
        </w:rPr>
      </w:pPr>
      <w:r w:rsidRPr="00EF4C81">
        <w:rPr>
          <w:color w:val="auto"/>
          <w:lang w:val="en-GB"/>
        </w:rPr>
        <w:t>Output: Youth Development</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blHeader/>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102</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b/>
                <w:color w:val="auto"/>
                <w:lang w:val="en-GB"/>
              </w:rPr>
              <w:t>Quantity</w:t>
            </w:r>
          </w:p>
          <w:p w:rsidR="009D38E8" w:rsidRPr="00EF4C81" w:rsidRDefault="006A3247" w:rsidP="006A3247">
            <w:pPr>
              <w:pStyle w:val="tablefintext"/>
              <w:rPr>
                <w:color w:val="auto"/>
                <w:lang w:val="en-GB"/>
              </w:rPr>
            </w:pPr>
            <w:r w:rsidRPr="00EF4C81">
              <w:rPr>
                <w:color w:val="auto"/>
                <w:lang w:val="en-GB"/>
              </w:rPr>
              <w:t>The n</w:t>
            </w:r>
            <w:r w:rsidR="009D38E8" w:rsidRPr="00EF4C81">
              <w:rPr>
                <w:color w:val="auto"/>
                <w:lang w:val="en-GB"/>
              </w:rPr>
              <w:t xml:space="preserve">umber of youth participation workshops delivered will be between </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119</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80–100</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New measure in 2012/2013</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rStyle w:val="fintextheavyFINANCIALS"/>
                <w:color w:val="auto"/>
                <w:lang w:val="en-GB"/>
              </w:rPr>
            </w:pPr>
            <w:r w:rsidRPr="00EF4C81">
              <w:rPr>
                <w:rStyle w:val="fintextheavyFINANCIALS"/>
                <w:color w:val="auto"/>
                <w:lang w:val="en-GB"/>
              </w:rPr>
              <w:t>The number of young people participating in decision-making opportunities</w:t>
            </w:r>
            <w:r w:rsidRPr="00EF4C81">
              <w:rPr>
                <w:rStyle w:val="FootnoteReference"/>
                <w:color w:val="auto"/>
                <w:lang w:val="en-GB"/>
              </w:rPr>
              <w:footnoteReference w:id="53"/>
            </w:r>
            <w:r w:rsidRPr="00EF4C81">
              <w:rPr>
                <w:rStyle w:val="fintextheavyFINANCIALS"/>
                <w:color w:val="auto"/>
                <w:lang w:val="en-GB"/>
              </w:rPr>
              <w:t xml:space="preserve"> will be no fewer than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4,910</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4,000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New measure in 2012/2013</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b/>
                <w:color w:val="auto"/>
                <w:lang w:val="en-GB"/>
              </w:rPr>
              <w:t>Quality</w:t>
            </w:r>
          </w:p>
          <w:p w:rsidR="009D38E8" w:rsidRPr="00EF4C81" w:rsidRDefault="009D38E8" w:rsidP="00A36A23">
            <w:pPr>
              <w:pStyle w:val="tablefintext"/>
              <w:rPr>
                <w:color w:val="auto"/>
              </w:rPr>
            </w:pPr>
            <w:r w:rsidRPr="00EF4C81">
              <w:rPr>
                <w:color w:val="auto"/>
                <w:lang w:val="en-GB"/>
              </w:rPr>
              <w:t xml:space="preserve">The percentage of young people who report an increase in skills and knowledge from attending youth participation workshops will be no less than </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99%</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95%</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99%</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color w:val="auto"/>
                <w:lang w:val="en-GB"/>
              </w:rPr>
              <w:t>The percentage of young people who report being satisfied or very satisfied with their involvement in youth participation activities will be between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96%</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90–100%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lastRenderedPageBreak/>
              <w:t>100%</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lang w:val="en-GB"/>
              </w:rPr>
            </w:pPr>
            <w:r w:rsidRPr="00EF4C81">
              <w:rPr>
                <w:color w:val="auto"/>
                <w:lang w:val="en-GB"/>
              </w:rPr>
              <w:t>The percentage of funding and contracting agreements that are consistent with the Code of Funding Practice</w:t>
            </w:r>
            <w:r w:rsidRPr="00EF4C81">
              <w:rPr>
                <w:rStyle w:val="FootnoteReference"/>
                <w:color w:val="auto"/>
                <w:lang w:val="en-GB"/>
              </w:rPr>
              <w:footnoteReference w:id="54"/>
            </w:r>
            <w:r w:rsidRPr="00EF4C81">
              <w:rPr>
                <w:color w:val="auto"/>
                <w:lang w:val="en-GB"/>
              </w:rPr>
              <w:t xml:space="preserve"> will be no 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100%</w:t>
            </w:r>
          </w:p>
        </w:tc>
      </w:tr>
    </w:tbl>
    <w:p w:rsidR="009D38E8" w:rsidRPr="00D173BB" w:rsidRDefault="009D38E8" w:rsidP="00D173BB">
      <w:pPr>
        <w:pStyle w:val="Heading3"/>
      </w:pPr>
      <w:r w:rsidRPr="00D173BB">
        <w:br w:type="page"/>
      </w:r>
      <w:r w:rsidRPr="00D173BB">
        <w:lastRenderedPageBreak/>
        <w:t>Output Expense: Youth Justice Services</w:t>
      </w:r>
    </w:p>
    <w:p w:rsidR="009D38E8" w:rsidRPr="00D173BB" w:rsidRDefault="009D38E8" w:rsidP="00D173BB">
      <w:pPr>
        <w:pStyle w:val="Subtitle"/>
      </w:pPr>
      <w:r w:rsidRPr="00D173BB">
        <w:t>Scope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Social work and other services to manage and resolve offending behaviour by children and young people, by providing assessment, support, programmes, containment and care of young offenders.</w:t>
      </w:r>
    </w:p>
    <w:p w:rsidR="009D38E8" w:rsidRPr="00D173BB" w:rsidRDefault="009D38E8" w:rsidP="00D173BB">
      <w:pPr>
        <w:pStyle w:val="Subtitle"/>
      </w:pPr>
      <w:r w:rsidRPr="00D173BB">
        <w:t>Summary of Performance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All five performance standards in this output expense were met or exceeded.</w:t>
      </w:r>
    </w:p>
    <w:p w:rsidR="009D38E8" w:rsidRPr="00EF4C81" w:rsidRDefault="009D38E8" w:rsidP="003F4206">
      <w:pPr>
        <w:pStyle w:val="text"/>
        <w:spacing w:after="240"/>
        <w:rPr>
          <w:color w:val="auto"/>
          <w:sz w:val="22"/>
          <w:szCs w:val="22"/>
          <w:lang w:val="en-GB"/>
        </w:rPr>
      </w:pPr>
      <w:r w:rsidRPr="00EF4C81">
        <w:rPr>
          <w:color w:val="auto"/>
          <w:sz w:val="22"/>
          <w:szCs w:val="22"/>
          <w:lang w:val="en-GB"/>
        </w:rPr>
        <w:t>In 2012/2013, Youth Justice Family Group Conference plans were prepared for 3,384 children and young people. Of these, 3,168 children and young people met the objectives set out in their plans.</w:t>
      </w:r>
    </w:p>
    <w:p w:rsidR="009D38E8" w:rsidRPr="00EF4C81" w:rsidRDefault="009D38E8" w:rsidP="009D38E8">
      <w:pPr>
        <w:pStyle w:val="Tableheader"/>
        <w:rPr>
          <w:color w:val="auto"/>
          <w:lang w:val="en-GB"/>
        </w:rPr>
      </w:pPr>
      <w:r w:rsidRPr="00EF4C81">
        <w:rPr>
          <w:color w:val="auto"/>
          <w:lang w:val="en-GB"/>
        </w:rPr>
        <w:t xml:space="preserve">Financial Performance Information </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hanging="14"/>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133,249</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132,440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132,440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132,440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627</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133,876</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132,440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132,440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132,440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130,434</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22186B">
            <w:pPr>
              <w:pStyle w:val="FinFigures"/>
              <w:rPr>
                <w:color w:val="auto"/>
              </w:rPr>
            </w:pPr>
            <w:r w:rsidRPr="00EF4C81">
              <w:rPr>
                <w:color w:val="auto"/>
              </w:rPr>
              <w:t>129,</w:t>
            </w:r>
            <w:r w:rsidR="0022186B" w:rsidRPr="00EF4C81">
              <w:rPr>
                <w:color w:val="auto"/>
              </w:rPr>
              <w:t>540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132,440</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132,440</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3,442</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22186B" w:rsidP="0022186B">
            <w:pPr>
              <w:pStyle w:val="FinFigures"/>
              <w:rPr>
                <w:color w:val="auto"/>
              </w:rPr>
            </w:pPr>
            <w:r w:rsidRPr="00EF4C81">
              <w:rPr>
                <w:color w:val="auto"/>
              </w:rPr>
              <w:t>2</w:t>
            </w:r>
            <w:r w:rsidR="009D38E8" w:rsidRPr="00EF4C81">
              <w:rPr>
                <w:color w:val="auto"/>
              </w:rPr>
              <w:t>,</w:t>
            </w:r>
            <w:r w:rsidRPr="00EF4C81">
              <w:rPr>
                <w:color w:val="auto"/>
              </w:rPr>
              <w:t>9</w:t>
            </w:r>
            <w:r w:rsidR="009D38E8" w:rsidRPr="00EF4C81">
              <w:rPr>
                <w:color w:val="auto"/>
              </w:rPr>
              <w:t>0</w:t>
            </w:r>
            <w:r w:rsidRPr="00EF4C81">
              <w:rPr>
                <w:color w:val="auto"/>
              </w:rPr>
              <w:t>0</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Youth Justice Safety and Belonging</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97.8%</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Youth Justice Family Group Conferences held within statutory timeframes (unless there are special reasons for delay</w:t>
            </w:r>
            <w:r w:rsidRPr="00EF4C81">
              <w:rPr>
                <w:rStyle w:val="FootnoteReference"/>
                <w:color w:val="auto"/>
              </w:rPr>
              <w:footnoteReference w:id="55"/>
            </w:r>
            <w:r w:rsidRPr="00EF4C81">
              <w:rPr>
                <w:color w:val="auto"/>
                <w:lang w:val="en-GB"/>
              </w:rPr>
              <w:t>) will be between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97.2%</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bl>
    <w:p w:rsidR="009D38E8" w:rsidRPr="00EF4C81" w:rsidRDefault="009D38E8" w:rsidP="009D38E8">
      <w:pPr>
        <w:pStyle w:val="TABLESPACE"/>
        <w:rPr>
          <w:color w:val="auto"/>
          <w:sz w:val="21"/>
          <w:szCs w:val="21"/>
          <w:lang w:val="en-GB"/>
        </w:rPr>
      </w:pPr>
    </w:p>
    <w:p w:rsidR="009F30B7" w:rsidRPr="00EF4C81" w:rsidRDefault="009F30B7">
      <w:pPr>
        <w:spacing w:after="200" w:line="276" w:lineRule="auto"/>
        <w:rPr>
          <w:rFonts w:ascii="AvenirMaori-Heavy" w:eastAsia="Times New Roman" w:hAnsi="AvenirMaori-Heavy" w:cs="AvenirMaori-Heavy"/>
          <w:color w:val="auto"/>
          <w:spacing w:val="-2"/>
          <w:sz w:val="22"/>
          <w:lang w:val="en-GB" w:eastAsia="en-AU"/>
        </w:rPr>
      </w:pPr>
      <w:r w:rsidRPr="00EF4C81">
        <w:rPr>
          <w:color w:val="auto"/>
          <w:lang w:val="en-GB"/>
        </w:rPr>
        <w:br w:type="page"/>
      </w:r>
    </w:p>
    <w:p w:rsidR="009D38E8" w:rsidRPr="00EF4C81" w:rsidRDefault="009D38E8" w:rsidP="009D38E8">
      <w:pPr>
        <w:pStyle w:val="Tableheader"/>
        <w:rPr>
          <w:color w:val="auto"/>
          <w:lang w:val="en-GB"/>
        </w:rPr>
      </w:pPr>
      <w:r w:rsidRPr="00EF4C81">
        <w:rPr>
          <w:color w:val="auto"/>
          <w:lang w:val="en-GB"/>
        </w:rPr>
        <w:lastRenderedPageBreak/>
        <w:t>Service Performance Information</w:t>
      </w:r>
    </w:p>
    <w:p w:rsidR="009D38E8" w:rsidRPr="00EF4C81" w:rsidRDefault="009D38E8" w:rsidP="009D38E8">
      <w:pPr>
        <w:pStyle w:val="Tableheader2"/>
        <w:rPr>
          <w:color w:val="auto"/>
          <w:lang w:val="en-GB"/>
        </w:rPr>
      </w:pPr>
      <w:r w:rsidRPr="00EF4C81">
        <w:rPr>
          <w:color w:val="auto"/>
          <w:lang w:val="en-GB"/>
        </w:rPr>
        <w:t>Output: Youth Justice Changing Behaviour and Enhancing Wellbeing</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cantSplit/>
          <w:trHeight w:val="113"/>
          <w:tblHeader/>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cantSplit/>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89.8%</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children and young people whose Youth Justice Family Group Conference plans were completed and the objectives were assessed as being met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93.6%</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85–90%</w:t>
            </w:r>
          </w:p>
        </w:tc>
      </w:tr>
      <w:tr w:rsidR="009D38E8" w:rsidRPr="00EF4C81" w:rsidTr="00A36A23">
        <w:trPr>
          <w:cantSplit/>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r w:rsidRPr="00EF4C81">
              <w:rPr>
                <w:color w:val="auto"/>
                <w:lang w:val="en-GB"/>
              </w:rPr>
              <w:t>97%</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464010">
            <w:pPr>
              <w:pStyle w:val="tablefintext"/>
              <w:rPr>
                <w:rStyle w:val="fintextheavyFINANCIALS"/>
                <w:b/>
                <w:color w:val="auto"/>
                <w:lang w:val="en-GB"/>
              </w:rPr>
            </w:pPr>
            <w:r w:rsidRPr="00EF4C81">
              <w:rPr>
                <w:color w:val="auto"/>
                <w:lang w:val="en-GB"/>
              </w:rPr>
              <w:t xml:space="preserve">The percentage of young people discharged from a youth justice residence, after completing a Supervision with Residence </w:t>
            </w:r>
            <w:r w:rsidR="00464010" w:rsidRPr="00EF4C81">
              <w:rPr>
                <w:color w:val="auto"/>
                <w:lang w:val="en-GB"/>
              </w:rPr>
              <w:t>O</w:t>
            </w:r>
            <w:r w:rsidRPr="00EF4C81">
              <w:rPr>
                <w:color w:val="auto"/>
                <w:lang w:val="en-GB"/>
              </w:rPr>
              <w:t>rder, who receive an individual transition plan to help them re-integrate into society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lang w:val="en-GB"/>
              </w:rPr>
            </w:pPr>
            <w:r w:rsidRPr="00EF4C81">
              <w:rPr>
                <w:color w:val="auto"/>
                <w:lang w:val="en-GB"/>
              </w:rPr>
              <w:t>99</w:t>
            </w:r>
            <w:r w:rsidR="00464010" w:rsidRPr="00EF4C81">
              <w:rPr>
                <w:color w:val="auto"/>
                <w:lang w:val="en-GB"/>
              </w:rPr>
              <w:t>.0</w:t>
            </w: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90–100%</w:t>
            </w:r>
          </w:p>
        </w:tc>
      </w:tr>
      <w:tr w:rsidR="009D38E8" w:rsidRPr="00EF4C81" w:rsidTr="00A36A23">
        <w:trPr>
          <w:cantSplit/>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rPr>
              <w:t>99.8%</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Youth Justice Family Group Conference plans reviewed on time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99.3%</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95–100%</w:t>
            </w:r>
          </w:p>
        </w:tc>
      </w:tr>
      <w:tr w:rsidR="009D38E8" w:rsidRPr="00EF4C81" w:rsidTr="00A36A23">
        <w:trPr>
          <w:cantSplit/>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90%</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The percentage of early release reports</w:t>
            </w:r>
            <w:r w:rsidR="002529BE" w:rsidRPr="00EF4C81">
              <w:rPr>
                <w:rStyle w:val="FootnoteReference"/>
                <w:color w:val="auto"/>
                <w:lang w:val="en-GB"/>
              </w:rPr>
              <w:footnoteReference w:id="56"/>
            </w:r>
            <w:r w:rsidRPr="00EF4C81">
              <w:rPr>
                <w:color w:val="auto"/>
                <w:lang w:val="en-GB"/>
              </w:rPr>
              <w:t xml:space="preserve"> completed on time will be between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97.0%</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90–100%</w:t>
            </w:r>
          </w:p>
        </w:tc>
      </w:tr>
    </w:tbl>
    <w:p w:rsidR="009D38E8" w:rsidRPr="00EF4C81" w:rsidRDefault="009D38E8" w:rsidP="009D38E8">
      <w:pPr>
        <w:pStyle w:val="TABLESPACE"/>
        <w:rPr>
          <w:color w:val="auto"/>
          <w:sz w:val="21"/>
          <w:szCs w:val="21"/>
          <w:lang w:val="en-GB"/>
        </w:rPr>
      </w:pPr>
    </w:p>
    <w:p w:rsidR="009D38E8" w:rsidRPr="00EF4C81" w:rsidRDefault="009D38E8" w:rsidP="00EF4C81">
      <w:pPr>
        <w:pStyle w:val="Heading2"/>
        <w:rPr>
          <w:b w:val="0"/>
          <w:sz w:val="40"/>
          <w:szCs w:val="40"/>
        </w:rPr>
      </w:pPr>
      <w:r w:rsidRPr="00EF4C81">
        <w:rPr>
          <w:b w:val="0"/>
          <w:sz w:val="40"/>
          <w:szCs w:val="40"/>
        </w:rPr>
        <w:br w:type="page"/>
      </w:r>
      <w:r w:rsidRPr="00EF4C81">
        <w:rPr>
          <w:b w:val="0"/>
          <w:sz w:val="40"/>
          <w:szCs w:val="40"/>
        </w:rPr>
        <w:lastRenderedPageBreak/>
        <w:t>Vote Senior Citizens</w:t>
      </w:r>
    </w:p>
    <w:p w:rsidR="009D38E8" w:rsidRPr="00D173BB" w:rsidRDefault="009D38E8" w:rsidP="00D173BB">
      <w:pPr>
        <w:pStyle w:val="Heading3"/>
      </w:pPr>
      <w:r w:rsidRPr="00D173BB">
        <w:t>Output Expense: Senior Citizens Services</w:t>
      </w:r>
    </w:p>
    <w:p w:rsidR="009D38E8" w:rsidRPr="00EF4C81" w:rsidRDefault="009D38E8" w:rsidP="009D38E8">
      <w:pPr>
        <w:pStyle w:val="subhead"/>
        <w:rPr>
          <w:color w:val="auto"/>
          <w:lang w:val="en-GB"/>
        </w:rPr>
      </w:pPr>
    </w:p>
    <w:p w:rsidR="009D38E8" w:rsidRPr="00D173BB" w:rsidRDefault="009D38E8" w:rsidP="00D173BB">
      <w:pPr>
        <w:pStyle w:val="Subtitle"/>
      </w:pPr>
      <w:r w:rsidRPr="00D173BB">
        <w:t>Scope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 xml:space="preserve">This appropriation is limited to providing information and facilitation to protect the rights and interests of older people, to promote local community involvement in senior citizens' issues, and </w:t>
      </w:r>
      <w:r w:rsidR="003F4206" w:rsidRPr="00EF4C81">
        <w:rPr>
          <w:color w:val="auto"/>
          <w:sz w:val="22"/>
          <w:szCs w:val="22"/>
          <w:lang w:val="en-GB"/>
        </w:rPr>
        <w:t>m</w:t>
      </w:r>
      <w:r w:rsidRPr="00EF4C81">
        <w:rPr>
          <w:color w:val="auto"/>
          <w:sz w:val="22"/>
          <w:szCs w:val="22"/>
          <w:lang w:val="en-GB"/>
        </w:rPr>
        <w:t>inisterial ser</w:t>
      </w:r>
      <w:r w:rsidR="004679C2" w:rsidRPr="00EF4C81">
        <w:rPr>
          <w:color w:val="auto"/>
          <w:sz w:val="22"/>
          <w:szCs w:val="22"/>
          <w:lang w:val="en-GB"/>
        </w:rPr>
        <w:t>v</w:t>
      </w:r>
      <w:r w:rsidRPr="00EF4C81">
        <w:rPr>
          <w:color w:val="auto"/>
          <w:sz w:val="22"/>
          <w:szCs w:val="22"/>
          <w:lang w:val="en-GB"/>
        </w:rPr>
        <w:t>ices.</w:t>
      </w:r>
    </w:p>
    <w:p w:rsidR="009D38E8" w:rsidRPr="00D173BB" w:rsidRDefault="009D38E8" w:rsidP="00D173BB">
      <w:pPr>
        <w:pStyle w:val="Subtitle"/>
      </w:pPr>
      <w:r w:rsidRPr="00D173BB">
        <w:t>Summary of Performance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All performance standards in this output expense have been met or exceeded.</w:t>
      </w:r>
    </w:p>
    <w:p w:rsidR="009D38E8" w:rsidRPr="00EF4C81" w:rsidRDefault="003F4206" w:rsidP="003F4206">
      <w:pPr>
        <w:pStyle w:val="text"/>
        <w:spacing w:after="240"/>
        <w:rPr>
          <w:color w:val="auto"/>
          <w:sz w:val="22"/>
          <w:szCs w:val="22"/>
          <w:lang w:val="en-GB"/>
        </w:rPr>
      </w:pPr>
      <w:r w:rsidRPr="00EF4C81">
        <w:rPr>
          <w:color w:val="auto"/>
          <w:sz w:val="22"/>
          <w:szCs w:val="22"/>
          <w:lang w:val="en-GB"/>
        </w:rPr>
        <w:t>In 2012/2013, a</w:t>
      </w:r>
      <w:r w:rsidR="009D38E8" w:rsidRPr="00EF4C81">
        <w:rPr>
          <w:color w:val="auto"/>
          <w:sz w:val="22"/>
          <w:szCs w:val="22"/>
          <w:lang w:val="en-GB"/>
        </w:rPr>
        <w:t xml:space="preserve"> sample of 29 papers on </w:t>
      </w:r>
      <w:r w:rsidR="00B9669A" w:rsidRPr="00EF4C81">
        <w:rPr>
          <w:color w:val="auto"/>
          <w:sz w:val="22"/>
          <w:szCs w:val="22"/>
          <w:lang w:val="en-GB"/>
        </w:rPr>
        <w:t>s</w:t>
      </w:r>
      <w:r w:rsidR="009D38E8" w:rsidRPr="00EF4C81">
        <w:rPr>
          <w:color w:val="auto"/>
          <w:sz w:val="22"/>
          <w:szCs w:val="22"/>
          <w:lang w:val="en-GB"/>
        </w:rPr>
        <w:t xml:space="preserve">enior </w:t>
      </w:r>
      <w:r w:rsidR="00B9669A" w:rsidRPr="00EF4C81">
        <w:rPr>
          <w:color w:val="auto"/>
          <w:sz w:val="22"/>
          <w:szCs w:val="22"/>
          <w:lang w:val="en-GB"/>
        </w:rPr>
        <w:t>c</w:t>
      </w:r>
      <w:r w:rsidR="009D38E8" w:rsidRPr="00EF4C81">
        <w:rPr>
          <w:color w:val="auto"/>
          <w:sz w:val="22"/>
          <w:szCs w:val="22"/>
          <w:lang w:val="en-GB"/>
        </w:rPr>
        <w:t>itizens was audited</w:t>
      </w:r>
      <w:r w:rsidR="00B9669A" w:rsidRPr="00EF4C81">
        <w:rPr>
          <w:color w:val="auto"/>
          <w:sz w:val="22"/>
          <w:szCs w:val="22"/>
          <w:lang w:val="en-GB"/>
        </w:rPr>
        <w:t>. I</w:t>
      </w:r>
      <w:r w:rsidR="009D38E8" w:rsidRPr="00EF4C81">
        <w:rPr>
          <w:color w:val="auto"/>
          <w:sz w:val="22"/>
          <w:szCs w:val="22"/>
          <w:lang w:val="en-GB"/>
        </w:rPr>
        <w:t xml:space="preserve">n all cases the correct quality assurance process was followed, </w:t>
      </w:r>
      <w:r w:rsidR="00464010" w:rsidRPr="00EF4C81">
        <w:rPr>
          <w:color w:val="auto"/>
          <w:sz w:val="22"/>
          <w:szCs w:val="22"/>
          <w:lang w:val="en-GB"/>
        </w:rPr>
        <w:t>resulting in</w:t>
      </w:r>
      <w:r w:rsidR="009D38E8" w:rsidRPr="00EF4C81">
        <w:rPr>
          <w:color w:val="auto"/>
          <w:sz w:val="22"/>
          <w:szCs w:val="22"/>
          <w:lang w:val="en-GB"/>
        </w:rPr>
        <w:t xml:space="preserve"> a standard achieved of 100 per cent.</w:t>
      </w:r>
    </w:p>
    <w:p w:rsidR="009D38E8" w:rsidRPr="00EF4C81" w:rsidRDefault="009D38E8" w:rsidP="009D38E8">
      <w:pPr>
        <w:pStyle w:val="Tableheader"/>
        <w:rPr>
          <w:color w:val="auto"/>
        </w:rPr>
      </w:pPr>
      <w:r w:rsidRPr="00EF4C81">
        <w:rPr>
          <w:color w:val="auto"/>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51"/>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1,017</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1,016</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1,016</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1,016</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18</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1,035</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1,016</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1,016</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1,016</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775</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979</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1,016</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1,016</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260</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37</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lang w:val="en-GB"/>
        </w:rPr>
      </w:pPr>
    </w:p>
    <w:p w:rsidR="009D38E8" w:rsidRPr="00EF4C81" w:rsidRDefault="009D38E8" w:rsidP="009D38E8">
      <w:pPr>
        <w:pStyle w:val="Tableheader"/>
        <w:rPr>
          <w:color w:val="auto"/>
        </w:rPr>
      </w:pPr>
      <w:r w:rsidRPr="00EF4C81">
        <w:rPr>
          <w:color w:val="auto"/>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Senior Citizens Services</w:t>
      </w:r>
    </w:p>
    <w:tbl>
      <w:tblPr>
        <w:tblW w:w="9638" w:type="dxa"/>
        <w:tblInd w:w="8" w:type="dxa"/>
        <w:tblLayout w:type="fixed"/>
        <w:tblCellMar>
          <w:left w:w="0" w:type="dxa"/>
          <w:right w:w="0" w:type="dxa"/>
        </w:tblCellMar>
        <w:tblLook w:val="0000" w:firstRow="0" w:lastRow="0" w:firstColumn="0" w:lastColumn="0" w:noHBand="0" w:noVBand="0"/>
      </w:tblPr>
      <w:tblGrid>
        <w:gridCol w:w="1417"/>
        <w:gridCol w:w="5246"/>
        <w:gridCol w:w="1417"/>
        <w:gridCol w:w="1558"/>
      </w:tblGrid>
      <w:tr w:rsidR="009D38E8" w:rsidRPr="00EF4C81" w:rsidTr="0049075A">
        <w:trPr>
          <w:trHeight w:val="113"/>
          <w:tblHeader/>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24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55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49075A">
        <w:trPr>
          <w:trHeight w:val="542"/>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100% of cases</w:t>
            </w:r>
          </w:p>
        </w:tc>
        <w:tc>
          <w:tcPr>
            <w:tcW w:w="5246"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rStyle w:val="fintextheavyFINANCIALS"/>
                <w:color w:val="auto"/>
                <w:lang w:val="en-GB"/>
              </w:rPr>
              <w:t>An audit</w:t>
            </w:r>
            <w:r w:rsidRPr="00EF4C81">
              <w:rPr>
                <w:rStyle w:val="FootnoteReference"/>
                <w:color w:val="auto"/>
                <w:lang w:val="en-GB"/>
              </w:rPr>
              <w:footnoteReference w:id="57"/>
            </w:r>
            <w:r w:rsidRPr="00EF4C81">
              <w:rPr>
                <w:rStyle w:val="fintextheavyFINANCIALS"/>
                <w:color w:val="auto"/>
                <w:lang w:val="en-GB"/>
              </w:rPr>
              <w:t xml:space="preserve"> shows the Ministry of Social Development's quality assurance processes have been followed in at least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100%</w:t>
            </w:r>
            <w:r w:rsidR="00B9669A" w:rsidRPr="00EF4C81">
              <w:rPr>
                <w:color w:val="auto"/>
              </w:rPr>
              <w:t>of cases</w:t>
            </w:r>
          </w:p>
        </w:tc>
        <w:tc>
          <w:tcPr>
            <w:tcW w:w="155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90–95% of cases</w:t>
            </w:r>
          </w:p>
        </w:tc>
      </w:tr>
    </w:tbl>
    <w:p w:rsidR="009D38E8" w:rsidRPr="00EF4C81" w:rsidRDefault="009D38E8" w:rsidP="009D38E8">
      <w:pPr>
        <w:pStyle w:val="Tableheader2"/>
        <w:rPr>
          <w:color w:val="auto"/>
          <w:lang w:val="en-GB"/>
        </w:rPr>
      </w:pPr>
    </w:p>
    <w:p w:rsidR="00B9669A" w:rsidRPr="00EF4C81" w:rsidRDefault="009D38E8" w:rsidP="009D38E8">
      <w:pPr>
        <w:pStyle w:val="Tableheader2"/>
        <w:rPr>
          <w:color w:val="auto"/>
          <w:lang w:val="en-GB"/>
        </w:rPr>
      </w:pPr>
      <w:r w:rsidRPr="00EF4C81">
        <w:rPr>
          <w:color w:val="auto"/>
          <w:lang w:val="en-GB"/>
        </w:rPr>
        <w:br w:type="page"/>
      </w:r>
    </w:p>
    <w:p w:rsidR="00B9669A" w:rsidRPr="00EF4C81" w:rsidRDefault="00B9669A" w:rsidP="00B9669A">
      <w:pPr>
        <w:pStyle w:val="Tableheader"/>
        <w:rPr>
          <w:color w:val="auto"/>
        </w:rPr>
      </w:pPr>
      <w:r w:rsidRPr="00EF4C81">
        <w:rPr>
          <w:color w:val="auto"/>
        </w:rPr>
        <w:lastRenderedPageBreak/>
        <w:t xml:space="preserve">Service Performance Information </w:t>
      </w:r>
    </w:p>
    <w:p w:rsidR="009D38E8" w:rsidRPr="00EF4C81" w:rsidRDefault="009D38E8" w:rsidP="009D38E8">
      <w:pPr>
        <w:pStyle w:val="Tableheader2"/>
        <w:rPr>
          <w:color w:val="auto"/>
          <w:lang w:val="en-GB"/>
        </w:rPr>
      </w:pPr>
      <w:r w:rsidRPr="00EF4C81">
        <w:rPr>
          <w:color w:val="auto"/>
          <w:lang w:val="en-GB"/>
        </w:rPr>
        <w:t>Output: Ministerial and Executive Services</w:t>
      </w:r>
    </w:p>
    <w:tbl>
      <w:tblPr>
        <w:tblW w:w="9638" w:type="dxa"/>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hanging="14"/>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5386" w:type="dxa"/>
            <w:tcBorders>
              <w:top w:val="single" w:sz="6" w:space="0" w:color="000000"/>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all drafts provided for the Minister’s signature that are factually accurate, meet any legislative requirements, and contain no avoidable errors will be no less than:</w:t>
            </w:r>
          </w:p>
        </w:tc>
        <w:tc>
          <w:tcPr>
            <w:tcW w:w="1417" w:type="dxa"/>
            <w:tcBorders>
              <w:top w:val="single" w:sz="6" w:space="0" w:color="000000"/>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Ministerial correspondence replies</w:t>
            </w:r>
          </w:p>
        </w:tc>
        <w:tc>
          <w:tcPr>
            <w:tcW w:w="1417" w:type="dxa"/>
            <w:tcBorders>
              <w:left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99.1%</w:t>
            </w:r>
          </w:p>
        </w:tc>
        <w:tc>
          <w:tcPr>
            <w:tcW w:w="1418"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95%</w:t>
            </w: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Parliamentary question responses</w:t>
            </w:r>
          </w:p>
        </w:tc>
        <w:tc>
          <w:tcPr>
            <w:tcW w:w="1417" w:type="dxa"/>
            <w:tcBorders>
              <w:left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Ministerial Official Information Act request replies</w:t>
            </w:r>
          </w:p>
        </w:tc>
        <w:tc>
          <w:tcPr>
            <w:tcW w:w="1417" w:type="dxa"/>
            <w:tcBorders>
              <w:left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A36A23">
        <w:trPr>
          <w:trHeight w:val="113"/>
        </w:trPr>
        <w:tc>
          <w:tcPr>
            <w:tcW w:w="1417" w:type="dxa"/>
            <w:tcBorders>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Select Committee Estimate</w:t>
            </w:r>
            <w:r w:rsidR="00250FA7" w:rsidRPr="00EF4C81">
              <w:rPr>
                <w:color w:val="auto"/>
                <w:lang w:val="en-GB"/>
              </w:rPr>
              <w:t>s</w:t>
            </w:r>
            <w:r w:rsidRPr="00EF4C81">
              <w:rPr>
                <w:color w:val="auto"/>
                <w:lang w:val="en-GB"/>
              </w:rPr>
              <w:t xml:space="preserve"> examination responses</w:t>
            </w:r>
          </w:p>
        </w:tc>
        <w:tc>
          <w:tcPr>
            <w:tcW w:w="1417" w:type="dxa"/>
            <w:tcBorders>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A36A23">
        <w:trPr>
          <w:trHeight w:val="113"/>
        </w:trPr>
        <w:tc>
          <w:tcPr>
            <w:tcW w:w="1417" w:type="dxa"/>
            <w:tcBorders>
              <w:top w:val="single" w:sz="4" w:space="0" w:color="000000"/>
              <w:left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5386" w:type="dxa"/>
            <w:tcBorders>
              <w:top w:val="single" w:sz="4" w:space="0" w:color="000000"/>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all drafts provided for the Minister’s signature within the following timeframes will be no less than:</w:t>
            </w:r>
          </w:p>
        </w:tc>
        <w:tc>
          <w:tcPr>
            <w:tcW w:w="1417" w:type="dxa"/>
            <w:tcBorders>
              <w:top w:val="single" w:sz="4" w:space="0" w:color="000000"/>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4" w:space="0" w:color="000000"/>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Ministerial correspondence replies completed within 20 working days of receipt by the Ministry, unless otherwise agreed</w:t>
            </w:r>
          </w:p>
        </w:tc>
        <w:tc>
          <w:tcPr>
            <w:tcW w:w="1417" w:type="dxa"/>
            <w:tcBorders>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95%</w:t>
            </w:r>
          </w:p>
        </w:tc>
      </w:tr>
      <w:tr w:rsidR="009D38E8" w:rsidRPr="00EF4C81" w:rsidTr="00A36A23">
        <w:trPr>
          <w:trHeight w:val="113"/>
        </w:trPr>
        <w:tc>
          <w:tcPr>
            <w:tcW w:w="1417" w:type="dxa"/>
            <w:tcBorders>
              <w:left w:val="single" w:sz="6" w:space="0" w:color="000000"/>
              <w:right w:val="single" w:sz="6" w:space="0" w:color="000000"/>
            </w:tcBorders>
            <w:shd w:val="solid" w:color="F2F2F2" w:fill="auto"/>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left w:val="single" w:sz="6" w:space="0" w:color="000000"/>
              <w:right w:val="single" w:sz="6" w:space="0" w:color="000000"/>
            </w:tcBorders>
            <w:shd w:val="solid" w:color="FFFFFF" w:fill="auto"/>
            <w:tcMar>
              <w:right w:w="0" w:type="dxa"/>
            </w:tcMar>
          </w:tcPr>
          <w:p w:rsidR="009D38E8" w:rsidRPr="00EF4C81" w:rsidRDefault="009D38E8" w:rsidP="00A36A23">
            <w:pPr>
              <w:pStyle w:val="tablefintext"/>
              <w:ind w:left="137"/>
              <w:rPr>
                <w:color w:val="auto"/>
              </w:rPr>
            </w:pPr>
            <w:r w:rsidRPr="00EF4C81">
              <w:rPr>
                <w:color w:val="auto"/>
                <w:spacing w:val="-1"/>
              </w:rPr>
              <w:t xml:space="preserve">Parliamentary question responses provided to the Minister’s Office so that </w:t>
            </w:r>
            <w:r w:rsidRPr="00EF4C81">
              <w:rPr>
                <w:color w:val="auto"/>
              </w:rPr>
              <w:t>answers can meet the timeframe set in Parliamentary Standing Orders</w:t>
            </w:r>
          </w:p>
        </w:tc>
        <w:tc>
          <w:tcPr>
            <w:tcW w:w="1417" w:type="dxa"/>
            <w:tcBorders>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right w:val="single" w:sz="6" w:space="0" w:color="000000"/>
            </w:tcBorders>
            <w:shd w:val="solid" w:color="FFFFFF" w:fill="auto"/>
            <w:tcMar>
              <w:top w:w="170" w:type="dxa"/>
              <w:left w:w="113" w:type="dxa"/>
              <w:bottom w:w="85" w:type="dxa"/>
            </w:tcMar>
          </w:tcPr>
          <w:p w:rsidR="009D38E8" w:rsidRPr="00EF4C81" w:rsidRDefault="009D38E8" w:rsidP="00A36A23">
            <w:pPr>
              <w:pStyle w:val="FinFigures"/>
              <w:ind w:right="161"/>
              <w:rPr>
                <w:color w:val="auto"/>
                <w:lang w:val="en-GB"/>
              </w:rPr>
            </w:pPr>
            <w:r w:rsidRPr="00EF4C81">
              <w:rPr>
                <w:color w:val="auto"/>
                <w:lang w:val="en-GB"/>
              </w:rPr>
              <w:t>100%</w:t>
            </w:r>
          </w:p>
        </w:tc>
      </w:tr>
      <w:tr w:rsidR="009D38E8" w:rsidRPr="00EF4C81" w:rsidTr="00A36A23">
        <w:trPr>
          <w:trHeight w:val="113"/>
        </w:trPr>
        <w:tc>
          <w:tcPr>
            <w:tcW w:w="1417" w:type="dxa"/>
            <w:tcBorders>
              <w:left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Ministerial Official Information Act request replies completed five days prior to the statutory time limit, unless otherwise agreed</w:t>
            </w:r>
          </w:p>
        </w:tc>
        <w:tc>
          <w:tcPr>
            <w:tcW w:w="1417" w:type="dxa"/>
            <w:tcBorders>
              <w:left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r w:rsidR="009D38E8" w:rsidRPr="00EF4C81" w:rsidTr="00A36A23">
        <w:trPr>
          <w:trHeight w:val="113"/>
        </w:trPr>
        <w:tc>
          <w:tcPr>
            <w:tcW w:w="1417" w:type="dxa"/>
            <w:tcBorders>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New measure in 2012/2013</w:t>
            </w:r>
          </w:p>
        </w:tc>
        <w:tc>
          <w:tcPr>
            <w:tcW w:w="5386" w:type="dxa"/>
            <w:tcBorders>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color w:val="auto"/>
                <w:spacing w:val="-1"/>
                <w:lang w:val="en-GB"/>
              </w:rPr>
              <w:t>Responses to Select Committee examinations provided to the Minister’s Office so that answers can meet the timeframe set by the Committee(s)</w:t>
            </w:r>
          </w:p>
        </w:tc>
        <w:tc>
          <w:tcPr>
            <w:tcW w:w="1417" w:type="dxa"/>
            <w:tcBorders>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rPr>
              <w:t>100%</w:t>
            </w:r>
          </w:p>
        </w:tc>
        <w:tc>
          <w:tcPr>
            <w:tcW w:w="1418" w:type="dxa"/>
            <w:tcBorders>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100%</w:t>
            </w:r>
          </w:p>
        </w:tc>
      </w:tr>
    </w:tbl>
    <w:p w:rsidR="009D38E8" w:rsidRPr="00EF4C81" w:rsidRDefault="009D38E8" w:rsidP="009D38E8">
      <w:pPr>
        <w:pStyle w:val="text"/>
        <w:rPr>
          <w:color w:val="auto"/>
        </w:rPr>
      </w:pPr>
    </w:p>
    <w:p w:rsidR="009D38E8" w:rsidRPr="00EF4C81" w:rsidRDefault="009D38E8" w:rsidP="00EF4C81">
      <w:pPr>
        <w:pStyle w:val="Heading2"/>
        <w:rPr>
          <w:b w:val="0"/>
          <w:sz w:val="40"/>
          <w:szCs w:val="40"/>
          <w:lang w:val="en-GB"/>
        </w:rPr>
      </w:pPr>
      <w:r w:rsidRPr="00EF4C81">
        <w:rPr>
          <w:b w:val="0"/>
          <w:sz w:val="40"/>
          <w:szCs w:val="40"/>
          <w:lang w:val="en-GB"/>
        </w:rPr>
        <w:br w:type="page"/>
      </w:r>
      <w:r w:rsidRPr="00EF4C81">
        <w:rPr>
          <w:b w:val="0"/>
          <w:sz w:val="40"/>
          <w:szCs w:val="40"/>
          <w:lang w:val="en-GB"/>
        </w:rPr>
        <w:lastRenderedPageBreak/>
        <w:t>Vote Veterans’ Affairs – Social Development</w:t>
      </w:r>
    </w:p>
    <w:p w:rsidR="009D38E8" w:rsidRPr="00D173BB" w:rsidRDefault="009D38E8" w:rsidP="00D173BB">
      <w:pPr>
        <w:pStyle w:val="Heading3"/>
      </w:pPr>
      <w:r w:rsidRPr="00D173BB">
        <w:t>Output Expense: Processing and Payment of Veterans’ Pensions</w:t>
      </w:r>
    </w:p>
    <w:p w:rsidR="009D38E8" w:rsidRPr="00D173BB" w:rsidRDefault="009D38E8" w:rsidP="00D173BB">
      <w:pPr>
        <w:pStyle w:val="Subtitle"/>
      </w:pPr>
      <w:r w:rsidRPr="00D173BB">
        <w:t>Scope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This appropriation is limited to the processing and payment of Veterans’ Pensions and related allowances.</w:t>
      </w:r>
    </w:p>
    <w:p w:rsidR="009D38E8" w:rsidRPr="00D173BB" w:rsidRDefault="009D38E8" w:rsidP="00D173BB">
      <w:pPr>
        <w:pStyle w:val="Subtitle"/>
      </w:pPr>
      <w:r w:rsidRPr="00D173BB">
        <w:t>Summary of Performance</w:t>
      </w:r>
    </w:p>
    <w:p w:rsidR="009D38E8" w:rsidRPr="00EF4C81" w:rsidRDefault="009D38E8" w:rsidP="003F4206">
      <w:pPr>
        <w:pStyle w:val="text"/>
        <w:spacing w:after="240"/>
        <w:rPr>
          <w:color w:val="auto"/>
          <w:sz w:val="22"/>
          <w:szCs w:val="22"/>
          <w:lang w:val="en-GB"/>
        </w:rPr>
      </w:pPr>
      <w:r w:rsidRPr="00EF4C81">
        <w:rPr>
          <w:color w:val="auto"/>
          <w:sz w:val="22"/>
          <w:szCs w:val="22"/>
          <w:lang w:val="en-GB"/>
        </w:rPr>
        <w:t>One of the two performance standards in this output expense ha</w:t>
      </w:r>
      <w:r w:rsidR="0031698A" w:rsidRPr="00EF4C81">
        <w:rPr>
          <w:color w:val="auto"/>
          <w:sz w:val="22"/>
          <w:szCs w:val="22"/>
          <w:lang w:val="en-GB"/>
        </w:rPr>
        <w:t>s</w:t>
      </w:r>
      <w:r w:rsidRPr="00EF4C81">
        <w:rPr>
          <w:color w:val="auto"/>
          <w:sz w:val="22"/>
          <w:szCs w:val="22"/>
          <w:lang w:val="en-GB"/>
        </w:rPr>
        <w:t xml:space="preserve"> been met. </w:t>
      </w:r>
    </w:p>
    <w:p w:rsidR="009D38E8" w:rsidRPr="00EF4C81" w:rsidRDefault="00195810" w:rsidP="003F4206">
      <w:pPr>
        <w:pStyle w:val="text"/>
        <w:spacing w:after="240"/>
        <w:rPr>
          <w:color w:val="auto"/>
          <w:sz w:val="22"/>
          <w:szCs w:val="22"/>
          <w:lang w:val="en-GB"/>
        </w:rPr>
      </w:pPr>
      <w:r w:rsidRPr="00EF4C81">
        <w:rPr>
          <w:color w:val="auto"/>
          <w:sz w:val="22"/>
          <w:szCs w:val="22"/>
          <w:lang w:val="en-GB"/>
        </w:rPr>
        <w:t>In 2012/2013, t</w:t>
      </w:r>
      <w:r w:rsidR="009D38E8" w:rsidRPr="00EF4C81">
        <w:rPr>
          <w:color w:val="auto"/>
          <w:sz w:val="22"/>
          <w:szCs w:val="22"/>
          <w:lang w:val="en-GB"/>
        </w:rPr>
        <w:t xml:space="preserve">he </w:t>
      </w:r>
      <w:r w:rsidRPr="00EF4C81">
        <w:rPr>
          <w:color w:val="auto"/>
          <w:sz w:val="22"/>
          <w:szCs w:val="22"/>
          <w:lang w:val="en-GB"/>
        </w:rPr>
        <w:t>result f</w:t>
      </w:r>
      <w:r w:rsidR="009D38E8" w:rsidRPr="00EF4C81">
        <w:rPr>
          <w:color w:val="auto"/>
          <w:sz w:val="22"/>
          <w:szCs w:val="22"/>
          <w:lang w:val="en-GB"/>
        </w:rPr>
        <w:t>or completing Veteran</w:t>
      </w:r>
      <w:r w:rsidR="0031698A" w:rsidRPr="00EF4C81">
        <w:rPr>
          <w:color w:val="auto"/>
          <w:sz w:val="22"/>
          <w:szCs w:val="22"/>
          <w:lang w:val="en-GB"/>
        </w:rPr>
        <w:t>'</w:t>
      </w:r>
      <w:r w:rsidR="009D38E8" w:rsidRPr="00EF4C81">
        <w:rPr>
          <w:color w:val="auto"/>
          <w:sz w:val="22"/>
          <w:szCs w:val="22"/>
          <w:lang w:val="en-GB"/>
        </w:rPr>
        <w:t xml:space="preserve">s Pension entitlement assessments within five working days was 96 per cent, approximately the same </w:t>
      </w:r>
      <w:r w:rsidR="0031698A" w:rsidRPr="00EF4C81">
        <w:rPr>
          <w:color w:val="auto"/>
          <w:sz w:val="22"/>
          <w:szCs w:val="22"/>
          <w:lang w:val="en-GB"/>
        </w:rPr>
        <w:t xml:space="preserve">as the </w:t>
      </w:r>
      <w:r w:rsidRPr="00EF4C81">
        <w:rPr>
          <w:color w:val="auto"/>
          <w:sz w:val="22"/>
          <w:szCs w:val="22"/>
          <w:lang w:val="en-GB"/>
        </w:rPr>
        <w:t xml:space="preserve">result </w:t>
      </w:r>
      <w:r w:rsidR="009D38E8" w:rsidRPr="00EF4C81">
        <w:rPr>
          <w:color w:val="auto"/>
          <w:sz w:val="22"/>
          <w:szCs w:val="22"/>
          <w:lang w:val="en-GB"/>
        </w:rPr>
        <w:t xml:space="preserve">reported </w:t>
      </w:r>
      <w:r w:rsidRPr="00EF4C81">
        <w:rPr>
          <w:color w:val="auto"/>
          <w:sz w:val="22"/>
          <w:szCs w:val="22"/>
          <w:lang w:val="en-GB"/>
        </w:rPr>
        <w:t>last year.</w:t>
      </w:r>
      <w:r w:rsidR="009D38E8" w:rsidRPr="00EF4C81">
        <w:rPr>
          <w:color w:val="auto"/>
          <w:sz w:val="22"/>
          <w:szCs w:val="22"/>
          <w:lang w:val="en-GB"/>
        </w:rPr>
        <w:t xml:space="preserve"> </w:t>
      </w:r>
    </w:p>
    <w:p w:rsidR="009D38E8" w:rsidRPr="00EF4C81" w:rsidRDefault="00195810" w:rsidP="003F4206">
      <w:pPr>
        <w:pStyle w:val="text"/>
        <w:spacing w:after="240"/>
        <w:rPr>
          <w:color w:val="auto"/>
          <w:sz w:val="22"/>
          <w:szCs w:val="22"/>
          <w:lang w:val="en-GB"/>
        </w:rPr>
      </w:pPr>
      <w:r w:rsidRPr="00EF4C81">
        <w:rPr>
          <w:color w:val="auto"/>
          <w:sz w:val="22"/>
          <w:szCs w:val="22"/>
          <w:lang w:val="en-GB"/>
        </w:rPr>
        <w:t>Due to an i</w:t>
      </w:r>
      <w:r w:rsidR="009D38E8" w:rsidRPr="00EF4C81">
        <w:rPr>
          <w:color w:val="auto"/>
          <w:sz w:val="22"/>
          <w:szCs w:val="22"/>
          <w:lang w:val="en-GB"/>
        </w:rPr>
        <w:t>ncreas</w:t>
      </w:r>
      <w:r w:rsidR="003E07D1" w:rsidRPr="00EF4C81">
        <w:rPr>
          <w:color w:val="auto"/>
          <w:sz w:val="22"/>
          <w:szCs w:val="22"/>
          <w:lang w:val="en-GB"/>
        </w:rPr>
        <w:t>e in applications</w:t>
      </w:r>
      <w:r w:rsidR="00EA75BC" w:rsidRPr="00EF4C81">
        <w:rPr>
          <w:color w:val="auto"/>
          <w:sz w:val="22"/>
          <w:szCs w:val="22"/>
          <w:lang w:val="en-GB"/>
        </w:rPr>
        <w:t xml:space="preserve"> </w:t>
      </w:r>
      <w:r w:rsidR="00614095" w:rsidRPr="00EF4C81">
        <w:rPr>
          <w:color w:val="auto"/>
          <w:sz w:val="22"/>
          <w:szCs w:val="22"/>
          <w:lang w:val="en-GB"/>
        </w:rPr>
        <w:t>for New Zealand Superannuation of 12 per cent</w:t>
      </w:r>
      <w:r w:rsidR="00614095" w:rsidRPr="00EF4C81">
        <w:rPr>
          <w:rStyle w:val="FootnoteReference"/>
          <w:color w:val="auto"/>
          <w:lang w:val="en-GB"/>
        </w:rPr>
        <w:footnoteReference w:id="58"/>
      </w:r>
      <w:r w:rsidR="00614095" w:rsidRPr="00EF4C81">
        <w:rPr>
          <w:color w:val="auto"/>
          <w:sz w:val="22"/>
          <w:szCs w:val="22"/>
          <w:lang w:val="en-GB"/>
        </w:rPr>
        <w:t xml:space="preserve">, </w:t>
      </w:r>
      <w:r w:rsidR="009D38E8" w:rsidRPr="00EF4C81">
        <w:rPr>
          <w:color w:val="auto"/>
          <w:sz w:val="22"/>
          <w:szCs w:val="22"/>
          <w:lang w:val="en-GB"/>
        </w:rPr>
        <w:t xml:space="preserve">the accuracy performance </w:t>
      </w:r>
      <w:r w:rsidRPr="00EF4C81">
        <w:rPr>
          <w:color w:val="auto"/>
          <w:sz w:val="22"/>
          <w:szCs w:val="22"/>
          <w:lang w:val="en-GB"/>
        </w:rPr>
        <w:t xml:space="preserve">result was </w:t>
      </w:r>
      <w:r w:rsidR="009D38E8" w:rsidRPr="00EF4C81">
        <w:rPr>
          <w:color w:val="auto"/>
          <w:sz w:val="22"/>
          <w:szCs w:val="22"/>
          <w:lang w:val="en-GB"/>
        </w:rPr>
        <w:t xml:space="preserve">0.7 per cent under </w:t>
      </w:r>
      <w:r w:rsidRPr="00EF4C81">
        <w:rPr>
          <w:color w:val="auto"/>
          <w:sz w:val="22"/>
          <w:szCs w:val="22"/>
          <w:lang w:val="en-GB"/>
        </w:rPr>
        <w:t xml:space="preserve">the </w:t>
      </w:r>
      <w:r w:rsidR="009D38E8" w:rsidRPr="00EF4C81">
        <w:rPr>
          <w:color w:val="auto"/>
          <w:sz w:val="22"/>
          <w:szCs w:val="22"/>
          <w:lang w:val="en-GB"/>
        </w:rPr>
        <w:t xml:space="preserve">standard for the year.    </w:t>
      </w:r>
    </w:p>
    <w:p w:rsidR="009D38E8" w:rsidRPr="00EF4C81" w:rsidRDefault="009D38E8" w:rsidP="009D38E8">
      <w:pPr>
        <w:pStyle w:val="Tableheader"/>
        <w:rPr>
          <w:color w:val="auto"/>
          <w:lang w:val="en-GB"/>
        </w:rPr>
      </w:pPr>
      <w:r w:rsidRPr="00EF4C81">
        <w:rPr>
          <w:color w:val="auto"/>
          <w:lang w:val="en-GB"/>
        </w:rPr>
        <w:t>Financial Performance Information</w:t>
      </w:r>
    </w:p>
    <w:tbl>
      <w:tblPr>
        <w:tblW w:w="9638" w:type="dxa"/>
        <w:tblInd w:w="8" w:type="dxa"/>
        <w:tblLayout w:type="fixed"/>
        <w:tblCellMar>
          <w:left w:w="0" w:type="dxa"/>
          <w:right w:w="0" w:type="dxa"/>
        </w:tblCellMar>
        <w:tblLook w:val="0000" w:firstRow="0" w:lastRow="0" w:firstColumn="0" w:lastColumn="0" w:noHBand="0" w:noVBand="0"/>
      </w:tblPr>
      <w:tblGrid>
        <w:gridCol w:w="1417"/>
        <w:gridCol w:w="3969"/>
        <w:gridCol w:w="1417"/>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 xml:space="preserve"> 2012</w:t>
            </w:r>
          </w:p>
          <w:p w:rsidR="009D38E8" w:rsidRPr="00EF4C81" w:rsidRDefault="009D38E8" w:rsidP="00A36A23">
            <w:pPr>
              <w:pStyle w:val="fintableheads"/>
              <w:rPr>
                <w:color w:val="auto"/>
              </w:rPr>
            </w:pPr>
            <w:r w:rsidRPr="00EF4C81">
              <w:rPr>
                <w:color w:val="auto"/>
                <w:lang w:val="en-GB"/>
              </w:rPr>
              <w:t>$000</w:t>
            </w:r>
          </w:p>
        </w:tc>
        <w:tc>
          <w:tcPr>
            <w:tcW w:w="3969"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23"/>
              <w:rPr>
                <w:color w:val="auto"/>
              </w:rPr>
            </w:pPr>
            <w:r w:rsidRPr="00EF4C81">
              <w:rPr>
                <w:color w:val="auto"/>
                <w:lang w:val="en-GB"/>
              </w:rPr>
              <w:t xml:space="preserve">FINANCIAL PERFORMANCE </w:t>
            </w:r>
            <w:r w:rsidRPr="00EF4C81">
              <w:rPr>
                <w:color w:val="auto"/>
                <w:lang w:val="en-GB"/>
              </w:rPr>
              <w:br/>
              <w:t>(FIGURES ARE GST EXCLUSIVE)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lang w:val="en-GB"/>
              </w:rPr>
            </w:pPr>
          </w:p>
          <w:p w:rsidR="009D38E8" w:rsidRPr="00EF4C81" w:rsidRDefault="009D38E8" w:rsidP="00A36A23">
            <w:pPr>
              <w:pStyle w:val="fintableheads"/>
              <w:rPr>
                <w:color w:val="auto"/>
                <w:lang w:val="en-GB"/>
              </w:rPr>
            </w:pPr>
            <w:r w:rsidRPr="00EF4C81">
              <w:rPr>
                <w:color w:val="auto"/>
                <w:lang w:val="en-GB"/>
              </w:rPr>
              <w:t>ACTUAL</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7"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olor w:val="auto"/>
                <w:lang w:val="en-GB"/>
              </w:rPr>
              <w:t xml:space="preserve">MAIN </w:t>
            </w:r>
            <w:r w:rsidRPr="00EF4C81">
              <w:rPr>
                <w:color w:val="auto"/>
                <w:lang w:val="en-GB"/>
              </w:rPr>
              <w:br/>
              <w:t>ESTIMATES</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lang w:val="en-GB"/>
              </w:rPr>
            </w:pPr>
            <w:r w:rsidRPr="00EF4C81">
              <w:rPr>
                <w:caps w:val="0"/>
                <w:color w:val="auto"/>
                <w:lang w:val="en-GB"/>
              </w:rPr>
              <w:t>A</w:t>
            </w:r>
            <w:r w:rsidRPr="00EF4C81">
              <w:rPr>
                <w:color w:val="auto"/>
                <w:lang w:val="en-GB"/>
              </w:rPr>
              <w:t>PPROPRIATION VOTED</w:t>
            </w:r>
          </w:p>
          <w:p w:rsidR="009D38E8" w:rsidRPr="00EF4C81" w:rsidRDefault="009D38E8" w:rsidP="00A36A23">
            <w:pPr>
              <w:pStyle w:val="fintableheads"/>
              <w:rPr>
                <w:color w:val="auto"/>
                <w:lang w:val="en-GB"/>
              </w:rPr>
            </w:pPr>
            <w:r w:rsidRPr="00EF4C81">
              <w:rPr>
                <w:color w:val="auto"/>
                <w:lang w:val="en-GB"/>
              </w:rPr>
              <w:t>2013</w:t>
            </w:r>
          </w:p>
          <w:p w:rsidR="009D38E8" w:rsidRPr="00EF4C81" w:rsidRDefault="009D38E8" w:rsidP="00A36A23">
            <w:pPr>
              <w:pStyle w:val="fintableheads"/>
              <w:rPr>
                <w:color w:val="auto"/>
              </w:rPr>
            </w:pPr>
            <w:r w:rsidRPr="00EF4C81">
              <w:rPr>
                <w:color w:val="auto"/>
                <w:lang w:val="en-GB"/>
              </w:rPr>
              <w:t>$000</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 </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Revenue</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NoParagraphStyle"/>
              <w:spacing w:line="240" w:lineRule="auto"/>
              <w:textAlignment w:val="auto"/>
              <w:rPr>
                <w:rFonts w:ascii="AvenirMaori-Heavy" w:hAnsi="AvenirMaori-Heavy" w:cs="Times New Roman"/>
                <w:color w:val="auto"/>
                <w:lang w:val="en-AU"/>
              </w:rPr>
            </w:pP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427</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Crown</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443</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443</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443</w:t>
            </w:r>
          </w:p>
        </w:tc>
      </w:tr>
      <w:tr w:rsidR="009D38E8" w:rsidRPr="00EF4C81" w:rsidTr="00A36A23">
        <w:trPr>
          <w:trHeight w:val="113"/>
        </w:trPr>
        <w:tc>
          <w:tcPr>
            <w:tcW w:w="1417" w:type="dxa"/>
            <w:tcBorders>
              <w:top w:val="single" w:sz="6" w:space="0" w:color="000000"/>
              <w:left w:val="single" w:sz="6" w:space="0" w:color="000000"/>
              <w:bottom w:val="single" w:sz="6"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23</w:t>
            </w:r>
          </w:p>
        </w:tc>
        <w:tc>
          <w:tcPr>
            <w:tcW w:w="3969"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Department</w:t>
            </w:r>
          </w:p>
        </w:tc>
        <w:tc>
          <w:tcPr>
            <w:tcW w:w="1417" w:type="dxa"/>
            <w:tcBorders>
              <w:top w:val="single" w:sz="6" w:space="0" w:color="000000"/>
              <w:left w:val="single" w:sz="6" w:space="0" w:color="000000"/>
              <w:bottom w:val="single" w:sz="6"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3969"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color w:val="auto"/>
                <w:lang w:val="en-GB"/>
              </w:rPr>
              <w:t>Other</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lang w:val="en-GB"/>
              </w:rPr>
              <w:t>–</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450</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Revenue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443</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443</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375</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Total Expense</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22186B">
            <w:pPr>
              <w:pStyle w:val="FinFigures"/>
              <w:rPr>
                <w:color w:val="auto"/>
              </w:rPr>
            </w:pPr>
            <w:r w:rsidRPr="00EF4C81">
              <w:rPr>
                <w:color w:val="auto"/>
              </w:rPr>
              <w:t>40</w:t>
            </w:r>
            <w:r w:rsidR="0022186B" w:rsidRPr="00EF4C81">
              <w:rPr>
                <w:color w:val="auto"/>
              </w:rPr>
              <w:t>9</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443</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57" w:type="dxa"/>
              <w:left w:w="113" w:type="dxa"/>
              <w:bottom w:w="85" w:type="dxa"/>
              <w:right w:w="113" w:type="dxa"/>
            </w:tcMar>
          </w:tcPr>
          <w:p w:rsidR="009D38E8" w:rsidRPr="00EF4C81" w:rsidRDefault="009D38E8" w:rsidP="00A36A23">
            <w:pPr>
              <w:pStyle w:val="FinFigures"/>
              <w:rPr>
                <w:color w:val="auto"/>
              </w:rPr>
            </w:pPr>
            <w:r w:rsidRPr="00EF4C81">
              <w:rPr>
                <w:color w:val="auto"/>
              </w:rPr>
              <w:t>75</w:t>
            </w:r>
          </w:p>
        </w:tc>
        <w:tc>
          <w:tcPr>
            <w:tcW w:w="3969"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tablefintext"/>
              <w:rPr>
                <w:color w:val="auto"/>
              </w:rPr>
            </w:pPr>
            <w:r w:rsidRPr="00EF4C81">
              <w:rPr>
                <w:rStyle w:val="fintextheavyFINANCIALS"/>
                <w:color w:val="auto"/>
                <w:lang w:val="en-GB"/>
              </w:rPr>
              <w:t>Net Surplus/(Deficit)</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57" w:type="dxa"/>
              <w:left w:w="113" w:type="dxa"/>
              <w:bottom w:w="85" w:type="dxa"/>
              <w:right w:w="113" w:type="dxa"/>
            </w:tcMar>
          </w:tcPr>
          <w:p w:rsidR="009D38E8" w:rsidRPr="00EF4C81" w:rsidRDefault="009D38E8" w:rsidP="0022186B">
            <w:pPr>
              <w:pStyle w:val="FinFigures"/>
              <w:rPr>
                <w:color w:val="auto"/>
              </w:rPr>
            </w:pPr>
            <w:r w:rsidRPr="00EF4C81">
              <w:rPr>
                <w:color w:val="auto"/>
              </w:rPr>
              <w:t>3</w:t>
            </w:r>
            <w:r w:rsidR="0022186B" w:rsidRPr="00EF4C81">
              <w:rPr>
                <w:color w:val="auto"/>
              </w:rPr>
              <w:t>4</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57" w:type="dxa"/>
              <w:left w:w="113" w:type="dxa"/>
              <w:bottom w:w="85" w:type="dxa"/>
              <w:right w:w="113" w:type="dxa"/>
            </w:tcMar>
          </w:tcPr>
          <w:p w:rsidR="009D38E8" w:rsidRPr="00EF4C81" w:rsidRDefault="009D38E8" w:rsidP="00A36A23">
            <w:pPr>
              <w:pStyle w:val="FinFigures"/>
              <w:rPr>
                <w:color w:val="auto"/>
              </w:rPr>
            </w:pPr>
            <w:r w:rsidRPr="00EF4C81">
              <w:rPr>
                <w:rStyle w:val="fintextheavyFINANCIALS"/>
                <w:color w:val="auto"/>
                <w:lang w:val="en-GB"/>
              </w:rPr>
              <w:t>–</w:t>
            </w:r>
          </w:p>
        </w:tc>
      </w:tr>
    </w:tbl>
    <w:p w:rsidR="009D38E8" w:rsidRPr="00EF4C81" w:rsidRDefault="009D38E8" w:rsidP="009D38E8">
      <w:pPr>
        <w:pStyle w:val="TABLESPACE"/>
        <w:rPr>
          <w:color w:val="auto"/>
          <w:sz w:val="22"/>
          <w:szCs w:val="22"/>
          <w:lang w:val="en-GB"/>
        </w:rPr>
      </w:pPr>
    </w:p>
    <w:p w:rsidR="009D38E8" w:rsidRPr="00EF4C81" w:rsidRDefault="009D38E8" w:rsidP="009D38E8">
      <w:pPr>
        <w:pStyle w:val="Tableheader"/>
        <w:rPr>
          <w:color w:val="auto"/>
          <w:lang w:val="en-GB"/>
        </w:rPr>
      </w:pPr>
      <w:r w:rsidRPr="00EF4C81">
        <w:rPr>
          <w:color w:val="auto"/>
          <w:lang w:val="en-GB"/>
        </w:rPr>
        <w:t xml:space="preserve">Service Performance Information </w:t>
      </w:r>
    </w:p>
    <w:p w:rsidR="009D38E8" w:rsidRPr="00EF4C81" w:rsidRDefault="009D38E8" w:rsidP="009D38E8">
      <w:pPr>
        <w:pStyle w:val="Tableheader2"/>
        <w:rPr>
          <w:color w:val="auto"/>
          <w:lang w:val="en-GB"/>
        </w:rPr>
      </w:pPr>
      <w:r w:rsidRPr="00EF4C81">
        <w:rPr>
          <w:color w:val="auto"/>
          <w:lang w:val="en-GB"/>
        </w:rPr>
        <w:t>Output: Processing and Payment of Veterans’ Pensions</w:t>
      </w:r>
    </w:p>
    <w:tbl>
      <w:tblPr>
        <w:tblW w:w="0" w:type="auto"/>
        <w:tblInd w:w="8" w:type="dxa"/>
        <w:tblLayout w:type="fixed"/>
        <w:tblCellMar>
          <w:left w:w="0" w:type="dxa"/>
          <w:right w:w="0" w:type="dxa"/>
        </w:tblCellMar>
        <w:tblLook w:val="0000" w:firstRow="0" w:lastRow="0" w:firstColumn="0" w:lastColumn="0" w:noHBand="0" w:noVBand="0"/>
      </w:tblPr>
      <w:tblGrid>
        <w:gridCol w:w="1417"/>
        <w:gridCol w:w="5386"/>
        <w:gridCol w:w="1417"/>
        <w:gridCol w:w="1418"/>
      </w:tblGrid>
      <w:tr w:rsidR="009D38E8" w:rsidRPr="00EF4C81" w:rsidTr="00A36A23">
        <w:trPr>
          <w:trHeight w:val="113"/>
        </w:trPr>
        <w:tc>
          <w:tcPr>
            <w:tcW w:w="1417" w:type="dxa"/>
            <w:tcBorders>
              <w:top w:val="single" w:sz="6" w:space="0" w:color="auto"/>
              <w:left w:val="single" w:sz="6" w:space="0" w:color="auto"/>
              <w:bottom w:val="single" w:sz="6" w:space="0" w:color="000000"/>
              <w:right w:val="single" w:sz="6" w:space="0" w:color="auto"/>
            </w:tcBorders>
            <w:shd w:val="solid" w:color="F2F2F2" w:fill="auto"/>
            <w:vAlign w:val="bottom"/>
          </w:tcPr>
          <w:p w:rsidR="009D38E8" w:rsidRPr="00EF4C81" w:rsidRDefault="009D38E8" w:rsidP="00A36A23">
            <w:pPr>
              <w:pStyle w:val="fintableheads"/>
              <w:rPr>
                <w:color w:val="auto"/>
                <w:lang w:val="en-GB"/>
              </w:rPr>
            </w:pPr>
            <w:r w:rsidRPr="00EF4C81">
              <w:rPr>
                <w:color w:val="auto"/>
                <w:lang w:val="en-GB"/>
              </w:rPr>
              <w:t xml:space="preserve">ACTUAL </w:t>
            </w:r>
          </w:p>
          <w:p w:rsidR="009D38E8" w:rsidRPr="00EF4C81" w:rsidRDefault="009D38E8" w:rsidP="00A36A23">
            <w:pPr>
              <w:pStyle w:val="fintableheads"/>
              <w:rPr>
                <w:color w:val="auto"/>
              </w:rPr>
            </w:pPr>
            <w:r w:rsidRPr="00EF4C81">
              <w:rPr>
                <w:color w:val="auto"/>
                <w:lang w:val="en-GB"/>
              </w:rPr>
              <w:t>30 JUNE 2012</w:t>
            </w:r>
          </w:p>
        </w:tc>
        <w:tc>
          <w:tcPr>
            <w:tcW w:w="5386" w:type="dxa"/>
            <w:tcBorders>
              <w:top w:val="single" w:sz="6" w:space="0" w:color="auto"/>
              <w:left w:val="single" w:sz="6" w:space="0" w:color="auto"/>
              <w:bottom w:val="single" w:sz="6" w:space="0" w:color="000000"/>
              <w:right w:val="single" w:sz="6" w:space="0" w:color="auto"/>
            </w:tcBorders>
            <w:vAlign w:val="bottom"/>
          </w:tcPr>
          <w:p w:rsidR="009D38E8" w:rsidRPr="00EF4C81" w:rsidRDefault="009D38E8" w:rsidP="00A36A23">
            <w:pPr>
              <w:pStyle w:val="fintableheadsLeft"/>
              <w:ind w:left="137"/>
              <w:rPr>
                <w:color w:val="auto"/>
              </w:rPr>
            </w:pPr>
            <w:r w:rsidRPr="00EF4C81">
              <w:rPr>
                <w:color w:val="auto"/>
                <w:lang w:val="en-GB"/>
              </w:rPr>
              <w:t>PERFORMANCE MEASURE</w:t>
            </w:r>
          </w:p>
        </w:tc>
        <w:tc>
          <w:tcPr>
            <w:tcW w:w="1417" w:type="dxa"/>
            <w:tcBorders>
              <w:top w:val="single" w:sz="6" w:space="0" w:color="auto"/>
              <w:left w:val="single" w:sz="6" w:space="0" w:color="auto"/>
              <w:bottom w:val="single" w:sz="6" w:space="0" w:color="000000"/>
              <w:right w:val="single" w:sz="6" w:space="0" w:color="auto"/>
            </w:tcBorders>
            <w:shd w:val="solid" w:color="00C477" w:fill="auto"/>
            <w:tcMar>
              <w:top w:w="113" w:type="dxa"/>
              <w:left w:w="0" w:type="dxa"/>
              <w:bottom w:w="57" w:type="dxa"/>
              <w:right w:w="113" w:type="dxa"/>
            </w:tcMar>
            <w:vAlign w:val="bottom"/>
          </w:tcPr>
          <w:p w:rsidR="009D38E8" w:rsidRPr="00EF4C81" w:rsidRDefault="009D38E8" w:rsidP="00A36A23">
            <w:pPr>
              <w:pStyle w:val="fintableheads"/>
              <w:rPr>
                <w:color w:val="auto"/>
              </w:rPr>
            </w:pPr>
            <w:r w:rsidRPr="00EF4C81">
              <w:rPr>
                <w:color w:val="auto"/>
                <w:lang w:val="en-GB"/>
              </w:rPr>
              <w:t xml:space="preserve">ACTUAL </w:t>
            </w:r>
            <w:r w:rsidRPr="00EF4C81">
              <w:rPr>
                <w:color w:val="auto"/>
                <w:lang w:val="en-GB"/>
              </w:rPr>
              <w:br/>
              <w:t>30 JUNE 2013</w:t>
            </w:r>
          </w:p>
        </w:tc>
        <w:tc>
          <w:tcPr>
            <w:tcW w:w="1418" w:type="dxa"/>
            <w:tcBorders>
              <w:top w:val="single" w:sz="6" w:space="0" w:color="auto"/>
              <w:left w:val="single" w:sz="6" w:space="0" w:color="auto"/>
              <w:bottom w:val="single" w:sz="6" w:space="0" w:color="000000"/>
              <w:right w:val="single" w:sz="6" w:space="0" w:color="auto"/>
            </w:tcBorders>
            <w:tcMar>
              <w:top w:w="113" w:type="dxa"/>
              <w:left w:w="113" w:type="dxa"/>
              <w:bottom w:w="57" w:type="dxa"/>
              <w:right w:w="0" w:type="dxa"/>
            </w:tcMar>
            <w:vAlign w:val="bottom"/>
          </w:tcPr>
          <w:p w:rsidR="009D38E8" w:rsidRPr="00EF4C81" w:rsidRDefault="009D38E8" w:rsidP="00A36A23">
            <w:pPr>
              <w:pStyle w:val="fintableheads"/>
              <w:rPr>
                <w:color w:val="auto"/>
              </w:rPr>
            </w:pPr>
            <w:r w:rsidRPr="00EF4C81">
              <w:rPr>
                <w:color w:val="auto"/>
                <w:lang w:val="en-GB"/>
              </w:rPr>
              <w:t xml:space="preserve">STANDARD </w:t>
            </w:r>
            <w:r w:rsidRPr="00EF4C81">
              <w:rPr>
                <w:color w:val="auto"/>
                <w:lang w:val="en-GB"/>
              </w:rPr>
              <w:br/>
              <w:t>30 JUNE 2013</w:t>
            </w:r>
          </w:p>
        </w:tc>
      </w:tr>
      <w:tr w:rsidR="009D38E8" w:rsidRPr="00EF4C81" w:rsidTr="00A36A23">
        <w:trPr>
          <w:trHeight w:val="113"/>
        </w:trPr>
        <w:tc>
          <w:tcPr>
            <w:tcW w:w="1417" w:type="dxa"/>
            <w:tcBorders>
              <w:top w:val="single" w:sz="6"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95.3%</w:t>
            </w:r>
          </w:p>
        </w:tc>
        <w:tc>
          <w:tcPr>
            <w:tcW w:w="5386"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Quality</w:t>
            </w:r>
          </w:p>
          <w:p w:rsidR="009D38E8" w:rsidRPr="00EF4C81" w:rsidRDefault="009D38E8" w:rsidP="00A36A23">
            <w:pPr>
              <w:pStyle w:val="tablefintext"/>
              <w:rPr>
                <w:color w:val="auto"/>
              </w:rPr>
            </w:pPr>
            <w:r w:rsidRPr="00EF4C81">
              <w:rPr>
                <w:color w:val="auto"/>
                <w:lang w:val="en-GB"/>
              </w:rPr>
              <w:t>The percentage of Veteran's Pension entitlement assessments completed accurately will be no less than</w:t>
            </w:r>
          </w:p>
        </w:tc>
        <w:tc>
          <w:tcPr>
            <w:tcW w:w="1417" w:type="dxa"/>
            <w:tcBorders>
              <w:top w:val="single" w:sz="6"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94.3%</w:t>
            </w:r>
          </w:p>
        </w:tc>
        <w:tc>
          <w:tcPr>
            <w:tcW w:w="1418" w:type="dxa"/>
            <w:tcBorders>
              <w:top w:val="single" w:sz="6"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w:t>
            </w:r>
          </w:p>
        </w:tc>
      </w:tr>
      <w:tr w:rsidR="009D38E8" w:rsidRPr="00EF4C81" w:rsidTr="00A36A23">
        <w:trPr>
          <w:trHeight w:val="113"/>
        </w:trPr>
        <w:tc>
          <w:tcPr>
            <w:tcW w:w="1417" w:type="dxa"/>
            <w:tcBorders>
              <w:top w:val="single" w:sz="4" w:space="0" w:color="000000"/>
              <w:left w:val="single" w:sz="6" w:space="0" w:color="000000"/>
              <w:bottom w:val="single" w:sz="4" w:space="0" w:color="000000"/>
              <w:right w:val="single" w:sz="6" w:space="0" w:color="000000"/>
            </w:tcBorders>
            <w:shd w:val="solid" w:color="F2F2F2"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95.8%</w:t>
            </w:r>
          </w:p>
        </w:tc>
        <w:tc>
          <w:tcPr>
            <w:tcW w:w="5386"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tablefintext"/>
              <w:rPr>
                <w:b/>
                <w:color w:val="auto"/>
                <w:lang w:val="en-GB"/>
              </w:rPr>
            </w:pPr>
            <w:r w:rsidRPr="00EF4C81">
              <w:rPr>
                <w:rStyle w:val="fintextheavyFINANCIALS"/>
                <w:b/>
                <w:color w:val="auto"/>
                <w:lang w:val="en-GB"/>
              </w:rPr>
              <w:t>Timeliness</w:t>
            </w:r>
          </w:p>
          <w:p w:rsidR="009D38E8" w:rsidRPr="00EF4C81" w:rsidRDefault="009D38E8" w:rsidP="00A36A23">
            <w:pPr>
              <w:pStyle w:val="tablefintext"/>
              <w:rPr>
                <w:color w:val="auto"/>
              </w:rPr>
            </w:pPr>
            <w:r w:rsidRPr="00EF4C81">
              <w:rPr>
                <w:color w:val="auto"/>
                <w:lang w:val="en-GB"/>
              </w:rPr>
              <w:t>The percentage of Veteran's Pension entitlement assessments completed within required timeframes</w:t>
            </w:r>
            <w:r w:rsidRPr="00EF4C81">
              <w:rPr>
                <w:rStyle w:val="FootnoteReference"/>
                <w:color w:val="auto"/>
                <w:lang w:val="en-GB"/>
              </w:rPr>
              <w:footnoteReference w:id="59"/>
            </w:r>
            <w:r w:rsidRPr="00EF4C81">
              <w:rPr>
                <w:color w:val="auto"/>
                <w:lang w:val="en-GB"/>
              </w:rPr>
              <w:t xml:space="preserve"> will be no less than</w:t>
            </w:r>
          </w:p>
        </w:tc>
        <w:tc>
          <w:tcPr>
            <w:tcW w:w="1417" w:type="dxa"/>
            <w:tcBorders>
              <w:top w:val="single" w:sz="4" w:space="0" w:color="000000"/>
              <w:left w:val="single" w:sz="6" w:space="0" w:color="000000"/>
              <w:bottom w:val="single" w:sz="4" w:space="0" w:color="000000"/>
              <w:right w:val="single" w:sz="6" w:space="0" w:color="000000"/>
            </w:tcBorders>
            <w:shd w:val="solid" w:color="00C477" w:fill="auto"/>
            <w:tcMar>
              <w:top w:w="170" w:type="dxa"/>
              <w:left w:w="113" w:type="dxa"/>
              <w:bottom w:w="85" w:type="dxa"/>
              <w:right w:w="113" w:type="dxa"/>
            </w:tcMar>
          </w:tcPr>
          <w:p w:rsidR="009D38E8" w:rsidRPr="00EF4C81" w:rsidRDefault="009D38E8" w:rsidP="00A36A23">
            <w:pPr>
              <w:pStyle w:val="FinFigures"/>
              <w:rPr>
                <w:color w:val="auto"/>
              </w:rPr>
            </w:pPr>
          </w:p>
          <w:p w:rsidR="009D38E8" w:rsidRPr="00EF4C81" w:rsidRDefault="009D38E8" w:rsidP="00A36A23">
            <w:pPr>
              <w:pStyle w:val="FinFigures"/>
              <w:rPr>
                <w:color w:val="auto"/>
              </w:rPr>
            </w:pPr>
            <w:r w:rsidRPr="00EF4C81">
              <w:rPr>
                <w:color w:val="auto"/>
              </w:rPr>
              <w:t>96.3%</w:t>
            </w:r>
          </w:p>
        </w:tc>
        <w:tc>
          <w:tcPr>
            <w:tcW w:w="1418" w:type="dxa"/>
            <w:tcBorders>
              <w:top w:val="single" w:sz="4" w:space="0" w:color="000000"/>
              <w:left w:val="single" w:sz="6" w:space="0" w:color="000000"/>
              <w:bottom w:val="single" w:sz="4" w:space="0" w:color="000000"/>
              <w:right w:val="single" w:sz="6" w:space="0" w:color="000000"/>
            </w:tcBorders>
            <w:shd w:val="solid" w:color="FFFFFF" w:fill="auto"/>
            <w:tcMar>
              <w:top w:w="170" w:type="dxa"/>
              <w:left w:w="113" w:type="dxa"/>
              <w:bottom w:w="85" w:type="dxa"/>
              <w:right w:w="113" w:type="dxa"/>
            </w:tcMar>
          </w:tcPr>
          <w:p w:rsidR="009D38E8" w:rsidRPr="00EF4C81" w:rsidRDefault="009D38E8" w:rsidP="00A36A23">
            <w:pPr>
              <w:pStyle w:val="FinFigures"/>
              <w:rPr>
                <w:color w:val="auto"/>
                <w:lang w:val="en-GB"/>
              </w:rPr>
            </w:pPr>
          </w:p>
          <w:p w:rsidR="009D38E8" w:rsidRPr="00EF4C81" w:rsidRDefault="009D38E8" w:rsidP="00A36A23">
            <w:pPr>
              <w:pStyle w:val="FinFigures"/>
              <w:rPr>
                <w:color w:val="auto"/>
              </w:rPr>
            </w:pPr>
            <w:r w:rsidRPr="00EF4C81">
              <w:rPr>
                <w:color w:val="auto"/>
                <w:lang w:val="en-GB"/>
              </w:rPr>
              <w:t>95%</w:t>
            </w:r>
          </w:p>
        </w:tc>
      </w:tr>
    </w:tbl>
    <w:p w:rsidR="00F05880" w:rsidRPr="00EF4C81" w:rsidRDefault="00F05880" w:rsidP="007612E4">
      <w:pPr>
        <w:pStyle w:val="Heading1"/>
        <w:spacing w:after="720"/>
      </w:pPr>
    </w:p>
    <w:sectPr w:rsidR="00F05880" w:rsidRPr="00EF4C81" w:rsidSect="008E4D3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81" w:rsidRDefault="00EF4C81" w:rsidP="001B41FF">
      <w:pPr>
        <w:spacing w:after="0"/>
      </w:pPr>
      <w:r>
        <w:separator/>
      </w:r>
    </w:p>
  </w:endnote>
  <w:endnote w:type="continuationSeparator" w:id="0">
    <w:p w:rsidR="00EF4C81" w:rsidRDefault="00EF4C81" w:rsidP="001B41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20B0604020202020204"/>
    <w:charset w:val="00"/>
    <w:family w:val="swiss"/>
    <w:pitch w:val="variable"/>
    <w:sig w:usb0="00000003" w:usb1="00000000" w:usb2="00000000" w:usb3="00000000" w:csb0="00000001" w:csb1="00000000"/>
  </w:font>
  <w:font w:name="AvenirMaori-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venirMaori-Blac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Mi">
    <w:altName w:val="Tw Cen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venirMaori-Heavy">
    <w:panose1 w:val="00000000000000000000"/>
    <w:charset w:val="00"/>
    <w:family w:val="swiss"/>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AvenirMaori">
    <w:panose1 w:val="00000000000000000000"/>
    <w:charset w:val="4D"/>
    <w:family w:val="auto"/>
    <w:notTrueType/>
    <w:pitch w:val="default"/>
    <w:sig w:usb0="00000003" w:usb1="00000000" w:usb2="00000000" w:usb3="00000000" w:csb0="00000001" w:csb1="00000000"/>
  </w:font>
  <w:font w:name="AvenirMaori-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81" w:rsidRDefault="00EF4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409150"/>
      <w:docPartObj>
        <w:docPartGallery w:val="Page Numbers (Bottom of Page)"/>
        <w:docPartUnique/>
      </w:docPartObj>
    </w:sdtPr>
    <w:sdtEndPr>
      <w:rPr>
        <w:noProof/>
      </w:rPr>
    </w:sdtEndPr>
    <w:sdtContent>
      <w:p w:rsidR="00EF4C81" w:rsidRDefault="00EF4C81">
        <w:pPr>
          <w:pStyle w:val="Footer"/>
          <w:jc w:val="right"/>
        </w:pPr>
        <w:r>
          <w:fldChar w:fldCharType="begin"/>
        </w:r>
        <w:r>
          <w:instrText xml:space="preserve"> PAGE   \* MERGEFORMAT </w:instrText>
        </w:r>
        <w:r>
          <w:fldChar w:fldCharType="separate"/>
        </w:r>
        <w:r w:rsidR="00D173BB">
          <w:rPr>
            <w:noProof/>
          </w:rPr>
          <w:t>1</w:t>
        </w:r>
        <w:r>
          <w:rPr>
            <w:noProof/>
          </w:rPr>
          <w:fldChar w:fldCharType="end"/>
        </w:r>
      </w:p>
    </w:sdtContent>
  </w:sdt>
  <w:p w:rsidR="00EF4C81" w:rsidRDefault="00EF4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81" w:rsidRDefault="00EF4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81" w:rsidRDefault="00EF4C81" w:rsidP="001B41FF">
      <w:pPr>
        <w:spacing w:after="0"/>
      </w:pPr>
      <w:r>
        <w:separator/>
      </w:r>
    </w:p>
  </w:footnote>
  <w:footnote w:type="continuationSeparator" w:id="0">
    <w:p w:rsidR="00EF4C81" w:rsidRDefault="00EF4C81" w:rsidP="001B41FF">
      <w:pPr>
        <w:spacing w:after="0"/>
      </w:pPr>
      <w:r>
        <w:continuationSeparator/>
      </w:r>
    </w:p>
  </w:footnote>
  <w:footnote w:id="1">
    <w:p w:rsidR="00EF4C81" w:rsidRPr="008B1593" w:rsidRDefault="00EF4C81" w:rsidP="00992EC0">
      <w:pPr>
        <w:pStyle w:val="footnote0"/>
        <w:tabs>
          <w:tab w:val="left" w:pos="284"/>
        </w:tabs>
        <w:spacing w:after="240" w:line="240" w:lineRule="auto"/>
        <w:ind w:left="284" w:hanging="284"/>
        <w:contextualSpacing/>
      </w:pPr>
      <w:r w:rsidRPr="008B1593">
        <w:rPr>
          <w:rStyle w:val="FootnoteReference"/>
        </w:rPr>
        <w:footnoteRef/>
      </w:r>
      <w:r w:rsidRPr="008B1593">
        <w:t xml:space="preserve"> </w:t>
      </w:r>
      <w:r>
        <w:tab/>
        <w:t xml:space="preserve">Launched by the Minister for the Community and Voluntary Sector in October 2010, the Code of Funding Practice aims to help government agencies and non-profit </w:t>
      </w:r>
      <w:proofErr w:type="spellStart"/>
      <w:r>
        <w:t>organisations</w:t>
      </w:r>
      <w:proofErr w:type="spellEnd"/>
      <w:r>
        <w:t xml:space="preserve"> when entering into government funding arrangements. It sets out seven core codes, 22 key criteria and a range of success indicators.</w:t>
      </w:r>
    </w:p>
  </w:footnote>
  <w:footnote w:id="2">
    <w:p w:rsidR="00EF4C81" w:rsidRPr="008B1593" w:rsidRDefault="00EF4C81" w:rsidP="00C4320C">
      <w:pPr>
        <w:pStyle w:val="footnote0"/>
        <w:tabs>
          <w:tab w:val="left" w:pos="284"/>
        </w:tabs>
        <w:spacing w:after="240" w:line="240" w:lineRule="auto"/>
        <w:ind w:left="284" w:hanging="284"/>
        <w:contextualSpacing/>
      </w:pPr>
      <w:r w:rsidRPr="008B1593">
        <w:rPr>
          <w:rStyle w:val="FootnoteReference"/>
        </w:rPr>
        <w:footnoteRef/>
      </w:r>
      <w:r w:rsidRPr="008B1593">
        <w:t xml:space="preserve"> </w:t>
      </w:r>
      <w:r>
        <w:tab/>
        <w:t>Under section 9(4</w:t>
      </w:r>
      <w:proofErr w:type="gramStart"/>
      <w:r>
        <w:t>)(</w:t>
      </w:r>
      <w:proofErr w:type="gramEnd"/>
      <w:r>
        <w:t>c) of the Adult Adoption Information Act 1985</w:t>
      </w:r>
      <w:r w:rsidRPr="008B1593">
        <w:t>.</w:t>
      </w:r>
    </w:p>
  </w:footnote>
  <w:footnote w:id="3">
    <w:p w:rsidR="00EF4C81" w:rsidRPr="008B1593" w:rsidRDefault="00EF4C81" w:rsidP="00C4320C">
      <w:pPr>
        <w:pStyle w:val="footnote0"/>
        <w:tabs>
          <w:tab w:val="left" w:pos="284"/>
        </w:tabs>
        <w:spacing w:after="240" w:line="240" w:lineRule="auto"/>
        <w:ind w:left="284" w:hanging="284"/>
        <w:contextualSpacing/>
      </w:pPr>
      <w:r w:rsidRPr="008B1593">
        <w:rPr>
          <w:rStyle w:val="FootnoteReference"/>
        </w:rPr>
        <w:footnoteRef/>
      </w:r>
      <w:r w:rsidRPr="008B1593">
        <w:t xml:space="preserve"> </w:t>
      </w:r>
      <w:r>
        <w:tab/>
        <w:t xml:space="preserve">By 30 June 2013, all critical notifications requiring further action had been </w:t>
      </w:r>
      <w:proofErr w:type="spellStart"/>
      <w:r>
        <w:t>actioned</w:t>
      </w:r>
      <w:proofErr w:type="spellEnd"/>
      <w:r>
        <w:t xml:space="preserve"> and allocated.</w:t>
      </w:r>
    </w:p>
  </w:footnote>
  <w:footnote w:id="4">
    <w:p w:rsidR="00EF4C81" w:rsidRPr="008B1593" w:rsidRDefault="00EF4C81" w:rsidP="00C4320C">
      <w:pPr>
        <w:pStyle w:val="footnote0"/>
        <w:tabs>
          <w:tab w:val="left" w:pos="284"/>
        </w:tabs>
        <w:spacing w:after="240" w:line="240" w:lineRule="auto"/>
        <w:ind w:left="284" w:hanging="284"/>
        <w:contextualSpacing/>
      </w:pPr>
      <w:r w:rsidRPr="008B1593">
        <w:rPr>
          <w:rStyle w:val="FootnoteReference"/>
        </w:rPr>
        <w:footnoteRef/>
      </w:r>
      <w:r w:rsidRPr="008B1593">
        <w:t xml:space="preserve"> </w:t>
      </w:r>
      <w:r>
        <w:tab/>
        <w:t xml:space="preserve">By 30 June 2013, all very urgent notifications requiring further action had been </w:t>
      </w:r>
      <w:proofErr w:type="spellStart"/>
      <w:r>
        <w:t>actioned</w:t>
      </w:r>
      <w:proofErr w:type="spellEnd"/>
      <w:r>
        <w:t xml:space="preserve"> and allocated.</w:t>
      </w:r>
    </w:p>
  </w:footnote>
  <w:footnote w:id="5">
    <w:p w:rsidR="00EF4C81" w:rsidRPr="00052B6E" w:rsidRDefault="00EF4C81" w:rsidP="009D38E8">
      <w:pPr>
        <w:pStyle w:val="footnote0"/>
      </w:pPr>
      <w:r>
        <w:rPr>
          <w:rStyle w:val="FootnoteReference"/>
        </w:rPr>
        <w:footnoteRef/>
      </w:r>
      <w:r>
        <w:t xml:space="preserve"> </w:t>
      </w:r>
      <w:r>
        <w:tab/>
        <w:t>The t</w:t>
      </w:r>
      <w:r w:rsidRPr="00052B6E">
        <w:t>imeliness of Family Court planned reviews are di</w:t>
      </w:r>
      <w:r>
        <w:t>rected by the Family Court (</w:t>
      </w:r>
      <w:proofErr w:type="spellStart"/>
      <w:r>
        <w:t>eg</w:t>
      </w:r>
      <w:proofErr w:type="spellEnd"/>
      <w:r>
        <w:t xml:space="preserve"> c</w:t>
      </w:r>
      <w:r w:rsidRPr="00052B6E">
        <w:t>hildren under seven years old have planned reviews every six months or as directed by the Court</w:t>
      </w:r>
      <w:r>
        <w:t xml:space="preserve"> – c</w:t>
      </w:r>
      <w:r w:rsidRPr="00052B6E">
        <w:t>hildren and young people over seven years old have planned reviews every 12 months</w:t>
      </w:r>
      <w:r>
        <w:t xml:space="preserve"> or as directed by the Court</w:t>
      </w:r>
      <w:r w:rsidRPr="00052B6E">
        <w:t>).</w:t>
      </w:r>
    </w:p>
  </w:footnote>
  <w:footnote w:id="6">
    <w:p w:rsidR="00EF4C81" w:rsidRPr="00410709" w:rsidRDefault="00EF4C81" w:rsidP="00410709">
      <w:pPr>
        <w:pStyle w:val="footnote0"/>
        <w:tabs>
          <w:tab w:val="left" w:pos="284"/>
        </w:tabs>
        <w:spacing w:after="240" w:line="240" w:lineRule="auto"/>
        <w:ind w:left="284" w:hanging="284"/>
        <w:contextualSpacing/>
        <w:rPr>
          <w:rFonts w:eastAsiaTheme="minorHAnsi" w:cstheme="minorBidi"/>
          <w:color w:val="000000" w:themeColor="text1"/>
          <w:lang w:val="en-NZ" w:eastAsia="en-US"/>
        </w:rPr>
      </w:pPr>
      <w:r w:rsidRPr="00410709">
        <w:rPr>
          <w:rStyle w:val="FootnoteReference"/>
          <w:rFonts w:ascii="Arial Mäori" w:hAnsi="Arial Mäori"/>
          <w:spacing w:val="0"/>
          <w:sz w:val="16"/>
          <w:szCs w:val="16"/>
        </w:rPr>
        <w:footnoteRef/>
      </w:r>
      <w:r w:rsidRPr="00410709">
        <w:rPr>
          <w:rStyle w:val="FootnoteReference"/>
          <w:rFonts w:ascii="Arial Mäori" w:hAnsi="Arial Mäori"/>
          <w:spacing w:val="0"/>
          <w:sz w:val="16"/>
          <w:szCs w:val="16"/>
        </w:rPr>
        <w:t xml:space="preserve"> </w:t>
      </w:r>
      <w:r w:rsidRPr="00410709">
        <w:rPr>
          <w:rStyle w:val="FootnoteReference"/>
          <w:rFonts w:ascii="Arial Mäori" w:hAnsi="Arial Mäori"/>
          <w:spacing w:val="0"/>
          <w:sz w:val="16"/>
          <w:szCs w:val="16"/>
        </w:rPr>
        <w:tab/>
      </w:r>
      <w:r w:rsidRPr="00410709">
        <w:rPr>
          <w:rStyle w:val="FootnoteReference"/>
          <w:rFonts w:ascii="Arial Mäori" w:hAnsi="Arial Mäori"/>
          <w:spacing w:val="0"/>
          <w:sz w:val="16"/>
          <w:szCs w:val="16"/>
          <w:vertAlign w:val="baseline"/>
        </w:rPr>
        <w:t>This covers all providers contracted under sections 396 and 403 of the Children, Young Persons, and Their Families Act 1989.</w:t>
      </w:r>
    </w:p>
  </w:footnote>
  <w:footnote w:id="7">
    <w:p w:rsidR="00EF4C81" w:rsidRPr="00410709" w:rsidRDefault="00EF4C81" w:rsidP="00410709">
      <w:pPr>
        <w:pStyle w:val="footnote0"/>
        <w:tabs>
          <w:tab w:val="left" w:pos="284"/>
        </w:tabs>
        <w:spacing w:after="240" w:line="240" w:lineRule="auto"/>
        <w:ind w:left="284" w:hanging="284"/>
        <w:contextualSpacing/>
        <w:rPr>
          <w:rFonts w:ascii="Arial Mäori" w:hAnsi="Arial Mäori"/>
          <w:sz w:val="16"/>
          <w:szCs w:val="16"/>
        </w:rPr>
      </w:pPr>
      <w:r w:rsidRPr="00410709">
        <w:rPr>
          <w:rStyle w:val="FootnoteReference"/>
          <w:rFonts w:ascii="Arial Mäori" w:hAnsi="Arial Mäori"/>
          <w:sz w:val="16"/>
          <w:szCs w:val="16"/>
        </w:rPr>
        <w:footnoteRef/>
      </w:r>
      <w:r w:rsidRPr="00410709">
        <w:rPr>
          <w:rFonts w:ascii="Arial Mäori" w:hAnsi="Arial Mäori"/>
          <w:sz w:val="16"/>
          <w:szCs w:val="16"/>
        </w:rPr>
        <w:t xml:space="preserve"> </w:t>
      </w:r>
      <w:r w:rsidRPr="00410709">
        <w:rPr>
          <w:rFonts w:ascii="Arial Mäori" w:hAnsi="Arial Mäori"/>
          <w:sz w:val="16"/>
          <w:szCs w:val="16"/>
        </w:rPr>
        <w:tab/>
        <w:t>These projects are funded through the SKIP Local Initiatives Fund. Progress reports are used to determine whether objectives are being met.</w:t>
      </w:r>
    </w:p>
  </w:footnote>
  <w:footnote w:id="8">
    <w:p w:rsidR="00EF4C81" w:rsidRPr="00FF5E72" w:rsidRDefault="00EF4C81" w:rsidP="00FF5E72">
      <w:pPr>
        <w:pStyle w:val="footnote0"/>
        <w:tabs>
          <w:tab w:val="left" w:pos="284"/>
        </w:tabs>
        <w:spacing w:after="0" w:line="240" w:lineRule="auto"/>
        <w:ind w:left="284" w:hanging="284"/>
        <w:contextualSpacing/>
        <w:rPr>
          <w:rFonts w:ascii="Arial Mäori" w:hAnsi="Arial Mäori"/>
          <w:sz w:val="16"/>
          <w:szCs w:val="16"/>
        </w:rPr>
      </w:pPr>
      <w:r w:rsidRPr="00FF5E72">
        <w:rPr>
          <w:rStyle w:val="FootnoteReference"/>
          <w:rFonts w:ascii="Arial Mäori" w:hAnsi="Arial Mäori"/>
          <w:sz w:val="16"/>
          <w:szCs w:val="16"/>
        </w:rPr>
        <w:footnoteRef/>
      </w:r>
      <w:r>
        <w:rPr>
          <w:rFonts w:ascii="Arial Mäori" w:hAnsi="Arial Mäori"/>
          <w:sz w:val="16"/>
          <w:szCs w:val="16"/>
        </w:rPr>
        <w:t xml:space="preserve"> </w:t>
      </w:r>
      <w:r>
        <w:rPr>
          <w:rFonts w:ascii="Arial Mäori" w:hAnsi="Arial Mäori"/>
          <w:sz w:val="16"/>
          <w:szCs w:val="16"/>
        </w:rPr>
        <w:tab/>
      </w:r>
      <w:r w:rsidRPr="00FF5E72">
        <w:rPr>
          <w:rFonts w:ascii="Arial Mäori" w:hAnsi="Arial Mäori"/>
          <w:sz w:val="16"/>
          <w:szCs w:val="16"/>
        </w:rPr>
        <w:t>Assessments for both New Zealand Superannuation and Veteran's Pensions are completed by the same staff. The increase in workload affects the results for both New Zealand Superannuation and Veteran's Pension assessment measures.</w:t>
      </w:r>
    </w:p>
  </w:footnote>
  <w:footnote w:id="9">
    <w:p w:rsidR="00EF4C81" w:rsidRPr="00FF5E72" w:rsidRDefault="00EF4C81" w:rsidP="00FF5E72">
      <w:pPr>
        <w:pStyle w:val="FootnoteText"/>
        <w:tabs>
          <w:tab w:val="left" w:pos="284"/>
        </w:tabs>
        <w:ind w:left="284" w:hanging="284"/>
        <w:contextualSpacing/>
        <w:rPr>
          <w:rFonts w:cs="AvenirMaori-Light"/>
          <w:color w:val="000000"/>
          <w:spacing w:val="-1"/>
          <w:sz w:val="16"/>
          <w:szCs w:val="16"/>
          <w:lang w:val="en-US"/>
        </w:rPr>
      </w:pPr>
      <w:r w:rsidRPr="00FF5E72">
        <w:rPr>
          <w:rStyle w:val="FootnoteReference"/>
          <w:sz w:val="16"/>
          <w:szCs w:val="16"/>
        </w:rPr>
        <w:footnoteRef/>
      </w:r>
      <w:r w:rsidRPr="00FF5E72">
        <w:rPr>
          <w:sz w:val="16"/>
          <w:szCs w:val="16"/>
        </w:rPr>
        <w:t xml:space="preserve"> </w:t>
      </w:r>
      <w:r>
        <w:rPr>
          <w:sz w:val="16"/>
          <w:szCs w:val="16"/>
        </w:rPr>
        <w:tab/>
      </w:r>
      <w:r w:rsidRPr="00FF5E72">
        <w:rPr>
          <w:rFonts w:cs="AvenirMaori-Light"/>
          <w:color w:val="000000"/>
          <w:spacing w:val="-1"/>
          <w:sz w:val="16"/>
          <w:szCs w:val="16"/>
          <w:lang w:val="en-US"/>
        </w:rPr>
        <w:t>This includes transfers made under section 26A of the Public Finance Act 1989.</w:t>
      </w:r>
    </w:p>
  </w:footnote>
  <w:footnote w:id="10">
    <w:p w:rsidR="00EF4C81" w:rsidRPr="001A4081" w:rsidRDefault="00EF4C81" w:rsidP="00FF5E72">
      <w:pPr>
        <w:pStyle w:val="footnote0"/>
        <w:tabs>
          <w:tab w:val="left" w:pos="180"/>
          <w:tab w:val="left" w:pos="284"/>
        </w:tabs>
        <w:spacing w:after="0" w:line="240" w:lineRule="auto"/>
        <w:ind w:left="284" w:hanging="284"/>
        <w:contextualSpacing/>
        <w:rPr>
          <w:lang w:val="en-NZ"/>
        </w:rPr>
      </w:pPr>
      <w:r w:rsidRPr="00FF5E72">
        <w:rPr>
          <w:rStyle w:val="FootnoteReference"/>
          <w:rFonts w:ascii="Arial Mäori" w:hAnsi="Arial Mäori"/>
          <w:sz w:val="16"/>
          <w:szCs w:val="16"/>
        </w:rPr>
        <w:footnoteRef/>
      </w:r>
      <w:r w:rsidRPr="00FF5E72">
        <w:rPr>
          <w:rFonts w:ascii="Arial Mäori" w:hAnsi="Arial Mäori"/>
          <w:sz w:val="16"/>
          <w:szCs w:val="16"/>
        </w:rPr>
        <w:t xml:space="preserve"> </w:t>
      </w:r>
      <w:r>
        <w:rPr>
          <w:rFonts w:ascii="Arial Mäori" w:hAnsi="Arial Mäori"/>
          <w:sz w:val="16"/>
          <w:szCs w:val="16"/>
        </w:rPr>
        <w:tab/>
      </w:r>
      <w:r w:rsidRPr="00FF5E72">
        <w:rPr>
          <w:rFonts w:ascii="Arial Mäori" w:hAnsi="Arial Mäori"/>
          <w:sz w:val="16"/>
          <w:szCs w:val="16"/>
        </w:rPr>
        <w:tab/>
        <w:t>An assessment of entitlement is deemed accurate when the right person is receiving the correct entitlement, at the correct rate and from the correct commencement date.</w:t>
      </w:r>
    </w:p>
  </w:footnote>
  <w:footnote w:id="11">
    <w:p w:rsidR="00EF4C81" w:rsidRPr="00FF5E72" w:rsidRDefault="00EF4C81" w:rsidP="00FF5E72">
      <w:pPr>
        <w:pStyle w:val="footnote0"/>
        <w:tabs>
          <w:tab w:val="left" w:pos="180"/>
          <w:tab w:val="left" w:pos="284"/>
        </w:tabs>
        <w:spacing w:after="240" w:line="240" w:lineRule="auto"/>
        <w:ind w:left="284" w:hanging="284"/>
        <w:contextualSpacing/>
        <w:rPr>
          <w:rFonts w:ascii="Arial Mäori" w:hAnsi="Arial Mäori"/>
          <w:sz w:val="16"/>
          <w:szCs w:val="16"/>
        </w:rPr>
      </w:pPr>
      <w:r w:rsidRPr="00FF5E72">
        <w:rPr>
          <w:rStyle w:val="FootnoteReference"/>
          <w:rFonts w:ascii="Arial Mäori" w:hAnsi="Arial Mäori"/>
          <w:sz w:val="16"/>
          <w:szCs w:val="16"/>
        </w:rPr>
        <w:footnoteRef/>
      </w:r>
      <w:r w:rsidRPr="00FF5E72">
        <w:rPr>
          <w:rFonts w:ascii="Arial Mäori" w:hAnsi="Arial Mäori"/>
          <w:sz w:val="16"/>
          <w:szCs w:val="16"/>
        </w:rPr>
        <w:t xml:space="preserve"> </w:t>
      </w:r>
      <w:r w:rsidRPr="00FF5E72">
        <w:rPr>
          <w:rFonts w:ascii="Arial Mäori" w:hAnsi="Arial Mäori"/>
          <w:sz w:val="16"/>
          <w:szCs w:val="16"/>
        </w:rPr>
        <w:tab/>
        <w:t>This combines timeliness measures for all activities in this output expense. The standard timeframe for each component is as follows:</w:t>
      </w:r>
    </w:p>
    <w:p w:rsidR="00EF4C81" w:rsidRPr="00FF5E72" w:rsidRDefault="00EF4C81" w:rsidP="006E3476">
      <w:pPr>
        <w:pStyle w:val="footnote0"/>
        <w:numPr>
          <w:ilvl w:val="0"/>
          <w:numId w:val="11"/>
        </w:numPr>
        <w:tabs>
          <w:tab w:val="left" w:pos="284"/>
        </w:tabs>
        <w:spacing w:after="0" w:line="240" w:lineRule="auto"/>
        <w:ind w:left="284" w:hanging="284"/>
        <w:rPr>
          <w:rFonts w:ascii="Arial Mäori" w:hAnsi="Arial Mäori"/>
          <w:sz w:val="16"/>
          <w:szCs w:val="16"/>
        </w:rPr>
      </w:pPr>
      <w:r w:rsidRPr="00FF5E72">
        <w:rPr>
          <w:rFonts w:ascii="Arial Mäori" w:hAnsi="Arial Mäori"/>
          <w:sz w:val="16"/>
          <w:szCs w:val="16"/>
        </w:rPr>
        <w:t>Five working days for New Zealand Superannuation and Emergency Benefit (for people over 65 years of age) entitlement</w:t>
      </w:r>
      <w:r>
        <w:rPr>
          <w:rFonts w:ascii="Arial Mäori" w:hAnsi="Arial Mäori"/>
          <w:sz w:val="16"/>
          <w:szCs w:val="16"/>
        </w:rPr>
        <w:t xml:space="preserve"> </w:t>
      </w:r>
      <w:r w:rsidRPr="00FF5E72">
        <w:rPr>
          <w:rFonts w:ascii="Arial Mäori" w:hAnsi="Arial Mäori"/>
          <w:sz w:val="16"/>
          <w:szCs w:val="16"/>
        </w:rPr>
        <w:t>assessments completed for payment in New Zealand</w:t>
      </w:r>
    </w:p>
    <w:p w:rsidR="00EF4C81" w:rsidRPr="00FF5E72" w:rsidRDefault="00EF4C81" w:rsidP="00FF5E72">
      <w:pPr>
        <w:pStyle w:val="footnote0"/>
        <w:tabs>
          <w:tab w:val="left" w:pos="284"/>
          <w:tab w:val="left" w:pos="540"/>
        </w:tabs>
        <w:spacing w:after="240" w:line="240" w:lineRule="auto"/>
        <w:ind w:left="568" w:hanging="284"/>
        <w:contextualSpacing/>
        <w:rPr>
          <w:rFonts w:ascii="Arial Mäori" w:hAnsi="Arial Mäori"/>
          <w:sz w:val="16"/>
          <w:szCs w:val="16"/>
        </w:rPr>
      </w:pPr>
      <w:r w:rsidRPr="00FF5E72">
        <w:rPr>
          <w:rFonts w:ascii="Arial Mäori" w:hAnsi="Arial Mäori"/>
          <w:sz w:val="16"/>
          <w:szCs w:val="16"/>
        </w:rPr>
        <w:t>•</w:t>
      </w:r>
      <w:r w:rsidRPr="00FF5E72">
        <w:rPr>
          <w:rFonts w:ascii="Arial Mäori" w:hAnsi="Arial Mäori"/>
          <w:sz w:val="16"/>
          <w:szCs w:val="16"/>
        </w:rPr>
        <w:tab/>
        <w:t>Twenty working days for New Zealand Superannuation entitlement assessments completed for payment overseas and for other New Zealand entitlements paid overseas</w:t>
      </w:r>
    </w:p>
    <w:p w:rsidR="00EF4C81" w:rsidRPr="001A4081" w:rsidRDefault="00EF4C81" w:rsidP="00FF5E72">
      <w:pPr>
        <w:pStyle w:val="footnote0"/>
        <w:tabs>
          <w:tab w:val="left" w:pos="224"/>
          <w:tab w:val="left" w:pos="284"/>
          <w:tab w:val="left" w:pos="540"/>
        </w:tabs>
        <w:spacing w:after="240" w:line="240" w:lineRule="auto"/>
        <w:ind w:left="568" w:hanging="284"/>
        <w:contextualSpacing/>
        <w:rPr>
          <w:lang w:val="en-NZ"/>
        </w:rPr>
      </w:pPr>
      <w:r w:rsidRPr="00FF5E72">
        <w:rPr>
          <w:rFonts w:ascii="Arial Mäori" w:hAnsi="Arial Mäori"/>
          <w:sz w:val="16"/>
          <w:szCs w:val="16"/>
        </w:rPr>
        <w:t>•</w:t>
      </w:r>
      <w:r w:rsidRPr="00FF5E72">
        <w:rPr>
          <w:rFonts w:ascii="Arial Mäori" w:hAnsi="Arial Mäori"/>
          <w:sz w:val="16"/>
          <w:szCs w:val="16"/>
        </w:rPr>
        <w:tab/>
        <w:t>Twenty working days for residential subsidy entitlement assessments.</w:t>
      </w:r>
    </w:p>
  </w:footnote>
  <w:footnote w:id="12">
    <w:p w:rsidR="00EF4C81" w:rsidRPr="00FF5E72" w:rsidRDefault="00EF4C81" w:rsidP="00FF5E72">
      <w:pPr>
        <w:pStyle w:val="footnote0"/>
        <w:tabs>
          <w:tab w:val="left" w:pos="284"/>
        </w:tabs>
        <w:spacing w:after="0" w:line="240" w:lineRule="auto"/>
        <w:ind w:left="284" w:hanging="284"/>
        <w:contextualSpacing/>
        <w:rPr>
          <w:rFonts w:ascii="Arial Mäori" w:hAnsi="Arial Mäori"/>
          <w:sz w:val="16"/>
          <w:szCs w:val="16"/>
        </w:rPr>
      </w:pPr>
      <w:r w:rsidRPr="00FF5E72">
        <w:rPr>
          <w:rStyle w:val="FootnoteReference"/>
          <w:rFonts w:ascii="Arial Mäori" w:hAnsi="Arial Mäori"/>
          <w:sz w:val="16"/>
          <w:szCs w:val="16"/>
        </w:rPr>
        <w:footnoteRef/>
      </w:r>
      <w:r w:rsidRPr="00FF5E72">
        <w:rPr>
          <w:rFonts w:ascii="Arial Mäori" w:hAnsi="Arial Mäori"/>
          <w:sz w:val="16"/>
          <w:szCs w:val="16"/>
        </w:rPr>
        <w:t xml:space="preserve"> </w:t>
      </w:r>
      <w:r w:rsidRPr="00FF5E72">
        <w:rPr>
          <w:rFonts w:ascii="Arial Mäori" w:hAnsi="Arial Mäori"/>
          <w:sz w:val="16"/>
          <w:szCs w:val="16"/>
        </w:rPr>
        <w:tab/>
      </w:r>
      <w:r w:rsidRPr="00FF5E72">
        <w:rPr>
          <w:rFonts w:ascii="Arial Mäori" w:hAnsi="Arial Mäori"/>
          <w:sz w:val="16"/>
          <w:szCs w:val="16"/>
          <w:lang w:val="en"/>
        </w:rPr>
        <w:t xml:space="preserve">The Minister of Finance can agree to more than one specified </w:t>
      </w:r>
      <w:r w:rsidRPr="00FF5E72">
        <w:rPr>
          <w:rStyle w:val="highlightedsearchterm"/>
          <w:rFonts w:ascii="Arial Mäori" w:hAnsi="Arial Mäori"/>
          <w:sz w:val="16"/>
          <w:szCs w:val="16"/>
          <w:lang w:val="en"/>
        </w:rPr>
        <w:t>class</w:t>
      </w:r>
      <w:r w:rsidRPr="00FF5E72">
        <w:rPr>
          <w:rFonts w:ascii="Arial Mäori" w:hAnsi="Arial Mäori"/>
          <w:sz w:val="16"/>
          <w:szCs w:val="16"/>
          <w:lang w:val="en"/>
        </w:rPr>
        <w:t xml:space="preserve"> of </w:t>
      </w:r>
      <w:r w:rsidRPr="00FF5E72">
        <w:rPr>
          <w:rStyle w:val="highlightedsearchterm"/>
          <w:rFonts w:ascii="Arial Mäori" w:hAnsi="Arial Mäori"/>
          <w:sz w:val="16"/>
          <w:szCs w:val="16"/>
          <w:lang w:val="en"/>
        </w:rPr>
        <w:t>output</w:t>
      </w:r>
      <w:r w:rsidRPr="00FF5E72">
        <w:rPr>
          <w:rFonts w:ascii="Arial Mäori" w:hAnsi="Arial Mäori"/>
          <w:sz w:val="16"/>
          <w:szCs w:val="16"/>
          <w:lang w:val="en"/>
        </w:rPr>
        <w:t xml:space="preserve">s being supplied under a single </w:t>
      </w:r>
      <w:r w:rsidRPr="00FF5E72">
        <w:rPr>
          <w:rStyle w:val="highlightedsearchterm"/>
          <w:rFonts w:ascii="Arial Mäori" w:hAnsi="Arial Mäori"/>
          <w:sz w:val="16"/>
          <w:szCs w:val="16"/>
          <w:lang w:val="en"/>
        </w:rPr>
        <w:t>appropriation</w:t>
      </w:r>
      <w:r w:rsidRPr="00FF5E72">
        <w:rPr>
          <w:rFonts w:ascii="Arial Mäori" w:hAnsi="Arial Mäori"/>
          <w:sz w:val="16"/>
          <w:szCs w:val="16"/>
          <w:lang w:val="en"/>
        </w:rPr>
        <w:t xml:space="preserve">. This is known as a </w:t>
      </w:r>
      <w:r w:rsidRPr="00FF5E72">
        <w:rPr>
          <w:rStyle w:val="highlightedsearchterm"/>
          <w:rFonts w:ascii="Arial Mäori" w:hAnsi="Arial Mäori"/>
          <w:sz w:val="16"/>
          <w:szCs w:val="16"/>
          <w:lang w:val="en"/>
        </w:rPr>
        <w:t>Multi</w:t>
      </w:r>
      <w:r w:rsidRPr="00FF5E72">
        <w:rPr>
          <w:rFonts w:ascii="Arial Mäori" w:hAnsi="Arial Mäori"/>
          <w:sz w:val="16"/>
          <w:szCs w:val="16"/>
          <w:lang w:val="en"/>
        </w:rPr>
        <w:t xml:space="preserve"> </w:t>
      </w:r>
      <w:r w:rsidRPr="00FF5E72">
        <w:rPr>
          <w:rStyle w:val="highlightedsearchterm"/>
          <w:rFonts w:ascii="Arial Mäori" w:hAnsi="Arial Mäori"/>
          <w:sz w:val="16"/>
          <w:szCs w:val="16"/>
          <w:lang w:val="en"/>
        </w:rPr>
        <w:t>Class</w:t>
      </w:r>
      <w:r w:rsidRPr="00FF5E72">
        <w:rPr>
          <w:rFonts w:ascii="Arial Mäori" w:hAnsi="Arial Mäori"/>
          <w:sz w:val="16"/>
          <w:szCs w:val="16"/>
          <w:lang w:val="en"/>
        </w:rPr>
        <w:t xml:space="preserve"> </w:t>
      </w:r>
      <w:r w:rsidRPr="00FF5E72">
        <w:rPr>
          <w:rStyle w:val="highlightedsearchterm"/>
          <w:rFonts w:ascii="Arial Mäori" w:hAnsi="Arial Mäori"/>
          <w:sz w:val="16"/>
          <w:szCs w:val="16"/>
          <w:lang w:val="en"/>
        </w:rPr>
        <w:t>Output</w:t>
      </w:r>
      <w:r w:rsidRPr="00FF5E72">
        <w:rPr>
          <w:rFonts w:ascii="Arial Mäori" w:hAnsi="Arial Mäori"/>
          <w:sz w:val="16"/>
          <w:szCs w:val="16"/>
          <w:lang w:val="en"/>
        </w:rPr>
        <w:t xml:space="preserve"> </w:t>
      </w:r>
      <w:r w:rsidRPr="00FF5E72">
        <w:rPr>
          <w:rStyle w:val="highlightedsearchterm"/>
          <w:rFonts w:ascii="Arial Mäori" w:hAnsi="Arial Mäori"/>
          <w:sz w:val="16"/>
          <w:szCs w:val="16"/>
          <w:lang w:val="en"/>
        </w:rPr>
        <w:t>Appropriation (MCOA).</w:t>
      </w:r>
    </w:p>
  </w:footnote>
  <w:footnote w:id="13">
    <w:p w:rsidR="00EF4C81" w:rsidRPr="00FF5E72" w:rsidRDefault="00EF4C81" w:rsidP="00FF5E72">
      <w:pPr>
        <w:pStyle w:val="FootnoteText"/>
        <w:tabs>
          <w:tab w:val="left" w:pos="284"/>
        </w:tabs>
        <w:ind w:left="284" w:hanging="284"/>
        <w:contextualSpacing/>
        <w:rPr>
          <w:rFonts w:cs="AvenirMaori-Light"/>
          <w:color w:val="000000"/>
          <w:spacing w:val="-1"/>
          <w:sz w:val="16"/>
          <w:szCs w:val="16"/>
          <w:lang w:val="en-US"/>
        </w:rPr>
      </w:pPr>
      <w:r w:rsidRPr="00FF5E72">
        <w:rPr>
          <w:rStyle w:val="FootnoteReference"/>
          <w:rFonts w:eastAsia="Times New Roman" w:cs="AvenirMaori-Light"/>
          <w:color w:val="000000"/>
          <w:spacing w:val="-1"/>
          <w:sz w:val="16"/>
          <w:szCs w:val="16"/>
          <w:lang w:val="en-US" w:eastAsia="en-AU"/>
        </w:rPr>
        <w:footnoteRef/>
      </w:r>
      <w:r w:rsidRPr="00FF5E72">
        <w:rPr>
          <w:sz w:val="16"/>
          <w:szCs w:val="16"/>
        </w:rPr>
        <w:t xml:space="preserve"> </w:t>
      </w:r>
      <w:r w:rsidRPr="00FF5E72">
        <w:rPr>
          <w:sz w:val="16"/>
          <w:szCs w:val="16"/>
        </w:rPr>
        <w:tab/>
      </w:r>
      <w:r w:rsidRPr="00FF5E72">
        <w:rPr>
          <w:rFonts w:cs="AvenirMaori-Light"/>
          <w:color w:val="000000"/>
          <w:spacing w:val="-1"/>
          <w:sz w:val="16"/>
          <w:szCs w:val="16"/>
          <w:lang w:val="en-US"/>
        </w:rPr>
        <w:t>This includes transfers made under section 26A of the Public Finance Act 1989.</w:t>
      </w:r>
    </w:p>
  </w:footnote>
  <w:footnote w:id="14">
    <w:p w:rsidR="00EF4C81" w:rsidRPr="00FF5E72" w:rsidRDefault="00EF4C81" w:rsidP="00FF5E72">
      <w:pPr>
        <w:pStyle w:val="footnote0"/>
        <w:tabs>
          <w:tab w:val="left" w:pos="284"/>
        </w:tabs>
        <w:spacing w:after="0" w:line="240" w:lineRule="auto"/>
        <w:ind w:left="284" w:hanging="284"/>
        <w:contextualSpacing/>
        <w:rPr>
          <w:rFonts w:ascii="Arial Mäori" w:hAnsi="Arial Mäori"/>
          <w:sz w:val="16"/>
          <w:szCs w:val="16"/>
        </w:rPr>
      </w:pPr>
      <w:r w:rsidRPr="00FF5E72">
        <w:rPr>
          <w:rStyle w:val="FootnoteReference"/>
          <w:rFonts w:ascii="Arial Mäori" w:hAnsi="Arial Mäori"/>
          <w:sz w:val="16"/>
          <w:szCs w:val="16"/>
        </w:rPr>
        <w:footnoteRef/>
      </w:r>
      <w:r w:rsidRPr="00FF5E72">
        <w:rPr>
          <w:rFonts w:ascii="Arial Mäori" w:hAnsi="Arial Mäori"/>
          <w:sz w:val="16"/>
          <w:szCs w:val="16"/>
        </w:rPr>
        <w:t xml:space="preserve"> </w:t>
      </w:r>
      <w:r w:rsidRPr="00FF5E72">
        <w:rPr>
          <w:rFonts w:ascii="Arial Mäori" w:hAnsi="Arial Mäori"/>
          <w:sz w:val="16"/>
          <w:szCs w:val="16"/>
        </w:rPr>
        <w:tab/>
        <w:t>This relates to Community Services Cards where an entitlement assessment is required, for example when the entitlement is based on income. Some Community Services Cards are issued automatically without requiring an assessment, for example when the recipient commences receiving a benefit.</w:t>
      </w:r>
    </w:p>
  </w:footnote>
  <w:footnote w:id="15">
    <w:p w:rsidR="00EF4C81" w:rsidRPr="001A4081" w:rsidRDefault="00EF4C81" w:rsidP="00FF5E72">
      <w:pPr>
        <w:pStyle w:val="footnote0"/>
        <w:tabs>
          <w:tab w:val="left" w:pos="284"/>
        </w:tabs>
        <w:spacing w:after="0" w:line="240" w:lineRule="auto"/>
        <w:ind w:left="284" w:hanging="284"/>
        <w:contextualSpacing/>
      </w:pPr>
      <w:r w:rsidRPr="00FF5E72">
        <w:rPr>
          <w:rStyle w:val="FootnoteReference"/>
          <w:rFonts w:ascii="Arial Mäori" w:hAnsi="Arial Mäori"/>
          <w:sz w:val="16"/>
          <w:szCs w:val="16"/>
        </w:rPr>
        <w:footnoteRef/>
      </w:r>
      <w:r w:rsidRPr="00FF5E72">
        <w:rPr>
          <w:rFonts w:ascii="Arial Mäori" w:hAnsi="Arial Mäori"/>
          <w:sz w:val="16"/>
          <w:szCs w:val="16"/>
        </w:rPr>
        <w:t xml:space="preserve"> </w:t>
      </w:r>
      <w:r w:rsidRPr="00FF5E72">
        <w:rPr>
          <w:rFonts w:ascii="Arial Mäori" w:hAnsi="Arial Mäori"/>
          <w:sz w:val="16"/>
          <w:szCs w:val="16"/>
        </w:rPr>
        <w:tab/>
        <w:t>The result for 2011/2012 is based on two working days, whereas the standard and result for 2012/2013 is based on five working days.</w:t>
      </w:r>
    </w:p>
  </w:footnote>
  <w:footnote w:id="16">
    <w:p w:rsidR="00EF4C81" w:rsidRPr="00DA570F" w:rsidRDefault="00EF4C81" w:rsidP="00DA570F">
      <w:pPr>
        <w:pStyle w:val="footnote0"/>
        <w:tabs>
          <w:tab w:val="left" w:pos="284"/>
        </w:tabs>
        <w:spacing w:after="0" w:line="240" w:lineRule="auto"/>
        <w:ind w:left="284" w:hanging="284"/>
        <w:rPr>
          <w:rFonts w:ascii="Arial Mäori" w:hAnsi="Arial Mäori"/>
          <w:sz w:val="16"/>
          <w:szCs w:val="16"/>
        </w:rPr>
      </w:pPr>
      <w:r w:rsidRPr="00DA570F">
        <w:rPr>
          <w:rStyle w:val="FootnoteReference"/>
          <w:rFonts w:ascii="Arial Mäori" w:hAnsi="Arial Mäori"/>
          <w:sz w:val="16"/>
          <w:szCs w:val="16"/>
        </w:rPr>
        <w:footnoteRef/>
      </w:r>
      <w:r w:rsidRPr="00DA570F">
        <w:rPr>
          <w:rFonts w:ascii="Arial Mäori" w:hAnsi="Arial Mäori"/>
          <w:sz w:val="16"/>
          <w:szCs w:val="16"/>
        </w:rPr>
        <w:t xml:space="preserve"> </w:t>
      </w:r>
      <w:r w:rsidRPr="00DA570F">
        <w:rPr>
          <w:rFonts w:ascii="Arial Mäori" w:hAnsi="Arial Mäori"/>
          <w:sz w:val="16"/>
          <w:szCs w:val="16"/>
        </w:rPr>
        <w:tab/>
        <w:t xml:space="preserve">Recipients of New Zealand Superannuation and the Veteran's Pension are automatically issued with a </w:t>
      </w:r>
      <w:proofErr w:type="spellStart"/>
      <w:r w:rsidRPr="00DA570F">
        <w:rPr>
          <w:rFonts w:ascii="Arial Mäori" w:hAnsi="Arial Mäori"/>
          <w:sz w:val="16"/>
          <w:szCs w:val="16"/>
        </w:rPr>
        <w:t>SuperGold</w:t>
      </w:r>
      <w:proofErr w:type="spellEnd"/>
      <w:r w:rsidRPr="00DA570F">
        <w:rPr>
          <w:rFonts w:ascii="Arial Mäori" w:hAnsi="Arial Mäori"/>
          <w:sz w:val="16"/>
          <w:szCs w:val="16"/>
        </w:rPr>
        <w:t xml:space="preserve"> Card. However, around 6 per cent of recipients require their entitlement to be assessed as they either elected not to apply for New Zealand Superannuation when they turned 65, or do not meet the New Zealand Superannuation residency requirements.</w:t>
      </w:r>
    </w:p>
  </w:footnote>
  <w:footnote w:id="17">
    <w:p w:rsidR="00EF4C81" w:rsidRPr="001A4081" w:rsidRDefault="00EF4C81" w:rsidP="00DA570F">
      <w:pPr>
        <w:pStyle w:val="footnote0"/>
        <w:tabs>
          <w:tab w:val="left" w:pos="284"/>
        </w:tabs>
        <w:spacing w:after="0" w:line="240" w:lineRule="auto"/>
        <w:ind w:left="284" w:hanging="284"/>
      </w:pPr>
      <w:r w:rsidRPr="00DA570F">
        <w:rPr>
          <w:rStyle w:val="FootnoteReference"/>
          <w:rFonts w:ascii="Arial Mäori" w:hAnsi="Arial Mäori"/>
          <w:sz w:val="16"/>
          <w:szCs w:val="16"/>
        </w:rPr>
        <w:footnoteRef/>
      </w:r>
      <w:r w:rsidRPr="00DA570F">
        <w:rPr>
          <w:rFonts w:ascii="Arial Mäori" w:hAnsi="Arial Mäori"/>
          <w:sz w:val="16"/>
          <w:szCs w:val="16"/>
        </w:rPr>
        <w:t xml:space="preserve"> </w:t>
      </w:r>
      <w:r w:rsidRPr="00DA570F">
        <w:rPr>
          <w:rFonts w:ascii="Arial Mäori" w:hAnsi="Arial Mäori"/>
          <w:sz w:val="16"/>
          <w:szCs w:val="16"/>
        </w:rPr>
        <w:tab/>
        <w:t>The result for 2011/2012 is based on two working days, whereas the standard and result for 2012/2013 is based on five working days.</w:t>
      </w:r>
    </w:p>
  </w:footnote>
  <w:footnote w:id="18">
    <w:p w:rsidR="00EF4C81" w:rsidRPr="00DA570F" w:rsidRDefault="00EF4C81" w:rsidP="00DA570F">
      <w:pPr>
        <w:pStyle w:val="FootnoteText"/>
        <w:tabs>
          <w:tab w:val="left" w:pos="284"/>
        </w:tabs>
        <w:ind w:left="284" w:hanging="284"/>
        <w:rPr>
          <w:rFonts w:cs="AvenirMaori-Light"/>
          <w:color w:val="000000"/>
          <w:spacing w:val="-1"/>
          <w:sz w:val="16"/>
          <w:szCs w:val="16"/>
          <w:lang w:val="en-US"/>
        </w:rPr>
      </w:pPr>
      <w:r w:rsidRPr="00DA570F">
        <w:rPr>
          <w:rStyle w:val="FootnoteReference"/>
          <w:sz w:val="16"/>
          <w:szCs w:val="16"/>
        </w:rPr>
        <w:footnoteRef/>
      </w:r>
      <w:r w:rsidRPr="00DA570F">
        <w:rPr>
          <w:sz w:val="16"/>
          <w:szCs w:val="16"/>
        </w:rPr>
        <w:t xml:space="preserve"> </w:t>
      </w:r>
      <w:r w:rsidRPr="00DA570F">
        <w:rPr>
          <w:sz w:val="16"/>
          <w:szCs w:val="16"/>
        </w:rPr>
        <w:tab/>
      </w:r>
      <w:r w:rsidRPr="00DA570F">
        <w:rPr>
          <w:rFonts w:cs="AvenirMaori-Light"/>
          <w:color w:val="000000"/>
          <w:spacing w:val="-1"/>
          <w:sz w:val="16"/>
          <w:szCs w:val="16"/>
          <w:lang w:val="en-US"/>
        </w:rPr>
        <w:t>This includes transfers made under section 26A of the Public Finance Act 1989.</w:t>
      </w:r>
    </w:p>
  </w:footnote>
  <w:footnote w:id="19">
    <w:p w:rsidR="00EF4C81" w:rsidRPr="00DA570F" w:rsidRDefault="00EF4C81" w:rsidP="00DA570F">
      <w:pPr>
        <w:pStyle w:val="footnote0"/>
        <w:tabs>
          <w:tab w:val="left" w:pos="284"/>
        </w:tabs>
        <w:spacing w:after="0" w:line="240" w:lineRule="auto"/>
        <w:ind w:left="284" w:hanging="284"/>
        <w:rPr>
          <w:rFonts w:ascii="Arial Mäori" w:hAnsi="Arial Mäori"/>
          <w:sz w:val="16"/>
          <w:szCs w:val="16"/>
        </w:rPr>
      </w:pPr>
      <w:r w:rsidRPr="00DA570F">
        <w:rPr>
          <w:rStyle w:val="FootnoteReference"/>
          <w:rFonts w:ascii="Arial Mäori" w:hAnsi="Arial Mäori"/>
          <w:sz w:val="16"/>
          <w:szCs w:val="16"/>
        </w:rPr>
        <w:footnoteRef/>
      </w:r>
      <w:r w:rsidRPr="00DA570F">
        <w:rPr>
          <w:rFonts w:ascii="Arial Mäori" w:hAnsi="Arial Mäori"/>
          <w:sz w:val="16"/>
          <w:szCs w:val="16"/>
        </w:rPr>
        <w:t xml:space="preserve"> </w:t>
      </w:r>
      <w:r w:rsidRPr="00DA570F">
        <w:rPr>
          <w:rFonts w:ascii="Arial Mäori" w:hAnsi="Arial Mäori"/>
          <w:sz w:val="16"/>
          <w:szCs w:val="16"/>
        </w:rPr>
        <w:tab/>
        <w:t xml:space="preserve">Students who say they are 'satisfied' or 'very satisfied' with </w:t>
      </w:r>
      <w:proofErr w:type="spellStart"/>
      <w:r w:rsidRPr="00DA570F">
        <w:rPr>
          <w:rFonts w:ascii="Arial Mäori" w:hAnsi="Arial Mäori"/>
          <w:sz w:val="16"/>
          <w:szCs w:val="16"/>
        </w:rPr>
        <w:t>StudyLink's</w:t>
      </w:r>
      <w:proofErr w:type="spellEnd"/>
      <w:r w:rsidRPr="00DA570F">
        <w:rPr>
          <w:rFonts w:ascii="Arial Mäori" w:hAnsi="Arial Mäori"/>
          <w:sz w:val="16"/>
          <w:szCs w:val="16"/>
        </w:rPr>
        <w:t xml:space="preserve"> service on a scale of 'very dissatisfied' , 'dis</w:t>
      </w:r>
      <w:r>
        <w:rPr>
          <w:rFonts w:ascii="Arial Mäori" w:hAnsi="Arial Mäori"/>
          <w:sz w:val="16"/>
          <w:szCs w:val="16"/>
        </w:rPr>
        <w:t>satisfied</w:t>
      </w:r>
      <w:r w:rsidRPr="00DA570F">
        <w:rPr>
          <w:rFonts w:ascii="Arial Mäori" w:hAnsi="Arial Mäori"/>
          <w:sz w:val="16"/>
          <w:szCs w:val="16"/>
        </w:rPr>
        <w:t>', 'neither/nor', 'satisfied' or 'very satisfied'.</w:t>
      </w:r>
    </w:p>
  </w:footnote>
  <w:footnote w:id="20">
    <w:p w:rsidR="00EF4C81" w:rsidRPr="00DA570F" w:rsidRDefault="00EF4C81" w:rsidP="00DA570F">
      <w:pPr>
        <w:pStyle w:val="footnote0"/>
        <w:tabs>
          <w:tab w:val="left" w:pos="284"/>
        </w:tabs>
        <w:spacing w:after="0" w:line="240" w:lineRule="auto"/>
        <w:ind w:left="284" w:hanging="284"/>
        <w:rPr>
          <w:rFonts w:ascii="Arial Mäori" w:hAnsi="Arial Mäori"/>
          <w:sz w:val="16"/>
          <w:szCs w:val="16"/>
        </w:rPr>
      </w:pPr>
      <w:r w:rsidRPr="00DA570F">
        <w:rPr>
          <w:rStyle w:val="FootnoteReference"/>
          <w:rFonts w:ascii="Arial Mäori" w:hAnsi="Arial Mäori"/>
          <w:sz w:val="16"/>
          <w:szCs w:val="16"/>
        </w:rPr>
        <w:footnoteRef/>
      </w:r>
      <w:r w:rsidRPr="00DA570F">
        <w:rPr>
          <w:rFonts w:ascii="Arial Mäori" w:hAnsi="Arial Mäori"/>
          <w:sz w:val="16"/>
          <w:szCs w:val="16"/>
        </w:rPr>
        <w:t xml:space="preserve"> </w:t>
      </w:r>
      <w:r w:rsidRPr="00DA570F">
        <w:rPr>
          <w:rFonts w:ascii="Arial Mäori" w:hAnsi="Arial Mäori"/>
          <w:sz w:val="16"/>
          <w:szCs w:val="16"/>
        </w:rPr>
        <w:tab/>
        <w:t>Within the previous 14 days.</w:t>
      </w:r>
    </w:p>
  </w:footnote>
  <w:footnote w:id="21">
    <w:p w:rsidR="00EF4C81" w:rsidRPr="001A4081" w:rsidRDefault="00EF4C81" w:rsidP="00DA570F">
      <w:pPr>
        <w:pStyle w:val="footnote0"/>
        <w:tabs>
          <w:tab w:val="left" w:pos="284"/>
        </w:tabs>
        <w:spacing w:after="0" w:line="240" w:lineRule="auto"/>
        <w:ind w:left="284" w:hanging="284"/>
      </w:pPr>
      <w:r w:rsidRPr="00DA570F">
        <w:rPr>
          <w:rStyle w:val="FootnoteReference"/>
          <w:rFonts w:ascii="Arial Mäori" w:hAnsi="Arial Mäori"/>
          <w:sz w:val="16"/>
          <w:szCs w:val="16"/>
        </w:rPr>
        <w:footnoteRef/>
      </w:r>
      <w:r w:rsidRPr="00DA570F">
        <w:rPr>
          <w:rFonts w:ascii="Arial Mäori" w:hAnsi="Arial Mäori"/>
          <w:sz w:val="16"/>
          <w:szCs w:val="16"/>
        </w:rPr>
        <w:t xml:space="preserve"> </w:t>
      </w:r>
      <w:r w:rsidRPr="00DA570F">
        <w:rPr>
          <w:rFonts w:ascii="Arial Mäori" w:hAnsi="Arial Mäori"/>
          <w:sz w:val="16"/>
          <w:szCs w:val="16"/>
        </w:rPr>
        <w:tab/>
      </w:r>
      <w:proofErr w:type="spellStart"/>
      <w:r w:rsidRPr="00DA570F">
        <w:rPr>
          <w:rFonts w:ascii="Arial Mäori" w:hAnsi="Arial Mäori"/>
          <w:sz w:val="16"/>
          <w:szCs w:val="16"/>
        </w:rPr>
        <w:t>Sussed</w:t>
      </w:r>
      <w:proofErr w:type="spellEnd"/>
      <w:r w:rsidRPr="00DA570F">
        <w:rPr>
          <w:rFonts w:ascii="Arial Mäori" w:hAnsi="Arial Mäori"/>
          <w:sz w:val="16"/>
          <w:szCs w:val="16"/>
        </w:rPr>
        <w:t xml:space="preserve"> is </w:t>
      </w:r>
      <w:proofErr w:type="spellStart"/>
      <w:r w:rsidRPr="00DA570F">
        <w:rPr>
          <w:rFonts w:ascii="Arial Mäori" w:hAnsi="Arial Mäori"/>
          <w:sz w:val="16"/>
          <w:szCs w:val="16"/>
        </w:rPr>
        <w:t>StudyLink's</w:t>
      </w:r>
      <w:proofErr w:type="spellEnd"/>
      <w:r w:rsidRPr="00DA570F">
        <w:rPr>
          <w:rFonts w:ascii="Arial Mäori" w:hAnsi="Arial Mäori"/>
          <w:sz w:val="16"/>
          <w:szCs w:val="16"/>
        </w:rPr>
        <w:t xml:space="preserve"> education </w:t>
      </w:r>
      <w:proofErr w:type="spellStart"/>
      <w:r w:rsidRPr="00DA570F">
        <w:rPr>
          <w:rFonts w:ascii="Arial Mäori" w:hAnsi="Arial Mäori"/>
          <w:sz w:val="16"/>
          <w:szCs w:val="16"/>
        </w:rPr>
        <w:t>programme</w:t>
      </w:r>
      <w:proofErr w:type="spellEnd"/>
      <w:r w:rsidRPr="00DA570F">
        <w:rPr>
          <w:rFonts w:ascii="Arial Mäori" w:hAnsi="Arial Mäori"/>
          <w:sz w:val="16"/>
          <w:szCs w:val="16"/>
        </w:rPr>
        <w:t xml:space="preserve"> for secondary school students. It is an interactive presenter-led session that explains and guides prospective students on what they need to consider when going on to further study. An online </w:t>
      </w:r>
      <w:proofErr w:type="spellStart"/>
      <w:r w:rsidRPr="00DA570F">
        <w:rPr>
          <w:rFonts w:ascii="Arial Mäori" w:hAnsi="Arial Mäori"/>
          <w:sz w:val="16"/>
          <w:szCs w:val="16"/>
        </w:rPr>
        <w:t>Sussed</w:t>
      </w:r>
      <w:proofErr w:type="spellEnd"/>
      <w:r w:rsidRPr="00DA570F">
        <w:rPr>
          <w:rFonts w:ascii="Arial Mäori" w:hAnsi="Arial Mäori"/>
          <w:sz w:val="16"/>
          <w:szCs w:val="16"/>
        </w:rPr>
        <w:t xml:space="preserve"> Reality Check is also available on the </w:t>
      </w:r>
      <w:proofErr w:type="spellStart"/>
      <w:r w:rsidRPr="00DA570F">
        <w:rPr>
          <w:rFonts w:ascii="Arial Mäori" w:hAnsi="Arial Mäori"/>
          <w:sz w:val="16"/>
          <w:szCs w:val="16"/>
        </w:rPr>
        <w:t>StudyLink</w:t>
      </w:r>
      <w:proofErr w:type="spellEnd"/>
      <w:r w:rsidRPr="00DA570F">
        <w:rPr>
          <w:rFonts w:ascii="Arial Mäori" w:hAnsi="Arial Mäori"/>
          <w:sz w:val="16"/>
          <w:szCs w:val="16"/>
        </w:rPr>
        <w:t xml:space="preserve"> website for anyone considering tertiary study.</w:t>
      </w:r>
    </w:p>
  </w:footnote>
  <w:footnote w:id="22">
    <w:p w:rsidR="00EF4C81" w:rsidRPr="00DA570F" w:rsidRDefault="00EF4C81" w:rsidP="00DA570F">
      <w:pPr>
        <w:pStyle w:val="FootnoteText"/>
        <w:tabs>
          <w:tab w:val="left" w:pos="284"/>
        </w:tabs>
        <w:ind w:left="284" w:hanging="284"/>
        <w:rPr>
          <w:rFonts w:cs="AvenirMaori-Light"/>
          <w:color w:val="000000"/>
          <w:spacing w:val="-1"/>
          <w:sz w:val="16"/>
          <w:szCs w:val="16"/>
          <w:lang w:val="en-US"/>
        </w:rPr>
      </w:pPr>
      <w:r w:rsidRPr="00DA570F">
        <w:rPr>
          <w:rStyle w:val="FootnoteReference"/>
          <w:sz w:val="16"/>
          <w:szCs w:val="16"/>
        </w:rPr>
        <w:footnoteRef/>
      </w:r>
      <w:r w:rsidRPr="00DA570F">
        <w:rPr>
          <w:sz w:val="16"/>
          <w:szCs w:val="16"/>
        </w:rPr>
        <w:t xml:space="preserve"> </w:t>
      </w:r>
      <w:r>
        <w:rPr>
          <w:sz w:val="16"/>
          <w:szCs w:val="16"/>
        </w:rPr>
        <w:tab/>
      </w:r>
      <w:r w:rsidRPr="00DA570F">
        <w:rPr>
          <w:rFonts w:cs="AvenirMaori-Light"/>
          <w:color w:val="000000"/>
          <w:spacing w:val="-1"/>
          <w:sz w:val="16"/>
          <w:szCs w:val="16"/>
          <w:lang w:val="en-US"/>
        </w:rPr>
        <w:t>This includes transfers made under section 26A of the Public Finance Act 1989.</w:t>
      </w:r>
    </w:p>
  </w:footnote>
  <w:footnote w:id="23">
    <w:p w:rsidR="00EF4C81" w:rsidRPr="00DA570F" w:rsidRDefault="00EF4C81" w:rsidP="00DA570F">
      <w:pPr>
        <w:pStyle w:val="footnote0"/>
        <w:tabs>
          <w:tab w:val="left" w:pos="284"/>
        </w:tabs>
        <w:spacing w:after="0" w:line="240" w:lineRule="auto"/>
        <w:ind w:left="284" w:hanging="284"/>
        <w:rPr>
          <w:rFonts w:ascii="Arial Mäori" w:hAnsi="Arial Mäori"/>
          <w:sz w:val="16"/>
          <w:szCs w:val="16"/>
        </w:rPr>
      </w:pPr>
      <w:r w:rsidRPr="00DA570F">
        <w:rPr>
          <w:rStyle w:val="FootnoteReference"/>
          <w:rFonts w:ascii="Arial Mäori" w:hAnsi="Arial Mäori"/>
          <w:sz w:val="16"/>
          <w:szCs w:val="16"/>
        </w:rPr>
        <w:footnoteRef/>
      </w:r>
      <w:r w:rsidRPr="00DA570F">
        <w:rPr>
          <w:rFonts w:ascii="Arial Mäori" w:hAnsi="Arial Mäori"/>
          <w:sz w:val="16"/>
          <w:szCs w:val="16"/>
        </w:rPr>
        <w:t xml:space="preserve"> </w:t>
      </w:r>
      <w:r w:rsidRPr="00DA570F">
        <w:rPr>
          <w:rFonts w:ascii="Arial Mäori" w:hAnsi="Arial Mäori"/>
          <w:sz w:val="16"/>
          <w:szCs w:val="16"/>
        </w:rPr>
        <w:tab/>
        <w:t xml:space="preserve">Students who say they are 'satisfied' or 'very satisfied' with </w:t>
      </w:r>
      <w:proofErr w:type="spellStart"/>
      <w:r w:rsidRPr="00DA570F">
        <w:rPr>
          <w:rFonts w:ascii="Arial Mäori" w:hAnsi="Arial Mäori"/>
          <w:sz w:val="16"/>
          <w:szCs w:val="16"/>
        </w:rPr>
        <w:t>StudyLink's</w:t>
      </w:r>
      <w:proofErr w:type="spellEnd"/>
      <w:r w:rsidRPr="00DA570F">
        <w:rPr>
          <w:rFonts w:ascii="Arial Mäori" w:hAnsi="Arial Mäori"/>
          <w:sz w:val="16"/>
          <w:szCs w:val="16"/>
        </w:rPr>
        <w:t xml:space="preserve"> service on a scale of 'very dissatisfied' , '</w:t>
      </w:r>
      <w:r w:rsidRPr="00F25CD3">
        <w:rPr>
          <w:rFonts w:ascii="Arial Mäori" w:hAnsi="Arial Mäori"/>
          <w:sz w:val="16"/>
          <w:szCs w:val="16"/>
        </w:rPr>
        <w:t xml:space="preserve"> </w:t>
      </w:r>
      <w:r w:rsidRPr="00DA570F">
        <w:rPr>
          <w:rFonts w:ascii="Arial Mäori" w:hAnsi="Arial Mäori"/>
          <w:sz w:val="16"/>
          <w:szCs w:val="16"/>
        </w:rPr>
        <w:t>dissatisfied ', 'neither/nor', 'satisfied' or 'very satisfied'.</w:t>
      </w:r>
    </w:p>
  </w:footnote>
  <w:footnote w:id="24">
    <w:p w:rsidR="00EF4C81" w:rsidRPr="001A4081" w:rsidRDefault="00EF4C81" w:rsidP="00DA570F">
      <w:pPr>
        <w:pStyle w:val="footnote0"/>
        <w:tabs>
          <w:tab w:val="left" w:pos="284"/>
        </w:tabs>
        <w:spacing w:after="0" w:line="240" w:lineRule="auto"/>
        <w:ind w:left="284" w:hanging="284"/>
      </w:pPr>
      <w:r w:rsidRPr="00DA570F">
        <w:rPr>
          <w:rStyle w:val="FootnoteReference"/>
          <w:rFonts w:ascii="Arial Mäori" w:hAnsi="Arial Mäori"/>
          <w:sz w:val="16"/>
          <w:szCs w:val="16"/>
        </w:rPr>
        <w:footnoteRef/>
      </w:r>
      <w:r w:rsidRPr="00DA570F">
        <w:rPr>
          <w:rFonts w:ascii="Arial Mäori" w:hAnsi="Arial Mäori"/>
          <w:sz w:val="16"/>
          <w:szCs w:val="16"/>
        </w:rPr>
        <w:t xml:space="preserve"> </w:t>
      </w:r>
      <w:r w:rsidRPr="00DA570F">
        <w:rPr>
          <w:rFonts w:ascii="Arial Mäori" w:hAnsi="Arial Mäori"/>
          <w:sz w:val="16"/>
          <w:szCs w:val="16"/>
        </w:rPr>
        <w:tab/>
        <w:t>Within the previous 14 days.</w:t>
      </w:r>
    </w:p>
  </w:footnote>
  <w:footnote w:id="25">
    <w:p w:rsidR="00EF4C81" w:rsidRPr="00CE5EBF" w:rsidRDefault="00EF4C81" w:rsidP="009D38E8">
      <w:pPr>
        <w:pStyle w:val="footnote0"/>
        <w:rPr>
          <w:rFonts w:ascii="Arial Mäori" w:hAnsi="Arial Mäori"/>
          <w:sz w:val="16"/>
          <w:szCs w:val="16"/>
        </w:rPr>
      </w:pPr>
      <w:r w:rsidRPr="00CE5EBF">
        <w:rPr>
          <w:rStyle w:val="FootnoteReference"/>
          <w:rFonts w:ascii="Arial Mäori" w:hAnsi="Arial Mäori"/>
          <w:sz w:val="16"/>
          <w:szCs w:val="16"/>
        </w:rPr>
        <w:footnoteRef/>
      </w:r>
      <w:r w:rsidRPr="00CE5EBF">
        <w:rPr>
          <w:rFonts w:ascii="Arial Mäori" w:hAnsi="Arial Mäori"/>
          <w:sz w:val="16"/>
          <w:szCs w:val="16"/>
        </w:rPr>
        <w:t xml:space="preserve"> </w:t>
      </w:r>
      <w:r w:rsidRPr="00CE5EBF">
        <w:rPr>
          <w:rFonts w:ascii="Arial Mäori" w:hAnsi="Arial Mäori"/>
          <w:sz w:val="16"/>
          <w:szCs w:val="16"/>
        </w:rPr>
        <w:tab/>
      </w:r>
      <w:proofErr w:type="spellStart"/>
      <w:r w:rsidRPr="00CE5EBF">
        <w:rPr>
          <w:rFonts w:ascii="Arial Mäori" w:hAnsi="Arial Mäori"/>
          <w:sz w:val="16"/>
          <w:szCs w:val="16"/>
        </w:rPr>
        <w:t>Sussed</w:t>
      </w:r>
      <w:proofErr w:type="spellEnd"/>
      <w:r w:rsidRPr="00CE5EBF">
        <w:rPr>
          <w:rFonts w:ascii="Arial Mäori" w:hAnsi="Arial Mäori"/>
          <w:sz w:val="16"/>
          <w:szCs w:val="16"/>
        </w:rPr>
        <w:t xml:space="preserve"> is </w:t>
      </w:r>
      <w:proofErr w:type="spellStart"/>
      <w:r w:rsidRPr="00CE5EBF">
        <w:rPr>
          <w:rFonts w:ascii="Arial Mäori" w:hAnsi="Arial Mäori"/>
          <w:sz w:val="16"/>
          <w:szCs w:val="16"/>
        </w:rPr>
        <w:t>StudyLink's</w:t>
      </w:r>
      <w:proofErr w:type="spellEnd"/>
      <w:r w:rsidRPr="00CE5EBF">
        <w:rPr>
          <w:rFonts w:ascii="Arial Mäori" w:hAnsi="Arial Mäori"/>
          <w:sz w:val="16"/>
          <w:szCs w:val="16"/>
        </w:rPr>
        <w:t xml:space="preserve"> education </w:t>
      </w:r>
      <w:proofErr w:type="spellStart"/>
      <w:r w:rsidRPr="00CE5EBF">
        <w:rPr>
          <w:rFonts w:ascii="Arial Mäori" w:hAnsi="Arial Mäori"/>
          <w:sz w:val="16"/>
          <w:szCs w:val="16"/>
        </w:rPr>
        <w:t>programme</w:t>
      </w:r>
      <w:proofErr w:type="spellEnd"/>
      <w:r w:rsidRPr="00CE5EBF">
        <w:rPr>
          <w:rFonts w:ascii="Arial Mäori" w:hAnsi="Arial Mäori"/>
          <w:sz w:val="16"/>
          <w:szCs w:val="16"/>
        </w:rPr>
        <w:t xml:space="preserve"> for secondary school students. It is an interactive presenter-led session that explains and guides prospective students on what they need to consider when going on to further study. An online </w:t>
      </w:r>
      <w:proofErr w:type="spellStart"/>
      <w:r w:rsidRPr="00CE5EBF">
        <w:rPr>
          <w:rFonts w:ascii="Arial Mäori" w:hAnsi="Arial Mäori"/>
          <w:sz w:val="16"/>
          <w:szCs w:val="16"/>
        </w:rPr>
        <w:t>Sussed</w:t>
      </w:r>
      <w:proofErr w:type="spellEnd"/>
      <w:r w:rsidRPr="00CE5EBF">
        <w:rPr>
          <w:rFonts w:ascii="Arial Mäori" w:hAnsi="Arial Mäori"/>
          <w:sz w:val="16"/>
          <w:szCs w:val="16"/>
        </w:rPr>
        <w:t xml:space="preserve"> Reality Check is also available on the </w:t>
      </w:r>
      <w:proofErr w:type="spellStart"/>
      <w:r w:rsidRPr="00CE5EBF">
        <w:rPr>
          <w:rFonts w:ascii="Arial Mäori" w:hAnsi="Arial Mäori"/>
          <w:sz w:val="16"/>
          <w:szCs w:val="16"/>
        </w:rPr>
        <w:t>StudyLink</w:t>
      </w:r>
      <w:proofErr w:type="spellEnd"/>
      <w:r w:rsidRPr="00CE5EBF">
        <w:rPr>
          <w:rFonts w:ascii="Arial Mäori" w:hAnsi="Arial Mäori"/>
          <w:sz w:val="16"/>
          <w:szCs w:val="16"/>
        </w:rPr>
        <w:t xml:space="preserve"> website for anyone considering tertiary study.</w:t>
      </w:r>
    </w:p>
  </w:footnote>
  <w:footnote w:id="26">
    <w:p w:rsidR="00EF4C81" w:rsidRPr="00CE5EBF" w:rsidRDefault="00EF4C81" w:rsidP="009D38E8">
      <w:pPr>
        <w:pStyle w:val="footnote0"/>
        <w:rPr>
          <w:rFonts w:ascii="Arial Mäori" w:hAnsi="Arial Mäori"/>
          <w:sz w:val="16"/>
          <w:szCs w:val="16"/>
        </w:rPr>
      </w:pPr>
      <w:r w:rsidRPr="00CE5EBF">
        <w:rPr>
          <w:rStyle w:val="FootnoteReference"/>
          <w:rFonts w:ascii="Arial Mäori" w:hAnsi="Arial Mäori"/>
          <w:sz w:val="16"/>
          <w:szCs w:val="16"/>
        </w:rPr>
        <w:footnoteRef/>
      </w:r>
      <w:r w:rsidRPr="00CE5EBF">
        <w:rPr>
          <w:rFonts w:ascii="Arial Mäori" w:hAnsi="Arial Mäori"/>
          <w:sz w:val="16"/>
          <w:szCs w:val="16"/>
        </w:rPr>
        <w:t xml:space="preserve"> </w:t>
      </w:r>
      <w:r w:rsidRPr="00CE5EBF">
        <w:rPr>
          <w:rFonts w:ascii="Arial Mäori" w:hAnsi="Arial Mäori"/>
          <w:sz w:val="16"/>
          <w:szCs w:val="16"/>
        </w:rPr>
        <w:tab/>
      </w:r>
      <w:r>
        <w:rPr>
          <w:rFonts w:ascii="Arial Mäori" w:hAnsi="Arial Mäori"/>
          <w:sz w:val="16"/>
          <w:szCs w:val="16"/>
        </w:rPr>
        <w:t>‘</w:t>
      </w:r>
      <w:r w:rsidRPr="00CE5EBF">
        <w:rPr>
          <w:rFonts w:ascii="Arial Mäori" w:hAnsi="Arial Mäori"/>
          <w:sz w:val="16"/>
          <w:szCs w:val="16"/>
        </w:rPr>
        <w:t>Standard met</w:t>
      </w:r>
      <w:r>
        <w:rPr>
          <w:rFonts w:ascii="Arial Mäori" w:hAnsi="Arial Mäori"/>
          <w:sz w:val="16"/>
          <w:szCs w:val="16"/>
        </w:rPr>
        <w:t>’</w:t>
      </w:r>
      <w:r w:rsidRPr="00CE5EBF">
        <w:rPr>
          <w:rFonts w:ascii="Arial Mäori" w:hAnsi="Arial Mäori"/>
          <w:sz w:val="16"/>
          <w:szCs w:val="16"/>
        </w:rPr>
        <w:t xml:space="preserve"> means that all appointments identified in the report to Cabinet at the start of each calendar year have been </w:t>
      </w:r>
      <w:proofErr w:type="spellStart"/>
      <w:r w:rsidRPr="00CE5EBF">
        <w:rPr>
          <w:rFonts w:ascii="Arial Mäori" w:hAnsi="Arial Mäori"/>
          <w:sz w:val="16"/>
          <w:szCs w:val="16"/>
        </w:rPr>
        <w:t>actioned</w:t>
      </w:r>
      <w:proofErr w:type="spellEnd"/>
      <w:r w:rsidRPr="00CE5EBF">
        <w:rPr>
          <w:rFonts w:ascii="Arial Mäori" w:hAnsi="Arial Mäori"/>
          <w:sz w:val="16"/>
          <w:szCs w:val="16"/>
        </w:rPr>
        <w:t xml:space="preserve"> as agreed with the Minister.</w:t>
      </w:r>
    </w:p>
  </w:footnote>
  <w:footnote w:id="27">
    <w:p w:rsidR="00EF4C81" w:rsidRPr="00CE5EBF" w:rsidRDefault="00EF4C81" w:rsidP="009D38E8">
      <w:pPr>
        <w:pStyle w:val="footnote0"/>
        <w:rPr>
          <w:rFonts w:ascii="Arial Mäori" w:hAnsi="Arial Mäori"/>
          <w:sz w:val="16"/>
          <w:szCs w:val="16"/>
        </w:rPr>
      </w:pPr>
      <w:r w:rsidRPr="00CE5EBF">
        <w:rPr>
          <w:rStyle w:val="FootnoteReference"/>
          <w:rFonts w:ascii="Arial Mäori" w:hAnsi="Arial Mäori"/>
          <w:sz w:val="16"/>
          <w:szCs w:val="16"/>
        </w:rPr>
        <w:footnoteRef/>
      </w:r>
      <w:r w:rsidRPr="00CE5EBF">
        <w:rPr>
          <w:rFonts w:ascii="Arial Mäori" w:hAnsi="Arial Mäori"/>
          <w:sz w:val="16"/>
          <w:szCs w:val="16"/>
        </w:rPr>
        <w:t xml:space="preserve"> </w:t>
      </w:r>
      <w:r w:rsidRPr="00CE5EBF">
        <w:rPr>
          <w:rFonts w:ascii="Arial Mäori" w:hAnsi="Arial Mäori"/>
          <w:sz w:val="16"/>
          <w:szCs w:val="16"/>
        </w:rPr>
        <w:tab/>
        <w:t>'Output agreement' also refers to memoranda of understanding where funding is not paid via Vote Social Development.</w:t>
      </w:r>
    </w:p>
  </w:footnote>
  <w:footnote w:id="28">
    <w:p w:rsidR="00EF4C81" w:rsidRPr="00CE5EBF" w:rsidRDefault="00EF4C81" w:rsidP="00CE5EBF">
      <w:pPr>
        <w:pStyle w:val="FootnoteText"/>
        <w:tabs>
          <w:tab w:val="left" w:pos="284"/>
        </w:tabs>
        <w:ind w:left="284" w:hanging="284"/>
        <w:rPr>
          <w:rFonts w:cs="AvenirMaori-Light"/>
          <w:color w:val="000000"/>
          <w:spacing w:val="-1"/>
          <w:sz w:val="16"/>
          <w:szCs w:val="16"/>
          <w:lang w:val="en-US"/>
        </w:rPr>
      </w:pPr>
      <w:r w:rsidRPr="00CE5EBF">
        <w:rPr>
          <w:rStyle w:val="FootnoteReference"/>
          <w:sz w:val="16"/>
          <w:szCs w:val="16"/>
        </w:rPr>
        <w:footnoteRef/>
      </w:r>
      <w:r w:rsidRPr="00CE5EBF">
        <w:rPr>
          <w:sz w:val="16"/>
          <w:szCs w:val="16"/>
        </w:rPr>
        <w:t xml:space="preserve"> </w:t>
      </w:r>
      <w:r>
        <w:rPr>
          <w:sz w:val="16"/>
          <w:szCs w:val="16"/>
        </w:rPr>
        <w:tab/>
      </w:r>
      <w:proofErr w:type="gramStart"/>
      <w:r w:rsidRPr="00CE5EBF">
        <w:rPr>
          <w:rFonts w:cs="AvenirMaori-Light"/>
          <w:color w:val="000000"/>
          <w:spacing w:val="-1"/>
          <w:sz w:val="16"/>
          <w:szCs w:val="16"/>
          <w:lang w:val="en-US"/>
        </w:rPr>
        <w:t xml:space="preserve">Comprises 67 contracted workshops with professionals and service providers and 18 additional workshops to help implement the Children’s Teams in </w:t>
      </w:r>
      <w:proofErr w:type="spellStart"/>
      <w:r w:rsidRPr="00CE5EBF">
        <w:rPr>
          <w:rFonts w:cs="AvenirMaori-Light"/>
          <w:color w:val="000000"/>
          <w:spacing w:val="-1"/>
          <w:sz w:val="16"/>
          <w:szCs w:val="16"/>
          <w:lang w:val="en-US"/>
        </w:rPr>
        <w:t>Whangarei</w:t>
      </w:r>
      <w:proofErr w:type="spellEnd"/>
      <w:r w:rsidRPr="00CE5EBF">
        <w:rPr>
          <w:rFonts w:cs="AvenirMaori-Light"/>
          <w:color w:val="000000"/>
          <w:spacing w:val="-1"/>
          <w:sz w:val="16"/>
          <w:szCs w:val="16"/>
          <w:lang w:val="en-US"/>
        </w:rPr>
        <w:t xml:space="preserve"> and </w:t>
      </w:r>
      <w:proofErr w:type="spellStart"/>
      <w:r w:rsidRPr="00CE5EBF">
        <w:rPr>
          <w:rFonts w:cs="AvenirMaori-Light"/>
          <w:color w:val="000000"/>
          <w:spacing w:val="-1"/>
          <w:sz w:val="16"/>
          <w:szCs w:val="16"/>
          <w:lang w:val="en-US"/>
        </w:rPr>
        <w:t>Rotorua</w:t>
      </w:r>
      <w:proofErr w:type="spellEnd"/>
      <w:r w:rsidRPr="00CE5EBF">
        <w:rPr>
          <w:rFonts w:cs="AvenirMaori-Light"/>
          <w:color w:val="000000"/>
          <w:spacing w:val="-1"/>
          <w:sz w:val="16"/>
          <w:szCs w:val="16"/>
          <w:lang w:val="en-US"/>
        </w:rPr>
        <w:t>.</w:t>
      </w:r>
      <w:proofErr w:type="gramEnd"/>
    </w:p>
  </w:footnote>
  <w:footnote w:id="29">
    <w:p w:rsidR="00EF4C81" w:rsidRPr="00EF7C41" w:rsidRDefault="00EF4C81" w:rsidP="00CE5EBF">
      <w:pPr>
        <w:pStyle w:val="FootnoteText"/>
        <w:tabs>
          <w:tab w:val="left" w:pos="284"/>
        </w:tabs>
        <w:ind w:left="284" w:hanging="284"/>
        <w:rPr>
          <w:rFonts w:ascii="AvenirMaori-Light" w:hAnsi="AvenirMaori-Light" w:cs="AvenirMaori-Light"/>
          <w:color w:val="000000"/>
          <w:spacing w:val="-1"/>
          <w:sz w:val="13"/>
          <w:szCs w:val="13"/>
          <w:lang w:val="en-US"/>
        </w:rPr>
      </w:pPr>
      <w:r w:rsidRPr="00CE5EBF">
        <w:rPr>
          <w:rStyle w:val="FootnoteReference"/>
          <w:sz w:val="16"/>
          <w:szCs w:val="16"/>
        </w:rPr>
        <w:footnoteRef/>
      </w:r>
      <w:r w:rsidRPr="00CE5EBF">
        <w:rPr>
          <w:sz w:val="16"/>
          <w:szCs w:val="16"/>
        </w:rPr>
        <w:t xml:space="preserve"> </w:t>
      </w:r>
      <w:r>
        <w:rPr>
          <w:sz w:val="16"/>
          <w:szCs w:val="16"/>
        </w:rPr>
        <w:tab/>
      </w:r>
      <w:r w:rsidRPr="00CE5EBF">
        <w:rPr>
          <w:rFonts w:cs="AvenirMaori-Light"/>
          <w:color w:val="000000"/>
          <w:spacing w:val="-1"/>
          <w:sz w:val="16"/>
          <w:szCs w:val="16"/>
          <w:lang w:val="en-US"/>
        </w:rPr>
        <w:t>This result refers to the evaluation of the 67 contracted one-day child protection workshops with professionals.</w:t>
      </w:r>
    </w:p>
  </w:footnote>
  <w:footnote w:id="30">
    <w:p w:rsidR="00EF4C81" w:rsidRPr="00CE5EBF" w:rsidRDefault="00EF4C81" w:rsidP="009D38E8">
      <w:pPr>
        <w:pStyle w:val="footnote0"/>
        <w:rPr>
          <w:rFonts w:ascii="Arial Mäori" w:hAnsi="Arial Mäori"/>
          <w:sz w:val="16"/>
          <w:szCs w:val="16"/>
        </w:rPr>
      </w:pPr>
      <w:r w:rsidRPr="00CE5EBF">
        <w:rPr>
          <w:rStyle w:val="FootnoteReference"/>
          <w:rFonts w:ascii="Arial Mäori" w:hAnsi="Arial Mäori"/>
          <w:sz w:val="16"/>
          <w:szCs w:val="16"/>
        </w:rPr>
        <w:footnoteRef/>
      </w:r>
      <w:r w:rsidRPr="00CE5EBF">
        <w:rPr>
          <w:rFonts w:ascii="Arial Mäori" w:hAnsi="Arial Mäori"/>
          <w:sz w:val="16"/>
          <w:szCs w:val="16"/>
        </w:rPr>
        <w:t xml:space="preserve"> </w:t>
      </w:r>
      <w:r w:rsidRPr="00CE5EBF">
        <w:rPr>
          <w:rFonts w:ascii="Arial Mäori" w:hAnsi="Arial Mäori"/>
          <w:sz w:val="16"/>
          <w:szCs w:val="16"/>
        </w:rPr>
        <w:tab/>
        <w:t>The report is based on 50–</w:t>
      </w:r>
      <w:r>
        <w:rPr>
          <w:rFonts w:ascii="Arial Mäori" w:hAnsi="Arial Mäori"/>
          <w:sz w:val="16"/>
          <w:szCs w:val="16"/>
        </w:rPr>
        <w:t>1</w:t>
      </w:r>
      <w:r w:rsidRPr="00CE5EBF">
        <w:rPr>
          <w:rFonts w:ascii="Arial Mäori" w:hAnsi="Arial Mäori"/>
          <w:sz w:val="16"/>
          <w:szCs w:val="16"/>
        </w:rPr>
        <w:t>00 interviews with disabled people.</w:t>
      </w:r>
    </w:p>
  </w:footnote>
  <w:footnote w:id="31">
    <w:p w:rsidR="00EF4C81" w:rsidRPr="00CE5EBF" w:rsidRDefault="00EF4C81" w:rsidP="00CE5EBF">
      <w:pPr>
        <w:pStyle w:val="footnote0"/>
        <w:tabs>
          <w:tab w:val="left" w:pos="284"/>
        </w:tabs>
        <w:spacing w:after="0" w:line="240" w:lineRule="auto"/>
        <w:ind w:left="284" w:hanging="284"/>
        <w:rPr>
          <w:rFonts w:ascii="Arial Mäori" w:hAnsi="Arial Mäori"/>
          <w:sz w:val="16"/>
          <w:szCs w:val="16"/>
        </w:rPr>
      </w:pPr>
      <w:r w:rsidRPr="00CE5EBF">
        <w:rPr>
          <w:rStyle w:val="FootnoteReference"/>
          <w:rFonts w:ascii="Arial Mäori" w:hAnsi="Arial Mäori"/>
          <w:sz w:val="16"/>
          <w:szCs w:val="16"/>
        </w:rPr>
        <w:footnoteRef/>
      </w:r>
      <w:r w:rsidRPr="00CE5EBF">
        <w:rPr>
          <w:rFonts w:ascii="Arial Mäori" w:hAnsi="Arial Mäori"/>
          <w:sz w:val="16"/>
          <w:szCs w:val="16"/>
        </w:rPr>
        <w:t xml:space="preserve"> </w:t>
      </w:r>
      <w:r w:rsidRPr="00CE5EBF">
        <w:rPr>
          <w:rFonts w:ascii="Arial Mäori" w:hAnsi="Arial Mäori"/>
          <w:sz w:val="16"/>
          <w:szCs w:val="16"/>
        </w:rPr>
        <w:tab/>
        <w:t xml:space="preserve">This report </w:t>
      </w:r>
      <w:r>
        <w:rPr>
          <w:rFonts w:ascii="Arial Mäori" w:hAnsi="Arial Mäori"/>
          <w:sz w:val="16"/>
          <w:szCs w:val="16"/>
        </w:rPr>
        <w:t xml:space="preserve">is </w:t>
      </w:r>
      <w:r w:rsidRPr="00CE5EBF">
        <w:rPr>
          <w:rFonts w:ascii="Arial Mäori" w:hAnsi="Arial Mäori"/>
          <w:sz w:val="16"/>
          <w:szCs w:val="16"/>
        </w:rPr>
        <w:t>published annually by</w:t>
      </w:r>
      <w:r>
        <w:rPr>
          <w:rFonts w:ascii="Arial Mäori" w:hAnsi="Arial Mäori"/>
          <w:sz w:val="16"/>
          <w:szCs w:val="16"/>
        </w:rPr>
        <w:t xml:space="preserve"> the State Services Commission.</w:t>
      </w:r>
    </w:p>
  </w:footnote>
  <w:footnote w:id="32">
    <w:p w:rsidR="00EF4C81" w:rsidRPr="00ED17FD" w:rsidRDefault="00EF4C81" w:rsidP="00CE5EBF">
      <w:pPr>
        <w:pStyle w:val="FootnoteText"/>
        <w:tabs>
          <w:tab w:val="left" w:pos="284"/>
        </w:tabs>
        <w:ind w:left="284" w:hanging="284"/>
      </w:pPr>
      <w:r w:rsidRPr="00CE5EBF">
        <w:rPr>
          <w:rStyle w:val="FootnoteReference"/>
          <w:sz w:val="16"/>
          <w:szCs w:val="16"/>
        </w:rPr>
        <w:footnoteRef/>
      </w:r>
      <w:r w:rsidRPr="00CE5EBF">
        <w:rPr>
          <w:sz w:val="16"/>
          <w:szCs w:val="16"/>
        </w:rPr>
        <w:t xml:space="preserve">  </w:t>
      </w:r>
      <w:r>
        <w:rPr>
          <w:sz w:val="16"/>
          <w:szCs w:val="16"/>
        </w:rPr>
        <w:tab/>
      </w:r>
      <w:r w:rsidRPr="00CE5EBF">
        <w:rPr>
          <w:rFonts w:cs="AvenirMaori-Light"/>
          <w:color w:val="000000"/>
          <w:spacing w:val="-1"/>
          <w:sz w:val="16"/>
          <w:szCs w:val="16"/>
          <w:lang w:val="en-US"/>
        </w:rPr>
        <w:t>As well as completing its first full year of operation, the</w:t>
      </w:r>
      <w:r w:rsidRPr="00CE5EBF">
        <w:rPr>
          <w:sz w:val="16"/>
          <w:szCs w:val="16"/>
        </w:rPr>
        <w:t xml:space="preserve"> </w:t>
      </w:r>
      <w:r w:rsidRPr="00CE5EBF">
        <w:rPr>
          <w:rFonts w:cs="AvenirMaori-Light"/>
          <w:color w:val="000000"/>
          <w:spacing w:val="-1"/>
          <w:sz w:val="16"/>
          <w:szCs w:val="16"/>
          <w:lang w:val="en-US"/>
        </w:rPr>
        <w:t>selection of the Property Management Centre of Expertise to co-ordinate the seismic assessment guidance process for state sector agencies contributed to this result exceeding the standard for 2011/2012.</w:t>
      </w:r>
      <w:r w:rsidRPr="00ED17FD">
        <w:rPr>
          <w:rFonts w:ascii="AvenirMaori-Light" w:hAnsi="AvenirMaori-Light" w:cs="AvenirMaori-Light"/>
          <w:color w:val="000000"/>
          <w:spacing w:val="-1"/>
          <w:sz w:val="13"/>
          <w:szCs w:val="13"/>
          <w:lang w:val="en-US"/>
        </w:rPr>
        <w:t xml:space="preserve"> </w:t>
      </w:r>
    </w:p>
  </w:footnote>
  <w:footnote w:id="33">
    <w:p w:rsidR="00EF4C81" w:rsidRPr="00CE5EBF" w:rsidRDefault="00EF4C81" w:rsidP="00DE0966">
      <w:pPr>
        <w:pStyle w:val="footnote0"/>
        <w:tabs>
          <w:tab w:val="left" w:pos="284"/>
        </w:tabs>
        <w:spacing w:after="0" w:line="240" w:lineRule="auto"/>
        <w:ind w:left="284" w:hanging="284"/>
        <w:rPr>
          <w:rStyle w:val="FootnoteReference"/>
          <w:rFonts w:ascii="Arial Mäori" w:hAnsi="Arial Mäori"/>
          <w:sz w:val="16"/>
          <w:szCs w:val="16"/>
        </w:rPr>
      </w:pPr>
      <w:r w:rsidRPr="00CE5EBF">
        <w:rPr>
          <w:rStyle w:val="FootnoteReference"/>
          <w:rFonts w:ascii="Arial Mäori" w:hAnsi="Arial Mäori"/>
          <w:sz w:val="16"/>
          <w:szCs w:val="16"/>
        </w:rPr>
        <w:footnoteRef/>
      </w:r>
      <w:r w:rsidRPr="00CE5EBF">
        <w:rPr>
          <w:rStyle w:val="FootnoteReference"/>
          <w:rFonts w:ascii="Arial Mäori" w:hAnsi="Arial Mäori"/>
          <w:sz w:val="16"/>
          <w:szCs w:val="16"/>
        </w:rPr>
        <w:t xml:space="preserve"> </w:t>
      </w:r>
      <w:r w:rsidRPr="00CE5EBF">
        <w:rPr>
          <w:rStyle w:val="FootnoteReference"/>
          <w:rFonts w:ascii="Arial Mäori" w:hAnsi="Arial Mäori"/>
          <w:sz w:val="16"/>
          <w:szCs w:val="16"/>
        </w:rPr>
        <w:tab/>
      </w:r>
      <w:r w:rsidRPr="00CE5EBF">
        <w:rPr>
          <w:rFonts w:ascii="Arial Mäori" w:hAnsi="Arial Mäori"/>
          <w:sz w:val="16"/>
          <w:szCs w:val="16"/>
        </w:rPr>
        <w:t>This includes transfers made under section 26A of the Public Finance Act 1989.</w:t>
      </w:r>
    </w:p>
  </w:footnote>
  <w:footnote w:id="34">
    <w:p w:rsidR="00EF4C81" w:rsidRPr="00CE5EBF" w:rsidRDefault="00EF4C81" w:rsidP="00DE0966">
      <w:pPr>
        <w:pStyle w:val="footnote0"/>
        <w:tabs>
          <w:tab w:val="left" w:pos="284"/>
        </w:tabs>
        <w:spacing w:after="0" w:line="240" w:lineRule="auto"/>
        <w:ind w:left="284" w:hanging="284"/>
        <w:rPr>
          <w:rFonts w:ascii="Arial Mäori" w:hAnsi="Arial Mäori"/>
          <w:sz w:val="16"/>
          <w:szCs w:val="16"/>
        </w:rPr>
      </w:pPr>
      <w:r w:rsidRPr="00CE5EBF">
        <w:rPr>
          <w:rStyle w:val="FootnoteReference"/>
          <w:rFonts w:ascii="Arial Mäori" w:hAnsi="Arial Mäori"/>
          <w:sz w:val="16"/>
          <w:szCs w:val="16"/>
        </w:rPr>
        <w:footnoteRef/>
      </w:r>
      <w:r w:rsidRPr="00CE5EBF">
        <w:rPr>
          <w:rFonts w:ascii="Arial Mäori" w:hAnsi="Arial Mäori"/>
          <w:sz w:val="16"/>
          <w:szCs w:val="16"/>
        </w:rPr>
        <w:t xml:space="preserve"> </w:t>
      </w:r>
      <w:r w:rsidRPr="00CE5EBF">
        <w:rPr>
          <w:rFonts w:ascii="Arial Mäori" w:hAnsi="Arial Mäori"/>
          <w:sz w:val="16"/>
          <w:szCs w:val="16"/>
        </w:rPr>
        <w:tab/>
        <w:t>A case is 'fully investigated' when an assessment is made to either close, take no further action or commence a full investigation.</w:t>
      </w:r>
    </w:p>
  </w:footnote>
  <w:footnote w:id="35">
    <w:p w:rsidR="00EF4C81" w:rsidRPr="004D7588" w:rsidRDefault="00EF4C81" w:rsidP="00DE0966">
      <w:pPr>
        <w:pStyle w:val="footnote0"/>
        <w:tabs>
          <w:tab w:val="left" w:pos="284"/>
        </w:tabs>
        <w:spacing w:after="0" w:line="240" w:lineRule="auto"/>
        <w:ind w:left="284" w:hanging="284"/>
      </w:pPr>
      <w:r w:rsidRPr="00CE5EBF">
        <w:rPr>
          <w:rStyle w:val="FootnoteReference"/>
          <w:rFonts w:ascii="Arial Mäori" w:hAnsi="Arial Mäori"/>
          <w:sz w:val="16"/>
          <w:szCs w:val="16"/>
        </w:rPr>
        <w:footnoteRef/>
      </w:r>
      <w:r w:rsidRPr="00CE5EBF">
        <w:rPr>
          <w:rFonts w:ascii="Arial Mäori" w:hAnsi="Arial Mäori"/>
          <w:sz w:val="16"/>
          <w:szCs w:val="16"/>
        </w:rPr>
        <w:t xml:space="preserve"> </w:t>
      </w:r>
      <w:r w:rsidRPr="00CE5EBF">
        <w:rPr>
          <w:rFonts w:ascii="Arial Mäori" w:hAnsi="Arial Mäori"/>
          <w:sz w:val="16"/>
          <w:szCs w:val="16"/>
        </w:rPr>
        <w:tab/>
        <w:t>This includes cases referred by all sources for further enquiry, for example fraud allegations and data matches.</w:t>
      </w:r>
    </w:p>
  </w:footnote>
  <w:footnote w:id="36">
    <w:p w:rsidR="00EF4C81" w:rsidRPr="00DE0966" w:rsidRDefault="00EF4C81" w:rsidP="00DE0966">
      <w:pPr>
        <w:pStyle w:val="footnote0"/>
        <w:tabs>
          <w:tab w:val="left" w:pos="284"/>
        </w:tabs>
        <w:spacing w:after="0" w:line="240" w:lineRule="auto"/>
        <w:ind w:left="284" w:hanging="284"/>
        <w:rPr>
          <w:rFonts w:ascii="Arial Mäori" w:hAnsi="Arial Mäori"/>
          <w:sz w:val="16"/>
          <w:szCs w:val="16"/>
        </w:rPr>
      </w:pPr>
      <w:r w:rsidRPr="00DE0966">
        <w:rPr>
          <w:rFonts w:ascii="Arial Mäori" w:hAnsi="Arial Mäori"/>
          <w:sz w:val="16"/>
          <w:szCs w:val="16"/>
          <w:vertAlign w:val="superscript"/>
        </w:rPr>
        <w:footnoteRef/>
      </w:r>
      <w:r w:rsidRPr="00DE0966">
        <w:rPr>
          <w:rFonts w:ascii="Arial Mäori" w:hAnsi="Arial Mäori"/>
          <w:sz w:val="16"/>
          <w:szCs w:val="16"/>
          <w:lang w:val="en-GB"/>
        </w:rPr>
        <w:tab/>
      </w:r>
      <w:r w:rsidRPr="00DE0966">
        <w:rPr>
          <w:rFonts w:ascii="Arial Mäori" w:hAnsi="Arial Mäori"/>
          <w:sz w:val="16"/>
          <w:szCs w:val="16"/>
          <w:lang w:val="en"/>
        </w:rPr>
        <w:t xml:space="preserve">The Minister of Finance can agree to more than one specified </w:t>
      </w:r>
      <w:r w:rsidRPr="00DE0966">
        <w:rPr>
          <w:rStyle w:val="highlightedsearchterm"/>
          <w:rFonts w:ascii="Arial Mäori" w:hAnsi="Arial Mäori"/>
          <w:sz w:val="16"/>
          <w:szCs w:val="16"/>
          <w:lang w:val="en"/>
        </w:rPr>
        <w:t>class</w:t>
      </w:r>
      <w:r w:rsidRPr="00DE0966">
        <w:rPr>
          <w:rFonts w:ascii="Arial Mäori" w:hAnsi="Arial Mäori"/>
          <w:sz w:val="16"/>
          <w:szCs w:val="16"/>
          <w:lang w:val="en"/>
        </w:rPr>
        <w:t xml:space="preserve"> of </w:t>
      </w:r>
      <w:r w:rsidRPr="00DE0966">
        <w:rPr>
          <w:rStyle w:val="highlightedsearchterm"/>
          <w:rFonts w:ascii="Arial Mäori" w:hAnsi="Arial Mäori"/>
          <w:sz w:val="16"/>
          <w:szCs w:val="16"/>
          <w:lang w:val="en"/>
        </w:rPr>
        <w:t>output</w:t>
      </w:r>
      <w:r w:rsidRPr="00DE0966">
        <w:rPr>
          <w:rFonts w:ascii="Arial Mäori" w:hAnsi="Arial Mäori"/>
          <w:sz w:val="16"/>
          <w:szCs w:val="16"/>
          <w:lang w:val="en"/>
        </w:rPr>
        <w:t xml:space="preserve">s being supplied under a single </w:t>
      </w:r>
      <w:r w:rsidRPr="00DE0966">
        <w:rPr>
          <w:rStyle w:val="highlightedsearchterm"/>
          <w:rFonts w:ascii="Arial Mäori" w:hAnsi="Arial Mäori"/>
          <w:sz w:val="16"/>
          <w:szCs w:val="16"/>
          <w:lang w:val="en"/>
        </w:rPr>
        <w:t>appropriation</w:t>
      </w:r>
      <w:r w:rsidRPr="00DE0966">
        <w:rPr>
          <w:rFonts w:ascii="Arial Mäori" w:hAnsi="Arial Mäori"/>
          <w:sz w:val="16"/>
          <w:szCs w:val="16"/>
          <w:lang w:val="en"/>
        </w:rPr>
        <w:t xml:space="preserve">. This is known as a </w:t>
      </w:r>
      <w:r w:rsidRPr="00DE0966">
        <w:rPr>
          <w:rStyle w:val="highlightedsearchterm"/>
          <w:rFonts w:ascii="Arial Mäori" w:hAnsi="Arial Mäori"/>
          <w:sz w:val="16"/>
          <w:szCs w:val="16"/>
          <w:lang w:val="en"/>
        </w:rPr>
        <w:t>Multi</w:t>
      </w:r>
      <w:r>
        <w:rPr>
          <w:rFonts w:ascii="Arial Mäori" w:hAnsi="Arial Mäori"/>
          <w:sz w:val="16"/>
          <w:szCs w:val="16"/>
          <w:lang w:val="en"/>
        </w:rPr>
        <w:t>-</w:t>
      </w:r>
      <w:r w:rsidRPr="00DE0966">
        <w:rPr>
          <w:rStyle w:val="highlightedsearchterm"/>
          <w:rFonts w:ascii="Arial Mäori" w:hAnsi="Arial Mäori"/>
          <w:sz w:val="16"/>
          <w:szCs w:val="16"/>
          <w:lang w:val="en"/>
        </w:rPr>
        <w:t>Class</w:t>
      </w:r>
      <w:r w:rsidRPr="00DE0966">
        <w:rPr>
          <w:rFonts w:ascii="Arial Mäori" w:hAnsi="Arial Mäori"/>
          <w:sz w:val="16"/>
          <w:szCs w:val="16"/>
          <w:lang w:val="en"/>
        </w:rPr>
        <w:t xml:space="preserve"> </w:t>
      </w:r>
      <w:r w:rsidRPr="00DE0966">
        <w:rPr>
          <w:rStyle w:val="highlightedsearchterm"/>
          <w:rFonts w:ascii="Arial Mäori" w:hAnsi="Arial Mäori"/>
          <w:sz w:val="16"/>
          <w:szCs w:val="16"/>
          <w:lang w:val="en"/>
        </w:rPr>
        <w:t>Output</w:t>
      </w:r>
      <w:r w:rsidRPr="00DE0966">
        <w:rPr>
          <w:rFonts w:ascii="Arial Mäori" w:hAnsi="Arial Mäori"/>
          <w:sz w:val="16"/>
          <w:szCs w:val="16"/>
          <w:lang w:val="en"/>
        </w:rPr>
        <w:t xml:space="preserve"> </w:t>
      </w:r>
      <w:r w:rsidRPr="00DE0966">
        <w:rPr>
          <w:rStyle w:val="highlightedsearchterm"/>
          <w:rFonts w:ascii="Arial Mäori" w:hAnsi="Arial Mäori"/>
          <w:sz w:val="16"/>
          <w:szCs w:val="16"/>
          <w:lang w:val="en"/>
        </w:rPr>
        <w:t>Appropriation (MCOA).</w:t>
      </w:r>
    </w:p>
  </w:footnote>
  <w:footnote w:id="37">
    <w:p w:rsidR="00EF4C81" w:rsidRPr="00DA2ABF" w:rsidRDefault="00EF4C81" w:rsidP="00DE0966">
      <w:pPr>
        <w:pStyle w:val="footnote0"/>
        <w:tabs>
          <w:tab w:val="left" w:pos="284"/>
        </w:tabs>
        <w:spacing w:after="0" w:line="240" w:lineRule="auto"/>
        <w:ind w:left="284" w:hanging="284"/>
      </w:pPr>
      <w:r w:rsidRPr="00DE0966">
        <w:rPr>
          <w:rStyle w:val="FootnoteReference"/>
          <w:rFonts w:ascii="Arial Mäori" w:hAnsi="Arial Mäori"/>
          <w:sz w:val="16"/>
          <w:szCs w:val="16"/>
        </w:rPr>
        <w:footnoteRef/>
      </w:r>
      <w:r w:rsidRPr="00DE0966">
        <w:rPr>
          <w:rFonts w:ascii="Arial Mäori" w:hAnsi="Arial Mäori"/>
          <w:sz w:val="16"/>
          <w:szCs w:val="16"/>
        </w:rPr>
        <w:t xml:space="preserve"> </w:t>
      </w:r>
      <w:r w:rsidRPr="00DE0966">
        <w:rPr>
          <w:rFonts w:ascii="Arial Mäori" w:hAnsi="Arial Mäori"/>
          <w:sz w:val="16"/>
          <w:szCs w:val="16"/>
        </w:rPr>
        <w:tab/>
        <w:t xml:space="preserve">The work in relation to the internal audit, review or survey for </w:t>
      </w:r>
      <w:r>
        <w:rPr>
          <w:rFonts w:ascii="Arial Mäori" w:hAnsi="Arial Mäori"/>
          <w:sz w:val="16"/>
          <w:szCs w:val="16"/>
        </w:rPr>
        <w:t>these</w:t>
      </w:r>
      <w:r w:rsidRPr="00DE0966">
        <w:rPr>
          <w:rFonts w:ascii="Arial Mäori" w:hAnsi="Arial Mäori"/>
          <w:sz w:val="16"/>
          <w:szCs w:val="16"/>
        </w:rPr>
        <w:t xml:space="preserve"> measures is conducted during the year and reported on an annual basis. Under the audit, a random sample of reports is reviewed internally during the year to assess if they comply with minimum quality assurance standards.</w:t>
      </w:r>
    </w:p>
  </w:footnote>
  <w:footnote w:id="38">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t>The Ministers who receive</w:t>
      </w:r>
      <w:r>
        <w:rPr>
          <w:rFonts w:ascii="Arial Mäori" w:hAnsi="Arial Mäori"/>
          <w:sz w:val="16"/>
          <w:szCs w:val="16"/>
        </w:rPr>
        <w:t>d</w:t>
      </w:r>
      <w:r w:rsidRPr="00512698">
        <w:rPr>
          <w:rFonts w:ascii="Arial Mäori" w:hAnsi="Arial Mäori"/>
          <w:sz w:val="16"/>
          <w:szCs w:val="16"/>
        </w:rPr>
        <w:t xml:space="preserve"> services </w:t>
      </w:r>
      <w:r>
        <w:rPr>
          <w:rFonts w:ascii="Arial Mäori" w:hAnsi="Arial Mäori"/>
          <w:sz w:val="16"/>
          <w:szCs w:val="16"/>
        </w:rPr>
        <w:t>were</w:t>
      </w:r>
      <w:r w:rsidRPr="00512698">
        <w:rPr>
          <w:rFonts w:ascii="Arial Mäori" w:hAnsi="Arial Mäori"/>
          <w:sz w:val="16"/>
          <w:szCs w:val="16"/>
        </w:rPr>
        <w:t xml:space="preserve"> the Minister for Social Development, the Minister of State Services, </w:t>
      </w:r>
      <w:proofErr w:type="gramStart"/>
      <w:r w:rsidRPr="00512698">
        <w:rPr>
          <w:rFonts w:ascii="Arial Mäori" w:hAnsi="Arial Mäori"/>
          <w:sz w:val="16"/>
          <w:szCs w:val="16"/>
        </w:rPr>
        <w:t>the</w:t>
      </w:r>
      <w:proofErr w:type="gramEnd"/>
      <w:r w:rsidRPr="00512698">
        <w:rPr>
          <w:rFonts w:ascii="Arial Mäori" w:hAnsi="Arial Mäori"/>
          <w:sz w:val="16"/>
          <w:szCs w:val="16"/>
        </w:rPr>
        <w:t xml:space="preserve"> Associate Ministers for Social Development, the Minister of Youth Affairs, the Minister for Senior Citizens and the Minister for Disability Issues.</w:t>
      </w:r>
    </w:p>
  </w:footnote>
  <w:footnote w:id="39">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r>
      <w:r>
        <w:rPr>
          <w:rFonts w:ascii="Arial Mäori" w:hAnsi="Arial Mäori"/>
          <w:sz w:val="16"/>
          <w:szCs w:val="16"/>
        </w:rPr>
        <w:t>‘</w:t>
      </w:r>
      <w:r w:rsidRPr="00512698">
        <w:rPr>
          <w:rFonts w:ascii="Arial Mäori" w:hAnsi="Arial Mäori"/>
          <w:sz w:val="16"/>
          <w:szCs w:val="16"/>
        </w:rPr>
        <w:t>Standard met</w:t>
      </w:r>
      <w:r>
        <w:rPr>
          <w:rFonts w:ascii="Arial Mäori" w:hAnsi="Arial Mäori"/>
          <w:sz w:val="16"/>
          <w:szCs w:val="16"/>
        </w:rPr>
        <w:t>’</w:t>
      </w:r>
      <w:r w:rsidRPr="00512698">
        <w:rPr>
          <w:rFonts w:ascii="Arial Mäori" w:hAnsi="Arial Mäori"/>
          <w:sz w:val="16"/>
          <w:szCs w:val="16"/>
        </w:rPr>
        <w:t xml:space="preserve"> means that all the agreed Deputy Chief Executive Performance Expectations (which are based on the Ministers' work priorities) for the </w:t>
      </w:r>
      <w:proofErr w:type="gramStart"/>
      <w:r w:rsidRPr="00512698">
        <w:rPr>
          <w:rFonts w:ascii="Arial Mäori" w:hAnsi="Arial Mäori"/>
          <w:sz w:val="16"/>
          <w:szCs w:val="16"/>
        </w:rPr>
        <w:t>year have</w:t>
      </w:r>
      <w:proofErr w:type="gramEnd"/>
      <w:r w:rsidRPr="00512698">
        <w:rPr>
          <w:rFonts w:ascii="Arial Mäori" w:hAnsi="Arial Mäori"/>
          <w:sz w:val="16"/>
          <w:szCs w:val="16"/>
        </w:rPr>
        <w:t xml:space="preserve"> been achieved.</w:t>
      </w:r>
    </w:p>
  </w:footnote>
  <w:footnote w:id="40">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t>The work in relation to the internal audit, review or survey for this measure is conducted during the year and reported on an annual basis. Under the audit, a random sample of reports is reviewed internally during the year to assess if they comply with minimum quality assurance standards.</w:t>
      </w:r>
    </w:p>
  </w:footnote>
  <w:footnote w:id="41">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t>Pre-determined criteria cover the areas of communication, analysis, grounding, risk and overall impression.</w:t>
      </w:r>
    </w:p>
  </w:footnote>
  <w:footnote w:id="42">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t xml:space="preserve">The standard for this measure is based on a continuum of </w:t>
      </w:r>
      <w:r>
        <w:rPr>
          <w:rFonts w:ascii="Arial Mäori" w:hAnsi="Arial Mäori"/>
          <w:sz w:val="16"/>
          <w:szCs w:val="16"/>
        </w:rPr>
        <w:t>‘</w:t>
      </w:r>
      <w:r w:rsidRPr="00512698">
        <w:rPr>
          <w:rFonts w:ascii="Arial Mäori" w:hAnsi="Arial Mäori"/>
          <w:sz w:val="16"/>
          <w:szCs w:val="16"/>
        </w:rPr>
        <w:t>standard not met</w:t>
      </w:r>
      <w:r>
        <w:rPr>
          <w:rFonts w:ascii="Arial Mäori" w:hAnsi="Arial Mäori"/>
          <w:sz w:val="16"/>
          <w:szCs w:val="16"/>
        </w:rPr>
        <w:t>’</w:t>
      </w:r>
      <w:r w:rsidRPr="00512698">
        <w:rPr>
          <w:rFonts w:ascii="Arial Mäori" w:hAnsi="Arial Mäori"/>
          <w:sz w:val="16"/>
          <w:szCs w:val="16"/>
        </w:rPr>
        <w:t xml:space="preserve">, </w:t>
      </w:r>
      <w:r>
        <w:rPr>
          <w:rFonts w:ascii="Arial Mäori" w:hAnsi="Arial Mäori"/>
          <w:sz w:val="16"/>
          <w:szCs w:val="16"/>
        </w:rPr>
        <w:t>‘</w:t>
      </w:r>
      <w:r w:rsidRPr="00512698">
        <w:rPr>
          <w:rFonts w:ascii="Arial Mäori" w:hAnsi="Arial Mäori"/>
          <w:sz w:val="16"/>
          <w:szCs w:val="16"/>
        </w:rPr>
        <w:t>standard met</w:t>
      </w:r>
      <w:r>
        <w:rPr>
          <w:rFonts w:ascii="Arial Mäori" w:hAnsi="Arial Mäori"/>
          <w:sz w:val="16"/>
          <w:szCs w:val="16"/>
        </w:rPr>
        <w:t>’</w:t>
      </w:r>
      <w:r w:rsidRPr="00512698">
        <w:rPr>
          <w:rFonts w:ascii="Arial Mäori" w:hAnsi="Arial Mäori"/>
          <w:sz w:val="16"/>
          <w:szCs w:val="16"/>
        </w:rPr>
        <w:t xml:space="preserve"> and </w:t>
      </w:r>
      <w:r>
        <w:rPr>
          <w:rFonts w:ascii="Arial Mäori" w:hAnsi="Arial Mäori"/>
          <w:sz w:val="16"/>
          <w:szCs w:val="16"/>
        </w:rPr>
        <w:t>‘</w:t>
      </w:r>
      <w:r w:rsidRPr="00512698">
        <w:rPr>
          <w:rFonts w:ascii="Arial Mäori" w:hAnsi="Arial Mäori"/>
          <w:sz w:val="16"/>
          <w:szCs w:val="16"/>
        </w:rPr>
        <w:t>standard exceeded</w:t>
      </w:r>
      <w:r>
        <w:rPr>
          <w:rFonts w:ascii="Arial Mäori" w:hAnsi="Arial Mäori"/>
          <w:sz w:val="16"/>
          <w:szCs w:val="16"/>
        </w:rPr>
        <w:t>’</w:t>
      </w:r>
      <w:r w:rsidRPr="00512698">
        <w:rPr>
          <w:rFonts w:ascii="Arial Mäori" w:hAnsi="Arial Mäori"/>
          <w:sz w:val="16"/>
          <w:szCs w:val="16"/>
        </w:rPr>
        <w:t>.</w:t>
      </w:r>
    </w:p>
  </w:footnote>
  <w:footnote w:id="43">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t>The Ministers who receive</w:t>
      </w:r>
      <w:r>
        <w:rPr>
          <w:rFonts w:ascii="Arial Mäori" w:hAnsi="Arial Mäori"/>
          <w:sz w:val="16"/>
          <w:szCs w:val="16"/>
        </w:rPr>
        <w:t>d</w:t>
      </w:r>
      <w:r w:rsidRPr="00512698">
        <w:rPr>
          <w:rFonts w:ascii="Arial Mäori" w:hAnsi="Arial Mäori"/>
          <w:sz w:val="16"/>
          <w:szCs w:val="16"/>
        </w:rPr>
        <w:t xml:space="preserve"> services </w:t>
      </w:r>
      <w:r>
        <w:rPr>
          <w:rFonts w:ascii="Arial Mäori" w:hAnsi="Arial Mäori"/>
          <w:sz w:val="16"/>
          <w:szCs w:val="16"/>
        </w:rPr>
        <w:t>were</w:t>
      </w:r>
      <w:r w:rsidRPr="00512698">
        <w:rPr>
          <w:rFonts w:ascii="Arial Mäori" w:hAnsi="Arial Mäori"/>
          <w:sz w:val="16"/>
          <w:szCs w:val="16"/>
        </w:rPr>
        <w:t xml:space="preserve"> the Minister for Social Development, the Minister of State Services, </w:t>
      </w:r>
      <w:proofErr w:type="gramStart"/>
      <w:r w:rsidRPr="00512698">
        <w:rPr>
          <w:rFonts w:ascii="Arial Mäori" w:hAnsi="Arial Mäori"/>
          <w:sz w:val="16"/>
          <w:szCs w:val="16"/>
        </w:rPr>
        <w:t>the</w:t>
      </w:r>
      <w:proofErr w:type="gramEnd"/>
      <w:r w:rsidRPr="00512698">
        <w:rPr>
          <w:rFonts w:ascii="Arial Mäori" w:hAnsi="Arial Mäori"/>
          <w:sz w:val="16"/>
          <w:szCs w:val="16"/>
        </w:rPr>
        <w:t xml:space="preserve"> Associate Ministers for Social Development, the Minister of Youth Affairs, the Minister for Senior Citizens and the Minister for Disability Issues.</w:t>
      </w:r>
    </w:p>
  </w:footnote>
  <w:footnote w:id="44">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r>
      <w:r>
        <w:rPr>
          <w:rFonts w:ascii="Arial Mäori" w:hAnsi="Arial Mäori"/>
          <w:sz w:val="16"/>
          <w:szCs w:val="16"/>
        </w:rPr>
        <w:t>‘</w:t>
      </w:r>
      <w:r w:rsidRPr="00512698">
        <w:rPr>
          <w:rFonts w:ascii="Arial Mäori" w:hAnsi="Arial Mäori"/>
          <w:sz w:val="16"/>
          <w:szCs w:val="16"/>
        </w:rPr>
        <w:t>Standard met</w:t>
      </w:r>
      <w:r>
        <w:rPr>
          <w:rFonts w:ascii="Arial Mäori" w:hAnsi="Arial Mäori"/>
          <w:sz w:val="16"/>
          <w:szCs w:val="16"/>
        </w:rPr>
        <w:t>’</w:t>
      </w:r>
      <w:r w:rsidRPr="00512698">
        <w:rPr>
          <w:rFonts w:ascii="Arial Mäori" w:hAnsi="Arial Mäori"/>
          <w:sz w:val="16"/>
          <w:szCs w:val="16"/>
        </w:rPr>
        <w:t xml:space="preserve"> means that all the agreed Deputy Chief Executive Performance Expectations (which are based on the Ministers' work priorities) for the </w:t>
      </w:r>
      <w:proofErr w:type="gramStart"/>
      <w:r w:rsidRPr="00512698">
        <w:rPr>
          <w:rFonts w:ascii="Arial Mäori" w:hAnsi="Arial Mäori"/>
          <w:sz w:val="16"/>
          <w:szCs w:val="16"/>
        </w:rPr>
        <w:t>year have</w:t>
      </w:r>
      <w:proofErr w:type="gramEnd"/>
      <w:r w:rsidRPr="00512698">
        <w:rPr>
          <w:rFonts w:ascii="Arial Mäori" w:hAnsi="Arial Mäori"/>
          <w:sz w:val="16"/>
          <w:szCs w:val="16"/>
        </w:rPr>
        <w:t xml:space="preserve"> been achieved.</w:t>
      </w:r>
    </w:p>
  </w:footnote>
  <w:footnote w:id="45">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t>The work in relation to the internal audit, review or survey for this measure is conducted during the year and reported on an annual basis. Under the audit, a random sample of reports is reviewed internally during the year to assess if they comply with minimum quality assurance standards.</w:t>
      </w:r>
    </w:p>
  </w:footnote>
  <w:footnote w:id="46">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t>Pre-determined criteria cover the areas of communication, analysis, grounding, risk and overall impression.</w:t>
      </w:r>
    </w:p>
  </w:footnote>
  <w:footnote w:id="47">
    <w:p w:rsidR="00EF4C81" w:rsidRPr="00DA2ABF" w:rsidRDefault="00EF4C81" w:rsidP="00512698">
      <w:pPr>
        <w:pStyle w:val="footnote0"/>
        <w:tabs>
          <w:tab w:val="left" w:pos="284"/>
        </w:tabs>
        <w:spacing w:after="0" w:line="240" w:lineRule="auto"/>
        <w:ind w:left="284" w:hanging="284"/>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t xml:space="preserve">The standard for this measure is based on a continuum of </w:t>
      </w:r>
      <w:r>
        <w:rPr>
          <w:rFonts w:ascii="Arial Mäori" w:hAnsi="Arial Mäori"/>
          <w:sz w:val="16"/>
          <w:szCs w:val="16"/>
        </w:rPr>
        <w:t>‘</w:t>
      </w:r>
      <w:r w:rsidRPr="00512698">
        <w:rPr>
          <w:rFonts w:ascii="Arial Mäori" w:hAnsi="Arial Mäori"/>
          <w:sz w:val="16"/>
          <w:szCs w:val="16"/>
        </w:rPr>
        <w:t>standard not met</w:t>
      </w:r>
      <w:r>
        <w:rPr>
          <w:rFonts w:ascii="Arial Mäori" w:hAnsi="Arial Mäori"/>
          <w:sz w:val="16"/>
          <w:szCs w:val="16"/>
        </w:rPr>
        <w:t>’</w:t>
      </w:r>
      <w:r w:rsidRPr="00512698">
        <w:rPr>
          <w:rFonts w:ascii="Arial Mäori" w:hAnsi="Arial Mäori"/>
          <w:sz w:val="16"/>
          <w:szCs w:val="16"/>
        </w:rPr>
        <w:t xml:space="preserve">, </w:t>
      </w:r>
      <w:r>
        <w:rPr>
          <w:rFonts w:ascii="Arial Mäori" w:hAnsi="Arial Mäori"/>
          <w:sz w:val="16"/>
          <w:szCs w:val="16"/>
        </w:rPr>
        <w:t>‘</w:t>
      </w:r>
      <w:r w:rsidRPr="00512698">
        <w:rPr>
          <w:rFonts w:ascii="Arial Mäori" w:hAnsi="Arial Mäori"/>
          <w:sz w:val="16"/>
          <w:szCs w:val="16"/>
        </w:rPr>
        <w:t>standard met</w:t>
      </w:r>
      <w:r>
        <w:rPr>
          <w:rFonts w:ascii="Arial Mäori" w:hAnsi="Arial Mäori"/>
          <w:sz w:val="16"/>
          <w:szCs w:val="16"/>
        </w:rPr>
        <w:t>’</w:t>
      </w:r>
      <w:r w:rsidRPr="00512698">
        <w:rPr>
          <w:rFonts w:ascii="Arial Mäori" w:hAnsi="Arial Mäori"/>
          <w:sz w:val="16"/>
          <w:szCs w:val="16"/>
        </w:rPr>
        <w:t xml:space="preserve"> and </w:t>
      </w:r>
      <w:r>
        <w:rPr>
          <w:rFonts w:ascii="Arial Mäori" w:hAnsi="Arial Mäori"/>
          <w:sz w:val="16"/>
          <w:szCs w:val="16"/>
        </w:rPr>
        <w:t>‘</w:t>
      </w:r>
      <w:r w:rsidRPr="00512698">
        <w:rPr>
          <w:rFonts w:ascii="Arial Mäori" w:hAnsi="Arial Mäori"/>
          <w:sz w:val="16"/>
          <w:szCs w:val="16"/>
        </w:rPr>
        <w:t>standard exceeded</w:t>
      </w:r>
      <w:r>
        <w:rPr>
          <w:rFonts w:ascii="Arial Mäori" w:hAnsi="Arial Mäori"/>
          <w:sz w:val="16"/>
          <w:szCs w:val="16"/>
        </w:rPr>
        <w:t>’</w:t>
      </w:r>
      <w:r w:rsidRPr="00512698">
        <w:rPr>
          <w:rFonts w:ascii="Arial Mäori" w:hAnsi="Arial Mäori"/>
          <w:sz w:val="16"/>
          <w:szCs w:val="16"/>
        </w:rPr>
        <w:t>.</w:t>
      </w:r>
    </w:p>
  </w:footnote>
  <w:footnote w:id="48">
    <w:p w:rsidR="00EF4C81" w:rsidRPr="00512698" w:rsidRDefault="00EF4C81" w:rsidP="00512698">
      <w:pPr>
        <w:pStyle w:val="FootnoteText"/>
        <w:tabs>
          <w:tab w:val="left" w:pos="284"/>
        </w:tabs>
        <w:ind w:left="284" w:hanging="284"/>
        <w:rPr>
          <w:rFonts w:cs="AvenirMaori-Light"/>
          <w:color w:val="000000"/>
          <w:spacing w:val="-1"/>
          <w:sz w:val="16"/>
          <w:szCs w:val="16"/>
          <w:lang w:val="en-US"/>
        </w:rPr>
      </w:pPr>
      <w:r w:rsidRPr="00512698">
        <w:rPr>
          <w:rStyle w:val="FootnoteReference"/>
          <w:sz w:val="16"/>
          <w:szCs w:val="16"/>
        </w:rPr>
        <w:footnoteRef/>
      </w:r>
      <w:r w:rsidRPr="00512698">
        <w:rPr>
          <w:sz w:val="16"/>
          <w:szCs w:val="16"/>
        </w:rPr>
        <w:t xml:space="preserve"> </w:t>
      </w:r>
      <w:r>
        <w:rPr>
          <w:sz w:val="16"/>
          <w:szCs w:val="16"/>
        </w:rPr>
        <w:tab/>
      </w:r>
      <w:r w:rsidRPr="00512698">
        <w:rPr>
          <w:rFonts w:cs="AvenirMaori-Light"/>
          <w:color w:val="000000"/>
          <w:spacing w:val="-1"/>
          <w:sz w:val="16"/>
          <w:szCs w:val="16"/>
          <w:lang w:val="en-US"/>
        </w:rPr>
        <w:t>This includes transfers made under section 26A of the Public Finance Act 1989.</w:t>
      </w:r>
    </w:p>
  </w:footnote>
  <w:footnote w:id="49">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Pr>
          <w:rFonts w:ascii="Arial Mäori" w:hAnsi="Arial Mäori"/>
          <w:sz w:val="16"/>
          <w:szCs w:val="16"/>
        </w:rPr>
        <w:t xml:space="preserve"> </w:t>
      </w:r>
      <w:r>
        <w:rPr>
          <w:rFonts w:ascii="Arial Mäori" w:hAnsi="Arial Mäori"/>
          <w:sz w:val="16"/>
          <w:szCs w:val="16"/>
        </w:rPr>
        <w:tab/>
        <w:t>This is a 12-month benefit re</w:t>
      </w:r>
      <w:r w:rsidRPr="00512698">
        <w:rPr>
          <w:rFonts w:ascii="Arial Mäori" w:hAnsi="Arial Mäori"/>
          <w:sz w:val="16"/>
          <w:szCs w:val="16"/>
        </w:rPr>
        <w:t>application process.</w:t>
      </w:r>
    </w:p>
  </w:footnote>
  <w:footnote w:id="50">
    <w:p w:rsidR="00EF4C81" w:rsidRPr="00512698" w:rsidRDefault="00EF4C81" w:rsidP="00512698">
      <w:pPr>
        <w:pStyle w:val="footnote0"/>
        <w:tabs>
          <w:tab w:val="left" w:pos="284"/>
        </w:tabs>
        <w:spacing w:after="0" w:line="240" w:lineRule="auto"/>
        <w:ind w:left="284" w:hanging="284"/>
        <w:rPr>
          <w:rFonts w:ascii="Arial Mäori" w:hAnsi="Arial Mäori"/>
          <w:sz w:val="16"/>
          <w:szCs w:val="16"/>
        </w:rPr>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t>This measure may be extended to include some Domestic Purposes Benefit-related clients as ministerial and policy decisions are made.</w:t>
      </w:r>
    </w:p>
  </w:footnote>
  <w:footnote w:id="51">
    <w:p w:rsidR="00EF4C81" w:rsidRPr="00DA2ABF" w:rsidRDefault="00EF4C81" w:rsidP="00512698">
      <w:pPr>
        <w:pStyle w:val="footnote0"/>
        <w:tabs>
          <w:tab w:val="left" w:pos="284"/>
        </w:tabs>
        <w:spacing w:after="0" w:line="240" w:lineRule="auto"/>
        <w:ind w:left="284" w:hanging="284"/>
      </w:pPr>
      <w:r w:rsidRPr="00512698">
        <w:rPr>
          <w:rStyle w:val="FootnoteReference"/>
          <w:rFonts w:ascii="Arial Mäori" w:hAnsi="Arial Mäori"/>
          <w:sz w:val="16"/>
          <w:szCs w:val="16"/>
        </w:rPr>
        <w:footnoteRef/>
      </w:r>
      <w:r w:rsidRPr="00512698">
        <w:rPr>
          <w:rFonts w:ascii="Arial Mäori" w:hAnsi="Arial Mäori"/>
          <w:sz w:val="16"/>
          <w:szCs w:val="16"/>
        </w:rPr>
        <w:t xml:space="preserve"> </w:t>
      </w:r>
      <w:r w:rsidRPr="00512698">
        <w:rPr>
          <w:rFonts w:ascii="Arial Mäori" w:hAnsi="Arial Mäori"/>
          <w:sz w:val="16"/>
          <w:szCs w:val="16"/>
        </w:rPr>
        <w:tab/>
      </w:r>
      <w:r>
        <w:rPr>
          <w:rFonts w:ascii="Arial Mäori" w:hAnsi="Arial Mäori"/>
          <w:sz w:val="16"/>
          <w:szCs w:val="16"/>
        </w:rPr>
        <w:t>A t</w:t>
      </w:r>
      <w:r w:rsidRPr="00512698">
        <w:rPr>
          <w:rFonts w:ascii="Arial Mäori" w:hAnsi="Arial Mäori"/>
          <w:sz w:val="16"/>
          <w:szCs w:val="16"/>
        </w:rPr>
        <w:t xml:space="preserve">riage service involves Work and Income working with </w:t>
      </w:r>
      <w:r>
        <w:rPr>
          <w:rFonts w:ascii="Arial Mäori" w:hAnsi="Arial Mäori"/>
          <w:sz w:val="16"/>
          <w:szCs w:val="16"/>
        </w:rPr>
        <w:t>j</w:t>
      </w:r>
      <w:r w:rsidRPr="00512698">
        <w:rPr>
          <w:rFonts w:ascii="Arial Mäori" w:hAnsi="Arial Mäori"/>
          <w:sz w:val="16"/>
          <w:szCs w:val="16"/>
        </w:rPr>
        <w:t xml:space="preserve">obseekers to get them into work before they apply for a </w:t>
      </w:r>
      <w:r>
        <w:rPr>
          <w:rFonts w:ascii="Arial Mäori" w:hAnsi="Arial Mäori"/>
          <w:sz w:val="16"/>
          <w:szCs w:val="16"/>
        </w:rPr>
        <w:t>main</w:t>
      </w:r>
      <w:r w:rsidRPr="00512698">
        <w:rPr>
          <w:rFonts w:ascii="Arial Mäori" w:hAnsi="Arial Mäori"/>
          <w:sz w:val="16"/>
          <w:szCs w:val="16"/>
        </w:rPr>
        <w:t xml:space="preserve"> benefit. The aim of </w:t>
      </w:r>
      <w:r>
        <w:rPr>
          <w:rFonts w:ascii="Arial Mäori" w:hAnsi="Arial Mäori"/>
          <w:sz w:val="16"/>
          <w:szCs w:val="16"/>
        </w:rPr>
        <w:t>t</w:t>
      </w:r>
      <w:r w:rsidRPr="00512698">
        <w:rPr>
          <w:rFonts w:ascii="Arial Mäori" w:hAnsi="Arial Mäori"/>
          <w:sz w:val="16"/>
          <w:szCs w:val="16"/>
        </w:rPr>
        <w:t xml:space="preserve">riage </w:t>
      </w:r>
      <w:r>
        <w:rPr>
          <w:rFonts w:ascii="Arial Mäori" w:hAnsi="Arial Mäori"/>
          <w:sz w:val="16"/>
          <w:szCs w:val="16"/>
        </w:rPr>
        <w:t xml:space="preserve">services </w:t>
      </w:r>
      <w:r w:rsidRPr="00512698">
        <w:rPr>
          <w:rFonts w:ascii="Arial Mäori" w:hAnsi="Arial Mäori"/>
          <w:sz w:val="16"/>
          <w:szCs w:val="16"/>
        </w:rPr>
        <w:t xml:space="preserve">is </w:t>
      </w:r>
      <w:r>
        <w:rPr>
          <w:rFonts w:ascii="Arial Mäori" w:hAnsi="Arial Mäori"/>
          <w:sz w:val="16"/>
          <w:szCs w:val="16"/>
        </w:rPr>
        <w:t xml:space="preserve">to </w:t>
      </w:r>
      <w:r w:rsidRPr="00512698">
        <w:rPr>
          <w:rFonts w:ascii="Arial Mäori" w:hAnsi="Arial Mäori"/>
          <w:sz w:val="16"/>
          <w:szCs w:val="16"/>
        </w:rPr>
        <w:t xml:space="preserve">reduce the number of people requiring the benefit within 28 days of attending a Work for </w:t>
      </w:r>
      <w:proofErr w:type="gramStart"/>
      <w:r w:rsidRPr="00512698">
        <w:rPr>
          <w:rFonts w:ascii="Arial Mäori" w:hAnsi="Arial Mäori"/>
          <w:sz w:val="16"/>
          <w:szCs w:val="16"/>
        </w:rPr>
        <w:t>You</w:t>
      </w:r>
      <w:proofErr w:type="gramEnd"/>
      <w:r w:rsidRPr="00512698">
        <w:rPr>
          <w:rFonts w:ascii="Arial Mäori" w:hAnsi="Arial Mäori"/>
          <w:sz w:val="16"/>
          <w:szCs w:val="16"/>
        </w:rPr>
        <w:t xml:space="preserve"> seminar.</w:t>
      </w:r>
    </w:p>
  </w:footnote>
  <w:footnote w:id="52">
    <w:p w:rsidR="00EF4C81" w:rsidRPr="00E62EBC" w:rsidRDefault="00EF4C81" w:rsidP="00E62EBC">
      <w:pPr>
        <w:pStyle w:val="footnote0"/>
        <w:tabs>
          <w:tab w:val="left" w:pos="284"/>
        </w:tabs>
        <w:spacing w:after="0" w:line="240" w:lineRule="auto"/>
        <w:ind w:left="284" w:hanging="284"/>
        <w:rPr>
          <w:rFonts w:ascii="Arial Mäori" w:hAnsi="Arial Mäori"/>
          <w:sz w:val="16"/>
          <w:szCs w:val="16"/>
        </w:rPr>
      </w:pPr>
      <w:r w:rsidRPr="00E62EBC">
        <w:rPr>
          <w:rStyle w:val="FootnoteReference"/>
          <w:rFonts w:ascii="Arial Mäori" w:hAnsi="Arial Mäori"/>
          <w:sz w:val="16"/>
          <w:szCs w:val="16"/>
        </w:rPr>
        <w:footnoteRef/>
      </w:r>
      <w:r w:rsidRPr="00E62EBC">
        <w:rPr>
          <w:rFonts w:ascii="Arial Mäori" w:hAnsi="Arial Mäori"/>
          <w:sz w:val="16"/>
          <w:szCs w:val="16"/>
        </w:rPr>
        <w:t xml:space="preserve"> </w:t>
      </w:r>
      <w:r w:rsidRPr="00E62EBC">
        <w:rPr>
          <w:rFonts w:ascii="Arial Mäori" w:hAnsi="Arial Mäori"/>
          <w:sz w:val="16"/>
          <w:szCs w:val="16"/>
        </w:rPr>
        <w:tab/>
        <w:t xml:space="preserve">Foundation Focused Training Opportunity study </w:t>
      </w:r>
      <w:proofErr w:type="spellStart"/>
      <w:r w:rsidRPr="00E62EBC">
        <w:rPr>
          <w:rFonts w:ascii="Arial Mäori" w:hAnsi="Arial Mäori"/>
          <w:sz w:val="16"/>
          <w:szCs w:val="16"/>
        </w:rPr>
        <w:t>programmes</w:t>
      </w:r>
      <w:proofErr w:type="spellEnd"/>
      <w:r w:rsidRPr="00E62EBC">
        <w:rPr>
          <w:rFonts w:ascii="Arial Mäori" w:hAnsi="Arial Mäori"/>
          <w:sz w:val="16"/>
          <w:szCs w:val="16"/>
        </w:rPr>
        <w:t xml:space="preserve"> include but are not limited to improving foundation skills including literacy, language and numeracy, improving employment skills to develop a client's readiness for the workplace and delivering New Zealand Qualification Authority units and credits that align with local industry needs.</w:t>
      </w:r>
    </w:p>
  </w:footnote>
  <w:footnote w:id="53">
    <w:p w:rsidR="00EF4C81" w:rsidRPr="00E62EBC" w:rsidRDefault="00EF4C81" w:rsidP="00E62EBC">
      <w:pPr>
        <w:pStyle w:val="FootnoteText"/>
        <w:tabs>
          <w:tab w:val="left" w:pos="284"/>
        </w:tabs>
        <w:ind w:left="284" w:hanging="284"/>
        <w:rPr>
          <w:sz w:val="16"/>
          <w:szCs w:val="16"/>
        </w:rPr>
      </w:pPr>
      <w:r w:rsidRPr="00E62EBC">
        <w:rPr>
          <w:rStyle w:val="FootnoteReference"/>
          <w:color w:val="000000"/>
          <w:spacing w:val="-1"/>
          <w:sz w:val="16"/>
          <w:szCs w:val="16"/>
          <w:lang w:val="en-US"/>
        </w:rPr>
        <w:footnoteRef/>
      </w:r>
      <w:r w:rsidRPr="00E62EBC">
        <w:rPr>
          <w:sz w:val="16"/>
          <w:szCs w:val="16"/>
        </w:rPr>
        <w:t xml:space="preserve"> </w:t>
      </w:r>
      <w:r w:rsidRPr="00E62EBC">
        <w:rPr>
          <w:sz w:val="16"/>
          <w:szCs w:val="16"/>
        </w:rPr>
        <w:tab/>
      </w:r>
      <w:r w:rsidRPr="00E62EBC">
        <w:rPr>
          <w:rFonts w:cs="AvenirMaori-Light"/>
          <w:color w:val="000000"/>
          <w:spacing w:val="-1"/>
          <w:sz w:val="16"/>
          <w:szCs w:val="16"/>
          <w:lang w:val="en-US"/>
        </w:rPr>
        <w:t xml:space="preserve">This measure accounts for the number of young people participating in Ministry of Youth Development-funded </w:t>
      </w:r>
      <w:proofErr w:type="spellStart"/>
      <w:r w:rsidRPr="00E62EBC">
        <w:rPr>
          <w:rFonts w:cs="AvenirMaori-Light"/>
          <w:color w:val="000000"/>
          <w:spacing w:val="-1"/>
          <w:sz w:val="16"/>
          <w:szCs w:val="16"/>
          <w:lang w:val="en-US"/>
        </w:rPr>
        <w:t>programmes</w:t>
      </w:r>
      <w:proofErr w:type="spellEnd"/>
      <w:r w:rsidRPr="00E62EBC">
        <w:rPr>
          <w:rFonts w:cs="AvenirMaori-Light"/>
          <w:color w:val="000000"/>
          <w:spacing w:val="-1"/>
          <w:sz w:val="16"/>
          <w:szCs w:val="16"/>
          <w:lang w:val="en-US"/>
        </w:rPr>
        <w:t xml:space="preserve"> and activities which </w:t>
      </w:r>
      <w:r>
        <w:rPr>
          <w:rFonts w:cs="AvenirMaori-Light"/>
          <w:color w:val="000000"/>
          <w:spacing w:val="-1"/>
          <w:sz w:val="16"/>
          <w:szCs w:val="16"/>
          <w:lang w:val="en-US"/>
        </w:rPr>
        <w:t>engage</w:t>
      </w:r>
      <w:r w:rsidRPr="00E62EBC">
        <w:rPr>
          <w:rFonts w:cs="AvenirMaori-Light"/>
          <w:color w:val="000000"/>
          <w:spacing w:val="-1"/>
          <w:sz w:val="16"/>
          <w:szCs w:val="16"/>
          <w:lang w:val="en-US"/>
        </w:rPr>
        <w:t xml:space="preserve"> them in decision-making aspects at a local and national level, such as funding selection panels. This measure </w:t>
      </w:r>
      <w:r>
        <w:rPr>
          <w:rFonts w:cs="AvenirMaori-Light"/>
          <w:color w:val="000000"/>
          <w:spacing w:val="-1"/>
          <w:sz w:val="16"/>
          <w:szCs w:val="16"/>
          <w:lang w:val="en-US"/>
        </w:rPr>
        <w:t>was</w:t>
      </w:r>
      <w:r w:rsidRPr="00E62EBC">
        <w:rPr>
          <w:rFonts w:cs="AvenirMaori-Light"/>
          <w:color w:val="000000"/>
          <w:spacing w:val="-1"/>
          <w:sz w:val="16"/>
          <w:szCs w:val="16"/>
          <w:lang w:val="en-US"/>
        </w:rPr>
        <w:t xml:space="preserve"> assessed through direct feedback from youth participants.</w:t>
      </w:r>
    </w:p>
  </w:footnote>
  <w:footnote w:id="54">
    <w:p w:rsidR="00EF4C81" w:rsidRPr="00E62EBC" w:rsidRDefault="00EF4C81" w:rsidP="009D38E8">
      <w:pPr>
        <w:pStyle w:val="footnote0"/>
        <w:ind w:left="284" w:hanging="284"/>
        <w:rPr>
          <w:rFonts w:ascii="Arial Mäori" w:hAnsi="Arial Mäori"/>
          <w:sz w:val="16"/>
          <w:szCs w:val="16"/>
        </w:rPr>
      </w:pPr>
      <w:r w:rsidRPr="00E62EBC">
        <w:rPr>
          <w:rStyle w:val="FootnoteReference"/>
          <w:rFonts w:ascii="Arial Mäori" w:hAnsi="Arial Mäori"/>
          <w:sz w:val="16"/>
          <w:szCs w:val="16"/>
        </w:rPr>
        <w:footnoteRef/>
      </w:r>
      <w:r w:rsidRPr="00E62EBC">
        <w:rPr>
          <w:rFonts w:ascii="Arial Mäori" w:hAnsi="Arial Mäori"/>
          <w:sz w:val="16"/>
          <w:szCs w:val="16"/>
        </w:rPr>
        <w:t xml:space="preserve"> </w:t>
      </w:r>
      <w:r w:rsidRPr="00E62EBC">
        <w:rPr>
          <w:rFonts w:ascii="Arial Mäori" w:hAnsi="Arial Mäori"/>
          <w:sz w:val="16"/>
          <w:szCs w:val="16"/>
        </w:rPr>
        <w:tab/>
        <w:t xml:space="preserve">Launched by the Minister for the Community and Voluntary Sector in October 2010, the Code of Funding Practice aims to help government agencies and non-profit </w:t>
      </w:r>
      <w:proofErr w:type="spellStart"/>
      <w:r w:rsidRPr="00E62EBC">
        <w:rPr>
          <w:rFonts w:ascii="Arial Mäori" w:hAnsi="Arial Mäori"/>
          <w:sz w:val="16"/>
          <w:szCs w:val="16"/>
        </w:rPr>
        <w:t>organisations</w:t>
      </w:r>
      <w:proofErr w:type="spellEnd"/>
      <w:r w:rsidRPr="00E62EBC">
        <w:rPr>
          <w:rFonts w:ascii="Arial Mäori" w:hAnsi="Arial Mäori"/>
          <w:sz w:val="16"/>
          <w:szCs w:val="16"/>
        </w:rPr>
        <w:t xml:space="preserve"> when entering into government funding arrangements. It sets out seven core codes, 22 key criteria and a range of success indicators.</w:t>
      </w:r>
    </w:p>
  </w:footnote>
  <w:footnote w:id="55">
    <w:p w:rsidR="00EF4C81" w:rsidRPr="00E62EBC" w:rsidRDefault="00EF4C81" w:rsidP="00E62EBC">
      <w:pPr>
        <w:pStyle w:val="FootnoteText"/>
        <w:tabs>
          <w:tab w:val="left" w:pos="284"/>
        </w:tabs>
        <w:ind w:left="284" w:hanging="284"/>
        <w:rPr>
          <w:rFonts w:cs="AvenirMaori-Light"/>
          <w:color w:val="000000"/>
          <w:spacing w:val="-1"/>
          <w:sz w:val="16"/>
          <w:szCs w:val="16"/>
          <w:lang w:val="en-US"/>
        </w:rPr>
      </w:pPr>
      <w:r w:rsidRPr="00E62EBC">
        <w:rPr>
          <w:rStyle w:val="FootnoteReference"/>
          <w:sz w:val="16"/>
          <w:szCs w:val="16"/>
        </w:rPr>
        <w:footnoteRef/>
      </w:r>
      <w:r w:rsidRPr="00E62EBC">
        <w:rPr>
          <w:sz w:val="16"/>
          <w:szCs w:val="16"/>
        </w:rPr>
        <w:t xml:space="preserve"> </w:t>
      </w:r>
      <w:r>
        <w:rPr>
          <w:sz w:val="16"/>
          <w:szCs w:val="16"/>
        </w:rPr>
        <w:tab/>
      </w:r>
      <w:r w:rsidRPr="00E62EBC">
        <w:rPr>
          <w:rFonts w:cs="AvenirMaori-Light"/>
          <w:color w:val="000000"/>
          <w:spacing w:val="-1"/>
          <w:sz w:val="16"/>
          <w:szCs w:val="16"/>
          <w:lang w:val="en-US"/>
        </w:rPr>
        <w:t>Section 249(6) of the Children, Young Persons, and Their Families Act 1989 enables a Family Group Conference to be delayed for special reasons. A Youth Justice Co-</w:t>
      </w:r>
      <w:proofErr w:type="spellStart"/>
      <w:r w:rsidRPr="00E62EBC">
        <w:rPr>
          <w:rFonts w:cs="AvenirMaori-Light"/>
          <w:color w:val="000000"/>
          <w:spacing w:val="-1"/>
          <w:sz w:val="16"/>
          <w:szCs w:val="16"/>
          <w:lang w:val="en-US"/>
        </w:rPr>
        <w:t>ordinator</w:t>
      </w:r>
      <w:proofErr w:type="spellEnd"/>
      <w:r w:rsidRPr="00E62EBC">
        <w:rPr>
          <w:rFonts w:cs="AvenirMaori-Light"/>
          <w:color w:val="000000"/>
          <w:spacing w:val="-1"/>
          <w:sz w:val="16"/>
          <w:szCs w:val="16"/>
          <w:lang w:val="en-US"/>
        </w:rPr>
        <w:t xml:space="preserve"> may hold a Family Group Conference outside the normal timeframes or adjourn to a later date due to:</w:t>
      </w:r>
    </w:p>
    <w:p w:rsidR="00EF4C81" w:rsidRPr="00E62EBC" w:rsidRDefault="00EF4C81" w:rsidP="0084135B">
      <w:pPr>
        <w:pStyle w:val="FootnoteText"/>
        <w:numPr>
          <w:ilvl w:val="0"/>
          <w:numId w:val="12"/>
        </w:numPr>
        <w:tabs>
          <w:tab w:val="left" w:pos="284"/>
        </w:tabs>
        <w:ind w:left="568" w:hanging="284"/>
        <w:rPr>
          <w:rFonts w:cs="AvenirMaori-Light"/>
          <w:color w:val="000000"/>
          <w:spacing w:val="-1"/>
          <w:sz w:val="16"/>
          <w:szCs w:val="16"/>
          <w:lang w:val="en-US"/>
        </w:rPr>
      </w:pPr>
      <w:r w:rsidRPr="00E62EBC">
        <w:rPr>
          <w:rFonts w:cs="AvenirMaori-Light"/>
          <w:color w:val="000000"/>
          <w:spacing w:val="-1"/>
          <w:sz w:val="16"/>
          <w:szCs w:val="16"/>
          <w:lang w:val="en-US"/>
        </w:rPr>
        <w:t xml:space="preserve">the unavailability of key </w:t>
      </w:r>
      <w:proofErr w:type="spellStart"/>
      <w:r w:rsidRPr="00E62EBC">
        <w:rPr>
          <w:rFonts w:cs="AvenirMaori-Light"/>
          <w:color w:val="000000"/>
          <w:spacing w:val="-1"/>
          <w:sz w:val="16"/>
          <w:szCs w:val="16"/>
          <w:lang w:val="en-US"/>
        </w:rPr>
        <w:t>wh</w:t>
      </w:r>
      <w:r w:rsidRPr="00E62EBC">
        <w:rPr>
          <w:rFonts w:ascii="Arial" w:hAnsi="Arial" w:cs="Arial"/>
          <w:color w:val="000000"/>
          <w:spacing w:val="-1"/>
          <w:sz w:val="16"/>
          <w:szCs w:val="16"/>
          <w:lang w:val="en-US"/>
        </w:rPr>
        <w:t>ā</w:t>
      </w:r>
      <w:r w:rsidRPr="00E62EBC">
        <w:rPr>
          <w:rFonts w:cs="AvenirMaori-Light"/>
          <w:color w:val="000000"/>
          <w:spacing w:val="-1"/>
          <w:sz w:val="16"/>
          <w:szCs w:val="16"/>
          <w:lang w:val="en-US"/>
        </w:rPr>
        <w:t>nau</w:t>
      </w:r>
      <w:proofErr w:type="spellEnd"/>
      <w:r w:rsidRPr="00E62EBC">
        <w:rPr>
          <w:rFonts w:cs="AvenirMaori-Light"/>
          <w:color w:val="000000"/>
          <w:spacing w:val="-1"/>
          <w:sz w:val="16"/>
          <w:szCs w:val="16"/>
          <w:lang w:val="en-US"/>
        </w:rPr>
        <w:t xml:space="preserve"> (especially the custodial parent), the child or young person, a victim or the youth advocate</w:t>
      </w:r>
    </w:p>
    <w:p w:rsidR="00EF4C81" w:rsidRPr="00E62EBC" w:rsidRDefault="00EF4C81" w:rsidP="0084135B">
      <w:pPr>
        <w:pStyle w:val="FootnoteText"/>
        <w:numPr>
          <w:ilvl w:val="0"/>
          <w:numId w:val="12"/>
        </w:numPr>
        <w:tabs>
          <w:tab w:val="left" w:pos="284"/>
        </w:tabs>
        <w:ind w:left="568" w:hanging="284"/>
        <w:rPr>
          <w:rFonts w:cs="AvenirMaori-Light"/>
          <w:color w:val="000000"/>
          <w:spacing w:val="-1"/>
          <w:sz w:val="16"/>
          <w:szCs w:val="16"/>
          <w:lang w:val="en-US"/>
        </w:rPr>
      </w:pPr>
      <w:r w:rsidRPr="00E62EBC">
        <w:rPr>
          <w:rFonts w:cs="AvenirMaori-Light"/>
          <w:color w:val="000000"/>
          <w:spacing w:val="-1"/>
          <w:sz w:val="16"/>
          <w:szCs w:val="16"/>
          <w:lang w:val="en-US"/>
        </w:rPr>
        <w:t>a delay in receiving information that is critical for the Family Group Conference to consider</w:t>
      </w:r>
    </w:p>
    <w:p w:rsidR="00EF4C81" w:rsidRPr="00E62EBC" w:rsidRDefault="00EF4C81" w:rsidP="0084135B">
      <w:pPr>
        <w:pStyle w:val="FootnoteText"/>
        <w:numPr>
          <w:ilvl w:val="0"/>
          <w:numId w:val="12"/>
        </w:numPr>
        <w:tabs>
          <w:tab w:val="left" w:pos="284"/>
        </w:tabs>
        <w:ind w:left="568" w:hanging="284"/>
        <w:rPr>
          <w:rFonts w:cs="AvenirMaori-Light"/>
          <w:color w:val="000000"/>
          <w:spacing w:val="-1"/>
          <w:sz w:val="16"/>
          <w:szCs w:val="16"/>
          <w:lang w:val="en-US"/>
        </w:rPr>
      </w:pPr>
      <w:proofErr w:type="gramStart"/>
      <w:r w:rsidRPr="00E62EBC">
        <w:rPr>
          <w:rFonts w:cs="AvenirMaori-Light"/>
          <w:color w:val="000000"/>
          <w:spacing w:val="-1"/>
          <w:sz w:val="16"/>
          <w:szCs w:val="16"/>
          <w:lang w:val="en-US"/>
        </w:rPr>
        <w:t>the</w:t>
      </w:r>
      <w:proofErr w:type="gramEnd"/>
      <w:r w:rsidRPr="00E62EBC">
        <w:rPr>
          <w:rFonts w:cs="AvenirMaori-Light"/>
          <w:color w:val="000000"/>
          <w:spacing w:val="-1"/>
          <w:sz w:val="16"/>
          <w:szCs w:val="16"/>
          <w:lang w:val="en-US"/>
        </w:rPr>
        <w:t xml:space="preserve"> Family Group Conference requesting an adjournment to enable its members to come to an agreement.</w:t>
      </w:r>
    </w:p>
    <w:p w:rsidR="00EF4C81" w:rsidRPr="00DB3F29" w:rsidRDefault="00EF4C81" w:rsidP="009D38E8">
      <w:pPr>
        <w:pStyle w:val="FootnoteText"/>
        <w:ind w:left="252" w:hanging="252"/>
      </w:pPr>
    </w:p>
  </w:footnote>
  <w:footnote w:id="56">
    <w:p w:rsidR="00EF4C81" w:rsidRPr="002B7C11" w:rsidRDefault="00EF4C81" w:rsidP="002B7C11">
      <w:pPr>
        <w:pStyle w:val="footnote0"/>
        <w:tabs>
          <w:tab w:val="left" w:pos="284"/>
        </w:tabs>
        <w:spacing w:after="0" w:line="240" w:lineRule="auto"/>
        <w:ind w:left="284" w:hanging="284"/>
        <w:rPr>
          <w:rFonts w:ascii="Arial Mäori" w:hAnsi="Arial Mäori"/>
          <w:sz w:val="16"/>
          <w:szCs w:val="16"/>
        </w:rPr>
      </w:pPr>
      <w:r w:rsidRPr="002B7C11">
        <w:rPr>
          <w:rStyle w:val="FootnoteReference"/>
          <w:rFonts w:ascii="Arial Mäori" w:hAnsi="Arial Mäori"/>
          <w:sz w:val="16"/>
          <w:szCs w:val="16"/>
        </w:rPr>
        <w:footnoteRef/>
      </w:r>
      <w:r w:rsidRPr="002B7C11">
        <w:rPr>
          <w:rFonts w:ascii="Arial Mäori" w:hAnsi="Arial Mäori"/>
          <w:sz w:val="16"/>
          <w:szCs w:val="16"/>
        </w:rPr>
        <w:t xml:space="preserve"> </w:t>
      </w:r>
      <w:r w:rsidRPr="002B7C11">
        <w:rPr>
          <w:rFonts w:ascii="Arial Mäori" w:hAnsi="Arial Mäori"/>
          <w:sz w:val="16"/>
          <w:szCs w:val="16"/>
        </w:rPr>
        <w:tab/>
        <w:t>Under s</w:t>
      </w:r>
      <w:r>
        <w:rPr>
          <w:rFonts w:ascii="Arial Mäori" w:hAnsi="Arial Mäori"/>
          <w:sz w:val="16"/>
          <w:szCs w:val="16"/>
        </w:rPr>
        <w:t xml:space="preserve">ection </w:t>
      </w:r>
      <w:r w:rsidRPr="002B7C11">
        <w:rPr>
          <w:rFonts w:ascii="Arial Mäori" w:hAnsi="Arial Mäori"/>
          <w:sz w:val="16"/>
          <w:szCs w:val="16"/>
        </w:rPr>
        <w:t>314(2) of the Children, Young Persons</w:t>
      </w:r>
      <w:r>
        <w:rPr>
          <w:rFonts w:ascii="Arial Mäori" w:hAnsi="Arial Mäori"/>
          <w:sz w:val="16"/>
          <w:szCs w:val="16"/>
        </w:rPr>
        <w:t>,</w:t>
      </w:r>
      <w:r w:rsidRPr="002B7C11">
        <w:rPr>
          <w:rFonts w:ascii="Arial Mäori" w:hAnsi="Arial Mäori"/>
          <w:sz w:val="16"/>
          <w:szCs w:val="16"/>
        </w:rPr>
        <w:t xml:space="preserve"> and </w:t>
      </w:r>
      <w:r>
        <w:rPr>
          <w:rFonts w:ascii="Arial Mäori" w:hAnsi="Arial Mäori"/>
          <w:sz w:val="16"/>
          <w:szCs w:val="16"/>
        </w:rPr>
        <w:t>T</w:t>
      </w:r>
      <w:r w:rsidRPr="002B7C11">
        <w:rPr>
          <w:rFonts w:ascii="Arial Mäori" w:hAnsi="Arial Mäori"/>
          <w:sz w:val="16"/>
          <w:szCs w:val="16"/>
        </w:rPr>
        <w:t xml:space="preserve">heir Families Act 1989, where a young person has been placed on </w:t>
      </w:r>
      <w:proofErr w:type="gramStart"/>
      <w:r w:rsidRPr="002B7C11">
        <w:rPr>
          <w:rFonts w:ascii="Arial Mäori" w:hAnsi="Arial Mäori"/>
          <w:sz w:val="16"/>
          <w:szCs w:val="16"/>
        </w:rPr>
        <w:t>a Supervision</w:t>
      </w:r>
      <w:proofErr w:type="gramEnd"/>
      <w:r w:rsidRPr="002B7C11">
        <w:rPr>
          <w:rFonts w:ascii="Arial Mäori" w:hAnsi="Arial Mäori"/>
          <w:sz w:val="16"/>
          <w:szCs w:val="16"/>
        </w:rPr>
        <w:t xml:space="preserve"> with Residence Order, we are required to furnish the Youth Court with a report on whether the young person has earned early release at </w:t>
      </w:r>
      <w:r>
        <w:rPr>
          <w:rFonts w:ascii="Arial Mäori" w:hAnsi="Arial Mäori"/>
          <w:sz w:val="16"/>
          <w:szCs w:val="16"/>
        </w:rPr>
        <w:t>the two-</w:t>
      </w:r>
      <w:r w:rsidRPr="002B7C11">
        <w:rPr>
          <w:rFonts w:ascii="Arial Mäori" w:hAnsi="Arial Mäori"/>
          <w:sz w:val="16"/>
          <w:szCs w:val="16"/>
        </w:rPr>
        <w:t xml:space="preserve">thirds point of their sentence. These reports enable the Youth Court to make decisions on early release. </w:t>
      </w:r>
    </w:p>
  </w:footnote>
  <w:footnote w:id="57">
    <w:p w:rsidR="00EF4C81" w:rsidRPr="002B7C11" w:rsidRDefault="00EF4C81" w:rsidP="002B7C11">
      <w:pPr>
        <w:pStyle w:val="footnote0"/>
        <w:tabs>
          <w:tab w:val="left" w:pos="284"/>
        </w:tabs>
        <w:spacing w:after="0" w:line="240" w:lineRule="auto"/>
        <w:ind w:left="284" w:hanging="284"/>
        <w:rPr>
          <w:rFonts w:ascii="Arial Mäori" w:hAnsi="Arial Mäori"/>
          <w:sz w:val="16"/>
          <w:szCs w:val="16"/>
        </w:rPr>
      </w:pPr>
      <w:r w:rsidRPr="002B7C11">
        <w:rPr>
          <w:rStyle w:val="FootnoteReference"/>
          <w:rFonts w:ascii="Arial Mäori" w:hAnsi="Arial Mäori"/>
          <w:sz w:val="16"/>
          <w:szCs w:val="16"/>
        </w:rPr>
        <w:footnoteRef/>
      </w:r>
      <w:r w:rsidRPr="002B7C11">
        <w:rPr>
          <w:rFonts w:ascii="Arial Mäori" w:hAnsi="Arial Mäori"/>
          <w:sz w:val="16"/>
          <w:szCs w:val="16"/>
        </w:rPr>
        <w:t xml:space="preserve"> </w:t>
      </w:r>
      <w:r w:rsidRPr="002B7C11">
        <w:rPr>
          <w:rFonts w:ascii="Arial Mäori" w:hAnsi="Arial Mäori"/>
          <w:sz w:val="16"/>
          <w:szCs w:val="16"/>
        </w:rPr>
        <w:tab/>
        <w:t>The work in relation to the internal audit, review or survey for this measure is conducted during the year and reported on an annual basis. Under the audit, a random sample of reports is reviewed internal</w:t>
      </w:r>
      <w:r>
        <w:rPr>
          <w:rFonts w:ascii="Arial Mäori" w:hAnsi="Arial Mäori"/>
          <w:sz w:val="16"/>
          <w:szCs w:val="16"/>
        </w:rPr>
        <w:t xml:space="preserve">ly during the year to assess whether </w:t>
      </w:r>
      <w:r w:rsidRPr="002B7C11">
        <w:rPr>
          <w:rFonts w:ascii="Arial Mäori" w:hAnsi="Arial Mäori"/>
          <w:sz w:val="16"/>
          <w:szCs w:val="16"/>
        </w:rPr>
        <w:t>they comply with minimum quality assurance standards.</w:t>
      </w:r>
    </w:p>
  </w:footnote>
  <w:footnote w:id="58">
    <w:p w:rsidR="00EF4C81" w:rsidRPr="002B7C11" w:rsidRDefault="00EF4C81" w:rsidP="002B7C11">
      <w:pPr>
        <w:pStyle w:val="footnote0"/>
        <w:tabs>
          <w:tab w:val="left" w:pos="284"/>
        </w:tabs>
        <w:spacing w:after="0" w:line="240" w:lineRule="auto"/>
        <w:ind w:left="284" w:hanging="284"/>
        <w:rPr>
          <w:rFonts w:ascii="Arial Mäori" w:hAnsi="Arial Mäori"/>
          <w:sz w:val="16"/>
          <w:szCs w:val="16"/>
        </w:rPr>
      </w:pPr>
      <w:r w:rsidRPr="002B7C11">
        <w:rPr>
          <w:rStyle w:val="FootnoteReference"/>
          <w:rFonts w:ascii="Arial Mäori" w:hAnsi="Arial Mäori"/>
          <w:sz w:val="16"/>
          <w:szCs w:val="16"/>
        </w:rPr>
        <w:footnoteRef/>
      </w:r>
      <w:r w:rsidRPr="002B7C11">
        <w:rPr>
          <w:rFonts w:ascii="Arial Mäori" w:hAnsi="Arial Mäori"/>
          <w:sz w:val="16"/>
          <w:szCs w:val="16"/>
        </w:rPr>
        <w:t xml:space="preserve"> </w:t>
      </w:r>
      <w:r w:rsidRPr="002B7C11">
        <w:rPr>
          <w:rFonts w:ascii="Arial Mäori" w:hAnsi="Arial Mäori"/>
          <w:sz w:val="16"/>
          <w:szCs w:val="16"/>
        </w:rPr>
        <w:tab/>
        <w:t>Assessments for both New Zealand Superannuation and Veterans</w:t>
      </w:r>
      <w:r>
        <w:rPr>
          <w:rFonts w:ascii="Arial Mäori" w:hAnsi="Arial Mäori"/>
          <w:sz w:val="16"/>
          <w:szCs w:val="16"/>
        </w:rPr>
        <w:t>’</w:t>
      </w:r>
      <w:r w:rsidRPr="002B7C11">
        <w:rPr>
          <w:rFonts w:ascii="Arial Mäori" w:hAnsi="Arial Mäori"/>
          <w:sz w:val="16"/>
          <w:szCs w:val="16"/>
        </w:rPr>
        <w:t xml:space="preserve"> Pensions are completed by the same staff. The increase in workload affects the results for both New Zealand Superannuation and Veteran's Pension assessment measures.</w:t>
      </w:r>
    </w:p>
  </w:footnote>
  <w:footnote w:id="59">
    <w:p w:rsidR="00EF4C81" w:rsidRPr="009535F7" w:rsidRDefault="00EF4C81" w:rsidP="002B7C11">
      <w:pPr>
        <w:pStyle w:val="footnote0"/>
        <w:tabs>
          <w:tab w:val="left" w:pos="284"/>
        </w:tabs>
        <w:spacing w:after="0" w:line="240" w:lineRule="auto"/>
        <w:ind w:left="284" w:hanging="284"/>
      </w:pPr>
      <w:r w:rsidRPr="002B7C11">
        <w:rPr>
          <w:rStyle w:val="FootnoteReference"/>
          <w:rFonts w:ascii="Arial Mäori" w:hAnsi="Arial Mäori"/>
          <w:sz w:val="16"/>
          <w:szCs w:val="16"/>
        </w:rPr>
        <w:footnoteRef/>
      </w:r>
      <w:r w:rsidRPr="002B7C11">
        <w:rPr>
          <w:rFonts w:ascii="Arial Mäori" w:hAnsi="Arial Mäori"/>
          <w:sz w:val="16"/>
          <w:szCs w:val="16"/>
        </w:rPr>
        <w:t xml:space="preserve"> </w:t>
      </w:r>
      <w:r w:rsidRPr="002B7C11">
        <w:rPr>
          <w:rFonts w:ascii="Arial Mäori" w:hAnsi="Arial Mäori"/>
          <w:sz w:val="16"/>
          <w:szCs w:val="16"/>
        </w:rPr>
        <w:tab/>
      </w:r>
      <w:proofErr w:type="gramStart"/>
      <w:r w:rsidRPr="002B7C11">
        <w:rPr>
          <w:rFonts w:ascii="Arial Mäori" w:hAnsi="Arial Mäori"/>
          <w:sz w:val="16"/>
          <w:szCs w:val="16"/>
        </w:rPr>
        <w:t>Five working days for Veteran's Pension entitlement assessments for payment in New Zealand and 20 working days for Veteran's Pension entitlement assessments for payment overseas.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81" w:rsidRDefault="00EF4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81" w:rsidRDefault="00EF4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81" w:rsidRDefault="00EF4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4C9658"/>
    <w:lvl w:ilvl="0">
      <w:start w:val="1"/>
      <w:numFmt w:val="bullet"/>
      <w:pStyle w:val="Bullet1"/>
      <w:lvlText w:val=""/>
      <w:lvlJc w:val="left"/>
      <w:pPr>
        <w:tabs>
          <w:tab w:val="num" w:pos="360"/>
        </w:tabs>
        <w:ind w:left="360" w:hanging="360"/>
      </w:pPr>
      <w:rPr>
        <w:rFonts w:ascii="Symbol" w:hAnsi="Symbol" w:hint="default"/>
      </w:rPr>
    </w:lvl>
  </w:abstractNum>
  <w:abstractNum w:abstractNumId="1">
    <w:nsid w:val="00C2453E"/>
    <w:multiLevelType w:val="multilevel"/>
    <w:tmpl w:val="B3BA67EC"/>
    <w:styleLink w:val="RecList"/>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
    <w:nsid w:val="0105575E"/>
    <w:multiLevelType w:val="hybridMultilevel"/>
    <w:tmpl w:val="ED8E0B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0369734E"/>
    <w:multiLevelType w:val="hybridMultilevel"/>
    <w:tmpl w:val="99721CBE"/>
    <w:lvl w:ilvl="0" w:tplc="92B226FA">
      <w:numFmt w:val="bullet"/>
      <w:lvlText w:val="•"/>
      <w:lvlJc w:val="left"/>
      <w:pPr>
        <w:ind w:left="644" w:hanging="360"/>
      </w:pPr>
      <w:rPr>
        <w:rFonts w:ascii="Arial Mäori" w:eastAsia="Times New Roman" w:hAnsi="Arial Mäori" w:cs="AvenirMaori-Light"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4">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1C3E2271"/>
    <w:multiLevelType w:val="hybridMultilevel"/>
    <w:tmpl w:val="1382A75E"/>
    <w:lvl w:ilvl="0" w:tplc="24C270FE">
      <w:numFmt w:val="bullet"/>
      <w:lvlText w:val="•"/>
      <w:lvlJc w:val="left"/>
      <w:pPr>
        <w:ind w:left="720" w:hanging="360"/>
      </w:pPr>
      <w:rPr>
        <w:rFonts w:ascii="Arial Mäori" w:eastAsia="Times New Roman" w:hAnsi="Arial Mäori" w:cs="AvenirMaori-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F767299"/>
    <w:multiLevelType w:val="hybridMultilevel"/>
    <w:tmpl w:val="6E205864"/>
    <w:lvl w:ilvl="0" w:tplc="FF0E4152">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FF55FA4"/>
    <w:multiLevelType w:val="multilevel"/>
    <w:tmpl w:val="3138ABF0"/>
    <w:lvl w:ilvl="0">
      <w:start w:val="1"/>
      <w:numFmt w:val="bullet"/>
      <w:pStyle w:val="ANZBulletLevel1"/>
      <w:lvlText w:val=""/>
      <w:lvlJc w:val="left"/>
      <w:pPr>
        <w:ind w:left="851" w:hanging="851"/>
      </w:pPr>
      <w:rPr>
        <w:rFonts w:ascii="Symbol" w:hAnsi="Symbol" w:hint="default"/>
        <w:sz w:val="22"/>
      </w:rPr>
    </w:lvl>
    <w:lvl w:ilvl="1">
      <w:start w:val="1"/>
      <w:numFmt w:val="bullet"/>
      <w:pStyle w:val="ANZBulletLevel2"/>
      <w:lvlText w:val=""/>
      <w:lvlJc w:val="left"/>
      <w:pPr>
        <w:ind w:left="1701" w:hanging="850"/>
      </w:pPr>
      <w:rPr>
        <w:rFonts w:ascii="Wingdings" w:hAnsi="Wingdings" w:hint="default"/>
        <w:sz w:val="12"/>
      </w:rPr>
    </w:lvl>
    <w:lvl w:ilvl="2">
      <w:start w:val="1"/>
      <w:numFmt w:val="bullet"/>
      <w:pStyle w:val="ANZBulletLevel3"/>
      <w:lvlText w:val=""/>
      <w:lvlJc w:val="left"/>
      <w:pPr>
        <w:tabs>
          <w:tab w:val="num" w:pos="1701"/>
        </w:tabs>
        <w:ind w:left="2552" w:hanging="851"/>
      </w:pPr>
      <w:rPr>
        <w:rFonts w:ascii="Symbol" w:hAnsi="Symbol" w:hint="default"/>
        <w:sz w:val="10"/>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9">
    <w:nsid w:val="52926E3A"/>
    <w:multiLevelType w:val="hybridMultilevel"/>
    <w:tmpl w:val="F8C8D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BDF3697"/>
    <w:multiLevelType w:val="multilevel"/>
    <w:tmpl w:val="F8904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D2D57E0"/>
    <w:multiLevelType w:val="hybridMultilevel"/>
    <w:tmpl w:val="DEBEB064"/>
    <w:lvl w:ilvl="0" w:tplc="1DE6407E">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DEE327B"/>
    <w:multiLevelType w:val="hybridMultilevel"/>
    <w:tmpl w:val="96EE94A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0"/>
  </w:num>
  <w:num w:numId="4">
    <w:abstractNumId w:val="4"/>
  </w:num>
  <w:num w:numId="5">
    <w:abstractNumId w:val="8"/>
  </w:num>
  <w:num w:numId="6">
    <w:abstractNumId w:val="11"/>
  </w:num>
  <w:num w:numId="7">
    <w:abstractNumId w:val="7"/>
  </w:num>
  <w:num w:numId="8">
    <w:abstractNumId w:val="12"/>
  </w:num>
  <w:num w:numId="9">
    <w:abstractNumId w:val="1"/>
  </w:num>
  <w:num w:numId="10">
    <w:abstractNumId w:val="9"/>
  </w:num>
  <w:num w:numId="11">
    <w:abstractNumId w:val="3"/>
  </w:num>
  <w:num w:numId="12">
    <w:abstractNumId w:val="6"/>
  </w:num>
  <w:num w:numId="13">
    <w:abstractNumId w:val="2"/>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BD"/>
    <w:rsid w:val="00000141"/>
    <w:rsid w:val="00000B4C"/>
    <w:rsid w:val="00002062"/>
    <w:rsid w:val="00003269"/>
    <w:rsid w:val="00003C13"/>
    <w:rsid w:val="00004E88"/>
    <w:rsid w:val="00007657"/>
    <w:rsid w:val="000106D0"/>
    <w:rsid w:val="00010F35"/>
    <w:rsid w:val="00011970"/>
    <w:rsid w:val="000156A7"/>
    <w:rsid w:val="000164A0"/>
    <w:rsid w:val="00021A17"/>
    <w:rsid w:val="00024C98"/>
    <w:rsid w:val="00025116"/>
    <w:rsid w:val="000314A1"/>
    <w:rsid w:val="00033C03"/>
    <w:rsid w:val="000356CA"/>
    <w:rsid w:val="00035E72"/>
    <w:rsid w:val="000360AF"/>
    <w:rsid w:val="00036460"/>
    <w:rsid w:val="00037AE4"/>
    <w:rsid w:val="00037CB0"/>
    <w:rsid w:val="00040F42"/>
    <w:rsid w:val="00045D2B"/>
    <w:rsid w:val="00047C0B"/>
    <w:rsid w:val="00047CCA"/>
    <w:rsid w:val="00054ADC"/>
    <w:rsid w:val="00057621"/>
    <w:rsid w:val="000610B9"/>
    <w:rsid w:val="0006127E"/>
    <w:rsid w:val="0006150D"/>
    <w:rsid w:val="00062F54"/>
    <w:rsid w:val="000653DD"/>
    <w:rsid w:val="0006768E"/>
    <w:rsid w:val="00067E0F"/>
    <w:rsid w:val="00072549"/>
    <w:rsid w:val="000736BE"/>
    <w:rsid w:val="000736F8"/>
    <w:rsid w:val="000747F6"/>
    <w:rsid w:val="000808BC"/>
    <w:rsid w:val="000817D1"/>
    <w:rsid w:val="000828E4"/>
    <w:rsid w:val="000839BF"/>
    <w:rsid w:val="00087CB2"/>
    <w:rsid w:val="00087EB8"/>
    <w:rsid w:val="000912BE"/>
    <w:rsid w:val="00091301"/>
    <w:rsid w:val="00093E42"/>
    <w:rsid w:val="000A12FD"/>
    <w:rsid w:val="000A2A52"/>
    <w:rsid w:val="000B1656"/>
    <w:rsid w:val="000B3B48"/>
    <w:rsid w:val="000B579D"/>
    <w:rsid w:val="000B5E04"/>
    <w:rsid w:val="000B71E0"/>
    <w:rsid w:val="000B7268"/>
    <w:rsid w:val="000B753D"/>
    <w:rsid w:val="000D119D"/>
    <w:rsid w:val="000E012E"/>
    <w:rsid w:val="000E1052"/>
    <w:rsid w:val="000E171E"/>
    <w:rsid w:val="000E3BB9"/>
    <w:rsid w:val="000E4779"/>
    <w:rsid w:val="000E6395"/>
    <w:rsid w:val="000F2846"/>
    <w:rsid w:val="000F5852"/>
    <w:rsid w:val="001028F0"/>
    <w:rsid w:val="00106AED"/>
    <w:rsid w:val="00107430"/>
    <w:rsid w:val="00122EA7"/>
    <w:rsid w:val="001232A0"/>
    <w:rsid w:val="00123796"/>
    <w:rsid w:val="00125CE8"/>
    <w:rsid w:val="001300D8"/>
    <w:rsid w:val="00135AC3"/>
    <w:rsid w:val="00135BE7"/>
    <w:rsid w:val="00136AE5"/>
    <w:rsid w:val="00137A25"/>
    <w:rsid w:val="00140692"/>
    <w:rsid w:val="00142E5C"/>
    <w:rsid w:val="00145C7C"/>
    <w:rsid w:val="00145D40"/>
    <w:rsid w:val="0014778E"/>
    <w:rsid w:val="0015027E"/>
    <w:rsid w:val="00152326"/>
    <w:rsid w:val="00153964"/>
    <w:rsid w:val="00155C24"/>
    <w:rsid w:val="001569CC"/>
    <w:rsid w:val="00160321"/>
    <w:rsid w:val="00160D31"/>
    <w:rsid w:val="00162518"/>
    <w:rsid w:val="001642C8"/>
    <w:rsid w:val="0016785C"/>
    <w:rsid w:val="00167AA3"/>
    <w:rsid w:val="00175143"/>
    <w:rsid w:val="00180CCC"/>
    <w:rsid w:val="001812A8"/>
    <w:rsid w:val="00183357"/>
    <w:rsid w:val="00185B81"/>
    <w:rsid w:val="00191BEA"/>
    <w:rsid w:val="00191C43"/>
    <w:rsid w:val="00191DD8"/>
    <w:rsid w:val="00195810"/>
    <w:rsid w:val="00197CE4"/>
    <w:rsid w:val="001A003C"/>
    <w:rsid w:val="001A1CF9"/>
    <w:rsid w:val="001B3EA1"/>
    <w:rsid w:val="001B407B"/>
    <w:rsid w:val="001B41FF"/>
    <w:rsid w:val="001C26E5"/>
    <w:rsid w:val="001C34E6"/>
    <w:rsid w:val="001D3744"/>
    <w:rsid w:val="001D59C6"/>
    <w:rsid w:val="001D5D2B"/>
    <w:rsid w:val="001D6233"/>
    <w:rsid w:val="001D6665"/>
    <w:rsid w:val="001D6B48"/>
    <w:rsid w:val="001E02FD"/>
    <w:rsid w:val="001E03A7"/>
    <w:rsid w:val="001E4D0D"/>
    <w:rsid w:val="001E5CF8"/>
    <w:rsid w:val="001E749B"/>
    <w:rsid w:val="001E76FB"/>
    <w:rsid w:val="001F0EDE"/>
    <w:rsid w:val="001F2612"/>
    <w:rsid w:val="0020013E"/>
    <w:rsid w:val="00205CFD"/>
    <w:rsid w:val="00206DD9"/>
    <w:rsid w:val="00212B0B"/>
    <w:rsid w:val="00212CE1"/>
    <w:rsid w:val="00213DA6"/>
    <w:rsid w:val="00215C06"/>
    <w:rsid w:val="00215FAD"/>
    <w:rsid w:val="00216302"/>
    <w:rsid w:val="0022186B"/>
    <w:rsid w:val="0022354E"/>
    <w:rsid w:val="002267C4"/>
    <w:rsid w:val="00231004"/>
    <w:rsid w:val="0023229C"/>
    <w:rsid w:val="00233B75"/>
    <w:rsid w:val="00234B63"/>
    <w:rsid w:val="0023716F"/>
    <w:rsid w:val="00243F4F"/>
    <w:rsid w:val="00243FA6"/>
    <w:rsid w:val="002457F4"/>
    <w:rsid w:val="00245A2B"/>
    <w:rsid w:val="00245F96"/>
    <w:rsid w:val="002507D1"/>
    <w:rsid w:val="00250FA7"/>
    <w:rsid w:val="002529BE"/>
    <w:rsid w:val="00253E08"/>
    <w:rsid w:val="00254A5B"/>
    <w:rsid w:val="0025573A"/>
    <w:rsid w:val="00263088"/>
    <w:rsid w:val="00263A3F"/>
    <w:rsid w:val="00265F46"/>
    <w:rsid w:val="00270599"/>
    <w:rsid w:val="00274630"/>
    <w:rsid w:val="0027499B"/>
    <w:rsid w:val="002763D1"/>
    <w:rsid w:val="00276535"/>
    <w:rsid w:val="00277C5E"/>
    <w:rsid w:val="00281DD5"/>
    <w:rsid w:val="00285B5E"/>
    <w:rsid w:val="002868BF"/>
    <w:rsid w:val="002954F9"/>
    <w:rsid w:val="00295984"/>
    <w:rsid w:val="00297A3F"/>
    <w:rsid w:val="002A32B5"/>
    <w:rsid w:val="002A3A69"/>
    <w:rsid w:val="002A4171"/>
    <w:rsid w:val="002A4830"/>
    <w:rsid w:val="002A4DD6"/>
    <w:rsid w:val="002A5376"/>
    <w:rsid w:val="002B084E"/>
    <w:rsid w:val="002B2CF3"/>
    <w:rsid w:val="002B3944"/>
    <w:rsid w:val="002B4F36"/>
    <w:rsid w:val="002B6F39"/>
    <w:rsid w:val="002B6F70"/>
    <w:rsid w:val="002B7C11"/>
    <w:rsid w:val="002C09C2"/>
    <w:rsid w:val="002C50EC"/>
    <w:rsid w:val="002C65D6"/>
    <w:rsid w:val="002D0B14"/>
    <w:rsid w:val="002D1C62"/>
    <w:rsid w:val="002D23B8"/>
    <w:rsid w:val="002D428B"/>
    <w:rsid w:val="002D4C22"/>
    <w:rsid w:val="002E0D6A"/>
    <w:rsid w:val="002E0FAD"/>
    <w:rsid w:val="002E4C37"/>
    <w:rsid w:val="002F1075"/>
    <w:rsid w:val="002F25FF"/>
    <w:rsid w:val="002F7137"/>
    <w:rsid w:val="0030093F"/>
    <w:rsid w:val="003018B5"/>
    <w:rsid w:val="00304607"/>
    <w:rsid w:val="00306C38"/>
    <w:rsid w:val="00307932"/>
    <w:rsid w:val="00316974"/>
    <w:rsid w:val="0031698A"/>
    <w:rsid w:val="003208FA"/>
    <w:rsid w:val="00320CE9"/>
    <w:rsid w:val="00320D68"/>
    <w:rsid w:val="00323EAA"/>
    <w:rsid w:val="00333739"/>
    <w:rsid w:val="0033463B"/>
    <w:rsid w:val="00343DA8"/>
    <w:rsid w:val="00344803"/>
    <w:rsid w:val="003457CB"/>
    <w:rsid w:val="00345F38"/>
    <w:rsid w:val="0035071C"/>
    <w:rsid w:val="003509F1"/>
    <w:rsid w:val="003521ED"/>
    <w:rsid w:val="00352770"/>
    <w:rsid w:val="00354EC2"/>
    <w:rsid w:val="00357CEC"/>
    <w:rsid w:val="00365176"/>
    <w:rsid w:val="00366B46"/>
    <w:rsid w:val="0036744A"/>
    <w:rsid w:val="003725DB"/>
    <w:rsid w:val="00372648"/>
    <w:rsid w:val="003726AA"/>
    <w:rsid w:val="00374392"/>
    <w:rsid w:val="00374706"/>
    <w:rsid w:val="003756C8"/>
    <w:rsid w:val="0038091F"/>
    <w:rsid w:val="00380E3A"/>
    <w:rsid w:val="00383564"/>
    <w:rsid w:val="00383B35"/>
    <w:rsid w:val="00383EB1"/>
    <w:rsid w:val="0038648B"/>
    <w:rsid w:val="003906AB"/>
    <w:rsid w:val="003918F0"/>
    <w:rsid w:val="003935F2"/>
    <w:rsid w:val="00395258"/>
    <w:rsid w:val="003A0921"/>
    <w:rsid w:val="003A2051"/>
    <w:rsid w:val="003A2699"/>
    <w:rsid w:val="003A2CFC"/>
    <w:rsid w:val="003A3F47"/>
    <w:rsid w:val="003A40A3"/>
    <w:rsid w:val="003B14ED"/>
    <w:rsid w:val="003B1FC3"/>
    <w:rsid w:val="003B688E"/>
    <w:rsid w:val="003C3576"/>
    <w:rsid w:val="003C45BE"/>
    <w:rsid w:val="003C5ADD"/>
    <w:rsid w:val="003C6329"/>
    <w:rsid w:val="003C69A1"/>
    <w:rsid w:val="003C7442"/>
    <w:rsid w:val="003D0900"/>
    <w:rsid w:val="003D1174"/>
    <w:rsid w:val="003D2402"/>
    <w:rsid w:val="003D2AE0"/>
    <w:rsid w:val="003D391D"/>
    <w:rsid w:val="003D3B69"/>
    <w:rsid w:val="003E07D1"/>
    <w:rsid w:val="003E11B8"/>
    <w:rsid w:val="003E1882"/>
    <w:rsid w:val="003E55F6"/>
    <w:rsid w:val="003E64CA"/>
    <w:rsid w:val="003E78C3"/>
    <w:rsid w:val="003F4206"/>
    <w:rsid w:val="00401C8C"/>
    <w:rsid w:val="00401F60"/>
    <w:rsid w:val="004043F9"/>
    <w:rsid w:val="00406AA3"/>
    <w:rsid w:val="00407FD8"/>
    <w:rsid w:val="00410709"/>
    <w:rsid w:val="00410861"/>
    <w:rsid w:val="00412445"/>
    <w:rsid w:val="00413097"/>
    <w:rsid w:val="00414B4E"/>
    <w:rsid w:val="00414F74"/>
    <w:rsid w:val="00417847"/>
    <w:rsid w:val="004227ED"/>
    <w:rsid w:val="004265AF"/>
    <w:rsid w:val="00432456"/>
    <w:rsid w:val="00434646"/>
    <w:rsid w:val="00435052"/>
    <w:rsid w:val="00435D15"/>
    <w:rsid w:val="00436251"/>
    <w:rsid w:val="00437326"/>
    <w:rsid w:val="00437D1C"/>
    <w:rsid w:val="004423E7"/>
    <w:rsid w:val="00445565"/>
    <w:rsid w:val="00445BCE"/>
    <w:rsid w:val="00447765"/>
    <w:rsid w:val="004542D7"/>
    <w:rsid w:val="00454F25"/>
    <w:rsid w:val="0045586B"/>
    <w:rsid w:val="00457341"/>
    <w:rsid w:val="00461F64"/>
    <w:rsid w:val="004620C0"/>
    <w:rsid w:val="00464010"/>
    <w:rsid w:val="00466619"/>
    <w:rsid w:val="00466AF7"/>
    <w:rsid w:val="00466FF8"/>
    <w:rsid w:val="004679C2"/>
    <w:rsid w:val="004716F0"/>
    <w:rsid w:val="004848B9"/>
    <w:rsid w:val="00487197"/>
    <w:rsid w:val="004876AC"/>
    <w:rsid w:val="0049027E"/>
    <w:rsid w:val="0049075A"/>
    <w:rsid w:val="00490B4D"/>
    <w:rsid w:val="00493383"/>
    <w:rsid w:val="00494606"/>
    <w:rsid w:val="0049596A"/>
    <w:rsid w:val="00495F7E"/>
    <w:rsid w:val="00497863"/>
    <w:rsid w:val="004B0F6F"/>
    <w:rsid w:val="004B29B3"/>
    <w:rsid w:val="004B315A"/>
    <w:rsid w:val="004B3681"/>
    <w:rsid w:val="004B3A9B"/>
    <w:rsid w:val="004B43F9"/>
    <w:rsid w:val="004B666B"/>
    <w:rsid w:val="004B703E"/>
    <w:rsid w:val="004B7354"/>
    <w:rsid w:val="004B77DD"/>
    <w:rsid w:val="004C0A92"/>
    <w:rsid w:val="004C24C9"/>
    <w:rsid w:val="004C594F"/>
    <w:rsid w:val="004C63A2"/>
    <w:rsid w:val="004C67B6"/>
    <w:rsid w:val="004C74E0"/>
    <w:rsid w:val="004C7F11"/>
    <w:rsid w:val="004D20AC"/>
    <w:rsid w:val="004E0A7B"/>
    <w:rsid w:val="004E2D81"/>
    <w:rsid w:val="004E5FC5"/>
    <w:rsid w:val="004E76F1"/>
    <w:rsid w:val="004E7E60"/>
    <w:rsid w:val="004F2496"/>
    <w:rsid w:val="004F4FF6"/>
    <w:rsid w:val="004F7BFE"/>
    <w:rsid w:val="00500E86"/>
    <w:rsid w:val="00503224"/>
    <w:rsid w:val="005050D7"/>
    <w:rsid w:val="00510D15"/>
    <w:rsid w:val="005118AC"/>
    <w:rsid w:val="00512698"/>
    <w:rsid w:val="005146BA"/>
    <w:rsid w:val="00517AE1"/>
    <w:rsid w:val="005221AE"/>
    <w:rsid w:val="005236B4"/>
    <w:rsid w:val="00533E65"/>
    <w:rsid w:val="00534FF3"/>
    <w:rsid w:val="005364AC"/>
    <w:rsid w:val="00537BE0"/>
    <w:rsid w:val="0054049B"/>
    <w:rsid w:val="00541C0B"/>
    <w:rsid w:val="00551595"/>
    <w:rsid w:val="00552DD1"/>
    <w:rsid w:val="00554182"/>
    <w:rsid w:val="00555260"/>
    <w:rsid w:val="005564CF"/>
    <w:rsid w:val="005579E7"/>
    <w:rsid w:val="00560811"/>
    <w:rsid w:val="00560F1A"/>
    <w:rsid w:val="005639FD"/>
    <w:rsid w:val="00563F69"/>
    <w:rsid w:val="00564488"/>
    <w:rsid w:val="00564F7F"/>
    <w:rsid w:val="0057046A"/>
    <w:rsid w:val="005705F8"/>
    <w:rsid w:val="005722A4"/>
    <w:rsid w:val="00572AA9"/>
    <w:rsid w:val="005831F8"/>
    <w:rsid w:val="00585AE9"/>
    <w:rsid w:val="00585BF5"/>
    <w:rsid w:val="00592422"/>
    <w:rsid w:val="00595906"/>
    <w:rsid w:val="0059694F"/>
    <w:rsid w:val="00597AEB"/>
    <w:rsid w:val="005A1A85"/>
    <w:rsid w:val="005A420E"/>
    <w:rsid w:val="005A4760"/>
    <w:rsid w:val="005A47FB"/>
    <w:rsid w:val="005A55BB"/>
    <w:rsid w:val="005A68A6"/>
    <w:rsid w:val="005A6B21"/>
    <w:rsid w:val="005B11F9"/>
    <w:rsid w:val="005B1EDC"/>
    <w:rsid w:val="005B1FB0"/>
    <w:rsid w:val="005B215C"/>
    <w:rsid w:val="005B2E21"/>
    <w:rsid w:val="005B2E3F"/>
    <w:rsid w:val="005C3B5A"/>
    <w:rsid w:val="005C3C4B"/>
    <w:rsid w:val="005C3DDC"/>
    <w:rsid w:val="005C788D"/>
    <w:rsid w:val="005C7ED6"/>
    <w:rsid w:val="005D0733"/>
    <w:rsid w:val="005D6320"/>
    <w:rsid w:val="005D7BE3"/>
    <w:rsid w:val="005E038A"/>
    <w:rsid w:val="005E04D6"/>
    <w:rsid w:val="005E0862"/>
    <w:rsid w:val="005E2BB1"/>
    <w:rsid w:val="005E6C7A"/>
    <w:rsid w:val="005E734C"/>
    <w:rsid w:val="005F0C3F"/>
    <w:rsid w:val="005F24E3"/>
    <w:rsid w:val="005F4DA0"/>
    <w:rsid w:val="005F5145"/>
    <w:rsid w:val="005F5173"/>
    <w:rsid w:val="00600FFE"/>
    <w:rsid w:val="00602C40"/>
    <w:rsid w:val="00605596"/>
    <w:rsid w:val="0061028B"/>
    <w:rsid w:val="00610442"/>
    <w:rsid w:val="006130FE"/>
    <w:rsid w:val="00614095"/>
    <w:rsid w:val="006144CB"/>
    <w:rsid w:val="00614A44"/>
    <w:rsid w:val="00616DFF"/>
    <w:rsid w:val="00622ECC"/>
    <w:rsid w:val="00624779"/>
    <w:rsid w:val="00631D73"/>
    <w:rsid w:val="0063387B"/>
    <w:rsid w:val="00634F90"/>
    <w:rsid w:val="00634FC6"/>
    <w:rsid w:val="0063617F"/>
    <w:rsid w:val="00636EF7"/>
    <w:rsid w:val="006405D8"/>
    <w:rsid w:val="006405E7"/>
    <w:rsid w:val="00641975"/>
    <w:rsid w:val="00642F75"/>
    <w:rsid w:val="006445FE"/>
    <w:rsid w:val="00645777"/>
    <w:rsid w:val="00645AA6"/>
    <w:rsid w:val="006477BF"/>
    <w:rsid w:val="00650EC1"/>
    <w:rsid w:val="00652BB3"/>
    <w:rsid w:val="0065358F"/>
    <w:rsid w:val="00656FE7"/>
    <w:rsid w:val="00666B86"/>
    <w:rsid w:val="006710EE"/>
    <w:rsid w:val="00671AE4"/>
    <w:rsid w:val="00672EB6"/>
    <w:rsid w:val="00675662"/>
    <w:rsid w:val="00676214"/>
    <w:rsid w:val="00676AEB"/>
    <w:rsid w:val="00684BCE"/>
    <w:rsid w:val="00685FF4"/>
    <w:rsid w:val="00690481"/>
    <w:rsid w:val="006909C0"/>
    <w:rsid w:val="006917E4"/>
    <w:rsid w:val="00691F3F"/>
    <w:rsid w:val="006927AB"/>
    <w:rsid w:val="00693C6A"/>
    <w:rsid w:val="0069501C"/>
    <w:rsid w:val="006A3247"/>
    <w:rsid w:val="006A3953"/>
    <w:rsid w:val="006A43FC"/>
    <w:rsid w:val="006A4FE5"/>
    <w:rsid w:val="006A5B0F"/>
    <w:rsid w:val="006A6CD8"/>
    <w:rsid w:val="006B1847"/>
    <w:rsid w:val="006B29F9"/>
    <w:rsid w:val="006B2F7F"/>
    <w:rsid w:val="006B666B"/>
    <w:rsid w:val="006B69C5"/>
    <w:rsid w:val="006B7ADD"/>
    <w:rsid w:val="006D4CCD"/>
    <w:rsid w:val="006D7B1D"/>
    <w:rsid w:val="006E3476"/>
    <w:rsid w:val="006E3C3F"/>
    <w:rsid w:val="006E58A9"/>
    <w:rsid w:val="006E5909"/>
    <w:rsid w:val="006F0C4D"/>
    <w:rsid w:val="006F0E59"/>
    <w:rsid w:val="006F2157"/>
    <w:rsid w:val="006F2C1C"/>
    <w:rsid w:val="006F589B"/>
    <w:rsid w:val="00705713"/>
    <w:rsid w:val="007132C4"/>
    <w:rsid w:val="0071571C"/>
    <w:rsid w:val="00720812"/>
    <w:rsid w:val="00722187"/>
    <w:rsid w:val="00722B3A"/>
    <w:rsid w:val="0073614E"/>
    <w:rsid w:val="00737137"/>
    <w:rsid w:val="00737393"/>
    <w:rsid w:val="0074145D"/>
    <w:rsid w:val="007423E6"/>
    <w:rsid w:val="00743A60"/>
    <w:rsid w:val="00744A35"/>
    <w:rsid w:val="007501A3"/>
    <w:rsid w:val="00751558"/>
    <w:rsid w:val="00751662"/>
    <w:rsid w:val="007519EF"/>
    <w:rsid w:val="007532CC"/>
    <w:rsid w:val="0075351F"/>
    <w:rsid w:val="007612E4"/>
    <w:rsid w:val="007658B1"/>
    <w:rsid w:val="0076674C"/>
    <w:rsid w:val="0076714E"/>
    <w:rsid w:val="00767875"/>
    <w:rsid w:val="00770763"/>
    <w:rsid w:val="00774A7B"/>
    <w:rsid w:val="00774B4F"/>
    <w:rsid w:val="00781F51"/>
    <w:rsid w:val="007849F9"/>
    <w:rsid w:val="00785E03"/>
    <w:rsid w:val="00785E97"/>
    <w:rsid w:val="007869EF"/>
    <w:rsid w:val="007906EE"/>
    <w:rsid w:val="007911C5"/>
    <w:rsid w:val="00793460"/>
    <w:rsid w:val="00797450"/>
    <w:rsid w:val="007A1529"/>
    <w:rsid w:val="007A19D5"/>
    <w:rsid w:val="007B1D86"/>
    <w:rsid w:val="007B201A"/>
    <w:rsid w:val="007B3526"/>
    <w:rsid w:val="007B38CA"/>
    <w:rsid w:val="007B6038"/>
    <w:rsid w:val="007C1A3A"/>
    <w:rsid w:val="007C256C"/>
    <w:rsid w:val="007C4105"/>
    <w:rsid w:val="007C6DA5"/>
    <w:rsid w:val="007D1A88"/>
    <w:rsid w:val="007D24F4"/>
    <w:rsid w:val="007D34D8"/>
    <w:rsid w:val="007D4591"/>
    <w:rsid w:val="007D67BE"/>
    <w:rsid w:val="007D700C"/>
    <w:rsid w:val="007D7243"/>
    <w:rsid w:val="007D742F"/>
    <w:rsid w:val="007E1D6F"/>
    <w:rsid w:val="007E58F3"/>
    <w:rsid w:val="007F0A7B"/>
    <w:rsid w:val="007F0D15"/>
    <w:rsid w:val="007F14D9"/>
    <w:rsid w:val="007F2036"/>
    <w:rsid w:val="007F3D92"/>
    <w:rsid w:val="007F53E9"/>
    <w:rsid w:val="007F5C91"/>
    <w:rsid w:val="007F5EC6"/>
    <w:rsid w:val="0080498F"/>
    <w:rsid w:val="00807245"/>
    <w:rsid w:val="008130F7"/>
    <w:rsid w:val="00813305"/>
    <w:rsid w:val="00814B59"/>
    <w:rsid w:val="00817882"/>
    <w:rsid w:val="0082060F"/>
    <w:rsid w:val="0082063C"/>
    <w:rsid w:val="008219C5"/>
    <w:rsid w:val="00824920"/>
    <w:rsid w:val="00830840"/>
    <w:rsid w:val="008321EC"/>
    <w:rsid w:val="00832A8D"/>
    <w:rsid w:val="0083726D"/>
    <w:rsid w:val="00840C4C"/>
    <w:rsid w:val="0084135B"/>
    <w:rsid w:val="00845528"/>
    <w:rsid w:val="00845E22"/>
    <w:rsid w:val="00846594"/>
    <w:rsid w:val="0084725D"/>
    <w:rsid w:val="0085350A"/>
    <w:rsid w:val="00857D69"/>
    <w:rsid w:val="00860654"/>
    <w:rsid w:val="00861ADD"/>
    <w:rsid w:val="008637AF"/>
    <w:rsid w:val="00864E9B"/>
    <w:rsid w:val="008722DC"/>
    <w:rsid w:val="00873324"/>
    <w:rsid w:val="00873A3F"/>
    <w:rsid w:val="00874DBB"/>
    <w:rsid w:val="008766EE"/>
    <w:rsid w:val="0088059A"/>
    <w:rsid w:val="00882AA7"/>
    <w:rsid w:val="00882B15"/>
    <w:rsid w:val="00884332"/>
    <w:rsid w:val="008847EC"/>
    <w:rsid w:val="0088600D"/>
    <w:rsid w:val="00886075"/>
    <w:rsid w:val="00890090"/>
    <w:rsid w:val="0089480F"/>
    <w:rsid w:val="00896423"/>
    <w:rsid w:val="00897636"/>
    <w:rsid w:val="008A0249"/>
    <w:rsid w:val="008A0A7E"/>
    <w:rsid w:val="008A2913"/>
    <w:rsid w:val="008A347E"/>
    <w:rsid w:val="008A4003"/>
    <w:rsid w:val="008A581A"/>
    <w:rsid w:val="008A6A08"/>
    <w:rsid w:val="008A7BC8"/>
    <w:rsid w:val="008B2013"/>
    <w:rsid w:val="008B249C"/>
    <w:rsid w:val="008B507B"/>
    <w:rsid w:val="008B7936"/>
    <w:rsid w:val="008C1AE7"/>
    <w:rsid w:val="008C1EB2"/>
    <w:rsid w:val="008C1F8C"/>
    <w:rsid w:val="008C2053"/>
    <w:rsid w:val="008C3F79"/>
    <w:rsid w:val="008C6090"/>
    <w:rsid w:val="008C7F41"/>
    <w:rsid w:val="008D78A7"/>
    <w:rsid w:val="008E1346"/>
    <w:rsid w:val="008E482D"/>
    <w:rsid w:val="008E4D32"/>
    <w:rsid w:val="008E5907"/>
    <w:rsid w:val="008E60BF"/>
    <w:rsid w:val="008E708B"/>
    <w:rsid w:val="008E7AA9"/>
    <w:rsid w:val="008F017F"/>
    <w:rsid w:val="008F15E4"/>
    <w:rsid w:val="008F1791"/>
    <w:rsid w:val="008F460B"/>
    <w:rsid w:val="008F7739"/>
    <w:rsid w:val="00900C35"/>
    <w:rsid w:val="0090153E"/>
    <w:rsid w:val="00903467"/>
    <w:rsid w:val="00906EAA"/>
    <w:rsid w:val="00911C18"/>
    <w:rsid w:val="00916899"/>
    <w:rsid w:val="00920FB9"/>
    <w:rsid w:val="009225CA"/>
    <w:rsid w:val="00927D4E"/>
    <w:rsid w:val="0093215E"/>
    <w:rsid w:val="00932300"/>
    <w:rsid w:val="00932347"/>
    <w:rsid w:val="00933988"/>
    <w:rsid w:val="00934544"/>
    <w:rsid w:val="00936BC7"/>
    <w:rsid w:val="00937BB3"/>
    <w:rsid w:val="00943565"/>
    <w:rsid w:val="00945090"/>
    <w:rsid w:val="00953996"/>
    <w:rsid w:val="0095558C"/>
    <w:rsid w:val="00956A4A"/>
    <w:rsid w:val="00962BBD"/>
    <w:rsid w:val="009700D0"/>
    <w:rsid w:val="009700FD"/>
    <w:rsid w:val="00970A60"/>
    <w:rsid w:val="00970DD2"/>
    <w:rsid w:val="0097472B"/>
    <w:rsid w:val="00980D3F"/>
    <w:rsid w:val="009825A4"/>
    <w:rsid w:val="00985290"/>
    <w:rsid w:val="0098733A"/>
    <w:rsid w:val="009901D3"/>
    <w:rsid w:val="00990ECD"/>
    <w:rsid w:val="00992E63"/>
    <w:rsid w:val="00992EC0"/>
    <w:rsid w:val="00995678"/>
    <w:rsid w:val="009A1AD0"/>
    <w:rsid w:val="009A4F64"/>
    <w:rsid w:val="009A6B6C"/>
    <w:rsid w:val="009B28CA"/>
    <w:rsid w:val="009B411C"/>
    <w:rsid w:val="009B45AD"/>
    <w:rsid w:val="009B4AC9"/>
    <w:rsid w:val="009C05B9"/>
    <w:rsid w:val="009C20DB"/>
    <w:rsid w:val="009C3A1E"/>
    <w:rsid w:val="009C41BF"/>
    <w:rsid w:val="009D0990"/>
    <w:rsid w:val="009D1326"/>
    <w:rsid w:val="009D1401"/>
    <w:rsid w:val="009D15F1"/>
    <w:rsid w:val="009D1BE9"/>
    <w:rsid w:val="009D2987"/>
    <w:rsid w:val="009D2B10"/>
    <w:rsid w:val="009D38E8"/>
    <w:rsid w:val="009D7137"/>
    <w:rsid w:val="009D7779"/>
    <w:rsid w:val="009E3C0A"/>
    <w:rsid w:val="009E5A0E"/>
    <w:rsid w:val="009E7CB8"/>
    <w:rsid w:val="009F287A"/>
    <w:rsid w:val="009F30B7"/>
    <w:rsid w:val="009F3B9F"/>
    <w:rsid w:val="009F3F14"/>
    <w:rsid w:val="009F6A18"/>
    <w:rsid w:val="00A00741"/>
    <w:rsid w:val="00A02C25"/>
    <w:rsid w:val="00A04A6B"/>
    <w:rsid w:val="00A07691"/>
    <w:rsid w:val="00A1161B"/>
    <w:rsid w:val="00A11AE3"/>
    <w:rsid w:val="00A128C1"/>
    <w:rsid w:val="00A13E2A"/>
    <w:rsid w:val="00A1433E"/>
    <w:rsid w:val="00A14625"/>
    <w:rsid w:val="00A2101E"/>
    <w:rsid w:val="00A21A57"/>
    <w:rsid w:val="00A21F64"/>
    <w:rsid w:val="00A2334F"/>
    <w:rsid w:val="00A25959"/>
    <w:rsid w:val="00A32713"/>
    <w:rsid w:val="00A36A23"/>
    <w:rsid w:val="00A37C91"/>
    <w:rsid w:val="00A425A6"/>
    <w:rsid w:val="00A43A0C"/>
    <w:rsid w:val="00A50E7F"/>
    <w:rsid w:val="00A51A42"/>
    <w:rsid w:val="00A54BDE"/>
    <w:rsid w:val="00A54C7B"/>
    <w:rsid w:val="00A60077"/>
    <w:rsid w:val="00A6244E"/>
    <w:rsid w:val="00A62791"/>
    <w:rsid w:val="00A657B7"/>
    <w:rsid w:val="00A657EE"/>
    <w:rsid w:val="00A671E4"/>
    <w:rsid w:val="00A673FA"/>
    <w:rsid w:val="00A707A3"/>
    <w:rsid w:val="00A72B42"/>
    <w:rsid w:val="00A72CD2"/>
    <w:rsid w:val="00A76FDB"/>
    <w:rsid w:val="00A8197B"/>
    <w:rsid w:val="00A83450"/>
    <w:rsid w:val="00A84248"/>
    <w:rsid w:val="00A84CDC"/>
    <w:rsid w:val="00A91D92"/>
    <w:rsid w:val="00A92559"/>
    <w:rsid w:val="00A96ECF"/>
    <w:rsid w:val="00A97E31"/>
    <w:rsid w:val="00AA0D75"/>
    <w:rsid w:val="00AA2C6A"/>
    <w:rsid w:val="00AA58BB"/>
    <w:rsid w:val="00AA5EDA"/>
    <w:rsid w:val="00AA5EDE"/>
    <w:rsid w:val="00AA5F5B"/>
    <w:rsid w:val="00AA7803"/>
    <w:rsid w:val="00AB1694"/>
    <w:rsid w:val="00AC2316"/>
    <w:rsid w:val="00AC32C9"/>
    <w:rsid w:val="00AC54F0"/>
    <w:rsid w:val="00AC5B22"/>
    <w:rsid w:val="00AE117A"/>
    <w:rsid w:val="00AE2328"/>
    <w:rsid w:val="00AE347C"/>
    <w:rsid w:val="00AE4CFA"/>
    <w:rsid w:val="00AE5739"/>
    <w:rsid w:val="00AE5EED"/>
    <w:rsid w:val="00AF09A8"/>
    <w:rsid w:val="00AF2CE0"/>
    <w:rsid w:val="00AF3D24"/>
    <w:rsid w:val="00AF5A8F"/>
    <w:rsid w:val="00AF6AA3"/>
    <w:rsid w:val="00AF731B"/>
    <w:rsid w:val="00B00EF6"/>
    <w:rsid w:val="00B02E3A"/>
    <w:rsid w:val="00B032AD"/>
    <w:rsid w:val="00B05DAC"/>
    <w:rsid w:val="00B06BE3"/>
    <w:rsid w:val="00B06DC4"/>
    <w:rsid w:val="00B070F3"/>
    <w:rsid w:val="00B078D9"/>
    <w:rsid w:val="00B10216"/>
    <w:rsid w:val="00B11766"/>
    <w:rsid w:val="00B11D13"/>
    <w:rsid w:val="00B12DEF"/>
    <w:rsid w:val="00B13177"/>
    <w:rsid w:val="00B136EB"/>
    <w:rsid w:val="00B1578B"/>
    <w:rsid w:val="00B16921"/>
    <w:rsid w:val="00B1728F"/>
    <w:rsid w:val="00B241F3"/>
    <w:rsid w:val="00B259B4"/>
    <w:rsid w:val="00B265F6"/>
    <w:rsid w:val="00B26C3F"/>
    <w:rsid w:val="00B27BF5"/>
    <w:rsid w:val="00B30BAE"/>
    <w:rsid w:val="00B33522"/>
    <w:rsid w:val="00B368FD"/>
    <w:rsid w:val="00B36B89"/>
    <w:rsid w:val="00B3793C"/>
    <w:rsid w:val="00B41635"/>
    <w:rsid w:val="00B41CE3"/>
    <w:rsid w:val="00B44214"/>
    <w:rsid w:val="00B46BF4"/>
    <w:rsid w:val="00B5357A"/>
    <w:rsid w:val="00B5383E"/>
    <w:rsid w:val="00B5477B"/>
    <w:rsid w:val="00B54F44"/>
    <w:rsid w:val="00B63C53"/>
    <w:rsid w:val="00B65357"/>
    <w:rsid w:val="00B67156"/>
    <w:rsid w:val="00B676E1"/>
    <w:rsid w:val="00B72DC1"/>
    <w:rsid w:val="00B74B7C"/>
    <w:rsid w:val="00B76027"/>
    <w:rsid w:val="00B7609D"/>
    <w:rsid w:val="00B7640E"/>
    <w:rsid w:val="00B7673E"/>
    <w:rsid w:val="00B77EA7"/>
    <w:rsid w:val="00B813C7"/>
    <w:rsid w:val="00B82FAC"/>
    <w:rsid w:val="00B83030"/>
    <w:rsid w:val="00B84FD9"/>
    <w:rsid w:val="00B859E7"/>
    <w:rsid w:val="00B93BF3"/>
    <w:rsid w:val="00B93F31"/>
    <w:rsid w:val="00B95DD8"/>
    <w:rsid w:val="00B9669A"/>
    <w:rsid w:val="00BA63BF"/>
    <w:rsid w:val="00BB0E6A"/>
    <w:rsid w:val="00BB4692"/>
    <w:rsid w:val="00BB4B1E"/>
    <w:rsid w:val="00BB5F6B"/>
    <w:rsid w:val="00BC16D6"/>
    <w:rsid w:val="00BC1F2E"/>
    <w:rsid w:val="00BC2472"/>
    <w:rsid w:val="00BC41B0"/>
    <w:rsid w:val="00BC77DC"/>
    <w:rsid w:val="00BD1BD7"/>
    <w:rsid w:val="00BD4F7A"/>
    <w:rsid w:val="00BD5945"/>
    <w:rsid w:val="00BD5F30"/>
    <w:rsid w:val="00BD60C2"/>
    <w:rsid w:val="00BE2034"/>
    <w:rsid w:val="00BE3F69"/>
    <w:rsid w:val="00BE5469"/>
    <w:rsid w:val="00BE5F94"/>
    <w:rsid w:val="00BE62D6"/>
    <w:rsid w:val="00BE7577"/>
    <w:rsid w:val="00BE7669"/>
    <w:rsid w:val="00BF013E"/>
    <w:rsid w:val="00BF5579"/>
    <w:rsid w:val="00BF58CE"/>
    <w:rsid w:val="00BF79EA"/>
    <w:rsid w:val="00C00CC2"/>
    <w:rsid w:val="00C041EC"/>
    <w:rsid w:val="00C0637B"/>
    <w:rsid w:val="00C1091F"/>
    <w:rsid w:val="00C12CA2"/>
    <w:rsid w:val="00C132D4"/>
    <w:rsid w:val="00C15461"/>
    <w:rsid w:val="00C15ABF"/>
    <w:rsid w:val="00C20DAC"/>
    <w:rsid w:val="00C23647"/>
    <w:rsid w:val="00C26167"/>
    <w:rsid w:val="00C26805"/>
    <w:rsid w:val="00C26DD3"/>
    <w:rsid w:val="00C277D3"/>
    <w:rsid w:val="00C2795F"/>
    <w:rsid w:val="00C30598"/>
    <w:rsid w:val="00C31D70"/>
    <w:rsid w:val="00C31DEF"/>
    <w:rsid w:val="00C331DC"/>
    <w:rsid w:val="00C43114"/>
    <w:rsid w:val="00C4320C"/>
    <w:rsid w:val="00C5017F"/>
    <w:rsid w:val="00C5215F"/>
    <w:rsid w:val="00C55685"/>
    <w:rsid w:val="00C56767"/>
    <w:rsid w:val="00C57203"/>
    <w:rsid w:val="00C5721C"/>
    <w:rsid w:val="00C57BFC"/>
    <w:rsid w:val="00C641A2"/>
    <w:rsid w:val="00C65877"/>
    <w:rsid w:val="00C661CD"/>
    <w:rsid w:val="00C70207"/>
    <w:rsid w:val="00C722BD"/>
    <w:rsid w:val="00C73007"/>
    <w:rsid w:val="00C778BD"/>
    <w:rsid w:val="00C77B58"/>
    <w:rsid w:val="00C80079"/>
    <w:rsid w:val="00C82416"/>
    <w:rsid w:val="00C84A7A"/>
    <w:rsid w:val="00C86392"/>
    <w:rsid w:val="00C86F32"/>
    <w:rsid w:val="00C875B9"/>
    <w:rsid w:val="00C91962"/>
    <w:rsid w:val="00C91BF4"/>
    <w:rsid w:val="00C92396"/>
    <w:rsid w:val="00C9444A"/>
    <w:rsid w:val="00C950E4"/>
    <w:rsid w:val="00C96962"/>
    <w:rsid w:val="00CA2555"/>
    <w:rsid w:val="00CA4FAF"/>
    <w:rsid w:val="00CA515F"/>
    <w:rsid w:val="00CA7127"/>
    <w:rsid w:val="00CB3781"/>
    <w:rsid w:val="00CB3EE9"/>
    <w:rsid w:val="00CB4A28"/>
    <w:rsid w:val="00CC0098"/>
    <w:rsid w:val="00CC149A"/>
    <w:rsid w:val="00CC26DB"/>
    <w:rsid w:val="00CC2D59"/>
    <w:rsid w:val="00CC5628"/>
    <w:rsid w:val="00CD1191"/>
    <w:rsid w:val="00CD1D57"/>
    <w:rsid w:val="00CD2168"/>
    <w:rsid w:val="00CD2CAF"/>
    <w:rsid w:val="00CD4706"/>
    <w:rsid w:val="00CD6839"/>
    <w:rsid w:val="00CE3E93"/>
    <w:rsid w:val="00CE5EBF"/>
    <w:rsid w:val="00CE74C5"/>
    <w:rsid w:val="00CF3F73"/>
    <w:rsid w:val="00D023DE"/>
    <w:rsid w:val="00D0295C"/>
    <w:rsid w:val="00D0297A"/>
    <w:rsid w:val="00D02CA5"/>
    <w:rsid w:val="00D06B43"/>
    <w:rsid w:val="00D07584"/>
    <w:rsid w:val="00D12B78"/>
    <w:rsid w:val="00D13214"/>
    <w:rsid w:val="00D1684E"/>
    <w:rsid w:val="00D17064"/>
    <w:rsid w:val="00D173BB"/>
    <w:rsid w:val="00D17CAB"/>
    <w:rsid w:val="00D254F5"/>
    <w:rsid w:val="00D258E9"/>
    <w:rsid w:val="00D26443"/>
    <w:rsid w:val="00D26AF1"/>
    <w:rsid w:val="00D27673"/>
    <w:rsid w:val="00D2786C"/>
    <w:rsid w:val="00D3174A"/>
    <w:rsid w:val="00D31C2A"/>
    <w:rsid w:val="00D34EA0"/>
    <w:rsid w:val="00D42606"/>
    <w:rsid w:val="00D42B31"/>
    <w:rsid w:val="00D4489B"/>
    <w:rsid w:val="00D45E87"/>
    <w:rsid w:val="00D53316"/>
    <w:rsid w:val="00D577F0"/>
    <w:rsid w:val="00D64796"/>
    <w:rsid w:val="00D7087D"/>
    <w:rsid w:val="00D71D91"/>
    <w:rsid w:val="00D74052"/>
    <w:rsid w:val="00D85883"/>
    <w:rsid w:val="00D87151"/>
    <w:rsid w:val="00D900C1"/>
    <w:rsid w:val="00D9225A"/>
    <w:rsid w:val="00D928F4"/>
    <w:rsid w:val="00D9403E"/>
    <w:rsid w:val="00D9512D"/>
    <w:rsid w:val="00D9612F"/>
    <w:rsid w:val="00DA0575"/>
    <w:rsid w:val="00DA1B05"/>
    <w:rsid w:val="00DA3D90"/>
    <w:rsid w:val="00DA4632"/>
    <w:rsid w:val="00DA570F"/>
    <w:rsid w:val="00DA699E"/>
    <w:rsid w:val="00DA717B"/>
    <w:rsid w:val="00DB02D4"/>
    <w:rsid w:val="00DB1202"/>
    <w:rsid w:val="00DB3734"/>
    <w:rsid w:val="00DB56A6"/>
    <w:rsid w:val="00DB7002"/>
    <w:rsid w:val="00DB77A4"/>
    <w:rsid w:val="00DC0A25"/>
    <w:rsid w:val="00DC1A55"/>
    <w:rsid w:val="00DC2BA6"/>
    <w:rsid w:val="00DC6A27"/>
    <w:rsid w:val="00DC7A75"/>
    <w:rsid w:val="00DD4622"/>
    <w:rsid w:val="00DD484B"/>
    <w:rsid w:val="00DD7526"/>
    <w:rsid w:val="00DE0966"/>
    <w:rsid w:val="00DE344C"/>
    <w:rsid w:val="00DE4C60"/>
    <w:rsid w:val="00DE5E24"/>
    <w:rsid w:val="00DE60CA"/>
    <w:rsid w:val="00DF32FC"/>
    <w:rsid w:val="00DF42B9"/>
    <w:rsid w:val="00DF4981"/>
    <w:rsid w:val="00DF598B"/>
    <w:rsid w:val="00DF61F1"/>
    <w:rsid w:val="00DF77E6"/>
    <w:rsid w:val="00DF7827"/>
    <w:rsid w:val="00E03538"/>
    <w:rsid w:val="00E05B82"/>
    <w:rsid w:val="00E07E2B"/>
    <w:rsid w:val="00E12146"/>
    <w:rsid w:val="00E12B73"/>
    <w:rsid w:val="00E14827"/>
    <w:rsid w:val="00E1490A"/>
    <w:rsid w:val="00E17F3E"/>
    <w:rsid w:val="00E210D7"/>
    <w:rsid w:val="00E22510"/>
    <w:rsid w:val="00E2301B"/>
    <w:rsid w:val="00E25A5A"/>
    <w:rsid w:val="00E320C6"/>
    <w:rsid w:val="00E417CA"/>
    <w:rsid w:val="00E526E0"/>
    <w:rsid w:val="00E53A13"/>
    <w:rsid w:val="00E605B1"/>
    <w:rsid w:val="00E609C3"/>
    <w:rsid w:val="00E62BCA"/>
    <w:rsid w:val="00E62EBC"/>
    <w:rsid w:val="00E63F66"/>
    <w:rsid w:val="00E647E8"/>
    <w:rsid w:val="00E656A9"/>
    <w:rsid w:val="00E66E9D"/>
    <w:rsid w:val="00E6710A"/>
    <w:rsid w:val="00E671C3"/>
    <w:rsid w:val="00E6770D"/>
    <w:rsid w:val="00E75E0D"/>
    <w:rsid w:val="00E7619B"/>
    <w:rsid w:val="00E76940"/>
    <w:rsid w:val="00E77994"/>
    <w:rsid w:val="00E806AA"/>
    <w:rsid w:val="00E81212"/>
    <w:rsid w:val="00E82150"/>
    <w:rsid w:val="00E8340C"/>
    <w:rsid w:val="00E840C3"/>
    <w:rsid w:val="00E85F40"/>
    <w:rsid w:val="00E87FE8"/>
    <w:rsid w:val="00E90142"/>
    <w:rsid w:val="00E9177B"/>
    <w:rsid w:val="00E9269E"/>
    <w:rsid w:val="00E92FEC"/>
    <w:rsid w:val="00E95095"/>
    <w:rsid w:val="00E95725"/>
    <w:rsid w:val="00E961F8"/>
    <w:rsid w:val="00E96CB1"/>
    <w:rsid w:val="00E97257"/>
    <w:rsid w:val="00EA2D5A"/>
    <w:rsid w:val="00EA75BC"/>
    <w:rsid w:val="00EA7DB7"/>
    <w:rsid w:val="00EB5C48"/>
    <w:rsid w:val="00EC170E"/>
    <w:rsid w:val="00EC1DD0"/>
    <w:rsid w:val="00EC2AB6"/>
    <w:rsid w:val="00EC2D35"/>
    <w:rsid w:val="00EC409C"/>
    <w:rsid w:val="00EC47BE"/>
    <w:rsid w:val="00EC50D9"/>
    <w:rsid w:val="00EC74D6"/>
    <w:rsid w:val="00ED0AC5"/>
    <w:rsid w:val="00ED1A15"/>
    <w:rsid w:val="00ED2E7D"/>
    <w:rsid w:val="00ED7137"/>
    <w:rsid w:val="00EE0C59"/>
    <w:rsid w:val="00EE1CA1"/>
    <w:rsid w:val="00EE2126"/>
    <w:rsid w:val="00EE2607"/>
    <w:rsid w:val="00EE28C1"/>
    <w:rsid w:val="00EE2D88"/>
    <w:rsid w:val="00EE559A"/>
    <w:rsid w:val="00EE6A39"/>
    <w:rsid w:val="00EF09B7"/>
    <w:rsid w:val="00EF214D"/>
    <w:rsid w:val="00EF4C81"/>
    <w:rsid w:val="00EF5BA7"/>
    <w:rsid w:val="00F03CBA"/>
    <w:rsid w:val="00F05880"/>
    <w:rsid w:val="00F06EE8"/>
    <w:rsid w:val="00F07349"/>
    <w:rsid w:val="00F10265"/>
    <w:rsid w:val="00F10630"/>
    <w:rsid w:val="00F15AB4"/>
    <w:rsid w:val="00F161F5"/>
    <w:rsid w:val="00F17E78"/>
    <w:rsid w:val="00F200D7"/>
    <w:rsid w:val="00F211C8"/>
    <w:rsid w:val="00F22AE5"/>
    <w:rsid w:val="00F237BB"/>
    <w:rsid w:val="00F24E1A"/>
    <w:rsid w:val="00F25311"/>
    <w:rsid w:val="00F25CD3"/>
    <w:rsid w:val="00F26721"/>
    <w:rsid w:val="00F2677E"/>
    <w:rsid w:val="00F30E28"/>
    <w:rsid w:val="00F3235A"/>
    <w:rsid w:val="00F325F0"/>
    <w:rsid w:val="00F352EB"/>
    <w:rsid w:val="00F41027"/>
    <w:rsid w:val="00F50ED5"/>
    <w:rsid w:val="00F518A6"/>
    <w:rsid w:val="00F51A36"/>
    <w:rsid w:val="00F51DA5"/>
    <w:rsid w:val="00F54B4C"/>
    <w:rsid w:val="00F57766"/>
    <w:rsid w:val="00F6335A"/>
    <w:rsid w:val="00F6787D"/>
    <w:rsid w:val="00F67B3C"/>
    <w:rsid w:val="00F67C4F"/>
    <w:rsid w:val="00F70BE0"/>
    <w:rsid w:val="00F801FA"/>
    <w:rsid w:val="00F80F16"/>
    <w:rsid w:val="00F83205"/>
    <w:rsid w:val="00F93C21"/>
    <w:rsid w:val="00F93FA8"/>
    <w:rsid w:val="00F945A7"/>
    <w:rsid w:val="00F9792E"/>
    <w:rsid w:val="00FA33E9"/>
    <w:rsid w:val="00FA3C66"/>
    <w:rsid w:val="00FA5DAA"/>
    <w:rsid w:val="00FA67E5"/>
    <w:rsid w:val="00FB3F6B"/>
    <w:rsid w:val="00FB6563"/>
    <w:rsid w:val="00FB6955"/>
    <w:rsid w:val="00FC1876"/>
    <w:rsid w:val="00FC24AF"/>
    <w:rsid w:val="00FC4449"/>
    <w:rsid w:val="00FC45E7"/>
    <w:rsid w:val="00FC5890"/>
    <w:rsid w:val="00FC5A03"/>
    <w:rsid w:val="00FC79EB"/>
    <w:rsid w:val="00FD1223"/>
    <w:rsid w:val="00FD2F33"/>
    <w:rsid w:val="00FD57D8"/>
    <w:rsid w:val="00FD6DA1"/>
    <w:rsid w:val="00FE0CBD"/>
    <w:rsid w:val="00FE20E4"/>
    <w:rsid w:val="00FE293F"/>
    <w:rsid w:val="00FE4AC5"/>
    <w:rsid w:val="00FE6A55"/>
    <w:rsid w:val="00FF0D68"/>
    <w:rsid w:val="00FF1CDB"/>
    <w:rsid w:val="00FF29D0"/>
    <w:rsid w:val="00FF3A72"/>
    <w:rsid w:val="00FF5B9A"/>
    <w:rsid w:val="00FF5E72"/>
    <w:rsid w:val="00FF79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semiHidden="0"/>
    <w:lsdException w:name="List Bullet" w:semiHidden="0" w:uiPriority="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Body Text" w:uiPriority="0"/>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annotation subject" w:uiPriority="0"/>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aliases w:val="teal text below chapter heading"/>
    <w:next w:val="Subtitle"/>
    <w:qFormat/>
    <w:rsid w:val="00C86F32"/>
    <w:pPr>
      <w:spacing w:after="240" w:line="240" w:lineRule="auto"/>
    </w:pPr>
    <w:rPr>
      <w:rFonts w:ascii="Arial Mäori" w:hAnsi="Arial Mäori"/>
      <w:color w:val="008286"/>
      <w:sz w:val="24"/>
    </w:rPr>
  </w:style>
  <w:style w:type="paragraph" w:styleId="Heading1">
    <w:name w:val="heading 1"/>
    <w:next w:val="Normal"/>
    <w:link w:val="Heading1Char"/>
    <w:uiPriority w:val="9"/>
    <w:qFormat/>
    <w:rsid w:val="00D173BB"/>
    <w:pPr>
      <w:keepNext/>
      <w:keepLines/>
      <w:spacing w:before="240" w:after="60" w:line="240" w:lineRule="auto"/>
      <w:outlineLvl w:val="0"/>
    </w:pPr>
    <w:rPr>
      <w:rFonts w:ascii="Arial Mäori" w:eastAsiaTheme="majorEastAsia" w:hAnsi="Arial Mäori" w:cstheme="majorBidi"/>
      <w:b/>
      <w:bCs/>
      <w:sz w:val="40"/>
      <w:szCs w:val="28"/>
    </w:rPr>
  </w:style>
  <w:style w:type="paragraph" w:styleId="Heading2">
    <w:name w:val="heading 2"/>
    <w:basedOn w:val="Normal"/>
    <w:next w:val="Normal"/>
    <w:link w:val="Heading2Char"/>
    <w:uiPriority w:val="9"/>
    <w:qFormat/>
    <w:rsid w:val="00D173BB"/>
    <w:pPr>
      <w:keepNext/>
      <w:keepLines/>
      <w:spacing w:after="120"/>
      <w:outlineLvl w:val="1"/>
    </w:pPr>
    <w:rPr>
      <w:rFonts w:eastAsiaTheme="majorEastAsia" w:cstheme="majorBidi"/>
      <w:b/>
      <w:bCs/>
      <w:color w:val="auto"/>
      <w:szCs w:val="26"/>
    </w:rPr>
  </w:style>
  <w:style w:type="paragraph" w:styleId="Heading3">
    <w:name w:val="heading 3"/>
    <w:basedOn w:val="headwithrule"/>
    <w:next w:val="Normal"/>
    <w:link w:val="Heading3Char"/>
    <w:uiPriority w:val="9"/>
    <w:qFormat/>
    <w:rsid w:val="00D173BB"/>
    <w:pPr>
      <w:outlineLvl w:val="2"/>
    </w:pPr>
    <w:rPr>
      <w:color w:val="auto"/>
      <w:lang w:val="en-GB"/>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3BB"/>
    <w:rPr>
      <w:rFonts w:ascii="Arial Mäori" w:eastAsiaTheme="majorEastAsia" w:hAnsi="Arial Mäori" w:cstheme="majorBidi"/>
      <w:b/>
      <w:bCs/>
      <w:sz w:val="40"/>
      <w:szCs w:val="28"/>
    </w:rPr>
  </w:style>
  <w:style w:type="character" w:customStyle="1" w:styleId="Heading2Char">
    <w:name w:val="Heading 2 Char"/>
    <w:basedOn w:val="DefaultParagraphFont"/>
    <w:link w:val="Heading2"/>
    <w:uiPriority w:val="9"/>
    <w:rsid w:val="00D173BB"/>
    <w:rPr>
      <w:rFonts w:ascii="Arial Mäori" w:eastAsiaTheme="majorEastAsia" w:hAnsi="Arial Mäori" w:cstheme="majorBidi"/>
      <w:b/>
      <w:bCs/>
      <w:sz w:val="24"/>
      <w:szCs w:val="26"/>
    </w:rPr>
  </w:style>
  <w:style w:type="character" w:customStyle="1" w:styleId="Heading3Char">
    <w:name w:val="Heading 3 Char"/>
    <w:basedOn w:val="DefaultParagraphFont"/>
    <w:link w:val="Heading3"/>
    <w:uiPriority w:val="9"/>
    <w:rsid w:val="00D173BB"/>
    <w:rPr>
      <w:rFonts w:ascii="AvenirMaori-Black" w:eastAsia="Times New Roman" w:hAnsi="AvenirMaori-Black" w:cs="AvenirMaori-Black"/>
      <w:sz w:val="24"/>
      <w:szCs w:val="24"/>
      <w:lang w:val="en-GB" w:eastAsia="en-AU"/>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1"/>
      </w:numPr>
      <w:tabs>
        <w:tab w:val="num" w:pos="360"/>
      </w:tabs>
      <w:ind w:left="0" w:firstLine="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aliases w:val="7 Table"/>
    <w:basedOn w:val="TableNormal"/>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BodyBoldsubheading"/>
    <w:next w:val="Normal"/>
    <w:link w:val="SubtitleChar"/>
    <w:uiPriority w:val="11"/>
    <w:qFormat/>
    <w:rsid w:val="00D173BB"/>
  </w:style>
  <w:style w:type="character" w:customStyle="1" w:styleId="SubtitleChar">
    <w:name w:val="Subtitle Char"/>
    <w:basedOn w:val="DefaultParagraphFont"/>
    <w:link w:val="Subtitle"/>
    <w:uiPriority w:val="11"/>
    <w:rsid w:val="00D173BB"/>
    <w:rPr>
      <w:rFonts w:ascii="Arial Mäori" w:hAnsi="Arial Mäori"/>
      <w:b/>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3"/>
      </w:numPr>
      <w:tabs>
        <w:tab w:val="left" w:pos="454"/>
      </w:tabs>
      <w:suppressAutoHyphens/>
      <w:autoSpaceDE w:val="0"/>
      <w:autoSpaceDN w:val="0"/>
      <w:adjustRightInd w:val="0"/>
      <w:textAlignment w:val="center"/>
    </w:pPr>
    <w:rPr>
      <w:rFonts w:eastAsia="Times New Roman" w:cs="Arial"/>
    </w:rPr>
  </w:style>
  <w:style w:type="paragraph" w:customStyle="1" w:styleId="Bullet2">
    <w:name w:val="Bullet2"/>
    <w:rsid w:val="00B5357A"/>
    <w:pPr>
      <w:numPr>
        <w:numId w:val="4"/>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NoSpacing">
    <w:name w:val="No Spacing"/>
    <w:aliases w:val="normal text"/>
    <w:uiPriority w:val="1"/>
    <w:qFormat/>
    <w:rsid w:val="0015027E"/>
    <w:pPr>
      <w:spacing w:after="120" w:line="240" w:lineRule="auto"/>
    </w:pPr>
    <w:rPr>
      <w:rFonts w:ascii="Arial Mäori" w:hAnsi="Arial Mäori"/>
      <w:color w:val="000000" w:themeColor="text1"/>
    </w:rPr>
  </w:style>
  <w:style w:type="paragraph" w:customStyle="1" w:styleId="BodyBoldsubheading">
    <w:name w:val="Body Bold subheading"/>
    <w:basedOn w:val="Normal"/>
    <w:qFormat/>
    <w:rsid w:val="0015027E"/>
    <w:pPr>
      <w:spacing w:after="120"/>
    </w:pPr>
    <w:rPr>
      <w:b/>
      <w:color w:val="auto"/>
      <w:sz w:val="22"/>
    </w:rPr>
  </w:style>
  <w:style w:type="paragraph" w:customStyle="1" w:styleId="Bulletednormal">
    <w:name w:val="Bulleted normal"/>
    <w:basedOn w:val="Bullet1"/>
    <w:qFormat/>
    <w:rsid w:val="003D0900"/>
    <w:pPr>
      <w:tabs>
        <w:tab w:val="left" w:pos="284"/>
      </w:tabs>
      <w:spacing w:after="120"/>
    </w:pPr>
    <w:rPr>
      <w:color w:val="auto"/>
      <w:sz w:val="22"/>
    </w:rPr>
  </w:style>
  <w:style w:type="character" w:customStyle="1" w:styleId="ListBulletChar">
    <w:name w:val="List Bullet Char"/>
    <w:link w:val="ListBullet"/>
    <w:locked/>
    <w:rsid w:val="00445565"/>
    <w:rPr>
      <w:rFonts w:ascii="Arial Mäori" w:hAnsi="Arial Mäori"/>
      <w:szCs w:val="24"/>
      <w:lang w:val="en-US"/>
    </w:rPr>
  </w:style>
  <w:style w:type="paragraph" w:styleId="ListBullet">
    <w:name w:val="List Bullet"/>
    <w:basedOn w:val="Normal"/>
    <w:link w:val="ListBulletChar"/>
    <w:unhideWhenUsed/>
    <w:rsid w:val="00445565"/>
    <w:pPr>
      <w:tabs>
        <w:tab w:val="num" w:pos="360"/>
      </w:tabs>
      <w:spacing w:after="60"/>
      <w:ind w:left="360" w:hanging="360"/>
      <w:jc w:val="both"/>
    </w:pPr>
    <w:rPr>
      <w:color w:val="auto"/>
      <w:sz w:val="22"/>
      <w:szCs w:val="24"/>
      <w:lang w:val="en-US"/>
    </w:rPr>
  </w:style>
  <w:style w:type="character" w:styleId="Hyperlink">
    <w:name w:val="Hyperlink"/>
    <w:basedOn w:val="DefaultParagraphFont"/>
    <w:uiPriority w:val="99"/>
    <w:rsid w:val="002457F4"/>
    <w:rPr>
      <w:color w:val="0000FF" w:themeColor="hyperlink"/>
      <w:u w:val="single"/>
    </w:rPr>
  </w:style>
  <w:style w:type="paragraph" w:customStyle="1" w:styleId="SOIheading">
    <w:name w:val="SOI heading"/>
    <w:next w:val="Heading2"/>
    <w:qFormat/>
    <w:rsid w:val="00652BB3"/>
    <w:pPr>
      <w:spacing w:before="240" w:line="240" w:lineRule="auto"/>
    </w:pPr>
    <w:rPr>
      <w:rFonts w:ascii="Arial Mäori" w:hAnsi="Arial Mäori"/>
      <w:b/>
      <w:color w:val="008286"/>
      <w:sz w:val="24"/>
    </w:rPr>
  </w:style>
  <w:style w:type="paragraph" w:styleId="FootnoteText">
    <w:name w:val="footnote text"/>
    <w:basedOn w:val="Normal"/>
    <w:link w:val="FootnoteTextChar"/>
    <w:uiPriority w:val="99"/>
    <w:semiHidden/>
    <w:rsid w:val="001B41FF"/>
    <w:pPr>
      <w:spacing w:after="0"/>
    </w:pPr>
    <w:rPr>
      <w:color w:val="auto"/>
      <w:sz w:val="20"/>
      <w:szCs w:val="20"/>
    </w:rPr>
  </w:style>
  <w:style w:type="character" w:customStyle="1" w:styleId="FootnoteTextChar">
    <w:name w:val="Footnote Text Char"/>
    <w:basedOn w:val="DefaultParagraphFont"/>
    <w:link w:val="FootnoteText"/>
    <w:uiPriority w:val="99"/>
    <w:semiHidden/>
    <w:rsid w:val="001B41FF"/>
    <w:rPr>
      <w:rFonts w:ascii="Arial Mäori" w:hAnsi="Arial Mäori"/>
      <w:sz w:val="20"/>
      <w:szCs w:val="20"/>
    </w:rPr>
  </w:style>
  <w:style w:type="character" w:styleId="FootnoteReference">
    <w:name w:val="footnote reference"/>
    <w:basedOn w:val="DefaultParagraphFont"/>
    <w:uiPriority w:val="99"/>
    <w:rsid w:val="001B41FF"/>
    <w:rPr>
      <w:vertAlign w:val="superscript"/>
    </w:rPr>
  </w:style>
  <w:style w:type="paragraph" w:customStyle="1" w:styleId="MinistryOutcomeheading">
    <w:name w:val="Ministry Outcome heading"/>
    <w:basedOn w:val="Normal"/>
    <w:next w:val="BodyBoldsubheading"/>
    <w:qFormat/>
    <w:rsid w:val="00D258E9"/>
    <w:pPr>
      <w:spacing w:before="120" w:after="60"/>
    </w:pPr>
    <w:rPr>
      <w:b/>
      <w:color w:val="auto"/>
      <w:sz w:val="20"/>
      <w:szCs w:val="20"/>
    </w:rPr>
  </w:style>
  <w:style w:type="paragraph" w:customStyle="1" w:styleId="Measureresulttrend">
    <w:name w:val="Measure/result/trend"/>
    <w:basedOn w:val="Normal"/>
    <w:qFormat/>
    <w:rsid w:val="00D258E9"/>
    <w:pPr>
      <w:spacing w:before="60" w:after="60"/>
    </w:pPr>
    <w:rPr>
      <w:b/>
      <w:color w:val="auto"/>
      <w:sz w:val="20"/>
      <w:szCs w:val="20"/>
    </w:rPr>
  </w:style>
  <w:style w:type="paragraph" w:customStyle="1" w:styleId="Tablebodytext">
    <w:name w:val="Table body text"/>
    <w:basedOn w:val="Normal"/>
    <w:qFormat/>
    <w:rsid w:val="00D258E9"/>
    <w:pPr>
      <w:spacing w:before="60" w:after="60"/>
    </w:pPr>
    <w:rPr>
      <w:color w:val="auto"/>
      <w:sz w:val="20"/>
      <w:szCs w:val="20"/>
    </w:rPr>
  </w:style>
  <w:style w:type="paragraph" w:customStyle="1" w:styleId="Footnote">
    <w:name w:val="Footnote"/>
    <w:basedOn w:val="Normal"/>
    <w:qFormat/>
    <w:rsid w:val="00A76FDB"/>
    <w:pPr>
      <w:tabs>
        <w:tab w:val="left" w:pos="284"/>
      </w:tabs>
      <w:ind w:left="284" w:hanging="284"/>
      <w:contextualSpacing/>
    </w:pPr>
    <w:rPr>
      <w:color w:val="000000" w:themeColor="text1"/>
      <w:sz w:val="16"/>
      <w:szCs w:val="16"/>
    </w:rPr>
  </w:style>
  <w:style w:type="paragraph" w:customStyle="1" w:styleId="SOItabletext">
    <w:name w:val="SOI table text"/>
    <w:basedOn w:val="Normal"/>
    <w:qFormat/>
    <w:rsid w:val="00E66E9D"/>
    <w:pPr>
      <w:spacing w:before="60" w:after="0"/>
    </w:pPr>
    <w:rPr>
      <w:color w:val="auto"/>
      <w:sz w:val="20"/>
    </w:rPr>
  </w:style>
  <w:style w:type="paragraph" w:customStyle="1" w:styleId="StyleCustomColorRGB0130134After12pt">
    <w:name w:val="Style Custom Color(RGB(0130134)) After:  12 pt"/>
    <w:basedOn w:val="Normal"/>
    <w:rsid w:val="009A4F64"/>
    <w:rPr>
      <w:rFonts w:ascii="Arial Narrow" w:eastAsia="Times New Roman" w:hAnsi="Arial Narrow" w:cs="Times New Roman"/>
      <w:sz w:val="28"/>
      <w:szCs w:val="20"/>
      <w:lang w:val="en-US"/>
    </w:rPr>
  </w:style>
  <w:style w:type="paragraph" w:customStyle="1" w:styleId="ANZBulletLevel1">
    <w:name w:val="ANZ Bullet Level 1"/>
    <w:basedOn w:val="Normal"/>
    <w:rsid w:val="009A4F64"/>
    <w:pPr>
      <w:numPr>
        <w:numId w:val="5"/>
      </w:numPr>
      <w:tabs>
        <w:tab w:val="num" w:pos="360"/>
      </w:tabs>
      <w:spacing w:line="260" w:lineRule="atLeast"/>
      <w:ind w:left="360" w:hanging="360"/>
    </w:pPr>
    <w:rPr>
      <w:rFonts w:ascii="Tw Cen MT Mi" w:eastAsia="Times New Roman" w:hAnsi="Tw Cen MT Mi" w:cs="Times New Roman"/>
      <w:color w:val="auto"/>
      <w:lang w:eastAsia="en-GB"/>
    </w:rPr>
  </w:style>
  <w:style w:type="paragraph" w:customStyle="1" w:styleId="ANZBulletLevel2">
    <w:name w:val="ANZ Bullet Level 2"/>
    <w:basedOn w:val="ANZBulletLevel1"/>
    <w:rsid w:val="009A4F64"/>
    <w:pPr>
      <w:numPr>
        <w:ilvl w:val="1"/>
      </w:numPr>
      <w:tabs>
        <w:tab w:val="num" w:pos="360"/>
        <w:tab w:val="num" w:pos="1004"/>
      </w:tabs>
      <w:ind w:left="1004" w:hanging="284"/>
    </w:pPr>
  </w:style>
  <w:style w:type="paragraph" w:customStyle="1" w:styleId="ANZBulletLevel3">
    <w:name w:val="ANZ Bullet Level 3"/>
    <w:basedOn w:val="ANZBulletLevel1"/>
    <w:rsid w:val="009A4F64"/>
    <w:pPr>
      <w:numPr>
        <w:ilvl w:val="2"/>
      </w:numPr>
      <w:tabs>
        <w:tab w:val="clear" w:pos="1701"/>
        <w:tab w:val="num" w:pos="360"/>
      </w:tabs>
      <w:ind w:left="360" w:hanging="360"/>
    </w:pPr>
  </w:style>
  <w:style w:type="paragraph" w:customStyle="1" w:styleId="BodyText1">
    <w:name w:val="Body Text1"/>
    <w:basedOn w:val="Normal"/>
    <w:rsid w:val="00FE293F"/>
    <w:pPr>
      <w:suppressAutoHyphens/>
      <w:autoSpaceDE w:val="0"/>
      <w:autoSpaceDN w:val="0"/>
      <w:adjustRightInd w:val="0"/>
      <w:spacing w:before="240" w:after="0"/>
    </w:pPr>
    <w:rPr>
      <w:rFonts w:ascii="Arial" w:eastAsia="Times New Roman" w:hAnsi="Arial" w:cs="Arial"/>
      <w:color w:val="auto"/>
      <w:sz w:val="22"/>
      <w:lang w:val="en-US" w:eastAsia="en-NZ"/>
    </w:rPr>
  </w:style>
  <w:style w:type="paragraph" w:styleId="BalloonText">
    <w:name w:val="Balloon Text"/>
    <w:basedOn w:val="Normal"/>
    <w:link w:val="BalloonTextChar"/>
    <w:semiHidden/>
    <w:rsid w:val="003935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F2"/>
    <w:rPr>
      <w:rFonts w:ascii="Tahoma" w:hAnsi="Tahoma" w:cs="Tahoma"/>
      <w:color w:val="008286"/>
      <w:sz w:val="16"/>
      <w:szCs w:val="16"/>
    </w:rPr>
  </w:style>
  <w:style w:type="paragraph" w:styleId="Header">
    <w:name w:val="header"/>
    <w:basedOn w:val="Normal"/>
    <w:link w:val="HeaderChar"/>
    <w:rsid w:val="003935F2"/>
    <w:pPr>
      <w:tabs>
        <w:tab w:val="center" w:pos="4513"/>
        <w:tab w:val="right" w:pos="9026"/>
      </w:tabs>
      <w:spacing w:after="0"/>
    </w:pPr>
  </w:style>
  <w:style w:type="character" w:customStyle="1" w:styleId="HeaderChar">
    <w:name w:val="Header Char"/>
    <w:basedOn w:val="DefaultParagraphFont"/>
    <w:link w:val="Header"/>
    <w:rsid w:val="003935F2"/>
    <w:rPr>
      <w:rFonts w:ascii="Arial Mäori" w:hAnsi="Arial Mäori"/>
      <w:color w:val="008286"/>
      <w:sz w:val="24"/>
    </w:rPr>
  </w:style>
  <w:style w:type="paragraph" w:styleId="Footer">
    <w:name w:val="footer"/>
    <w:basedOn w:val="Normal"/>
    <w:link w:val="FooterChar"/>
    <w:uiPriority w:val="99"/>
    <w:rsid w:val="003935F2"/>
    <w:pPr>
      <w:tabs>
        <w:tab w:val="center" w:pos="4513"/>
        <w:tab w:val="right" w:pos="9026"/>
      </w:tabs>
      <w:spacing w:after="0"/>
    </w:pPr>
  </w:style>
  <w:style w:type="character" w:customStyle="1" w:styleId="FooterChar">
    <w:name w:val="Footer Char"/>
    <w:basedOn w:val="DefaultParagraphFont"/>
    <w:link w:val="Footer"/>
    <w:uiPriority w:val="99"/>
    <w:rsid w:val="003935F2"/>
    <w:rPr>
      <w:rFonts w:ascii="Arial Mäori" w:hAnsi="Arial Mäori"/>
      <w:color w:val="008286"/>
      <w:sz w:val="24"/>
    </w:rPr>
  </w:style>
  <w:style w:type="paragraph" w:styleId="TOCHeading">
    <w:name w:val="TOC Heading"/>
    <w:basedOn w:val="Heading1"/>
    <w:next w:val="Normal"/>
    <w:uiPriority w:val="39"/>
    <w:semiHidden/>
    <w:unhideWhenUsed/>
    <w:qFormat/>
    <w:rsid w:val="003935F2"/>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qFormat/>
    <w:rsid w:val="003935F2"/>
    <w:pPr>
      <w:spacing w:after="100"/>
    </w:pPr>
  </w:style>
  <w:style w:type="paragraph" w:styleId="TOC2">
    <w:name w:val="toc 2"/>
    <w:basedOn w:val="Normal"/>
    <w:next w:val="Normal"/>
    <w:autoRedefine/>
    <w:uiPriority w:val="39"/>
    <w:qFormat/>
    <w:rsid w:val="003935F2"/>
    <w:pPr>
      <w:spacing w:after="100"/>
      <w:ind w:left="240"/>
    </w:pPr>
  </w:style>
  <w:style w:type="paragraph" w:customStyle="1" w:styleId="majorhead">
    <w:name w:val="major head"/>
    <w:basedOn w:val="NoParagraphStyle"/>
    <w:rsid w:val="009D38E8"/>
    <w:pPr>
      <w:suppressAutoHyphens/>
      <w:spacing w:line="500" w:lineRule="atLeast"/>
    </w:pPr>
    <w:rPr>
      <w:rFonts w:ascii="AvenirMaori-Heavy" w:hAnsi="AvenirMaori-Heavy" w:cs="AvenirMaori-Heavy"/>
      <w:color w:val="00C477"/>
      <w:spacing w:val="-7"/>
      <w:sz w:val="50"/>
      <w:szCs w:val="50"/>
    </w:rPr>
  </w:style>
  <w:style w:type="paragraph" w:customStyle="1" w:styleId="NoParagraphStyle">
    <w:name w:val="[No Paragraph Style]"/>
    <w:link w:val="NoParagraphStyleChar"/>
    <w:rsid w:val="009D38E8"/>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eastAsia="en-AU"/>
    </w:rPr>
  </w:style>
  <w:style w:type="paragraph" w:customStyle="1" w:styleId="finasat">
    <w:name w:val="fin as at . . ."/>
    <w:basedOn w:val="NoParagraphStyle"/>
    <w:rsid w:val="009D38E8"/>
    <w:pPr>
      <w:suppressAutoHyphens/>
      <w:spacing w:before="113" w:after="113" w:line="140" w:lineRule="atLeast"/>
    </w:pPr>
    <w:rPr>
      <w:rFonts w:ascii="AvenirMaori" w:hAnsi="AvenirMaori" w:cs="AvenirMaori"/>
      <w:color w:val="00C477"/>
      <w:sz w:val="14"/>
      <w:szCs w:val="14"/>
      <w:lang w:val="en-GB"/>
    </w:rPr>
  </w:style>
  <w:style w:type="paragraph" w:customStyle="1" w:styleId="20pthead">
    <w:name w:val="20pt head"/>
    <w:basedOn w:val="majorhead"/>
    <w:rsid w:val="009D38E8"/>
    <w:pPr>
      <w:spacing w:before="170" w:line="400" w:lineRule="atLeast"/>
    </w:pPr>
    <w:rPr>
      <w:spacing w:val="-6"/>
      <w:sz w:val="40"/>
      <w:szCs w:val="40"/>
    </w:rPr>
  </w:style>
  <w:style w:type="paragraph" w:customStyle="1" w:styleId="headwithrule">
    <w:name w:val="head with rule"/>
    <w:basedOn w:val="NoParagraphStyle"/>
    <w:rsid w:val="009D38E8"/>
    <w:pPr>
      <w:pBdr>
        <w:bottom w:val="single" w:sz="6" w:space="7" w:color="00C477"/>
      </w:pBdr>
      <w:suppressAutoHyphens/>
      <w:spacing w:before="227" w:after="170" w:line="260" w:lineRule="atLeast"/>
    </w:pPr>
    <w:rPr>
      <w:rFonts w:ascii="AvenirMaori-Black" w:hAnsi="AvenirMaori-Black" w:cs="AvenirMaori-Black"/>
      <w:color w:val="00C477"/>
    </w:rPr>
  </w:style>
  <w:style w:type="paragraph" w:customStyle="1" w:styleId="subhead">
    <w:name w:val="sub head"/>
    <w:basedOn w:val="NoParagraphStyle"/>
    <w:rsid w:val="009D38E8"/>
    <w:pPr>
      <w:suppressAutoHyphens/>
      <w:spacing w:before="57" w:after="57" w:line="260" w:lineRule="atLeast"/>
    </w:pPr>
    <w:rPr>
      <w:rFonts w:ascii="AvenirMaori-Heavy" w:hAnsi="AvenirMaori-Heavy" w:cs="AvenirMaori-Heavy"/>
      <w:spacing w:val="-2"/>
      <w:sz w:val="21"/>
      <w:szCs w:val="21"/>
    </w:rPr>
  </w:style>
  <w:style w:type="paragraph" w:customStyle="1" w:styleId="text">
    <w:name w:val="text"/>
    <w:basedOn w:val="NoParagraphStyle"/>
    <w:link w:val="textChar"/>
    <w:rsid w:val="009D38E8"/>
    <w:pPr>
      <w:suppressAutoHyphens/>
      <w:spacing w:after="113" w:line="250" w:lineRule="atLeast"/>
    </w:pPr>
    <w:rPr>
      <w:rFonts w:ascii="AvenirMaori-Light" w:hAnsi="AvenirMaori-Light" w:cs="AvenirMaori-Light"/>
      <w:sz w:val="20"/>
      <w:szCs w:val="20"/>
    </w:rPr>
  </w:style>
  <w:style w:type="paragraph" w:customStyle="1" w:styleId="Tableheader">
    <w:name w:val="Table header"/>
    <w:basedOn w:val="NoParagraphStyle"/>
    <w:rsid w:val="009D38E8"/>
    <w:pPr>
      <w:suppressAutoHyphens/>
      <w:spacing w:before="113" w:line="260" w:lineRule="atLeast"/>
    </w:pPr>
    <w:rPr>
      <w:rFonts w:ascii="AvenirMaori-Heavy" w:hAnsi="AvenirMaori-Heavy" w:cs="AvenirMaori-Heavy"/>
      <w:color w:val="00C477"/>
      <w:spacing w:val="-2"/>
      <w:sz w:val="22"/>
      <w:szCs w:val="22"/>
    </w:rPr>
  </w:style>
  <w:style w:type="paragraph" w:customStyle="1" w:styleId="fintableheads">
    <w:name w:val="fin table heads"/>
    <w:basedOn w:val="finnumbertext"/>
    <w:rsid w:val="009D38E8"/>
    <w:pPr>
      <w:spacing w:line="140" w:lineRule="atLeast"/>
      <w:ind w:right="57"/>
    </w:pPr>
    <w:rPr>
      <w:rFonts w:ascii="AvenirMaori-Heavy" w:hAnsi="AvenirMaori-Heavy" w:cs="AvenirMaori-Heavy"/>
      <w:caps/>
      <w:color w:val="000000"/>
      <w:sz w:val="14"/>
      <w:szCs w:val="14"/>
    </w:rPr>
  </w:style>
  <w:style w:type="paragraph" w:customStyle="1" w:styleId="finnumbertext">
    <w:name w:val="fin number text"/>
    <w:basedOn w:val="NoParagraphStyle"/>
    <w:rsid w:val="009D38E8"/>
    <w:pPr>
      <w:tabs>
        <w:tab w:val="left" w:pos="1020"/>
        <w:tab w:val="left" w:pos="1247"/>
        <w:tab w:val="center" w:pos="5669"/>
        <w:tab w:val="left" w:pos="7087"/>
        <w:tab w:val="left" w:pos="8334"/>
        <w:tab w:val="left" w:pos="9553"/>
      </w:tabs>
      <w:suppressAutoHyphens/>
      <w:spacing w:line="240" w:lineRule="atLeast"/>
      <w:jc w:val="right"/>
    </w:pPr>
    <w:rPr>
      <w:rFonts w:ascii="AvenirMaori" w:hAnsi="AvenirMaori" w:cs="AvenirMaori"/>
      <w:color w:val="00C477"/>
      <w:sz w:val="16"/>
      <w:szCs w:val="16"/>
    </w:rPr>
  </w:style>
  <w:style w:type="paragraph" w:customStyle="1" w:styleId="fintableheadsLeft">
    <w:name w:val="fin table heads Left"/>
    <w:basedOn w:val="NoParagraphStyle"/>
    <w:rsid w:val="009D38E8"/>
    <w:pPr>
      <w:tabs>
        <w:tab w:val="center" w:pos="5669"/>
        <w:tab w:val="left" w:pos="7087"/>
        <w:tab w:val="left" w:pos="8334"/>
        <w:tab w:val="left" w:pos="9553"/>
      </w:tabs>
      <w:suppressAutoHyphens/>
      <w:spacing w:line="140" w:lineRule="atLeast"/>
      <w:ind w:right="57"/>
    </w:pPr>
    <w:rPr>
      <w:rFonts w:ascii="AvenirMaori-Heavy" w:hAnsi="AvenirMaori-Heavy" w:cs="AvenirMaori-Heavy"/>
      <w:caps/>
      <w:sz w:val="14"/>
      <w:szCs w:val="14"/>
    </w:rPr>
  </w:style>
  <w:style w:type="character" w:customStyle="1" w:styleId="fintextheavyFINANCIALS">
    <w:name w:val="fin text heavy (FINANCIALS)"/>
    <w:rsid w:val="009D38E8"/>
    <w:rPr>
      <w:rFonts w:ascii="AvenirMaori-Heavy" w:hAnsi="AvenirMaori-Heavy" w:cs="AvenirMaori-Heavy"/>
    </w:rPr>
  </w:style>
  <w:style w:type="paragraph" w:customStyle="1" w:styleId="FinFigures">
    <w:name w:val="Fin Figures"/>
    <w:basedOn w:val="tablefintext"/>
    <w:rsid w:val="009D38E8"/>
    <w:pPr>
      <w:ind w:right="45"/>
      <w:jc w:val="right"/>
    </w:pPr>
  </w:style>
  <w:style w:type="paragraph" w:customStyle="1" w:styleId="tablefintext">
    <w:name w:val="table fin text"/>
    <w:basedOn w:val="NoParagraphStyle"/>
    <w:rsid w:val="009D38E8"/>
    <w:pPr>
      <w:tabs>
        <w:tab w:val="center" w:pos="5669"/>
        <w:tab w:val="left" w:pos="7087"/>
        <w:tab w:val="left" w:pos="8334"/>
        <w:tab w:val="left" w:pos="9553"/>
      </w:tabs>
      <w:suppressAutoHyphens/>
      <w:spacing w:line="190" w:lineRule="atLeast"/>
    </w:pPr>
    <w:rPr>
      <w:rFonts w:ascii="AvenirMaori" w:hAnsi="AvenirMaori" w:cs="AvenirMaori"/>
      <w:sz w:val="16"/>
      <w:szCs w:val="16"/>
    </w:rPr>
  </w:style>
  <w:style w:type="paragraph" w:customStyle="1" w:styleId="TABLESPACE">
    <w:name w:val="TABLE SPACE"/>
    <w:basedOn w:val="text"/>
    <w:rsid w:val="009D38E8"/>
    <w:pPr>
      <w:spacing w:before="57" w:after="170"/>
    </w:pPr>
  </w:style>
  <w:style w:type="paragraph" w:customStyle="1" w:styleId="Tableheader2">
    <w:name w:val="Table header 2"/>
    <w:basedOn w:val="NoParagraphStyle"/>
    <w:rsid w:val="009D38E8"/>
    <w:pPr>
      <w:suppressAutoHyphens/>
      <w:spacing w:line="260" w:lineRule="atLeast"/>
    </w:pPr>
    <w:rPr>
      <w:rFonts w:ascii="AvenirMaori-Medium" w:hAnsi="AvenirMaori-Medium" w:cs="AvenirMaori-Medium"/>
      <w:color w:val="00C477"/>
      <w:spacing w:val="-2"/>
      <w:sz w:val="21"/>
      <w:szCs w:val="21"/>
    </w:rPr>
  </w:style>
  <w:style w:type="paragraph" w:customStyle="1" w:styleId="FinFigures0">
    <w:name w:val="Fin Figures ()"/>
    <w:basedOn w:val="tablefintext"/>
    <w:rsid w:val="009D38E8"/>
    <w:pPr>
      <w:jc w:val="right"/>
    </w:pPr>
  </w:style>
  <w:style w:type="character" w:customStyle="1" w:styleId="tablefinitalicFINANCIALS">
    <w:name w:val="table fin italic (FINANCIALS)"/>
    <w:rsid w:val="009D38E8"/>
    <w:rPr>
      <w:rFonts w:ascii="AvenirMaori-Light" w:hAnsi="AvenirMaori-Light" w:cs="AvenirMaori-Light"/>
      <w:color w:val="000000"/>
    </w:rPr>
  </w:style>
  <w:style w:type="paragraph" w:customStyle="1" w:styleId="footnote0">
    <w:name w:val="footnote"/>
    <w:basedOn w:val="text"/>
    <w:link w:val="footnoteChar"/>
    <w:rsid w:val="009D38E8"/>
    <w:pPr>
      <w:spacing w:after="57" w:line="146" w:lineRule="atLeast"/>
      <w:ind w:left="227" w:hanging="227"/>
    </w:pPr>
    <w:rPr>
      <w:spacing w:val="-1"/>
      <w:sz w:val="13"/>
      <w:szCs w:val="13"/>
    </w:rPr>
  </w:style>
  <w:style w:type="character" w:customStyle="1" w:styleId="NoParagraphStyleChar">
    <w:name w:val="[No Paragraph Style] Char"/>
    <w:link w:val="NoParagraphStyle"/>
    <w:rsid w:val="009D38E8"/>
    <w:rPr>
      <w:rFonts w:ascii="Times-Roman" w:eastAsia="Times New Roman" w:hAnsi="Times-Roman" w:cs="Times-Roman"/>
      <w:color w:val="000000"/>
      <w:sz w:val="24"/>
      <w:szCs w:val="24"/>
      <w:lang w:val="en-US" w:eastAsia="en-AU"/>
    </w:rPr>
  </w:style>
  <w:style w:type="character" w:customStyle="1" w:styleId="textChar">
    <w:name w:val="text Char"/>
    <w:link w:val="text"/>
    <w:rsid w:val="009D38E8"/>
    <w:rPr>
      <w:rFonts w:ascii="AvenirMaori-Light" w:eastAsia="Times New Roman" w:hAnsi="AvenirMaori-Light" w:cs="AvenirMaori-Light"/>
      <w:color w:val="000000"/>
      <w:sz w:val="20"/>
      <w:szCs w:val="20"/>
      <w:lang w:val="en-US" w:eastAsia="en-AU"/>
    </w:rPr>
  </w:style>
  <w:style w:type="character" w:customStyle="1" w:styleId="footnoteChar">
    <w:name w:val="footnote Char"/>
    <w:link w:val="footnote0"/>
    <w:rsid w:val="009D38E8"/>
    <w:rPr>
      <w:rFonts w:ascii="AvenirMaori-Light" w:eastAsia="Times New Roman" w:hAnsi="AvenirMaori-Light" w:cs="AvenirMaori-Light"/>
      <w:color w:val="000000"/>
      <w:spacing w:val="-1"/>
      <w:sz w:val="13"/>
      <w:szCs w:val="13"/>
      <w:lang w:val="en-US" w:eastAsia="en-AU"/>
    </w:rPr>
  </w:style>
  <w:style w:type="character" w:styleId="CommentReference">
    <w:name w:val="annotation reference"/>
    <w:semiHidden/>
    <w:rsid w:val="009D38E8"/>
    <w:rPr>
      <w:sz w:val="16"/>
      <w:szCs w:val="16"/>
    </w:rPr>
  </w:style>
  <w:style w:type="paragraph" w:styleId="CommentText">
    <w:name w:val="annotation text"/>
    <w:basedOn w:val="Normal"/>
    <w:link w:val="CommentTextChar"/>
    <w:semiHidden/>
    <w:rsid w:val="009D38E8"/>
    <w:pPr>
      <w:spacing w:after="0"/>
    </w:pPr>
    <w:rPr>
      <w:rFonts w:ascii="Times New Roman" w:eastAsia="Times New Roman" w:hAnsi="Times New Roman" w:cs="Times New Roman"/>
      <w:color w:val="auto"/>
      <w:sz w:val="20"/>
      <w:szCs w:val="20"/>
      <w:lang w:val="en-AU" w:eastAsia="en-AU"/>
    </w:rPr>
  </w:style>
  <w:style w:type="character" w:customStyle="1" w:styleId="CommentTextChar">
    <w:name w:val="Comment Text Char"/>
    <w:basedOn w:val="DefaultParagraphFont"/>
    <w:link w:val="CommentText"/>
    <w:semiHidden/>
    <w:rsid w:val="009D38E8"/>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9D38E8"/>
    <w:rPr>
      <w:b/>
      <w:bCs/>
    </w:rPr>
  </w:style>
  <w:style w:type="character" w:customStyle="1" w:styleId="CommentSubjectChar">
    <w:name w:val="Comment Subject Char"/>
    <w:basedOn w:val="CommentTextChar"/>
    <w:link w:val="CommentSubject"/>
    <w:semiHidden/>
    <w:rsid w:val="009D38E8"/>
    <w:rPr>
      <w:rFonts w:ascii="Times New Roman" w:eastAsia="Times New Roman" w:hAnsi="Times New Roman" w:cs="Times New Roman"/>
      <w:b/>
      <w:bCs/>
      <w:sz w:val="20"/>
      <w:szCs w:val="20"/>
      <w:lang w:val="en-AU" w:eastAsia="en-AU"/>
    </w:rPr>
  </w:style>
  <w:style w:type="paragraph" w:styleId="BodyText">
    <w:name w:val="Body Text"/>
    <w:basedOn w:val="Normal"/>
    <w:link w:val="BodyTextChar"/>
    <w:semiHidden/>
    <w:rsid w:val="009D38E8"/>
    <w:pPr>
      <w:suppressAutoHyphens/>
      <w:autoSpaceDE w:val="0"/>
      <w:autoSpaceDN w:val="0"/>
      <w:adjustRightInd w:val="0"/>
      <w:spacing w:after="120" w:line="280" w:lineRule="atLeast"/>
      <w:textAlignment w:val="center"/>
    </w:pPr>
    <w:rPr>
      <w:rFonts w:ascii="Arial" w:eastAsia="Times New Roman" w:hAnsi="Arial" w:cs="Arial"/>
      <w:color w:val="auto"/>
      <w:sz w:val="22"/>
      <w:lang w:val="en-US" w:eastAsia="en-NZ"/>
    </w:rPr>
  </w:style>
  <w:style w:type="character" w:customStyle="1" w:styleId="BodyTextChar">
    <w:name w:val="Body Text Char"/>
    <w:basedOn w:val="DefaultParagraphFont"/>
    <w:link w:val="BodyText"/>
    <w:semiHidden/>
    <w:rsid w:val="009D38E8"/>
    <w:rPr>
      <w:rFonts w:ascii="Arial" w:eastAsia="Times New Roman" w:hAnsi="Arial" w:cs="Arial"/>
      <w:lang w:val="en-US" w:eastAsia="en-NZ"/>
    </w:rPr>
  </w:style>
  <w:style w:type="character" w:customStyle="1" w:styleId="highlightedsearchterm">
    <w:name w:val="highlightedsearchterm"/>
    <w:basedOn w:val="DefaultParagraphFont"/>
    <w:rsid w:val="009D38E8"/>
  </w:style>
  <w:style w:type="paragraph" w:styleId="Revision">
    <w:name w:val="Revision"/>
    <w:hidden/>
    <w:uiPriority w:val="99"/>
    <w:semiHidden/>
    <w:rsid w:val="009D38E8"/>
    <w:pPr>
      <w:spacing w:after="0"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9D38E8"/>
    <w:pPr>
      <w:spacing w:before="100" w:beforeAutospacing="1" w:after="100" w:afterAutospacing="1"/>
    </w:pPr>
    <w:rPr>
      <w:rFonts w:ascii="Times New Roman" w:eastAsia="Times New Roman" w:hAnsi="Times New Roman" w:cs="Times New Roman"/>
      <w:color w:val="auto"/>
      <w:szCs w:val="24"/>
      <w:lang w:eastAsia="en-NZ"/>
    </w:rPr>
  </w:style>
  <w:style w:type="paragraph" w:customStyle="1" w:styleId="Default">
    <w:name w:val="Default"/>
    <w:rsid w:val="009D38E8"/>
    <w:pPr>
      <w:autoSpaceDE w:val="0"/>
      <w:autoSpaceDN w:val="0"/>
      <w:adjustRightInd w:val="0"/>
      <w:spacing w:after="0" w:line="240" w:lineRule="auto"/>
    </w:pPr>
    <w:rPr>
      <w:rFonts w:ascii="Arial Mäori" w:eastAsia="Calibri" w:hAnsi="Arial Mäori" w:cs="Arial Mäori"/>
      <w:color w:val="000000"/>
      <w:sz w:val="24"/>
      <w:szCs w:val="24"/>
    </w:rPr>
  </w:style>
  <w:style w:type="paragraph" w:styleId="TOC3">
    <w:name w:val="toc 3"/>
    <w:basedOn w:val="Normal"/>
    <w:next w:val="Normal"/>
    <w:autoRedefine/>
    <w:uiPriority w:val="39"/>
    <w:semiHidden/>
    <w:unhideWhenUsed/>
    <w:qFormat/>
    <w:rsid w:val="00490B4D"/>
    <w:pPr>
      <w:spacing w:after="100" w:line="276" w:lineRule="auto"/>
      <w:ind w:left="440"/>
    </w:pPr>
    <w:rPr>
      <w:rFonts w:asciiTheme="minorHAnsi" w:eastAsiaTheme="minorEastAsia" w:hAnsiTheme="minorHAnsi"/>
      <w:color w:val="auto"/>
      <w:sz w:val="22"/>
      <w:lang w:val="en-US" w:eastAsia="ja-JP"/>
    </w:rPr>
  </w:style>
  <w:style w:type="paragraph" w:styleId="BodyText2">
    <w:name w:val="Body Text 2"/>
    <w:basedOn w:val="Normal"/>
    <w:link w:val="BodyText2Char"/>
    <w:uiPriority w:val="99"/>
    <w:semiHidden/>
    <w:rsid w:val="003A0921"/>
    <w:pPr>
      <w:spacing w:after="120" w:line="480" w:lineRule="auto"/>
    </w:pPr>
  </w:style>
  <w:style w:type="character" w:customStyle="1" w:styleId="BodyText2Char">
    <w:name w:val="Body Text 2 Char"/>
    <w:basedOn w:val="DefaultParagraphFont"/>
    <w:link w:val="BodyText2"/>
    <w:uiPriority w:val="99"/>
    <w:semiHidden/>
    <w:rsid w:val="003A0921"/>
    <w:rPr>
      <w:rFonts w:ascii="Arial Mäori" w:hAnsi="Arial Mäori"/>
      <w:color w:val="008286"/>
      <w:sz w:val="24"/>
    </w:rPr>
  </w:style>
  <w:style w:type="character" w:styleId="Strong">
    <w:name w:val="Strong"/>
    <w:basedOn w:val="DefaultParagraphFont"/>
    <w:uiPriority w:val="22"/>
    <w:qFormat/>
    <w:rsid w:val="00AE347C"/>
    <w:rPr>
      <w:b/>
      <w:bCs/>
    </w:rPr>
  </w:style>
  <w:style w:type="numbering" w:customStyle="1" w:styleId="RecList">
    <w:name w:val="Rec List"/>
    <w:basedOn w:val="NoList"/>
    <w:rsid w:val="00EE6A39"/>
    <w:pPr>
      <w:numPr>
        <w:numId w:val="9"/>
      </w:numPr>
    </w:pPr>
  </w:style>
  <w:style w:type="paragraph" w:customStyle="1" w:styleId="RecNumber">
    <w:name w:val="Rec Number"/>
    <w:basedOn w:val="Normal"/>
    <w:rsid w:val="00EE6A39"/>
    <w:pPr>
      <w:spacing w:before="240" w:after="0"/>
      <w:jc w:val="both"/>
    </w:pPr>
    <w:rPr>
      <w:rFonts w:eastAsia="Times New Roman" w:cs="Times New Roman"/>
      <w:color w:val="auto"/>
      <w:kern w:val="22"/>
      <w:sz w:val="22"/>
    </w:rPr>
  </w:style>
  <w:style w:type="paragraph" w:customStyle="1" w:styleId="BodyText20">
    <w:name w:val="Body Text2"/>
    <w:basedOn w:val="Normal"/>
    <w:rsid w:val="00BE5F94"/>
    <w:pPr>
      <w:suppressAutoHyphens/>
      <w:autoSpaceDE w:val="0"/>
      <w:autoSpaceDN w:val="0"/>
      <w:adjustRightInd w:val="0"/>
      <w:spacing w:before="240" w:after="0"/>
    </w:pPr>
    <w:rPr>
      <w:rFonts w:ascii="Arial" w:eastAsia="Times New Roman" w:hAnsi="Arial" w:cs="Arial"/>
      <w:color w:val="auto"/>
      <w:sz w:val="22"/>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semiHidden="0"/>
    <w:lsdException w:name="List Bullet" w:semiHidden="0" w:uiPriority="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Body Text" w:uiPriority="0"/>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annotation subject" w:uiPriority="0"/>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aliases w:val="teal text below chapter heading"/>
    <w:next w:val="Subtitle"/>
    <w:qFormat/>
    <w:rsid w:val="00C86F32"/>
    <w:pPr>
      <w:spacing w:after="240" w:line="240" w:lineRule="auto"/>
    </w:pPr>
    <w:rPr>
      <w:rFonts w:ascii="Arial Mäori" w:hAnsi="Arial Mäori"/>
      <w:color w:val="008286"/>
      <w:sz w:val="24"/>
    </w:rPr>
  </w:style>
  <w:style w:type="paragraph" w:styleId="Heading1">
    <w:name w:val="heading 1"/>
    <w:next w:val="Normal"/>
    <w:link w:val="Heading1Char"/>
    <w:uiPriority w:val="9"/>
    <w:qFormat/>
    <w:rsid w:val="00D173BB"/>
    <w:pPr>
      <w:keepNext/>
      <w:keepLines/>
      <w:spacing w:before="240" w:after="60" w:line="240" w:lineRule="auto"/>
      <w:outlineLvl w:val="0"/>
    </w:pPr>
    <w:rPr>
      <w:rFonts w:ascii="Arial Mäori" w:eastAsiaTheme="majorEastAsia" w:hAnsi="Arial Mäori" w:cstheme="majorBidi"/>
      <w:b/>
      <w:bCs/>
      <w:sz w:val="40"/>
      <w:szCs w:val="28"/>
    </w:rPr>
  </w:style>
  <w:style w:type="paragraph" w:styleId="Heading2">
    <w:name w:val="heading 2"/>
    <w:basedOn w:val="Normal"/>
    <w:next w:val="Normal"/>
    <w:link w:val="Heading2Char"/>
    <w:uiPriority w:val="9"/>
    <w:qFormat/>
    <w:rsid w:val="00D173BB"/>
    <w:pPr>
      <w:keepNext/>
      <w:keepLines/>
      <w:spacing w:after="120"/>
      <w:outlineLvl w:val="1"/>
    </w:pPr>
    <w:rPr>
      <w:rFonts w:eastAsiaTheme="majorEastAsia" w:cstheme="majorBidi"/>
      <w:b/>
      <w:bCs/>
      <w:color w:val="auto"/>
      <w:szCs w:val="26"/>
    </w:rPr>
  </w:style>
  <w:style w:type="paragraph" w:styleId="Heading3">
    <w:name w:val="heading 3"/>
    <w:basedOn w:val="headwithrule"/>
    <w:next w:val="Normal"/>
    <w:link w:val="Heading3Char"/>
    <w:uiPriority w:val="9"/>
    <w:qFormat/>
    <w:rsid w:val="00D173BB"/>
    <w:pPr>
      <w:outlineLvl w:val="2"/>
    </w:pPr>
    <w:rPr>
      <w:color w:val="auto"/>
      <w:lang w:val="en-GB"/>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3BB"/>
    <w:rPr>
      <w:rFonts w:ascii="Arial Mäori" w:eastAsiaTheme="majorEastAsia" w:hAnsi="Arial Mäori" w:cstheme="majorBidi"/>
      <w:b/>
      <w:bCs/>
      <w:sz w:val="40"/>
      <w:szCs w:val="28"/>
    </w:rPr>
  </w:style>
  <w:style w:type="character" w:customStyle="1" w:styleId="Heading2Char">
    <w:name w:val="Heading 2 Char"/>
    <w:basedOn w:val="DefaultParagraphFont"/>
    <w:link w:val="Heading2"/>
    <w:uiPriority w:val="9"/>
    <w:rsid w:val="00D173BB"/>
    <w:rPr>
      <w:rFonts w:ascii="Arial Mäori" w:eastAsiaTheme="majorEastAsia" w:hAnsi="Arial Mäori" w:cstheme="majorBidi"/>
      <w:b/>
      <w:bCs/>
      <w:sz w:val="24"/>
      <w:szCs w:val="26"/>
    </w:rPr>
  </w:style>
  <w:style w:type="character" w:customStyle="1" w:styleId="Heading3Char">
    <w:name w:val="Heading 3 Char"/>
    <w:basedOn w:val="DefaultParagraphFont"/>
    <w:link w:val="Heading3"/>
    <w:uiPriority w:val="9"/>
    <w:rsid w:val="00D173BB"/>
    <w:rPr>
      <w:rFonts w:ascii="AvenirMaori-Black" w:eastAsia="Times New Roman" w:hAnsi="AvenirMaori-Black" w:cs="AvenirMaori-Black"/>
      <w:sz w:val="24"/>
      <w:szCs w:val="24"/>
      <w:lang w:val="en-GB" w:eastAsia="en-AU"/>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1"/>
      </w:numPr>
      <w:tabs>
        <w:tab w:val="num" w:pos="360"/>
      </w:tabs>
      <w:ind w:left="0" w:firstLine="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aliases w:val="7 Table"/>
    <w:basedOn w:val="TableNormal"/>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BodyBoldsubheading"/>
    <w:next w:val="Normal"/>
    <w:link w:val="SubtitleChar"/>
    <w:uiPriority w:val="11"/>
    <w:qFormat/>
    <w:rsid w:val="00D173BB"/>
  </w:style>
  <w:style w:type="character" w:customStyle="1" w:styleId="SubtitleChar">
    <w:name w:val="Subtitle Char"/>
    <w:basedOn w:val="DefaultParagraphFont"/>
    <w:link w:val="Subtitle"/>
    <w:uiPriority w:val="11"/>
    <w:rsid w:val="00D173BB"/>
    <w:rPr>
      <w:rFonts w:ascii="Arial Mäori" w:hAnsi="Arial Mäori"/>
      <w:b/>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3"/>
      </w:numPr>
      <w:tabs>
        <w:tab w:val="left" w:pos="454"/>
      </w:tabs>
      <w:suppressAutoHyphens/>
      <w:autoSpaceDE w:val="0"/>
      <w:autoSpaceDN w:val="0"/>
      <w:adjustRightInd w:val="0"/>
      <w:textAlignment w:val="center"/>
    </w:pPr>
    <w:rPr>
      <w:rFonts w:eastAsia="Times New Roman" w:cs="Arial"/>
    </w:rPr>
  </w:style>
  <w:style w:type="paragraph" w:customStyle="1" w:styleId="Bullet2">
    <w:name w:val="Bullet2"/>
    <w:rsid w:val="00B5357A"/>
    <w:pPr>
      <w:numPr>
        <w:numId w:val="4"/>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NoSpacing">
    <w:name w:val="No Spacing"/>
    <w:aliases w:val="normal text"/>
    <w:uiPriority w:val="1"/>
    <w:qFormat/>
    <w:rsid w:val="0015027E"/>
    <w:pPr>
      <w:spacing w:after="120" w:line="240" w:lineRule="auto"/>
    </w:pPr>
    <w:rPr>
      <w:rFonts w:ascii="Arial Mäori" w:hAnsi="Arial Mäori"/>
      <w:color w:val="000000" w:themeColor="text1"/>
    </w:rPr>
  </w:style>
  <w:style w:type="paragraph" w:customStyle="1" w:styleId="BodyBoldsubheading">
    <w:name w:val="Body Bold subheading"/>
    <w:basedOn w:val="Normal"/>
    <w:qFormat/>
    <w:rsid w:val="0015027E"/>
    <w:pPr>
      <w:spacing w:after="120"/>
    </w:pPr>
    <w:rPr>
      <w:b/>
      <w:color w:val="auto"/>
      <w:sz w:val="22"/>
    </w:rPr>
  </w:style>
  <w:style w:type="paragraph" w:customStyle="1" w:styleId="Bulletednormal">
    <w:name w:val="Bulleted normal"/>
    <w:basedOn w:val="Bullet1"/>
    <w:qFormat/>
    <w:rsid w:val="003D0900"/>
    <w:pPr>
      <w:tabs>
        <w:tab w:val="left" w:pos="284"/>
      </w:tabs>
      <w:spacing w:after="120"/>
    </w:pPr>
    <w:rPr>
      <w:color w:val="auto"/>
      <w:sz w:val="22"/>
    </w:rPr>
  </w:style>
  <w:style w:type="character" w:customStyle="1" w:styleId="ListBulletChar">
    <w:name w:val="List Bullet Char"/>
    <w:link w:val="ListBullet"/>
    <w:locked/>
    <w:rsid w:val="00445565"/>
    <w:rPr>
      <w:rFonts w:ascii="Arial Mäori" w:hAnsi="Arial Mäori"/>
      <w:szCs w:val="24"/>
      <w:lang w:val="en-US"/>
    </w:rPr>
  </w:style>
  <w:style w:type="paragraph" w:styleId="ListBullet">
    <w:name w:val="List Bullet"/>
    <w:basedOn w:val="Normal"/>
    <w:link w:val="ListBulletChar"/>
    <w:unhideWhenUsed/>
    <w:rsid w:val="00445565"/>
    <w:pPr>
      <w:tabs>
        <w:tab w:val="num" w:pos="360"/>
      </w:tabs>
      <w:spacing w:after="60"/>
      <w:ind w:left="360" w:hanging="360"/>
      <w:jc w:val="both"/>
    </w:pPr>
    <w:rPr>
      <w:color w:val="auto"/>
      <w:sz w:val="22"/>
      <w:szCs w:val="24"/>
      <w:lang w:val="en-US"/>
    </w:rPr>
  </w:style>
  <w:style w:type="character" w:styleId="Hyperlink">
    <w:name w:val="Hyperlink"/>
    <w:basedOn w:val="DefaultParagraphFont"/>
    <w:uiPriority w:val="99"/>
    <w:rsid w:val="002457F4"/>
    <w:rPr>
      <w:color w:val="0000FF" w:themeColor="hyperlink"/>
      <w:u w:val="single"/>
    </w:rPr>
  </w:style>
  <w:style w:type="paragraph" w:customStyle="1" w:styleId="SOIheading">
    <w:name w:val="SOI heading"/>
    <w:next w:val="Heading2"/>
    <w:qFormat/>
    <w:rsid w:val="00652BB3"/>
    <w:pPr>
      <w:spacing w:before="240" w:line="240" w:lineRule="auto"/>
    </w:pPr>
    <w:rPr>
      <w:rFonts w:ascii="Arial Mäori" w:hAnsi="Arial Mäori"/>
      <w:b/>
      <w:color w:val="008286"/>
      <w:sz w:val="24"/>
    </w:rPr>
  </w:style>
  <w:style w:type="paragraph" w:styleId="FootnoteText">
    <w:name w:val="footnote text"/>
    <w:basedOn w:val="Normal"/>
    <w:link w:val="FootnoteTextChar"/>
    <w:uiPriority w:val="99"/>
    <w:semiHidden/>
    <w:rsid w:val="001B41FF"/>
    <w:pPr>
      <w:spacing w:after="0"/>
    </w:pPr>
    <w:rPr>
      <w:color w:val="auto"/>
      <w:sz w:val="20"/>
      <w:szCs w:val="20"/>
    </w:rPr>
  </w:style>
  <w:style w:type="character" w:customStyle="1" w:styleId="FootnoteTextChar">
    <w:name w:val="Footnote Text Char"/>
    <w:basedOn w:val="DefaultParagraphFont"/>
    <w:link w:val="FootnoteText"/>
    <w:uiPriority w:val="99"/>
    <w:semiHidden/>
    <w:rsid w:val="001B41FF"/>
    <w:rPr>
      <w:rFonts w:ascii="Arial Mäori" w:hAnsi="Arial Mäori"/>
      <w:sz w:val="20"/>
      <w:szCs w:val="20"/>
    </w:rPr>
  </w:style>
  <w:style w:type="character" w:styleId="FootnoteReference">
    <w:name w:val="footnote reference"/>
    <w:basedOn w:val="DefaultParagraphFont"/>
    <w:uiPriority w:val="99"/>
    <w:rsid w:val="001B41FF"/>
    <w:rPr>
      <w:vertAlign w:val="superscript"/>
    </w:rPr>
  </w:style>
  <w:style w:type="paragraph" w:customStyle="1" w:styleId="MinistryOutcomeheading">
    <w:name w:val="Ministry Outcome heading"/>
    <w:basedOn w:val="Normal"/>
    <w:next w:val="BodyBoldsubheading"/>
    <w:qFormat/>
    <w:rsid w:val="00D258E9"/>
    <w:pPr>
      <w:spacing w:before="120" w:after="60"/>
    </w:pPr>
    <w:rPr>
      <w:b/>
      <w:color w:val="auto"/>
      <w:sz w:val="20"/>
      <w:szCs w:val="20"/>
    </w:rPr>
  </w:style>
  <w:style w:type="paragraph" w:customStyle="1" w:styleId="Measureresulttrend">
    <w:name w:val="Measure/result/trend"/>
    <w:basedOn w:val="Normal"/>
    <w:qFormat/>
    <w:rsid w:val="00D258E9"/>
    <w:pPr>
      <w:spacing w:before="60" w:after="60"/>
    </w:pPr>
    <w:rPr>
      <w:b/>
      <w:color w:val="auto"/>
      <w:sz w:val="20"/>
      <w:szCs w:val="20"/>
    </w:rPr>
  </w:style>
  <w:style w:type="paragraph" w:customStyle="1" w:styleId="Tablebodytext">
    <w:name w:val="Table body text"/>
    <w:basedOn w:val="Normal"/>
    <w:qFormat/>
    <w:rsid w:val="00D258E9"/>
    <w:pPr>
      <w:spacing w:before="60" w:after="60"/>
    </w:pPr>
    <w:rPr>
      <w:color w:val="auto"/>
      <w:sz w:val="20"/>
      <w:szCs w:val="20"/>
    </w:rPr>
  </w:style>
  <w:style w:type="paragraph" w:customStyle="1" w:styleId="Footnote">
    <w:name w:val="Footnote"/>
    <w:basedOn w:val="Normal"/>
    <w:qFormat/>
    <w:rsid w:val="00A76FDB"/>
    <w:pPr>
      <w:tabs>
        <w:tab w:val="left" w:pos="284"/>
      </w:tabs>
      <w:ind w:left="284" w:hanging="284"/>
      <w:contextualSpacing/>
    </w:pPr>
    <w:rPr>
      <w:color w:val="000000" w:themeColor="text1"/>
      <w:sz w:val="16"/>
      <w:szCs w:val="16"/>
    </w:rPr>
  </w:style>
  <w:style w:type="paragraph" w:customStyle="1" w:styleId="SOItabletext">
    <w:name w:val="SOI table text"/>
    <w:basedOn w:val="Normal"/>
    <w:qFormat/>
    <w:rsid w:val="00E66E9D"/>
    <w:pPr>
      <w:spacing w:before="60" w:after="0"/>
    </w:pPr>
    <w:rPr>
      <w:color w:val="auto"/>
      <w:sz w:val="20"/>
    </w:rPr>
  </w:style>
  <w:style w:type="paragraph" w:customStyle="1" w:styleId="StyleCustomColorRGB0130134After12pt">
    <w:name w:val="Style Custom Color(RGB(0130134)) After:  12 pt"/>
    <w:basedOn w:val="Normal"/>
    <w:rsid w:val="009A4F64"/>
    <w:rPr>
      <w:rFonts w:ascii="Arial Narrow" w:eastAsia="Times New Roman" w:hAnsi="Arial Narrow" w:cs="Times New Roman"/>
      <w:sz w:val="28"/>
      <w:szCs w:val="20"/>
      <w:lang w:val="en-US"/>
    </w:rPr>
  </w:style>
  <w:style w:type="paragraph" w:customStyle="1" w:styleId="ANZBulletLevel1">
    <w:name w:val="ANZ Bullet Level 1"/>
    <w:basedOn w:val="Normal"/>
    <w:rsid w:val="009A4F64"/>
    <w:pPr>
      <w:numPr>
        <w:numId w:val="5"/>
      </w:numPr>
      <w:tabs>
        <w:tab w:val="num" w:pos="360"/>
      </w:tabs>
      <w:spacing w:line="260" w:lineRule="atLeast"/>
      <w:ind w:left="360" w:hanging="360"/>
    </w:pPr>
    <w:rPr>
      <w:rFonts w:ascii="Tw Cen MT Mi" w:eastAsia="Times New Roman" w:hAnsi="Tw Cen MT Mi" w:cs="Times New Roman"/>
      <w:color w:val="auto"/>
      <w:lang w:eastAsia="en-GB"/>
    </w:rPr>
  </w:style>
  <w:style w:type="paragraph" w:customStyle="1" w:styleId="ANZBulletLevel2">
    <w:name w:val="ANZ Bullet Level 2"/>
    <w:basedOn w:val="ANZBulletLevel1"/>
    <w:rsid w:val="009A4F64"/>
    <w:pPr>
      <w:numPr>
        <w:ilvl w:val="1"/>
      </w:numPr>
      <w:tabs>
        <w:tab w:val="num" w:pos="360"/>
        <w:tab w:val="num" w:pos="1004"/>
      </w:tabs>
      <w:ind w:left="1004" w:hanging="284"/>
    </w:pPr>
  </w:style>
  <w:style w:type="paragraph" w:customStyle="1" w:styleId="ANZBulletLevel3">
    <w:name w:val="ANZ Bullet Level 3"/>
    <w:basedOn w:val="ANZBulletLevel1"/>
    <w:rsid w:val="009A4F64"/>
    <w:pPr>
      <w:numPr>
        <w:ilvl w:val="2"/>
      </w:numPr>
      <w:tabs>
        <w:tab w:val="clear" w:pos="1701"/>
        <w:tab w:val="num" w:pos="360"/>
      </w:tabs>
      <w:ind w:left="360" w:hanging="360"/>
    </w:pPr>
  </w:style>
  <w:style w:type="paragraph" w:customStyle="1" w:styleId="BodyText1">
    <w:name w:val="Body Text1"/>
    <w:basedOn w:val="Normal"/>
    <w:rsid w:val="00FE293F"/>
    <w:pPr>
      <w:suppressAutoHyphens/>
      <w:autoSpaceDE w:val="0"/>
      <w:autoSpaceDN w:val="0"/>
      <w:adjustRightInd w:val="0"/>
      <w:spacing w:before="240" w:after="0"/>
    </w:pPr>
    <w:rPr>
      <w:rFonts w:ascii="Arial" w:eastAsia="Times New Roman" w:hAnsi="Arial" w:cs="Arial"/>
      <w:color w:val="auto"/>
      <w:sz w:val="22"/>
      <w:lang w:val="en-US" w:eastAsia="en-NZ"/>
    </w:rPr>
  </w:style>
  <w:style w:type="paragraph" w:styleId="BalloonText">
    <w:name w:val="Balloon Text"/>
    <w:basedOn w:val="Normal"/>
    <w:link w:val="BalloonTextChar"/>
    <w:semiHidden/>
    <w:rsid w:val="003935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F2"/>
    <w:rPr>
      <w:rFonts w:ascii="Tahoma" w:hAnsi="Tahoma" w:cs="Tahoma"/>
      <w:color w:val="008286"/>
      <w:sz w:val="16"/>
      <w:szCs w:val="16"/>
    </w:rPr>
  </w:style>
  <w:style w:type="paragraph" w:styleId="Header">
    <w:name w:val="header"/>
    <w:basedOn w:val="Normal"/>
    <w:link w:val="HeaderChar"/>
    <w:rsid w:val="003935F2"/>
    <w:pPr>
      <w:tabs>
        <w:tab w:val="center" w:pos="4513"/>
        <w:tab w:val="right" w:pos="9026"/>
      </w:tabs>
      <w:spacing w:after="0"/>
    </w:pPr>
  </w:style>
  <w:style w:type="character" w:customStyle="1" w:styleId="HeaderChar">
    <w:name w:val="Header Char"/>
    <w:basedOn w:val="DefaultParagraphFont"/>
    <w:link w:val="Header"/>
    <w:rsid w:val="003935F2"/>
    <w:rPr>
      <w:rFonts w:ascii="Arial Mäori" w:hAnsi="Arial Mäori"/>
      <w:color w:val="008286"/>
      <w:sz w:val="24"/>
    </w:rPr>
  </w:style>
  <w:style w:type="paragraph" w:styleId="Footer">
    <w:name w:val="footer"/>
    <w:basedOn w:val="Normal"/>
    <w:link w:val="FooterChar"/>
    <w:uiPriority w:val="99"/>
    <w:rsid w:val="003935F2"/>
    <w:pPr>
      <w:tabs>
        <w:tab w:val="center" w:pos="4513"/>
        <w:tab w:val="right" w:pos="9026"/>
      </w:tabs>
      <w:spacing w:after="0"/>
    </w:pPr>
  </w:style>
  <w:style w:type="character" w:customStyle="1" w:styleId="FooterChar">
    <w:name w:val="Footer Char"/>
    <w:basedOn w:val="DefaultParagraphFont"/>
    <w:link w:val="Footer"/>
    <w:uiPriority w:val="99"/>
    <w:rsid w:val="003935F2"/>
    <w:rPr>
      <w:rFonts w:ascii="Arial Mäori" w:hAnsi="Arial Mäori"/>
      <w:color w:val="008286"/>
      <w:sz w:val="24"/>
    </w:rPr>
  </w:style>
  <w:style w:type="paragraph" w:styleId="TOCHeading">
    <w:name w:val="TOC Heading"/>
    <w:basedOn w:val="Heading1"/>
    <w:next w:val="Normal"/>
    <w:uiPriority w:val="39"/>
    <w:semiHidden/>
    <w:unhideWhenUsed/>
    <w:qFormat/>
    <w:rsid w:val="003935F2"/>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qFormat/>
    <w:rsid w:val="003935F2"/>
    <w:pPr>
      <w:spacing w:after="100"/>
    </w:pPr>
  </w:style>
  <w:style w:type="paragraph" w:styleId="TOC2">
    <w:name w:val="toc 2"/>
    <w:basedOn w:val="Normal"/>
    <w:next w:val="Normal"/>
    <w:autoRedefine/>
    <w:uiPriority w:val="39"/>
    <w:qFormat/>
    <w:rsid w:val="003935F2"/>
    <w:pPr>
      <w:spacing w:after="100"/>
      <w:ind w:left="240"/>
    </w:pPr>
  </w:style>
  <w:style w:type="paragraph" w:customStyle="1" w:styleId="majorhead">
    <w:name w:val="major head"/>
    <w:basedOn w:val="NoParagraphStyle"/>
    <w:rsid w:val="009D38E8"/>
    <w:pPr>
      <w:suppressAutoHyphens/>
      <w:spacing w:line="500" w:lineRule="atLeast"/>
    </w:pPr>
    <w:rPr>
      <w:rFonts w:ascii="AvenirMaori-Heavy" w:hAnsi="AvenirMaori-Heavy" w:cs="AvenirMaori-Heavy"/>
      <w:color w:val="00C477"/>
      <w:spacing w:val="-7"/>
      <w:sz w:val="50"/>
      <w:szCs w:val="50"/>
    </w:rPr>
  </w:style>
  <w:style w:type="paragraph" w:customStyle="1" w:styleId="NoParagraphStyle">
    <w:name w:val="[No Paragraph Style]"/>
    <w:link w:val="NoParagraphStyleChar"/>
    <w:rsid w:val="009D38E8"/>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eastAsia="en-AU"/>
    </w:rPr>
  </w:style>
  <w:style w:type="paragraph" w:customStyle="1" w:styleId="finasat">
    <w:name w:val="fin as at . . ."/>
    <w:basedOn w:val="NoParagraphStyle"/>
    <w:rsid w:val="009D38E8"/>
    <w:pPr>
      <w:suppressAutoHyphens/>
      <w:spacing w:before="113" w:after="113" w:line="140" w:lineRule="atLeast"/>
    </w:pPr>
    <w:rPr>
      <w:rFonts w:ascii="AvenirMaori" w:hAnsi="AvenirMaori" w:cs="AvenirMaori"/>
      <w:color w:val="00C477"/>
      <w:sz w:val="14"/>
      <w:szCs w:val="14"/>
      <w:lang w:val="en-GB"/>
    </w:rPr>
  </w:style>
  <w:style w:type="paragraph" w:customStyle="1" w:styleId="20pthead">
    <w:name w:val="20pt head"/>
    <w:basedOn w:val="majorhead"/>
    <w:rsid w:val="009D38E8"/>
    <w:pPr>
      <w:spacing w:before="170" w:line="400" w:lineRule="atLeast"/>
    </w:pPr>
    <w:rPr>
      <w:spacing w:val="-6"/>
      <w:sz w:val="40"/>
      <w:szCs w:val="40"/>
    </w:rPr>
  </w:style>
  <w:style w:type="paragraph" w:customStyle="1" w:styleId="headwithrule">
    <w:name w:val="head with rule"/>
    <w:basedOn w:val="NoParagraphStyle"/>
    <w:rsid w:val="009D38E8"/>
    <w:pPr>
      <w:pBdr>
        <w:bottom w:val="single" w:sz="6" w:space="7" w:color="00C477"/>
      </w:pBdr>
      <w:suppressAutoHyphens/>
      <w:spacing w:before="227" w:after="170" w:line="260" w:lineRule="atLeast"/>
    </w:pPr>
    <w:rPr>
      <w:rFonts w:ascii="AvenirMaori-Black" w:hAnsi="AvenirMaori-Black" w:cs="AvenirMaori-Black"/>
      <w:color w:val="00C477"/>
    </w:rPr>
  </w:style>
  <w:style w:type="paragraph" w:customStyle="1" w:styleId="subhead">
    <w:name w:val="sub head"/>
    <w:basedOn w:val="NoParagraphStyle"/>
    <w:rsid w:val="009D38E8"/>
    <w:pPr>
      <w:suppressAutoHyphens/>
      <w:spacing w:before="57" w:after="57" w:line="260" w:lineRule="atLeast"/>
    </w:pPr>
    <w:rPr>
      <w:rFonts w:ascii="AvenirMaori-Heavy" w:hAnsi="AvenirMaori-Heavy" w:cs="AvenirMaori-Heavy"/>
      <w:spacing w:val="-2"/>
      <w:sz w:val="21"/>
      <w:szCs w:val="21"/>
    </w:rPr>
  </w:style>
  <w:style w:type="paragraph" w:customStyle="1" w:styleId="text">
    <w:name w:val="text"/>
    <w:basedOn w:val="NoParagraphStyle"/>
    <w:link w:val="textChar"/>
    <w:rsid w:val="009D38E8"/>
    <w:pPr>
      <w:suppressAutoHyphens/>
      <w:spacing w:after="113" w:line="250" w:lineRule="atLeast"/>
    </w:pPr>
    <w:rPr>
      <w:rFonts w:ascii="AvenirMaori-Light" w:hAnsi="AvenirMaori-Light" w:cs="AvenirMaori-Light"/>
      <w:sz w:val="20"/>
      <w:szCs w:val="20"/>
    </w:rPr>
  </w:style>
  <w:style w:type="paragraph" w:customStyle="1" w:styleId="Tableheader">
    <w:name w:val="Table header"/>
    <w:basedOn w:val="NoParagraphStyle"/>
    <w:rsid w:val="009D38E8"/>
    <w:pPr>
      <w:suppressAutoHyphens/>
      <w:spacing w:before="113" w:line="260" w:lineRule="atLeast"/>
    </w:pPr>
    <w:rPr>
      <w:rFonts w:ascii="AvenirMaori-Heavy" w:hAnsi="AvenirMaori-Heavy" w:cs="AvenirMaori-Heavy"/>
      <w:color w:val="00C477"/>
      <w:spacing w:val="-2"/>
      <w:sz w:val="22"/>
      <w:szCs w:val="22"/>
    </w:rPr>
  </w:style>
  <w:style w:type="paragraph" w:customStyle="1" w:styleId="fintableheads">
    <w:name w:val="fin table heads"/>
    <w:basedOn w:val="finnumbertext"/>
    <w:rsid w:val="009D38E8"/>
    <w:pPr>
      <w:spacing w:line="140" w:lineRule="atLeast"/>
      <w:ind w:right="57"/>
    </w:pPr>
    <w:rPr>
      <w:rFonts w:ascii="AvenirMaori-Heavy" w:hAnsi="AvenirMaori-Heavy" w:cs="AvenirMaori-Heavy"/>
      <w:caps/>
      <w:color w:val="000000"/>
      <w:sz w:val="14"/>
      <w:szCs w:val="14"/>
    </w:rPr>
  </w:style>
  <w:style w:type="paragraph" w:customStyle="1" w:styleId="finnumbertext">
    <w:name w:val="fin number text"/>
    <w:basedOn w:val="NoParagraphStyle"/>
    <w:rsid w:val="009D38E8"/>
    <w:pPr>
      <w:tabs>
        <w:tab w:val="left" w:pos="1020"/>
        <w:tab w:val="left" w:pos="1247"/>
        <w:tab w:val="center" w:pos="5669"/>
        <w:tab w:val="left" w:pos="7087"/>
        <w:tab w:val="left" w:pos="8334"/>
        <w:tab w:val="left" w:pos="9553"/>
      </w:tabs>
      <w:suppressAutoHyphens/>
      <w:spacing w:line="240" w:lineRule="atLeast"/>
      <w:jc w:val="right"/>
    </w:pPr>
    <w:rPr>
      <w:rFonts w:ascii="AvenirMaori" w:hAnsi="AvenirMaori" w:cs="AvenirMaori"/>
      <w:color w:val="00C477"/>
      <w:sz w:val="16"/>
      <w:szCs w:val="16"/>
    </w:rPr>
  </w:style>
  <w:style w:type="paragraph" w:customStyle="1" w:styleId="fintableheadsLeft">
    <w:name w:val="fin table heads Left"/>
    <w:basedOn w:val="NoParagraphStyle"/>
    <w:rsid w:val="009D38E8"/>
    <w:pPr>
      <w:tabs>
        <w:tab w:val="center" w:pos="5669"/>
        <w:tab w:val="left" w:pos="7087"/>
        <w:tab w:val="left" w:pos="8334"/>
        <w:tab w:val="left" w:pos="9553"/>
      </w:tabs>
      <w:suppressAutoHyphens/>
      <w:spacing w:line="140" w:lineRule="atLeast"/>
      <w:ind w:right="57"/>
    </w:pPr>
    <w:rPr>
      <w:rFonts w:ascii="AvenirMaori-Heavy" w:hAnsi="AvenirMaori-Heavy" w:cs="AvenirMaori-Heavy"/>
      <w:caps/>
      <w:sz w:val="14"/>
      <w:szCs w:val="14"/>
    </w:rPr>
  </w:style>
  <w:style w:type="character" w:customStyle="1" w:styleId="fintextheavyFINANCIALS">
    <w:name w:val="fin text heavy (FINANCIALS)"/>
    <w:rsid w:val="009D38E8"/>
    <w:rPr>
      <w:rFonts w:ascii="AvenirMaori-Heavy" w:hAnsi="AvenirMaori-Heavy" w:cs="AvenirMaori-Heavy"/>
    </w:rPr>
  </w:style>
  <w:style w:type="paragraph" w:customStyle="1" w:styleId="FinFigures">
    <w:name w:val="Fin Figures"/>
    <w:basedOn w:val="tablefintext"/>
    <w:rsid w:val="009D38E8"/>
    <w:pPr>
      <w:ind w:right="45"/>
      <w:jc w:val="right"/>
    </w:pPr>
  </w:style>
  <w:style w:type="paragraph" w:customStyle="1" w:styleId="tablefintext">
    <w:name w:val="table fin text"/>
    <w:basedOn w:val="NoParagraphStyle"/>
    <w:rsid w:val="009D38E8"/>
    <w:pPr>
      <w:tabs>
        <w:tab w:val="center" w:pos="5669"/>
        <w:tab w:val="left" w:pos="7087"/>
        <w:tab w:val="left" w:pos="8334"/>
        <w:tab w:val="left" w:pos="9553"/>
      </w:tabs>
      <w:suppressAutoHyphens/>
      <w:spacing w:line="190" w:lineRule="atLeast"/>
    </w:pPr>
    <w:rPr>
      <w:rFonts w:ascii="AvenirMaori" w:hAnsi="AvenirMaori" w:cs="AvenirMaori"/>
      <w:sz w:val="16"/>
      <w:szCs w:val="16"/>
    </w:rPr>
  </w:style>
  <w:style w:type="paragraph" w:customStyle="1" w:styleId="TABLESPACE">
    <w:name w:val="TABLE SPACE"/>
    <w:basedOn w:val="text"/>
    <w:rsid w:val="009D38E8"/>
    <w:pPr>
      <w:spacing w:before="57" w:after="170"/>
    </w:pPr>
  </w:style>
  <w:style w:type="paragraph" w:customStyle="1" w:styleId="Tableheader2">
    <w:name w:val="Table header 2"/>
    <w:basedOn w:val="NoParagraphStyle"/>
    <w:rsid w:val="009D38E8"/>
    <w:pPr>
      <w:suppressAutoHyphens/>
      <w:spacing w:line="260" w:lineRule="atLeast"/>
    </w:pPr>
    <w:rPr>
      <w:rFonts w:ascii="AvenirMaori-Medium" w:hAnsi="AvenirMaori-Medium" w:cs="AvenirMaori-Medium"/>
      <w:color w:val="00C477"/>
      <w:spacing w:val="-2"/>
      <w:sz w:val="21"/>
      <w:szCs w:val="21"/>
    </w:rPr>
  </w:style>
  <w:style w:type="paragraph" w:customStyle="1" w:styleId="FinFigures0">
    <w:name w:val="Fin Figures ()"/>
    <w:basedOn w:val="tablefintext"/>
    <w:rsid w:val="009D38E8"/>
    <w:pPr>
      <w:jc w:val="right"/>
    </w:pPr>
  </w:style>
  <w:style w:type="character" w:customStyle="1" w:styleId="tablefinitalicFINANCIALS">
    <w:name w:val="table fin italic (FINANCIALS)"/>
    <w:rsid w:val="009D38E8"/>
    <w:rPr>
      <w:rFonts w:ascii="AvenirMaori-Light" w:hAnsi="AvenirMaori-Light" w:cs="AvenirMaori-Light"/>
      <w:color w:val="000000"/>
    </w:rPr>
  </w:style>
  <w:style w:type="paragraph" w:customStyle="1" w:styleId="footnote0">
    <w:name w:val="footnote"/>
    <w:basedOn w:val="text"/>
    <w:link w:val="footnoteChar"/>
    <w:rsid w:val="009D38E8"/>
    <w:pPr>
      <w:spacing w:after="57" w:line="146" w:lineRule="atLeast"/>
      <w:ind w:left="227" w:hanging="227"/>
    </w:pPr>
    <w:rPr>
      <w:spacing w:val="-1"/>
      <w:sz w:val="13"/>
      <w:szCs w:val="13"/>
    </w:rPr>
  </w:style>
  <w:style w:type="character" w:customStyle="1" w:styleId="NoParagraphStyleChar">
    <w:name w:val="[No Paragraph Style] Char"/>
    <w:link w:val="NoParagraphStyle"/>
    <w:rsid w:val="009D38E8"/>
    <w:rPr>
      <w:rFonts w:ascii="Times-Roman" w:eastAsia="Times New Roman" w:hAnsi="Times-Roman" w:cs="Times-Roman"/>
      <w:color w:val="000000"/>
      <w:sz w:val="24"/>
      <w:szCs w:val="24"/>
      <w:lang w:val="en-US" w:eastAsia="en-AU"/>
    </w:rPr>
  </w:style>
  <w:style w:type="character" w:customStyle="1" w:styleId="textChar">
    <w:name w:val="text Char"/>
    <w:link w:val="text"/>
    <w:rsid w:val="009D38E8"/>
    <w:rPr>
      <w:rFonts w:ascii="AvenirMaori-Light" w:eastAsia="Times New Roman" w:hAnsi="AvenirMaori-Light" w:cs="AvenirMaori-Light"/>
      <w:color w:val="000000"/>
      <w:sz w:val="20"/>
      <w:szCs w:val="20"/>
      <w:lang w:val="en-US" w:eastAsia="en-AU"/>
    </w:rPr>
  </w:style>
  <w:style w:type="character" w:customStyle="1" w:styleId="footnoteChar">
    <w:name w:val="footnote Char"/>
    <w:link w:val="footnote0"/>
    <w:rsid w:val="009D38E8"/>
    <w:rPr>
      <w:rFonts w:ascii="AvenirMaori-Light" w:eastAsia="Times New Roman" w:hAnsi="AvenirMaori-Light" w:cs="AvenirMaori-Light"/>
      <w:color w:val="000000"/>
      <w:spacing w:val="-1"/>
      <w:sz w:val="13"/>
      <w:szCs w:val="13"/>
      <w:lang w:val="en-US" w:eastAsia="en-AU"/>
    </w:rPr>
  </w:style>
  <w:style w:type="character" w:styleId="CommentReference">
    <w:name w:val="annotation reference"/>
    <w:semiHidden/>
    <w:rsid w:val="009D38E8"/>
    <w:rPr>
      <w:sz w:val="16"/>
      <w:szCs w:val="16"/>
    </w:rPr>
  </w:style>
  <w:style w:type="paragraph" w:styleId="CommentText">
    <w:name w:val="annotation text"/>
    <w:basedOn w:val="Normal"/>
    <w:link w:val="CommentTextChar"/>
    <w:semiHidden/>
    <w:rsid w:val="009D38E8"/>
    <w:pPr>
      <w:spacing w:after="0"/>
    </w:pPr>
    <w:rPr>
      <w:rFonts w:ascii="Times New Roman" w:eastAsia="Times New Roman" w:hAnsi="Times New Roman" w:cs="Times New Roman"/>
      <w:color w:val="auto"/>
      <w:sz w:val="20"/>
      <w:szCs w:val="20"/>
      <w:lang w:val="en-AU" w:eastAsia="en-AU"/>
    </w:rPr>
  </w:style>
  <w:style w:type="character" w:customStyle="1" w:styleId="CommentTextChar">
    <w:name w:val="Comment Text Char"/>
    <w:basedOn w:val="DefaultParagraphFont"/>
    <w:link w:val="CommentText"/>
    <w:semiHidden/>
    <w:rsid w:val="009D38E8"/>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9D38E8"/>
    <w:rPr>
      <w:b/>
      <w:bCs/>
    </w:rPr>
  </w:style>
  <w:style w:type="character" w:customStyle="1" w:styleId="CommentSubjectChar">
    <w:name w:val="Comment Subject Char"/>
    <w:basedOn w:val="CommentTextChar"/>
    <w:link w:val="CommentSubject"/>
    <w:semiHidden/>
    <w:rsid w:val="009D38E8"/>
    <w:rPr>
      <w:rFonts w:ascii="Times New Roman" w:eastAsia="Times New Roman" w:hAnsi="Times New Roman" w:cs="Times New Roman"/>
      <w:b/>
      <w:bCs/>
      <w:sz w:val="20"/>
      <w:szCs w:val="20"/>
      <w:lang w:val="en-AU" w:eastAsia="en-AU"/>
    </w:rPr>
  </w:style>
  <w:style w:type="paragraph" w:styleId="BodyText">
    <w:name w:val="Body Text"/>
    <w:basedOn w:val="Normal"/>
    <w:link w:val="BodyTextChar"/>
    <w:semiHidden/>
    <w:rsid w:val="009D38E8"/>
    <w:pPr>
      <w:suppressAutoHyphens/>
      <w:autoSpaceDE w:val="0"/>
      <w:autoSpaceDN w:val="0"/>
      <w:adjustRightInd w:val="0"/>
      <w:spacing w:after="120" w:line="280" w:lineRule="atLeast"/>
      <w:textAlignment w:val="center"/>
    </w:pPr>
    <w:rPr>
      <w:rFonts w:ascii="Arial" w:eastAsia="Times New Roman" w:hAnsi="Arial" w:cs="Arial"/>
      <w:color w:val="auto"/>
      <w:sz w:val="22"/>
      <w:lang w:val="en-US" w:eastAsia="en-NZ"/>
    </w:rPr>
  </w:style>
  <w:style w:type="character" w:customStyle="1" w:styleId="BodyTextChar">
    <w:name w:val="Body Text Char"/>
    <w:basedOn w:val="DefaultParagraphFont"/>
    <w:link w:val="BodyText"/>
    <w:semiHidden/>
    <w:rsid w:val="009D38E8"/>
    <w:rPr>
      <w:rFonts w:ascii="Arial" w:eastAsia="Times New Roman" w:hAnsi="Arial" w:cs="Arial"/>
      <w:lang w:val="en-US" w:eastAsia="en-NZ"/>
    </w:rPr>
  </w:style>
  <w:style w:type="character" w:customStyle="1" w:styleId="highlightedsearchterm">
    <w:name w:val="highlightedsearchterm"/>
    <w:basedOn w:val="DefaultParagraphFont"/>
    <w:rsid w:val="009D38E8"/>
  </w:style>
  <w:style w:type="paragraph" w:styleId="Revision">
    <w:name w:val="Revision"/>
    <w:hidden/>
    <w:uiPriority w:val="99"/>
    <w:semiHidden/>
    <w:rsid w:val="009D38E8"/>
    <w:pPr>
      <w:spacing w:after="0"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9D38E8"/>
    <w:pPr>
      <w:spacing w:before="100" w:beforeAutospacing="1" w:after="100" w:afterAutospacing="1"/>
    </w:pPr>
    <w:rPr>
      <w:rFonts w:ascii="Times New Roman" w:eastAsia="Times New Roman" w:hAnsi="Times New Roman" w:cs="Times New Roman"/>
      <w:color w:val="auto"/>
      <w:szCs w:val="24"/>
      <w:lang w:eastAsia="en-NZ"/>
    </w:rPr>
  </w:style>
  <w:style w:type="paragraph" w:customStyle="1" w:styleId="Default">
    <w:name w:val="Default"/>
    <w:rsid w:val="009D38E8"/>
    <w:pPr>
      <w:autoSpaceDE w:val="0"/>
      <w:autoSpaceDN w:val="0"/>
      <w:adjustRightInd w:val="0"/>
      <w:spacing w:after="0" w:line="240" w:lineRule="auto"/>
    </w:pPr>
    <w:rPr>
      <w:rFonts w:ascii="Arial Mäori" w:eastAsia="Calibri" w:hAnsi="Arial Mäori" w:cs="Arial Mäori"/>
      <w:color w:val="000000"/>
      <w:sz w:val="24"/>
      <w:szCs w:val="24"/>
    </w:rPr>
  </w:style>
  <w:style w:type="paragraph" w:styleId="TOC3">
    <w:name w:val="toc 3"/>
    <w:basedOn w:val="Normal"/>
    <w:next w:val="Normal"/>
    <w:autoRedefine/>
    <w:uiPriority w:val="39"/>
    <w:semiHidden/>
    <w:unhideWhenUsed/>
    <w:qFormat/>
    <w:rsid w:val="00490B4D"/>
    <w:pPr>
      <w:spacing w:after="100" w:line="276" w:lineRule="auto"/>
      <w:ind w:left="440"/>
    </w:pPr>
    <w:rPr>
      <w:rFonts w:asciiTheme="minorHAnsi" w:eastAsiaTheme="minorEastAsia" w:hAnsiTheme="minorHAnsi"/>
      <w:color w:val="auto"/>
      <w:sz w:val="22"/>
      <w:lang w:val="en-US" w:eastAsia="ja-JP"/>
    </w:rPr>
  </w:style>
  <w:style w:type="paragraph" w:styleId="BodyText2">
    <w:name w:val="Body Text 2"/>
    <w:basedOn w:val="Normal"/>
    <w:link w:val="BodyText2Char"/>
    <w:uiPriority w:val="99"/>
    <w:semiHidden/>
    <w:rsid w:val="003A0921"/>
    <w:pPr>
      <w:spacing w:after="120" w:line="480" w:lineRule="auto"/>
    </w:pPr>
  </w:style>
  <w:style w:type="character" w:customStyle="1" w:styleId="BodyText2Char">
    <w:name w:val="Body Text 2 Char"/>
    <w:basedOn w:val="DefaultParagraphFont"/>
    <w:link w:val="BodyText2"/>
    <w:uiPriority w:val="99"/>
    <w:semiHidden/>
    <w:rsid w:val="003A0921"/>
    <w:rPr>
      <w:rFonts w:ascii="Arial Mäori" w:hAnsi="Arial Mäori"/>
      <w:color w:val="008286"/>
      <w:sz w:val="24"/>
    </w:rPr>
  </w:style>
  <w:style w:type="character" w:styleId="Strong">
    <w:name w:val="Strong"/>
    <w:basedOn w:val="DefaultParagraphFont"/>
    <w:uiPriority w:val="22"/>
    <w:qFormat/>
    <w:rsid w:val="00AE347C"/>
    <w:rPr>
      <w:b/>
      <w:bCs/>
    </w:rPr>
  </w:style>
  <w:style w:type="numbering" w:customStyle="1" w:styleId="RecList">
    <w:name w:val="Rec List"/>
    <w:basedOn w:val="NoList"/>
    <w:rsid w:val="00EE6A39"/>
    <w:pPr>
      <w:numPr>
        <w:numId w:val="9"/>
      </w:numPr>
    </w:pPr>
  </w:style>
  <w:style w:type="paragraph" w:customStyle="1" w:styleId="RecNumber">
    <w:name w:val="Rec Number"/>
    <w:basedOn w:val="Normal"/>
    <w:rsid w:val="00EE6A39"/>
    <w:pPr>
      <w:spacing w:before="240" w:after="0"/>
      <w:jc w:val="both"/>
    </w:pPr>
    <w:rPr>
      <w:rFonts w:eastAsia="Times New Roman" w:cs="Times New Roman"/>
      <w:color w:val="auto"/>
      <w:kern w:val="22"/>
      <w:sz w:val="22"/>
    </w:rPr>
  </w:style>
  <w:style w:type="paragraph" w:customStyle="1" w:styleId="BodyText20">
    <w:name w:val="Body Text2"/>
    <w:basedOn w:val="Normal"/>
    <w:rsid w:val="00BE5F94"/>
    <w:pPr>
      <w:suppressAutoHyphens/>
      <w:autoSpaceDE w:val="0"/>
      <w:autoSpaceDN w:val="0"/>
      <w:adjustRightInd w:val="0"/>
      <w:spacing w:before="240" w:after="0"/>
    </w:pPr>
    <w:rPr>
      <w:rFonts w:ascii="Arial" w:eastAsia="Times New Roman" w:hAnsi="Arial" w:cs="Arial"/>
      <w:color w:val="auto"/>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2652">
      <w:bodyDiv w:val="1"/>
      <w:marLeft w:val="0"/>
      <w:marRight w:val="0"/>
      <w:marTop w:val="0"/>
      <w:marBottom w:val="0"/>
      <w:divBdr>
        <w:top w:val="none" w:sz="0" w:space="0" w:color="auto"/>
        <w:left w:val="none" w:sz="0" w:space="0" w:color="auto"/>
        <w:bottom w:val="none" w:sz="0" w:space="0" w:color="auto"/>
        <w:right w:val="none" w:sz="0" w:space="0" w:color="auto"/>
      </w:divBdr>
    </w:div>
    <w:div w:id="385957132">
      <w:bodyDiv w:val="1"/>
      <w:marLeft w:val="0"/>
      <w:marRight w:val="0"/>
      <w:marTop w:val="0"/>
      <w:marBottom w:val="0"/>
      <w:divBdr>
        <w:top w:val="none" w:sz="0" w:space="0" w:color="auto"/>
        <w:left w:val="none" w:sz="0" w:space="0" w:color="auto"/>
        <w:bottom w:val="none" w:sz="0" w:space="0" w:color="auto"/>
        <w:right w:val="none" w:sz="0" w:space="0" w:color="auto"/>
      </w:divBdr>
    </w:div>
    <w:div w:id="554049612">
      <w:bodyDiv w:val="1"/>
      <w:marLeft w:val="0"/>
      <w:marRight w:val="0"/>
      <w:marTop w:val="0"/>
      <w:marBottom w:val="0"/>
      <w:divBdr>
        <w:top w:val="none" w:sz="0" w:space="0" w:color="auto"/>
        <w:left w:val="none" w:sz="0" w:space="0" w:color="auto"/>
        <w:bottom w:val="none" w:sz="0" w:space="0" w:color="auto"/>
        <w:right w:val="none" w:sz="0" w:space="0" w:color="auto"/>
      </w:divBdr>
    </w:div>
    <w:div w:id="571933614">
      <w:bodyDiv w:val="1"/>
      <w:marLeft w:val="0"/>
      <w:marRight w:val="0"/>
      <w:marTop w:val="0"/>
      <w:marBottom w:val="0"/>
      <w:divBdr>
        <w:top w:val="none" w:sz="0" w:space="0" w:color="auto"/>
        <w:left w:val="none" w:sz="0" w:space="0" w:color="auto"/>
        <w:bottom w:val="none" w:sz="0" w:space="0" w:color="auto"/>
        <w:right w:val="none" w:sz="0" w:space="0" w:color="auto"/>
      </w:divBdr>
    </w:div>
    <w:div w:id="719323692">
      <w:bodyDiv w:val="1"/>
      <w:marLeft w:val="0"/>
      <w:marRight w:val="0"/>
      <w:marTop w:val="0"/>
      <w:marBottom w:val="0"/>
      <w:divBdr>
        <w:top w:val="none" w:sz="0" w:space="0" w:color="auto"/>
        <w:left w:val="none" w:sz="0" w:space="0" w:color="auto"/>
        <w:bottom w:val="none" w:sz="0" w:space="0" w:color="auto"/>
        <w:right w:val="none" w:sz="0" w:space="0" w:color="auto"/>
      </w:divBdr>
      <w:divsChild>
        <w:div w:id="2073691000">
          <w:marLeft w:val="0"/>
          <w:marRight w:val="0"/>
          <w:marTop w:val="0"/>
          <w:marBottom w:val="0"/>
          <w:divBdr>
            <w:top w:val="none" w:sz="0" w:space="0" w:color="auto"/>
            <w:left w:val="none" w:sz="0" w:space="0" w:color="auto"/>
            <w:bottom w:val="none" w:sz="0" w:space="0" w:color="auto"/>
            <w:right w:val="none" w:sz="0" w:space="0" w:color="auto"/>
          </w:divBdr>
          <w:divsChild>
            <w:div w:id="120072915">
              <w:marLeft w:val="0"/>
              <w:marRight w:val="0"/>
              <w:marTop w:val="0"/>
              <w:marBottom w:val="0"/>
              <w:divBdr>
                <w:top w:val="none" w:sz="0" w:space="0" w:color="auto"/>
                <w:left w:val="none" w:sz="0" w:space="0" w:color="auto"/>
                <w:bottom w:val="none" w:sz="0" w:space="0" w:color="auto"/>
                <w:right w:val="none" w:sz="0" w:space="0" w:color="auto"/>
              </w:divBdr>
              <w:divsChild>
                <w:div w:id="1388258096">
                  <w:marLeft w:val="0"/>
                  <w:marRight w:val="0"/>
                  <w:marTop w:val="0"/>
                  <w:marBottom w:val="0"/>
                  <w:divBdr>
                    <w:top w:val="none" w:sz="0" w:space="0" w:color="auto"/>
                    <w:left w:val="none" w:sz="0" w:space="0" w:color="auto"/>
                    <w:bottom w:val="none" w:sz="0" w:space="0" w:color="auto"/>
                    <w:right w:val="none" w:sz="0" w:space="0" w:color="auto"/>
                  </w:divBdr>
                  <w:divsChild>
                    <w:div w:id="1477718395">
                      <w:marLeft w:val="0"/>
                      <w:marRight w:val="0"/>
                      <w:marTop w:val="0"/>
                      <w:marBottom w:val="0"/>
                      <w:divBdr>
                        <w:top w:val="none" w:sz="0" w:space="0" w:color="auto"/>
                        <w:left w:val="none" w:sz="0" w:space="0" w:color="auto"/>
                        <w:bottom w:val="none" w:sz="0" w:space="0" w:color="auto"/>
                        <w:right w:val="none" w:sz="0" w:space="0" w:color="auto"/>
                      </w:divBdr>
                      <w:divsChild>
                        <w:div w:id="453792949">
                          <w:marLeft w:val="0"/>
                          <w:marRight w:val="0"/>
                          <w:marTop w:val="0"/>
                          <w:marBottom w:val="0"/>
                          <w:divBdr>
                            <w:top w:val="none" w:sz="0" w:space="0" w:color="auto"/>
                            <w:left w:val="none" w:sz="0" w:space="0" w:color="auto"/>
                            <w:bottom w:val="none" w:sz="0" w:space="0" w:color="auto"/>
                            <w:right w:val="none" w:sz="0" w:space="0" w:color="auto"/>
                          </w:divBdr>
                          <w:divsChild>
                            <w:div w:id="36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156903">
      <w:bodyDiv w:val="1"/>
      <w:marLeft w:val="0"/>
      <w:marRight w:val="0"/>
      <w:marTop w:val="0"/>
      <w:marBottom w:val="0"/>
      <w:divBdr>
        <w:top w:val="none" w:sz="0" w:space="0" w:color="auto"/>
        <w:left w:val="none" w:sz="0" w:space="0" w:color="auto"/>
        <w:bottom w:val="none" w:sz="0" w:space="0" w:color="auto"/>
        <w:right w:val="none" w:sz="0" w:space="0" w:color="auto"/>
      </w:divBdr>
    </w:div>
    <w:div w:id="1355689254">
      <w:bodyDiv w:val="1"/>
      <w:marLeft w:val="0"/>
      <w:marRight w:val="0"/>
      <w:marTop w:val="0"/>
      <w:marBottom w:val="0"/>
      <w:divBdr>
        <w:top w:val="none" w:sz="0" w:space="0" w:color="auto"/>
        <w:left w:val="none" w:sz="0" w:space="0" w:color="auto"/>
        <w:bottom w:val="none" w:sz="0" w:space="0" w:color="auto"/>
        <w:right w:val="none" w:sz="0" w:space="0" w:color="auto"/>
      </w:divBdr>
    </w:div>
    <w:div w:id="1387682749">
      <w:bodyDiv w:val="1"/>
      <w:marLeft w:val="0"/>
      <w:marRight w:val="0"/>
      <w:marTop w:val="0"/>
      <w:marBottom w:val="0"/>
      <w:divBdr>
        <w:top w:val="none" w:sz="0" w:space="0" w:color="auto"/>
        <w:left w:val="none" w:sz="0" w:space="0" w:color="auto"/>
        <w:bottom w:val="none" w:sz="0" w:space="0" w:color="auto"/>
        <w:right w:val="none" w:sz="0" w:space="0" w:color="auto"/>
      </w:divBdr>
    </w:div>
    <w:div w:id="21404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C8EB-7823-4C10-8C28-E72885FA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40</Pages>
  <Words>7908</Words>
  <Characters>48008</Characters>
  <Application>Microsoft Office Word</Application>
  <DocSecurity>0</DocSecurity>
  <Lines>857</Lines>
  <Paragraphs>388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55528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MacDonald</dc:creator>
  <cp:lastModifiedBy>Ian Niehorster</cp:lastModifiedBy>
  <cp:revision>3</cp:revision>
  <cp:lastPrinted>2013-10-13T23:38:00Z</cp:lastPrinted>
  <dcterms:created xsi:type="dcterms:W3CDTF">2013-10-14T01:59:00Z</dcterms:created>
  <dcterms:modified xsi:type="dcterms:W3CDTF">2013-10-14T02:35:00Z</dcterms:modified>
</cp:coreProperties>
</file>