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038" w14:textId="1FE14C1D" w:rsidR="00FE172F" w:rsidRPr="007D0AE8" w:rsidRDefault="00565F17" w:rsidP="00750837">
      <w:pPr>
        <w:spacing w:after="120"/>
        <w:jc w:val="center"/>
        <w:rPr>
          <w:b/>
          <w:sz w:val="36"/>
          <w:szCs w:val="36"/>
        </w:rPr>
      </w:pPr>
      <w:bookmarkStart w:id="0" w:name="_Hlk156983700"/>
      <w:r w:rsidRPr="001E34E3">
        <w:rPr>
          <w:b/>
          <w:sz w:val="36"/>
          <w:szCs w:val="36"/>
        </w:rPr>
        <w:t xml:space="preserve">Instrument </w:t>
      </w:r>
      <w:r w:rsidRPr="007D0AE8">
        <w:rPr>
          <w:b/>
          <w:sz w:val="36"/>
          <w:szCs w:val="36"/>
        </w:rPr>
        <w:t>amending Welfare Programmes</w:t>
      </w:r>
      <w:bookmarkEnd w:id="0"/>
      <w:r w:rsidRPr="007D0AE8">
        <w:rPr>
          <w:b/>
          <w:sz w:val="36"/>
          <w:szCs w:val="36"/>
        </w:rPr>
        <w:t xml:space="preserve"> 20</w:t>
      </w:r>
      <w:r w:rsidR="006C66EF" w:rsidRPr="007D0AE8">
        <w:rPr>
          <w:b/>
          <w:sz w:val="36"/>
          <w:szCs w:val="36"/>
        </w:rPr>
        <w:t>2</w:t>
      </w:r>
      <w:r w:rsidR="007D0AE8" w:rsidRPr="007D0AE8">
        <w:rPr>
          <w:b/>
          <w:sz w:val="36"/>
          <w:szCs w:val="36"/>
        </w:rPr>
        <w:t>5</w:t>
      </w:r>
      <w:r w:rsidR="00650270" w:rsidRPr="007D0AE8">
        <w:rPr>
          <w:b/>
          <w:sz w:val="36"/>
          <w:szCs w:val="36"/>
        </w:rPr>
        <w:t xml:space="preserve"> </w:t>
      </w:r>
    </w:p>
    <w:p w14:paraId="011134F7" w14:textId="22C74364" w:rsidR="00FE172F" w:rsidRPr="007D0AE8" w:rsidRDefault="00565F17">
      <w:pPr>
        <w:spacing w:before="240" w:after="120"/>
        <w:jc w:val="both"/>
      </w:pPr>
      <w:r w:rsidRPr="007D0AE8">
        <w:t xml:space="preserve">This instrument is made under </w:t>
      </w:r>
      <w:r w:rsidR="00650270" w:rsidRPr="007D0AE8">
        <w:t>section</w:t>
      </w:r>
      <w:r w:rsidRPr="007D0AE8">
        <w:t xml:space="preserve"> </w:t>
      </w:r>
      <w:r w:rsidR="00703CC7" w:rsidRPr="007D0AE8">
        <w:t>101</w:t>
      </w:r>
      <w:r w:rsidR="00A0003A" w:rsidRPr="007D0AE8">
        <w:t xml:space="preserve"> of the Social Security Act 2018</w:t>
      </w:r>
      <w:r w:rsidRPr="007D0AE8">
        <w:t xml:space="preserve"> by the Minister for Social Development</w:t>
      </w:r>
      <w:r w:rsidR="008802E2" w:rsidRPr="007D0AE8">
        <w:t xml:space="preserve"> and Employment</w:t>
      </w:r>
      <w:r w:rsidRPr="007D0AE8">
        <w:t xml:space="preserve">. </w:t>
      </w:r>
    </w:p>
    <w:p w14:paraId="4DD859DE" w14:textId="7F182822" w:rsidR="00750837" w:rsidRPr="007D0AE8" w:rsidRDefault="00750837" w:rsidP="00750837">
      <w:pPr>
        <w:spacing w:after="40"/>
        <w:ind w:right="226"/>
        <w:jc w:val="right"/>
        <w:rPr>
          <w:sz w:val="20"/>
        </w:rPr>
      </w:pPr>
      <w:r w:rsidRPr="007D0AE8">
        <w:rPr>
          <w:b/>
          <w:sz w:val="26"/>
          <w:szCs w:val="26"/>
        </w:rPr>
        <w:t xml:space="preserve">Contents                                             </w:t>
      </w:r>
      <w:r w:rsidRPr="007D0AE8">
        <w:rPr>
          <w:sz w:val="18"/>
          <w:szCs w:val="18"/>
        </w:rPr>
        <w:t>Page</w:t>
      </w:r>
    </w:p>
    <w:tbl>
      <w:tblPr>
        <w:tblW w:w="7637" w:type="dxa"/>
        <w:tblLook w:val="01E0" w:firstRow="1" w:lastRow="1" w:firstColumn="1" w:lastColumn="1" w:noHBand="0" w:noVBand="0"/>
      </w:tblPr>
      <w:tblGrid>
        <w:gridCol w:w="7637"/>
      </w:tblGrid>
      <w:tr w:rsidR="00FE172F" w:rsidRPr="007D0AE8" w14:paraId="4BFBC94E" w14:textId="77777777" w:rsidTr="00F66F2C">
        <w:trPr>
          <w:trHeight w:val="1408"/>
        </w:trPr>
        <w:tc>
          <w:tcPr>
            <w:tcW w:w="7637" w:type="dxa"/>
          </w:tcPr>
          <w:sdt>
            <w:sdtPr>
              <w:rPr>
                <w:rFonts w:asciiTheme="minorHAnsi" w:hAnsiTheme="minorHAnsi"/>
                <w:sz w:val="22"/>
                <w:lang w:val="en-NZ"/>
              </w:rPr>
              <w:id w:val="-1404288969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sdtEndPr>
            <w:sdtContent>
              <w:p w14:paraId="39FAA606" w14:textId="35ADF9BE" w:rsidR="000A3885" w:rsidRDefault="00750837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r w:rsidRPr="007D0AE8">
                  <w:fldChar w:fldCharType="begin"/>
                </w:r>
                <w:r w:rsidRPr="007D0AE8">
                  <w:instrText xml:space="preserve"> TOC \o "1-3" \h \z \u </w:instrText>
                </w:r>
                <w:r w:rsidRPr="007D0AE8">
                  <w:fldChar w:fldCharType="separate"/>
                </w:r>
                <w:hyperlink w:anchor="_Toc198637849" w:history="1">
                  <w:r w:rsidR="000A3885" w:rsidRPr="00135E15">
                    <w:rPr>
                      <w:rStyle w:val="Hyperlink"/>
                      <w:noProof/>
                    </w:rPr>
                    <w:t>1</w:t>
                  </w:r>
                  <w:r w:rsidR="000A3885">
                    <w:rPr>
                      <w:rFonts w:asciiTheme="minorHAnsi" w:eastAsiaTheme="minorEastAsia" w:hAnsiTheme="minorHAnsi" w:cstheme="minorBidi"/>
                      <w:noProof/>
                      <w:kern w:val="2"/>
                      <w:sz w:val="22"/>
                      <w:szCs w:val="22"/>
                      <w:lang w:val="en-NZ" w:eastAsia="en-NZ"/>
                      <w14:ligatures w14:val="standardContextual"/>
                    </w:rPr>
                    <w:tab/>
                  </w:r>
                  <w:r w:rsidR="000A3885" w:rsidRPr="00135E15">
                    <w:rPr>
                      <w:rStyle w:val="Hyperlink"/>
                      <w:noProof/>
                    </w:rPr>
                    <w:t>Title</w:t>
                  </w:r>
                  <w:r w:rsidR="000A3885">
                    <w:rPr>
                      <w:noProof/>
                      <w:webHidden/>
                    </w:rPr>
                    <w:tab/>
                  </w:r>
                  <w:r w:rsidR="000A3885">
                    <w:rPr>
                      <w:noProof/>
                      <w:webHidden/>
                    </w:rPr>
                    <w:fldChar w:fldCharType="begin"/>
                  </w:r>
                  <w:r w:rsidR="000A3885">
                    <w:rPr>
                      <w:noProof/>
                      <w:webHidden/>
                    </w:rPr>
                    <w:instrText xml:space="preserve"> PAGEREF _Toc198637849 \h </w:instrText>
                  </w:r>
                  <w:r w:rsidR="000A3885">
                    <w:rPr>
                      <w:noProof/>
                      <w:webHidden/>
                    </w:rPr>
                  </w:r>
                  <w:r w:rsidR="000A3885">
                    <w:rPr>
                      <w:noProof/>
                      <w:webHidden/>
                    </w:rPr>
                    <w:fldChar w:fldCharType="separate"/>
                  </w:r>
                  <w:r w:rsidR="000A3885">
                    <w:rPr>
                      <w:noProof/>
                      <w:webHidden/>
                    </w:rPr>
                    <w:t>1</w:t>
                  </w:r>
                  <w:r w:rsidR="000A388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FBFF511" w14:textId="77548BC4" w:rsidR="000A3885" w:rsidRDefault="000A3885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hyperlink w:anchor="_Toc198637850" w:history="1">
                  <w:r w:rsidRPr="00135E15">
                    <w:rPr>
                      <w:rStyle w:val="Hyperlink"/>
                      <w:noProof/>
                    </w:rPr>
                    <w:t>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kern w:val="2"/>
                      <w:sz w:val="22"/>
                      <w:szCs w:val="22"/>
                      <w:lang w:val="en-NZ" w:eastAsia="en-NZ"/>
                      <w14:ligatures w14:val="standardContextual"/>
                    </w:rPr>
                    <w:tab/>
                  </w:r>
                  <w:r w:rsidRPr="00135E15">
                    <w:rPr>
                      <w:rStyle w:val="Hyperlink"/>
                      <w:noProof/>
                    </w:rPr>
                    <w:t>Commencement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_Toc198637850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29728D" w14:textId="145610A3" w:rsidR="000A3885" w:rsidRDefault="000A3885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hyperlink w:anchor="_Toc198637851" w:history="1">
                  <w:r w:rsidRPr="00135E15">
                    <w:rPr>
                      <w:rStyle w:val="Hyperlink"/>
                      <w:noProof/>
                    </w:rPr>
                    <w:t>3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kern w:val="2"/>
                      <w:sz w:val="22"/>
                      <w:szCs w:val="22"/>
                      <w:lang w:val="en-NZ" w:eastAsia="en-NZ"/>
                      <w14:ligatures w14:val="standardContextual"/>
                    </w:rPr>
                    <w:tab/>
                  </w:r>
                  <w:r w:rsidRPr="00135E15">
                    <w:rPr>
                      <w:rStyle w:val="Hyperlink"/>
                      <w:noProof/>
                    </w:rPr>
                    <w:t>Principal welfare programmes amended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_Toc198637851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1C8235" w14:textId="6A53C428" w:rsidR="000A3885" w:rsidRDefault="000A3885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hyperlink w:anchor="_Toc198637852" w:history="1">
                  <w:r w:rsidRPr="00135E15">
                    <w:rPr>
                      <w:rStyle w:val="Hyperlink"/>
                      <w:noProof/>
                    </w:rPr>
                    <w:t>4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kern w:val="2"/>
                      <w:sz w:val="22"/>
                      <w:szCs w:val="22"/>
                      <w:lang w:val="en-NZ" w:eastAsia="en-NZ"/>
                      <w14:ligatures w14:val="standardContextual"/>
                    </w:rPr>
                    <w:tab/>
                  </w:r>
                  <w:r w:rsidRPr="00135E15">
                    <w:rPr>
                      <w:rStyle w:val="Hyperlink"/>
                      <w:noProof/>
                    </w:rPr>
                    <w:t>Amendments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_Toc198637852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BC162D" w14:textId="4DCCBB0D" w:rsidR="000A3885" w:rsidRDefault="000A3885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hyperlink w:anchor="_Toc198637853" w:history="1">
                  <w:r w:rsidRPr="00135E15">
                    <w:rPr>
                      <w:rStyle w:val="Hyperlink"/>
                      <w:noProof/>
                    </w:rPr>
                    <w:t>Schedule 1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_Toc198637853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BD873A9" w14:textId="5070C102" w:rsidR="000A3885" w:rsidRDefault="000A3885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val="en-NZ" w:eastAsia="en-NZ"/>
                    <w14:ligatures w14:val="standardContextual"/>
                  </w:rPr>
                </w:pPr>
                <w:hyperlink w:anchor="_Toc198637855" w:history="1">
                  <w:r w:rsidRPr="00135E15">
                    <w:rPr>
                      <w:rStyle w:val="Hyperlink"/>
                      <w:noProof/>
                    </w:rPr>
                    <w:t>Schedule 2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_Toc198637855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F84F02" w14:textId="48073885" w:rsidR="00FE172F" w:rsidRPr="000447FD" w:rsidRDefault="00750837" w:rsidP="000A3885">
                <w:pPr>
                  <w:pStyle w:val="TOC1"/>
                  <w:tabs>
                    <w:tab w:val="right" w:leader="dot" w:pos="7587"/>
                  </w:tabs>
                  <w:ind w:left="0" w:firstLine="0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r w:rsidRPr="007D0AE8"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</w:tc>
      </w:tr>
    </w:tbl>
    <w:p w14:paraId="15669D6A" w14:textId="77777777" w:rsidR="00FE172F" w:rsidRPr="007D0AE8" w:rsidRDefault="00565F17">
      <w:pPr>
        <w:jc w:val="center"/>
      </w:pPr>
      <w:r w:rsidRPr="007D0AE8">
        <w:t>___________</w:t>
      </w:r>
    </w:p>
    <w:p w14:paraId="1CB1AA73" w14:textId="77777777" w:rsidR="00FE172F" w:rsidRPr="007D0AE8" w:rsidRDefault="00565F17">
      <w:pPr>
        <w:spacing w:before="120"/>
        <w:jc w:val="center"/>
        <w:rPr>
          <w:b/>
          <w:sz w:val="26"/>
          <w:szCs w:val="26"/>
        </w:rPr>
      </w:pPr>
      <w:r w:rsidRPr="007D0AE8">
        <w:rPr>
          <w:b/>
          <w:sz w:val="26"/>
          <w:szCs w:val="26"/>
        </w:rPr>
        <w:t>Instrument</w:t>
      </w:r>
    </w:p>
    <w:p w14:paraId="66E4C76E" w14:textId="77777777" w:rsidR="00FE172F" w:rsidRPr="007D0AE8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1" w:name="_Toc349745251"/>
      <w:bookmarkStart w:id="2" w:name="_Toc198637849"/>
      <w:r w:rsidRPr="007D0AE8">
        <w:rPr>
          <w:rFonts w:ascii="Times New Roman" w:hAnsi="Times New Roman"/>
        </w:rPr>
        <w:t>Title</w:t>
      </w:r>
      <w:bookmarkEnd w:id="1"/>
      <w:bookmarkEnd w:id="2"/>
    </w:p>
    <w:p w14:paraId="71C3B600" w14:textId="5080194D" w:rsidR="00FE172F" w:rsidRPr="00B2228D" w:rsidRDefault="00565F17">
      <w:pPr>
        <w:spacing w:after="40"/>
        <w:ind w:left="567"/>
        <w:jc w:val="both"/>
        <w:rPr>
          <w:rStyle w:val="ListBulletChar"/>
        </w:rPr>
      </w:pPr>
      <w:r w:rsidRPr="007D0AE8">
        <w:t xml:space="preserve">This </w:t>
      </w:r>
      <w:r w:rsidRPr="00B2228D">
        <w:t xml:space="preserve">instrument is the </w:t>
      </w:r>
      <w:r w:rsidRPr="00B2228D">
        <w:rPr>
          <w:rStyle w:val="ListBulletChar"/>
        </w:rPr>
        <w:t xml:space="preserve">Instrument amending </w:t>
      </w:r>
      <w:r w:rsidR="008A5B8A" w:rsidRPr="00B2228D">
        <w:rPr>
          <w:rStyle w:val="ListBulletChar"/>
        </w:rPr>
        <w:t>Welfare Programmes 20</w:t>
      </w:r>
      <w:r w:rsidR="006C66EF" w:rsidRPr="00B2228D">
        <w:rPr>
          <w:rStyle w:val="ListBulletChar"/>
        </w:rPr>
        <w:t>2</w:t>
      </w:r>
      <w:r w:rsidR="007D0AE8" w:rsidRPr="00B2228D">
        <w:rPr>
          <w:rStyle w:val="ListBulletChar"/>
        </w:rPr>
        <w:t>5</w:t>
      </w:r>
      <w:r w:rsidRPr="00B2228D">
        <w:rPr>
          <w:rStyle w:val="ListBulletChar"/>
        </w:rPr>
        <w:t>.</w:t>
      </w:r>
    </w:p>
    <w:p w14:paraId="7C2A258B" w14:textId="77777777" w:rsidR="00FE172F" w:rsidRPr="00B2228D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3" w:name="_Toc122512058"/>
      <w:bookmarkStart w:id="4" w:name="_Toc349745252"/>
      <w:bookmarkStart w:id="5" w:name="_Toc198637850"/>
      <w:r w:rsidRPr="00B2228D">
        <w:rPr>
          <w:rFonts w:ascii="Times New Roman" w:hAnsi="Times New Roman"/>
        </w:rPr>
        <w:t>Commencement</w:t>
      </w:r>
      <w:bookmarkEnd w:id="3"/>
      <w:bookmarkEnd w:id="4"/>
      <w:bookmarkEnd w:id="5"/>
    </w:p>
    <w:p w14:paraId="1E9F6ADB" w14:textId="47D8D895" w:rsidR="00BC39DD" w:rsidRPr="00B2228D" w:rsidRDefault="00BC39DD" w:rsidP="0005036F">
      <w:pPr>
        <w:pStyle w:val="ListParagraph"/>
        <w:numPr>
          <w:ilvl w:val="0"/>
          <w:numId w:val="23"/>
        </w:numPr>
        <w:spacing w:after="40"/>
        <w:jc w:val="both"/>
      </w:pPr>
      <w:r w:rsidRPr="00B2228D">
        <w:t xml:space="preserve">   Schedule </w:t>
      </w:r>
      <w:r w:rsidR="009616EE" w:rsidRPr="00B2228D">
        <w:t>1</w:t>
      </w:r>
      <w:r w:rsidRPr="00B2228D">
        <w:t xml:space="preserve"> of this instrument comes into force on </w:t>
      </w:r>
      <w:r w:rsidR="009616EE" w:rsidRPr="00B2228D">
        <w:t>26 May</w:t>
      </w:r>
      <w:r w:rsidRPr="00B2228D">
        <w:t xml:space="preserve"> 2025. </w:t>
      </w:r>
    </w:p>
    <w:p w14:paraId="22B48B46" w14:textId="77777777" w:rsidR="00BC39DD" w:rsidRPr="00B2228D" w:rsidRDefault="00BC39DD" w:rsidP="00BC39DD">
      <w:pPr>
        <w:pStyle w:val="ListParagraph"/>
        <w:spacing w:after="40"/>
        <w:ind w:left="360"/>
        <w:jc w:val="both"/>
      </w:pPr>
    </w:p>
    <w:p w14:paraId="7CF313C8" w14:textId="2B55F8B3" w:rsidR="0005036F" w:rsidRPr="00B2228D" w:rsidRDefault="00BC39DD" w:rsidP="0005036F">
      <w:pPr>
        <w:pStyle w:val="ListParagraph"/>
        <w:numPr>
          <w:ilvl w:val="0"/>
          <w:numId w:val="23"/>
        </w:numPr>
        <w:spacing w:after="40"/>
        <w:jc w:val="both"/>
      </w:pPr>
      <w:r w:rsidRPr="00B2228D">
        <w:t xml:space="preserve">   </w:t>
      </w:r>
      <w:r w:rsidR="009616EE" w:rsidRPr="00B2228D">
        <w:t>Schedule 2</w:t>
      </w:r>
      <w:r w:rsidRPr="00B2228D">
        <w:t xml:space="preserve"> of this instrument comes into force on </w:t>
      </w:r>
      <w:r w:rsidR="009616EE" w:rsidRPr="00B2228D">
        <w:t>20 October</w:t>
      </w:r>
      <w:r w:rsidRPr="00B2228D">
        <w:t xml:space="preserve"> 2025. </w:t>
      </w:r>
      <w:r w:rsidR="00A96E9A" w:rsidRPr="00B2228D">
        <w:t xml:space="preserve"> </w:t>
      </w:r>
    </w:p>
    <w:p w14:paraId="2EF610EF" w14:textId="104B921E" w:rsidR="00FE172F" w:rsidRPr="00B2228D" w:rsidRDefault="00BC39DD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6" w:name="_Ref96930088"/>
      <w:bookmarkStart w:id="7" w:name="_Toc122512059"/>
      <w:bookmarkStart w:id="8" w:name="_Toc198637851"/>
      <w:r w:rsidRPr="00B2228D">
        <w:rPr>
          <w:rFonts w:ascii="Times New Roman" w:hAnsi="Times New Roman"/>
        </w:rPr>
        <w:t xml:space="preserve">Principal welfare programmes </w:t>
      </w:r>
      <w:proofErr w:type="gramStart"/>
      <w:r w:rsidRPr="00B2228D">
        <w:rPr>
          <w:rFonts w:ascii="Times New Roman" w:hAnsi="Times New Roman"/>
        </w:rPr>
        <w:t>amended</w:t>
      </w:r>
      <w:bookmarkEnd w:id="8"/>
      <w:proofErr w:type="gramEnd"/>
    </w:p>
    <w:p w14:paraId="30F47053" w14:textId="2B67962B" w:rsidR="00FE172F" w:rsidRPr="00B2228D" w:rsidRDefault="00565F17">
      <w:pPr>
        <w:ind w:left="567"/>
        <w:jc w:val="both"/>
      </w:pPr>
      <w:r w:rsidRPr="00B2228D">
        <w:t xml:space="preserve">This instrument amends the </w:t>
      </w:r>
      <w:r w:rsidR="00BC39DD" w:rsidRPr="00B2228D">
        <w:t xml:space="preserve">welfare programmes specified in Schedules 1 and 2 (the </w:t>
      </w:r>
      <w:r w:rsidR="00BC39DD" w:rsidRPr="00B2228D">
        <w:rPr>
          <w:b/>
          <w:bCs/>
        </w:rPr>
        <w:t>principal welfare programmes</w:t>
      </w:r>
      <w:r w:rsidR="00BC39DD" w:rsidRPr="00B2228D">
        <w:t xml:space="preserve">). </w:t>
      </w:r>
    </w:p>
    <w:p w14:paraId="2C85EF47" w14:textId="77777777" w:rsidR="00FE172F" w:rsidRPr="00B2228D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9" w:name="_Toc349745254"/>
      <w:bookmarkStart w:id="10" w:name="_Ref318357081"/>
      <w:bookmarkStart w:id="11" w:name="_Toc198637852"/>
      <w:r w:rsidRPr="00B2228D">
        <w:rPr>
          <w:rFonts w:ascii="Times New Roman" w:hAnsi="Times New Roman"/>
        </w:rPr>
        <w:t>Amendments</w:t>
      </w:r>
      <w:bookmarkEnd w:id="9"/>
      <w:bookmarkEnd w:id="11"/>
      <w:r w:rsidRPr="00B2228D">
        <w:rPr>
          <w:rFonts w:ascii="Times New Roman" w:hAnsi="Times New Roman"/>
        </w:rPr>
        <w:t xml:space="preserve"> </w:t>
      </w:r>
      <w:bookmarkEnd w:id="10"/>
    </w:p>
    <w:p w14:paraId="29394971" w14:textId="2E05B05F" w:rsidR="00FE172F" w:rsidRPr="00B2228D" w:rsidRDefault="00565F17">
      <w:pPr>
        <w:ind w:left="567"/>
        <w:jc w:val="both"/>
      </w:pPr>
      <w:r w:rsidRPr="00B2228D">
        <w:t>Amend the principal welfare programmes in the manner set out in Schedule</w:t>
      </w:r>
      <w:r w:rsidR="000447FD" w:rsidRPr="00B2228D">
        <w:t>s</w:t>
      </w:r>
      <w:r w:rsidRPr="00B2228D">
        <w:t xml:space="preserve"> 1</w:t>
      </w:r>
      <w:r w:rsidR="000447FD" w:rsidRPr="00B2228D">
        <w:t xml:space="preserve"> and 2. </w:t>
      </w:r>
    </w:p>
    <w:p w14:paraId="15C334F1" w14:textId="2BA0A584" w:rsidR="00FE172F" w:rsidRPr="00B2228D" w:rsidRDefault="00FE172F" w:rsidP="000F321A">
      <w:pPr>
        <w:ind w:left="567"/>
        <w:jc w:val="center"/>
      </w:pPr>
    </w:p>
    <w:p w14:paraId="7CD2C090" w14:textId="152F472A" w:rsidR="00B230F4" w:rsidRPr="00B2228D" w:rsidRDefault="00565F17" w:rsidP="00750837">
      <w:pPr>
        <w:jc w:val="center"/>
      </w:pPr>
      <w:bookmarkStart w:id="12" w:name="_Toc98296376"/>
      <w:bookmarkStart w:id="13" w:name="_Toc122512061"/>
      <w:bookmarkStart w:id="14" w:name="_Toc129664978"/>
      <w:bookmarkStart w:id="15" w:name="_Toc129686150"/>
      <w:bookmarkStart w:id="16" w:name="_Toc130014786"/>
      <w:bookmarkStart w:id="17" w:name="_Toc130100512"/>
      <w:bookmarkEnd w:id="6"/>
      <w:bookmarkEnd w:id="7"/>
      <w:r w:rsidRPr="00B2228D">
        <w:t>__________</w:t>
      </w:r>
    </w:p>
    <w:p w14:paraId="63AD94B8" w14:textId="3580A29B" w:rsidR="00FE172F" w:rsidRPr="00B2228D" w:rsidRDefault="00B230F4" w:rsidP="00750837">
      <w:pPr>
        <w:spacing w:after="200" w:line="276" w:lineRule="auto"/>
      </w:pPr>
      <w:r w:rsidRPr="00B2228D">
        <w:br w:type="page"/>
      </w:r>
    </w:p>
    <w:p w14:paraId="707F8D88" w14:textId="77777777" w:rsidR="00FE172F" w:rsidRPr="00B2228D" w:rsidRDefault="00565F17">
      <w:pPr>
        <w:pStyle w:val="Heading1"/>
        <w:spacing w:before="0"/>
        <w:jc w:val="center"/>
        <w:rPr>
          <w:sz w:val="36"/>
          <w:szCs w:val="36"/>
        </w:rPr>
      </w:pPr>
      <w:bookmarkStart w:id="18" w:name="_Toc122512062"/>
      <w:bookmarkStart w:id="19" w:name="_Toc349745255"/>
      <w:bookmarkStart w:id="20" w:name="_Toc198637853"/>
      <w:bookmarkEnd w:id="12"/>
      <w:bookmarkEnd w:id="13"/>
      <w:bookmarkEnd w:id="14"/>
      <w:bookmarkEnd w:id="15"/>
      <w:bookmarkEnd w:id="16"/>
      <w:bookmarkEnd w:id="17"/>
      <w:r w:rsidRPr="00B2228D">
        <w:rPr>
          <w:sz w:val="36"/>
          <w:szCs w:val="36"/>
        </w:rPr>
        <w:lastRenderedPageBreak/>
        <w:t>Schedule 1</w:t>
      </w:r>
      <w:bookmarkEnd w:id="18"/>
      <w:bookmarkEnd w:id="19"/>
      <w:bookmarkEnd w:id="20"/>
    </w:p>
    <w:p w14:paraId="68657BF6" w14:textId="676EE53C" w:rsidR="00FE172F" w:rsidRPr="00B2228D" w:rsidRDefault="00565F17">
      <w:pPr>
        <w:keepNext/>
        <w:jc w:val="right"/>
        <w:rPr>
          <w:sz w:val="18"/>
          <w:szCs w:val="18"/>
        </w:rPr>
      </w:pPr>
      <w:r w:rsidRPr="00B2228D">
        <w:rPr>
          <w:sz w:val="18"/>
          <w:szCs w:val="18"/>
        </w:rPr>
        <w:t xml:space="preserve">cl </w:t>
      </w:r>
      <w:r w:rsidRPr="00B2228D">
        <w:rPr>
          <w:sz w:val="18"/>
          <w:szCs w:val="18"/>
        </w:rPr>
        <w:fldChar w:fldCharType="begin"/>
      </w:r>
      <w:r w:rsidRPr="00B2228D">
        <w:rPr>
          <w:sz w:val="18"/>
          <w:szCs w:val="18"/>
        </w:rPr>
        <w:instrText xml:space="preserve"> REF _Ref318357081 \r \h  \* MERGEFORMAT </w:instrText>
      </w:r>
      <w:r w:rsidRPr="00B2228D">
        <w:rPr>
          <w:sz w:val="18"/>
          <w:szCs w:val="18"/>
        </w:rPr>
      </w:r>
      <w:r w:rsidRPr="00B2228D">
        <w:rPr>
          <w:sz w:val="18"/>
          <w:szCs w:val="18"/>
        </w:rPr>
        <w:fldChar w:fldCharType="separate"/>
      </w:r>
      <w:r w:rsidR="00A36585" w:rsidRPr="00B2228D">
        <w:rPr>
          <w:sz w:val="18"/>
          <w:szCs w:val="18"/>
        </w:rPr>
        <w:t>4</w:t>
      </w:r>
      <w:r w:rsidRPr="00B2228D">
        <w:rPr>
          <w:sz w:val="18"/>
          <w:szCs w:val="18"/>
        </w:rPr>
        <w:fldChar w:fldCharType="end"/>
      </w:r>
    </w:p>
    <w:p w14:paraId="18517964" w14:textId="79947B9C" w:rsidR="00AF03C2" w:rsidRPr="00B2228D" w:rsidRDefault="00AF03C2" w:rsidP="00805E3F">
      <w:pPr>
        <w:pStyle w:val="Heading1"/>
        <w:spacing w:before="0"/>
        <w:jc w:val="center"/>
        <w:rPr>
          <w:sz w:val="36"/>
          <w:szCs w:val="36"/>
        </w:rPr>
      </w:pPr>
      <w:bookmarkStart w:id="21" w:name="_Toc126755567"/>
      <w:bookmarkStart w:id="22" w:name="_Toc349745256"/>
      <w:bookmarkStart w:id="23" w:name="_Toc198637854"/>
      <w:r w:rsidRPr="00B2228D">
        <w:rPr>
          <w:sz w:val="36"/>
          <w:szCs w:val="36"/>
        </w:rPr>
        <w:t xml:space="preserve">Amendments to </w:t>
      </w:r>
      <w:bookmarkEnd w:id="21"/>
      <w:r w:rsidR="00650270" w:rsidRPr="00B2228D">
        <w:rPr>
          <w:sz w:val="36"/>
          <w:szCs w:val="36"/>
        </w:rPr>
        <w:t>welfare programmes</w:t>
      </w:r>
      <w:bookmarkEnd w:id="23"/>
    </w:p>
    <w:p w14:paraId="27B6E2C4" w14:textId="77777777" w:rsidR="00650270" w:rsidRPr="00B2228D" w:rsidRDefault="00650270" w:rsidP="00F768ED">
      <w:pPr>
        <w:spacing w:after="40"/>
        <w:jc w:val="both"/>
        <w:rPr>
          <w:b/>
        </w:rPr>
      </w:pPr>
      <w:bookmarkStart w:id="24" w:name="_Hlk95308680"/>
      <w:bookmarkEnd w:id="22"/>
    </w:p>
    <w:p w14:paraId="66629D71" w14:textId="522C2AF2" w:rsidR="00F768ED" w:rsidRPr="00B2228D" w:rsidRDefault="00F768ED" w:rsidP="00F768ED">
      <w:pPr>
        <w:spacing w:after="40"/>
        <w:jc w:val="both"/>
        <w:rPr>
          <w:bCs/>
        </w:rPr>
      </w:pPr>
      <w:r w:rsidRPr="00B2228D">
        <w:rPr>
          <w:b/>
        </w:rPr>
        <w:t xml:space="preserve">Special Needs Grants Programme </w:t>
      </w:r>
      <w:r w:rsidRPr="00B2228D">
        <w:rPr>
          <w:bCs/>
        </w:rPr>
        <w:t>(as established and approved on 18 December 1998)</w:t>
      </w:r>
      <w:r w:rsidRPr="00B2228D">
        <w:rPr>
          <w:rStyle w:val="FootnoteReference"/>
          <w:bCs/>
        </w:rPr>
        <w:footnoteReference w:id="2"/>
      </w:r>
    </w:p>
    <w:p w14:paraId="703ED603" w14:textId="3EC1AACE" w:rsidR="00F768ED" w:rsidRPr="00B2228D" w:rsidRDefault="00F768ED" w:rsidP="00F768ED">
      <w:pPr>
        <w:spacing w:after="40"/>
        <w:jc w:val="both"/>
        <w:rPr>
          <w:b/>
        </w:rPr>
      </w:pPr>
      <w:r w:rsidRPr="00B2228D">
        <w:rPr>
          <w:b/>
        </w:rPr>
        <w:t xml:space="preserve">Clause </w:t>
      </w:r>
      <w:r w:rsidR="00650270" w:rsidRPr="00B2228D">
        <w:rPr>
          <w:b/>
        </w:rPr>
        <w:t>9</w:t>
      </w:r>
    </w:p>
    <w:p w14:paraId="37055A37" w14:textId="613FFEF6" w:rsidR="002B67A2" w:rsidRPr="00B2228D" w:rsidRDefault="00AF30E6" w:rsidP="0005036F">
      <w:pPr>
        <w:spacing w:after="40"/>
        <w:jc w:val="both"/>
        <w:rPr>
          <w:bCs/>
        </w:rPr>
      </w:pPr>
      <w:r w:rsidRPr="00B2228D">
        <w:rPr>
          <w:bCs/>
        </w:rPr>
        <w:t xml:space="preserve">Replace </w:t>
      </w:r>
      <w:r w:rsidR="00D03BE6" w:rsidRPr="00B2228D">
        <w:rPr>
          <w:bCs/>
        </w:rPr>
        <w:t>sub</w:t>
      </w:r>
      <w:r w:rsidRPr="00B2228D">
        <w:rPr>
          <w:bCs/>
        </w:rPr>
        <w:t>clause 9.11 with</w:t>
      </w:r>
      <w:r w:rsidR="00F96E1A" w:rsidRPr="00B2228D">
        <w:rPr>
          <w:bCs/>
        </w:rPr>
        <w:t>:</w:t>
      </w:r>
      <w:r w:rsidR="00650270" w:rsidRPr="00B2228D">
        <w:rPr>
          <w:bCs/>
        </w:rPr>
        <w:t xml:space="preserve"> </w:t>
      </w:r>
    </w:p>
    <w:p w14:paraId="11628111" w14:textId="3B02AED7" w:rsidR="00AF30E6" w:rsidRPr="00B2228D" w:rsidRDefault="00AF30E6" w:rsidP="002B67A2">
      <w:pPr>
        <w:spacing w:after="40"/>
        <w:ind w:firstLine="567"/>
        <w:jc w:val="both"/>
        <w:rPr>
          <w:rFonts w:ascii="Arial" w:hAnsi="Arial" w:cs="Arial"/>
          <w:sz w:val="21"/>
          <w:szCs w:val="21"/>
          <w:highlight w:val="lightGray"/>
          <w:shd w:val="clear" w:color="auto" w:fill="FFFFFF"/>
        </w:rPr>
      </w:pPr>
      <w:r w:rsidRPr="00B2228D">
        <w:rPr>
          <w:bCs/>
          <w:highlight w:val="lightGray"/>
        </w:rPr>
        <w:t xml:space="preserve">An applicant is not entitled to a Grant </w:t>
      </w:r>
      <w:r w:rsidR="002C2BD7" w:rsidRPr="00B2228D">
        <w:rPr>
          <w:bCs/>
          <w:highlight w:val="lightGray"/>
        </w:rPr>
        <w:t>if</w:t>
      </w:r>
      <w:r w:rsidR="00F96E1A" w:rsidRPr="00B2228D">
        <w:rPr>
          <w:rFonts w:ascii="Arial" w:hAnsi="Arial" w:cs="Arial"/>
          <w:sz w:val="21"/>
          <w:szCs w:val="21"/>
          <w:highlight w:val="lightGray"/>
          <w:shd w:val="clear" w:color="auto" w:fill="FFFFFF"/>
        </w:rPr>
        <w:t>—</w:t>
      </w:r>
    </w:p>
    <w:p w14:paraId="4EA5613D" w14:textId="2CDB498B" w:rsidR="00F96E1A" w:rsidRPr="00B2228D" w:rsidRDefault="002C2BD7" w:rsidP="002C2BD7">
      <w:pPr>
        <w:pStyle w:val="ListParagraph"/>
        <w:numPr>
          <w:ilvl w:val="0"/>
          <w:numId w:val="16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the rate of benefit being paid to the</w:t>
      </w:r>
      <w:r w:rsidR="00F96E1A" w:rsidRPr="00B2228D">
        <w:rPr>
          <w:bCs/>
          <w:highlight w:val="lightGray"/>
        </w:rPr>
        <w:t xml:space="preserve"> applicant</w:t>
      </w:r>
      <w:r w:rsidRPr="00B2228D">
        <w:rPr>
          <w:bCs/>
          <w:highlight w:val="lightGray"/>
        </w:rPr>
        <w:t xml:space="preserve"> is </w:t>
      </w:r>
      <w:r w:rsidR="002B67A2" w:rsidRPr="00B2228D">
        <w:rPr>
          <w:bCs/>
          <w:highlight w:val="lightGray"/>
        </w:rPr>
        <w:t>reduced</w:t>
      </w:r>
      <w:r w:rsidRPr="00B2228D">
        <w:rPr>
          <w:bCs/>
          <w:highlight w:val="lightGray"/>
        </w:rPr>
        <w:t xml:space="preserve"> </w:t>
      </w:r>
      <w:r w:rsidR="00314C9F" w:rsidRPr="00B2228D">
        <w:rPr>
          <w:bCs/>
          <w:highlight w:val="lightGray"/>
        </w:rPr>
        <w:t xml:space="preserve">(by half or to zero) </w:t>
      </w:r>
      <w:r w:rsidRPr="00B2228D">
        <w:rPr>
          <w:bCs/>
          <w:highlight w:val="lightGray"/>
        </w:rPr>
        <w:t>under section 236</w:t>
      </w:r>
      <w:r w:rsidR="006F3851" w:rsidRPr="00B2228D">
        <w:rPr>
          <w:bCs/>
          <w:highlight w:val="lightGray"/>
        </w:rPr>
        <w:t xml:space="preserve"> of the Act</w:t>
      </w:r>
      <w:r w:rsidRPr="00B2228D">
        <w:rPr>
          <w:bCs/>
          <w:highlight w:val="lightGray"/>
        </w:rPr>
        <w:t>,</w:t>
      </w:r>
      <w:r w:rsidR="00F96E1A" w:rsidRPr="00B2228D">
        <w:rPr>
          <w:bCs/>
          <w:highlight w:val="lightGray"/>
        </w:rPr>
        <w:t xml:space="preserve"> or</w:t>
      </w:r>
    </w:p>
    <w:p w14:paraId="07EAD03D" w14:textId="35E5174E" w:rsidR="00F96E1A" w:rsidRPr="00B2228D" w:rsidRDefault="008765F9" w:rsidP="002C2BD7">
      <w:pPr>
        <w:pStyle w:val="ListParagraph"/>
        <w:numPr>
          <w:ilvl w:val="0"/>
          <w:numId w:val="16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a non-financial sanction that MSD imposed on P, under sections 236A</w:t>
      </w:r>
      <w:r w:rsidR="009A62E8" w:rsidRPr="00B2228D">
        <w:rPr>
          <w:bCs/>
          <w:highlight w:val="lightGray"/>
        </w:rPr>
        <w:t xml:space="preserve"> </w:t>
      </w:r>
      <w:r w:rsidR="00A96E9A" w:rsidRPr="00B2228D">
        <w:rPr>
          <w:bCs/>
          <w:highlight w:val="lightGray"/>
        </w:rPr>
        <w:t xml:space="preserve">or </w:t>
      </w:r>
      <w:r w:rsidRPr="00B2228D">
        <w:rPr>
          <w:bCs/>
          <w:highlight w:val="lightGray"/>
        </w:rPr>
        <w:t>236B</w:t>
      </w:r>
      <w:r w:rsidR="00A96E9A" w:rsidRPr="00B2228D">
        <w:rPr>
          <w:bCs/>
          <w:highlight w:val="lightGray"/>
        </w:rPr>
        <w:t xml:space="preserve">, </w:t>
      </w:r>
      <w:r w:rsidRPr="00B2228D">
        <w:rPr>
          <w:bCs/>
          <w:highlight w:val="lightGray"/>
        </w:rPr>
        <w:t>has effect</w:t>
      </w:r>
      <w:r w:rsidR="00F96E1A" w:rsidRPr="00B2228D">
        <w:rPr>
          <w:bCs/>
          <w:highlight w:val="lightGray"/>
        </w:rPr>
        <w:t>; or</w:t>
      </w:r>
    </w:p>
    <w:p w14:paraId="52138BF4" w14:textId="33AF5936" w:rsidR="00AF30E6" w:rsidRPr="00B2228D" w:rsidRDefault="00F96E1A" w:rsidP="00AF30E6">
      <w:pPr>
        <w:pStyle w:val="ListParagraph"/>
        <w:numPr>
          <w:ilvl w:val="0"/>
          <w:numId w:val="16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the benefit being paid to the applicant is suspended under section 237 of the Act; or</w:t>
      </w:r>
    </w:p>
    <w:p w14:paraId="38CE4185" w14:textId="1BFF1C58" w:rsidR="00650270" w:rsidRPr="00B2228D" w:rsidRDefault="00F96E1A" w:rsidP="002C2BD7">
      <w:pPr>
        <w:pStyle w:val="ListParagraph"/>
        <w:numPr>
          <w:ilvl w:val="0"/>
          <w:numId w:val="16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 xml:space="preserve">the benefit being paid to the applicant is subject </w:t>
      </w:r>
      <w:r w:rsidR="00627EFE" w:rsidRPr="00B2228D">
        <w:rPr>
          <w:bCs/>
          <w:highlight w:val="lightGray"/>
        </w:rPr>
        <w:t>to</w:t>
      </w:r>
      <w:r w:rsidRPr="00B2228D">
        <w:rPr>
          <w:bCs/>
          <w:highlight w:val="lightGray"/>
        </w:rPr>
        <w:t xml:space="preserve"> section 239 of the Act. </w:t>
      </w:r>
    </w:p>
    <w:p w14:paraId="72DB0091" w14:textId="549BA80D" w:rsidR="003632D2" w:rsidRPr="00B2228D" w:rsidRDefault="003632D2">
      <w:pPr>
        <w:spacing w:before="240" w:after="40"/>
        <w:jc w:val="both"/>
      </w:pPr>
      <w:r w:rsidRPr="00B2228D">
        <w:rPr>
          <w:b/>
        </w:rPr>
        <w:t xml:space="preserve">Emergency Housing Grants Programme </w:t>
      </w:r>
      <w:r w:rsidRPr="00B2228D">
        <w:rPr>
          <w:bCs/>
        </w:rPr>
        <w:t>(as established and approved on 26 August 2024)</w:t>
      </w:r>
      <w:r w:rsidRPr="00B2228D">
        <w:rPr>
          <w:rStyle w:val="FootnoteReference"/>
        </w:rPr>
        <w:t xml:space="preserve"> </w:t>
      </w:r>
      <w:r w:rsidRPr="00B2228D">
        <w:rPr>
          <w:rStyle w:val="FootnoteReference"/>
        </w:rPr>
        <w:footnoteReference w:id="3"/>
      </w:r>
    </w:p>
    <w:p w14:paraId="61EAF18F" w14:textId="7DC9396B" w:rsidR="003632D2" w:rsidRPr="00B2228D" w:rsidRDefault="003632D2" w:rsidP="003632D2">
      <w:pPr>
        <w:spacing w:after="40"/>
        <w:jc w:val="both"/>
        <w:rPr>
          <w:b/>
        </w:rPr>
      </w:pPr>
      <w:r w:rsidRPr="00B2228D">
        <w:rPr>
          <w:b/>
        </w:rPr>
        <w:t>Clause 14</w:t>
      </w:r>
    </w:p>
    <w:p w14:paraId="75FE1C2B" w14:textId="2B795A43" w:rsidR="00F96E1A" w:rsidRPr="00B2228D" w:rsidRDefault="00F96E1A" w:rsidP="00A96E9A">
      <w:pPr>
        <w:pStyle w:val="ListParagraph"/>
        <w:numPr>
          <w:ilvl w:val="0"/>
          <w:numId w:val="22"/>
        </w:numPr>
        <w:spacing w:after="40"/>
        <w:jc w:val="both"/>
        <w:rPr>
          <w:bCs/>
        </w:rPr>
      </w:pPr>
      <w:r w:rsidRPr="00B2228D">
        <w:rPr>
          <w:bCs/>
        </w:rPr>
        <w:t>Replace c</w:t>
      </w:r>
      <w:r w:rsidR="003632D2" w:rsidRPr="00B2228D">
        <w:rPr>
          <w:bCs/>
        </w:rPr>
        <w:t>lause 14(1)(a)</w:t>
      </w:r>
      <w:r w:rsidRPr="00B2228D">
        <w:rPr>
          <w:bCs/>
        </w:rPr>
        <w:t xml:space="preserve"> with:</w:t>
      </w:r>
      <w:r w:rsidR="003632D2" w:rsidRPr="00B2228D">
        <w:rPr>
          <w:bCs/>
        </w:rPr>
        <w:t xml:space="preserve"> </w:t>
      </w:r>
    </w:p>
    <w:p w14:paraId="78ACF7D8" w14:textId="5774001B" w:rsidR="00AF30E6" w:rsidRPr="00B2228D" w:rsidRDefault="00F96E1A" w:rsidP="002B67A2">
      <w:pPr>
        <w:spacing w:after="40"/>
        <w:ind w:firstLine="567"/>
        <w:jc w:val="both"/>
        <w:rPr>
          <w:rFonts w:ascii="Arial" w:hAnsi="Arial" w:cs="Arial"/>
          <w:sz w:val="21"/>
          <w:szCs w:val="21"/>
          <w:highlight w:val="lightGray"/>
          <w:shd w:val="clear" w:color="auto" w:fill="FFFFFF"/>
        </w:rPr>
      </w:pPr>
      <w:r w:rsidRPr="00B2228D">
        <w:rPr>
          <w:bCs/>
          <w:highlight w:val="lightGray"/>
        </w:rPr>
        <w:t xml:space="preserve">(a) </w:t>
      </w:r>
      <w:r w:rsidR="00333719" w:rsidRPr="00B2228D">
        <w:rPr>
          <w:bCs/>
          <w:highlight w:val="lightGray"/>
        </w:rPr>
        <w:t xml:space="preserve">any </w:t>
      </w:r>
      <w:r w:rsidRPr="00B2228D">
        <w:rPr>
          <w:bCs/>
          <w:highlight w:val="lightGray"/>
        </w:rPr>
        <w:t>of the following appl</w:t>
      </w:r>
      <w:r w:rsidR="006668FC" w:rsidRPr="00B2228D">
        <w:rPr>
          <w:bCs/>
          <w:highlight w:val="lightGray"/>
        </w:rPr>
        <w:t>y</w:t>
      </w:r>
      <w:r w:rsidRPr="00B2228D">
        <w:rPr>
          <w:rFonts w:ascii="Arial" w:hAnsi="Arial" w:cs="Arial"/>
          <w:sz w:val="21"/>
          <w:szCs w:val="21"/>
          <w:highlight w:val="lightGray"/>
          <w:shd w:val="clear" w:color="auto" w:fill="FFFFFF"/>
        </w:rPr>
        <w:t>—</w:t>
      </w:r>
    </w:p>
    <w:p w14:paraId="71CD2396" w14:textId="4067EE68" w:rsidR="00AF30E6" w:rsidRPr="00B2228D" w:rsidRDefault="00F96E1A" w:rsidP="002B67A2">
      <w:pPr>
        <w:pStyle w:val="ListParagraph"/>
        <w:numPr>
          <w:ilvl w:val="0"/>
          <w:numId w:val="17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 xml:space="preserve">the rate of benefit being paid to the applicant is reduced </w:t>
      </w:r>
      <w:r w:rsidR="00314C9F" w:rsidRPr="00B2228D">
        <w:rPr>
          <w:bCs/>
          <w:highlight w:val="lightGray"/>
        </w:rPr>
        <w:t xml:space="preserve">(by half or to zero) </w:t>
      </w:r>
      <w:r w:rsidRPr="00B2228D">
        <w:rPr>
          <w:bCs/>
          <w:highlight w:val="lightGray"/>
        </w:rPr>
        <w:t>under section 236</w:t>
      </w:r>
      <w:r w:rsidR="006C7E0D" w:rsidRPr="00B2228D">
        <w:rPr>
          <w:bCs/>
          <w:highlight w:val="lightGray"/>
        </w:rPr>
        <w:t xml:space="preserve"> of the Act</w:t>
      </w:r>
      <w:r w:rsidRPr="00B2228D">
        <w:rPr>
          <w:bCs/>
          <w:highlight w:val="lightGray"/>
        </w:rPr>
        <w:t>, or</w:t>
      </w:r>
    </w:p>
    <w:p w14:paraId="2132DF7D" w14:textId="712887E7" w:rsidR="00AF30E6" w:rsidRPr="00B2228D" w:rsidRDefault="008765F9" w:rsidP="00AF30E6">
      <w:pPr>
        <w:pStyle w:val="ListParagraph"/>
        <w:numPr>
          <w:ilvl w:val="0"/>
          <w:numId w:val="17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a non-financial sanction that MSD imposed on P, under sections 236A</w:t>
      </w:r>
      <w:r w:rsidR="009A62E8" w:rsidRPr="00B2228D">
        <w:rPr>
          <w:bCs/>
          <w:highlight w:val="lightGray"/>
        </w:rPr>
        <w:t xml:space="preserve"> </w:t>
      </w:r>
      <w:r w:rsidR="00A96E9A" w:rsidRPr="00B2228D">
        <w:rPr>
          <w:bCs/>
          <w:highlight w:val="lightGray"/>
        </w:rPr>
        <w:t xml:space="preserve">or </w:t>
      </w:r>
      <w:r w:rsidRPr="00B2228D">
        <w:rPr>
          <w:bCs/>
          <w:highlight w:val="lightGray"/>
        </w:rPr>
        <w:t>236B, has effect</w:t>
      </w:r>
      <w:r w:rsidR="00F96E1A" w:rsidRPr="00B2228D">
        <w:rPr>
          <w:bCs/>
          <w:highlight w:val="lightGray"/>
        </w:rPr>
        <w:t>; o</w:t>
      </w:r>
      <w:r w:rsidR="002B67A2" w:rsidRPr="00B2228D">
        <w:rPr>
          <w:bCs/>
          <w:highlight w:val="lightGray"/>
        </w:rPr>
        <w:t>r</w:t>
      </w:r>
    </w:p>
    <w:p w14:paraId="06E0EB71" w14:textId="2B8DBE94" w:rsidR="00AF30E6" w:rsidRPr="00B2228D" w:rsidRDefault="00F96E1A" w:rsidP="002B67A2">
      <w:pPr>
        <w:pStyle w:val="ListParagraph"/>
        <w:numPr>
          <w:ilvl w:val="0"/>
          <w:numId w:val="17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the benefit being paid to the applicant is suspended under section 237 of the Act; or</w:t>
      </w:r>
    </w:p>
    <w:p w14:paraId="5AB02A3C" w14:textId="4889848E" w:rsidR="00F96E1A" w:rsidRPr="00B2228D" w:rsidRDefault="00627EFE" w:rsidP="00F96E1A">
      <w:pPr>
        <w:pStyle w:val="ListParagraph"/>
        <w:numPr>
          <w:ilvl w:val="0"/>
          <w:numId w:val="17"/>
        </w:numPr>
        <w:spacing w:after="40"/>
        <w:jc w:val="both"/>
        <w:rPr>
          <w:bCs/>
          <w:highlight w:val="lightGray"/>
        </w:rPr>
      </w:pPr>
      <w:r w:rsidRPr="00B2228D">
        <w:rPr>
          <w:bCs/>
          <w:highlight w:val="lightGray"/>
        </w:rPr>
        <w:t>the benefit being paid to the applicant is subject to section 239 of the Act</w:t>
      </w:r>
      <w:r w:rsidR="00F96E1A" w:rsidRPr="00B2228D">
        <w:rPr>
          <w:bCs/>
          <w:highlight w:val="lightGray"/>
        </w:rPr>
        <w:t>; or”</w:t>
      </w:r>
    </w:p>
    <w:p w14:paraId="79E5827C" w14:textId="77777777" w:rsidR="00A96E9A" w:rsidRPr="00B2228D" w:rsidRDefault="00A96E9A" w:rsidP="00A96E9A">
      <w:pPr>
        <w:pStyle w:val="ListParagraph"/>
        <w:spacing w:after="40"/>
        <w:ind w:left="1080"/>
        <w:jc w:val="both"/>
        <w:rPr>
          <w:bCs/>
          <w:highlight w:val="lightGray"/>
        </w:rPr>
      </w:pPr>
    </w:p>
    <w:p w14:paraId="47B79DE0" w14:textId="77777777" w:rsidR="000447FD" w:rsidRPr="00B2228D" w:rsidRDefault="000447FD">
      <w:pPr>
        <w:spacing w:after="200" w:line="276" w:lineRule="auto"/>
        <w:rPr>
          <w:rFonts w:eastAsiaTheme="majorEastAsia" w:cstheme="majorBidi"/>
          <w:b/>
          <w:bCs/>
          <w:sz w:val="36"/>
          <w:szCs w:val="36"/>
        </w:rPr>
      </w:pPr>
      <w:bookmarkStart w:id="25" w:name="_Toc122512064"/>
      <w:bookmarkStart w:id="26" w:name="_Toc129664984"/>
      <w:bookmarkStart w:id="27" w:name="_Toc129686156"/>
      <w:bookmarkStart w:id="28" w:name="_Toc130014792"/>
      <w:bookmarkStart w:id="29" w:name="_Toc130100518"/>
      <w:bookmarkEnd w:id="24"/>
      <w:r w:rsidRPr="00B2228D">
        <w:rPr>
          <w:sz w:val="36"/>
          <w:szCs w:val="36"/>
        </w:rPr>
        <w:br w:type="page"/>
      </w:r>
    </w:p>
    <w:p w14:paraId="2B8F32FC" w14:textId="625137D8" w:rsidR="0005036F" w:rsidRPr="00B2228D" w:rsidRDefault="0005036F" w:rsidP="0005036F">
      <w:pPr>
        <w:pStyle w:val="Heading1"/>
        <w:spacing w:before="0"/>
        <w:jc w:val="center"/>
        <w:rPr>
          <w:sz w:val="36"/>
          <w:szCs w:val="36"/>
        </w:rPr>
      </w:pPr>
      <w:bookmarkStart w:id="30" w:name="_Toc198637855"/>
      <w:r w:rsidRPr="00B2228D">
        <w:rPr>
          <w:sz w:val="36"/>
          <w:szCs w:val="36"/>
        </w:rPr>
        <w:lastRenderedPageBreak/>
        <w:t xml:space="preserve">Schedule </w:t>
      </w:r>
      <w:r w:rsidR="000447FD" w:rsidRPr="00B2228D">
        <w:rPr>
          <w:sz w:val="36"/>
          <w:szCs w:val="36"/>
        </w:rPr>
        <w:t>2</w:t>
      </w:r>
      <w:bookmarkEnd w:id="30"/>
    </w:p>
    <w:p w14:paraId="2FA3C37E" w14:textId="77777777" w:rsidR="0005036F" w:rsidRPr="00B2228D" w:rsidRDefault="0005036F" w:rsidP="0005036F">
      <w:pPr>
        <w:keepNext/>
        <w:jc w:val="right"/>
        <w:rPr>
          <w:sz w:val="18"/>
          <w:szCs w:val="18"/>
        </w:rPr>
      </w:pPr>
      <w:r w:rsidRPr="00B2228D">
        <w:rPr>
          <w:sz w:val="18"/>
          <w:szCs w:val="18"/>
        </w:rPr>
        <w:t xml:space="preserve">cl </w:t>
      </w:r>
      <w:r w:rsidRPr="00B2228D">
        <w:rPr>
          <w:sz w:val="18"/>
          <w:szCs w:val="18"/>
        </w:rPr>
        <w:fldChar w:fldCharType="begin"/>
      </w:r>
      <w:r w:rsidRPr="00B2228D">
        <w:rPr>
          <w:sz w:val="18"/>
          <w:szCs w:val="18"/>
        </w:rPr>
        <w:instrText xml:space="preserve"> REF _Ref318357081 \r \h  \* MERGEFORMAT </w:instrText>
      </w:r>
      <w:r w:rsidRPr="00B2228D">
        <w:rPr>
          <w:sz w:val="18"/>
          <w:szCs w:val="18"/>
        </w:rPr>
      </w:r>
      <w:r w:rsidRPr="00B2228D">
        <w:rPr>
          <w:sz w:val="18"/>
          <w:szCs w:val="18"/>
        </w:rPr>
        <w:fldChar w:fldCharType="separate"/>
      </w:r>
      <w:r w:rsidRPr="00B2228D">
        <w:rPr>
          <w:sz w:val="18"/>
          <w:szCs w:val="18"/>
        </w:rPr>
        <w:t>4</w:t>
      </w:r>
      <w:r w:rsidRPr="00B2228D">
        <w:rPr>
          <w:sz w:val="18"/>
          <w:szCs w:val="18"/>
        </w:rPr>
        <w:fldChar w:fldCharType="end"/>
      </w:r>
    </w:p>
    <w:p w14:paraId="388F84DD" w14:textId="11BE099C" w:rsidR="0005036F" w:rsidRPr="00B2228D" w:rsidRDefault="000447FD" w:rsidP="0005036F">
      <w:pPr>
        <w:pStyle w:val="Heading1"/>
        <w:spacing w:before="0"/>
        <w:jc w:val="center"/>
        <w:rPr>
          <w:sz w:val="36"/>
          <w:szCs w:val="36"/>
        </w:rPr>
      </w:pPr>
      <w:bookmarkStart w:id="31" w:name="_Toc198637856"/>
      <w:r w:rsidRPr="00B2228D">
        <w:rPr>
          <w:sz w:val="36"/>
          <w:szCs w:val="36"/>
        </w:rPr>
        <w:t>Further a</w:t>
      </w:r>
      <w:r w:rsidR="0005036F" w:rsidRPr="00B2228D">
        <w:rPr>
          <w:sz w:val="36"/>
          <w:szCs w:val="36"/>
        </w:rPr>
        <w:t>mendments to welfare programmes</w:t>
      </w:r>
      <w:bookmarkEnd w:id="31"/>
    </w:p>
    <w:p w14:paraId="74E8EA6F" w14:textId="77777777" w:rsidR="0005036F" w:rsidRPr="00B2228D" w:rsidRDefault="0005036F" w:rsidP="0005036F">
      <w:pPr>
        <w:spacing w:after="40"/>
        <w:jc w:val="both"/>
        <w:rPr>
          <w:b/>
        </w:rPr>
      </w:pPr>
    </w:p>
    <w:p w14:paraId="2676AC3F" w14:textId="77777777" w:rsidR="0005036F" w:rsidRPr="00B2228D" w:rsidRDefault="0005036F" w:rsidP="0005036F">
      <w:pPr>
        <w:spacing w:after="40"/>
        <w:jc w:val="both"/>
        <w:rPr>
          <w:bCs/>
        </w:rPr>
      </w:pPr>
      <w:r w:rsidRPr="00B2228D">
        <w:rPr>
          <w:b/>
        </w:rPr>
        <w:t xml:space="preserve">Special Needs Grants Programme </w:t>
      </w:r>
      <w:r w:rsidRPr="00B2228D">
        <w:rPr>
          <w:bCs/>
        </w:rPr>
        <w:t>(as established and approved on 18 December 1998)</w:t>
      </w:r>
      <w:r w:rsidRPr="00B2228D">
        <w:rPr>
          <w:rStyle w:val="FootnoteReference"/>
          <w:bCs/>
        </w:rPr>
        <w:footnoteReference w:id="4"/>
      </w:r>
    </w:p>
    <w:p w14:paraId="31BAB38C" w14:textId="77777777" w:rsidR="0005036F" w:rsidRPr="00B2228D" w:rsidRDefault="0005036F" w:rsidP="0005036F">
      <w:pPr>
        <w:spacing w:after="40"/>
        <w:jc w:val="both"/>
        <w:rPr>
          <w:b/>
        </w:rPr>
      </w:pPr>
      <w:r w:rsidRPr="00B2228D">
        <w:rPr>
          <w:b/>
        </w:rPr>
        <w:t>Clause 9</w:t>
      </w:r>
    </w:p>
    <w:p w14:paraId="21ED79B9" w14:textId="43AD38CD" w:rsidR="000447FD" w:rsidRPr="00B2228D" w:rsidRDefault="000447FD" w:rsidP="000447FD">
      <w:pPr>
        <w:spacing w:after="40"/>
        <w:jc w:val="both"/>
        <w:rPr>
          <w:bCs/>
        </w:rPr>
      </w:pPr>
      <w:r w:rsidRPr="00B2228D">
        <w:rPr>
          <w:bCs/>
        </w:rPr>
        <w:t xml:space="preserve">In </w:t>
      </w:r>
      <w:r w:rsidR="0005036F" w:rsidRPr="00B2228D">
        <w:rPr>
          <w:bCs/>
        </w:rPr>
        <w:t>subclause 9.11</w:t>
      </w:r>
      <w:r w:rsidRPr="00B2228D">
        <w:rPr>
          <w:bCs/>
        </w:rPr>
        <w:t>(b), replace “or 236B” with “,</w:t>
      </w:r>
      <w:r w:rsidR="00877C01" w:rsidRPr="00B2228D">
        <w:rPr>
          <w:bCs/>
        </w:rPr>
        <w:t xml:space="preserve"> </w:t>
      </w:r>
      <w:r w:rsidRPr="00B2228D">
        <w:rPr>
          <w:bCs/>
        </w:rPr>
        <w:t>236B, 236E, or 236H”.</w:t>
      </w:r>
    </w:p>
    <w:p w14:paraId="172F5E64" w14:textId="77777777" w:rsidR="0005036F" w:rsidRPr="00B2228D" w:rsidRDefault="0005036F" w:rsidP="0005036F">
      <w:pPr>
        <w:spacing w:before="240" w:after="40"/>
        <w:jc w:val="both"/>
      </w:pPr>
      <w:r w:rsidRPr="00B2228D">
        <w:rPr>
          <w:b/>
        </w:rPr>
        <w:t xml:space="preserve">Emergency Housing Grants Programme </w:t>
      </w:r>
      <w:r w:rsidRPr="00B2228D">
        <w:rPr>
          <w:bCs/>
        </w:rPr>
        <w:t>(as established and approved on 26 August 2024)</w:t>
      </w:r>
      <w:r w:rsidRPr="00B2228D">
        <w:rPr>
          <w:rStyle w:val="FootnoteReference"/>
        </w:rPr>
        <w:t xml:space="preserve"> </w:t>
      </w:r>
      <w:r w:rsidRPr="00B2228D">
        <w:rPr>
          <w:rStyle w:val="FootnoteReference"/>
        </w:rPr>
        <w:footnoteReference w:id="5"/>
      </w:r>
    </w:p>
    <w:p w14:paraId="6281663C" w14:textId="496A795B" w:rsidR="0005036F" w:rsidRPr="00B2228D" w:rsidRDefault="0005036F" w:rsidP="000447FD">
      <w:pPr>
        <w:spacing w:after="40"/>
        <w:jc w:val="both"/>
        <w:rPr>
          <w:b/>
        </w:rPr>
      </w:pPr>
      <w:r w:rsidRPr="00B2228D">
        <w:rPr>
          <w:b/>
        </w:rPr>
        <w:t>Clause 14</w:t>
      </w:r>
    </w:p>
    <w:p w14:paraId="193C05EF" w14:textId="21495BCE" w:rsidR="0005036F" w:rsidRPr="00B2228D" w:rsidRDefault="0005036F" w:rsidP="000447FD">
      <w:pPr>
        <w:spacing w:after="40"/>
        <w:jc w:val="both"/>
        <w:rPr>
          <w:bCs/>
        </w:rPr>
      </w:pPr>
      <w:r w:rsidRPr="00B2228D">
        <w:rPr>
          <w:bCs/>
        </w:rPr>
        <w:t>In clause 14(1)(a)(ii), replace “or 236B” with “,</w:t>
      </w:r>
      <w:r w:rsidR="00877C01" w:rsidRPr="00B2228D">
        <w:rPr>
          <w:bCs/>
        </w:rPr>
        <w:t xml:space="preserve"> </w:t>
      </w:r>
      <w:r w:rsidRPr="00B2228D">
        <w:rPr>
          <w:bCs/>
        </w:rPr>
        <w:t>236B, 236E, or 236H”</w:t>
      </w:r>
      <w:r w:rsidR="000447FD" w:rsidRPr="00B2228D">
        <w:rPr>
          <w:bCs/>
        </w:rPr>
        <w:t>.</w:t>
      </w:r>
    </w:p>
    <w:p w14:paraId="700AED25" w14:textId="77777777" w:rsidR="000447FD" w:rsidRPr="00B2228D" w:rsidRDefault="000447FD" w:rsidP="0005036F">
      <w:pPr>
        <w:keepLines/>
        <w:spacing w:before="240" w:after="40"/>
        <w:jc w:val="center"/>
        <w:rPr>
          <w:szCs w:val="23"/>
        </w:rPr>
      </w:pPr>
    </w:p>
    <w:p w14:paraId="0A28CCB2" w14:textId="77777777" w:rsidR="000447FD" w:rsidRPr="00B2228D" w:rsidRDefault="000447FD" w:rsidP="0005036F">
      <w:pPr>
        <w:keepLines/>
        <w:spacing w:before="240" w:after="40"/>
        <w:jc w:val="center"/>
        <w:rPr>
          <w:szCs w:val="23"/>
        </w:rPr>
      </w:pPr>
    </w:p>
    <w:p w14:paraId="20749E06" w14:textId="77777777" w:rsidR="000447FD" w:rsidRPr="00B2228D" w:rsidRDefault="000447FD" w:rsidP="0005036F">
      <w:pPr>
        <w:keepLines/>
        <w:spacing w:before="240" w:after="40"/>
        <w:jc w:val="center"/>
        <w:rPr>
          <w:szCs w:val="23"/>
        </w:rPr>
      </w:pPr>
    </w:p>
    <w:p w14:paraId="2EBC5826" w14:textId="5A41916B" w:rsidR="0005036F" w:rsidRPr="00B2228D" w:rsidRDefault="0005036F" w:rsidP="0005036F">
      <w:pPr>
        <w:keepLines/>
        <w:spacing w:before="240" w:after="40"/>
        <w:jc w:val="center"/>
        <w:rPr>
          <w:szCs w:val="23"/>
        </w:rPr>
      </w:pPr>
      <w:r w:rsidRPr="00B2228D">
        <w:rPr>
          <w:szCs w:val="23"/>
        </w:rPr>
        <w:t xml:space="preserve">Dated at </w:t>
      </w:r>
      <w:r w:rsidRPr="00B2228D">
        <w:rPr>
          <w:szCs w:val="23"/>
        </w:rPr>
        <w:tab/>
      </w:r>
      <w:r w:rsidRPr="00B2228D">
        <w:rPr>
          <w:szCs w:val="23"/>
        </w:rPr>
        <w:tab/>
        <w:t xml:space="preserve">this </w:t>
      </w:r>
      <w:r w:rsidRPr="00B2228D">
        <w:rPr>
          <w:i/>
          <w:szCs w:val="23"/>
        </w:rPr>
        <w:t xml:space="preserve">          </w:t>
      </w:r>
      <w:r w:rsidRPr="00B2228D">
        <w:rPr>
          <w:i/>
          <w:szCs w:val="23"/>
        </w:rPr>
        <w:tab/>
        <w:t xml:space="preserve"> </w:t>
      </w:r>
      <w:r w:rsidRPr="00B2228D">
        <w:rPr>
          <w:szCs w:val="23"/>
        </w:rPr>
        <w:t xml:space="preserve">day </w:t>
      </w:r>
      <w:proofErr w:type="gramStart"/>
      <w:r w:rsidRPr="00B2228D">
        <w:rPr>
          <w:szCs w:val="23"/>
        </w:rPr>
        <w:t xml:space="preserve">of  </w:t>
      </w:r>
      <w:r w:rsidRPr="00B2228D">
        <w:rPr>
          <w:szCs w:val="23"/>
        </w:rPr>
        <w:tab/>
      </w:r>
      <w:proofErr w:type="gramEnd"/>
      <w:r w:rsidRPr="00B2228D">
        <w:rPr>
          <w:szCs w:val="23"/>
        </w:rPr>
        <w:t xml:space="preserve"> 2025</w:t>
      </w:r>
    </w:p>
    <w:p w14:paraId="0A8E77BC" w14:textId="77777777" w:rsidR="0005036F" w:rsidRPr="00B2228D" w:rsidRDefault="0005036F" w:rsidP="0005036F">
      <w:pPr>
        <w:keepLines/>
        <w:jc w:val="right"/>
        <w:rPr>
          <w:szCs w:val="23"/>
        </w:rPr>
      </w:pPr>
    </w:p>
    <w:p w14:paraId="1694172E" w14:textId="77777777" w:rsidR="0005036F" w:rsidRPr="00B2228D" w:rsidRDefault="0005036F" w:rsidP="0005036F">
      <w:pPr>
        <w:keepLines/>
        <w:jc w:val="right"/>
        <w:rPr>
          <w:szCs w:val="23"/>
        </w:rPr>
      </w:pPr>
    </w:p>
    <w:p w14:paraId="4A49F5CF" w14:textId="77777777" w:rsidR="0005036F" w:rsidRPr="00B2228D" w:rsidRDefault="0005036F" w:rsidP="0005036F">
      <w:pPr>
        <w:keepLines/>
        <w:jc w:val="right"/>
        <w:rPr>
          <w:szCs w:val="23"/>
        </w:rPr>
      </w:pPr>
    </w:p>
    <w:p w14:paraId="1267E596" w14:textId="77777777" w:rsidR="0005036F" w:rsidRPr="00B2228D" w:rsidRDefault="0005036F" w:rsidP="0005036F">
      <w:pPr>
        <w:keepLines/>
        <w:spacing w:after="40"/>
        <w:jc w:val="right"/>
        <w:rPr>
          <w:szCs w:val="23"/>
        </w:rPr>
      </w:pPr>
      <w:r w:rsidRPr="00B2228D">
        <w:rPr>
          <w:szCs w:val="23"/>
        </w:rPr>
        <w:t>___________________________</w:t>
      </w:r>
    </w:p>
    <w:p w14:paraId="36DF67BC" w14:textId="77777777" w:rsidR="0005036F" w:rsidRPr="00B2228D" w:rsidRDefault="0005036F" w:rsidP="0005036F">
      <w:pPr>
        <w:keepLines/>
        <w:spacing w:before="120" w:after="40"/>
        <w:jc w:val="right"/>
        <w:rPr>
          <w:szCs w:val="23"/>
        </w:rPr>
      </w:pPr>
      <w:r w:rsidRPr="00B2228D">
        <w:rPr>
          <w:szCs w:val="23"/>
        </w:rPr>
        <w:t>Minister for Social Development and Employment</w:t>
      </w:r>
    </w:p>
    <w:p w14:paraId="339B72A3" w14:textId="77777777" w:rsidR="0005036F" w:rsidRPr="00B2228D" w:rsidRDefault="0005036F" w:rsidP="0005036F">
      <w:pPr>
        <w:jc w:val="center"/>
        <w:rPr>
          <w:b/>
        </w:rPr>
      </w:pPr>
    </w:p>
    <w:p w14:paraId="6D899ACC" w14:textId="77777777" w:rsidR="0005036F" w:rsidRPr="00B2228D" w:rsidRDefault="0005036F" w:rsidP="0005036F">
      <w:pPr>
        <w:jc w:val="center"/>
        <w:rPr>
          <w:b/>
        </w:rPr>
      </w:pPr>
    </w:p>
    <w:p w14:paraId="53047E2B" w14:textId="77777777" w:rsidR="0005036F" w:rsidRPr="00B2228D" w:rsidRDefault="0005036F" w:rsidP="0005036F">
      <w:pPr>
        <w:jc w:val="center"/>
        <w:rPr>
          <w:b/>
        </w:rPr>
      </w:pPr>
    </w:p>
    <w:p w14:paraId="6E690D69" w14:textId="77777777" w:rsidR="0005036F" w:rsidRPr="00B2228D" w:rsidRDefault="0005036F" w:rsidP="0005036F">
      <w:pPr>
        <w:jc w:val="center"/>
        <w:rPr>
          <w:b/>
        </w:rPr>
      </w:pPr>
    </w:p>
    <w:p w14:paraId="4F347486" w14:textId="77777777" w:rsidR="0005036F" w:rsidRPr="00B2228D" w:rsidRDefault="0005036F" w:rsidP="0005036F">
      <w:pPr>
        <w:keepLines/>
        <w:spacing w:after="40"/>
        <w:jc w:val="right"/>
        <w:rPr>
          <w:szCs w:val="23"/>
        </w:rPr>
      </w:pPr>
      <w:r w:rsidRPr="00B2228D">
        <w:rPr>
          <w:szCs w:val="23"/>
        </w:rPr>
        <w:t>___________________________</w:t>
      </w:r>
    </w:p>
    <w:p w14:paraId="3F4B9E34" w14:textId="20A38C3D" w:rsidR="002C2BD7" w:rsidRPr="00B2228D" w:rsidRDefault="0005036F" w:rsidP="002C2BD7">
      <w:pPr>
        <w:keepLines/>
        <w:spacing w:before="120" w:after="40"/>
        <w:jc w:val="right"/>
        <w:rPr>
          <w:szCs w:val="23"/>
        </w:rPr>
      </w:pPr>
      <w:r w:rsidRPr="00B2228D">
        <w:rPr>
          <w:szCs w:val="23"/>
        </w:rPr>
        <w:t>Associate Minister of Housing</w:t>
      </w:r>
    </w:p>
    <w:p w14:paraId="440E04F8" w14:textId="77777777" w:rsidR="000447FD" w:rsidRPr="00B2228D" w:rsidRDefault="000447FD" w:rsidP="002C2BD7">
      <w:pPr>
        <w:keepLines/>
        <w:spacing w:before="120" w:after="40"/>
        <w:jc w:val="right"/>
        <w:rPr>
          <w:szCs w:val="23"/>
        </w:rPr>
      </w:pPr>
    </w:p>
    <w:p w14:paraId="06FC3090" w14:textId="48E4C879" w:rsidR="00FE172F" w:rsidRPr="00B2228D" w:rsidRDefault="00565F17" w:rsidP="002B67A2">
      <w:pPr>
        <w:spacing w:after="200"/>
        <w:jc w:val="center"/>
        <w:rPr>
          <w:b/>
        </w:rPr>
      </w:pPr>
      <w:r w:rsidRPr="00B2228D">
        <w:rPr>
          <w:b/>
        </w:rPr>
        <w:t>__</w:t>
      </w:r>
      <w:bookmarkEnd w:id="25"/>
      <w:bookmarkEnd w:id="26"/>
      <w:bookmarkEnd w:id="27"/>
      <w:bookmarkEnd w:id="28"/>
      <w:bookmarkEnd w:id="29"/>
      <w:r w:rsidRPr="00B2228D">
        <w:rPr>
          <w:b/>
        </w:rPr>
        <w:t>______</w:t>
      </w:r>
    </w:p>
    <w:p w14:paraId="13DFC9C6" w14:textId="77777777" w:rsidR="00FE172F" w:rsidRPr="00B2228D" w:rsidRDefault="00565F17">
      <w:pPr>
        <w:spacing w:before="120"/>
        <w:jc w:val="center"/>
        <w:rPr>
          <w:sz w:val="26"/>
          <w:szCs w:val="26"/>
        </w:rPr>
      </w:pPr>
      <w:r w:rsidRPr="00B2228D">
        <w:rPr>
          <w:b/>
          <w:sz w:val="26"/>
          <w:szCs w:val="26"/>
        </w:rPr>
        <w:t>Explanatory note</w:t>
      </w:r>
    </w:p>
    <w:p w14:paraId="0B4C7305" w14:textId="77777777" w:rsidR="00FE172F" w:rsidRPr="00B2228D" w:rsidRDefault="00565F17">
      <w:pPr>
        <w:spacing w:before="120" w:after="120"/>
        <w:jc w:val="both"/>
      </w:pPr>
      <w:r w:rsidRPr="00B2228D">
        <w:rPr>
          <w:i/>
        </w:rPr>
        <w:t xml:space="preserve">This note is not part of the </w:t>
      </w:r>
      <w:proofErr w:type="gramStart"/>
      <w:r w:rsidRPr="00B2228D">
        <w:rPr>
          <w:i/>
        </w:rPr>
        <w:t>instrument, but</w:t>
      </w:r>
      <w:proofErr w:type="gramEnd"/>
      <w:r w:rsidRPr="00B2228D">
        <w:rPr>
          <w:i/>
        </w:rPr>
        <w:t xml:space="preserve"> is intended to indicate its general effect.</w:t>
      </w:r>
    </w:p>
    <w:p w14:paraId="7A476745" w14:textId="338D4B84" w:rsidR="00460D42" w:rsidRPr="00B2228D" w:rsidRDefault="00565F17">
      <w:pPr>
        <w:spacing w:after="40"/>
        <w:jc w:val="both"/>
      </w:pPr>
      <w:r w:rsidRPr="00B2228D">
        <w:t xml:space="preserve">This instrument, </w:t>
      </w:r>
      <w:r w:rsidR="000447FD" w:rsidRPr="00B2228D">
        <w:t>the majority of which</w:t>
      </w:r>
      <w:r w:rsidR="0005036F" w:rsidRPr="00B2228D">
        <w:t xml:space="preserve"> </w:t>
      </w:r>
      <w:r w:rsidR="0076663B" w:rsidRPr="00B2228D">
        <w:t xml:space="preserve">comes into force on </w:t>
      </w:r>
      <w:r w:rsidR="00C87F69" w:rsidRPr="00B2228D">
        <w:t>26 May 2025</w:t>
      </w:r>
      <w:r w:rsidRPr="00B2228D">
        <w:t xml:space="preserve">, amends </w:t>
      </w:r>
      <w:r w:rsidR="001828A6" w:rsidRPr="00B2228D">
        <w:t xml:space="preserve">the </w:t>
      </w:r>
      <w:r w:rsidR="00C87F69" w:rsidRPr="00B2228D">
        <w:t xml:space="preserve">Special Needs Grants Programme and the Emergency Housing Grants Programme to clarify that an applicant is not entitled </w:t>
      </w:r>
      <w:r w:rsidR="00333719" w:rsidRPr="00B2228D">
        <w:t xml:space="preserve">to </w:t>
      </w:r>
      <w:r w:rsidR="00C87F69" w:rsidRPr="00B2228D">
        <w:t xml:space="preserve">or eligible for grants under those programmes </w:t>
      </w:r>
      <w:r w:rsidR="00C922E2" w:rsidRPr="00B2228D">
        <w:t>if the</w:t>
      </w:r>
      <w:r w:rsidR="008D168D" w:rsidRPr="00B2228D">
        <w:t xml:space="preserve"> rate of their</w:t>
      </w:r>
      <w:r w:rsidR="00C922E2" w:rsidRPr="00B2228D">
        <w:t xml:space="preserve"> benefit is reduced</w:t>
      </w:r>
      <w:r w:rsidR="001E51BA" w:rsidRPr="00B2228D">
        <w:t xml:space="preserve"> by half or to zero</w:t>
      </w:r>
      <w:r w:rsidR="008D168D" w:rsidRPr="00B2228D">
        <w:t xml:space="preserve"> (under section 236 of the Social Security Act 2018 (the Act))</w:t>
      </w:r>
      <w:r w:rsidR="00C922E2" w:rsidRPr="00B2228D">
        <w:t xml:space="preserve">, </w:t>
      </w:r>
      <w:r w:rsidR="008D168D" w:rsidRPr="00B2228D">
        <w:t xml:space="preserve">if their benefit is suspended (under section 237 of the Act), if </w:t>
      </w:r>
      <w:r w:rsidR="00213B09" w:rsidRPr="00B2228D">
        <w:t>a non-financial sanction that MSD imposed on them</w:t>
      </w:r>
      <w:r w:rsidR="0005036F" w:rsidRPr="00B2228D">
        <w:t xml:space="preserve"> </w:t>
      </w:r>
      <w:r w:rsidR="00213B09" w:rsidRPr="00B2228D">
        <w:t>has effect</w:t>
      </w:r>
      <w:r w:rsidR="00C922E2" w:rsidRPr="00B2228D">
        <w:t xml:space="preserve">, </w:t>
      </w:r>
      <w:r w:rsidR="008D168D" w:rsidRPr="00B2228D">
        <w:t>or if their benefit is subject to section 239</w:t>
      </w:r>
      <w:r w:rsidR="00333719" w:rsidRPr="00B2228D">
        <w:t xml:space="preserve"> </w:t>
      </w:r>
      <w:r w:rsidR="008D168D" w:rsidRPr="00B2228D">
        <w:t xml:space="preserve">of the Act. </w:t>
      </w:r>
      <w:r w:rsidR="008510FA" w:rsidRPr="00B2228D">
        <w:t>This amendment enacts the policy intent that persons who are subject to sanctions under the Social Security Act 2018 (the Act) are not able to access hardship assistance.</w:t>
      </w:r>
    </w:p>
    <w:p w14:paraId="78F60113" w14:textId="77777777" w:rsidR="00460D42" w:rsidRPr="00B2228D" w:rsidRDefault="00460D42">
      <w:pPr>
        <w:spacing w:after="40"/>
        <w:jc w:val="both"/>
      </w:pPr>
    </w:p>
    <w:p w14:paraId="3F64D0FF" w14:textId="15878F77" w:rsidR="005B75D6" w:rsidRPr="00B2228D" w:rsidRDefault="005B75D6">
      <w:pPr>
        <w:spacing w:after="40"/>
        <w:jc w:val="both"/>
      </w:pPr>
      <w:r w:rsidRPr="00B2228D">
        <w:t xml:space="preserve">The Social Security Amendment Act 2025 introduces the ability for MSD to impose a non-financial sanction, as an alternative to a reduction in the rate of a person’s main benefit for a first obligation failure, if certain eligibility requirements are met. The amendments in this instrument enable the non-financial sanctions to be included as sanctions that make an applicant ineligible for Special Needs Grants or Emergency Housing Grants. </w:t>
      </w:r>
    </w:p>
    <w:p w14:paraId="1B5B3253" w14:textId="77777777" w:rsidR="00A96E9A" w:rsidRPr="00B2228D" w:rsidRDefault="00A96E9A">
      <w:pPr>
        <w:spacing w:after="40"/>
        <w:jc w:val="both"/>
      </w:pPr>
    </w:p>
    <w:p w14:paraId="4BD76155" w14:textId="4D21EE8E" w:rsidR="00A96E9A" w:rsidRPr="00B2228D" w:rsidRDefault="0005036F">
      <w:pPr>
        <w:spacing w:after="40"/>
        <w:jc w:val="both"/>
      </w:pPr>
      <w:r w:rsidRPr="00B2228D">
        <w:t xml:space="preserve">As the non-financial sanctions in sections 236E and 236H of the Act will only come into force on 20 October 2025, the amendments in Schedule 2 of this instrument (which insert the references to those sections in the relevant clauses of the Programmes), will only come into force on that same date. </w:t>
      </w:r>
    </w:p>
    <w:p w14:paraId="467C20B5" w14:textId="77777777" w:rsidR="008D168D" w:rsidRPr="00B2228D" w:rsidRDefault="008D168D">
      <w:pPr>
        <w:spacing w:after="40"/>
        <w:jc w:val="both"/>
      </w:pPr>
    </w:p>
    <w:p w14:paraId="6C2991E9" w14:textId="77777777" w:rsidR="008D168D" w:rsidRPr="00B2228D" w:rsidRDefault="008D168D">
      <w:pPr>
        <w:spacing w:after="40"/>
        <w:jc w:val="both"/>
      </w:pPr>
    </w:p>
    <w:sectPr w:rsidR="008D168D" w:rsidRPr="00B2228D" w:rsidSect="001A74EB">
      <w:footerReference w:type="even" r:id="rId8"/>
      <w:footerReference w:type="default" r:id="rId9"/>
      <w:footerReference w:type="first" r:id="rId10"/>
      <w:pgSz w:w="11907" w:h="16840" w:code="9"/>
      <w:pgMar w:top="1440" w:right="2155" w:bottom="1440" w:left="2155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494B" w14:textId="77777777" w:rsidR="00126857" w:rsidRDefault="00126857">
      <w:r>
        <w:separator/>
      </w:r>
    </w:p>
  </w:endnote>
  <w:endnote w:type="continuationSeparator" w:id="0">
    <w:p w14:paraId="7492A44D" w14:textId="77777777" w:rsidR="00126857" w:rsidRDefault="00126857">
      <w:r>
        <w:continuationSeparator/>
      </w:r>
    </w:p>
  </w:endnote>
  <w:endnote w:type="continuationNotice" w:id="1">
    <w:p w14:paraId="2731F676" w14:textId="77777777" w:rsidR="00822A62" w:rsidRDefault="0082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6EB" w14:textId="77777777" w:rsidR="00304C48" w:rsidRDefault="0030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313FDC" w14:textId="77777777" w:rsidR="00304C48" w:rsidRDefault="00304C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515F" w14:textId="77777777" w:rsidR="00304C48" w:rsidRPr="00D03BE6" w:rsidRDefault="00304C48">
    <w:pPr>
      <w:pStyle w:val="Footer"/>
      <w:framePr w:wrap="around" w:vAnchor="text" w:hAnchor="margin" w:xAlign="right" w:y="1"/>
      <w:rPr>
        <w:rStyle w:val="PageNumber"/>
        <w:b w:val="0"/>
        <w:sz w:val="18"/>
        <w:szCs w:val="18"/>
      </w:rPr>
    </w:pPr>
    <w:r w:rsidRPr="00D03BE6">
      <w:rPr>
        <w:rStyle w:val="PageNumber"/>
        <w:b w:val="0"/>
        <w:sz w:val="18"/>
        <w:szCs w:val="18"/>
      </w:rPr>
      <w:fldChar w:fldCharType="begin"/>
    </w:r>
    <w:r w:rsidRPr="00D03BE6">
      <w:rPr>
        <w:rStyle w:val="PageNumber"/>
        <w:b w:val="0"/>
        <w:sz w:val="18"/>
        <w:szCs w:val="18"/>
      </w:rPr>
      <w:instrText xml:space="preserve">PAGE  </w:instrText>
    </w:r>
    <w:r w:rsidRPr="00D03BE6">
      <w:rPr>
        <w:rStyle w:val="PageNumber"/>
        <w:b w:val="0"/>
        <w:sz w:val="18"/>
        <w:szCs w:val="18"/>
      </w:rPr>
      <w:fldChar w:fldCharType="separate"/>
    </w:r>
    <w:r w:rsidRPr="00FD161D">
      <w:rPr>
        <w:rStyle w:val="PageNumber"/>
        <w:b w:val="0"/>
        <w:noProof/>
        <w:sz w:val="18"/>
        <w:szCs w:val="18"/>
      </w:rPr>
      <w:t>5</w:t>
    </w:r>
    <w:r w:rsidRPr="00D03BE6">
      <w:rPr>
        <w:rStyle w:val="PageNumber"/>
        <w:b w:val="0"/>
        <w:sz w:val="18"/>
        <w:szCs w:val="18"/>
      </w:rPr>
      <w:fldChar w:fldCharType="end"/>
    </w:r>
  </w:p>
  <w:p w14:paraId="30229782" w14:textId="77777777" w:rsidR="00304C48" w:rsidRPr="00D03BE6" w:rsidRDefault="00304C48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520" w14:textId="77777777" w:rsidR="00304C48" w:rsidRDefault="00304C48">
    <w:pPr>
      <w:pStyle w:val="Footer"/>
      <w:jc w:val="right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PAGE   \* MERGEFORMAT </w:instrText>
    </w:r>
    <w:r>
      <w:rPr>
        <w:b w:val="0"/>
        <w:sz w:val="20"/>
      </w:rPr>
      <w:fldChar w:fldCharType="separate"/>
    </w:r>
    <w:r>
      <w:rPr>
        <w:b w:val="0"/>
        <w:noProof/>
        <w:sz w:val="20"/>
      </w:rPr>
      <w:t>1</w:t>
    </w:r>
    <w:r>
      <w:rPr>
        <w:b w:val="0"/>
        <w:noProof/>
        <w:sz w:val="20"/>
      </w:rPr>
      <w:fldChar w:fldCharType="end"/>
    </w:r>
  </w:p>
  <w:p w14:paraId="2FD662E7" w14:textId="77777777" w:rsidR="00304C48" w:rsidRDefault="0030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6C44" w14:textId="77777777" w:rsidR="00126857" w:rsidRDefault="00126857">
      <w:r>
        <w:separator/>
      </w:r>
    </w:p>
  </w:footnote>
  <w:footnote w:type="continuationSeparator" w:id="0">
    <w:p w14:paraId="4BD18405" w14:textId="77777777" w:rsidR="00126857" w:rsidRDefault="00126857">
      <w:r>
        <w:continuationSeparator/>
      </w:r>
    </w:p>
  </w:footnote>
  <w:footnote w:type="continuationNotice" w:id="1">
    <w:p w14:paraId="23C6FF19" w14:textId="77777777" w:rsidR="00822A62" w:rsidRDefault="00822A62"/>
  </w:footnote>
  <w:footnote w:id="2">
    <w:p w14:paraId="2C0A4C49" w14:textId="77777777" w:rsidR="00F768ED" w:rsidRPr="00021A74" w:rsidRDefault="00F768ED" w:rsidP="00F768ED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Pr="00021A74">
        <w:t>New Zealand Gazette 28 January 1999, No. 563, page 202.</w:t>
      </w:r>
    </w:p>
  </w:footnote>
  <w:footnote w:id="3">
    <w:p w14:paraId="14740B8A" w14:textId="69BFB721" w:rsidR="003632D2" w:rsidRDefault="003632D2" w:rsidP="003632D2">
      <w:pPr>
        <w:pStyle w:val="FootnoteText"/>
      </w:pPr>
      <w:r>
        <w:rPr>
          <w:rStyle w:val="FootnoteReference"/>
        </w:rPr>
        <w:footnoteRef/>
      </w:r>
      <w:r>
        <w:t xml:space="preserve"> New Zealand Gazette 24 July </w:t>
      </w:r>
      <w:r w:rsidRPr="00C87F69">
        <w:t>2024, No. 1</w:t>
      </w:r>
      <w:r w:rsidR="00C87F69" w:rsidRPr="00C87F69">
        <w:t>3</w:t>
      </w:r>
      <w:r w:rsidRPr="00C87F69">
        <w:t>5</w:t>
      </w:r>
      <w:r w:rsidR="00C87F69" w:rsidRPr="00C87F69">
        <w:t>9</w:t>
      </w:r>
      <w:r w:rsidRPr="00C87F69">
        <w:t>4</w:t>
      </w:r>
      <w:r w:rsidR="008D168D">
        <w:t>.</w:t>
      </w:r>
    </w:p>
  </w:footnote>
  <w:footnote w:id="4">
    <w:p w14:paraId="1DF49C1C" w14:textId="77777777" w:rsidR="0005036F" w:rsidRPr="00021A74" w:rsidRDefault="0005036F" w:rsidP="0005036F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Pr="00021A74">
        <w:t>New Zealand Gazette 28 January 1999, No. 563, page 202.</w:t>
      </w:r>
    </w:p>
  </w:footnote>
  <w:footnote w:id="5">
    <w:p w14:paraId="4C15AA4C" w14:textId="77777777" w:rsidR="0005036F" w:rsidRDefault="0005036F" w:rsidP="0005036F">
      <w:pPr>
        <w:pStyle w:val="FootnoteText"/>
      </w:pPr>
      <w:r>
        <w:rPr>
          <w:rStyle w:val="FootnoteReference"/>
        </w:rPr>
        <w:footnoteRef/>
      </w:r>
      <w:r>
        <w:t xml:space="preserve"> New Zealand Gazette 24 July </w:t>
      </w:r>
      <w:r w:rsidRPr="00C87F69">
        <w:t>2024, No. 13594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5E0FD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B26A1"/>
    <w:multiLevelType w:val="hybridMultilevel"/>
    <w:tmpl w:val="DC52EEB0"/>
    <w:lvl w:ilvl="0" w:tplc="355EC1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A6B54"/>
    <w:multiLevelType w:val="hybridMultilevel"/>
    <w:tmpl w:val="B0BEEA46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5418C"/>
    <w:multiLevelType w:val="hybridMultilevel"/>
    <w:tmpl w:val="145A00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6689"/>
    <w:multiLevelType w:val="singleLevel"/>
    <w:tmpl w:val="D4FC72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7" w15:restartNumberingAfterBreak="0">
    <w:nsid w:val="172A4BA3"/>
    <w:multiLevelType w:val="hybridMultilevel"/>
    <w:tmpl w:val="435ED9D6"/>
    <w:lvl w:ilvl="0" w:tplc="555652A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A001B7"/>
    <w:multiLevelType w:val="hybridMultilevel"/>
    <w:tmpl w:val="FD86A2E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2EF71A9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F48"/>
    <w:multiLevelType w:val="hybridMultilevel"/>
    <w:tmpl w:val="DC52EEB0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D6297"/>
    <w:multiLevelType w:val="hybridMultilevel"/>
    <w:tmpl w:val="DC52EEB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7342ED"/>
    <w:multiLevelType w:val="hybridMultilevel"/>
    <w:tmpl w:val="87FE974A"/>
    <w:lvl w:ilvl="0" w:tplc="1F3226F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225D2E"/>
    <w:multiLevelType w:val="hybridMultilevel"/>
    <w:tmpl w:val="145A00B6"/>
    <w:lvl w:ilvl="0" w:tplc="53BE1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1DA2"/>
    <w:multiLevelType w:val="hybridMultilevel"/>
    <w:tmpl w:val="B0BEEA46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56645B"/>
    <w:multiLevelType w:val="hybridMultilevel"/>
    <w:tmpl w:val="244CBC50"/>
    <w:lvl w:ilvl="0" w:tplc="F5E02CC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37B7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B51BF"/>
    <w:multiLevelType w:val="hybridMultilevel"/>
    <w:tmpl w:val="B0BEEA46"/>
    <w:lvl w:ilvl="0" w:tplc="FC6A1B14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844FB"/>
    <w:multiLevelType w:val="hybridMultilevel"/>
    <w:tmpl w:val="145A00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9911">
    <w:abstractNumId w:val="13"/>
  </w:num>
  <w:num w:numId="2" w16cid:durableId="10642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142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641038">
    <w:abstractNumId w:val="8"/>
  </w:num>
  <w:num w:numId="5" w16cid:durableId="81991909">
    <w:abstractNumId w:val="1"/>
  </w:num>
  <w:num w:numId="6" w16cid:durableId="1401749626">
    <w:abstractNumId w:val="0"/>
  </w:num>
  <w:num w:numId="7" w16cid:durableId="1753698490">
    <w:abstractNumId w:val="19"/>
  </w:num>
  <w:num w:numId="8" w16cid:durableId="106702438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111799">
    <w:abstractNumId w:val="1"/>
  </w:num>
  <w:num w:numId="10" w16cid:durableId="516504452">
    <w:abstractNumId w:val="5"/>
  </w:num>
  <w:num w:numId="11" w16cid:durableId="1049382607">
    <w:abstractNumId w:val="6"/>
  </w:num>
  <w:num w:numId="12" w16cid:durableId="2050297542">
    <w:abstractNumId w:val="9"/>
  </w:num>
  <w:num w:numId="13" w16cid:durableId="119300605">
    <w:abstractNumId w:val="14"/>
  </w:num>
  <w:num w:numId="14" w16cid:durableId="735863781">
    <w:abstractNumId w:val="20"/>
  </w:num>
  <w:num w:numId="15" w16cid:durableId="1323772572">
    <w:abstractNumId w:val="10"/>
  </w:num>
  <w:num w:numId="16" w16cid:durableId="1695226731">
    <w:abstractNumId w:val="2"/>
  </w:num>
  <w:num w:numId="17" w16cid:durableId="1514110496">
    <w:abstractNumId w:val="21"/>
  </w:num>
  <w:num w:numId="18" w16cid:durableId="1036853740">
    <w:abstractNumId w:val="11"/>
  </w:num>
  <w:num w:numId="19" w16cid:durableId="1296984448">
    <w:abstractNumId w:val="3"/>
  </w:num>
  <w:num w:numId="20" w16cid:durableId="1732072160">
    <w:abstractNumId w:val="7"/>
  </w:num>
  <w:num w:numId="21" w16cid:durableId="587543846">
    <w:abstractNumId w:val="15"/>
  </w:num>
  <w:num w:numId="22" w16cid:durableId="1800760703">
    <w:abstractNumId w:val="4"/>
  </w:num>
  <w:num w:numId="23" w16cid:durableId="1012226350">
    <w:abstractNumId w:val="17"/>
  </w:num>
  <w:num w:numId="24" w16cid:durableId="2039698160">
    <w:abstractNumId w:val="12"/>
  </w:num>
  <w:num w:numId="25" w16cid:durableId="2099714958">
    <w:abstractNumId w:val="16"/>
  </w:num>
  <w:num w:numId="26" w16cid:durableId="268388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2F"/>
    <w:rsid w:val="000008EE"/>
    <w:rsid w:val="000077BC"/>
    <w:rsid w:val="0001099A"/>
    <w:rsid w:val="00021A74"/>
    <w:rsid w:val="000266F2"/>
    <w:rsid w:val="000447FD"/>
    <w:rsid w:val="0005036F"/>
    <w:rsid w:val="00063B18"/>
    <w:rsid w:val="00073F17"/>
    <w:rsid w:val="00083A68"/>
    <w:rsid w:val="000855EA"/>
    <w:rsid w:val="00097676"/>
    <w:rsid w:val="000A06F5"/>
    <w:rsid w:val="000A3885"/>
    <w:rsid w:val="000A5944"/>
    <w:rsid w:val="000D6D14"/>
    <w:rsid w:val="000E3069"/>
    <w:rsid w:val="000E317D"/>
    <w:rsid w:val="000F321A"/>
    <w:rsid w:val="000F671B"/>
    <w:rsid w:val="001018FF"/>
    <w:rsid w:val="001152D4"/>
    <w:rsid w:val="00115710"/>
    <w:rsid w:val="001171EA"/>
    <w:rsid w:val="00126857"/>
    <w:rsid w:val="00127D81"/>
    <w:rsid w:val="00144A7B"/>
    <w:rsid w:val="00164046"/>
    <w:rsid w:val="001740BE"/>
    <w:rsid w:val="00175795"/>
    <w:rsid w:val="001828A6"/>
    <w:rsid w:val="001A3B4F"/>
    <w:rsid w:val="001A6AE0"/>
    <w:rsid w:val="001A74EB"/>
    <w:rsid w:val="001B0493"/>
    <w:rsid w:val="001C1F83"/>
    <w:rsid w:val="001C765C"/>
    <w:rsid w:val="001D0EFF"/>
    <w:rsid w:val="001D0F22"/>
    <w:rsid w:val="001D115B"/>
    <w:rsid w:val="001E34E3"/>
    <w:rsid w:val="001E51BA"/>
    <w:rsid w:val="001F099B"/>
    <w:rsid w:val="00203008"/>
    <w:rsid w:val="0020599A"/>
    <w:rsid w:val="00213B09"/>
    <w:rsid w:val="00217C2A"/>
    <w:rsid w:val="002223D2"/>
    <w:rsid w:val="00224F14"/>
    <w:rsid w:val="00225912"/>
    <w:rsid w:val="00233C02"/>
    <w:rsid w:val="0024090C"/>
    <w:rsid w:val="00256D11"/>
    <w:rsid w:val="0025706D"/>
    <w:rsid w:val="00270DDF"/>
    <w:rsid w:val="00270EA9"/>
    <w:rsid w:val="0027126B"/>
    <w:rsid w:val="00284714"/>
    <w:rsid w:val="002917AB"/>
    <w:rsid w:val="002940B4"/>
    <w:rsid w:val="002A3BC3"/>
    <w:rsid w:val="002B26E1"/>
    <w:rsid w:val="002B67A2"/>
    <w:rsid w:val="002B68D4"/>
    <w:rsid w:val="002B6FCC"/>
    <w:rsid w:val="002C2BD7"/>
    <w:rsid w:val="002D0123"/>
    <w:rsid w:val="002D03D7"/>
    <w:rsid w:val="002D2322"/>
    <w:rsid w:val="002F705F"/>
    <w:rsid w:val="00300933"/>
    <w:rsid w:val="00304C48"/>
    <w:rsid w:val="00307455"/>
    <w:rsid w:val="0031167B"/>
    <w:rsid w:val="00314849"/>
    <w:rsid w:val="00314C9F"/>
    <w:rsid w:val="003220C5"/>
    <w:rsid w:val="00324306"/>
    <w:rsid w:val="00333719"/>
    <w:rsid w:val="00346350"/>
    <w:rsid w:val="0035133C"/>
    <w:rsid w:val="00351558"/>
    <w:rsid w:val="003542E1"/>
    <w:rsid w:val="003632D2"/>
    <w:rsid w:val="00371EB4"/>
    <w:rsid w:val="0037701D"/>
    <w:rsid w:val="00380C97"/>
    <w:rsid w:val="0038537A"/>
    <w:rsid w:val="00391328"/>
    <w:rsid w:val="0039468B"/>
    <w:rsid w:val="003959B0"/>
    <w:rsid w:val="003A2C15"/>
    <w:rsid w:val="003A627F"/>
    <w:rsid w:val="003C070F"/>
    <w:rsid w:val="003C191A"/>
    <w:rsid w:val="003C64F7"/>
    <w:rsid w:val="003C7A89"/>
    <w:rsid w:val="003D00D5"/>
    <w:rsid w:val="003D7975"/>
    <w:rsid w:val="003E5584"/>
    <w:rsid w:val="00403279"/>
    <w:rsid w:val="0043465A"/>
    <w:rsid w:val="004377C8"/>
    <w:rsid w:val="00437B3E"/>
    <w:rsid w:val="00453DC4"/>
    <w:rsid w:val="00460D42"/>
    <w:rsid w:val="00470840"/>
    <w:rsid w:val="00477BD2"/>
    <w:rsid w:val="004B0186"/>
    <w:rsid w:val="004B44CD"/>
    <w:rsid w:val="004B5566"/>
    <w:rsid w:val="004C16AB"/>
    <w:rsid w:val="004C5EF6"/>
    <w:rsid w:val="004C7BFA"/>
    <w:rsid w:val="004D6052"/>
    <w:rsid w:val="004D7E09"/>
    <w:rsid w:val="004E43F9"/>
    <w:rsid w:val="005015C4"/>
    <w:rsid w:val="00505EC7"/>
    <w:rsid w:val="005076D1"/>
    <w:rsid w:val="00513AAD"/>
    <w:rsid w:val="005140F2"/>
    <w:rsid w:val="0051461A"/>
    <w:rsid w:val="00551C52"/>
    <w:rsid w:val="00552989"/>
    <w:rsid w:val="00565F17"/>
    <w:rsid w:val="00566213"/>
    <w:rsid w:val="00567EB3"/>
    <w:rsid w:val="00574B63"/>
    <w:rsid w:val="00576F12"/>
    <w:rsid w:val="0058421B"/>
    <w:rsid w:val="00591E56"/>
    <w:rsid w:val="00596D70"/>
    <w:rsid w:val="005A1E63"/>
    <w:rsid w:val="005B4FF5"/>
    <w:rsid w:val="005B75D6"/>
    <w:rsid w:val="005C03D5"/>
    <w:rsid w:val="005C1EE4"/>
    <w:rsid w:val="005D103F"/>
    <w:rsid w:val="005E0A9C"/>
    <w:rsid w:val="005E26B0"/>
    <w:rsid w:val="005E5D43"/>
    <w:rsid w:val="005E632F"/>
    <w:rsid w:val="006049A0"/>
    <w:rsid w:val="00604D4B"/>
    <w:rsid w:val="0061687B"/>
    <w:rsid w:val="00627EFE"/>
    <w:rsid w:val="006431AF"/>
    <w:rsid w:val="00646788"/>
    <w:rsid w:val="00650270"/>
    <w:rsid w:val="00653146"/>
    <w:rsid w:val="006668FC"/>
    <w:rsid w:val="00672FEE"/>
    <w:rsid w:val="00685BAC"/>
    <w:rsid w:val="0069538E"/>
    <w:rsid w:val="006A4F99"/>
    <w:rsid w:val="006A7E39"/>
    <w:rsid w:val="006B1550"/>
    <w:rsid w:val="006B459D"/>
    <w:rsid w:val="006C0188"/>
    <w:rsid w:val="006C66EF"/>
    <w:rsid w:val="006C7E0D"/>
    <w:rsid w:val="006D2246"/>
    <w:rsid w:val="006D75BF"/>
    <w:rsid w:val="006E2AB8"/>
    <w:rsid w:val="006F3851"/>
    <w:rsid w:val="0070398F"/>
    <w:rsid w:val="00703CC7"/>
    <w:rsid w:val="0070475E"/>
    <w:rsid w:val="00707E0F"/>
    <w:rsid w:val="00710C9F"/>
    <w:rsid w:val="00713ACB"/>
    <w:rsid w:val="00730D4D"/>
    <w:rsid w:val="00731551"/>
    <w:rsid w:val="00734417"/>
    <w:rsid w:val="0074391D"/>
    <w:rsid w:val="00746783"/>
    <w:rsid w:val="00750837"/>
    <w:rsid w:val="007637B1"/>
    <w:rsid w:val="00764843"/>
    <w:rsid w:val="0076663B"/>
    <w:rsid w:val="00784602"/>
    <w:rsid w:val="00785C08"/>
    <w:rsid w:val="00790015"/>
    <w:rsid w:val="00796487"/>
    <w:rsid w:val="007B1208"/>
    <w:rsid w:val="007B175B"/>
    <w:rsid w:val="007C3B39"/>
    <w:rsid w:val="007C7BD8"/>
    <w:rsid w:val="007D0AE8"/>
    <w:rsid w:val="007D5988"/>
    <w:rsid w:val="007E6222"/>
    <w:rsid w:val="007F796E"/>
    <w:rsid w:val="00803E41"/>
    <w:rsid w:val="00804DB5"/>
    <w:rsid w:val="008055A2"/>
    <w:rsid w:val="00805E3F"/>
    <w:rsid w:val="00813682"/>
    <w:rsid w:val="00815C35"/>
    <w:rsid w:val="00822A62"/>
    <w:rsid w:val="008261B8"/>
    <w:rsid w:val="008510FA"/>
    <w:rsid w:val="00854ABD"/>
    <w:rsid w:val="00860E09"/>
    <w:rsid w:val="00871468"/>
    <w:rsid w:val="008765F9"/>
    <w:rsid w:val="00877C01"/>
    <w:rsid w:val="008802E2"/>
    <w:rsid w:val="00883855"/>
    <w:rsid w:val="00883B12"/>
    <w:rsid w:val="0088416F"/>
    <w:rsid w:val="008A5B8A"/>
    <w:rsid w:val="008B2145"/>
    <w:rsid w:val="008B796F"/>
    <w:rsid w:val="008D168D"/>
    <w:rsid w:val="008E7168"/>
    <w:rsid w:val="008F04B0"/>
    <w:rsid w:val="008F2E8E"/>
    <w:rsid w:val="00911007"/>
    <w:rsid w:val="009428DD"/>
    <w:rsid w:val="0094452C"/>
    <w:rsid w:val="00946001"/>
    <w:rsid w:val="00953D37"/>
    <w:rsid w:val="009616EE"/>
    <w:rsid w:val="009756A7"/>
    <w:rsid w:val="00982826"/>
    <w:rsid w:val="00987AAE"/>
    <w:rsid w:val="00997A6C"/>
    <w:rsid w:val="009A44E9"/>
    <w:rsid w:val="009A573B"/>
    <w:rsid w:val="009A62E8"/>
    <w:rsid w:val="009B3FCB"/>
    <w:rsid w:val="009D4904"/>
    <w:rsid w:val="009E20E7"/>
    <w:rsid w:val="009E768B"/>
    <w:rsid w:val="009E7A20"/>
    <w:rsid w:val="00A0003A"/>
    <w:rsid w:val="00A06B87"/>
    <w:rsid w:val="00A13F71"/>
    <w:rsid w:val="00A16098"/>
    <w:rsid w:val="00A23022"/>
    <w:rsid w:val="00A36585"/>
    <w:rsid w:val="00A561D4"/>
    <w:rsid w:val="00A63545"/>
    <w:rsid w:val="00A65E66"/>
    <w:rsid w:val="00A71C61"/>
    <w:rsid w:val="00A73101"/>
    <w:rsid w:val="00A96E9A"/>
    <w:rsid w:val="00AA17A1"/>
    <w:rsid w:val="00AB0171"/>
    <w:rsid w:val="00AC6B23"/>
    <w:rsid w:val="00AD071B"/>
    <w:rsid w:val="00AD7BE4"/>
    <w:rsid w:val="00AE4176"/>
    <w:rsid w:val="00AE6AD1"/>
    <w:rsid w:val="00AF03C2"/>
    <w:rsid w:val="00AF0A12"/>
    <w:rsid w:val="00AF30E6"/>
    <w:rsid w:val="00AF6345"/>
    <w:rsid w:val="00B02FB0"/>
    <w:rsid w:val="00B05CAE"/>
    <w:rsid w:val="00B10709"/>
    <w:rsid w:val="00B12E67"/>
    <w:rsid w:val="00B2228D"/>
    <w:rsid w:val="00B230F4"/>
    <w:rsid w:val="00B25199"/>
    <w:rsid w:val="00B31900"/>
    <w:rsid w:val="00B321FA"/>
    <w:rsid w:val="00B333B7"/>
    <w:rsid w:val="00B34565"/>
    <w:rsid w:val="00B37303"/>
    <w:rsid w:val="00B40295"/>
    <w:rsid w:val="00B62ED7"/>
    <w:rsid w:val="00B802BB"/>
    <w:rsid w:val="00BA3E7C"/>
    <w:rsid w:val="00BA6621"/>
    <w:rsid w:val="00BB23E4"/>
    <w:rsid w:val="00BC39DD"/>
    <w:rsid w:val="00BC3C10"/>
    <w:rsid w:val="00BD2CB3"/>
    <w:rsid w:val="00BD40E7"/>
    <w:rsid w:val="00BF30FF"/>
    <w:rsid w:val="00C04281"/>
    <w:rsid w:val="00C27851"/>
    <w:rsid w:val="00C311BE"/>
    <w:rsid w:val="00C3121A"/>
    <w:rsid w:val="00C46152"/>
    <w:rsid w:val="00C500F1"/>
    <w:rsid w:val="00C71622"/>
    <w:rsid w:val="00C7263E"/>
    <w:rsid w:val="00C8398C"/>
    <w:rsid w:val="00C87F69"/>
    <w:rsid w:val="00C9025A"/>
    <w:rsid w:val="00C922E2"/>
    <w:rsid w:val="00C9539C"/>
    <w:rsid w:val="00CB4B15"/>
    <w:rsid w:val="00CC1868"/>
    <w:rsid w:val="00CE295F"/>
    <w:rsid w:val="00CE6C9E"/>
    <w:rsid w:val="00CF41CE"/>
    <w:rsid w:val="00D03BE6"/>
    <w:rsid w:val="00D133F2"/>
    <w:rsid w:val="00D20853"/>
    <w:rsid w:val="00D21C4B"/>
    <w:rsid w:val="00D42157"/>
    <w:rsid w:val="00D453EC"/>
    <w:rsid w:val="00D50848"/>
    <w:rsid w:val="00D5118F"/>
    <w:rsid w:val="00D55F80"/>
    <w:rsid w:val="00D577C2"/>
    <w:rsid w:val="00D60D98"/>
    <w:rsid w:val="00D956DA"/>
    <w:rsid w:val="00DB729D"/>
    <w:rsid w:val="00DD436F"/>
    <w:rsid w:val="00DD6A86"/>
    <w:rsid w:val="00DE702E"/>
    <w:rsid w:val="00DF32AB"/>
    <w:rsid w:val="00DF501D"/>
    <w:rsid w:val="00E00CED"/>
    <w:rsid w:val="00E12A74"/>
    <w:rsid w:val="00E33411"/>
    <w:rsid w:val="00E33D2E"/>
    <w:rsid w:val="00E6049F"/>
    <w:rsid w:val="00E650A8"/>
    <w:rsid w:val="00E66804"/>
    <w:rsid w:val="00E82B04"/>
    <w:rsid w:val="00E847C5"/>
    <w:rsid w:val="00E871D6"/>
    <w:rsid w:val="00EC59BC"/>
    <w:rsid w:val="00EE77F3"/>
    <w:rsid w:val="00EF1788"/>
    <w:rsid w:val="00EF3C02"/>
    <w:rsid w:val="00F03CFF"/>
    <w:rsid w:val="00F10CB8"/>
    <w:rsid w:val="00F17CA0"/>
    <w:rsid w:val="00F27D7B"/>
    <w:rsid w:val="00F31D06"/>
    <w:rsid w:val="00F4068C"/>
    <w:rsid w:val="00F46E54"/>
    <w:rsid w:val="00F47C26"/>
    <w:rsid w:val="00F53C26"/>
    <w:rsid w:val="00F53E37"/>
    <w:rsid w:val="00F66F2C"/>
    <w:rsid w:val="00F768ED"/>
    <w:rsid w:val="00F8297D"/>
    <w:rsid w:val="00F855FD"/>
    <w:rsid w:val="00F91861"/>
    <w:rsid w:val="00F96E1A"/>
    <w:rsid w:val="00FA023C"/>
    <w:rsid w:val="00FA42CD"/>
    <w:rsid w:val="00FB2E9C"/>
    <w:rsid w:val="00FC4E5D"/>
    <w:rsid w:val="00FC5BF6"/>
    <w:rsid w:val="00FD161D"/>
    <w:rsid w:val="00FE172F"/>
    <w:rsid w:val="00FE65D7"/>
    <w:rsid w:val="00FF0695"/>
    <w:rsid w:val="00FF50B9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32CA9"/>
  <w15:docId w15:val="{1F4C31A1-0832-4872-B509-0609582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uiPriority="0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2A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5">
    <w:name w:val="List 5"/>
    <w:basedOn w:val="Normal"/>
    <w:uiPriority w:val="99"/>
    <w:semiHidden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TOC1">
    <w:name w:val="toc 1"/>
    <w:basedOn w:val="Normal"/>
    <w:next w:val="Normal"/>
    <w:uiPriority w:val="39"/>
    <w:pPr>
      <w:ind w:left="567" w:hanging="567"/>
      <w:jc w:val="both"/>
    </w:pPr>
    <w:rPr>
      <w:sz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40" w:after="40"/>
    </w:pPr>
    <w:rPr>
      <w:b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40" w:after="40"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styleId="ListBullet">
    <w:name w:val="List Bullet"/>
    <w:aliases w:val="List Bullet Char1,List Bullet Char Char"/>
    <w:basedOn w:val="Normal"/>
    <w:link w:val="ListBulletChar"/>
    <w:autoRedefine/>
    <w:pPr>
      <w:tabs>
        <w:tab w:val="num" w:pos="360"/>
      </w:tabs>
      <w:ind w:left="360" w:hanging="360"/>
    </w:pPr>
  </w:style>
  <w:style w:type="character" w:customStyle="1" w:styleId="ListBulletChar">
    <w:name w:val="List Bullet Char"/>
    <w:aliases w:val="List Bullet Char1 Char,List Bullet Char Char Char"/>
    <w:link w:val="ListBullet"/>
    <w:rPr>
      <w:rFonts w:ascii="Times New Roman" w:eastAsia="Times New Roman" w:hAnsi="Times New Roman" w:cs="Times New Roman"/>
      <w:sz w:val="23"/>
      <w:szCs w:val="20"/>
    </w:rPr>
  </w:style>
  <w:style w:type="paragraph" w:customStyle="1" w:styleId="StyleHeading1JustifiedAfter2pt">
    <w:name w:val="Style Heading 1 + Justified After:  2 pt"/>
    <w:basedOn w:val="Heading1"/>
    <w:pPr>
      <w:keepLines w:val="0"/>
      <w:tabs>
        <w:tab w:val="num" w:pos="567"/>
      </w:tabs>
      <w:spacing w:before="240" w:after="40"/>
      <w:ind w:left="567" w:hanging="567"/>
    </w:pPr>
    <w:rPr>
      <w:rFonts w:ascii="Times New Roman Bold" w:eastAsia="Times New Roman" w:hAnsi="Times New Roman Bold" w:cs="Times New Roman"/>
      <w:kern w:val="28"/>
      <w:sz w:val="23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3"/>
      <w:szCs w:val="20"/>
    </w:rPr>
  </w:style>
  <w:style w:type="character" w:customStyle="1" w:styleId="label">
    <w:name w:val="label"/>
    <w:basedOn w:val="DefaultParagraphFont"/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insertwords">
    <w:name w:val="insertwords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Normal"/>
    <w:rsid w:val="001E34E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tyle1">
    <w:name w:val="Style1"/>
    <w:basedOn w:val="Normal"/>
    <w:rsid w:val="001E34E3"/>
    <w:pPr>
      <w:spacing w:after="120"/>
    </w:pPr>
    <w:rPr>
      <w:b/>
    </w:rPr>
  </w:style>
  <w:style w:type="paragraph" w:styleId="Revision">
    <w:name w:val="Revision"/>
    <w:hidden/>
    <w:uiPriority w:val="99"/>
    <w:semiHidden/>
    <w:rsid w:val="004D7E0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23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0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A5C1-A2F4-4006-BF41-0DD9B741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4628</CharactersWithSpaces>
  <SharedDoc>false</SharedDoc>
  <HLinks>
    <vt:vector size="36" baseType="variant">
      <vt:variant>
        <vt:i4>1114167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_Toc126755566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_Toc126755566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_Toc126755565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_Toc126755564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_Toc126755563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_Toc126755562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Meera Patel</dc:creator>
  <cp:lastModifiedBy>Daniel Norman</cp:lastModifiedBy>
  <cp:revision>3</cp:revision>
  <cp:lastPrinted>2023-02-12T20:30:00Z</cp:lastPrinted>
  <dcterms:created xsi:type="dcterms:W3CDTF">2025-03-26T23:09:00Z</dcterms:created>
  <dcterms:modified xsi:type="dcterms:W3CDTF">2025-05-20T00:53:00Z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A12339022</vt:lpwstr>
  </property>
  <property fmtid="{D5CDD505-2E9C-101B-9397-08002B2CF9AE}" pid="4" name="Objective-Title">
    <vt:lpwstr>20202102 draft Instrument amending Ministerial Direction and Welfare programme</vt:lpwstr>
  </property>
  <property fmtid="{D5CDD505-2E9C-101B-9397-08002B2CF9AE}" pid="5" name="Objective-Comment">
    <vt:lpwstr/>
  </property>
  <property fmtid="{D5CDD505-2E9C-101B-9397-08002B2CF9AE}" pid="6" name="Objective-CreationStamp">
    <vt:filetime>2020-02-20T22:59:40Z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2020-02-21T01:40:39Z</vt:filetime>
  </property>
  <property fmtid="{D5CDD505-2E9C-101B-9397-08002B2CF9AE}" pid="10" name="Objective-ModificationStamp">
    <vt:filetime>2020-02-21T01:40:39Z</vt:filetime>
  </property>
  <property fmtid="{D5CDD505-2E9C-101B-9397-08002B2CF9AE}" pid="11" name="Objective-Owner">
    <vt:lpwstr>Ella Bryant</vt:lpwstr>
  </property>
  <property fmtid="{D5CDD505-2E9C-101B-9397-08002B2CF9AE}" pid="12" name="Objective-Path">
    <vt:lpwstr>Global Folder:MSD INFORMATION REPOSITORY:Governance:Legal:Advice - Legislative Management:AGA:2020 AGA (Annual General Adjustment):Amendments to Ministerial Direction and Welfare Programmes:</vt:lpwstr>
  </property>
  <property fmtid="{D5CDD505-2E9C-101B-9397-08002B2CF9AE}" pid="13" name="Objective-Parent">
    <vt:lpwstr>Amendments to Ministerial Direction and Welfare Programmes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GO/LE/07/09/19-30299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Objective-Client Number [system]">
    <vt:lpwstr>000-000-000</vt:lpwstr>
  </property>
  <property fmtid="{D5CDD505-2E9C-101B-9397-08002B2CF9AE}" pid="24" name="Objective-Client Name [system]">
    <vt:lpwstr>No Client Name</vt:lpwstr>
  </property>
  <property fmtid="{D5CDD505-2E9C-101B-9397-08002B2CF9AE}" pid="25" name="MSIP_Label_f43e46a9-9901-46e9-bfae-bb6189d4cb66_Enabled">
    <vt:lpwstr>true</vt:lpwstr>
  </property>
  <property fmtid="{D5CDD505-2E9C-101B-9397-08002B2CF9AE}" pid="26" name="MSIP_Label_f43e46a9-9901-46e9-bfae-bb6189d4cb66_SetDate">
    <vt:lpwstr>2024-02-14T03:35:15Z</vt:lpwstr>
  </property>
  <property fmtid="{D5CDD505-2E9C-101B-9397-08002B2CF9AE}" pid="27" name="MSIP_Label_f43e46a9-9901-46e9-bfae-bb6189d4cb66_Method">
    <vt:lpwstr>Standard</vt:lpwstr>
  </property>
  <property fmtid="{D5CDD505-2E9C-101B-9397-08002B2CF9AE}" pid="28" name="MSIP_Label_f43e46a9-9901-46e9-bfae-bb6189d4cb66_Name">
    <vt:lpwstr>In-confidence</vt:lpwstr>
  </property>
  <property fmtid="{D5CDD505-2E9C-101B-9397-08002B2CF9AE}" pid="29" name="MSIP_Label_f43e46a9-9901-46e9-bfae-bb6189d4cb66_SiteId">
    <vt:lpwstr>e40c4f52-99bd-4d4f-bf7e-d001a2ca6556</vt:lpwstr>
  </property>
  <property fmtid="{D5CDD505-2E9C-101B-9397-08002B2CF9AE}" pid="30" name="MSIP_Label_f43e46a9-9901-46e9-bfae-bb6189d4cb66_ActionId">
    <vt:lpwstr>6ea77708-63b8-4f4d-a2c0-1a4d74244e1b</vt:lpwstr>
  </property>
  <property fmtid="{D5CDD505-2E9C-101B-9397-08002B2CF9AE}" pid="31" name="MSIP_Label_f43e46a9-9901-46e9-bfae-bb6189d4cb66_ContentBits">
    <vt:lpwstr>1</vt:lpwstr>
  </property>
</Properties>
</file>