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5a6ab94ee694df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C1" w:rsidRPr="00F62521" w:rsidRDefault="00E63BC1" w:rsidP="00B5357A"/>
    <w:p w:rsidR="00E63BC1" w:rsidRPr="00F62521" w:rsidRDefault="00E63BC1" w:rsidP="003B7936">
      <w:pPr>
        <w:tabs>
          <w:tab w:val="left" w:pos="2880"/>
        </w:tabs>
        <w:spacing w:after="240"/>
        <w:rPr>
          <w:color w:val="808080"/>
          <w:sz w:val="48"/>
          <w:szCs w:val="48"/>
        </w:rPr>
      </w:pPr>
      <w:r w:rsidRPr="00F62521">
        <w:rPr>
          <w:noProof/>
          <w:lang w:eastAsia="en-NZ"/>
        </w:rPr>
        <w:drawing>
          <wp:anchor distT="0" distB="0" distL="114300" distR="114300" simplePos="0" relativeHeight="251659264" behindDoc="0" locked="0" layoutInCell="1" allowOverlap="1" wp14:anchorId="33D4B7F0" wp14:editId="02A13660">
            <wp:simplePos x="0" y="0"/>
            <wp:positionH relativeFrom="margin">
              <wp:posOffset>3388360</wp:posOffset>
            </wp:positionH>
            <wp:positionV relativeFrom="margin">
              <wp:posOffset>-200660</wp:posOffset>
            </wp:positionV>
            <wp:extent cx="222885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1519" b="21519"/>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62521">
        <w:rPr>
          <w:color w:val="808080"/>
          <w:sz w:val="48"/>
          <w:szCs w:val="48"/>
        </w:rPr>
        <w:t>position</w:t>
      </w:r>
      <w:proofErr w:type="gramEnd"/>
      <w:r w:rsidRPr="00F62521">
        <w:rPr>
          <w:color w:val="808080"/>
          <w:sz w:val="48"/>
          <w:szCs w:val="48"/>
        </w:rPr>
        <w:t xml:space="preserve"> description</w:t>
      </w:r>
    </w:p>
    <w:tbl>
      <w:tblPr>
        <w:tblW w:w="8931" w:type="dxa"/>
        <w:tblInd w:w="108" w:type="dxa"/>
        <w:tblBorders>
          <w:bottom w:val="single" w:sz="8" w:space="0" w:color="auto"/>
        </w:tblBorders>
        <w:tblCellMar>
          <w:top w:w="57" w:type="dxa"/>
          <w:bottom w:w="57" w:type="dxa"/>
        </w:tblCellMar>
        <w:tblLook w:val="04A0" w:firstRow="1" w:lastRow="0" w:firstColumn="1" w:lastColumn="0" w:noHBand="0" w:noVBand="1"/>
      </w:tblPr>
      <w:tblGrid>
        <w:gridCol w:w="3119"/>
        <w:gridCol w:w="5812"/>
      </w:tblGrid>
      <w:tr w:rsidR="00E63BC1" w:rsidRPr="00F62521" w:rsidTr="00C152B6">
        <w:tc>
          <w:tcPr>
            <w:tcW w:w="3119" w:type="dxa"/>
            <w:shd w:val="clear" w:color="auto" w:fill="auto"/>
          </w:tcPr>
          <w:p w:rsidR="00E63BC1" w:rsidRPr="00F62521" w:rsidRDefault="00E63BC1" w:rsidP="00C152B6">
            <w:pPr>
              <w:spacing w:before="0" w:after="40"/>
              <w:jc w:val="both"/>
              <w:rPr>
                <w:b/>
              </w:rPr>
            </w:pPr>
            <w:r w:rsidRPr="00F62521">
              <w:rPr>
                <w:b/>
              </w:rPr>
              <w:t>Position:</w:t>
            </w:r>
          </w:p>
        </w:tc>
        <w:tc>
          <w:tcPr>
            <w:tcW w:w="5812" w:type="dxa"/>
            <w:shd w:val="clear" w:color="auto" w:fill="auto"/>
          </w:tcPr>
          <w:p w:rsidR="00E63BC1" w:rsidRPr="00F62521" w:rsidRDefault="00F62521" w:rsidP="00C152B6">
            <w:pPr>
              <w:spacing w:before="0" w:after="40"/>
              <w:jc w:val="both"/>
            </w:pPr>
            <w:r w:rsidRPr="00F62521">
              <w:t>Regional Labour Market Advisor</w:t>
            </w:r>
          </w:p>
        </w:tc>
      </w:tr>
      <w:tr w:rsidR="00E63BC1" w:rsidRPr="00F62521" w:rsidTr="00C152B6">
        <w:tc>
          <w:tcPr>
            <w:tcW w:w="3119" w:type="dxa"/>
            <w:shd w:val="clear" w:color="auto" w:fill="auto"/>
          </w:tcPr>
          <w:p w:rsidR="00E63BC1" w:rsidRPr="00F62521" w:rsidRDefault="00E63BC1" w:rsidP="00C152B6">
            <w:pPr>
              <w:spacing w:before="0" w:after="40"/>
              <w:jc w:val="both"/>
              <w:rPr>
                <w:b/>
              </w:rPr>
            </w:pPr>
            <w:r w:rsidRPr="00F62521">
              <w:rPr>
                <w:b/>
              </w:rPr>
              <w:t>Location:</w:t>
            </w:r>
          </w:p>
        </w:tc>
        <w:tc>
          <w:tcPr>
            <w:tcW w:w="5812" w:type="dxa"/>
            <w:shd w:val="clear" w:color="auto" w:fill="auto"/>
          </w:tcPr>
          <w:p w:rsidR="00E63BC1" w:rsidRPr="00F62521" w:rsidRDefault="00F62521" w:rsidP="00C152B6">
            <w:pPr>
              <w:spacing w:before="0" w:after="40"/>
              <w:jc w:val="both"/>
            </w:pPr>
            <w:r w:rsidRPr="00F62521">
              <w:t>Regional Office</w:t>
            </w:r>
          </w:p>
        </w:tc>
      </w:tr>
      <w:tr w:rsidR="00E63BC1" w:rsidRPr="00F62521" w:rsidTr="00C152B6">
        <w:tc>
          <w:tcPr>
            <w:tcW w:w="3119" w:type="dxa"/>
            <w:shd w:val="clear" w:color="auto" w:fill="auto"/>
          </w:tcPr>
          <w:p w:rsidR="00E63BC1" w:rsidRPr="00F62521" w:rsidRDefault="00E63BC1" w:rsidP="00C152B6">
            <w:pPr>
              <w:spacing w:before="0" w:after="40"/>
              <w:jc w:val="both"/>
              <w:rPr>
                <w:b/>
              </w:rPr>
            </w:pPr>
            <w:r w:rsidRPr="00F62521">
              <w:rPr>
                <w:b/>
              </w:rPr>
              <w:t>Business Unit:</w:t>
            </w:r>
          </w:p>
        </w:tc>
        <w:tc>
          <w:tcPr>
            <w:tcW w:w="5812" w:type="dxa"/>
            <w:shd w:val="clear" w:color="auto" w:fill="auto"/>
          </w:tcPr>
          <w:p w:rsidR="00E63BC1" w:rsidRPr="00F62521" w:rsidRDefault="006258E6" w:rsidP="00C152B6">
            <w:pPr>
              <w:spacing w:before="0" w:after="40"/>
              <w:jc w:val="both"/>
            </w:pPr>
            <w:r w:rsidRPr="00F62521">
              <w:t>Regional Service Delivery</w:t>
            </w:r>
          </w:p>
        </w:tc>
      </w:tr>
      <w:tr w:rsidR="00E63BC1" w:rsidRPr="00F62521" w:rsidTr="00C152B6">
        <w:tc>
          <w:tcPr>
            <w:tcW w:w="3119" w:type="dxa"/>
            <w:shd w:val="clear" w:color="auto" w:fill="auto"/>
          </w:tcPr>
          <w:p w:rsidR="00E63BC1" w:rsidRPr="00F62521" w:rsidRDefault="00E63BC1" w:rsidP="00C152B6">
            <w:pPr>
              <w:spacing w:before="0" w:after="40"/>
              <w:jc w:val="both"/>
              <w:rPr>
                <w:b/>
              </w:rPr>
            </w:pPr>
            <w:r w:rsidRPr="00F62521">
              <w:rPr>
                <w:b/>
              </w:rPr>
              <w:t>Group:</w:t>
            </w:r>
          </w:p>
        </w:tc>
        <w:tc>
          <w:tcPr>
            <w:tcW w:w="5812" w:type="dxa"/>
            <w:shd w:val="clear" w:color="auto" w:fill="auto"/>
          </w:tcPr>
          <w:p w:rsidR="00E63BC1" w:rsidRPr="00F62521" w:rsidRDefault="003B7936" w:rsidP="00C152B6">
            <w:pPr>
              <w:spacing w:before="0" w:after="40"/>
              <w:jc w:val="both"/>
            </w:pPr>
            <w:r w:rsidRPr="00F62521">
              <w:t>Service Delivery</w:t>
            </w:r>
          </w:p>
        </w:tc>
      </w:tr>
      <w:tr w:rsidR="00E63BC1" w:rsidRPr="00F62521" w:rsidTr="00C152B6">
        <w:tc>
          <w:tcPr>
            <w:tcW w:w="3119" w:type="dxa"/>
            <w:shd w:val="clear" w:color="auto" w:fill="auto"/>
          </w:tcPr>
          <w:p w:rsidR="00E63BC1" w:rsidRPr="00F62521" w:rsidRDefault="00E63BC1" w:rsidP="00C152B6">
            <w:pPr>
              <w:spacing w:before="0" w:after="40"/>
              <w:rPr>
                <w:b/>
              </w:rPr>
            </w:pPr>
            <w:r w:rsidRPr="00F62521">
              <w:rPr>
                <w:b/>
              </w:rPr>
              <w:t>Reporting to:</w:t>
            </w:r>
          </w:p>
        </w:tc>
        <w:tc>
          <w:tcPr>
            <w:tcW w:w="5812" w:type="dxa"/>
            <w:shd w:val="clear" w:color="auto" w:fill="auto"/>
          </w:tcPr>
          <w:p w:rsidR="00E63BC1" w:rsidRPr="00F62521" w:rsidRDefault="00F62521" w:rsidP="00C152B6">
            <w:pPr>
              <w:spacing w:before="0" w:after="40"/>
            </w:pPr>
            <w:r w:rsidRPr="00F62521">
              <w:t>Regional Labour Market Manager</w:t>
            </w:r>
          </w:p>
        </w:tc>
      </w:tr>
      <w:tr w:rsidR="00E63BC1" w:rsidRPr="00F62521" w:rsidTr="00C152B6">
        <w:tc>
          <w:tcPr>
            <w:tcW w:w="3119" w:type="dxa"/>
            <w:shd w:val="clear" w:color="auto" w:fill="auto"/>
          </w:tcPr>
          <w:p w:rsidR="00E63BC1" w:rsidRPr="00F62521" w:rsidRDefault="00E63BC1" w:rsidP="00C152B6">
            <w:pPr>
              <w:spacing w:before="0" w:after="40"/>
              <w:rPr>
                <w:b/>
              </w:rPr>
            </w:pPr>
            <w:r w:rsidRPr="00F62521">
              <w:rPr>
                <w:b/>
              </w:rPr>
              <w:t>Issue Date:</w:t>
            </w:r>
          </w:p>
        </w:tc>
        <w:tc>
          <w:tcPr>
            <w:tcW w:w="5812" w:type="dxa"/>
            <w:shd w:val="clear" w:color="auto" w:fill="auto"/>
          </w:tcPr>
          <w:p w:rsidR="00E63BC1" w:rsidRPr="00F62521" w:rsidRDefault="009E3CCF" w:rsidP="00C152B6">
            <w:pPr>
              <w:spacing w:before="0" w:after="40"/>
            </w:pPr>
            <w:r w:rsidRPr="00F62521">
              <w:t>June</w:t>
            </w:r>
            <w:r w:rsidR="005558EB" w:rsidRPr="00F62521">
              <w:t xml:space="preserve"> 2015</w:t>
            </w:r>
          </w:p>
        </w:tc>
      </w:tr>
      <w:tr w:rsidR="00E63BC1" w:rsidRPr="00F62521" w:rsidTr="00C152B6">
        <w:tc>
          <w:tcPr>
            <w:tcW w:w="3119" w:type="dxa"/>
            <w:shd w:val="clear" w:color="auto" w:fill="auto"/>
          </w:tcPr>
          <w:p w:rsidR="00E63BC1" w:rsidRPr="00F62521" w:rsidRDefault="00E63BC1" w:rsidP="00C152B6">
            <w:pPr>
              <w:spacing w:before="0" w:after="40"/>
              <w:rPr>
                <w:b/>
              </w:rPr>
            </w:pPr>
            <w:r w:rsidRPr="00F62521">
              <w:rPr>
                <w:b/>
              </w:rPr>
              <w:t>Delegated Authority:</w:t>
            </w:r>
          </w:p>
        </w:tc>
        <w:tc>
          <w:tcPr>
            <w:tcW w:w="5812" w:type="dxa"/>
            <w:shd w:val="clear" w:color="auto" w:fill="auto"/>
          </w:tcPr>
          <w:p w:rsidR="00E63BC1" w:rsidRPr="00F62521" w:rsidRDefault="0090014C" w:rsidP="00C152B6">
            <w:pPr>
              <w:spacing w:before="0" w:after="40"/>
            </w:pPr>
            <w:r w:rsidRPr="00F62521">
              <w:t>Nil</w:t>
            </w:r>
          </w:p>
        </w:tc>
      </w:tr>
      <w:tr w:rsidR="00E63BC1" w:rsidRPr="00F62521" w:rsidTr="00C152B6">
        <w:tc>
          <w:tcPr>
            <w:tcW w:w="3119" w:type="dxa"/>
            <w:shd w:val="clear" w:color="auto" w:fill="auto"/>
          </w:tcPr>
          <w:p w:rsidR="00E63BC1" w:rsidRPr="00F62521" w:rsidRDefault="00E63BC1" w:rsidP="00C152B6">
            <w:pPr>
              <w:spacing w:before="0" w:after="40"/>
              <w:rPr>
                <w:b/>
              </w:rPr>
            </w:pPr>
            <w:r w:rsidRPr="00F62521">
              <w:rPr>
                <w:b/>
              </w:rPr>
              <w:t>Staff Responsibility:</w:t>
            </w:r>
          </w:p>
        </w:tc>
        <w:tc>
          <w:tcPr>
            <w:tcW w:w="5812" w:type="dxa"/>
            <w:shd w:val="clear" w:color="auto" w:fill="auto"/>
          </w:tcPr>
          <w:p w:rsidR="00E63BC1" w:rsidRPr="00F62521" w:rsidRDefault="00655A2B" w:rsidP="00C152B6">
            <w:pPr>
              <w:spacing w:before="0" w:after="40"/>
            </w:pPr>
            <w:r w:rsidRPr="00F62521">
              <w:t>N</w:t>
            </w:r>
            <w:r w:rsidR="0090014C" w:rsidRPr="00F62521">
              <w:t>il</w:t>
            </w:r>
          </w:p>
        </w:tc>
      </w:tr>
    </w:tbl>
    <w:p w:rsidR="00E63BC1" w:rsidRPr="00F62521" w:rsidRDefault="00E63BC1" w:rsidP="00E63BC1"/>
    <w:p w:rsidR="00E63BC1" w:rsidRPr="00F62521" w:rsidRDefault="00E63BC1" w:rsidP="00E63BC1">
      <w:pPr>
        <w:spacing w:after="60"/>
        <w:jc w:val="both"/>
        <w:rPr>
          <w:rFonts w:cs="Arial"/>
          <w:b/>
        </w:rPr>
      </w:pPr>
      <w:r w:rsidRPr="00F62521">
        <w:rPr>
          <w:rFonts w:cs="Arial"/>
          <w:b/>
        </w:rPr>
        <w:t xml:space="preserve">Our Role </w:t>
      </w:r>
    </w:p>
    <w:p w:rsidR="00E63BC1" w:rsidRPr="00F62521" w:rsidRDefault="00E63BC1" w:rsidP="00E63BC1">
      <w:pPr>
        <w:spacing w:after="120"/>
        <w:jc w:val="both"/>
        <w:rPr>
          <w:rFonts w:cs="Arial"/>
        </w:rPr>
      </w:pPr>
      <w:r w:rsidRPr="00F62521">
        <w:rPr>
          <w:rFonts w:cs="Arial"/>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E63BC1" w:rsidRPr="00F62521" w:rsidRDefault="00E63BC1" w:rsidP="00E63BC1">
      <w:pPr>
        <w:spacing w:after="120"/>
        <w:jc w:val="both"/>
        <w:rPr>
          <w:rFonts w:cs="Arial"/>
        </w:rPr>
      </w:pPr>
      <w:r w:rsidRPr="00F62521">
        <w:rPr>
          <w:rFonts w:cs="Arial"/>
        </w:rPr>
        <w:t xml:space="preserve">The Ministry provides policy advice, and delivers social services and assistance to children and young people, working age people, older people, and families, </w:t>
      </w:r>
      <w:proofErr w:type="spellStart"/>
      <w:r w:rsidRPr="00F62521">
        <w:rPr>
          <w:rFonts w:cs="Arial"/>
        </w:rPr>
        <w:t>wh</w:t>
      </w:r>
      <w:r w:rsidRPr="00F62521">
        <w:rPr>
          <w:rFonts w:ascii="Arial" w:hAnsi="Arial" w:cs="Arial"/>
        </w:rPr>
        <w:t>ā</w:t>
      </w:r>
      <w:r w:rsidRPr="00F62521">
        <w:rPr>
          <w:rFonts w:cs="Arial"/>
        </w:rPr>
        <w:t>nau</w:t>
      </w:r>
      <w:proofErr w:type="spellEnd"/>
      <w:r w:rsidRPr="00F62521">
        <w:rPr>
          <w:rFonts w:cs="Arial"/>
        </w:rPr>
        <w:t xml:space="preserve"> and communities. We work directly with New Zealanders of all ages to improve their social wellbeing.</w:t>
      </w:r>
    </w:p>
    <w:p w:rsidR="00E63BC1" w:rsidRPr="00F62521" w:rsidRDefault="00E63BC1" w:rsidP="00E63BC1">
      <w:pPr>
        <w:spacing w:after="120"/>
        <w:jc w:val="both"/>
        <w:rPr>
          <w:rFonts w:cs="Arial"/>
        </w:rPr>
      </w:pPr>
      <w:r w:rsidRPr="00F62521">
        <w:rPr>
          <w:rFonts w:cs="Arial"/>
        </w:rPr>
        <w:t xml:space="preserve">We serve over a million people, working out of more than 250 centres around the country.  It is likely that every New Zealander will come into contact with the Ministry at some point in their life.  </w:t>
      </w:r>
    </w:p>
    <w:p w:rsidR="00E63BC1" w:rsidRPr="00F62521" w:rsidRDefault="00E63BC1" w:rsidP="00E63BC1">
      <w:pPr>
        <w:spacing w:after="240"/>
        <w:jc w:val="both"/>
        <w:rPr>
          <w:rFonts w:cs="Arial"/>
        </w:rPr>
      </w:pPr>
      <w:r w:rsidRPr="00F62521">
        <w:rPr>
          <w:rFonts w:cs="Arial"/>
        </w:rPr>
        <w:t xml:space="preserve">Our work, together with our social sector partners, is essential to achieving a sustainable and prosperous future, where all New Zealanders are able to take responsibility for </w:t>
      </w:r>
      <w:proofErr w:type="gramStart"/>
      <w:r w:rsidRPr="00F62521">
        <w:rPr>
          <w:rFonts w:cs="Arial"/>
        </w:rPr>
        <w:t>themselves</w:t>
      </w:r>
      <w:proofErr w:type="gramEnd"/>
      <w:r w:rsidRPr="00F62521">
        <w:rPr>
          <w:rFonts w:cs="Arial"/>
        </w:rPr>
        <w:t xml:space="preserve">, be successful in their lives and participate in their communities.  </w:t>
      </w:r>
      <w:r w:rsidRPr="00F62521">
        <w:rPr>
          <w:szCs w:val="16"/>
        </w:rPr>
        <w:t xml:space="preserve"> </w:t>
      </w:r>
    </w:p>
    <w:p w:rsidR="00E63BC1" w:rsidRPr="00F62521" w:rsidRDefault="00E63BC1" w:rsidP="00E63BC1">
      <w:pPr>
        <w:jc w:val="both"/>
        <w:outlineLvl w:val="3"/>
        <w:rPr>
          <w:rFonts w:cs="Arial"/>
          <w:b/>
          <w:bCs/>
          <w:color w:val="000000"/>
          <w:lang w:val="en" w:eastAsia="en-NZ"/>
        </w:rPr>
      </w:pPr>
      <w:r w:rsidRPr="00F62521">
        <w:rPr>
          <w:rFonts w:cs="Arial"/>
          <w:b/>
          <w:bCs/>
          <w:color w:val="000000"/>
          <w:lang w:val="en" w:eastAsia="en-NZ"/>
        </w:rPr>
        <w:t>Our Purpose</w:t>
      </w:r>
    </w:p>
    <w:p w:rsidR="00E63BC1" w:rsidRPr="00F62521" w:rsidRDefault="00E63BC1" w:rsidP="00E63BC1">
      <w:pPr>
        <w:jc w:val="both"/>
        <w:rPr>
          <w:rFonts w:cs="Arial"/>
          <w:lang w:val="en" w:eastAsia="en-NZ"/>
        </w:rPr>
      </w:pPr>
      <w:r w:rsidRPr="00F62521">
        <w:rPr>
          <w:rFonts w:cs="Arial"/>
          <w:lang w:val="en" w:eastAsia="en-NZ"/>
        </w:rPr>
        <w:t>We help New Zealanders to help themselves to be safe, strong and independent.</w:t>
      </w:r>
    </w:p>
    <w:p w:rsidR="00E63BC1" w:rsidRPr="00F62521" w:rsidRDefault="00E63BC1" w:rsidP="00E63BC1">
      <w:pPr>
        <w:spacing w:before="0"/>
        <w:jc w:val="both"/>
        <w:rPr>
          <w:rFonts w:cs="Arial"/>
          <w:lang w:val="en" w:eastAsia="en-NZ"/>
        </w:rPr>
      </w:pPr>
      <w:proofErr w:type="spellStart"/>
      <w:proofErr w:type="gramStart"/>
      <w:r w:rsidRPr="00F62521">
        <w:rPr>
          <w:rFonts w:cs="Arial"/>
          <w:lang w:val="en" w:eastAsia="en-NZ"/>
        </w:rPr>
        <w:t>Ko</w:t>
      </w:r>
      <w:proofErr w:type="spellEnd"/>
      <w:proofErr w:type="gramEnd"/>
      <w:r w:rsidRPr="00F62521">
        <w:rPr>
          <w:rFonts w:cs="Arial"/>
          <w:lang w:val="en" w:eastAsia="en-NZ"/>
        </w:rPr>
        <w:t xml:space="preserve"> ta </w:t>
      </w:r>
      <w:proofErr w:type="spellStart"/>
      <w:r w:rsidRPr="00F62521">
        <w:rPr>
          <w:rFonts w:cs="Arial"/>
          <w:lang w:val="en" w:eastAsia="en-NZ"/>
        </w:rPr>
        <w:t>m</w:t>
      </w:r>
      <w:r w:rsidRPr="00F62521">
        <w:rPr>
          <w:rFonts w:ascii="Arial" w:hAnsi="Arial" w:cs="Arial"/>
          <w:lang w:val="en" w:eastAsia="en-NZ"/>
        </w:rPr>
        <w:t>ā</w:t>
      </w:r>
      <w:r w:rsidRPr="00F62521">
        <w:rPr>
          <w:rFonts w:cs="Arial"/>
          <w:lang w:val="en" w:eastAsia="en-NZ"/>
        </w:rPr>
        <w:t>tou</w:t>
      </w:r>
      <w:proofErr w:type="spellEnd"/>
      <w:r w:rsidRPr="00F62521">
        <w:rPr>
          <w:rFonts w:cs="Arial"/>
          <w:lang w:val="en" w:eastAsia="en-NZ"/>
        </w:rPr>
        <w:t xml:space="preserve"> he </w:t>
      </w:r>
      <w:proofErr w:type="spellStart"/>
      <w:r w:rsidRPr="00F62521">
        <w:rPr>
          <w:rFonts w:cs="Arial"/>
          <w:lang w:val="en" w:eastAsia="en-NZ"/>
        </w:rPr>
        <w:t>whakamana</w:t>
      </w:r>
      <w:proofErr w:type="spellEnd"/>
      <w:r w:rsidRPr="00F62521">
        <w:rPr>
          <w:rFonts w:cs="Arial"/>
          <w:lang w:val="en" w:eastAsia="en-NZ"/>
        </w:rPr>
        <w:t xml:space="preserve"> </w:t>
      </w:r>
      <w:proofErr w:type="spellStart"/>
      <w:r w:rsidRPr="00F62521">
        <w:rPr>
          <w:rFonts w:cs="Arial"/>
          <w:lang w:val="en" w:eastAsia="en-NZ"/>
        </w:rPr>
        <w:t>tangata</w:t>
      </w:r>
      <w:proofErr w:type="spellEnd"/>
      <w:r w:rsidRPr="00F62521">
        <w:rPr>
          <w:rFonts w:cs="Arial"/>
          <w:lang w:val="en" w:eastAsia="en-NZ"/>
        </w:rPr>
        <w:t xml:space="preserve"> </w:t>
      </w:r>
      <w:proofErr w:type="spellStart"/>
      <w:r w:rsidRPr="00F62521">
        <w:rPr>
          <w:rFonts w:cs="Arial"/>
          <w:lang w:val="en" w:eastAsia="en-NZ"/>
        </w:rPr>
        <w:t>kia</w:t>
      </w:r>
      <w:proofErr w:type="spellEnd"/>
      <w:r w:rsidRPr="00F62521">
        <w:rPr>
          <w:rFonts w:cs="Arial"/>
          <w:lang w:val="en" w:eastAsia="en-NZ"/>
        </w:rPr>
        <w:t xml:space="preserve"> </w:t>
      </w:r>
      <w:proofErr w:type="spellStart"/>
      <w:r w:rsidRPr="00F62521">
        <w:rPr>
          <w:rFonts w:cs="Arial"/>
          <w:lang w:val="en" w:eastAsia="en-NZ"/>
        </w:rPr>
        <w:t>t</w:t>
      </w:r>
      <w:r w:rsidRPr="00F62521">
        <w:rPr>
          <w:rFonts w:ascii="Arial" w:hAnsi="Arial" w:cs="Arial"/>
          <w:lang w:val="en" w:eastAsia="en-NZ"/>
        </w:rPr>
        <w:t>ū</w:t>
      </w:r>
      <w:proofErr w:type="spellEnd"/>
      <w:r w:rsidRPr="00F62521">
        <w:rPr>
          <w:rFonts w:cs="Arial"/>
          <w:lang w:val="en" w:eastAsia="en-NZ"/>
        </w:rPr>
        <w:t xml:space="preserve"> </w:t>
      </w:r>
      <w:proofErr w:type="spellStart"/>
      <w:r w:rsidRPr="00F62521">
        <w:rPr>
          <w:rFonts w:cs="Arial"/>
          <w:lang w:val="en" w:eastAsia="en-NZ"/>
        </w:rPr>
        <w:t>haumaru</w:t>
      </w:r>
      <w:proofErr w:type="spellEnd"/>
      <w:r w:rsidRPr="00F62521">
        <w:rPr>
          <w:rFonts w:cs="Arial"/>
          <w:lang w:val="en" w:eastAsia="en-NZ"/>
        </w:rPr>
        <w:t xml:space="preserve">, </w:t>
      </w:r>
      <w:proofErr w:type="spellStart"/>
      <w:r w:rsidRPr="00F62521">
        <w:rPr>
          <w:rFonts w:cs="Arial"/>
          <w:lang w:val="en" w:eastAsia="en-NZ"/>
        </w:rPr>
        <w:t>kia</w:t>
      </w:r>
      <w:proofErr w:type="spellEnd"/>
      <w:r w:rsidRPr="00F62521">
        <w:rPr>
          <w:rFonts w:cs="Arial"/>
          <w:lang w:val="en" w:eastAsia="en-NZ"/>
        </w:rPr>
        <w:t xml:space="preserve"> </w:t>
      </w:r>
      <w:proofErr w:type="spellStart"/>
      <w:r w:rsidRPr="00F62521">
        <w:rPr>
          <w:rFonts w:cs="Arial"/>
          <w:lang w:val="en" w:eastAsia="en-NZ"/>
        </w:rPr>
        <w:t>t</w:t>
      </w:r>
      <w:r w:rsidRPr="00F62521">
        <w:rPr>
          <w:rFonts w:ascii="Arial" w:hAnsi="Arial" w:cs="Arial"/>
          <w:lang w:val="en" w:eastAsia="en-NZ"/>
        </w:rPr>
        <w:t>ū</w:t>
      </w:r>
      <w:proofErr w:type="spellEnd"/>
      <w:r w:rsidRPr="00F62521">
        <w:rPr>
          <w:rFonts w:cs="Arial"/>
          <w:lang w:val="en" w:eastAsia="en-NZ"/>
        </w:rPr>
        <w:t xml:space="preserve"> </w:t>
      </w:r>
      <w:proofErr w:type="spellStart"/>
      <w:r w:rsidRPr="00F62521">
        <w:rPr>
          <w:rFonts w:cs="Arial"/>
          <w:lang w:val="en" w:eastAsia="en-NZ"/>
        </w:rPr>
        <w:t>kaha</w:t>
      </w:r>
      <w:proofErr w:type="spellEnd"/>
      <w:r w:rsidRPr="00F62521">
        <w:rPr>
          <w:rFonts w:cs="Arial"/>
          <w:lang w:val="en" w:eastAsia="en-NZ"/>
        </w:rPr>
        <w:t xml:space="preserve">, </w:t>
      </w:r>
      <w:proofErr w:type="spellStart"/>
      <w:r w:rsidRPr="00F62521">
        <w:rPr>
          <w:rFonts w:cs="Arial"/>
          <w:lang w:val="en" w:eastAsia="en-NZ"/>
        </w:rPr>
        <w:t>kia</w:t>
      </w:r>
      <w:proofErr w:type="spellEnd"/>
      <w:r w:rsidRPr="00F62521">
        <w:rPr>
          <w:rFonts w:cs="Arial"/>
          <w:lang w:val="en" w:eastAsia="en-NZ"/>
        </w:rPr>
        <w:t xml:space="preserve"> </w:t>
      </w:r>
      <w:proofErr w:type="spellStart"/>
      <w:r w:rsidRPr="00F62521">
        <w:rPr>
          <w:rFonts w:cs="Arial"/>
          <w:lang w:val="en" w:eastAsia="en-NZ"/>
        </w:rPr>
        <w:t>t</w:t>
      </w:r>
      <w:r w:rsidRPr="00F62521">
        <w:rPr>
          <w:rFonts w:ascii="Arial" w:hAnsi="Arial" w:cs="Arial"/>
          <w:lang w:val="en" w:eastAsia="en-NZ"/>
        </w:rPr>
        <w:t>ū</w:t>
      </w:r>
      <w:proofErr w:type="spellEnd"/>
      <w:r w:rsidRPr="00F62521">
        <w:rPr>
          <w:rFonts w:cs="Arial"/>
          <w:lang w:val="en" w:eastAsia="en-NZ"/>
        </w:rPr>
        <w:t xml:space="preserve"> </w:t>
      </w:r>
      <w:proofErr w:type="spellStart"/>
      <w:r w:rsidRPr="00F62521">
        <w:rPr>
          <w:rFonts w:cs="Arial"/>
          <w:lang w:val="en" w:eastAsia="en-NZ"/>
        </w:rPr>
        <w:t>motuhake</w:t>
      </w:r>
      <w:proofErr w:type="spellEnd"/>
      <w:r w:rsidRPr="00F62521">
        <w:rPr>
          <w:rFonts w:cs="Arial"/>
          <w:lang w:val="en" w:eastAsia="en-NZ"/>
        </w:rPr>
        <w:t>.</w:t>
      </w:r>
    </w:p>
    <w:p w:rsidR="00E63BC1" w:rsidRPr="00F62521" w:rsidRDefault="003B7936" w:rsidP="00E63BC1">
      <w:pPr>
        <w:jc w:val="both"/>
        <w:outlineLvl w:val="3"/>
        <w:rPr>
          <w:rFonts w:cs="Arial"/>
          <w:b/>
          <w:bCs/>
          <w:color w:val="000000"/>
          <w:lang w:val="en" w:eastAsia="en-NZ"/>
        </w:rPr>
      </w:pPr>
      <w:r w:rsidRPr="00F62521">
        <w:rPr>
          <w:rFonts w:cs="Arial"/>
          <w:b/>
          <w:bCs/>
          <w:lang w:val="en" w:eastAsia="en-NZ"/>
        </w:rPr>
        <w:br/>
      </w:r>
      <w:r w:rsidR="00E63BC1" w:rsidRPr="00F62521">
        <w:rPr>
          <w:rFonts w:cs="Arial"/>
          <w:b/>
          <w:bCs/>
          <w:color w:val="000000"/>
          <w:lang w:val="en" w:eastAsia="en-NZ"/>
        </w:rPr>
        <w:t>Our Principles</w:t>
      </w:r>
    </w:p>
    <w:p w:rsidR="00E63BC1" w:rsidRPr="00F62521" w:rsidRDefault="00E63BC1" w:rsidP="005558EB">
      <w:pPr>
        <w:jc w:val="both"/>
        <w:rPr>
          <w:rFonts w:cs="Arial"/>
          <w:lang w:val="en" w:eastAsia="en-NZ"/>
        </w:rPr>
      </w:pPr>
      <w:r w:rsidRPr="00F62521">
        <w:rPr>
          <w:rFonts w:cs="Arial"/>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E63BC1" w:rsidRPr="00F62521" w:rsidRDefault="00E63BC1" w:rsidP="00E63BC1">
      <w:pPr>
        <w:rPr>
          <w:sz w:val="24"/>
          <w:szCs w:val="24"/>
        </w:rPr>
      </w:pPr>
    </w:p>
    <w:p w:rsidR="00E63BC1" w:rsidRPr="00F62521" w:rsidRDefault="00E63BC1" w:rsidP="00E63BC1">
      <w:pPr>
        <w:rPr>
          <w:b/>
          <w:bCs/>
        </w:rPr>
      </w:pPr>
      <w:r w:rsidRPr="00F62521">
        <w:rPr>
          <w:rFonts w:cs="Arial"/>
          <w:b/>
          <w:bCs/>
        </w:rPr>
        <w:t>Position</w:t>
      </w:r>
      <w:r w:rsidRPr="00F62521">
        <w:rPr>
          <w:b/>
          <w:bCs/>
        </w:rPr>
        <w:t xml:space="preserve"> </w:t>
      </w:r>
      <w:r w:rsidRPr="00F62521">
        <w:rPr>
          <w:rFonts w:cs="Arial"/>
          <w:b/>
          <w:bCs/>
        </w:rPr>
        <w:t>Description</w:t>
      </w:r>
      <w:r w:rsidRPr="00F62521">
        <w:rPr>
          <w:b/>
          <w:bCs/>
        </w:rPr>
        <w:t xml:space="preserve"> </w:t>
      </w:r>
      <w:r w:rsidRPr="00F62521">
        <w:rPr>
          <w:rFonts w:cs="Arial"/>
          <w:b/>
          <w:bCs/>
        </w:rPr>
        <w:t>approved</w:t>
      </w:r>
      <w:r w:rsidRPr="00F62521">
        <w:rPr>
          <w:b/>
          <w:bCs/>
        </w:rPr>
        <w:t xml:space="preserve"> </w:t>
      </w:r>
      <w:r w:rsidRPr="00F62521">
        <w:rPr>
          <w:rFonts w:cs="Arial"/>
          <w:b/>
          <w:bCs/>
        </w:rPr>
        <w:t>by</w:t>
      </w:r>
      <w:r w:rsidRPr="00F62521">
        <w:rPr>
          <w:b/>
          <w:bCs/>
        </w:rPr>
        <w:t>:</w:t>
      </w:r>
    </w:p>
    <w:p w:rsidR="003B7936" w:rsidRPr="00F62521" w:rsidRDefault="003B7936" w:rsidP="00E63BC1">
      <w:pPr>
        <w:rPr>
          <w:bCs/>
        </w:rPr>
      </w:pPr>
    </w:p>
    <w:p w:rsidR="003B7936" w:rsidRPr="00F62521" w:rsidRDefault="003B7936" w:rsidP="00E63BC1">
      <w:pPr>
        <w:rPr>
          <w:bCs/>
        </w:rPr>
      </w:pPr>
      <w:r w:rsidRPr="00F62521">
        <w:rPr>
          <w:bCs/>
        </w:rPr>
        <w:t>_____________________________</w:t>
      </w:r>
    </w:p>
    <w:p w:rsidR="008C1033" w:rsidRPr="00F62521" w:rsidRDefault="003B7936" w:rsidP="003F2FF1">
      <w:pPr>
        <w:spacing w:before="0"/>
        <w:rPr>
          <w:bCs/>
        </w:rPr>
      </w:pPr>
      <w:r w:rsidRPr="00F62521">
        <w:rPr>
          <w:bCs/>
        </w:rPr>
        <w:t>Deputy Chief Executive, Service Delivery</w:t>
      </w:r>
    </w:p>
    <w:p w:rsidR="00E63BC1" w:rsidRPr="00F62521" w:rsidRDefault="00E63BC1" w:rsidP="008C1033">
      <w:pPr>
        <w:rPr>
          <w:bCs/>
        </w:rPr>
      </w:pPr>
      <w:r w:rsidRPr="00F62521">
        <w:rPr>
          <w:rFonts w:cs="Arial"/>
          <w:b/>
          <w:sz w:val="24"/>
          <w:szCs w:val="24"/>
        </w:rPr>
        <w:lastRenderedPageBreak/>
        <w:t>Service Delivery</w:t>
      </w:r>
    </w:p>
    <w:p w:rsidR="00E63BC1" w:rsidRPr="00F62521" w:rsidRDefault="00E63BC1" w:rsidP="00E63BC1">
      <w:r w:rsidRPr="00F62521">
        <w:t>We work together to make a difference for New Zealanders. Whether that’s helping someone get sorted financially so they can study, supporting someone into work, ensuring support is there for someone who can’t work, helping one of our seniors by granting their entitlement to New Zealand Superannuation, or giving New Zealanders confidence that the system they fund is being used by people in genuine need.</w:t>
      </w:r>
    </w:p>
    <w:p w:rsidR="00E63BC1" w:rsidRPr="00F62521" w:rsidRDefault="00E63BC1" w:rsidP="00E63BC1">
      <w:pPr>
        <w:rPr>
          <w:rFonts w:cs="Calibri"/>
        </w:rPr>
      </w:pPr>
      <w:r w:rsidRPr="00F62521">
        <w:t xml:space="preserve">We do this through three key groups; </w:t>
      </w:r>
      <w:r w:rsidRPr="00F62521">
        <w:rPr>
          <w:i/>
          <w:iCs/>
        </w:rPr>
        <w:t>Regional Service Delivery</w:t>
      </w:r>
      <w:r w:rsidRPr="00F62521">
        <w:t xml:space="preserve">, our frontline centres delivering face-to-face services across 11 regions, </w:t>
      </w:r>
      <w:r w:rsidRPr="00F62521">
        <w:rPr>
          <w:i/>
          <w:iCs/>
        </w:rPr>
        <w:t>Contact Centre Services</w:t>
      </w:r>
      <w:r w:rsidRPr="00F62521">
        <w:t xml:space="preserve"> providing client services by phone, and </w:t>
      </w:r>
      <w:r w:rsidRPr="00F62521">
        <w:rPr>
          <w:i/>
          <w:iCs/>
        </w:rPr>
        <w:t>Centralised Services -</w:t>
      </w:r>
      <w:r w:rsidRPr="00F62521">
        <w:t xml:space="preserve"> specialist teams managing processing of support and entitlements.</w:t>
      </w:r>
    </w:p>
    <w:p w:rsidR="00E63BC1" w:rsidRPr="00F62521" w:rsidRDefault="00E63BC1" w:rsidP="00E63BC1">
      <w:r w:rsidRPr="00F62521">
        <w:t>These three groups are supported by a number of teams, providing operational support, service development, learning and development, analytics and workflow management and engagement expertise.</w:t>
      </w:r>
    </w:p>
    <w:p w:rsidR="00E63BC1" w:rsidRPr="00F62521" w:rsidRDefault="00E63BC1" w:rsidP="00E63BC1">
      <w:r w:rsidRPr="00F62521">
        <w:t xml:space="preserve">Whatever part of Service </w:t>
      </w:r>
      <w:r w:rsidR="00AC3B2A" w:rsidRPr="00F62521">
        <w:t>Delivery</w:t>
      </w:r>
      <w:r w:rsidRPr="00F62521">
        <w:t xml:space="preserve"> we work </w:t>
      </w:r>
      <w:proofErr w:type="gramStart"/>
      <w:r w:rsidRPr="00F62521">
        <w:t>in,</w:t>
      </w:r>
      <w:proofErr w:type="gramEnd"/>
      <w:r w:rsidRPr="00F62521">
        <w:t xml:space="preserve"> we have a role in delivering services and making a difference for more than a million clients.</w:t>
      </w:r>
    </w:p>
    <w:p w:rsidR="00E63BC1" w:rsidRPr="00F62521" w:rsidRDefault="00E63BC1" w:rsidP="00E63BC1"/>
    <w:p w:rsidR="00F62521" w:rsidRPr="00F62521" w:rsidRDefault="00F62521" w:rsidP="00E63BC1">
      <w:pPr>
        <w:rPr>
          <w:bCs/>
        </w:rPr>
      </w:pPr>
      <w:r w:rsidRPr="00F62521">
        <w:rPr>
          <w:rFonts w:cs="Arial"/>
          <w:b/>
          <w:sz w:val="24"/>
          <w:szCs w:val="24"/>
        </w:rPr>
        <w:t>Purpose of the Position:</w:t>
      </w:r>
    </w:p>
    <w:p w:rsidR="00F62521" w:rsidRPr="00F62521" w:rsidRDefault="00F62521" w:rsidP="00F62521">
      <w:r w:rsidRPr="00F62521">
        <w:t xml:space="preserve">The Regional Labour Market Advisor is responsible for implementing national employment strategies at a local level and responding to the region’s labour market demand.  This role will proactively forge and manage relationships with employers, industry groups, providers and agencies within the region to achieve desired sustainable employment outcomes for clients. Utilising well informed labour market intelligence, the Regional Labour Market Advisor will forge the agreements and solutions with industries and corporate employers that will enable more clients to access labour market opportunities.  </w:t>
      </w:r>
    </w:p>
    <w:p w:rsidR="00F62521" w:rsidRPr="00F62521" w:rsidRDefault="00F62521" w:rsidP="00F62521">
      <w:r w:rsidRPr="00F62521">
        <w:t xml:space="preserve">The Regional Labour Market Advisor will provide full account management to significant employers and industry groups.  Using their knowledge of the products and services available, the Regional Labour Market Advisor will promote the benefits of partnering with </w:t>
      </w:r>
      <w:r>
        <w:t>Service Delivery</w:t>
      </w:r>
      <w:r w:rsidRPr="00F62521">
        <w:t xml:space="preserve"> to employers and achieves industry alliances.</w:t>
      </w:r>
    </w:p>
    <w:p w:rsidR="00F62521" w:rsidRPr="00F62521" w:rsidRDefault="00F62521" w:rsidP="00F62521">
      <w:r w:rsidRPr="00F62521">
        <w:t xml:space="preserve">The position requires proactive gathering of regional labour market and performance information to identify areas for improvement.  The labour market information will be used to direct the Regional Labour Market Advisor’s day to day activities and also contribute to developing longer term regional labour market strategies.  </w:t>
      </w:r>
    </w:p>
    <w:p w:rsidR="00F62521" w:rsidRPr="00F62521" w:rsidRDefault="00F62521" w:rsidP="00F62521">
      <w:r w:rsidRPr="00F62521">
        <w:t xml:space="preserve">This role will have a strong link with </w:t>
      </w:r>
      <w:r>
        <w:t>Service Delivery</w:t>
      </w:r>
      <w:r w:rsidRPr="00F62521">
        <w:t xml:space="preserve"> Employer Services team in regard to account management activities, national employment initiatives, labour market reporting and development of national strategies.   </w:t>
      </w:r>
    </w:p>
    <w:p w:rsidR="00F62521" w:rsidRPr="00F62521" w:rsidRDefault="00F62521" w:rsidP="00E63BC1"/>
    <w:p w:rsidR="00F62521" w:rsidRDefault="00F62521" w:rsidP="00F62521">
      <w:pPr>
        <w:rPr>
          <w:rFonts w:cs="Arial"/>
          <w:b/>
          <w:bCs/>
          <w:sz w:val="24"/>
          <w:szCs w:val="24"/>
        </w:rPr>
      </w:pPr>
    </w:p>
    <w:p w:rsidR="00F62521" w:rsidRDefault="00F62521" w:rsidP="00F62521">
      <w:pPr>
        <w:rPr>
          <w:rFonts w:cs="Arial"/>
          <w:b/>
          <w:bCs/>
          <w:sz w:val="24"/>
          <w:szCs w:val="24"/>
        </w:rPr>
      </w:pPr>
    </w:p>
    <w:p w:rsidR="00F62521" w:rsidRDefault="00F62521" w:rsidP="00F62521">
      <w:pPr>
        <w:rPr>
          <w:rFonts w:cs="Arial"/>
          <w:b/>
          <w:bCs/>
          <w:sz w:val="24"/>
          <w:szCs w:val="24"/>
        </w:rPr>
      </w:pPr>
    </w:p>
    <w:p w:rsidR="00F62521" w:rsidRDefault="00F62521" w:rsidP="00F62521">
      <w:pPr>
        <w:rPr>
          <w:rFonts w:cs="Arial"/>
          <w:b/>
          <w:bCs/>
          <w:sz w:val="24"/>
          <w:szCs w:val="24"/>
        </w:rPr>
      </w:pPr>
    </w:p>
    <w:p w:rsidR="00F62521" w:rsidRDefault="00F62521" w:rsidP="00F62521">
      <w:pPr>
        <w:rPr>
          <w:rFonts w:cs="Arial"/>
          <w:b/>
          <w:bCs/>
          <w:sz w:val="24"/>
          <w:szCs w:val="24"/>
        </w:rPr>
      </w:pPr>
    </w:p>
    <w:p w:rsidR="00F62521" w:rsidRDefault="00F62521" w:rsidP="00F62521">
      <w:pPr>
        <w:rPr>
          <w:rFonts w:cs="Arial"/>
          <w:b/>
          <w:bCs/>
          <w:sz w:val="24"/>
          <w:szCs w:val="24"/>
        </w:rPr>
      </w:pPr>
    </w:p>
    <w:p w:rsidR="00F62521" w:rsidRDefault="00F62521" w:rsidP="00F62521">
      <w:pPr>
        <w:rPr>
          <w:rFonts w:cs="Arial"/>
          <w:b/>
          <w:bCs/>
          <w:sz w:val="24"/>
          <w:szCs w:val="24"/>
        </w:rPr>
      </w:pPr>
    </w:p>
    <w:p w:rsidR="00F62521" w:rsidRDefault="00F62521" w:rsidP="00F62521">
      <w:pPr>
        <w:rPr>
          <w:rFonts w:cs="Arial"/>
          <w:b/>
          <w:bCs/>
          <w:sz w:val="24"/>
          <w:szCs w:val="24"/>
        </w:rPr>
      </w:pPr>
    </w:p>
    <w:p w:rsidR="00F62521" w:rsidRPr="00F62521" w:rsidRDefault="00F62521" w:rsidP="00F62521">
      <w:pPr>
        <w:rPr>
          <w:rFonts w:cs="Arial"/>
          <w:b/>
          <w:bCs/>
          <w:sz w:val="24"/>
          <w:szCs w:val="24"/>
        </w:rPr>
      </w:pPr>
      <w:r>
        <w:rPr>
          <w:rFonts w:cs="Arial"/>
          <w:b/>
          <w:bCs/>
          <w:sz w:val="24"/>
          <w:szCs w:val="24"/>
        </w:rPr>
        <w:lastRenderedPageBreak/>
        <w:t>Working Relationships</w:t>
      </w:r>
    </w:p>
    <w:p w:rsidR="00F62521" w:rsidRPr="00F62521" w:rsidRDefault="00F62521" w:rsidP="00F62521">
      <w:pPr>
        <w:rPr>
          <w:rFonts w:cs="Arial"/>
          <w:sz w:val="16"/>
          <w:szCs w:val="16"/>
        </w:rPr>
      </w:pPr>
    </w:p>
    <w:p w:rsidR="00F62521" w:rsidRPr="00F62521" w:rsidRDefault="00F62521" w:rsidP="00F62521">
      <w:pPr>
        <w:rPr>
          <w:rFonts w:cs="Arial"/>
          <w:b/>
        </w:rPr>
      </w:pPr>
      <w:r w:rsidRPr="00F62521">
        <w:rPr>
          <w:rFonts w:cs="Arial"/>
          <w:b/>
        </w:rPr>
        <w:t>Internal:</w:t>
      </w:r>
    </w:p>
    <w:p w:rsidR="00F62521" w:rsidRPr="00F62521" w:rsidRDefault="00F62521" w:rsidP="00F62521">
      <w:pPr>
        <w:numPr>
          <w:ilvl w:val="0"/>
          <w:numId w:val="30"/>
        </w:numPr>
        <w:spacing w:before="0"/>
        <w:rPr>
          <w:rFonts w:cs="Arial"/>
        </w:rPr>
      </w:pPr>
      <w:r w:rsidRPr="00F62521">
        <w:rPr>
          <w:rFonts w:cs="Arial"/>
        </w:rPr>
        <w:t>Regional Commissioner</w:t>
      </w:r>
    </w:p>
    <w:p w:rsidR="00F62521" w:rsidRPr="00F62521" w:rsidRDefault="00F62521" w:rsidP="00F62521">
      <w:pPr>
        <w:numPr>
          <w:ilvl w:val="0"/>
          <w:numId w:val="30"/>
        </w:numPr>
        <w:spacing w:before="0"/>
        <w:rPr>
          <w:rFonts w:cs="Arial"/>
        </w:rPr>
      </w:pPr>
      <w:r w:rsidRPr="00F62521">
        <w:rPr>
          <w:rFonts w:cs="Arial"/>
        </w:rPr>
        <w:t>Regional Labour Market Manager</w:t>
      </w:r>
    </w:p>
    <w:p w:rsidR="00F62521" w:rsidRPr="00F62521" w:rsidRDefault="00F62521" w:rsidP="00F62521">
      <w:pPr>
        <w:numPr>
          <w:ilvl w:val="0"/>
          <w:numId w:val="30"/>
        </w:numPr>
        <w:spacing w:before="0"/>
        <w:rPr>
          <w:rFonts w:cs="Arial"/>
        </w:rPr>
      </w:pPr>
      <w:r w:rsidRPr="00F62521">
        <w:rPr>
          <w:rFonts w:cs="Arial"/>
        </w:rPr>
        <w:t>Regional contracts team</w:t>
      </w:r>
    </w:p>
    <w:p w:rsidR="00F62521" w:rsidRPr="00F62521" w:rsidRDefault="00F62521" w:rsidP="00F62521">
      <w:pPr>
        <w:numPr>
          <w:ilvl w:val="0"/>
          <w:numId w:val="30"/>
        </w:numPr>
        <w:spacing w:before="0"/>
        <w:rPr>
          <w:rFonts w:cs="Arial"/>
        </w:rPr>
      </w:pPr>
      <w:r w:rsidRPr="00F62521">
        <w:rPr>
          <w:rFonts w:cs="Arial"/>
        </w:rPr>
        <w:t>Service delivery management and staff</w:t>
      </w:r>
    </w:p>
    <w:p w:rsidR="00F62521" w:rsidRPr="00F62521" w:rsidRDefault="00F62521" w:rsidP="00F62521">
      <w:pPr>
        <w:numPr>
          <w:ilvl w:val="0"/>
          <w:numId w:val="30"/>
        </w:numPr>
        <w:spacing w:before="0"/>
        <w:rPr>
          <w:rFonts w:cs="Arial"/>
        </w:rPr>
      </w:pPr>
      <w:r w:rsidRPr="00F62521">
        <w:rPr>
          <w:rFonts w:cs="Arial"/>
        </w:rPr>
        <w:t>Employer Services</w:t>
      </w:r>
    </w:p>
    <w:p w:rsidR="00F62521" w:rsidRPr="00F62521" w:rsidRDefault="00F62521" w:rsidP="00F62521">
      <w:pPr>
        <w:numPr>
          <w:ilvl w:val="0"/>
          <w:numId w:val="30"/>
        </w:numPr>
        <w:spacing w:before="0"/>
        <w:rPr>
          <w:rFonts w:cs="Arial"/>
        </w:rPr>
      </w:pPr>
      <w:r w:rsidRPr="00F62521">
        <w:rPr>
          <w:rFonts w:cs="Arial"/>
        </w:rPr>
        <w:t xml:space="preserve">Work Brokers </w:t>
      </w:r>
    </w:p>
    <w:p w:rsidR="00F62521" w:rsidRPr="00F62521" w:rsidRDefault="00F62521" w:rsidP="00F62521">
      <w:pPr>
        <w:numPr>
          <w:ilvl w:val="0"/>
          <w:numId w:val="30"/>
        </w:numPr>
        <w:spacing w:before="0"/>
        <w:rPr>
          <w:rFonts w:cs="Arial"/>
        </w:rPr>
      </w:pPr>
      <w:r w:rsidRPr="00F62521">
        <w:rPr>
          <w:rFonts w:cs="Arial"/>
        </w:rPr>
        <w:t>Other Ministry staff</w:t>
      </w:r>
    </w:p>
    <w:p w:rsidR="00F62521" w:rsidRPr="00F62521" w:rsidRDefault="00F62521" w:rsidP="00F62521">
      <w:pPr>
        <w:rPr>
          <w:rFonts w:cs="Arial"/>
        </w:rPr>
      </w:pPr>
    </w:p>
    <w:p w:rsidR="00F62521" w:rsidRPr="00F62521" w:rsidRDefault="00F62521" w:rsidP="00F62521">
      <w:pPr>
        <w:rPr>
          <w:rFonts w:cs="Arial"/>
          <w:b/>
        </w:rPr>
      </w:pPr>
      <w:r w:rsidRPr="00F62521">
        <w:rPr>
          <w:rFonts w:cs="Arial"/>
          <w:b/>
        </w:rPr>
        <w:t>External:</w:t>
      </w:r>
    </w:p>
    <w:p w:rsidR="00F62521" w:rsidRPr="00F62521" w:rsidRDefault="00F62521" w:rsidP="00F62521">
      <w:pPr>
        <w:numPr>
          <w:ilvl w:val="0"/>
          <w:numId w:val="31"/>
        </w:numPr>
        <w:spacing w:before="0"/>
        <w:jc w:val="both"/>
        <w:rPr>
          <w:rFonts w:cs="Arial"/>
          <w:bCs/>
        </w:rPr>
      </w:pPr>
      <w:r w:rsidRPr="00F62521">
        <w:rPr>
          <w:rFonts w:cs="Arial"/>
          <w:bCs/>
        </w:rPr>
        <w:t>Local employers</w:t>
      </w:r>
    </w:p>
    <w:p w:rsidR="00F62521" w:rsidRPr="00F62521" w:rsidRDefault="00F62521" w:rsidP="00F62521">
      <w:pPr>
        <w:numPr>
          <w:ilvl w:val="0"/>
          <w:numId w:val="31"/>
        </w:numPr>
        <w:spacing w:before="0"/>
        <w:rPr>
          <w:rFonts w:cs="Arial"/>
        </w:rPr>
      </w:pPr>
      <w:r w:rsidRPr="00F62521">
        <w:rPr>
          <w:rFonts w:cs="Arial"/>
        </w:rPr>
        <w:t>Industry groups and associations</w:t>
      </w:r>
    </w:p>
    <w:p w:rsidR="00F62521" w:rsidRPr="00F62521" w:rsidRDefault="00F62521" w:rsidP="00F62521">
      <w:pPr>
        <w:numPr>
          <w:ilvl w:val="0"/>
          <w:numId w:val="31"/>
        </w:numPr>
        <w:spacing w:before="0"/>
        <w:jc w:val="both"/>
        <w:rPr>
          <w:rFonts w:cs="Arial"/>
        </w:rPr>
      </w:pPr>
      <w:r w:rsidRPr="00F62521">
        <w:rPr>
          <w:rFonts w:cs="Arial"/>
        </w:rPr>
        <w:t>Training Providers and Institutions</w:t>
      </w:r>
    </w:p>
    <w:p w:rsidR="00F62521" w:rsidRPr="00F62521" w:rsidRDefault="00F62521" w:rsidP="00F62521">
      <w:pPr>
        <w:numPr>
          <w:ilvl w:val="0"/>
          <w:numId w:val="31"/>
        </w:numPr>
        <w:spacing w:before="0"/>
        <w:jc w:val="both"/>
        <w:rPr>
          <w:rFonts w:cs="Arial"/>
        </w:rPr>
      </w:pPr>
      <w:r w:rsidRPr="00F62521">
        <w:rPr>
          <w:rFonts w:cs="Arial"/>
        </w:rPr>
        <w:t>Industry training organisations (ITO’s)</w:t>
      </w:r>
    </w:p>
    <w:p w:rsidR="00F62521" w:rsidRPr="00F62521" w:rsidRDefault="00F62521" w:rsidP="00F62521">
      <w:pPr>
        <w:numPr>
          <w:ilvl w:val="0"/>
          <w:numId w:val="31"/>
        </w:numPr>
        <w:spacing w:before="0"/>
        <w:jc w:val="both"/>
        <w:rPr>
          <w:rFonts w:cs="Arial"/>
          <w:bCs/>
        </w:rPr>
      </w:pPr>
      <w:proofErr w:type="spellStart"/>
      <w:r w:rsidRPr="00F62521">
        <w:rPr>
          <w:rFonts w:cs="Arial"/>
          <w:bCs/>
        </w:rPr>
        <w:t>Iwi</w:t>
      </w:r>
      <w:proofErr w:type="spellEnd"/>
      <w:r w:rsidRPr="00F62521">
        <w:rPr>
          <w:rFonts w:cs="Arial"/>
          <w:bCs/>
        </w:rPr>
        <w:t xml:space="preserve"> </w:t>
      </w:r>
    </w:p>
    <w:p w:rsidR="00F62521" w:rsidRPr="00F62521" w:rsidRDefault="00F62521" w:rsidP="00F62521">
      <w:pPr>
        <w:numPr>
          <w:ilvl w:val="0"/>
          <w:numId w:val="31"/>
        </w:numPr>
        <w:spacing w:before="0"/>
        <w:jc w:val="both"/>
        <w:rPr>
          <w:rFonts w:cs="Arial"/>
          <w:bCs/>
        </w:rPr>
      </w:pPr>
      <w:r w:rsidRPr="00F62521">
        <w:rPr>
          <w:rFonts w:cs="Arial"/>
          <w:bCs/>
        </w:rPr>
        <w:t>Local Government</w:t>
      </w:r>
    </w:p>
    <w:p w:rsidR="00F62521" w:rsidRPr="00F62521" w:rsidRDefault="00F62521" w:rsidP="00F62521">
      <w:pPr>
        <w:numPr>
          <w:ilvl w:val="0"/>
          <w:numId w:val="31"/>
        </w:numPr>
        <w:spacing w:before="0"/>
        <w:jc w:val="both"/>
        <w:rPr>
          <w:rFonts w:cs="Arial"/>
          <w:bCs/>
        </w:rPr>
      </w:pPr>
      <w:r w:rsidRPr="00F62521">
        <w:rPr>
          <w:rFonts w:cs="Arial"/>
          <w:bCs/>
        </w:rPr>
        <w:t>Other Government Agencies</w:t>
      </w:r>
    </w:p>
    <w:p w:rsidR="00F62521" w:rsidRPr="00F62521" w:rsidRDefault="00F62521" w:rsidP="00F62521">
      <w:pPr>
        <w:numPr>
          <w:ilvl w:val="0"/>
          <w:numId w:val="31"/>
        </w:numPr>
        <w:spacing w:before="0"/>
        <w:rPr>
          <w:rFonts w:cs="Arial"/>
        </w:rPr>
      </w:pPr>
      <w:r w:rsidRPr="00F62521">
        <w:rPr>
          <w:rFonts w:cs="Arial"/>
        </w:rPr>
        <w:t>Professional bodies</w:t>
      </w:r>
    </w:p>
    <w:p w:rsidR="00F62521" w:rsidRPr="00F62521" w:rsidRDefault="00F62521" w:rsidP="00E63BC1"/>
    <w:p w:rsidR="00F62521" w:rsidRPr="00F62521" w:rsidRDefault="00F62521" w:rsidP="00F62521">
      <w:pPr>
        <w:rPr>
          <w:rFonts w:cs="Arial"/>
          <w:highlight w:val="lightGray"/>
        </w:rPr>
      </w:pPr>
      <w:r w:rsidRPr="00F62521">
        <w:rPr>
          <w:rFonts w:cs="Arial"/>
          <w:b/>
          <w:sz w:val="24"/>
          <w:szCs w:val="24"/>
        </w:rPr>
        <w:t xml:space="preserve">Key Accountabilities:  </w:t>
      </w:r>
    </w:p>
    <w:p w:rsidR="00F62521" w:rsidRPr="00F62521" w:rsidRDefault="00F62521" w:rsidP="00F62521">
      <w:pPr>
        <w:jc w:val="both"/>
        <w:rPr>
          <w:rFonts w:cs="Arial"/>
          <w:b/>
        </w:rPr>
      </w:pPr>
    </w:p>
    <w:tbl>
      <w:tblPr>
        <w:tblW w:w="9502"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197"/>
        <w:gridCol w:w="7305"/>
      </w:tblGrid>
      <w:tr w:rsidR="00F62521" w:rsidRPr="00F62521" w:rsidTr="00D57C3D">
        <w:trPr>
          <w:trHeight w:val="138"/>
        </w:trPr>
        <w:tc>
          <w:tcPr>
            <w:tcW w:w="2197" w:type="dxa"/>
            <w:shd w:val="clear" w:color="auto" w:fill="auto"/>
          </w:tcPr>
          <w:p w:rsidR="00F62521" w:rsidRPr="00F62521" w:rsidRDefault="00F62521" w:rsidP="00D57C3D">
            <w:pPr>
              <w:jc w:val="center"/>
              <w:rPr>
                <w:rFonts w:cs="Arial"/>
                <w:b/>
                <w:bCs/>
              </w:rPr>
            </w:pPr>
            <w:r w:rsidRPr="00F62521">
              <w:rPr>
                <w:rFonts w:cs="Arial"/>
                <w:b/>
                <w:bCs/>
              </w:rPr>
              <w:t>Key Result Area</w:t>
            </w:r>
          </w:p>
        </w:tc>
        <w:tc>
          <w:tcPr>
            <w:tcW w:w="7305" w:type="dxa"/>
            <w:shd w:val="clear" w:color="auto" w:fill="auto"/>
          </w:tcPr>
          <w:p w:rsidR="00F62521" w:rsidRPr="00F62521" w:rsidRDefault="00F62521" w:rsidP="00D57C3D">
            <w:pPr>
              <w:jc w:val="both"/>
              <w:rPr>
                <w:rFonts w:cs="Arial"/>
                <w:b/>
                <w:bCs/>
              </w:rPr>
            </w:pPr>
            <w:r w:rsidRPr="00F62521">
              <w:rPr>
                <w:rFonts w:cs="Arial"/>
                <w:b/>
                <w:bCs/>
              </w:rPr>
              <w:t>Accountabilities</w:t>
            </w:r>
          </w:p>
        </w:tc>
      </w:tr>
      <w:tr w:rsidR="00F62521" w:rsidRPr="00F62521" w:rsidTr="00D57C3D">
        <w:trPr>
          <w:trHeight w:val="138"/>
        </w:trPr>
        <w:tc>
          <w:tcPr>
            <w:tcW w:w="2197" w:type="dxa"/>
            <w:tcBorders>
              <w:top w:val="double" w:sz="4" w:space="0" w:color="auto"/>
              <w:left w:val="double" w:sz="4" w:space="0" w:color="auto"/>
              <w:bottom w:val="double" w:sz="4" w:space="0" w:color="auto"/>
              <w:right w:val="double" w:sz="4" w:space="0" w:color="auto"/>
            </w:tcBorders>
            <w:shd w:val="clear" w:color="auto" w:fill="auto"/>
          </w:tcPr>
          <w:p w:rsidR="00F62521" w:rsidRPr="00F62521" w:rsidRDefault="00F62521" w:rsidP="00D57C3D">
            <w:pPr>
              <w:rPr>
                <w:rFonts w:cs="Arial"/>
                <w:b/>
                <w:bCs/>
              </w:rPr>
            </w:pPr>
          </w:p>
          <w:p w:rsidR="00F62521" w:rsidRPr="00F62521" w:rsidRDefault="00F62521" w:rsidP="00D57C3D">
            <w:pPr>
              <w:jc w:val="center"/>
              <w:rPr>
                <w:rFonts w:cs="Arial"/>
                <w:b/>
                <w:bCs/>
              </w:rPr>
            </w:pPr>
            <w:r w:rsidRPr="00F62521">
              <w:rPr>
                <w:rFonts w:cs="Arial"/>
                <w:b/>
                <w:bCs/>
              </w:rPr>
              <w:t>Labour Market Strategy and Planning</w:t>
            </w: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F62521" w:rsidRPr="00F62521" w:rsidRDefault="00F62521" w:rsidP="00F62521">
            <w:pPr>
              <w:numPr>
                <w:ilvl w:val="0"/>
                <w:numId w:val="11"/>
              </w:numPr>
              <w:spacing w:before="40" w:after="40"/>
              <w:rPr>
                <w:rFonts w:cs="Arial"/>
                <w:bCs/>
              </w:rPr>
            </w:pPr>
            <w:r w:rsidRPr="00F62521">
              <w:rPr>
                <w:rFonts w:cs="Arial"/>
                <w:bCs/>
              </w:rPr>
              <w:t xml:space="preserve">Understands </w:t>
            </w:r>
            <w:r>
              <w:rPr>
                <w:rFonts w:cs="Arial"/>
                <w:bCs/>
              </w:rPr>
              <w:t>Service Delivery</w:t>
            </w:r>
            <w:r w:rsidRPr="00F62521">
              <w:rPr>
                <w:rFonts w:cs="Arial"/>
                <w:bCs/>
              </w:rPr>
              <w:t xml:space="preserve">’s national employment strategy and how the region’s labour market activity contributes to achieving </w:t>
            </w:r>
            <w:r>
              <w:rPr>
                <w:rFonts w:cs="Arial"/>
                <w:bCs/>
              </w:rPr>
              <w:t>Service Delivery</w:t>
            </w:r>
            <w:r w:rsidRPr="00F62521">
              <w:rPr>
                <w:rFonts w:cs="Arial"/>
                <w:bCs/>
              </w:rPr>
              <w:t>’s desired outcomes.</w:t>
            </w:r>
            <w:r w:rsidRPr="00F62521">
              <w:rPr>
                <w:rFonts w:cs="Arial"/>
              </w:rPr>
              <w:t xml:space="preserve"> </w:t>
            </w:r>
          </w:p>
          <w:p w:rsidR="00F62521" w:rsidRPr="00F62521" w:rsidRDefault="00F62521" w:rsidP="00F62521">
            <w:pPr>
              <w:numPr>
                <w:ilvl w:val="0"/>
                <w:numId w:val="11"/>
              </w:numPr>
              <w:spacing w:before="40" w:after="40"/>
              <w:rPr>
                <w:rFonts w:cs="Arial"/>
                <w:b/>
                <w:bCs/>
              </w:rPr>
            </w:pPr>
            <w:r w:rsidRPr="00F62521">
              <w:t>Applying the investment approach, use business information provided by the Senior Business Analyst, Employer Services and other sources to inform the development of local labour market strategies and plans, including forecasting labour demand and supply.</w:t>
            </w:r>
          </w:p>
          <w:p w:rsidR="00F62521" w:rsidRPr="00F62521" w:rsidRDefault="00F62521" w:rsidP="00F62521">
            <w:pPr>
              <w:numPr>
                <w:ilvl w:val="0"/>
                <w:numId w:val="11"/>
              </w:numPr>
              <w:spacing w:before="40" w:after="40"/>
              <w:rPr>
                <w:rFonts w:cs="Arial"/>
              </w:rPr>
            </w:pPr>
            <w:r w:rsidRPr="00F62521">
              <w:rPr>
                <w:rFonts w:cs="Arial"/>
                <w:bCs/>
              </w:rPr>
              <w:t xml:space="preserve">Utilises labour market intelligence (local, national and international) to identify </w:t>
            </w:r>
            <w:r w:rsidRPr="00F62521">
              <w:rPr>
                <w:rFonts w:cs="Arial"/>
              </w:rPr>
              <w:t>new opportunities, growth sectors and local skills shortages and applies a problem-solving approach to develop innovative strategies and solutions.</w:t>
            </w:r>
          </w:p>
          <w:p w:rsidR="00F62521" w:rsidRPr="00F62521" w:rsidRDefault="00F62521" w:rsidP="00F62521">
            <w:pPr>
              <w:numPr>
                <w:ilvl w:val="0"/>
                <w:numId w:val="11"/>
              </w:numPr>
              <w:spacing w:before="40" w:after="40"/>
              <w:rPr>
                <w:rFonts w:cs="Arial"/>
              </w:rPr>
            </w:pPr>
            <w:r w:rsidRPr="00F62521">
              <w:rPr>
                <w:rFonts w:cs="Arial"/>
                <w:bCs/>
              </w:rPr>
              <w:t>Takes in to account the needs of seasonal employers within the region when developing the region’s labour market strategy.</w:t>
            </w:r>
          </w:p>
          <w:p w:rsidR="00F62521" w:rsidRPr="00F62521" w:rsidRDefault="00F62521" w:rsidP="00F62521">
            <w:pPr>
              <w:numPr>
                <w:ilvl w:val="0"/>
                <w:numId w:val="11"/>
              </w:numPr>
              <w:spacing w:before="0"/>
            </w:pPr>
            <w:r w:rsidRPr="00F62521">
              <w:t>Assist in the development and operation of regional labour market development strategies, plans and related initiatives.</w:t>
            </w:r>
          </w:p>
          <w:p w:rsidR="00F62521" w:rsidRPr="00F62521" w:rsidRDefault="00F62521" w:rsidP="00F62521">
            <w:pPr>
              <w:numPr>
                <w:ilvl w:val="0"/>
                <w:numId w:val="11"/>
              </w:numPr>
              <w:spacing w:before="40" w:after="40"/>
              <w:rPr>
                <w:rFonts w:cs="Arial"/>
                <w:b/>
                <w:bCs/>
              </w:rPr>
            </w:pPr>
            <w:r w:rsidRPr="00F62521">
              <w:rPr>
                <w:rFonts w:cs="Arial"/>
                <w:bCs/>
              </w:rPr>
              <w:t>Supports the Regional Labour Market Manager in gaining the commitment and support of internal and external stakeholders to the region’s labour market strategies and employment initiatives.</w:t>
            </w:r>
          </w:p>
        </w:tc>
      </w:tr>
      <w:tr w:rsidR="00F62521" w:rsidRPr="00F62521" w:rsidTr="00D57C3D">
        <w:trPr>
          <w:trHeight w:val="138"/>
        </w:trPr>
        <w:tc>
          <w:tcPr>
            <w:tcW w:w="2197" w:type="dxa"/>
            <w:shd w:val="clear" w:color="auto" w:fill="auto"/>
          </w:tcPr>
          <w:p w:rsidR="00F62521" w:rsidRPr="00F62521" w:rsidRDefault="00F62521" w:rsidP="00D57C3D">
            <w:pPr>
              <w:pStyle w:val="Heading7"/>
              <w:spacing w:before="60"/>
              <w:jc w:val="center"/>
              <w:rPr>
                <w:rFonts w:ascii="Arial Mäori" w:hAnsi="Arial Mäori" w:cs="Arial"/>
                <w:b/>
                <w:bCs/>
                <w:sz w:val="22"/>
                <w:szCs w:val="22"/>
              </w:rPr>
            </w:pPr>
          </w:p>
          <w:p w:rsidR="00F62521" w:rsidRPr="00F62521" w:rsidRDefault="00F62521" w:rsidP="00D57C3D">
            <w:pPr>
              <w:pStyle w:val="Heading7"/>
              <w:spacing w:before="60"/>
              <w:jc w:val="center"/>
              <w:rPr>
                <w:rFonts w:ascii="Arial Mäori" w:hAnsi="Arial Mäori" w:cs="Arial"/>
                <w:b/>
                <w:bCs/>
                <w:sz w:val="22"/>
                <w:szCs w:val="22"/>
              </w:rPr>
            </w:pPr>
            <w:r w:rsidRPr="00F62521">
              <w:rPr>
                <w:rFonts w:ascii="Arial Mäori" w:hAnsi="Arial Mäori" w:cs="Arial"/>
                <w:b/>
                <w:bCs/>
                <w:sz w:val="22"/>
                <w:szCs w:val="22"/>
              </w:rPr>
              <w:t>Account and Relationship Management</w:t>
            </w:r>
          </w:p>
          <w:p w:rsidR="00F62521" w:rsidRPr="00F62521" w:rsidRDefault="00F62521" w:rsidP="00D57C3D">
            <w:pPr>
              <w:pStyle w:val="Header"/>
              <w:jc w:val="center"/>
              <w:rPr>
                <w:rFonts w:cs="Arial"/>
                <w:b/>
                <w:bCs/>
              </w:rPr>
            </w:pPr>
          </w:p>
        </w:tc>
        <w:tc>
          <w:tcPr>
            <w:tcW w:w="7305" w:type="dxa"/>
            <w:shd w:val="clear" w:color="auto" w:fill="auto"/>
          </w:tcPr>
          <w:p w:rsidR="00F62521" w:rsidRPr="00F62521" w:rsidRDefault="00F62521" w:rsidP="00F62521">
            <w:pPr>
              <w:numPr>
                <w:ilvl w:val="0"/>
                <w:numId w:val="33"/>
              </w:numPr>
              <w:tabs>
                <w:tab w:val="clear" w:pos="1080"/>
                <w:tab w:val="num" w:pos="324"/>
                <w:tab w:val="left" w:pos="680"/>
              </w:tabs>
              <w:spacing w:before="40" w:after="40"/>
              <w:ind w:left="324" w:hanging="283"/>
              <w:rPr>
                <w:rFonts w:cs="Arial"/>
              </w:rPr>
            </w:pPr>
            <w:r w:rsidRPr="00F62521">
              <w:rPr>
                <w:rFonts w:cs="Arial"/>
              </w:rPr>
              <w:lastRenderedPageBreak/>
              <w:t>Ensures the delivery of win-win outcomes for both the Ministry and key employers through professional account management methods.</w:t>
            </w:r>
          </w:p>
          <w:p w:rsidR="00F62521" w:rsidRPr="00F62521" w:rsidRDefault="00F62521" w:rsidP="00F62521">
            <w:pPr>
              <w:numPr>
                <w:ilvl w:val="0"/>
                <w:numId w:val="33"/>
              </w:numPr>
              <w:tabs>
                <w:tab w:val="clear" w:pos="1080"/>
                <w:tab w:val="num" w:pos="324"/>
              </w:tabs>
              <w:spacing w:before="0"/>
              <w:ind w:left="324" w:hanging="283"/>
              <w:rPr>
                <w:rFonts w:cs="Arial"/>
              </w:rPr>
            </w:pPr>
            <w:r w:rsidRPr="00F62521">
              <w:rPr>
                <w:rFonts w:cs="Arial"/>
              </w:rPr>
              <w:t>Establishes and maintains effective accounts / relationships with local industry, employer groups and associations and agencies which contribute to achieving the region’s employment outcomes.</w:t>
            </w:r>
          </w:p>
          <w:p w:rsidR="00F62521" w:rsidRPr="00F62521" w:rsidRDefault="00F62521" w:rsidP="00F62521">
            <w:pPr>
              <w:numPr>
                <w:ilvl w:val="0"/>
                <w:numId w:val="33"/>
              </w:numPr>
              <w:tabs>
                <w:tab w:val="clear" w:pos="1080"/>
                <w:tab w:val="num" w:pos="324"/>
              </w:tabs>
              <w:spacing w:before="0"/>
              <w:ind w:left="324" w:hanging="283"/>
              <w:rPr>
                <w:rFonts w:cs="Arial"/>
              </w:rPr>
            </w:pPr>
            <w:r w:rsidRPr="00F62521">
              <w:rPr>
                <w:rFonts w:cs="Arial"/>
              </w:rPr>
              <w:lastRenderedPageBreak/>
              <w:t xml:space="preserve">Effectively markets the Ministry’s products and services to industry sectors, business networks and corporate employers, and develops solutions that achieves employment outcomes for more clients (seal the deal)  </w:t>
            </w:r>
          </w:p>
          <w:p w:rsidR="00F62521" w:rsidRPr="00F62521" w:rsidRDefault="00F62521" w:rsidP="00F62521">
            <w:pPr>
              <w:numPr>
                <w:ilvl w:val="0"/>
                <w:numId w:val="33"/>
              </w:numPr>
              <w:tabs>
                <w:tab w:val="clear" w:pos="1080"/>
                <w:tab w:val="num" w:pos="324"/>
              </w:tabs>
              <w:spacing w:before="0"/>
              <w:ind w:left="324" w:hanging="283"/>
              <w:rPr>
                <w:rFonts w:cs="Arial"/>
              </w:rPr>
            </w:pPr>
            <w:r w:rsidRPr="00F62521">
              <w:rPr>
                <w:rFonts w:cs="Arial"/>
              </w:rPr>
              <w:t>Builds effective networks and utilises alliances to identify opportunities and solutions to address skills shortages and other barriers to local labour market development.</w:t>
            </w:r>
          </w:p>
          <w:p w:rsidR="00F62521" w:rsidRPr="00F62521" w:rsidRDefault="00F62521" w:rsidP="00F62521">
            <w:pPr>
              <w:numPr>
                <w:ilvl w:val="0"/>
                <w:numId w:val="33"/>
              </w:numPr>
              <w:tabs>
                <w:tab w:val="clear" w:pos="1080"/>
                <w:tab w:val="num" w:pos="324"/>
              </w:tabs>
              <w:spacing w:before="0"/>
              <w:ind w:left="324" w:hanging="283"/>
              <w:rPr>
                <w:rFonts w:cs="Arial"/>
              </w:rPr>
            </w:pPr>
            <w:r w:rsidRPr="00F62521">
              <w:rPr>
                <w:rFonts w:cs="Arial"/>
              </w:rPr>
              <w:t>Facilitate the development and implementation of local Industry Partnerships to achieve the region’s employment outcomes.</w:t>
            </w:r>
          </w:p>
          <w:p w:rsidR="00F62521" w:rsidRPr="00F62521" w:rsidRDefault="00F62521" w:rsidP="00F62521">
            <w:pPr>
              <w:numPr>
                <w:ilvl w:val="0"/>
                <w:numId w:val="33"/>
              </w:numPr>
              <w:tabs>
                <w:tab w:val="clear" w:pos="1080"/>
                <w:tab w:val="num" w:pos="324"/>
              </w:tabs>
              <w:spacing w:before="0"/>
              <w:ind w:left="324" w:hanging="283"/>
              <w:rPr>
                <w:rFonts w:cs="Arial"/>
              </w:rPr>
            </w:pPr>
            <w:r w:rsidRPr="00F62521">
              <w:rPr>
                <w:rFonts w:cs="Arial"/>
              </w:rPr>
              <w:t xml:space="preserve">Forms partnerships with </w:t>
            </w:r>
            <w:proofErr w:type="spellStart"/>
            <w:r w:rsidRPr="00F62521">
              <w:rPr>
                <w:rFonts w:cs="Arial"/>
              </w:rPr>
              <w:t>Iwi</w:t>
            </w:r>
            <w:proofErr w:type="spellEnd"/>
            <w:r w:rsidRPr="00F62521">
              <w:rPr>
                <w:rFonts w:cs="Arial"/>
              </w:rPr>
              <w:t xml:space="preserve"> to deliver sustainable employment outcomes through the development of Maori asset bases.</w:t>
            </w:r>
          </w:p>
          <w:p w:rsidR="00F62521" w:rsidRPr="00F62521" w:rsidRDefault="00F62521" w:rsidP="00F62521">
            <w:pPr>
              <w:numPr>
                <w:ilvl w:val="0"/>
                <w:numId w:val="33"/>
              </w:numPr>
              <w:tabs>
                <w:tab w:val="clear" w:pos="1080"/>
                <w:tab w:val="num" w:pos="324"/>
              </w:tabs>
              <w:spacing w:before="0"/>
              <w:ind w:left="324" w:hanging="283"/>
              <w:rPr>
                <w:rFonts w:cs="Arial"/>
              </w:rPr>
            </w:pPr>
            <w:r w:rsidRPr="00F62521">
              <w:rPr>
                <w:rFonts w:cs="Arial"/>
              </w:rPr>
              <w:t xml:space="preserve">Forms partnerships and responds to seasonal labour demands within the region. </w:t>
            </w:r>
          </w:p>
          <w:p w:rsidR="00F62521" w:rsidRPr="00F62521" w:rsidRDefault="00F62521" w:rsidP="00F62521">
            <w:pPr>
              <w:numPr>
                <w:ilvl w:val="0"/>
                <w:numId w:val="33"/>
              </w:numPr>
              <w:tabs>
                <w:tab w:val="clear" w:pos="1080"/>
                <w:tab w:val="num" w:pos="324"/>
              </w:tabs>
              <w:spacing w:before="0"/>
              <w:ind w:left="324" w:hanging="283"/>
              <w:rPr>
                <w:rFonts w:cs="Arial"/>
              </w:rPr>
            </w:pPr>
            <w:r w:rsidRPr="00F62521">
              <w:rPr>
                <w:rFonts w:cs="Arial"/>
              </w:rPr>
              <w:t>Participates in the establishment and negotiation of contracts with local industry, key employers and training providers that maximise the Ministry’s placement of clients in sustainable employment.</w:t>
            </w:r>
          </w:p>
          <w:p w:rsidR="00F62521" w:rsidRPr="00F62521" w:rsidRDefault="00F62521" w:rsidP="00F62521">
            <w:pPr>
              <w:numPr>
                <w:ilvl w:val="0"/>
                <w:numId w:val="33"/>
              </w:numPr>
              <w:tabs>
                <w:tab w:val="clear" w:pos="1080"/>
                <w:tab w:val="num" w:pos="324"/>
              </w:tabs>
              <w:spacing w:before="0"/>
              <w:ind w:left="324" w:hanging="283"/>
              <w:rPr>
                <w:rFonts w:cs="Arial"/>
              </w:rPr>
            </w:pPr>
            <w:r w:rsidRPr="00F62521">
              <w:rPr>
                <w:rFonts w:cs="Arial"/>
              </w:rPr>
              <w:t>Work collaboratively with Work Brokers and other service delivery staff who work with local employers and industry groups.</w:t>
            </w:r>
          </w:p>
          <w:p w:rsidR="00F62521" w:rsidRPr="00F62521" w:rsidRDefault="00F62521" w:rsidP="00F62521">
            <w:pPr>
              <w:numPr>
                <w:ilvl w:val="0"/>
                <w:numId w:val="33"/>
              </w:numPr>
              <w:tabs>
                <w:tab w:val="clear" w:pos="1080"/>
                <w:tab w:val="num" w:pos="324"/>
              </w:tabs>
              <w:spacing w:before="0"/>
              <w:ind w:left="324" w:hanging="283"/>
              <w:rPr>
                <w:rFonts w:cs="Arial"/>
              </w:rPr>
            </w:pPr>
            <w:r w:rsidRPr="00F62521">
              <w:rPr>
                <w:rFonts w:cs="Arial"/>
              </w:rPr>
              <w:t xml:space="preserve">Ensures an appropriate level of understanding amongst key stakeholders of </w:t>
            </w:r>
            <w:r>
              <w:rPr>
                <w:rFonts w:cs="Arial"/>
              </w:rPr>
              <w:t>Service Delivery</w:t>
            </w:r>
            <w:r w:rsidRPr="00F62521">
              <w:rPr>
                <w:rFonts w:cs="Arial"/>
              </w:rPr>
              <w:t>’s policies, products and services.</w:t>
            </w:r>
          </w:p>
          <w:p w:rsidR="00F62521" w:rsidRPr="00F62521" w:rsidRDefault="00F62521" w:rsidP="00F62521">
            <w:pPr>
              <w:numPr>
                <w:ilvl w:val="0"/>
                <w:numId w:val="33"/>
              </w:numPr>
              <w:tabs>
                <w:tab w:val="clear" w:pos="1080"/>
                <w:tab w:val="num" w:pos="324"/>
              </w:tabs>
              <w:spacing w:before="0"/>
              <w:ind w:left="324" w:hanging="283"/>
            </w:pPr>
            <w:r w:rsidRPr="00F62521">
              <w:rPr>
                <w:rFonts w:cs="Arial"/>
              </w:rPr>
              <w:t xml:space="preserve">Ensures compliance with </w:t>
            </w:r>
            <w:r>
              <w:rPr>
                <w:rFonts w:cs="Arial"/>
              </w:rPr>
              <w:t>Service Delivery</w:t>
            </w:r>
            <w:r w:rsidRPr="00F62521">
              <w:rPr>
                <w:rFonts w:cs="Arial"/>
              </w:rPr>
              <w:t xml:space="preserve"> standards and operating procedures.</w:t>
            </w:r>
          </w:p>
          <w:p w:rsidR="00F62521" w:rsidRPr="00F62521" w:rsidRDefault="00F62521" w:rsidP="00F62521">
            <w:pPr>
              <w:numPr>
                <w:ilvl w:val="0"/>
                <w:numId w:val="33"/>
              </w:numPr>
              <w:tabs>
                <w:tab w:val="clear" w:pos="1080"/>
                <w:tab w:val="num" w:pos="324"/>
              </w:tabs>
              <w:spacing w:before="0"/>
              <w:ind w:left="324" w:hanging="283"/>
            </w:pPr>
            <w:r w:rsidRPr="00F62521">
              <w:rPr>
                <w:rFonts w:cs="Arial"/>
              </w:rPr>
              <w:t>Provides regional account management service to the Ministry of Business, Innovation and Employment including assessing applications for Immigration permits to ensure consistency and the application of regional labour market intelligence.</w:t>
            </w:r>
          </w:p>
          <w:p w:rsidR="00F62521" w:rsidRPr="00F62521" w:rsidRDefault="00F62521" w:rsidP="00F62521">
            <w:pPr>
              <w:numPr>
                <w:ilvl w:val="0"/>
                <w:numId w:val="33"/>
              </w:numPr>
              <w:tabs>
                <w:tab w:val="clear" w:pos="1080"/>
                <w:tab w:val="num" w:pos="324"/>
              </w:tabs>
              <w:spacing w:before="0"/>
              <w:ind w:left="324" w:hanging="283"/>
            </w:pPr>
            <w:r w:rsidRPr="00F62521">
              <w:rPr>
                <w:rFonts w:cs="Arial"/>
              </w:rPr>
              <w:t>Conducts labour market checks</w:t>
            </w:r>
            <w:r w:rsidRPr="00F62521">
              <w:t>.</w:t>
            </w:r>
          </w:p>
          <w:p w:rsidR="00F62521" w:rsidRPr="00F62521" w:rsidRDefault="00F62521" w:rsidP="00F62521">
            <w:pPr>
              <w:numPr>
                <w:ilvl w:val="0"/>
                <w:numId w:val="33"/>
              </w:numPr>
              <w:tabs>
                <w:tab w:val="clear" w:pos="1080"/>
                <w:tab w:val="num" w:pos="324"/>
              </w:tabs>
              <w:spacing w:before="0"/>
              <w:ind w:left="324" w:hanging="283"/>
            </w:pPr>
            <w:r w:rsidRPr="00F62521">
              <w:rPr>
                <w:rFonts w:cs="Arial"/>
              </w:rPr>
              <w:t>Provide redundancy support to employers</w:t>
            </w:r>
            <w:r w:rsidRPr="00F62521">
              <w:t>.</w:t>
            </w:r>
          </w:p>
        </w:tc>
      </w:tr>
      <w:tr w:rsidR="00F62521" w:rsidRPr="00F62521" w:rsidTr="00D57C3D">
        <w:trPr>
          <w:trHeight w:val="138"/>
        </w:trPr>
        <w:tc>
          <w:tcPr>
            <w:tcW w:w="2197" w:type="dxa"/>
            <w:shd w:val="clear" w:color="auto" w:fill="auto"/>
          </w:tcPr>
          <w:p w:rsidR="00F62521" w:rsidRPr="00F62521" w:rsidRDefault="00F62521" w:rsidP="00D57C3D">
            <w:pPr>
              <w:pStyle w:val="Heading7"/>
              <w:spacing w:before="60"/>
              <w:jc w:val="center"/>
              <w:rPr>
                <w:rFonts w:ascii="Arial Mäori" w:hAnsi="Arial Mäori" w:cs="Arial"/>
                <w:b/>
                <w:bCs/>
                <w:sz w:val="22"/>
                <w:szCs w:val="22"/>
              </w:rPr>
            </w:pPr>
          </w:p>
          <w:p w:rsidR="00F62521" w:rsidRPr="00F62521" w:rsidRDefault="00F62521" w:rsidP="00D57C3D">
            <w:pPr>
              <w:pStyle w:val="Heading7"/>
              <w:spacing w:before="60"/>
              <w:jc w:val="center"/>
              <w:rPr>
                <w:rFonts w:ascii="Arial Mäori" w:hAnsi="Arial Mäori" w:cs="Arial"/>
                <w:b/>
                <w:bCs/>
                <w:sz w:val="22"/>
                <w:szCs w:val="22"/>
              </w:rPr>
            </w:pPr>
            <w:r w:rsidRPr="00F62521">
              <w:rPr>
                <w:rFonts w:ascii="Arial Mäori" w:hAnsi="Arial Mäori" w:cs="Arial"/>
                <w:b/>
                <w:bCs/>
                <w:sz w:val="22"/>
                <w:szCs w:val="22"/>
              </w:rPr>
              <w:t>Training and Employment Programmes</w:t>
            </w:r>
          </w:p>
        </w:tc>
        <w:tc>
          <w:tcPr>
            <w:tcW w:w="7305" w:type="dxa"/>
            <w:shd w:val="clear" w:color="auto" w:fill="auto"/>
          </w:tcPr>
          <w:p w:rsidR="00F62521" w:rsidRPr="00F62521" w:rsidRDefault="00F62521" w:rsidP="00F62521">
            <w:pPr>
              <w:numPr>
                <w:ilvl w:val="0"/>
                <w:numId w:val="33"/>
              </w:numPr>
              <w:tabs>
                <w:tab w:val="clear" w:pos="1080"/>
                <w:tab w:val="num" w:pos="324"/>
              </w:tabs>
              <w:spacing w:before="0"/>
              <w:ind w:left="324" w:hanging="283"/>
            </w:pPr>
            <w:r w:rsidRPr="00F62521">
              <w:t>Works with industry training organisations, training providers and tertiary institutions to implement skills development programmes which align to the needs of clients and the labour market.</w:t>
            </w:r>
          </w:p>
          <w:p w:rsidR="00F62521" w:rsidRPr="00F62521" w:rsidRDefault="00F62521" w:rsidP="00F62521">
            <w:pPr>
              <w:numPr>
                <w:ilvl w:val="0"/>
                <w:numId w:val="33"/>
              </w:numPr>
              <w:tabs>
                <w:tab w:val="clear" w:pos="1080"/>
                <w:tab w:val="num" w:pos="324"/>
                <w:tab w:val="num" w:pos="709"/>
              </w:tabs>
              <w:spacing w:before="0"/>
              <w:ind w:left="324" w:hanging="283"/>
            </w:pPr>
            <w:r w:rsidRPr="00F62521">
              <w:t>Promotes improved outcomes for participants in employment programmes and initiatives by ensuring improved matching and retention rates between clients and providers, and follow up activity where appropriate.</w:t>
            </w:r>
          </w:p>
          <w:p w:rsidR="00F62521" w:rsidRPr="00F62521" w:rsidRDefault="00F62521" w:rsidP="00F62521">
            <w:pPr>
              <w:numPr>
                <w:ilvl w:val="0"/>
                <w:numId w:val="33"/>
              </w:numPr>
              <w:tabs>
                <w:tab w:val="clear" w:pos="1080"/>
                <w:tab w:val="num" w:pos="324"/>
              </w:tabs>
              <w:spacing w:before="0"/>
              <w:ind w:left="324" w:hanging="283"/>
            </w:pPr>
            <w:r w:rsidRPr="00F62521">
              <w:rPr>
                <w:rFonts w:cs="Arial"/>
              </w:rPr>
              <w:t>Ensures the delivery of improved outcomes for participants in employment programmes and initiatives.</w:t>
            </w:r>
          </w:p>
        </w:tc>
      </w:tr>
      <w:tr w:rsidR="00F62521" w:rsidRPr="00F62521" w:rsidTr="00D57C3D">
        <w:trPr>
          <w:trHeight w:val="138"/>
        </w:trPr>
        <w:tc>
          <w:tcPr>
            <w:tcW w:w="2197" w:type="dxa"/>
            <w:shd w:val="clear" w:color="auto" w:fill="auto"/>
          </w:tcPr>
          <w:p w:rsidR="00F62521" w:rsidRPr="00F62521" w:rsidRDefault="00F62521" w:rsidP="00D57C3D">
            <w:pPr>
              <w:pStyle w:val="Heading7"/>
              <w:spacing w:before="60"/>
              <w:jc w:val="center"/>
              <w:rPr>
                <w:rFonts w:ascii="Arial Mäori" w:hAnsi="Arial Mäori" w:cs="Arial"/>
                <w:b/>
                <w:bCs/>
                <w:sz w:val="22"/>
                <w:szCs w:val="22"/>
              </w:rPr>
            </w:pPr>
          </w:p>
          <w:p w:rsidR="00F62521" w:rsidRPr="00F62521" w:rsidRDefault="00F62521" w:rsidP="00D57C3D">
            <w:pPr>
              <w:pStyle w:val="Heading7"/>
              <w:spacing w:before="60"/>
              <w:jc w:val="center"/>
              <w:rPr>
                <w:rFonts w:ascii="Arial Mäori" w:hAnsi="Arial Mäori" w:cs="Arial"/>
                <w:b/>
                <w:bCs/>
                <w:sz w:val="22"/>
                <w:szCs w:val="22"/>
              </w:rPr>
            </w:pPr>
            <w:r w:rsidRPr="00F62521">
              <w:rPr>
                <w:rFonts w:ascii="Arial Mäori" w:hAnsi="Arial Mäori" w:cs="Arial"/>
                <w:b/>
                <w:bCs/>
                <w:sz w:val="22"/>
                <w:szCs w:val="22"/>
              </w:rPr>
              <w:t>Employer Services Liaison</w:t>
            </w:r>
          </w:p>
          <w:p w:rsidR="00F62521" w:rsidRPr="00F62521" w:rsidRDefault="00F62521" w:rsidP="00D57C3D">
            <w:pPr>
              <w:pStyle w:val="Heading7"/>
              <w:spacing w:before="60"/>
              <w:jc w:val="center"/>
              <w:rPr>
                <w:rFonts w:ascii="Arial Mäori" w:hAnsi="Arial Mäori" w:cs="Arial"/>
                <w:b/>
                <w:bCs/>
                <w:sz w:val="22"/>
                <w:szCs w:val="22"/>
              </w:rPr>
            </w:pPr>
          </w:p>
        </w:tc>
        <w:tc>
          <w:tcPr>
            <w:tcW w:w="7305" w:type="dxa"/>
            <w:shd w:val="clear" w:color="auto" w:fill="auto"/>
          </w:tcPr>
          <w:p w:rsidR="00F62521" w:rsidRPr="00F62521" w:rsidRDefault="00F62521" w:rsidP="00F62521">
            <w:pPr>
              <w:numPr>
                <w:ilvl w:val="0"/>
                <w:numId w:val="33"/>
              </w:numPr>
              <w:tabs>
                <w:tab w:val="clear" w:pos="1080"/>
                <w:tab w:val="num" w:pos="324"/>
              </w:tabs>
              <w:spacing w:before="0"/>
              <w:ind w:left="324" w:hanging="283"/>
            </w:pPr>
            <w:r w:rsidRPr="00F62521">
              <w:t xml:space="preserve">Liaises with Employer Services to coordinate the implementation of national partnerships / programmes / employment initiatives at a regional level.  </w:t>
            </w:r>
          </w:p>
          <w:p w:rsidR="00F62521" w:rsidRPr="00F62521" w:rsidRDefault="00F62521" w:rsidP="00F62521">
            <w:pPr>
              <w:numPr>
                <w:ilvl w:val="0"/>
                <w:numId w:val="33"/>
              </w:numPr>
              <w:tabs>
                <w:tab w:val="clear" w:pos="1080"/>
                <w:tab w:val="num" w:pos="324"/>
              </w:tabs>
              <w:spacing w:before="0"/>
              <w:ind w:left="324" w:hanging="283"/>
            </w:pPr>
            <w:r w:rsidRPr="00F62521">
              <w:t>Works with Employer Services to develop and implement a skills assessment and referral strategy for sourcing appropriate clients for national partnership programmes.</w:t>
            </w:r>
          </w:p>
          <w:p w:rsidR="00F62521" w:rsidRPr="00F62521" w:rsidRDefault="00F62521" w:rsidP="00F62521">
            <w:pPr>
              <w:numPr>
                <w:ilvl w:val="0"/>
                <w:numId w:val="33"/>
              </w:numPr>
              <w:tabs>
                <w:tab w:val="clear" w:pos="1080"/>
                <w:tab w:val="num" w:pos="324"/>
              </w:tabs>
              <w:spacing w:before="0"/>
              <w:ind w:left="324" w:hanging="283"/>
            </w:pPr>
            <w:r w:rsidRPr="00F62521">
              <w:t xml:space="preserve">Markets and facilitates the recruitment of </w:t>
            </w:r>
            <w:r>
              <w:t>Service Delivery</w:t>
            </w:r>
            <w:r w:rsidRPr="00F62521">
              <w:t xml:space="preserve"> clients to participate in national employment programmes with Service Centres across the region.</w:t>
            </w:r>
          </w:p>
          <w:p w:rsidR="00F62521" w:rsidRPr="00F62521" w:rsidRDefault="00F62521" w:rsidP="00F62521">
            <w:pPr>
              <w:numPr>
                <w:ilvl w:val="0"/>
                <w:numId w:val="33"/>
              </w:numPr>
              <w:tabs>
                <w:tab w:val="clear" w:pos="1080"/>
                <w:tab w:val="num" w:pos="324"/>
              </w:tabs>
              <w:spacing w:before="0"/>
              <w:ind w:left="324" w:hanging="283"/>
            </w:pPr>
            <w:r w:rsidRPr="00F62521">
              <w:t>Develops and maintains relationships with local employers which facilitate the outcomes established for National Partnership Programmes.</w:t>
            </w:r>
          </w:p>
          <w:p w:rsidR="00F62521" w:rsidRPr="00F62521" w:rsidRDefault="00F62521" w:rsidP="00F62521">
            <w:pPr>
              <w:numPr>
                <w:ilvl w:val="0"/>
                <w:numId w:val="33"/>
              </w:numPr>
              <w:tabs>
                <w:tab w:val="clear" w:pos="1080"/>
                <w:tab w:val="num" w:pos="324"/>
              </w:tabs>
              <w:spacing w:before="0"/>
              <w:ind w:left="324" w:hanging="283"/>
            </w:pPr>
            <w:r w:rsidRPr="00F62521">
              <w:t>Provide labour market intelligence to Employer Services for reporting at a national level.</w:t>
            </w:r>
          </w:p>
        </w:tc>
      </w:tr>
      <w:tr w:rsidR="00F62521" w:rsidRPr="00F62521" w:rsidTr="00D57C3D">
        <w:trPr>
          <w:trHeight w:val="1761"/>
        </w:trPr>
        <w:tc>
          <w:tcPr>
            <w:tcW w:w="2197" w:type="dxa"/>
            <w:tcBorders>
              <w:top w:val="double" w:sz="4" w:space="0" w:color="auto"/>
              <w:left w:val="double" w:sz="4" w:space="0" w:color="auto"/>
              <w:bottom w:val="double" w:sz="4" w:space="0" w:color="auto"/>
              <w:right w:val="double" w:sz="4" w:space="0" w:color="auto"/>
            </w:tcBorders>
            <w:shd w:val="clear" w:color="auto" w:fill="auto"/>
          </w:tcPr>
          <w:p w:rsidR="00F62521" w:rsidRPr="00F62521" w:rsidRDefault="00F62521" w:rsidP="00D57C3D">
            <w:pPr>
              <w:jc w:val="center"/>
              <w:rPr>
                <w:rFonts w:cs="Arial"/>
                <w:b/>
                <w:bCs/>
              </w:rPr>
            </w:pPr>
          </w:p>
          <w:p w:rsidR="00F62521" w:rsidRPr="00F62521" w:rsidRDefault="00F62521" w:rsidP="00D57C3D">
            <w:pPr>
              <w:pStyle w:val="Heading7"/>
              <w:spacing w:before="60"/>
              <w:jc w:val="center"/>
              <w:rPr>
                <w:rFonts w:ascii="Arial Mäori" w:hAnsi="Arial Mäori" w:cs="Arial"/>
                <w:b/>
                <w:bCs/>
                <w:sz w:val="22"/>
                <w:szCs w:val="22"/>
              </w:rPr>
            </w:pPr>
            <w:r w:rsidRPr="00F62521">
              <w:rPr>
                <w:rFonts w:ascii="Arial Mäori" w:hAnsi="Arial Mäori" w:cs="Arial"/>
                <w:b/>
                <w:bCs/>
                <w:sz w:val="22"/>
                <w:szCs w:val="22"/>
              </w:rPr>
              <w:t>Labour Market Analysis</w:t>
            </w:r>
          </w:p>
          <w:p w:rsidR="00F62521" w:rsidRPr="00F62521" w:rsidRDefault="00F62521" w:rsidP="00D57C3D">
            <w:pPr>
              <w:jc w:val="center"/>
              <w:rPr>
                <w:rFonts w:cs="Arial"/>
                <w:b/>
                <w:bCs/>
              </w:rPr>
            </w:pP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F62521" w:rsidRPr="00F62521" w:rsidRDefault="00F62521" w:rsidP="00F62521">
            <w:pPr>
              <w:numPr>
                <w:ilvl w:val="0"/>
                <w:numId w:val="33"/>
              </w:numPr>
              <w:tabs>
                <w:tab w:val="clear" w:pos="1080"/>
                <w:tab w:val="num" w:pos="324"/>
              </w:tabs>
              <w:spacing w:before="0"/>
              <w:ind w:left="324" w:hanging="283"/>
            </w:pPr>
            <w:r w:rsidRPr="00F62521">
              <w:t xml:space="preserve">Gathers local labour market intelligence and conducts analysis to identify trends, opportunities and issues in regard to local labour market performance. </w:t>
            </w:r>
          </w:p>
          <w:p w:rsidR="00F62521" w:rsidRPr="00F62521" w:rsidRDefault="00F62521" w:rsidP="00F62521">
            <w:pPr>
              <w:numPr>
                <w:ilvl w:val="0"/>
                <w:numId w:val="33"/>
              </w:numPr>
              <w:tabs>
                <w:tab w:val="clear" w:pos="1080"/>
                <w:tab w:val="num" w:pos="324"/>
              </w:tabs>
              <w:spacing w:before="0"/>
              <w:ind w:left="324" w:hanging="283"/>
            </w:pPr>
            <w:r w:rsidRPr="00F62521">
              <w:t xml:space="preserve">Analyses the return on investment for the region’s account management activity, industry partnerships, employment programmes and initiatives. </w:t>
            </w:r>
          </w:p>
          <w:p w:rsidR="00F62521" w:rsidRPr="00F62521" w:rsidRDefault="00F62521" w:rsidP="00F62521">
            <w:pPr>
              <w:numPr>
                <w:ilvl w:val="0"/>
                <w:numId w:val="33"/>
              </w:numPr>
              <w:tabs>
                <w:tab w:val="clear" w:pos="1080"/>
                <w:tab w:val="num" w:pos="324"/>
                <w:tab w:val="num" w:pos="709"/>
              </w:tabs>
              <w:spacing w:before="0"/>
              <w:ind w:left="324" w:hanging="283"/>
            </w:pPr>
            <w:r w:rsidRPr="00F62521">
              <w:t>Participates in the development of performance measures and target allocation.</w:t>
            </w:r>
          </w:p>
        </w:tc>
      </w:tr>
      <w:tr w:rsidR="00F62521" w:rsidRPr="00F62521" w:rsidTr="00D57C3D">
        <w:trPr>
          <w:trHeight w:val="1761"/>
        </w:trPr>
        <w:tc>
          <w:tcPr>
            <w:tcW w:w="2197" w:type="dxa"/>
            <w:tcBorders>
              <w:top w:val="double" w:sz="4" w:space="0" w:color="auto"/>
              <w:left w:val="double" w:sz="4" w:space="0" w:color="auto"/>
              <w:bottom w:val="double" w:sz="4" w:space="0" w:color="auto"/>
              <w:right w:val="double" w:sz="4" w:space="0" w:color="auto"/>
            </w:tcBorders>
            <w:shd w:val="clear" w:color="auto" w:fill="auto"/>
          </w:tcPr>
          <w:p w:rsidR="00F62521" w:rsidRPr="00F62521" w:rsidRDefault="00F62521" w:rsidP="00D57C3D">
            <w:pPr>
              <w:jc w:val="center"/>
              <w:rPr>
                <w:rFonts w:cs="Arial"/>
                <w:b/>
                <w:bCs/>
              </w:rPr>
            </w:pPr>
          </w:p>
          <w:p w:rsidR="00F62521" w:rsidRPr="00F62521" w:rsidRDefault="00F62521" w:rsidP="00D57C3D">
            <w:pPr>
              <w:pStyle w:val="Heading7"/>
              <w:spacing w:before="60"/>
              <w:jc w:val="center"/>
              <w:rPr>
                <w:rFonts w:ascii="Arial Mäori" w:hAnsi="Arial Mäori" w:cs="Arial"/>
                <w:b/>
                <w:bCs/>
                <w:sz w:val="22"/>
                <w:szCs w:val="22"/>
              </w:rPr>
            </w:pPr>
            <w:r w:rsidRPr="00F62521">
              <w:rPr>
                <w:rFonts w:ascii="Arial Mäori" w:hAnsi="Arial Mäori" w:cs="Arial"/>
                <w:b/>
                <w:bCs/>
                <w:sz w:val="22"/>
                <w:szCs w:val="22"/>
              </w:rPr>
              <w:t>Report and Monitoring</w:t>
            </w:r>
          </w:p>
          <w:p w:rsidR="00F62521" w:rsidRPr="00F62521" w:rsidRDefault="00F62521" w:rsidP="00D57C3D">
            <w:pPr>
              <w:jc w:val="center"/>
              <w:rPr>
                <w:rFonts w:cs="Arial"/>
                <w:b/>
                <w:bCs/>
              </w:rPr>
            </w:pP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F62521" w:rsidRPr="00F62521" w:rsidRDefault="00F62521" w:rsidP="00F62521">
            <w:pPr>
              <w:numPr>
                <w:ilvl w:val="0"/>
                <w:numId w:val="33"/>
              </w:numPr>
              <w:tabs>
                <w:tab w:val="clear" w:pos="1080"/>
                <w:tab w:val="num" w:pos="324"/>
              </w:tabs>
              <w:spacing w:before="40" w:after="40"/>
              <w:ind w:left="324" w:hanging="283"/>
              <w:rPr>
                <w:rFonts w:cs="Arial"/>
              </w:rPr>
            </w:pPr>
            <w:r w:rsidRPr="00F62521">
              <w:rPr>
                <w:rFonts w:cs="Arial"/>
              </w:rPr>
              <w:t>Develops and maintains systems that monitor and evaluate the progress of account management activity, employment programmes and initiatives within the region.</w:t>
            </w:r>
          </w:p>
          <w:p w:rsidR="00F62521" w:rsidRPr="00F62521" w:rsidRDefault="00F62521" w:rsidP="00F62521">
            <w:pPr>
              <w:numPr>
                <w:ilvl w:val="0"/>
                <w:numId w:val="33"/>
              </w:numPr>
              <w:tabs>
                <w:tab w:val="clear" w:pos="1080"/>
                <w:tab w:val="num" w:pos="324"/>
              </w:tabs>
              <w:spacing w:before="0"/>
              <w:ind w:left="324" w:hanging="283"/>
            </w:pPr>
            <w:r w:rsidRPr="00F62521">
              <w:t>Prepares regular and ad hoc reports on local labour market and account management activity for internal and external stakeholders as required.</w:t>
            </w:r>
          </w:p>
          <w:p w:rsidR="00F62521" w:rsidRPr="00F62521" w:rsidRDefault="00F62521" w:rsidP="00F62521">
            <w:pPr>
              <w:numPr>
                <w:ilvl w:val="0"/>
                <w:numId w:val="33"/>
              </w:numPr>
              <w:tabs>
                <w:tab w:val="clear" w:pos="1080"/>
                <w:tab w:val="num" w:pos="324"/>
              </w:tabs>
              <w:spacing w:before="40" w:after="40"/>
              <w:ind w:left="324" w:hanging="283"/>
              <w:rPr>
                <w:rFonts w:cs="Arial"/>
              </w:rPr>
            </w:pPr>
            <w:r w:rsidRPr="00F62521">
              <w:t>Prepares commentary and recommendations as required in performance reports.</w:t>
            </w:r>
          </w:p>
          <w:p w:rsidR="00F62521" w:rsidRPr="00F62521" w:rsidRDefault="00F62521" w:rsidP="00F62521">
            <w:pPr>
              <w:numPr>
                <w:ilvl w:val="0"/>
                <w:numId w:val="33"/>
              </w:numPr>
              <w:tabs>
                <w:tab w:val="clear" w:pos="1080"/>
                <w:tab w:val="num" w:pos="324"/>
              </w:tabs>
              <w:spacing w:before="0"/>
              <w:ind w:left="324" w:hanging="283"/>
            </w:pPr>
            <w:r w:rsidRPr="00F62521">
              <w:t>Maintains all account management records and other related administrative duties with respect to relevant partnerships/programmes.</w:t>
            </w:r>
          </w:p>
        </w:tc>
      </w:tr>
      <w:tr w:rsidR="00F62521" w:rsidRPr="00F62521" w:rsidTr="00D57C3D">
        <w:trPr>
          <w:trHeight w:val="689"/>
        </w:trPr>
        <w:tc>
          <w:tcPr>
            <w:tcW w:w="2197" w:type="dxa"/>
            <w:tcBorders>
              <w:top w:val="double" w:sz="4" w:space="0" w:color="auto"/>
              <w:left w:val="double" w:sz="4" w:space="0" w:color="auto"/>
              <w:bottom w:val="double" w:sz="4" w:space="0" w:color="auto"/>
              <w:right w:val="double" w:sz="4" w:space="0" w:color="auto"/>
            </w:tcBorders>
            <w:shd w:val="clear" w:color="auto" w:fill="auto"/>
          </w:tcPr>
          <w:p w:rsidR="00F62521" w:rsidRPr="00F62521" w:rsidRDefault="00F62521" w:rsidP="00D57C3D">
            <w:pPr>
              <w:jc w:val="center"/>
              <w:rPr>
                <w:rFonts w:cs="Arial"/>
                <w:b/>
                <w:bCs/>
              </w:rPr>
            </w:pPr>
          </w:p>
          <w:p w:rsidR="00F62521" w:rsidRPr="00F62521" w:rsidRDefault="00F62521" w:rsidP="00D57C3D">
            <w:pPr>
              <w:jc w:val="center"/>
              <w:rPr>
                <w:rFonts w:cs="Arial"/>
                <w:b/>
                <w:bCs/>
              </w:rPr>
            </w:pPr>
            <w:r w:rsidRPr="00F62521">
              <w:rPr>
                <w:rFonts w:cs="Arial"/>
                <w:b/>
                <w:bCs/>
              </w:rPr>
              <w:t xml:space="preserve">Team and Individual Performance </w:t>
            </w: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F62521" w:rsidRPr="00F62521" w:rsidRDefault="00F62521" w:rsidP="00F62521">
            <w:pPr>
              <w:numPr>
                <w:ilvl w:val="0"/>
                <w:numId w:val="33"/>
              </w:numPr>
              <w:tabs>
                <w:tab w:val="clear" w:pos="1080"/>
                <w:tab w:val="num" w:pos="324"/>
              </w:tabs>
              <w:spacing w:before="0"/>
              <w:ind w:left="324" w:hanging="283"/>
            </w:pPr>
            <w:r w:rsidRPr="00F62521">
              <w:t>Participates in and contributes to related projects within the region as appropriate.</w:t>
            </w:r>
          </w:p>
          <w:p w:rsidR="00F62521" w:rsidRPr="00F62521" w:rsidRDefault="00F62521" w:rsidP="00F62521">
            <w:pPr>
              <w:numPr>
                <w:ilvl w:val="0"/>
                <w:numId w:val="33"/>
              </w:numPr>
              <w:tabs>
                <w:tab w:val="clear" w:pos="1080"/>
                <w:tab w:val="num" w:pos="324"/>
              </w:tabs>
              <w:spacing w:before="0"/>
              <w:ind w:left="324" w:hanging="283"/>
            </w:pPr>
            <w:r w:rsidRPr="00F62521">
              <w:t>Actively contributes towards the development of team activities and goals.</w:t>
            </w:r>
          </w:p>
          <w:p w:rsidR="00F62521" w:rsidRPr="00F62521" w:rsidRDefault="00F62521" w:rsidP="00F62521">
            <w:pPr>
              <w:numPr>
                <w:ilvl w:val="0"/>
                <w:numId w:val="33"/>
              </w:numPr>
              <w:tabs>
                <w:tab w:val="clear" w:pos="1080"/>
                <w:tab w:val="num" w:pos="324"/>
              </w:tabs>
              <w:spacing w:before="0"/>
              <w:ind w:left="324" w:hanging="283"/>
            </w:pPr>
            <w:r w:rsidRPr="00F62521">
              <w:t>Identifies and acts on personal learning and development opportunities.</w:t>
            </w:r>
          </w:p>
        </w:tc>
      </w:tr>
    </w:tbl>
    <w:p w:rsidR="00F62521" w:rsidRPr="00F62521" w:rsidRDefault="00F62521" w:rsidP="00F62521">
      <w:pPr>
        <w:jc w:val="both"/>
        <w:rPr>
          <w:rFonts w:cs="Arial"/>
          <w: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62521" w:rsidRPr="00F62521" w:rsidTr="00D57C3D">
        <w:trPr>
          <w:trHeight w:val="4880"/>
        </w:trPr>
        <w:tc>
          <w:tcPr>
            <w:tcW w:w="9540" w:type="dxa"/>
            <w:tcBorders>
              <w:top w:val="nil"/>
              <w:left w:val="nil"/>
              <w:bottom w:val="nil"/>
              <w:right w:val="nil"/>
            </w:tcBorders>
            <w:shd w:val="clear" w:color="auto" w:fill="auto"/>
          </w:tcPr>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Default="00F62521" w:rsidP="00F62521">
            <w:pPr>
              <w:rPr>
                <w:smallCaps/>
                <w:sz w:val="24"/>
                <w:szCs w:val="24"/>
              </w:rPr>
            </w:pPr>
          </w:p>
          <w:p w:rsidR="00F62521" w:rsidRPr="00F62521" w:rsidRDefault="00F62521" w:rsidP="00F62521">
            <w:pPr>
              <w:rPr>
                <w:smallCaps/>
                <w:sz w:val="24"/>
                <w:szCs w:val="24"/>
              </w:rPr>
            </w:pPr>
            <w:r w:rsidRPr="00F62521">
              <w:rPr>
                <w:smallCaps/>
                <w:sz w:val="24"/>
                <w:szCs w:val="24"/>
              </w:rPr>
              <w:br/>
            </w:r>
            <w:r w:rsidRPr="00F62521">
              <w:rPr>
                <w:rFonts w:cs="Arial"/>
                <w:b/>
                <w:sz w:val="24"/>
                <w:szCs w:val="24"/>
              </w:rPr>
              <w:lastRenderedPageBreak/>
              <w:t>Technical/Professional Knowledge and Experience</w:t>
            </w:r>
          </w:p>
          <w:p w:rsidR="00F62521" w:rsidRPr="00F62521" w:rsidRDefault="00F62521" w:rsidP="00D57C3D"/>
          <w:p w:rsidR="00F62521" w:rsidRPr="00F62521" w:rsidRDefault="00F62521" w:rsidP="00F62521">
            <w:pPr>
              <w:numPr>
                <w:ilvl w:val="0"/>
                <w:numId w:val="32"/>
              </w:numPr>
              <w:spacing w:before="0"/>
              <w:jc w:val="both"/>
            </w:pPr>
            <w:r w:rsidRPr="00F62521">
              <w:t>A relevant tertiary qualification is highly desirable.</w:t>
            </w:r>
          </w:p>
          <w:p w:rsidR="00F62521" w:rsidRPr="00F62521" w:rsidRDefault="00F62521" w:rsidP="00F62521">
            <w:pPr>
              <w:numPr>
                <w:ilvl w:val="0"/>
                <w:numId w:val="32"/>
              </w:numPr>
              <w:spacing w:before="0"/>
              <w:rPr>
                <w:rFonts w:cs="Arial"/>
              </w:rPr>
            </w:pPr>
            <w:r w:rsidRPr="00F62521">
              <w:rPr>
                <w:rFonts w:cs="Arial"/>
              </w:rPr>
              <w:t>High level of technical and professional knowledge in job related areas.</w:t>
            </w:r>
          </w:p>
          <w:p w:rsidR="00F62521" w:rsidRPr="00F62521" w:rsidRDefault="00F62521" w:rsidP="00F62521">
            <w:pPr>
              <w:numPr>
                <w:ilvl w:val="0"/>
                <w:numId w:val="32"/>
              </w:numPr>
              <w:spacing w:before="0"/>
              <w:jc w:val="both"/>
              <w:rPr>
                <w:smallCaps/>
              </w:rPr>
            </w:pPr>
            <w:r w:rsidRPr="00F62521">
              <w:t xml:space="preserve">Knowledge of Government practices, processes and priorities an advantage. </w:t>
            </w:r>
          </w:p>
          <w:p w:rsidR="00F62521" w:rsidRPr="00F62521" w:rsidRDefault="00F62521" w:rsidP="00F62521">
            <w:pPr>
              <w:numPr>
                <w:ilvl w:val="0"/>
                <w:numId w:val="32"/>
              </w:numPr>
              <w:tabs>
                <w:tab w:val="left" w:pos="425"/>
                <w:tab w:val="left" w:pos="6521"/>
              </w:tabs>
              <w:spacing w:before="0"/>
              <w:rPr>
                <w:rFonts w:cs="Arial"/>
              </w:rPr>
            </w:pPr>
            <w:r w:rsidRPr="00F62521">
              <w:rPr>
                <w:rFonts w:cs="Arial"/>
              </w:rPr>
              <w:t>Demonstrated experience in account management, sales and marketing within a large organisation.</w:t>
            </w:r>
          </w:p>
          <w:p w:rsidR="00F62521" w:rsidRPr="00F62521" w:rsidRDefault="00F62521" w:rsidP="00F62521">
            <w:pPr>
              <w:numPr>
                <w:ilvl w:val="0"/>
                <w:numId w:val="32"/>
              </w:numPr>
              <w:tabs>
                <w:tab w:val="left" w:pos="425"/>
                <w:tab w:val="left" w:pos="6521"/>
              </w:tabs>
              <w:spacing w:before="0"/>
              <w:rPr>
                <w:rFonts w:cs="Arial"/>
              </w:rPr>
            </w:pPr>
            <w:r w:rsidRPr="00F62521">
              <w:rPr>
                <w:rFonts w:cs="Arial"/>
              </w:rPr>
              <w:t>Experience in contract management and negotiations preferred.</w:t>
            </w:r>
          </w:p>
          <w:p w:rsidR="00F62521" w:rsidRPr="00F62521" w:rsidRDefault="00F62521" w:rsidP="00F62521">
            <w:pPr>
              <w:numPr>
                <w:ilvl w:val="0"/>
                <w:numId w:val="32"/>
              </w:numPr>
              <w:spacing w:before="0"/>
              <w:jc w:val="both"/>
              <w:rPr>
                <w:smallCaps/>
              </w:rPr>
            </w:pPr>
            <w:r w:rsidRPr="00F62521">
              <w:t>A proven record in establishing, building and maintaining effective relationships and networks.</w:t>
            </w:r>
          </w:p>
          <w:p w:rsidR="00F62521" w:rsidRPr="00F62521" w:rsidRDefault="00F62521" w:rsidP="00F62521">
            <w:pPr>
              <w:numPr>
                <w:ilvl w:val="0"/>
                <w:numId w:val="32"/>
              </w:numPr>
              <w:spacing w:before="0"/>
              <w:jc w:val="both"/>
              <w:rPr>
                <w:smallCaps/>
              </w:rPr>
            </w:pPr>
            <w:r w:rsidRPr="00F62521">
              <w:t>Demonstrated ability to collect data and conduct effective and meaningful trends and return on investment analysis.</w:t>
            </w:r>
          </w:p>
          <w:p w:rsidR="00F62521" w:rsidRPr="00F62521" w:rsidRDefault="00F62521" w:rsidP="00F62521">
            <w:pPr>
              <w:numPr>
                <w:ilvl w:val="0"/>
                <w:numId w:val="32"/>
              </w:numPr>
              <w:spacing w:before="0"/>
              <w:jc w:val="both"/>
              <w:rPr>
                <w:smallCaps/>
              </w:rPr>
            </w:pPr>
            <w:r w:rsidRPr="00F62521">
              <w:t>Ability to translate business information in to effective business solutions.</w:t>
            </w:r>
          </w:p>
          <w:p w:rsidR="00F62521" w:rsidRPr="00F62521" w:rsidRDefault="00F62521" w:rsidP="00F62521">
            <w:pPr>
              <w:numPr>
                <w:ilvl w:val="0"/>
                <w:numId w:val="32"/>
              </w:numPr>
              <w:spacing w:before="0"/>
              <w:jc w:val="both"/>
              <w:rPr>
                <w:smallCaps/>
              </w:rPr>
            </w:pPr>
            <w:r w:rsidRPr="00F62521">
              <w:t xml:space="preserve">Demonstrated ability to write clear and concise reports to a high standard. </w:t>
            </w:r>
          </w:p>
          <w:p w:rsidR="00F62521" w:rsidRPr="00F62521" w:rsidRDefault="00F62521" w:rsidP="00D57C3D">
            <w:pPr>
              <w:ind w:left="720"/>
              <w:jc w:val="both"/>
              <w:rPr>
                <w:smallCaps/>
              </w:rPr>
            </w:pPr>
          </w:p>
          <w:p w:rsidR="00F62521" w:rsidRPr="00F62521" w:rsidRDefault="00F62521" w:rsidP="00D57C3D">
            <w:pPr>
              <w:rPr>
                <w:rFonts w:cs="Arial"/>
                <w:b/>
                <w:sz w:val="24"/>
                <w:szCs w:val="24"/>
              </w:rPr>
            </w:pPr>
            <w:r w:rsidRPr="00F62521">
              <w:rPr>
                <w:rFonts w:cs="Arial"/>
                <w:b/>
                <w:sz w:val="24"/>
                <w:szCs w:val="24"/>
              </w:rPr>
              <w:t>Attributes/Success Factors</w:t>
            </w:r>
          </w:p>
          <w:p w:rsidR="00F62521" w:rsidRPr="00F62521" w:rsidRDefault="00F62521" w:rsidP="00D57C3D">
            <w:pPr>
              <w:rPr>
                <w:rFonts w:cs="Arial"/>
                <w:b/>
                <w:sz w:val="24"/>
                <w:szCs w:val="24"/>
              </w:rPr>
            </w:pPr>
          </w:p>
          <w:p w:rsidR="00F62521" w:rsidRPr="00F62521" w:rsidRDefault="00F62521" w:rsidP="00F62521">
            <w:pPr>
              <w:numPr>
                <w:ilvl w:val="0"/>
                <w:numId w:val="32"/>
              </w:numPr>
              <w:spacing w:before="0"/>
              <w:rPr>
                <w:rFonts w:cs="Arial"/>
              </w:rPr>
            </w:pPr>
            <w:r w:rsidRPr="00F62521">
              <w:rPr>
                <w:rFonts w:cs="Arial"/>
              </w:rPr>
              <w:t>Excellent relationship management skills.</w:t>
            </w:r>
          </w:p>
          <w:p w:rsidR="00F62521" w:rsidRPr="00F62521" w:rsidRDefault="00F62521" w:rsidP="00F62521">
            <w:pPr>
              <w:numPr>
                <w:ilvl w:val="0"/>
                <w:numId w:val="32"/>
              </w:numPr>
              <w:spacing w:before="0"/>
              <w:rPr>
                <w:rFonts w:cs="Arial"/>
              </w:rPr>
            </w:pPr>
            <w:r w:rsidRPr="00F62521">
              <w:rPr>
                <w:rFonts w:cs="Arial"/>
              </w:rPr>
              <w:t>Strong partnership builder.</w:t>
            </w:r>
          </w:p>
          <w:p w:rsidR="00F62521" w:rsidRPr="00F62521" w:rsidRDefault="00F62521" w:rsidP="00F62521">
            <w:pPr>
              <w:numPr>
                <w:ilvl w:val="0"/>
                <w:numId w:val="32"/>
              </w:numPr>
              <w:spacing w:before="0"/>
              <w:rPr>
                <w:rFonts w:cs="Arial"/>
              </w:rPr>
            </w:pPr>
            <w:r w:rsidRPr="00F62521">
              <w:rPr>
                <w:rFonts w:cs="Arial"/>
              </w:rPr>
              <w:t>Exercises sound judgement and political sensitivity.</w:t>
            </w:r>
          </w:p>
          <w:p w:rsidR="00F62521" w:rsidRPr="00F62521" w:rsidRDefault="00F62521" w:rsidP="00F62521">
            <w:pPr>
              <w:numPr>
                <w:ilvl w:val="0"/>
                <w:numId w:val="32"/>
              </w:numPr>
              <w:spacing w:before="0"/>
              <w:rPr>
                <w:rFonts w:cs="Arial"/>
              </w:rPr>
            </w:pPr>
            <w:r w:rsidRPr="00F62521">
              <w:rPr>
                <w:rFonts w:cs="Arial"/>
              </w:rPr>
              <w:t>Highly effective communication skills.</w:t>
            </w:r>
          </w:p>
          <w:p w:rsidR="00F62521" w:rsidRPr="00F62521" w:rsidRDefault="00F62521" w:rsidP="00F62521">
            <w:pPr>
              <w:numPr>
                <w:ilvl w:val="0"/>
                <w:numId w:val="32"/>
              </w:numPr>
              <w:spacing w:before="0"/>
              <w:rPr>
                <w:rFonts w:cs="Arial"/>
              </w:rPr>
            </w:pPr>
            <w:r w:rsidRPr="00F62521">
              <w:rPr>
                <w:rFonts w:cs="Arial"/>
              </w:rPr>
              <w:t>Effective negotiation skills.</w:t>
            </w:r>
          </w:p>
          <w:p w:rsidR="00F62521" w:rsidRPr="00F62521" w:rsidRDefault="00F62521" w:rsidP="00F62521">
            <w:pPr>
              <w:numPr>
                <w:ilvl w:val="0"/>
                <w:numId w:val="32"/>
              </w:numPr>
              <w:spacing w:before="0"/>
              <w:rPr>
                <w:rFonts w:cs="Arial"/>
              </w:rPr>
            </w:pPr>
            <w:r w:rsidRPr="00F62521">
              <w:rPr>
                <w:rFonts w:cs="Arial"/>
              </w:rPr>
              <w:t>Flexible, adaptable and pragmatic.</w:t>
            </w:r>
          </w:p>
          <w:p w:rsidR="00F62521" w:rsidRPr="00F62521" w:rsidRDefault="00F62521" w:rsidP="00F62521">
            <w:pPr>
              <w:numPr>
                <w:ilvl w:val="0"/>
                <w:numId w:val="32"/>
              </w:numPr>
              <w:spacing w:before="0"/>
              <w:rPr>
                <w:rFonts w:cs="Arial"/>
              </w:rPr>
            </w:pPr>
            <w:r w:rsidRPr="00F62521">
              <w:rPr>
                <w:rFonts w:cs="Arial"/>
              </w:rPr>
              <w:t>Business acumen.</w:t>
            </w:r>
          </w:p>
          <w:p w:rsidR="00F62521" w:rsidRPr="00F62521" w:rsidRDefault="00F62521" w:rsidP="00F62521">
            <w:pPr>
              <w:numPr>
                <w:ilvl w:val="0"/>
                <w:numId w:val="32"/>
              </w:numPr>
              <w:spacing w:before="0"/>
              <w:rPr>
                <w:rFonts w:cs="Arial"/>
              </w:rPr>
            </w:pPr>
            <w:r w:rsidRPr="00F62521">
              <w:rPr>
                <w:rFonts w:cs="Arial"/>
              </w:rPr>
              <w:t>Strong client focus.</w:t>
            </w:r>
          </w:p>
          <w:p w:rsidR="00F62521" w:rsidRPr="00F62521" w:rsidRDefault="00F62521" w:rsidP="00F62521">
            <w:pPr>
              <w:numPr>
                <w:ilvl w:val="0"/>
                <w:numId w:val="32"/>
              </w:numPr>
              <w:spacing w:before="0"/>
              <w:rPr>
                <w:rFonts w:cs="Arial"/>
              </w:rPr>
            </w:pPr>
            <w:r w:rsidRPr="00F62521">
              <w:rPr>
                <w:rFonts w:cs="Arial"/>
              </w:rPr>
              <w:t>Organisational and environmental awareness.</w:t>
            </w:r>
          </w:p>
          <w:p w:rsidR="00F62521" w:rsidRPr="00F62521" w:rsidRDefault="00F62521" w:rsidP="00F62521">
            <w:pPr>
              <w:numPr>
                <w:ilvl w:val="0"/>
                <w:numId w:val="32"/>
              </w:numPr>
              <w:spacing w:before="0"/>
              <w:rPr>
                <w:rFonts w:cs="Arial"/>
              </w:rPr>
            </w:pPr>
            <w:r w:rsidRPr="00F62521">
              <w:rPr>
                <w:rFonts w:cs="Arial"/>
              </w:rPr>
              <w:t>Welcomes and values diversity, and contributes to an inclusive working environment where differences are acknowledged and respected.</w:t>
            </w:r>
          </w:p>
          <w:p w:rsidR="00F62521" w:rsidRPr="00F62521" w:rsidRDefault="00F62521" w:rsidP="00D57C3D">
            <w:pPr>
              <w:ind w:left="360"/>
              <w:rPr>
                <w:rFonts w:cs="Arial"/>
              </w:rPr>
            </w:pPr>
            <w:r w:rsidRPr="00F62521">
              <w:rPr>
                <w:rFonts w:cs="Arial"/>
              </w:rPr>
              <w:t>.</w:t>
            </w:r>
          </w:p>
          <w:p w:rsidR="00F62521" w:rsidRPr="00F62521" w:rsidRDefault="00F62521" w:rsidP="00D57C3D">
            <w:pPr>
              <w:rPr>
                <w:rFonts w:cs="Arial"/>
                <w:b/>
                <w:sz w:val="24"/>
                <w:szCs w:val="24"/>
              </w:rPr>
            </w:pPr>
            <w:r w:rsidRPr="00F62521">
              <w:rPr>
                <w:rFonts w:cs="Arial"/>
                <w:b/>
                <w:sz w:val="24"/>
                <w:szCs w:val="24"/>
              </w:rPr>
              <w:t>Other Requirements</w:t>
            </w:r>
          </w:p>
          <w:p w:rsidR="00F62521" w:rsidRPr="00F62521" w:rsidRDefault="00F62521" w:rsidP="00D57C3D">
            <w:pPr>
              <w:rPr>
                <w:rFonts w:cs="Arial"/>
                <w:b/>
                <w:sz w:val="24"/>
                <w:szCs w:val="24"/>
              </w:rPr>
            </w:pPr>
          </w:p>
          <w:p w:rsidR="00F62521" w:rsidRPr="00F62521" w:rsidRDefault="00F62521" w:rsidP="00F62521">
            <w:pPr>
              <w:numPr>
                <w:ilvl w:val="0"/>
                <w:numId w:val="32"/>
              </w:numPr>
              <w:spacing w:before="0"/>
              <w:jc w:val="both"/>
              <w:rPr>
                <w:rFonts w:cs="Arial"/>
              </w:rPr>
            </w:pPr>
            <w:r w:rsidRPr="00F62521">
              <w:rPr>
                <w:rFonts w:cs="Arial"/>
              </w:rPr>
              <w:t>Willing to travel to fulfil job requirements.</w:t>
            </w:r>
          </w:p>
          <w:p w:rsidR="00F62521" w:rsidRPr="00F62521" w:rsidRDefault="00F62521" w:rsidP="00D57C3D">
            <w:pPr>
              <w:jc w:val="both"/>
              <w:rPr>
                <w:rFonts w:cs="Arial"/>
              </w:rPr>
            </w:pPr>
          </w:p>
        </w:tc>
      </w:tr>
    </w:tbl>
    <w:p w:rsidR="00F62521" w:rsidRPr="00F62521" w:rsidRDefault="00F62521" w:rsidP="00E63BC1">
      <w:bookmarkStart w:id="0" w:name="_GoBack"/>
      <w:bookmarkEnd w:id="0"/>
    </w:p>
    <w:sectPr w:rsidR="00F62521" w:rsidRPr="00F62521" w:rsidSect="005558EB">
      <w:headerReference w:type="even" r:id="rId10"/>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DA" w:rsidRDefault="008E3ADA" w:rsidP="008E3ADA">
      <w:pPr>
        <w:spacing w:before="0"/>
      </w:pPr>
      <w:r>
        <w:separator/>
      </w:r>
    </w:p>
  </w:endnote>
  <w:endnote w:type="continuationSeparator" w:id="0">
    <w:p w:rsidR="008E3ADA" w:rsidRDefault="008E3ADA" w:rsidP="008E3A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3320" w:type="dxa"/>
      <w:jc w:val="right"/>
      <w:tblInd w:w="-8614" w:type="dxa"/>
      <w:tblCellMar>
        <w:top w:w="28" w:type="dxa"/>
        <w:bottom w:w="28" w:type="dxa"/>
      </w:tblCellMar>
      <w:tblLook w:val="01E0" w:firstRow="1" w:lastRow="1" w:firstColumn="1" w:lastColumn="1" w:noHBand="0" w:noVBand="0"/>
    </w:tblPr>
    <w:tblGrid>
      <w:gridCol w:w="12573"/>
      <w:gridCol w:w="747"/>
    </w:tblGrid>
    <w:tr w:rsidR="008E3ADA" w:rsidTr="009C2561">
      <w:trPr>
        <w:trHeight w:val="322"/>
        <w:jc w:val="right"/>
      </w:trPr>
      <w:tc>
        <w:tcPr>
          <w:tcW w:w="12573" w:type="dxa"/>
          <w:shd w:val="clear" w:color="auto" w:fill="auto"/>
          <w:vAlign w:val="center"/>
        </w:tcPr>
        <w:p w:rsidR="008E3ADA" w:rsidRPr="008539BF" w:rsidRDefault="00F62521" w:rsidP="009C2561">
          <w:pPr>
            <w:pStyle w:val="Footer"/>
            <w:tabs>
              <w:tab w:val="right" w:pos="9072"/>
            </w:tabs>
            <w:jc w:val="right"/>
          </w:pPr>
          <w:r>
            <w:t>Regional Labour Market Advisor</w:t>
          </w:r>
        </w:p>
      </w:tc>
      <w:tc>
        <w:tcPr>
          <w:tcW w:w="747" w:type="dxa"/>
          <w:shd w:val="clear" w:color="auto" w:fill="000000"/>
          <w:vAlign w:val="center"/>
        </w:tcPr>
        <w:p w:rsidR="008E3ADA" w:rsidRDefault="008E3ADA" w:rsidP="009C2561">
          <w:pPr>
            <w:pStyle w:val="Footer"/>
            <w:tabs>
              <w:tab w:val="right" w:pos="9072"/>
            </w:tabs>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F62521">
            <w:rPr>
              <w:rStyle w:val="PageNumber"/>
              <w:rFonts w:eastAsiaTheme="majorEastAsia"/>
              <w:noProof/>
            </w:rPr>
            <w:t>6</w:t>
          </w:r>
          <w:r>
            <w:rPr>
              <w:rStyle w:val="PageNumber"/>
              <w:rFonts w:eastAsiaTheme="majorEastAsia"/>
            </w:rPr>
            <w:fldChar w:fldCharType="end"/>
          </w:r>
        </w:p>
      </w:tc>
    </w:tr>
  </w:tbl>
  <w:p w:rsidR="008E3ADA" w:rsidRDefault="008E3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DA" w:rsidRDefault="008E3ADA" w:rsidP="008E3ADA">
      <w:pPr>
        <w:spacing w:before="0"/>
      </w:pPr>
      <w:r>
        <w:separator/>
      </w:r>
    </w:p>
  </w:footnote>
  <w:footnote w:type="continuationSeparator" w:id="0">
    <w:p w:rsidR="008E3ADA" w:rsidRDefault="008E3ADA" w:rsidP="008E3AD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F62521">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6" o:spid="_x0000_s2056" type="#_x0000_t75" style="position:absolute;margin-left:0;margin-top:0;width:451pt;height:591.3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F62521">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7" o:spid="_x0000_s2057" type="#_x0000_t75" style="position:absolute;margin-left:0;margin-top:0;width:451pt;height:591.3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F62521">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5" o:spid="_x0000_s2055" type="#_x0000_t75" style="position:absolute;margin-left:0;margin-top:0;width:451pt;height:591.3pt;z-index:-251658240;mso-position-horizontal:center;mso-position-horizontal-relative:margin;mso-position-vertical:center;mso-position-vertical-relative:margin" o:allowincell="f">
          <v:imagedata r:id="rId1" o:title="PD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62AAE"/>
    <w:multiLevelType w:val="hybridMultilevel"/>
    <w:tmpl w:val="43848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CD4C54"/>
    <w:multiLevelType w:val="hybridMultilevel"/>
    <w:tmpl w:val="3566FF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247996"/>
    <w:multiLevelType w:val="hybridMultilevel"/>
    <w:tmpl w:val="81A8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695DD2"/>
    <w:multiLevelType w:val="hybridMultilevel"/>
    <w:tmpl w:val="2F288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nsid w:val="1FB646C0"/>
    <w:multiLevelType w:val="hybridMultilevel"/>
    <w:tmpl w:val="D6DA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3135BE"/>
    <w:multiLevelType w:val="hybridMultilevel"/>
    <w:tmpl w:val="015A446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6C9209B"/>
    <w:multiLevelType w:val="hybridMultilevel"/>
    <w:tmpl w:val="0A8E5318"/>
    <w:lvl w:ilvl="0" w:tplc="8CA87E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3BE86D7D"/>
    <w:multiLevelType w:val="hybridMultilevel"/>
    <w:tmpl w:val="64EC18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2A7A20"/>
    <w:multiLevelType w:val="hybridMultilevel"/>
    <w:tmpl w:val="D5B2A3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9">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84762D"/>
    <w:multiLevelType w:val="hybridMultilevel"/>
    <w:tmpl w:val="C700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DD1B27"/>
    <w:multiLevelType w:val="hybridMultilevel"/>
    <w:tmpl w:val="C166F4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2CC7DA9"/>
    <w:multiLevelType w:val="hybridMultilevel"/>
    <w:tmpl w:val="418602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63E80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6B9267E"/>
    <w:multiLevelType w:val="hybridMultilevel"/>
    <w:tmpl w:val="C5109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D84AA1"/>
    <w:multiLevelType w:val="hybridMultilevel"/>
    <w:tmpl w:val="6EEE2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0"/>
  </w:num>
  <w:num w:numId="7">
    <w:abstractNumId w:val="19"/>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6"/>
  </w:num>
  <w:num w:numId="17">
    <w:abstractNumId w:val="7"/>
  </w:num>
  <w:num w:numId="18">
    <w:abstractNumId w:val="20"/>
  </w:num>
  <w:num w:numId="19">
    <w:abstractNumId w:val="24"/>
  </w:num>
  <w:num w:numId="20">
    <w:abstractNumId w:val="3"/>
  </w:num>
  <w:num w:numId="21">
    <w:abstractNumId w:val="25"/>
  </w:num>
  <w:num w:numId="22">
    <w:abstractNumId w:val="9"/>
  </w:num>
  <w:num w:numId="23">
    <w:abstractNumId w:val="22"/>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5"/>
  </w:num>
  <w:num w:numId="28">
    <w:abstractNumId w:val="21"/>
  </w:num>
  <w:num w:numId="29">
    <w:abstractNumId w:val="23"/>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81"/>
    <w:rsid w:val="00000B4C"/>
    <w:rsid w:val="000106D0"/>
    <w:rsid w:val="000311DB"/>
    <w:rsid w:val="00037CB0"/>
    <w:rsid w:val="000515D2"/>
    <w:rsid w:val="00092A7E"/>
    <w:rsid w:val="000A4D81"/>
    <w:rsid w:val="000E3BB9"/>
    <w:rsid w:val="001021C4"/>
    <w:rsid w:val="00106AED"/>
    <w:rsid w:val="001D14F9"/>
    <w:rsid w:val="001D3744"/>
    <w:rsid w:val="00213DA6"/>
    <w:rsid w:val="00216302"/>
    <w:rsid w:val="00245A2B"/>
    <w:rsid w:val="00272319"/>
    <w:rsid w:val="00291B12"/>
    <w:rsid w:val="002D1C62"/>
    <w:rsid w:val="002E3B5B"/>
    <w:rsid w:val="00354EC2"/>
    <w:rsid w:val="003B7936"/>
    <w:rsid w:val="003C1E47"/>
    <w:rsid w:val="003E0CD5"/>
    <w:rsid w:val="003F2FF1"/>
    <w:rsid w:val="004227ED"/>
    <w:rsid w:val="0043612F"/>
    <w:rsid w:val="00445BCE"/>
    <w:rsid w:val="00454F25"/>
    <w:rsid w:val="00513A99"/>
    <w:rsid w:val="0052285C"/>
    <w:rsid w:val="00533E65"/>
    <w:rsid w:val="00551F98"/>
    <w:rsid w:val="005558EB"/>
    <w:rsid w:val="00572AA9"/>
    <w:rsid w:val="00595906"/>
    <w:rsid w:val="005B11F9"/>
    <w:rsid w:val="005F3171"/>
    <w:rsid w:val="006258E6"/>
    <w:rsid w:val="00631D73"/>
    <w:rsid w:val="00642BE5"/>
    <w:rsid w:val="00655A2B"/>
    <w:rsid w:val="00656967"/>
    <w:rsid w:val="006625B9"/>
    <w:rsid w:val="0071395A"/>
    <w:rsid w:val="0075438F"/>
    <w:rsid w:val="007A5E4B"/>
    <w:rsid w:val="007B201A"/>
    <w:rsid w:val="007B2879"/>
    <w:rsid w:val="007E6A0A"/>
    <w:rsid w:val="0080498F"/>
    <w:rsid w:val="008103BF"/>
    <w:rsid w:val="00842514"/>
    <w:rsid w:val="00860654"/>
    <w:rsid w:val="008C1033"/>
    <w:rsid w:val="008E3ADA"/>
    <w:rsid w:val="0090014C"/>
    <w:rsid w:val="00903467"/>
    <w:rsid w:val="00906EAA"/>
    <w:rsid w:val="009576B8"/>
    <w:rsid w:val="00970DD2"/>
    <w:rsid w:val="009D15F1"/>
    <w:rsid w:val="009D2B10"/>
    <w:rsid w:val="009E3CCF"/>
    <w:rsid w:val="009E3E01"/>
    <w:rsid w:val="00A6244E"/>
    <w:rsid w:val="00A977AD"/>
    <w:rsid w:val="00AC3B2A"/>
    <w:rsid w:val="00B14D2B"/>
    <w:rsid w:val="00B35E4D"/>
    <w:rsid w:val="00B41635"/>
    <w:rsid w:val="00B5357A"/>
    <w:rsid w:val="00B61CB7"/>
    <w:rsid w:val="00B62498"/>
    <w:rsid w:val="00BA290D"/>
    <w:rsid w:val="00BE283B"/>
    <w:rsid w:val="00C33B67"/>
    <w:rsid w:val="00C34E7D"/>
    <w:rsid w:val="00C5215F"/>
    <w:rsid w:val="00CB4A28"/>
    <w:rsid w:val="00D04353"/>
    <w:rsid w:val="00D34EA0"/>
    <w:rsid w:val="00D36E81"/>
    <w:rsid w:val="00D82617"/>
    <w:rsid w:val="00DD7526"/>
    <w:rsid w:val="00E63BC1"/>
    <w:rsid w:val="00E64AEA"/>
    <w:rsid w:val="00E671C3"/>
    <w:rsid w:val="00E90142"/>
    <w:rsid w:val="00E9269E"/>
    <w:rsid w:val="00F00B04"/>
    <w:rsid w:val="00F06EE8"/>
    <w:rsid w:val="00F07349"/>
    <w:rsid w:val="00F22AE5"/>
    <w:rsid w:val="00F625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2E9F-ECCC-43B7-9341-2763D096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Gee</dc:creator>
  <cp:lastModifiedBy>Eva Wells</cp:lastModifiedBy>
  <cp:revision>2</cp:revision>
  <dcterms:created xsi:type="dcterms:W3CDTF">2015-06-04T03:30:00Z</dcterms:created>
  <dcterms:modified xsi:type="dcterms:W3CDTF">2015-06-04T03:30:00Z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A8155980</vt:lpwstr>
  </property>
  <property fmtid="{D5CDD505-2E9C-101B-9397-08002B2CF9AE}" pid="4" name="Objective-Title">
    <vt:lpwstr>Regional-Labour-Market-Advisor-Jun15</vt:lpwstr>
  </property>
  <property fmtid="{D5CDD505-2E9C-101B-9397-08002B2CF9AE}" pid="5" name="Objective-Comment">
    <vt:lpwstr/>
  </property>
  <property fmtid="{D5CDD505-2E9C-101B-9397-08002B2CF9AE}" pid="6" name="Objective-CreationStamp">
    <vt:filetime>2015-06-08T23:56:23Z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2015-06-08T23:59:14Z</vt:filetime>
  </property>
  <property fmtid="{D5CDD505-2E9C-101B-9397-08002B2CF9AE}" pid="10" name="Objective-ModificationStamp">
    <vt:filetime>2015-06-09T00:45:22Z</vt:filetime>
  </property>
  <property fmtid="{D5CDD505-2E9C-101B-9397-08002B2CF9AE}" pid="11" name="Objective-Owner">
    <vt:lpwstr>Eva Knauf</vt:lpwstr>
  </property>
  <property fmtid="{D5CDD505-2E9C-101B-9397-08002B2CF9AE}" pid="12" name="Objective-Path">
    <vt:lpwstr>Global Folder:MSD INFORMATION REPOSITORY:Corporate Management &amp; Administration:Human Resources:Position Management:Job Descriptions:Position Establishment:2_CURRENT POSITION DESCRIPTIONS:Service Delivery:Regional Service Delivery:</vt:lpwstr>
  </property>
  <property fmtid="{D5CDD505-2E9C-101B-9397-08002B2CF9AE}" pid="13" name="Objective-Parent">
    <vt:lpwstr>Regional Service Delivery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CT/HU/04/03/03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