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4190aaaffc649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806482" w:rsidRDefault="00E63BC1" w:rsidP="00B5357A"/>
    <w:p w:rsidR="00E63BC1" w:rsidRPr="00806482" w:rsidRDefault="00E63BC1" w:rsidP="003B7936">
      <w:pPr>
        <w:tabs>
          <w:tab w:val="left" w:pos="2880"/>
        </w:tabs>
        <w:spacing w:after="240"/>
        <w:rPr>
          <w:color w:val="808080"/>
          <w:sz w:val="48"/>
          <w:szCs w:val="48"/>
        </w:rPr>
      </w:pPr>
      <w:r w:rsidRPr="00806482">
        <w:rPr>
          <w:noProof/>
          <w:lang w:eastAsia="en-NZ"/>
        </w:rPr>
        <w:drawing>
          <wp:anchor distT="0" distB="0" distL="114300" distR="114300" simplePos="0" relativeHeight="251659264" behindDoc="0" locked="0" layoutInCell="1" allowOverlap="1" wp14:anchorId="61853955" wp14:editId="4EF55D67">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06482">
        <w:rPr>
          <w:color w:val="808080"/>
          <w:sz w:val="48"/>
          <w:szCs w:val="48"/>
        </w:rPr>
        <w:t>position</w:t>
      </w:r>
      <w:proofErr w:type="gramEnd"/>
      <w:r w:rsidRPr="00806482">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806482" w:rsidTr="00C152B6">
        <w:tc>
          <w:tcPr>
            <w:tcW w:w="3119" w:type="dxa"/>
            <w:shd w:val="clear" w:color="auto" w:fill="auto"/>
          </w:tcPr>
          <w:p w:rsidR="00E63BC1" w:rsidRPr="00806482" w:rsidRDefault="00E63BC1" w:rsidP="00C152B6">
            <w:pPr>
              <w:spacing w:before="0" w:after="40"/>
              <w:jc w:val="both"/>
              <w:rPr>
                <w:b/>
              </w:rPr>
            </w:pPr>
            <w:r w:rsidRPr="00806482">
              <w:rPr>
                <w:b/>
              </w:rPr>
              <w:t>Position:</w:t>
            </w:r>
          </w:p>
        </w:tc>
        <w:tc>
          <w:tcPr>
            <w:tcW w:w="5812" w:type="dxa"/>
            <w:shd w:val="clear" w:color="auto" w:fill="auto"/>
          </w:tcPr>
          <w:p w:rsidR="00E63BC1" w:rsidRPr="00806482" w:rsidRDefault="00806482" w:rsidP="00C152B6">
            <w:pPr>
              <w:spacing w:before="0" w:after="40"/>
              <w:jc w:val="both"/>
            </w:pPr>
            <w:r w:rsidRPr="00806482">
              <w:t>Regional Health Advisor</w:t>
            </w:r>
          </w:p>
        </w:tc>
      </w:tr>
      <w:tr w:rsidR="006A24AD" w:rsidRPr="00806482" w:rsidTr="00C152B6">
        <w:tc>
          <w:tcPr>
            <w:tcW w:w="3119" w:type="dxa"/>
            <w:shd w:val="clear" w:color="auto" w:fill="auto"/>
          </w:tcPr>
          <w:p w:rsidR="006A24AD" w:rsidRPr="00806482" w:rsidRDefault="006A24AD" w:rsidP="00C152B6">
            <w:pPr>
              <w:spacing w:before="0" w:after="40"/>
              <w:jc w:val="both"/>
              <w:rPr>
                <w:b/>
              </w:rPr>
            </w:pPr>
            <w:r>
              <w:rPr>
                <w:b/>
              </w:rPr>
              <w:t>Children’s worker:</w:t>
            </w:r>
          </w:p>
        </w:tc>
        <w:tc>
          <w:tcPr>
            <w:tcW w:w="5812" w:type="dxa"/>
            <w:shd w:val="clear" w:color="auto" w:fill="auto"/>
          </w:tcPr>
          <w:p w:rsidR="006A24AD" w:rsidRPr="00806482" w:rsidRDefault="006A24AD" w:rsidP="00C152B6">
            <w:pPr>
              <w:spacing w:before="0" w:after="40"/>
              <w:jc w:val="both"/>
            </w:pPr>
            <w:r>
              <w:t>No</w:t>
            </w:r>
          </w:p>
        </w:tc>
      </w:tr>
      <w:tr w:rsidR="00E63BC1" w:rsidRPr="00806482" w:rsidTr="00C152B6">
        <w:tc>
          <w:tcPr>
            <w:tcW w:w="3119" w:type="dxa"/>
            <w:shd w:val="clear" w:color="auto" w:fill="auto"/>
          </w:tcPr>
          <w:p w:rsidR="00E63BC1" w:rsidRPr="00806482" w:rsidRDefault="00E63BC1" w:rsidP="00C152B6">
            <w:pPr>
              <w:spacing w:before="0" w:after="40"/>
              <w:jc w:val="both"/>
              <w:rPr>
                <w:b/>
              </w:rPr>
            </w:pPr>
            <w:r w:rsidRPr="00806482">
              <w:rPr>
                <w:b/>
              </w:rPr>
              <w:t>Location:</w:t>
            </w:r>
          </w:p>
        </w:tc>
        <w:tc>
          <w:tcPr>
            <w:tcW w:w="5812" w:type="dxa"/>
            <w:shd w:val="clear" w:color="auto" w:fill="auto"/>
          </w:tcPr>
          <w:p w:rsidR="00E63BC1" w:rsidRPr="00806482" w:rsidRDefault="00806482" w:rsidP="00C152B6">
            <w:pPr>
              <w:spacing w:before="0" w:after="40"/>
              <w:jc w:val="both"/>
            </w:pPr>
            <w:r w:rsidRPr="00806482">
              <w:t>Regional Office</w:t>
            </w:r>
          </w:p>
        </w:tc>
      </w:tr>
      <w:tr w:rsidR="00E63BC1" w:rsidRPr="00806482" w:rsidTr="00C152B6">
        <w:tc>
          <w:tcPr>
            <w:tcW w:w="3119" w:type="dxa"/>
            <w:shd w:val="clear" w:color="auto" w:fill="auto"/>
          </w:tcPr>
          <w:p w:rsidR="00E63BC1" w:rsidRPr="00806482" w:rsidRDefault="00E63BC1" w:rsidP="00C152B6">
            <w:pPr>
              <w:spacing w:before="0" w:after="40"/>
              <w:jc w:val="both"/>
              <w:rPr>
                <w:b/>
              </w:rPr>
            </w:pPr>
            <w:r w:rsidRPr="00806482">
              <w:rPr>
                <w:b/>
              </w:rPr>
              <w:t>Business Unit:</w:t>
            </w:r>
          </w:p>
        </w:tc>
        <w:tc>
          <w:tcPr>
            <w:tcW w:w="5812" w:type="dxa"/>
            <w:shd w:val="clear" w:color="auto" w:fill="auto"/>
          </w:tcPr>
          <w:p w:rsidR="00E63BC1" w:rsidRPr="00806482" w:rsidRDefault="00806482" w:rsidP="00C152B6">
            <w:pPr>
              <w:spacing w:before="0" w:after="40"/>
              <w:jc w:val="both"/>
            </w:pPr>
            <w:r w:rsidRPr="00806482">
              <w:t>Regional Service Delivery</w:t>
            </w:r>
          </w:p>
        </w:tc>
      </w:tr>
      <w:tr w:rsidR="00E63BC1" w:rsidRPr="00806482" w:rsidTr="00C152B6">
        <w:tc>
          <w:tcPr>
            <w:tcW w:w="3119" w:type="dxa"/>
            <w:shd w:val="clear" w:color="auto" w:fill="auto"/>
          </w:tcPr>
          <w:p w:rsidR="00E63BC1" w:rsidRPr="00806482" w:rsidRDefault="00E63BC1" w:rsidP="00C152B6">
            <w:pPr>
              <w:spacing w:before="0" w:after="40"/>
              <w:jc w:val="both"/>
              <w:rPr>
                <w:b/>
              </w:rPr>
            </w:pPr>
            <w:r w:rsidRPr="00806482">
              <w:rPr>
                <w:b/>
              </w:rPr>
              <w:t>Group:</w:t>
            </w:r>
          </w:p>
        </w:tc>
        <w:tc>
          <w:tcPr>
            <w:tcW w:w="5812" w:type="dxa"/>
            <w:shd w:val="clear" w:color="auto" w:fill="auto"/>
          </w:tcPr>
          <w:p w:rsidR="00E63BC1" w:rsidRPr="00806482" w:rsidRDefault="003B7936" w:rsidP="00C152B6">
            <w:pPr>
              <w:spacing w:before="0" w:after="40"/>
              <w:jc w:val="both"/>
            </w:pPr>
            <w:r w:rsidRPr="00806482">
              <w:t>Service Delivery</w:t>
            </w:r>
          </w:p>
        </w:tc>
      </w:tr>
      <w:tr w:rsidR="00E63BC1" w:rsidRPr="00806482" w:rsidTr="00C152B6">
        <w:tc>
          <w:tcPr>
            <w:tcW w:w="3119" w:type="dxa"/>
            <w:shd w:val="clear" w:color="auto" w:fill="auto"/>
          </w:tcPr>
          <w:p w:rsidR="00E63BC1" w:rsidRPr="00806482" w:rsidRDefault="00E63BC1" w:rsidP="00C152B6">
            <w:pPr>
              <w:spacing w:before="0" w:after="40"/>
              <w:rPr>
                <w:b/>
              </w:rPr>
            </w:pPr>
            <w:r w:rsidRPr="00806482">
              <w:rPr>
                <w:b/>
              </w:rPr>
              <w:t>Reporting to:</w:t>
            </w:r>
          </w:p>
        </w:tc>
        <w:tc>
          <w:tcPr>
            <w:tcW w:w="5812" w:type="dxa"/>
            <w:shd w:val="clear" w:color="auto" w:fill="auto"/>
          </w:tcPr>
          <w:p w:rsidR="00E63BC1" w:rsidRPr="00806482" w:rsidRDefault="00806482" w:rsidP="00C152B6">
            <w:pPr>
              <w:spacing w:before="0" w:after="40"/>
            </w:pPr>
            <w:r w:rsidRPr="00806482">
              <w:t>Manager Regional Services</w:t>
            </w:r>
          </w:p>
        </w:tc>
      </w:tr>
      <w:tr w:rsidR="00E63BC1" w:rsidRPr="00806482" w:rsidTr="00C152B6">
        <w:tc>
          <w:tcPr>
            <w:tcW w:w="3119" w:type="dxa"/>
            <w:shd w:val="clear" w:color="auto" w:fill="auto"/>
          </w:tcPr>
          <w:p w:rsidR="00E63BC1" w:rsidRPr="00806482" w:rsidRDefault="00E63BC1" w:rsidP="00C152B6">
            <w:pPr>
              <w:spacing w:before="0" w:after="40"/>
              <w:rPr>
                <w:b/>
              </w:rPr>
            </w:pPr>
            <w:r w:rsidRPr="00806482">
              <w:rPr>
                <w:b/>
              </w:rPr>
              <w:t>Issue Date:</w:t>
            </w:r>
          </w:p>
        </w:tc>
        <w:tc>
          <w:tcPr>
            <w:tcW w:w="5812" w:type="dxa"/>
            <w:shd w:val="clear" w:color="auto" w:fill="auto"/>
          </w:tcPr>
          <w:p w:rsidR="00E63BC1" w:rsidRPr="00806482" w:rsidRDefault="00842514" w:rsidP="00C152B6">
            <w:pPr>
              <w:spacing w:before="0" w:after="40"/>
            </w:pPr>
            <w:r w:rsidRPr="00806482">
              <w:t>May</w:t>
            </w:r>
            <w:r w:rsidR="005558EB" w:rsidRPr="00806482">
              <w:t xml:space="preserve"> 2015</w:t>
            </w:r>
          </w:p>
        </w:tc>
      </w:tr>
      <w:tr w:rsidR="00E63BC1" w:rsidRPr="00806482" w:rsidTr="00C152B6">
        <w:tc>
          <w:tcPr>
            <w:tcW w:w="3119" w:type="dxa"/>
            <w:shd w:val="clear" w:color="auto" w:fill="auto"/>
          </w:tcPr>
          <w:p w:rsidR="00E63BC1" w:rsidRPr="00806482" w:rsidRDefault="00E63BC1" w:rsidP="00C152B6">
            <w:pPr>
              <w:spacing w:before="0" w:after="40"/>
              <w:rPr>
                <w:b/>
              </w:rPr>
            </w:pPr>
            <w:r w:rsidRPr="00806482">
              <w:rPr>
                <w:b/>
              </w:rPr>
              <w:t>Delegated Authority:</w:t>
            </w:r>
          </w:p>
        </w:tc>
        <w:tc>
          <w:tcPr>
            <w:tcW w:w="5812" w:type="dxa"/>
            <w:shd w:val="clear" w:color="auto" w:fill="auto"/>
          </w:tcPr>
          <w:p w:rsidR="00E63BC1" w:rsidRPr="00806482" w:rsidRDefault="0090014C" w:rsidP="00C152B6">
            <w:pPr>
              <w:spacing w:before="0" w:after="40"/>
            </w:pPr>
            <w:r w:rsidRPr="00806482">
              <w:t>Nil</w:t>
            </w:r>
          </w:p>
        </w:tc>
      </w:tr>
      <w:tr w:rsidR="00E63BC1" w:rsidRPr="00806482" w:rsidTr="00C152B6">
        <w:tc>
          <w:tcPr>
            <w:tcW w:w="3119" w:type="dxa"/>
            <w:shd w:val="clear" w:color="auto" w:fill="auto"/>
          </w:tcPr>
          <w:p w:rsidR="00E63BC1" w:rsidRPr="00806482" w:rsidRDefault="00E63BC1" w:rsidP="00C152B6">
            <w:pPr>
              <w:spacing w:before="0" w:after="40"/>
              <w:rPr>
                <w:b/>
              </w:rPr>
            </w:pPr>
            <w:r w:rsidRPr="00806482">
              <w:rPr>
                <w:b/>
              </w:rPr>
              <w:t>Staff Responsibility:</w:t>
            </w:r>
          </w:p>
        </w:tc>
        <w:tc>
          <w:tcPr>
            <w:tcW w:w="5812" w:type="dxa"/>
            <w:shd w:val="clear" w:color="auto" w:fill="auto"/>
          </w:tcPr>
          <w:p w:rsidR="00E63BC1" w:rsidRPr="00806482" w:rsidRDefault="00655A2B" w:rsidP="00C152B6">
            <w:pPr>
              <w:spacing w:before="0" w:after="40"/>
            </w:pPr>
            <w:r w:rsidRPr="00806482">
              <w:t>N</w:t>
            </w:r>
            <w:r w:rsidR="0090014C" w:rsidRPr="00806482">
              <w:t>il</w:t>
            </w:r>
          </w:p>
        </w:tc>
      </w:tr>
    </w:tbl>
    <w:p w:rsidR="00E63BC1" w:rsidRPr="00806482" w:rsidRDefault="00E63BC1" w:rsidP="00E63BC1"/>
    <w:p w:rsidR="00E63BC1" w:rsidRPr="00806482" w:rsidRDefault="00E63BC1" w:rsidP="00E63BC1">
      <w:pPr>
        <w:spacing w:after="60"/>
        <w:jc w:val="both"/>
        <w:rPr>
          <w:rFonts w:cs="Arial"/>
          <w:b/>
        </w:rPr>
      </w:pPr>
      <w:r w:rsidRPr="00806482">
        <w:rPr>
          <w:rFonts w:cs="Arial"/>
          <w:b/>
        </w:rPr>
        <w:t xml:space="preserve">Our Role </w:t>
      </w:r>
    </w:p>
    <w:p w:rsidR="00E63BC1" w:rsidRPr="00806482" w:rsidRDefault="00E63BC1" w:rsidP="00E63BC1">
      <w:pPr>
        <w:spacing w:after="120"/>
        <w:jc w:val="both"/>
        <w:rPr>
          <w:rFonts w:cs="Arial"/>
        </w:rPr>
      </w:pPr>
      <w:r w:rsidRPr="00806482">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806482" w:rsidRDefault="00E63BC1" w:rsidP="00E63BC1">
      <w:pPr>
        <w:spacing w:after="120"/>
        <w:jc w:val="both"/>
        <w:rPr>
          <w:rFonts w:cs="Arial"/>
        </w:rPr>
      </w:pPr>
      <w:r w:rsidRPr="00806482">
        <w:rPr>
          <w:rFonts w:cs="Arial"/>
        </w:rPr>
        <w:t xml:space="preserve">The Ministry provides policy advice, and delivers social services and assistance to children and young people, working age people, older people, and families, </w:t>
      </w:r>
      <w:proofErr w:type="spellStart"/>
      <w:r w:rsidRPr="00806482">
        <w:rPr>
          <w:rFonts w:cs="Arial"/>
        </w:rPr>
        <w:t>wh</w:t>
      </w:r>
      <w:r w:rsidRPr="00806482">
        <w:rPr>
          <w:rFonts w:ascii="Arial" w:hAnsi="Arial" w:cs="Arial"/>
        </w:rPr>
        <w:t>ā</w:t>
      </w:r>
      <w:r w:rsidRPr="00806482">
        <w:rPr>
          <w:rFonts w:cs="Arial"/>
        </w:rPr>
        <w:t>nau</w:t>
      </w:r>
      <w:proofErr w:type="spellEnd"/>
      <w:r w:rsidRPr="00806482">
        <w:rPr>
          <w:rFonts w:cs="Arial"/>
        </w:rPr>
        <w:t xml:space="preserve"> and communities. We work directly with New Zealanders of all ages to improve their social wellbeing.</w:t>
      </w:r>
    </w:p>
    <w:p w:rsidR="00E63BC1" w:rsidRPr="00806482" w:rsidRDefault="00E63BC1" w:rsidP="00E63BC1">
      <w:pPr>
        <w:spacing w:after="120"/>
        <w:jc w:val="both"/>
        <w:rPr>
          <w:rFonts w:cs="Arial"/>
        </w:rPr>
      </w:pPr>
      <w:r w:rsidRPr="00806482">
        <w:rPr>
          <w:rFonts w:cs="Arial"/>
        </w:rPr>
        <w:t xml:space="preserve">We serve over a million people, working out of more than 250 centres around the country.  It is likely that every New Zealander will come into contact with the Ministry at some point in their life.  </w:t>
      </w:r>
    </w:p>
    <w:p w:rsidR="00E63BC1" w:rsidRPr="00806482" w:rsidRDefault="00E63BC1" w:rsidP="00E63BC1">
      <w:pPr>
        <w:spacing w:after="240"/>
        <w:jc w:val="both"/>
        <w:rPr>
          <w:rFonts w:cs="Arial"/>
        </w:rPr>
      </w:pPr>
      <w:r w:rsidRPr="00806482">
        <w:rPr>
          <w:rFonts w:cs="Arial"/>
        </w:rPr>
        <w:t xml:space="preserve">Our work, together with our social sector partners, is essential to achieving a sustainable and prosperous future, where all New Zealanders are able to take responsibility for </w:t>
      </w:r>
      <w:proofErr w:type="gramStart"/>
      <w:r w:rsidRPr="00806482">
        <w:rPr>
          <w:rFonts w:cs="Arial"/>
        </w:rPr>
        <w:t>themselves</w:t>
      </w:r>
      <w:proofErr w:type="gramEnd"/>
      <w:r w:rsidRPr="00806482">
        <w:rPr>
          <w:rFonts w:cs="Arial"/>
        </w:rPr>
        <w:t xml:space="preserve">, be successful in their lives and participate in their communities.  </w:t>
      </w:r>
      <w:r w:rsidRPr="00806482">
        <w:rPr>
          <w:szCs w:val="16"/>
        </w:rPr>
        <w:t xml:space="preserve"> </w:t>
      </w:r>
    </w:p>
    <w:p w:rsidR="00E63BC1" w:rsidRPr="00806482" w:rsidRDefault="00E63BC1" w:rsidP="00E63BC1">
      <w:pPr>
        <w:jc w:val="both"/>
        <w:outlineLvl w:val="3"/>
        <w:rPr>
          <w:rFonts w:cs="Arial"/>
          <w:b/>
          <w:bCs/>
          <w:color w:val="000000"/>
          <w:lang w:val="en" w:eastAsia="en-NZ"/>
        </w:rPr>
      </w:pPr>
      <w:r w:rsidRPr="00806482">
        <w:rPr>
          <w:rFonts w:cs="Arial"/>
          <w:b/>
          <w:bCs/>
          <w:color w:val="000000"/>
          <w:lang w:val="en" w:eastAsia="en-NZ"/>
        </w:rPr>
        <w:t>Our Purpose</w:t>
      </w:r>
    </w:p>
    <w:p w:rsidR="00E63BC1" w:rsidRPr="00806482" w:rsidRDefault="00E63BC1" w:rsidP="00E63BC1">
      <w:pPr>
        <w:jc w:val="both"/>
        <w:rPr>
          <w:rFonts w:cs="Arial"/>
          <w:lang w:val="en" w:eastAsia="en-NZ"/>
        </w:rPr>
      </w:pPr>
      <w:r w:rsidRPr="00806482">
        <w:rPr>
          <w:rFonts w:cs="Arial"/>
          <w:lang w:val="en" w:eastAsia="en-NZ"/>
        </w:rPr>
        <w:t>We help New Zealanders to help themselves to be safe, strong and independent.</w:t>
      </w:r>
    </w:p>
    <w:p w:rsidR="00E63BC1" w:rsidRPr="00806482" w:rsidRDefault="00E63BC1" w:rsidP="00E63BC1">
      <w:pPr>
        <w:spacing w:before="0"/>
        <w:jc w:val="both"/>
        <w:rPr>
          <w:rFonts w:cs="Arial"/>
          <w:lang w:val="en" w:eastAsia="en-NZ"/>
        </w:rPr>
      </w:pPr>
      <w:proofErr w:type="spellStart"/>
      <w:proofErr w:type="gramStart"/>
      <w:r w:rsidRPr="00806482">
        <w:rPr>
          <w:rFonts w:cs="Arial"/>
          <w:lang w:val="en" w:eastAsia="en-NZ"/>
        </w:rPr>
        <w:t>Ko</w:t>
      </w:r>
      <w:proofErr w:type="spellEnd"/>
      <w:proofErr w:type="gramEnd"/>
      <w:r w:rsidRPr="00806482">
        <w:rPr>
          <w:rFonts w:cs="Arial"/>
          <w:lang w:val="en" w:eastAsia="en-NZ"/>
        </w:rPr>
        <w:t xml:space="preserve"> ta </w:t>
      </w:r>
      <w:proofErr w:type="spellStart"/>
      <w:r w:rsidRPr="00806482">
        <w:rPr>
          <w:rFonts w:cs="Arial"/>
          <w:lang w:val="en" w:eastAsia="en-NZ"/>
        </w:rPr>
        <w:t>m</w:t>
      </w:r>
      <w:r w:rsidRPr="00806482">
        <w:rPr>
          <w:rFonts w:ascii="Arial" w:hAnsi="Arial" w:cs="Arial"/>
          <w:lang w:val="en" w:eastAsia="en-NZ"/>
        </w:rPr>
        <w:t>ā</w:t>
      </w:r>
      <w:r w:rsidRPr="00806482">
        <w:rPr>
          <w:rFonts w:cs="Arial"/>
          <w:lang w:val="en" w:eastAsia="en-NZ"/>
        </w:rPr>
        <w:t>tou</w:t>
      </w:r>
      <w:proofErr w:type="spellEnd"/>
      <w:r w:rsidRPr="00806482">
        <w:rPr>
          <w:rFonts w:cs="Arial"/>
          <w:lang w:val="en" w:eastAsia="en-NZ"/>
        </w:rPr>
        <w:t xml:space="preserve"> he </w:t>
      </w:r>
      <w:proofErr w:type="spellStart"/>
      <w:r w:rsidRPr="00806482">
        <w:rPr>
          <w:rFonts w:cs="Arial"/>
          <w:lang w:val="en" w:eastAsia="en-NZ"/>
        </w:rPr>
        <w:t>whakamana</w:t>
      </w:r>
      <w:proofErr w:type="spellEnd"/>
      <w:r w:rsidRPr="00806482">
        <w:rPr>
          <w:rFonts w:cs="Arial"/>
          <w:lang w:val="en" w:eastAsia="en-NZ"/>
        </w:rPr>
        <w:t xml:space="preserve"> </w:t>
      </w:r>
      <w:proofErr w:type="spellStart"/>
      <w:r w:rsidRPr="00806482">
        <w:rPr>
          <w:rFonts w:cs="Arial"/>
          <w:lang w:val="en" w:eastAsia="en-NZ"/>
        </w:rPr>
        <w:t>tangata</w:t>
      </w:r>
      <w:proofErr w:type="spellEnd"/>
      <w:r w:rsidRPr="00806482">
        <w:rPr>
          <w:rFonts w:cs="Arial"/>
          <w:lang w:val="en" w:eastAsia="en-NZ"/>
        </w:rPr>
        <w:t xml:space="preserve"> </w:t>
      </w:r>
      <w:proofErr w:type="spellStart"/>
      <w:r w:rsidRPr="00806482">
        <w:rPr>
          <w:rFonts w:cs="Arial"/>
          <w:lang w:val="en" w:eastAsia="en-NZ"/>
        </w:rPr>
        <w:t>kia</w:t>
      </w:r>
      <w:proofErr w:type="spellEnd"/>
      <w:r w:rsidRPr="00806482">
        <w:rPr>
          <w:rFonts w:cs="Arial"/>
          <w:lang w:val="en" w:eastAsia="en-NZ"/>
        </w:rPr>
        <w:t xml:space="preserve"> </w:t>
      </w:r>
      <w:proofErr w:type="spellStart"/>
      <w:r w:rsidRPr="00806482">
        <w:rPr>
          <w:rFonts w:cs="Arial"/>
          <w:lang w:val="en" w:eastAsia="en-NZ"/>
        </w:rPr>
        <w:t>t</w:t>
      </w:r>
      <w:r w:rsidRPr="00806482">
        <w:rPr>
          <w:rFonts w:ascii="Arial" w:hAnsi="Arial" w:cs="Arial"/>
          <w:lang w:val="en" w:eastAsia="en-NZ"/>
        </w:rPr>
        <w:t>ū</w:t>
      </w:r>
      <w:proofErr w:type="spellEnd"/>
      <w:r w:rsidRPr="00806482">
        <w:rPr>
          <w:rFonts w:cs="Arial"/>
          <w:lang w:val="en" w:eastAsia="en-NZ"/>
        </w:rPr>
        <w:t xml:space="preserve"> </w:t>
      </w:r>
      <w:proofErr w:type="spellStart"/>
      <w:r w:rsidRPr="00806482">
        <w:rPr>
          <w:rFonts w:cs="Arial"/>
          <w:lang w:val="en" w:eastAsia="en-NZ"/>
        </w:rPr>
        <w:t>haumaru</w:t>
      </w:r>
      <w:proofErr w:type="spellEnd"/>
      <w:r w:rsidRPr="00806482">
        <w:rPr>
          <w:rFonts w:cs="Arial"/>
          <w:lang w:val="en" w:eastAsia="en-NZ"/>
        </w:rPr>
        <w:t xml:space="preserve">, </w:t>
      </w:r>
      <w:proofErr w:type="spellStart"/>
      <w:r w:rsidRPr="00806482">
        <w:rPr>
          <w:rFonts w:cs="Arial"/>
          <w:lang w:val="en" w:eastAsia="en-NZ"/>
        </w:rPr>
        <w:t>kia</w:t>
      </w:r>
      <w:proofErr w:type="spellEnd"/>
      <w:r w:rsidRPr="00806482">
        <w:rPr>
          <w:rFonts w:cs="Arial"/>
          <w:lang w:val="en" w:eastAsia="en-NZ"/>
        </w:rPr>
        <w:t xml:space="preserve"> </w:t>
      </w:r>
      <w:proofErr w:type="spellStart"/>
      <w:r w:rsidRPr="00806482">
        <w:rPr>
          <w:rFonts w:cs="Arial"/>
          <w:lang w:val="en" w:eastAsia="en-NZ"/>
        </w:rPr>
        <w:t>t</w:t>
      </w:r>
      <w:r w:rsidRPr="00806482">
        <w:rPr>
          <w:rFonts w:ascii="Arial" w:hAnsi="Arial" w:cs="Arial"/>
          <w:lang w:val="en" w:eastAsia="en-NZ"/>
        </w:rPr>
        <w:t>ū</w:t>
      </w:r>
      <w:proofErr w:type="spellEnd"/>
      <w:r w:rsidRPr="00806482">
        <w:rPr>
          <w:rFonts w:cs="Arial"/>
          <w:lang w:val="en" w:eastAsia="en-NZ"/>
        </w:rPr>
        <w:t xml:space="preserve"> </w:t>
      </w:r>
      <w:proofErr w:type="spellStart"/>
      <w:r w:rsidRPr="00806482">
        <w:rPr>
          <w:rFonts w:cs="Arial"/>
          <w:lang w:val="en" w:eastAsia="en-NZ"/>
        </w:rPr>
        <w:t>kaha</w:t>
      </w:r>
      <w:proofErr w:type="spellEnd"/>
      <w:r w:rsidRPr="00806482">
        <w:rPr>
          <w:rFonts w:cs="Arial"/>
          <w:lang w:val="en" w:eastAsia="en-NZ"/>
        </w:rPr>
        <w:t xml:space="preserve">, </w:t>
      </w:r>
      <w:proofErr w:type="spellStart"/>
      <w:r w:rsidRPr="00806482">
        <w:rPr>
          <w:rFonts w:cs="Arial"/>
          <w:lang w:val="en" w:eastAsia="en-NZ"/>
        </w:rPr>
        <w:t>kia</w:t>
      </w:r>
      <w:proofErr w:type="spellEnd"/>
      <w:r w:rsidRPr="00806482">
        <w:rPr>
          <w:rFonts w:cs="Arial"/>
          <w:lang w:val="en" w:eastAsia="en-NZ"/>
        </w:rPr>
        <w:t xml:space="preserve"> </w:t>
      </w:r>
      <w:proofErr w:type="spellStart"/>
      <w:r w:rsidRPr="00806482">
        <w:rPr>
          <w:rFonts w:cs="Arial"/>
          <w:lang w:val="en" w:eastAsia="en-NZ"/>
        </w:rPr>
        <w:t>t</w:t>
      </w:r>
      <w:r w:rsidRPr="00806482">
        <w:rPr>
          <w:rFonts w:ascii="Arial" w:hAnsi="Arial" w:cs="Arial"/>
          <w:lang w:val="en" w:eastAsia="en-NZ"/>
        </w:rPr>
        <w:t>ū</w:t>
      </w:r>
      <w:proofErr w:type="spellEnd"/>
      <w:r w:rsidRPr="00806482">
        <w:rPr>
          <w:rFonts w:cs="Arial"/>
          <w:lang w:val="en" w:eastAsia="en-NZ"/>
        </w:rPr>
        <w:t xml:space="preserve"> </w:t>
      </w:r>
      <w:proofErr w:type="spellStart"/>
      <w:r w:rsidRPr="00806482">
        <w:rPr>
          <w:rFonts w:cs="Arial"/>
          <w:lang w:val="en" w:eastAsia="en-NZ"/>
        </w:rPr>
        <w:t>motuhake</w:t>
      </w:r>
      <w:proofErr w:type="spellEnd"/>
      <w:r w:rsidRPr="00806482">
        <w:rPr>
          <w:rFonts w:cs="Arial"/>
          <w:lang w:val="en" w:eastAsia="en-NZ"/>
        </w:rPr>
        <w:t>.</w:t>
      </w:r>
    </w:p>
    <w:p w:rsidR="00E63BC1" w:rsidRPr="00806482" w:rsidRDefault="003B7936" w:rsidP="00E63BC1">
      <w:pPr>
        <w:jc w:val="both"/>
        <w:outlineLvl w:val="3"/>
        <w:rPr>
          <w:rFonts w:cs="Arial"/>
          <w:b/>
          <w:bCs/>
          <w:color w:val="000000"/>
          <w:lang w:val="en" w:eastAsia="en-NZ"/>
        </w:rPr>
      </w:pPr>
      <w:r w:rsidRPr="00806482">
        <w:rPr>
          <w:rFonts w:cs="Arial"/>
          <w:b/>
          <w:bCs/>
          <w:lang w:val="en" w:eastAsia="en-NZ"/>
        </w:rPr>
        <w:br/>
      </w:r>
      <w:r w:rsidR="00E63BC1" w:rsidRPr="00806482">
        <w:rPr>
          <w:rFonts w:cs="Arial"/>
          <w:b/>
          <w:bCs/>
          <w:color w:val="000000"/>
          <w:lang w:val="en" w:eastAsia="en-NZ"/>
        </w:rPr>
        <w:t>Our Principles</w:t>
      </w:r>
    </w:p>
    <w:p w:rsidR="00E63BC1" w:rsidRPr="00806482" w:rsidRDefault="00E63BC1" w:rsidP="005558EB">
      <w:pPr>
        <w:jc w:val="both"/>
        <w:rPr>
          <w:rFonts w:cs="Arial"/>
          <w:lang w:val="en" w:eastAsia="en-NZ"/>
        </w:rPr>
      </w:pPr>
      <w:r w:rsidRPr="00806482">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63BC1" w:rsidRPr="00806482" w:rsidRDefault="00E63BC1" w:rsidP="00E63BC1">
      <w:pPr>
        <w:rPr>
          <w:sz w:val="24"/>
          <w:szCs w:val="24"/>
        </w:rPr>
      </w:pPr>
    </w:p>
    <w:p w:rsidR="003B7936" w:rsidRPr="00962676" w:rsidRDefault="00E63BC1" w:rsidP="00E63BC1">
      <w:pPr>
        <w:rPr>
          <w:b/>
          <w:bCs/>
        </w:rPr>
      </w:pPr>
      <w:r w:rsidRPr="00806482">
        <w:rPr>
          <w:rFonts w:cs="Arial"/>
          <w:b/>
          <w:bCs/>
        </w:rPr>
        <w:t>Position</w:t>
      </w:r>
      <w:r w:rsidRPr="00806482">
        <w:rPr>
          <w:b/>
          <w:bCs/>
        </w:rPr>
        <w:t xml:space="preserve"> </w:t>
      </w:r>
      <w:r w:rsidRPr="00806482">
        <w:rPr>
          <w:rFonts w:cs="Arial"/>
          <w:b/>
          <w:bCs/>
        </w:rPr>
        <w:t>Description</w:t>
      </w:r>
      <w:r w:rsidRPr="00806482">
        <w:rPr>
          <w:b/>
          <w:bCs/>
        </w:rPr>
        <w:t xml:space="preserve"> </w:t>
      </w:r>
      <w:r w:rsidRPr="00806482">
        <w:rPr>
          <w:rFonts w:cs="Arial"/>
          <w:b/>
          <w:bCs/>
        </w:rPr>
        <w:t>approved</w:t>
      </w:r>
      <w:r w:rsidRPr="00806482">
        <w:rPr>
          <w:b/>
          <w:bCs/>
        </w:rPr>
        <w:t xml:space="preserve"> </w:t>
      </w:r>
      <w:r w:rsidRPr="00806482">
        <w:rPr>
          <w:rFonts w:cs="Arial"/>
          <w:b/>
          <w:bCs/>
        </w:rPr>
        <w:t>by</w:t>
      </w:r>
      <w:r w:rsidRPr="00806482">
        <w:rPr>
          <w:b/>
          <w:bCs/>
        </w:rPr>
        <w:t>:</w:t>
      </w:r>
      <w:bookmarkStart w:id="0" w:name="_GoBack"/>
      <w:bookmarkEnd w:id="0"/>
    </w:p>
    <w:p w:rsidR="003B7936" w:rsidRPr="00806482" w:rsidRDefault="003B7936" w:rsidP="00E63BC1">
      <w:pPr>
        <w:rPr>
          <w:bCs/>
        </w:rPr>
      </w:pPr>
      <w:r w:rsidRPr="00806482">
        <w:rPr>
          <w:bCs/>
        </w:rPr>
        <w:t>_____________________________</w:t>
      </w:r>
    </w:p>
    <w:p w:rsidR="008C1033" w:rsidRPr="00806482" w:rsidRDefault="003B7936" w:rsidP="003F2FF1">
      <w:pPr>
        <w:spacing w:before="0"/>
        <w:rPr>
          <w:bCs/>
        </w:rPr>
      </w:pPr>
      <w:r w:rsidRPr="00806482">
        <w:rPr>
          <w:bCs/>
        </w:rPr>
        <w:t>Deputy Chief Executive, Service Delivery</w:t>
      </w:r>
    </w:p>
    <w:p w:rsidR="00E63BC1" w:rsidRPr="00806482" w:rsidRDefault="00E63BC1" w:rsidP="008C1033">
      <w:pPr>
        <w:rPr>
          <w:bCs/>
        </w:rPr>
      </w:pPr>
      <w:r w:rsidRPr="00806482">
        <w:rPr>
          <w:rFonts w:cs="Arial"/>
          <w:b/>
          <w:sz w:val="24"/>
          <w:szCs w:val="24"/>
        </w:rPr>
        <w:lastRenderedPageBreak/>
        <w:t>Service Delivery</w:t>
      </w:r>
    </w:p>
    <w:p w:rsidR="00E63BC1" w:rsidRPr="00806482" w:rsidRDefault="00E63BC1" w:rsidP="00E63BC1">
      <w:r w:rsidRPr="00806482">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 fund is being used by people in genuine need.</w:t>
      </w:r>
    </w:p>
    <w:p w:rsidR="00E63BC1" w:rsidRPr="00806482" w:rsidRDefault="00E63BC1" w:rsidP="00E63BC1">
      <w:pPr>
        <w:rPr>
          <w:rFonts w:cs="Calibri"/>
        </w:rPr>
      </w:pPr>
      <w:r w:rsidRPr="00806482">
        <w:t xml:space="preserve">We do this through three key groups; </w:t>
      </w:r>
      <w:r w:rsidRPr="00806482">
        <w:rPr>
          <w:i/>
          <w:iCs/>
        </w:rPr>
        <w:t>Regional Service Delivery</w:t>
      </w:r>
      <w:r w:rsidRPr="00806482">
        <w:t xml:space="preserve">, our frontline centres delivering face-to-face services across 11 regions, </w:t>
      </w:r>
      <w:r w:rsidRPr="00806482">
        <w:rPr>
          <w:i/>
          <w:iCs/>
        </w:rPr>
        <w:t>Contact Centre Services</w:t>
      </w:r>
      <w:r w:rsidRPr="00806482">
        <w:t xml:space="preserve"> providing client services by phone, and </w:t>
      </w:r>
      <w:r w:rsidRPr="00806482">
        <w:rPr>
          <w:i/>
          <w:iCs/>
        </w:rPr>
        <w:t>Centralised Services -</w:t>
      </w:r>
      <w:r w:rsidRPr="00806482">
        <w:t xml:space="preserve"> specialist teams managing processing of support and entitlements.</w:t>
      </w:r>
    </w:p>
    <w:p w:rsidR="00E63BC1" w:rsidRPr="00806482" w:rsidRDefault="00E63BC1" w:rsidP="00E63BC1">
      <w:r w:rsidRPr="00806482">
        <w:t>These three groups are supported by a number of teams, providing operational support, service development, learning and development, analytics and workflow management and engagement expertise.</w:t>
      </w:r>
    </w:p>
    <w:p w:rsidR="00E63BC1" w:rsidRPr="00806482" w:rsidRDefault="00E63BC1" w:rsidP="00E63BC1">
      <w:r w:rsidRPr="00806482">
        <w:t xml:space="preserve">Whatever part of Service </w:t>
      </w:r>
      <w:r w:rsidR="00AC3B2A" w:rsidRPr="00806482">
        <w:t>Delivery</w:t>
      </w:r>
      <w:r w:rsidRPr="00806482">
        <w:t xml:space="preserve"> we work </w:t>
      </w:r>
      <w:proofErr w:type="gramStart"/>
      <w:r w:rsidRPr="00806482">
        <w:t>in,</w:t>
      </w:r>
      <w:proofErr w:type="gramEnd"/>
      <w:r w:rsidRPr="00806482">
        <w:t xml:space="preserve"> we have a role in delivering services and making a difference for more than a million clients.</w:t>
      </w:r>
    </w:p>
    <w:p w:rsidR="00E63BC1" w:rsidRPr="00806482" w:rsidRDefault="00E63BC1" w:rsidP="00E63BC1"/>
    <w:p w:rsidR="00806482" w:rsidRPr="00806482" w:rsidRDefault="00806482" w:rsidP="00806482">
      <w:pPr>
        <w:rPr>
          <w:rFonts w:cs="Arial"/>
          <w:bCs/>
          <w:sz w:val="24"/>
          <w:szCs w:val="24"/>
        </w:rPr>
      </w:pPr>
      <w:r w:rsidRPr="00806482">
        <w:rPr>
          <w:rFonts w:cs="Arial"/>
          <w:b/>
          <w:bCs/>
          <w:sz w:val="24"/>
          <w:szCs w:val="24"/>
        </w:rPr>
        <w:t>Purpose of the Position:</w:t>
      </w:r>
      <w:r w:rsidRPr="00806482">
        <w:rPr>
          <w:rFonts w:cs="Arial"/>
          <w:bCs/>
          <w:sz w:val="24"/>
          <w:szCs w:val="24"/>
        </w:rPr>
        <w:t xml:space="preserve">   </w:t>
      </w:r>
    </w:p>
    <w:p w:rsidR="00806482" w:rsidRPr="00806482" w:rsidRDefault="00806482" w:rsidP="00806482">
      <w:r w:rsidRPr="00806482">
        <w:t xml:space="preserve">The Regional Health Advisor is responsible for providing specialist advice on the health factors associated with a client’s application, review/renewal for benefit and entitlement to services.  In particular, the Regional Health Advisor will focus on matters relating to the health of the client, the barriers created by the client’s health status, what intervention options may exist for reducing or removing the effect of these barriers and what service options may be suitable for the client to enable them to achieve a sustainable employment outcome.  Their professional advice will influence the outcome for the client.  </w:t>
      </w:r>
    </w:p>
    <w:p w:rsidR="00806482" w:rsidRPr="00806482" w:rsidRDefault="00806482" w:rsidP="00806482">
      <w:r w:rsidRPr="00806482">
        <w:t xml:space="preserve">This role is part of a network of Regional Health and Disability Advisors that is supported professionally by two Principal Advisors located in National Office. </w:t>
      </w:r>
    </w:p>
    <w:p w:rsidR="00806482" w:rsidRPr="00806482" w:rsidRDefault="00806482" w:rsidP="00E63BC1"/>
    <w:p w:rsidR="00806482" w:rsidRPr="00806482" w:rsidRDefault="00806482" w:rsidP="00806482">
      <w:pPr>
        <w:rPr>
          <w:rFonts w:cs="Arial"/>
          <w:b/>
          <w:bCs/>
          <w:sz w:val="24"/>
          <w:szCs w:val="24"/>
        </w:rPr>
      </w:pPr>
      <w:r w:rsidRPr="00806482">
        <w:rPr>
          <w:rFonts w:cs="Arial"/>
          <w:b/>
          <w:bCs/>
          <w:sz w:val="24"/>
          <w:szCs w:val="24"/>
        </w:rPr>
        <w:t>Working Rela</w:t>
      </w:r>
      <w:r>
        <w:rPr>
          <w:rFonts w:cs="Arial"/>
          <w:b/>
          <w:bCs/>
          <w:sz w:val="24"/>
          <w:szCs w:val="24"/>
        </w:rPr>
        <w:t>tionships</w:t>
      </w:r>
      <w:r>
        <w:rPr>
          <w:rFonts w:cs="Arial"/>
          <w:b/>
          <w:bCs/>
          <w:sz w:val="24"/>
          <w:szCs w:val="24"/>
        </w:rPr>
        <w:br/>
      </w:r>
    </w:p>
    <w:p w:rsidR="00806482" w:rsidRPr="00806482" w:rsidRDefault="00806482" w:rsidP="00806482">
      <w:pPr>
        <w:spacing w:before="0" w:after="60"/>
        <w:rPr>
          <w:rFonts w:cs="Arial"/>
          <w:b/>
        </w:rPr>
      </w:pPr>
      <w:r w:rsidRPr="00806482">
        <w:rPr>
          <w:rFonts w:cs="Arial"/>
          <w:b/>
        </w:rPr>
        <w:t>Internal:</w:t>
      </w:r>
    </w:p>
    <w:p w:rsidR="00806482" w:rsidRPr="00806482" w:rsidRDefault="00806482" w:rsidP="00806482">
      <w:pPr>
        <w:numPr>
          <w:ilvl w:val="0"/>
          <w:numId w:val="30"/>
        </w:numPr>
        <w:spacing w:before="0"/>
        <w:ind w:left="357" w:hanging="357"/>
        <w:rPr>
          <w:rFonts w:cs="Arial"/>
        </w:rPr>
      </w:pPr>
      <w:r w:rsidRPr="00806482">
        <w:rPr>
          <w:rFonts w:cs="Arial"/>
        </w:rPr>
        <w:t>Manager Regional Services</w:t>
      </w:r>
    </w:p>
    <w:p w:rsidR="00806482" w:rsidRPr="00806482" w:rsidRDefault="00806482" w:rsidP="00806482">
      <w:pPr>
        <w:numPr>
          <w:ilvl w:val="0"/>
          <w:numId w:val="31"/>
        </w:numPr>
        <w:spacing w:before="0"/>
        <w:ind w:left="357" w:hanging="357"/>
        <w:jc w:val="both"/>
        <w:rPr>
          <w:rFonts w:cs="Arial"/>
        </w:rPr>
      </w:pPr>
      <w:r w:rsidRPr="00806482">
        <w:rPr>
          <w:rFonts w:cs="Arial"/>
        </w:rPr>
        <w:t>Regional Disability Advisors</w:t>
      </w:r>
    </w:p>
    <w:p w:rsidR="00806482" w:rsidRPr="00806482" w:rsidRDefault="00806482" w:rsidP="00806482">
      <w:pPr>
        <w:numPr>
          <w:ilvl w:val="0"/>
          <w:numId w:val="31"/>
        </w:numPr>
        <w:spacing w:before="0"/>
        <w:ind w:left="357" w:hanging="357"/>
        <w:jc w:val="both"/>
        <w:rPr>
          <w:rFonts w:cs="Arial"/>
        </w:rPr>
      </w:pPr>
      <w:r>
        <w:rPr>
          <w:rFonts w:cs="Arial"/>
        </w:rPr>
        <w:t>Service Delivery</w:t>
      </w:r>
      <w:r w:rsidRPr="00806482">
        <w:rPr>
          <w:rFonts w:cs="Arial"/>
        </w:rPr>
        <w:t xml:space="preserve"> front-line staff </w:t>
      </w:r>
    </w:p>
    <w:p w:rsidR="00806482" w:rsidRPr="00806482" w:rsidRDefault="00806482" w:rsidP="00806482">
      <w:pPr>
        <w:numPr>
          <w:ilvl w:val="0"/>
          <w:numId w:val="31"/>
        </w:numPr>
        <w:spacing w:before="0"/>
        <w:ind w:left="357" w:hanging="357"/>
        <w:jc w:val="both"/>
        <w:rPr>
          <w:rFonts w:cs="Arial"/>
        </w:rPr>
      </w:pPr>
      <w:r w:rsidRPr="00806482">
        <w:rPr>
          <w:rFonts w:cs="Arial"/>
        </w:rPr>
        <w:t>National Office managers and staff</w:t>
      </w:r>
    </w:p>
    <w:p w:rsidR="00806482" w:rsidRPr="00806482" w:rsidRDefault="00806482" w:rsidP="00806482">
      <w:pPr>
        <w:numPr>
          <w:ilvl w:val="0"/>
          <w:numId w:val="31"/>
        </w:numPr>
        <w:spacing w:before="0"/>
        <w:ind w:left="357" w:hanging="357"/>
        <w:jc w:val="both"/>
        <w:rPr>
          <w:rFonts w:cs="Arial"/>
        </w:rPr>
      </w:pPr>
      <w:r w:rsidRPr="00806482">
        <w:rPr>
          <w:rFonts w:cs="Arial"/>
        </w:rPr>
        <w:t>Other MSD business units</w:t>
      </w:r>
    </w:p>
    <w:p w:rsidR="00806482" w:rsidRPr="00806482" w:rsidRDefault="00806482" w:rsidP="00806482">
      <w:pPr>
        <w:numPr>
          <w:ilvl w:val="0"/>
          <w:numId w:val="31"/>
        </w:numPr>
        <w:spacing w:before="0"/>
        <w:ind w:left="357" w:hanging="357"/>
        <w:jc w:val="both"/>
        <w:rPr>
          <w:rFonts w:cs="Arial"/>
        </w:rPr>
      </w:pPr>
      <w:r w:rsidRPr="00806482">
        <w:rPr>
          <w:rFonts w:cs="Arial"/>
        </w:rPr>
        <w:t>Customer Service Representatives</w:t>
      </w:r>
    </w:p>
    <w:p w:rsidR="00806482" w:rsidRPr="00806482" w:rsidRDefault="00806482" w:rsidP="00806482">
      <w:pPr>
        <w:numPr>
          <w:ilvl w:val="0"/>
          <w:numId w:val="31"/>
        </w:numPr>
        <w:spacing w:before="0"/>
        <w:ind w:left="357" w:hanging="357"/>
        <w:jc w:val="both"/>
        <w:rPr>
          <w:rFonts w:cs="Arial"/>
        </w:rPr>
      </w:pPr>
      <w:r w:rsidRPr="00806482">
        <w:rPr>
          <w:rFonts w:cs="Arial"/>
        </w:rPr>
        <w:t>Health and Disability Co-ordinators</w:t>
      </w:r>
    </w:p>
    <w:p w:rsidR="00806482" w:rsidRPr="00806482" w:rsidRDefault="00806482" w:rsidP="00806482">
      <w:pPr>
        <w:numPr>
          <w:ilvl w:val="0"/>
          <w:numId w:val="31"/>
        </w:numPr>
        <w:spacing w:before="0"/>
        <w:ind w:left="357" w:hanging="357"/>
        <w:jc w:val="both"/>
        <w:rPr>
          <w:rFonts w:cs="Arial"/>
        </w:rPr>
      </w:pPr>
      <w:r w:rsidRPr="00806482">
        <w:rPr>
          <w:rFonts w:cs="Arial"/>
        </w:rPr>
        <w:t>Principal Health Advisor (national office)</w:t>
      </w:r>
    </w:p>
    <w:p w:rsidR="00806482" w:rsidRPr="00806482" w:rsidRDefault="00806482" w:rsidP="00806482">
      <w:pPr>
        <w:numPr>
          <w:ilvl w:val="0"/>
          <w:numId w:val="31"/>
        </w:numPr>
        <w:spacing w:before="0"/>
        <w:ind w:left="357" w:hanging="357"/>
        <w:jc w:val="both"/>
        <w:rPr>
          <w:rFonts w:cs="Arial"/>
        </w:rPr>
      </w:pPr>
      <w:r w:rsidRPr="00806482">
        <w:rPr>
          <w:rFonts w:cs="Arial"/>
        </w:rPr>
        <w:t>Principal Disability Advisor (national office)</w:t>
      </w:r>
    </w:p>
    <w:p w:rsidR="00806482" w:rsidRDefault="00806482" w:rsidP="00806482">
      <w:pPr>
        <w:spacing w:before="0" w:after="60"/>
        <w:rPr>
          <w:rFonts w:cs="Arial"/>
          <w:b/>
        </w:rPr>
      </w:pPr>
    </w:p>
    <w:p w:rsidR="00806482" w:rsidRPr="00806482" w:rsidRDefault="00806482" w:rsidP="00806482">
      <w:pPr>
        <w:spacing w:before="0" w:after="60"/>
        <w:rPr>
          <w:rFonts w:cs="Arial"/>
          <w:b/>
        </w:rPr>
      </w:pPr>
      <w:r w:rsidRPr="00806482">
        <w:rPr>
          <w:rFonts w:cs="Arial"/>
          <w:b/>
        </w:rPr>
        <w:t>External:</w:t>
      </w:r>
    </w:p>
    <w:p w:rsidR="00806482" w:rsidRPr="00806482" w:rsidRDefault="00806482" w:rsidP="00806482">
      <w:pPr>
        <w:numPr>
          <w:ilvl w:val="0"/>
          <w:numId w:val="31"/>
        </w:numPr>
        <w:spacing w:before="0"/>
        <w:ind w:left="357" w:hanging="357"/>
        <w:jc w:val="both"/>
        <w:rPr>
          <w:rFonts w:cs="Arial"/>
        </w:rPr>
      </w:pPr>
      <w:r w:rsidRPr="00806482">
        <w:rPr>
          <w:rFonts w:cs="Arial"/>
        </w:rPr>
        <w:t>General Practitioners</w:t>
      </w:r>
    </w:p>
    <w:p w:rsidR="00806482" w:rsidRPr="00806482" w:rsidRDefault="00806482" w:rsidP="00806482">
      <w:pPr>
        <w:numPr>
          <w:ilvl w:val="0"/>
          <w:numId w:val="31"/>
        </w:numPr>
        <w:spacing w:before="0"/>
        <w:ind w:left="357" w:hanging="357"/>
        <w:jc w:val="both"/>
        <w:rPr>
          <w:rFonts w:cs="Arial"/>
        </w:rPr>
      </w:pPr>
      <w:r w:rsidRPr="00806482">
        <w:rPr>
          <w:rFonts w:cs="Arial"/>
        </w:rPr>
        <w:t>Contracted health and disability providers</w:t>
      </w:r>
    </w:p>
    <w:p w:rsidR="00806482" w:rsidRPr="00806482" w:rsidRDefault="00806482" w:rsidP="00806482">
      <w:pPr>
        <w:numPr>
          <w:ilvl w:val="0"/>
          <w:numId w:val="31"/>
        </w:numPr>
        <w:spacing w:before="0"/>
        <w:ind w:left="357" w:hanging="357"/>
        <w:jc w:val="both"/>
        <w:rPr>
          <w:rFonts w:cs="Arial"/>
        </w:rPr>
      </w:pPr>
      <w:r w:rsidRPr="00806482">
        <w:rPr>
          <w:rFonts w:cs="Arial"/>
        </w:rPr>
        <w:t>Specialist assessors</w:t>
      </w:r>
    </w:p>
    <w:p w:rsidR="00806482" w:rsidRPr="00806482" w:rsidRDefault="00806482" w:rsidP="00806482">
      <w:pPr>
        <w:numPr>
          <w:ilvl w:val="0"/>
          <w:numId w:val="31"/>
        </w:numPr>
        <w:spacing w:before="0"/>
        <w:ind w:left="357" w:hanging="357"/>
        <w:jc w:val="both"/>
        <w:rPr>
          <w:rFonts w:cs="Arial"/>
        </w:rPr>
      </w:pPr>
      <w:r w:rsidRPr="00806482">
        <w:rPr>
          <w:rFonts w:cs="Arial"/>
        </w:rPr>
        <w:t>Key public hospital staff</w:t>
      </w:r>
    </w:p>
    <w:p w:rsidR="00806482" w:rsidRPr="00806482" w:rsidRDefault="00806482" w:rsidP="00806482">
      <w:pPr>
        <w:numPr>
          <w:ilvl w:val="0"/>
          <w:numId w:val="31"/>
        </w:numPr>
        <w:spacing w:before="0"/>
        <w:ind w:left="357" w:hanging="357"/>
        <w:jc w:val="both"/>
        <w:rPr>
          <w:rFonts w:cs="Arial"/>
        </w:rPr>
      </w:pPr>
      <w:r w:rsidRPr="00806482">
        <w:rPr>
          <w:rFonts w:cs="Arial"/>
        </w:rPr>
        <w:t>Public health organisations</w:t>
      </w:r>
    </w:p>
    <w:p w:rsidR="00806482" w:rsidRPr="00806482" w:rsidRDefault="00806482" w:rsidP="00806482">
      <w:pPr>
        <w:numPr>
          <w:ilvl w:val="0"/>
          <w:numId w:val="31"/>
        </w:numPr>
        <w:spacing w:before="0"/>
        <w:ind w:left="357" w:hanging="357"/>
        <w:jc w:val="both"/>
        <w:rPr>
          <w:rFonts w:cs="Arial"/>
        </w:rPr>
      </w:pPr>
      <w:r w:rsidRPr="00806482">
        <w:rPr>
          <w:rFonts w:cs="Arial"/>
        </w:rPr>
        <w:t>Regional health authority</w:t>
      </w:r>
    </w:p>
    <w:p w:rsidR="00806482" w:rsidRPr="00806482" w:rsidRDefault="00806482" w:rsidP="00806482">
      <w:pPr>
        <w:numPr>
          <w:ilvl w:val="0"/>
          <w:numId w:val="31"/>
        </w:numPr>
        <w:spacing w:before="0"/>
        <w:ind w:left="357" w:hanging="357"/>
        <w:jc w:val="both"/>
        <w:rPr>
          <w:rFonts w:cs="Arial"/>
        </w:rPr>
      </w:pPr>
      <w:r w:rsidRPr="00806482">
        <w:rPr>
          <w:rFonts w:cs="Arial"/>
        </w:rPr>
        <w:t>Specialists</w:t>
      </w:r>
    </w:p>
    <w:p w:rsidR="00806482" w:rsidRPr="00806482" w:rsidRDefault="00806482" w:rsidP="00806482">
      <w:pPr>
        <w:rPr>
          <w:rFonts w:cs="Arial"/>
          <w:highlight w:val="lightGray"/>
        </w:rPr>
      </w:pPr>
      <w:r w:rsidRPr="00806482">
        <w:rPr>
          <w:rFonts w:cs="Arial"/>
          <w:b/>
          <w:sz w:val="24"/>
          <w:szCs w:val="24"/>
        </w:rPr>
        <w:lastRenderedPageBreak/>
        <w:t xml:space="preserve">Key Accountabilities:  </w:t>
      </w:r>
    </w:p>
    <w:tbl>
      <w:tblPr>
        <w:tblW w:w="9502"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tblGrid>
      <w:tr w:rsidR="00806482" w:rsidRPr="00806482" w:rsidTr="00CB3204">
        <w:trPr>
          <w:trHeight w:val="138"/>
        </w:trPr>
        <w:tc>
          <w:tcPr>
            <w:tcW w:w="2197" w:type="dxa"/>
            <w:shd w:val="clear" w:color="auto" w:fill="auto"/>
          </w:tcPr>
          <w:p w:rsidR="00806482" w:rsidRPr="00806482" w:rsidRDefault="00806482" w:rsidP="00CB3204">
            <w:pPr>
              <w:jc w:val="center"/>
              <w:rPr>
                <w:rFonts w:cs="Arial"/>
                <w:b/>
                <w:bCs/>
              </w:rPr>
            </w:pPr>
            <w:r w:rsidRPr="00806482">
              <w:rPr>
                <w:rFonts w:cs="Arial"/>
                <w:b/>
                <w:bCs/>
              </w:rPr>
              <w:t>Key Result Area</w:t>
            </w:r>
          </w:p>
        </w:tc>
        <w:tc>
          <w:tcPr>
            <w:tcW w:w="7305" w:type="dxa"/>
            <w:shd w:val="clear" w:color="auto" w:fill="auto"/>
          </w:tcPr>
          <w:p w:rsidR="00806482" w:rsidRPr="00806482" w:rsidRDefault="00806482" w:rsidP="00CB3204">
            <w:pPr>
              <w:jc w:val="center"/>
              <w:rPr>
                <w:rFonts w:cs="Arial"/>
                <w:b/>
                <w:bCs/>
              </w:rPr>
            </w:pPr>
            <w:r w:rsidRPr="00806482">
              <w:rPr>
                <w:rFonts w:cs="Arial"/>
                <w:b/>
                <w:bCs/>
              </w:rPr>
              <w:t>Accountabilities</w:t>
            </w:r>
          </w:p>
        </w:tc>
      </w:tr>
      <w:tr w:rsidR="00806482" w:rsidRPr="00806482" w:rsidTr="00CB3204">
        <w:trPr>
          <w:trHeight w:val="138"/>
        </w:trPr>
        <w:tc>
          <w:tcPr>
            <w:tcW w:w="2197" w:type="dxa"/>
            <w:shd w:val="clear" w:color="auto" w:fill="auto"/>
          </w:tcPr>
          <w:p w:rsidR="00806482" w:rsidRPr="00806482" w:rsidRDefault="00806482" w:rsidP="00806482">
            <w:pPr>
              <w:pStyle w:val="Heading7"/>
              <w:spacing w:before="120"/>
              <w:jc w:val="center"/>
              <w:rPr>
                <w:rFonts w:ascii="Arial Mäori" w:hAnsi="Arial Mäori" w:cs="Arial"/>
                <w:b/>
                <w:bCs/>
                <w:sz w:val="22"/>
                <w:szCs w:val="22"/>
              </w:rPr>
            </w:pPr>
            <w:r w:rsidRPr="00806482">
              <w:rPr>
                <w:rFonts w:ascii="Arial Mäori" w:hAnsi="Arial Mäori" w:cs="Arial"/>
                <w:b/>
                <w:sz w:val="22"/>
                <w:szCs w:val="22"/>
              </w:rPr>
              <w:t>Advise on Benefit Entitlement Decisions</w:t>
            </w: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Receive referred benefit applications, reviews/renewals from case managers where it is unclear that a benefit duration or service entitlement decision can be made without further investigation</w:t>
            </w:r>
          </w:p>
          <w:p w:rsidR="00806482" w:rsidRPr="00806482" w:rsidRDefault="00806482" w:rsidP="00806482">
            <w:pPr>
              <w:numPr>
                <w:ilvl w:val="0"/>
                <w:numId w:val="32"/>
              </w:numPr>
              <w:spacing w:before="40" w:after="40"/>
              <w:ind w:left="465" w:hanging="425"/>
              <w:rPr>
                <w:rFonts w:cs="Arial"/>
              </w:rPr>
            </w:pPr>
            <w:r w:rsidRPr="00806482">
              <w:rPr>
                <w:rFonts w:cs="Arial"/>
              </w:rPr>
              <w:t>Review the application file and determine whether there is sufficient health information available</w:t>
            </w:r>
          </w:p>
          <w:p w:rsidR="00806482" w:rsidRPr="00806482" w:rsidRDefault="00806482" w:rsidP="00806482">
            <w:pPr>
              <w:numPr>
                <w:ilvl w:val="0"/>
                <w:numId w:val="32"/>
              </w:numPr>
              <w:spacing w:before="40" w:after="40"/>
              <w:ind w:left="465" w:hanging="425"/>
              <w:rPr>
                <w:rFonts w:cs="Arial"/>
              </w:rPr>
            </w:pPr>
            <w:r w:rsidRPr="00806482">
              <w:rPr>
                <w:rFonts w:cs="Arial"/>
              </w:rPr>
              <w:t>Determine whether issues arising from the application, review/renewal need to be referred back to the client or their General Practitioner (GP)</w:t>
            </w:r>
          </w:p>
          <w:p w:rsidR="00806482" w:rsidRPr="00806482" w:rsidRDefault="00806482" w:rsidP="00806482">
            <w:pPr>
              <w:numPr>
                <w:ilvl w:val="0"/>
                <w:numId w:val="32"/>
              </w:numPr>
              <w:spacing w:before="40" w:after="40"/>
              <w:ind w:left="465" w:hanging="425"/>
              <w:rPr>
                <w:rFonts w:cs="Arial"/>
              </w:rPr>
            </w:pPr>
            <w:r w:rsidRPr="00806482">
              <w:rPr>
                <w:rFonts w:cs="Arial"/>
              </w:rPr>
              <w:t>Determine whether there is sufficient need for a specialist health assessment</w:t>
            </w:r>
          </w:p>
          <w:p w:rsidR="00806482" w:rsidRPr="00806482" w:rsidRDefault="00806482" w:rsidP="00806482">
            <w:pPr>
              <w:numPr>
                <w:ilvl w:val="0"/>
                <w:numId w:val="32"/>
              </w:numPr>
              <w:spacing w:before="40" w:after="40"/>
              <w:ind w:left="465" w:hanging="425"/>
              <w:rPr>
                <w:rFonts w:cs="Arial"/>
              </w:rPr>
            </w:pPr>
            <w:r w:rsidRPr="00806482">
              <w:rPr>
                <w:rFonts w:cs="Arial"/>
              </w:rPr>
              <w:t>Determine the appropriate speciality where a specialist health assessment is needed and identifying a suitable assessor</w:t>
            </w:r>
          </w:p>
          <w:p w:rsidR="00806482" w:rsidRPr="00806482" w:rsidRDefault="00806482" w:rsidP="00806482">
            <w:pPr>
              <w:numPr>
                <w:ilvl w:val="0"/>
                <w:numId w:val="32"/>
              </w:numPr>
              <w:spacing w:before="40" w:after="40"/>
              <w:ind w:left="465" w:hanging="425"/>
              <w:rPr>
                <w:rFonts w:cs="Arial"/>
              </w:rPr>
            </w:pPr>
            <w:r w:rsidRPr="00806482">
              <w:rPr>
                <w:rFonts w:cs="Arial"/>
              </w:rPr>
              <w:t>Recommend the engagement of the assessor through the engagement framework</w:t>
            </w:r>
          </w:p>
          <w:p w:rsidR="00806482" w:rsidRPr="00806482" w:rsidRDefault="00806482" w:rsidP="00806482">
            <w:pPr>
              <w:numPr>
                <w:ilvl w:val="0"/>
                <w:numId w:val="32"/>
              </w:numPr>
              <w:spacing w:before="40" w:after="40"/>
              <w:ind w:left="465" w:hanging="425"/>
              <w:rPr>
                <w:rFonts w:cs="Arial"/>
              </w:rPr>
            </w:pPr>
            <w:r w:rsidRPr="00806482">
              <w:rPr>
                <w:rFonts w:cs="Arial"/>
              </w:rPr>
              <w:t>Receive and analyse the subsequent assessment report before making final recommendations to the case manager</w:t>
            </w:r>
          </w:p>
          <w:p w:rsidR="00806482" w:rsidRPr="00806482" w:rsidRDefault="00806482" w:rsidP="00806482">
            <w:pPr>
              <w:numPr>
                <w:ilvl w:val="0"/>
                <w:numId w:val="32"/>
              </w:numPr>
              <w:spacing w:before="40" w:after="40"/>
              <w:ind w:left="465" w:hanging="425"/>
              <w:rPr>
                <w:rFonts w:cs="Arial"/>
              </w:rPr>
            </w:pPr>
            <w:r w:rsidRPr="00806482">
              <w:rPr>
                <w:rFonts w:cs="Arial"/>
              </w:rPr>
              <w:t>Determine whether the recommended health intervention meets the service principle guidelines.</w:t>
            </w:r>
          </w:p>
        </w:tc>
      </w:tr>
      <w:tr w:rsidR="00806482" w:rsidRPr="00806482" w:rsidTr="00CB3204">
        <w:trPr>
          <w:trHeight w:val="138"/>
        </w:trPr>
        <w:tc>
          <w:tcPr>
            <w:tcW w:w="2197" w:type="dxa"/>
            <w:shd w:val="clear" w:color="auto" w:fill="auto"/>
          </w:tcPr>
          <w:p w:rsidR="00806482" w:rsidRPr="00806482" w:rsidRDefault="00806482" w:rsidP="00806482">
            <w:pPr>
              <w:pStyle w:val="Heading7"/>
              <w:spacing w:before="120"/>
              <w:jc w:val="center"/>
              <w:rPr>
                <w:rFonts w:ascii="Arial Mäori" w:hAnsi="Arial Mäori" w:cs="Arial"/>
                <w:sz w:val="22"/>
                <w:szCs w:val="22"/>
              </w:rPr>
            </w:pPr>
            <w:r w:rsidRPr="00806482">
              <w:rPr>
                <w:rFonts w:ascii="Arial Mäori" w:hAnsi="Arial Mäori" w:cs="Arial"/>
                <w:b/>
                <w:sz w:val="22"/>
                <w:szCs w:val="22"/>
              </w:rPr>
              <w:t>Relationship management</w:t>
            </w: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Where appropriate, matters of clarity are referred to the client’s GP to be addressed</w:t>
            </w:r>
          </w:p>
          <w:p w:rsidR="00806482" w:rsidRPr="00806482" w:rsidRDefault="00806482" w:rsidP="00806482">
            <w:pPr>
              <w:numPr>
                <w:ilvl w:val="0"/>
                <w:numId w:val="32"/>
              </w:numPr>
              <w:spacing w:before="40" w:after="40"/>
              <w:ind w:left="465" w:hanging="425"/>
              <w:rPr>
                <w:rFonts w:cs="Arial"/>
              </w:rPr>
            </w:pPr>
            <w:r w:rsidRPr="00806482">
              <w:rPr>
                <w:rFonts w:cs="Arial"/>
              </w:rPr>
              <w:t>Referrals for specialised health assessment or health interventions are appropriate, well documented and timely</w:t>
            </w:r>
          </w:p>
          <w:p w:rsidR="00806482" w:rsidRPr="00806482" w:rsidRDefault="00806482" w:rsidP="00806482">
            <w:pPr>
              <w:numPr>
                <w:ilvl w:val="0"/>
                <w:numId w:val="32"/>
              </w:numPr>
              <w:spacing w:before="40" w:after="40"/>
              <w:ind w:left="465" w:hanging="425"/>
              <w:rPr>
                <w:rFonts w:cs="Arial"/>
              </w:rPr>
            </w:pPr>
            <w:r w:rsidRPr="00806482">
              <w:rPr>
                <w:rFonts w:cs="Arial"/>
              </w:rPr>
              <w:t xml:space="preserve">Referrals for specialised health assessment or health interventions are effectively managed so that the service is delivered to </w:t>
            </w:r>
            <w:r>
              <w:rPr>
                <w:rFonts w:cs="Arial"/>
              </w:rPr>
              <w:t>Service Delivery</w:t>
            </w:r>
            <w:r w:rsidRPr="00806482">
              <w:rPr>
                <w:rFonts w:cs="Arial"/>
              </w:rPr>
              <w:t>’s expectations, optimising the outcome for the client.</w:t>
            </w:r>
          </w:p>
        </w:tc>
      </w:tr>
      <w:tr w:rsidR="00806482" w:rsidRPr="00806482" w:rsidTr="00CB3204">
        <w:trPr>
          <w:trHeight w:val="138"/>
        </w:trPr>
        <w:tc>
          <w:tcPr>
            <w:tcW w:w="2197" w:type="dxa"/>
            <w:shd w:val="clear" w:color="auto" w:fill="auto"/>
          </w:tcPr>
          <w:p w:rsidR="00806482" w:rsidRPr="00806482" w:rsidRDefault="00806482" w:rsidP="00806482">
            <w:pPr>
              <w:pStyle w:val="Heading7"/>
              <w:spacing w:before="120"/>
              <w:jc w:val="center"/>
              <w:rPr>
                <w:rFonts w:ascii="Arial Mäori" w:hAnsi="Arial Mäori" w:cs="Arial"/>
                <w:bCs/>
                <w:sz w:val="22"/>
                <w:szCs w:val="22"/>
              </w:rPr>
            </w:pPr>
            <w:r w:rsidRPr="00806482">
              <w:rPr>
                <w:rFonts w:ascii="Arial Mäori" w:hAnsi="Arial Mäori" w:cs="Arial"/>
                <w:b/>
                <w:sz w:val="22"/>
                <w:szCs w:val="22"/>
              </w:rPr>
              <w:t>Determine Specialised Assessment needs</w:t>
            </w: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 xml:space="preserve">Ensure client’s medical needs and circumstances have been appropriately assessed from the benefit application and associated information available </w:t>
            </w:r>
          </w:p>
          <w:p w:rsidR="00806482" w:rsidRPr="00806482" w:rsidRDefault="00806482" w:rsidP="00806482">
            <w:pPr>
              <w:numPr>
                <w:ilvl w:val="0"/>
                <w:numId w:val="32"/>
              </w:numPr>
              <w:spacing w:before="40" w:after="40"/>
              <w:ind w:left="465" w:hanging="425"/>
              <w:rPr>
                <w:rFonts w:cs="Arial"/>
              </w:rPr>
            </w:pPr>
            <w:r w:rsidRPr="00806482">
              <w:rPr>
                <w:rFonts w:cs="Arial"/>
              </w:rPr>
              <w:t>Establish programme of care to be shared with the case manager.</w:t>
            </w:r>
          </w:p>
        </w:tc>
      </w:tr>
      <w:tr w:rsidR="00806482" w:rsidRPr="00806482" w:rsidTr="00CB3204">
        <w:trPr>
          <w:trHeight w:val="551"/>
        </w:trPr>
        <w:tc>
          <w:tcPr>
            <w:tcW w:w="2197" w:type="dxa"/>
            <w:shd w:val="clear" w:color="auto" w:fill="auto"/>
          </w:tcPr>
          <w:p w:rsidR="00806482" w:rsidRPr="00806482" w:rsidRDefault="00806482" w:rsidP="00806482">
            <w:pPr>
              <w:pStyle w:val="Heading7"/>
              <w:spacing w:before="120"/>
              <w:jc w:val="center"/>
              <w:rPr>
                <w:rFonts w:ascii="Arial Mäori" w:hAnsi="Arial Mäori" w:cs="Arial"/>
                <w:bCs/>
                <w:sz w:val="22"/>
                <w:szCs w:val="22"/>
              </w:rPr>
            </w:pPr>
            <w:r w:rsidRPr="00806482">
              <w:rPr>
                <w:rFonts w:ascii="Arial Mäori" w:hAnsi="Arial Mäori" w:cs="Arial"/>
                <w:b/>
                <w:sz w:val="22"/>
                <w:szCs w:val="22"/>
              </w:rPr>
              <w:t>Determine health interventions</w:t>
            </w: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 xml:space="preserve">Recommendations for health interventions by specialised health assessors as determined by the service principle guidelines.  </w:t>
            </w:r>
          </w:p>
          <w:p w:rsidR="00806482" w:rsidRPr="00806482" w:rsidRDefault="00806482" w:rsidP="00806482">
            <w:pPr>
              <w:numPr>
                <w:ilvl w:val="0"/>
                <w:numId w:val="32"/>
              </w:numPr>
              <w:spacing w:before="40" w:after="40"/>
              <w:ind w:left="465" w:hanging="425"/>
              <w:rPr>
                <w:rFonts w:cs="Arial"/>
              </w:rPr>
            </w:pPr>
            <w:r w:rsidRPr="00806482">
              <w:rPr>
                <w:rFonts w:cs="Arial"/>
              </w:rPr>
              <w:t>Ensure clear endorsement of the health intervention is obtained from the client and their GP</w:t>
            </w:r>
          </w:p>
          <w:p w:rsidR="00806482" w:rsidRPr="00806482" w:rsidRDefault="00806482" w:rsidP="00806482">
            <w:pPr>
              <w:numPr>
                <w:ilvl w:val="0"/>
                <w:numId w:val="32"/>
              </w:numPr>
              <w:spacing w:before="40" w:after="40"/>
              <w:ind w:left="465" w:hanging="425"/>
              <w:rPr>
                <w:rFonts w:cs="Arial"/>
              </w:rPr>
            </w:pPr>
            <w:r w:rsidRPr="00806482">
              <w:rPr>
                <w:rFonts w:cs="Arial"/>
              </w:rPr>
              <w:t>Recommendations for health interventions by specialised health assessors are followed through in a timely manner.</w:t>
            </w:r>
          </w:p>
        </w:tc>
      </w:tr>
      <w:tr w:rsidR="00806482" w:rsidRPr="00806482" w:rsidTr="00CB3204">
        <w:trPr>
          <w:trHeight w:val="447"/>
        </w:trPr>
        <w:tc>
          <w:tcPr>
            <w:tcW w:w="2197" w:type="dxa"/>
            <w:shd w:val="clear" w:color="auto" w:fill="auto"/>
          </w:tcPr>
          <w:p w:rsidR="00806482" w:rsidRPr="00806482" w:rsidRDefault="00806482" w:rsidP="00806482">
            <w:pPr>
              <w:pStyle w:val="Heading7"/>
              <w:spacing w:before="120"/>
              <w:jc w:val="center"/>
              <w:rPr>
                <w:rFonts w:ascii="Arial Mäori" w:hAnsi="Arial Mäori" w:cs="Arial"/>
                <w:b/>
                <w:sz w:val="22"/>
                <w:szCs w:val="22"/>
              </w:rPr>
            </w:pPr>
            <w:r w:rsidRPr="00806482">
              <w:rPr>
                <w:rFonts w:ascii="Arial Mäori" w:hAnsi="Arial Mäori" w:cs="Arial"/>
                <w:b/>
                <w:sz w:val="22"/>
                <w:szCs w:val="22"/>
              </w:rPr>
              <w:t>Recommend appropriate service options</w:t>
            </w: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 xml:space="preserve">Based on the client’s health status and available information, appropriate employment service recommendations are made to the </w:t>
            </w:r>
            <w:r>
              <w:rPr>
                <w:rFonts w:cs="Arial"/>
              </w:rPr>
              <w:t>Service Delivery</w:t>
            </w:r>
            <w:r w:rsidRPr="00806482">
              <w:rPr>
                <w:rFonts w:cs="Arial"/>
              </w:rPr>
              <w:t xml:space="preserve"> case manager.</w:t>
            </w:r>
          </w:p>
        </w:tc>
      </w:tr>
      <w:tr w:rsidR="00806482" w:rsidRPr="00806482" w:rsidTr="00CB3204">
        <w:trPr>
          <w:trHeight w:val="586"/>
        </w:trPr>
        <w:tc>
          <w:tcPr>
            <w:tcW w:w="2197" w:type="dxa"/>
            <w:shd w:val="clear" w:color="auto" w:fill="auto"/>
          </w:tcPr>
          <w:p w:rsidR="00806482" w:rsidRPr="00806482" w:rsidRDefault="00806482" w:rsidP="00806482">
            <w:pPr>
              <w:pStyle w:val="Heading7"/>
              <w:spacing w:before="120"/>
              <w:jc w:val="center"/>
              <w:rPr>
                <w:rFonts w:ascii="Arial Mäori" w:hAnsi="Arial Mäori" w:cs="Arial"/>
                <w:b/>
                <w:sz w:val="22"/>
                <w:szCs w:val="22"/>
              </w:rPr>
            </w:pPr>
            <w:r w:rsidRPr="00806482">
              <w:rPr>
                <w:rFonts w:ascii="Arial Mäori" w:hAnsi="Arial Mäori" w:cs="Arial"/>
                <w:b/>
                <w:sz w:val="22"/>
                <w:szCs w:val="22"/>
              </w:rPr>
              <w:t>Planning and reporting</w:t>
            </w:r>
          </w:p>
          <w:p w:rsidR="00806482" w:rsidRPr="00806482" w:rsidRDefault="00806482" w:rsidP="00CB3204">
            <w:pPr>
              <w:jc w:val="center"/>
              <w:rPr>
                <w:rFonts w:cs="Arial"/>
                <w:b/>
                <w:bCs/>
              </w:rPr>
            </w:pPr>
          </w:p>
        </w:tc>
        <w:tc>
          <w:tcPr>
            <w:tcW w:w="7305" w:type="dxa"/>
            <w:shd w:val="clear" w:color="auto" w:fill="auto"/>
          </w:tcPr>
          <w:p w:rsidR="00806482" w:rsidRPr="00806482" w:rsidRDefault="00806482" w:rsidP="00806482">
            <w:pPr>
              <w:numPr>
                <w:ilvl w:val="0"/>
                <w:numId w:val="32"/>
              </w:numPr>
              <w:spacing w:before="40" w:after="40"/>
              <w:ind w:left="465" w:hanging="425"/>
              <w:rPr>
                <w:rFonts w:cs="Arial"/>
              </w:rPr>
            </w:pPr>
            <w:r w:rsidRPr="00806482">
              <w:rPr>
                <w:rFonts w:cs="Arial"/>
              </w:rPr>
              <w:t xml:space="preserve">Actively contribute to the operational plan for the </w:t>
            </w:r>
            <w:r>
              <w:rPr>
                <w:rFonts w:cs="Arial"/>
              </w:rPr>
              <w:t>Service Delivery</w:t>
            </w:r>
            <w:r w:rsidRPr="00806482">
              <w:rPr>
                <w:rFonts w:cs="Arial"/>
              </w:rPr>
              <w:t xml:space="preserve"> region as required</w:t>
            </w:r>
          </w:p>
          <w:p w:rsidR="00806482" w:rsidRPr="00806482" w:rsidRDefault="00806482" w:rsidP="00806482">
            <w:pPr>
              <w:numPr>
                <w:ilvl w:val="0"/>
                <w:numId w:val="32"/>
              </w:numPr>
              <w:spacing w:before="40" w:after="40"/>
              <w:ind w:left="465" w:hanging="425"/>
              <w:rPr>
                <w:rFonts w:cs="Arial"/>
              </w:rPr>
            </w:pPr>
            <w:r w:rsidRPr="00806482">
              <w:rPr>
                <w:rFonts w:cs="Arial"/>
              </w:rPr>
              <w:t>Participate actively in planning and supervision activities that involve other regional health advisors and the Principal Health Advisor</w:t>
            </w:r>
          </w:p>
          <w:p w:rsidR="00806482" w:rsidRPr="00806482" w:rsidRDefault="00806482" w:rsidP="00806482">
            <w:pPr>
              <w:numPr>
                <w:ilvl w:val="0"/>
                <w:numId w:val="32"/>
              </w:numPr>
              <w:spacing w:before="40" w:after="40"/>
              <w:ind w:left="465" w:hanging="425"/>
              <w:rPr>
                <w:rFonts w:cs="Arial"/>
              </w:rPr>
            </w:pPr>
            <w:r w:rsidRPr="00806482">
              <w:rPr>
                <w:rFonts w:cs="Arial"/>
              </w:rPr>
              <w:t>Liaise with Regional Disability and Principal Disability Advisors as appropriate</w:t>
            </w:r>
          </w:p>
          <w:p w:rsidR="00806482" w:rsidRPr="00806482" w:rsidRDefault="00806482" w:rsidP="00806482">
            <w:pPr>
              <w:numPr>
                <w:ilvl w:val="0"/>
                <w:numId w:val="32"/>
              </w:numPr>
              <w:spacing w:before="40" w:after="40"/>
              <w:ind w:left="465" w:hanging="425"/>
              <w:rPr>
                <w:rFonts w:cs="Arial"/>
              </w:rPr>
            </w:pPr>
            <w:r w:rsidRPr="00806482">
              <w:rPr>
                <w:rFonts w:cs="Arial"/>
              </w:rPr>
              <w:lastRenderedPageBreak/>
              <w:t>Report regionally on a regular basis on areas to be addressed further.</w:t>
            </w:r>
          </w:p>
        </w:tc>
      </w:tr>
    </w:tbl>
    <w:p w:rsidR="00806482" w:rsidRPr="00806482" w:rsidRDefault="00806482" w:rsidP="00806482">
      <w:pPr>
        <w:jc w:val="both"/>
        <w:rPr>
          <w:rFonts w:cs="Arial"/>
          <w:b/>
        </w:rPr>
      </w:pPr>
    </w:p>
    <w:p w:rsidR="00806482" w:rsidRPr="00806482" w:rsidRDefault="00806482" w:rsidP="00806482">
      <w:pPr>
        <w:jc w:val="both"/>
        <w:rPr>
          <w:rFonts w:cs="Arial"/>
          <w: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06482" w:rsidRPr="00806482" w:rsidTr="00CB3204">
        <w:trPr>
          <w:trHeight w:val="4880"/>
        </w:trPr>
        <w:tc>
          <w:tcPr>
            <w:tcW w:w="9540" w:type="dxa"/>
            <w:shd w:val="clear" w:color="auto" w:fill="auto"/>
          </w:tcPr>
          <w:p w:rsidR="00806482" w:rsidRPr="00806482" w:rsidRDefault="00806482" w:rsidP="00806482">
            <w:pPr>
              <w:rPr>
                <w:rFonts w:cs="Arial"/>
                <w:smallCaps/>
                <w:sz w:val="24"/>
                <w:szCs w:val="24"/>
              </w:rPr>
            </w:pPr>
            <w:r w:rsidRPr="00806482">
              <w:rPr>
                <w:rFonts w:cs="Arial"/>
                <w:smallCaps/>
                <w:sz w:val="24"/>
                <w:szCs w:val="24"/>
              </w:rPr>
              <w:br/>
            </w:r>
            <w:r w:rsidRPr="00806482">
              <w:rPr>
                <w:rFonts w:cs="Arial"/>
                <w:b/>
                <w:sz w:val="24"/>
                <w:szCs w:val="24"/>
              </w:rPr>
              <w:t>Technical/Professional Knowledge and Experience</w:t>
            </w:r>
          </w:p>
          <w:p w:rsidR="00806482" w:rsidRPr="00806482" w:rsidRDefault="00806482" w:rsidP="00806482">
            <w:pPr>
              <w:spacing w:before="60" w:after="60"/>
              <w:rPr>
                <w:rFonts w:cs="Arial"/>
              </w:rPr>
            </w:pPr>
          </w:p>
          <w:p w:rsidR="00806482" w:rsidRPr="00806482" w:rsidRDefault="00806482" w:rsidP="00806482">
            <w:pPr>
              <w:numPr>
                <w:ilvl w:val="0"/>
                <w:numId w:val="33"/>
              </w:numPr>
              <w:spacing w:before="60" w:after="60"/>
              <w:ind w:left="357" w:hanging="357"/>
              <w:rPr>
                <w:rFonts w:cs="Arial"/>
              </w:rPr>
            </w:pPr>
            <w:r w:rsidRPr="00806482">
              <w:rPr>
                <w:rFonts w:cs="Arial"/>
              </w:rPr>
              <w:t>Health practitioner qualification (such as registered nurse, occupational therapist, physiotherapist, registered social worker, or similar)</w:t>
            </w:r>
          </w:p>
          <w:p w:rsidR="00806482" w:rsidRPr="00806482" w:rsidRDefault="00806482" w:rsidP="00806482">
            <w:pPr>
              <w:numPr>
                <w:ilvl w:val="0"/>
                <w:numId w:val="33"/>
              </w:numPr>
              <w:spacing w:before="60" w:after="60"/>
              <w:ind w:left="357" w:hanging="357"/>
              <w:rPr>
                <w:rFonts w:cs="Arial"/>
              </w:rPr>
            </w:pPr>
            <w:r w:rsidRPr="00806482">
              <w:rPr>
                <w:rFonts w:cs="Arial"/>
              </w:rPr>
              <w:t>Experience in rehabilitation</w:t>
            </w:r>
          </w:p>
          <w:p w:rsidR="00806482" w:rsidRPr="00806482" w:rsidRDefault="00806482" w:rsidP="00806482">
            <w:pPr>
              <w:numPr>
                <w:ilvl w:val="0"/>
                <w:numId w:val="33"/>
              </w:numPr>
              <w:spacing w:before="60" w:after="60"/>
              <w:ind w:left="357" w:hanging="357"/>
              <w:rPr>
                <w:rFonts w:cs="Arial"/>
              </w:rPr>
            </w:pPr>
            <w:r w:rsidRPr="00806482">
              <w:rPr>
                <w:rFonts w:cs="Arial"/>
              </w:rPr>
              <w:t>Tertiary qualification in relevant health field</w:t>
            </w:r>
          </w:p>
          <w:p w:rsidR="00806482" w:rsidRPr="00806482" w:rsidRDefault="00806482" w:rsidP="00806482">
            <w:pPr>
              <w:rPr>
                <w:rFonts w:cs="Arial"/>
              </w:rPr>
            </w:pPr>
          </w:p>
          <w:p w:rsidR="00806482" w:rsidRPr="00806482" w:rsidRDefault="00806482" w:rsidP="00806482">
            <w:pPr>
              <w:rPr>
                <w:rFonts w:cs="Arial"/>
                <w:b/>
                <w:sz w:val="24"/>
                <w:szCs w:val="24"/>
              </w:rPr>
            </w:pPr>
            <w:r w:rsidRPr="00806482">
              <w:rPr>
                <w:rFonts w:cs="Arial"/>
                <w:b/>
                <w:sz w:val="24"/>
                <w:szCs w:val="24"/>
              </w:rPr>
              <w:t>Attributes/Success Factors</w:t>
            </w:r>
          </w:p>
          <w:p w:rsidR="00806482" w:rsidRPr="00806482" w:rsidRDefault="00806482" w:rsidP="00806482">
            <w:pPr>
              <w:rPr>
                <w:rFonts w:cs="Arial"/>
              </w:rPr>
            </w:pPr>
          </w:p>
          <w:p w:rsidR="00806482" w:rsidRPr="00806482" w:rsidRDefault="00806482" w:rsidP="00806482">
            <w:pPr>
              <w:numPr>
                <w:ilvl w:val="0"/>
                <w:numId w:val="33"/>
              </w:numPr>
              <w:tabs>
                <w:tab w:val="num" w:pos="318"/>
              </w:tabs>
              <w:spacing w:before="60" w:after="60"/>
              <w:ind w:left="357" w:hanging="357"/>
              <w:rPr>
                <w:rFonts w:cs="Arial"/>
              </w:rPr>
            </w:pPr>
            <w:r w:rsidRPr="00806482">
              <w:rPr>
                <w:rFonts w:cs="Arial"/>
              </w:rPr>
              <w:t>Ability to build effective relationships with a wide variety of internal and external stakeholders</w:t>
            </w:r>
          </w:p>
          <w:p w:rsidR="00806482" w:rsidRPr="00806482" w:rsidRDefault="00806482" w:rsidP="00806482">
            <w:pPr>
              <w:numPr>
                <w:ilvl w:val="0"/>
                <w:numId w:val="33"/>
              </w:numPr>
              <w:tabs>
                <w:tab w:val="num" w:pos="318"/>
              </w:tabs>
              <w:spacing w:before="60" w:after="60"/>
              <w:ind w:left="357" w:hanging="357"/>
              <w:rPr>
                <w:rFonts w:cs="Arial"/>
              </w:rPr>
            </w:pPr>
            <w:r w:rsidRPr="00806482">
              <w:rPr>
                <w:rFonts w:cs="Arial"/>
              </w:rPr>
              <w:t>Ability to provide clear, succinct professional advice</w:t>
            </w:r>
          </w:p>
          <w:p w:rsidR="00806482" w:rsidRPr="00806482" w:rsidRDefault="00806482" w:rsidP="00806482">
            <w:pPr>
              <w:numPr>
                <w:ilvl w:val="0"/>
                <w:numId w:val="33"/>
              </w:numPr>
              <w:tabs>
                <w:tab w:val="num" w:pos="318"/>
              </w:tabs>
              <w:spacing w:before="60" w:after="60"/>
              <w:ind w:left="357" w:hanging="357"/>
              <w:rPr>
                <w:rFonts w:cs="Arial"/>
              </w:rPr>
            </w:pPr>
            <w:r w:rsidRPr="00806482">
              <w:rPr>
                <w:rFonts w:cs="Arial"/>
              </w:rPr>
              <w:t>Excellent verbal and written communication skills, including report writing</w:t>
            </w:r>
          </w:p>
          <w:p w:rsidR="00806482" w:rsidRPr="00806482" w:rsidRDefault="00806482" w:rsidP="00806482">
            <w:pPr>
              <w:rPr>
                <w:rFonts w:cs="Arial"/>
                <w:sz w:val="23"/>
                <w:szCs w:val="23"/>
              </w:rPr>
            </w:pPr>
            <w:r w:rsidRPr="00806482">
              <w:rPr>
                <w:rFonts w:cs="Arial"/>
                <w:sz w:val="23"/>
                <w:szCs w:val="23"/>
              </w:rPr>
              <w:t xml:space="preserve"> </w:t>
            </w:r>
          </w:p>
          <w:p w:rsidR="00806482" w:rsidRPr="00806482" w:rsidRDefault="00806482" w:rsidP="00806482">
            <w:pPr>
              <w:rPr>
                <w:rFonts w:cs="Arial"/>
                <w:b/>
                <w:sz w:val="24"/>
                <w:szCs w:val="24"/>
              </w:rPr>
            </w:pPr>
            <w:r w:rsidRPr="00806482">
              <w:rPr>
                <w:rFonts w:cs="Arial"/>
                <w:b/>
                <w:sz w:val="24"/>
                <w:szCs w:val="24"/>
              </w:rPr>
              <w:t>Other Requirements</w:t>
            </w:r>
          </w:p>
          <w:p w:rsidR="00806482" w:rsidRPr="00806482" w:rsidRDefault="00806482" w:rsidP="00806482">
            <w:pPr>
              <w:rPr>
                <w:rFonts w:cs="Arial"/>
                <w:b/>
              </w:rPr>
            </w:pPr>
          </w:p>
          <w:p w:rsidR="00806482" w:rsidRPr="00806482" w:rsidRDefault="00806482" w:rsidP="00806482">
            <w:pPr>
              <w:numPr>
                <w:ilvl w:val="0"/>
                <w:numId w:val="33"/>
              </w:numPr>
              <w:tabs>
                <w:tab w:val="num" w:pos="318"/>
              </w:tabs>
              <w:spacing w:before="60" w:after="60"/>
              <w:ind w:left="357" w:hanging="357"/>
              <w:rPr>
                <w:rFonts w:cs="Arial"/>
              </w:rPr>
            </w:pPr>
            <w:r w:rsidRPr="00806482">
              <w:rPr>
                <w:rFonts w:cs="Arial"/>
              </w:rPr>
              <w:t>Willing to travel to fulfil job requirements</w:t>
            </w:r>
          </w:p>
          <w:p w:rsidR="00806482" w:rsidRPr="00806482" w:rsidRDefault="00806482" w:rsidP="00CB3204">
            <w:pPr>
              <w:ind w:left="360"/>
              <w:jc w:val="both"/>
              <w:rPr>
                <w:rFonts w:cs="Arial"/>
              </w:rPr>
            </w:pPr>
          </w:p>
        </w:tc>
      </w:tr>
    </w:tbl>
    <w:p w:rsidR="00806482" w:rsidRPr="00806482" w:rsidRDefault="00806482" w:rsidP="00E63BC1"/>
    <w:sectPr w:rsidR="00806482" w:rsidRPr="00806482"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3A" w:rsidRDefault="0030643A" w:rsidP="008E3ADA">
      <w:pPr>
        <w:spacing w:before="0"/>
      </w:pPr>
      <w:r>
        <w:separator/>
      </w:r>
    </w:p>
  </w:endnote>
  <w:endnote w:type="continuationSeparator" w:id="0">
    <w:p w:rsidR="0030643A" w:rsidRDefault="0030643A"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806482" w:rsidP="009C2561">
          <w:pPr>
            <w:pStyle w:val="Footer"/>
            <w:tabs>
              <w:tab w:val="right" w:pos="9072"/>
            </w:tabs>
            <w:jc w:val="right"/>
          </w:pPr>
          <w:r>
            <w:t>Regional Health Advisor</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962676">
            <w:rPr>
              <w:rStyle w:val="PageNumber"/>
              <w:rFonts w:eastAsiaTheme="majorEastAsia"/>
              <w:noProof/>
            </w:rPr>
            <w:t>4</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3A" w:rsidRDefault="0030643A" w:rsidP="008E3ADA">
      <w:pPr>
        <w:spacing w:before="0"/>
      </w:pPr>
      <w:r>
        <w:separator/>
      </w:r>
    </w:p>
  </w:footnote>
  <w:footnote w:type="continuationSeparator" w:id="0">
    <w:p w:rsidR="0030643A" w:rsidRDefault="0030643A"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0643A">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0643A">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0643A">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550916"/>
    <w:multiLevelType w:val="hybridMultilevel"/>
    <w:tmpl w:val="7478B4A0"/>
    <w:lvl w:ilvl="0" w:tplc="D86072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CD4C54"/>
    <w:multiLevelType w:val="hybridMultilevel"/>
    <w:tmpl w:val="3566F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1E7D55BA"/>
    <w:multiLevelType w:val="hybridMultilevel"/>
    <w:tmpl w:val="1348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0E486A"/>
    <w:multiLevelType w:val="hybridMultilevel"/>
    <w:tmpl w:val="9E141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3BE86D7D"/>
    <w:multiLevelType w:val="hybridMultilevel"/>
    <w:tmpl w:val="64EC18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D1B27"/>
    <w:multiLevelType w:val="hybridMultilevel"/>
    <w:tmpl w:val="C166F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2CC7DA9"/>
    <w:multiLevelType w:val="hybridMultilevel"/>
    <w:tmpl w:val="41860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3E8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7"/>
  </w:num>
  <w:num w:numId="17">
    <w:abstractNumId w:val="8"/>
  </w:num>
  <w:num w:numId="18">
    <w:abstractNumId w:val="21"/>
  </w:num>
  <w:num w:numId="19">
    <w:abstractNumId w:val="25"/>
  </w:num>
  <w:num w:numId="20">
    <w:abstractNumId w:val="3"/>
  </w:num>
  <w:num w:numId="21">
    <w:abstractNumId w:val="26"/>
  </w:num>
  <w:num w:numId="22">
    <w:abstractNumId w:val="11"/>
  </w:num>
  <w:num w:numId="23">
    <w:abstractNumId w:val="23"/>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6"/>
  </w:num>
  <w:num w:numId="28">
    <w:abstractNumId w:val="22"/>
  </w:num>
  <w:num w:numId="29">
    <w:abstractNumId w:val="2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1021C4"/>
    <w:rsid w:val="00106AED"/>
    <w:rsid w:val="001D14F9"/>
    <w:rsid w:val="001D3744"/>
    <w:rsid w:val="00213DA6"/>
    <w:rsid w:val="00216302"/>
    <w:rsid w:val="00245A2B"/>
    <w:rsid w:val="00272319"/>
    <w:rsid w:val="00291B12"/>
    <w:rsid w:val="002D1C62"/>
    <w:rsid w:val="002E3B5B"/>
    <w:rsid w:val="0030643A"/>
    <w:rsid w:val="00354EC2"/>
    <w:rsid w:val="003B7936"/>
    <w:rsid w:val="003C1E47"/>
    <w:rsid w:val="003E0CD5"/>
    <w:rsid w:val="003F2FF1"/>
    <w:rsid w:val="004227ED"/>
    <w:rsid w:val="0043612F"/>
    <w:rsid w:val="00445BCE"/>
    <w:rsid w:val="00454F25"/>
    <w:rsid w:val="00513A99"/>
    <w:rsid w:val="0052285C"/>
    <w:rsid w:val="00533E65"/>
    <w:rsid w:val="00551F98"/>
    <w:rsid w:val="005558EB"/>
    <w:rsid w:val="00572AA9"/>
    <w:rsid w:val="00595906"/>
    <w:rsid w:val="005B11F9"/>
    <w:rsid w:val="00631D73"/>
    <w:rsid w:val="00642BE5"/>
    <w:rsid w:val="00655A2B"/>
    <w:rsid w:val="00656967"/>
    <w:rsid w:val="006625B9"/>
    <w:rsid w:val="006A24AD"/>
    <w:rsid w:val="0071395A"/>
    <w:rsid w:val="0075438F"/>
    <w:rsid w:val="007A5E4B"/>
    <w:rsid w:val="007B201A"/>
    <w:rsid w:val="007B2879"/>
    <w:rsid w:val="007E6A0A"/>
    <w:rsid w:val="0080498F"/>
    <w:rsid w:val="00806482"/>
    <w:rsid w:val="008103BF"/>
    <w:rsid w:val="00842514"/>
    <w:rsid w:val="00860654"/>
    <w:rsid w:val="008C1033"/>
    <w:rsid w:val="008E3ADA"/>
    <w:rsid w:val="0090014C"/>
    <w:rsid w:val="00903467"/>
    <w:rsid w:val="00906EAA"/>
    <w:rsid w:val="009576B8"/>
    <w:rsid w:val="00962676"/>
    <w:rsid w:val="00970DD2"/>
    <w:rsid w:val="009D15F1"/>
    <w:rsid w:val="009D2B10"/>
    <w:rsid w:val="009E3E01"/>
    <w:rsid w:val="00A6244E"/>
    <w:rsid w:val="00A977AD"/>
    <w:rsid w:val="00AC3B2A"/>
    <w:rsid w:val="00B14D2B"/>
    <w:rsid w:val="00B35E4D"/>
    <w:rsid w:val="00B41635"/>
    <w:rsid w:val="00B5357A"/>
    <w:rsid w:val="00B61CB7"/>
    <w:rsid w:val="00B62498"/>
    <w:rsid w:val="00BA290D"/>
    <w:rsid w:val="00BE283B"/>
    <w:rsid w:val="00C33B67"/>
    <w:rsid w:val="00C34E7D"/>
    <w:rsid w:val="00C5215F"/>
    <w:rsid w:val="00CB4A28"/>
    <w:rsid w:val="00D04353"/>
    <w:rsid w:val="00D34EA0"/>
    <w:rsid w:val="00D36E81"/>
    <w:rsid w:val="00D82617"/>
    <w:rsid w:val="00DD7526"/>
    <w:rsid w:val="00E63BC1"/>
    <w:rsid w:val="00E64AEA"/>
    <w:rsid w:val="00E671C3"/>
    <w:rsid w:val="00E90142"/>
    <w:rsid w:val="00E9269E"/>
    <w:rsid w:val="00F00B04"/>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customStyle="1" w:styleId="Tabletextgapbefore">
    <w:name w:val="Table text (gap before)"/>
    <w:basedOn w:val="Normal"/>
    <w:rsid w:val="00806482"/>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 w:type="paragraph" w:customStyle="1" w:styleId="Tabletextgapbefore">
    <w:name w:val="Table text (gap before)"/>
    <w:basedOn w:val="Normal"/>
    <w:rsid w:val="00806482"/>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D250-34DD-4734-B557-C0082AF2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Eva Wells</cp:lastModifiedBy>
  <cp:revision>3</cp:revision>
  <dcterms:created xsi:type="dcterms:W3CDTF">2015-10-13T00:51:00Z</dcterms:created>
  <dcterms:modified xsi:type="dcterms:W3CDTF">2015-10-13T01:45:00Z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A8110019</vt:lpwstr>
  </property>
  <property fmtid="{D5CDD505-2E9C-101B-9397-08002B2CF9AE}" pid="4" name="Objective-Title">
    <vt:lpwstr>Regional-Health-Advisor-May15</vt:lpwstr>
  </property>
  <property fmtid="{D5CDD505-2E9C-101B-9397-08002B2CF9AE}" pid="5" name="Objective-Comment">
    <vt:lpwstr/>
  </property>
  <property fmtid="{D5CDD505-2E9C-101B-9397-08002B2CF9AE}" pid="6" name="Objective-CreationStamp">
    <vt:filetime>2015-05-17T23:27:02Z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2015-10-13T01:45:33Z</vt:filetime>
  </property>
  <property fmtid="{D5CDD505-2E9C-101B-9397-08002B2CF9AE}" pid="10" name="Objective-ModificationStamp">
    <vt:filetime>2015-10-13T01:45:33Z</vt:filetime>
  </property>
  <property fmtid="{D5CDD505-2E9C-101B-9397-08002B2CF9AE}" pid="11" name="Objective-Owner">
    <vt:lpwstr>Eva Knauf</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Delivery:Regional Service Delivery:</vt:lpwstr>
  </property>
  <property fmtid="{D5CDD505-2E9C-101B-9397-08002B2CF9AE}" pid="13" name="Objective-Parent">
    <vt:lpwstr>Regional Service Delivery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