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599c3e3eba544d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C1" w:rsidRPr="00390029" w:rsidRDefault="00E63BC1" w:rsidP="00B5357A"/>
    <w:p w:rsidR="00E63BC1" w:rsidRPr="00390029" w:rsidRDefault="00E63BC1" w:rsidP="003B7936">
      <w:pPr>
        <w:tabs>
          <w:tab w:val="left" w:pos="2880"/>
        </w:tabs>
        <w:spacing w:after="240"/>
        <w:rPr>
          <w:color w:val="808080"/>
          <w:sz w:val="48"/>
          <w:szCs w:val="48"/>
        </w:rPr>
      </w:pPr>
      <w:r w:rsidRPr="00390029">
        <w:rPr>
          <w:noProof/>
          <w:lang w:eastAsia="en-NZ"/>
        </w:rPr>
        <w:drawing>
          <wp:anchor distT="0" distB="0" distL="114300" distR="114300" simplePos="0" relativeHeight="251659264" behindDoc="0" locked="0" layoutInCell="1" allowOverlap="1" wp14:anchorId="68C0CC51" wp14:editId="476B2DA5">
            <wp:simplePos x="0" y="0"/>
            <wp:positionH relativeFrom="margin">
              <wp:posOffset>3388360</wp:posOffset>
            </wp:positionH>
            <wp:positionV relativeFrom="margin">
              <wp:posOffset>-200660</wp:posOffset>
            </wp:positionV>
            <wp:extent cx="222885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1519" b="21519"/>
                    <a:stretch>
                      <a:fillRect/>
                    </a:stretch>
                  </pic:blipFill>
                  <pic:spPr bwMode="auto">
                    <a:xfrm>
                      <a:off x="0" y="0"/>
                      <a:ext cx="2228850" cy="64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390029">
        <w:rPr>
          <w:color w:val="808080"/>
          <w:sz w:val="48"/>
          <w:szCs w:val="48"/>
        </w:rPr>
        <w:t>position</w:t>
      </w:r>
      <w:proofErr w:type="gramEnd"/>
      <w:r w:rsidRPr="00390029">
        <w:rPr>
          <w:color w:val="808080"/>
          <w:sz w:val="48"/>
          <w:szCs w:val="48"/>
        </w:rPr>
        <w:t xml:space="preserve"> description</w:t>
      </w:r>
    </w:p>
    <w:tbl>
      <w:tblPr>
        <w:tblW w:w="8931" w:type="dxa"/>
        <w:tblInd w:w="108" w:type="dxa"/>
        <w:tblBorders>
          <w:bottom w:val="single" w:sz="8" w:space="0" w:color="auto"/>
        </w:tblBorders>
        <w:tblCellMar>
          <w:top w:w="57" w:type="dxa"/>
          <w:bottom w:w="57" w:type="dxa"/>
        </w:tblCellMar>
        <w:tblLook w:val="04A0" w:firstRow="1" w:lastRow="0" w:firstColumn="1" w:lastColumn="0" w:noHBand="0" w:noVBand="1"/>
      </w:tblPr>
      <w:tblGrid>
        <w:gridCol w:w="3119"/>
        <w:gridCol w:w="5812"/>
      </w:tblGrid>
      <w:tr w:rsidR="00E63BC1" w:rsidRPr="00390029" w:rsidTr="00C152B6">
        <w:tc>
          <w:tcPr>
            <w:tcW w:w="3119" w:type="dxa"/>
            <w:shd w:val="clear" w:color="auto" w:fill="auto"/>
          </w:tcPr>
          <w:p w:rsidR="00E63BC1" w:rsidRPr="00390029" w:rsidRDefault="00E63BC1" w:rsidP="00C152B6">
            <w:pPr>
              <w:spacing w:before="0" w:after="40"/>
              <w:jc w:val="both"/>
              <w:rPr>
                <w:b/>
              </w:rPr>
            </w:pPr>
            <w:r w:rsidRPr="00390029">
              <w:rPr>
                <w:b/>
              </w:rPr>
              <w:t>Position:</w:t>
            </w:r>
          </w:p>
        </w:tc>
        <w:tc>
          <w:tcPr>
            <w:tcW w:w="5812" w:type="dxa"/>
            <w:shd w:val="clear" w:color="auto" w:fill="auto"/>
          </w:tcPr>
          <w:p w:rsidR="00E63BC1" w:rsidRPr="00390029" w:rsidRDefault="00390029" w:rsidP="00C152B6">
            <w:pPr>
              <w:spacing w:before="0" w:after="40"/>
              <w:jc w:val="both"/>
            </w:pPr>
            <w:r w:rsidRPr="00390029">
              <w:t>Regional Commissioner Advisor</w:t>
            </w:r>
          </w:p>
        </w:tc>
      </w:tr>
      <w:tr w:rsidR="00E63BC1" w:rsidRPr="00390029" w:rsidTr="00C152B6">
        <w:tc>
          <w:tcPr>
            <w:tcW w:w="3119" w:type="dxa"/>
            <w:shd w:val="clear" w:color="auto" w:fill="auto"/>
          </w:tcPr>
          <w:p w:rsidR="00E63BC1" w:rsidRPr="00390029" w:rsidRDefault="00E63BC1" w:rsidP="00C152B6">
            <w:pPr>
              <w:spacing w:before="0" w:after="40"/>
              <w:jc w:val="both"/>
              <w:rPr>
                <w:b/>
              </w:rPr>
            </w:pPr>
            <w:r w:rsidRPr="00390029">
              <w:rPr>
                <w:b/>
              </w:rPr>
              <w:t>Location:</w:t>
            </w:r>
          </w:p>
        </w:tc>
        <w:tc>
          <w:tcPr>
            <w:tcW w:w="5812" w:type="dxa"/>
            <w:shd w:val="clear" w:color="auto" w:fill="auto"/>
          </w:tcPr>
          <w:p w:rsidR="00E63BC1" w:rsidRPr="00390029" w:rsidRDefault="00390029" w:rsidP="00C152B6">
            <w:pPr>
              <w:spacing w:before="0" w:after="40"/>
              <w:jc w:val="both"/>
            </w:pPr>
            <w:r w:rsidRPr="00390029">
              <w:t>Regional Office</w:t>
            </w:r>
          </w:p>
        </w:tc>
      </w:tr>
      <w:tr w:rsidR="00E63BC1" w:rsidRPr="00390029" w:rsidTr="00C152B6">
        <w:tc>
          <w:tcPr>
            <w:tcW w:w="3119" w:type="dxa"/>
            <w:shd w:val="clear" w:color="auto" w:fill="auto"/>
          </w:tcPr>
          <w:p w:rsidR="00E63BC1" w:rsidRPr="00390029" w:rsidRDefault="00E63BC1" w:rsidP="00C152B6">
            <w:pPr>
              <w:spacing w:before="0" w:after="40"/>
              <w:jc w:val="both"/>
              <w:rPr>
                <w:b/>
              </w:rPr>
            </w:pPr>
            <w:r w:rsidRPr="00390029">
              <w:rPr>
                <w:b/>
              </w:rPr>
              <w:t>Business Unit:</w:t>
            </w:r>
          </w:p>
        </w:tc>
        <w:tc>
          <w:tcPr>
            <w:tcW w:w="5812" w:type="dxa"/>
            <w:shd w:val="clear" w:color="auto" w:fill="auto"/>
          </w:tcPr>
          <w:p w:rsidR="00E63BC1" w:rsidRPr="00390029" w:rsidRDefault="00390029" w:rsidP="00C152B6">
            <w:pPr>
              <w:spacing w:before="0" w:after="40"/>
              <w:jc w:val="both"/>
            </w:pPr>
            <w:r w:rsidRPr="00390029">
              <w:t>Regional Service Delivery</w:t>
            </w:r>
          </w:p>
        </w:tc>
      </w:tr>
      <w:tr w:rsidR="00E63BC1" w:rsidRPr="00390029" w:rsidTr="00C152B6">
        <w:tc>
          <w:tcPr>
            <w:tcW w:w="3119" w:type="dxa"/>
            <w:shd w:val="clear" w:color="auto" w:fill="auto"/>
          </w:tcPr>
          <w:p w:rsidR="00E63BC1" w:rsidRPr="00390029" w:rsidRDefault="00E63BC1" w:rsidP="00C152B6">
            <w:pPr>
              <w:spacing w:before="0" w:after="40"/>
              <w:jc w:val="both"/>
              <w:rPr>
                <w:b/>
              </w:rPr>
            </w:pPr>
            <w:r w:rsidRPr="00390029">
              <w:rPr>
                <w:b/>
              </w:rPr>
              <w:t>Group:</w:t>
            </w:r>
          </w:p>
        </w:tc>
        <w:tc>
          <w:tcPr>
            <w:tcW w:w="5812" w:type="dxa"/>
            <w:shd w:val="clear" w:color="auto" w:fill="auto"/>
          </w:tcPr>
          <w:p w:rsidR="00E63BC1" w:rsidRPr="00390029" w:rsidRDefault="003B7936" w:rsidP="00C152B6">
            <w:pPr>
              <w:spacing w:before="0" w:after="40"/>
              <w:jc w:val="both"/>
            </w:pPr>
            <w:r w:rsidRPr="00390029">
              <w:t>Service Delivery</w:t>
            </w:r>
          </w:p>
        </w:tc>
      </w:tr>
      <w:tr w:rsidR="00E63BC1" w:rsidRPr="00390029" w:rsidTr="00C152B6">
        <w:tc>
          <w:tcPr>
            <w:tcW w:w="3119" w:type="dxa"/>
            <w:shd w:val="clear" w:color="auto" w:fill="auto"/>
          </w:tcPr>
          <w:p w:rsidR="00E63BC1" w:rsidRPr="00390029" w:rsidRDefault="00E63BC1" w:rsidP="00C152B6">
            <w:pPr>
              <w:spacing w:before="0" w:after="40"/>
              <w:rPr>
                <w:b/>
              </w:rPr>
            </w:pPr>
            <w:r w:rsidRPr="00390029">
              <w:rPr>
                <w:b/>
              </w:rPr>
              <w:t>Reporting to:</w:t>
            </w:r>
          </w:p>
        </w:tc>
        <w:tc>
          <w:tcPr>
            <w:tcW w:w="5812" w:type="dxa"/>
            <w:shd w:val="clear" w:color="auto" w:fill="auto"/>
          </w:tcPr>
          <w:p w:rsidR="00E63BC1" w:rsidRPr="00390029" w:rsidRDefault="00390029" w:rsidP="00C152B6">
            <w:pPr>
              <w:spacing w:before="0" w:after="40"/>
            </w:pPr>
            <w:r w:rsidRPr="00390029">
              <w:t>Regional Commissioner for Social Development</w:t>
            </w:r>
          </w:p>
        </w:tc>
      </w:tr>
      <w:tr w:rsidR="00E63BC1" w:rsidRPr="00390029" w:rsidTr="00C152B6">
        <w:tc>
          <w:tcPr>
            <w:tcW w:w="3119" w:type="dxa"/>
            <w:shd w:val="clear" w:color="auto" w:fill="auto"/>
          </w:tcPr>
          <w:p w:rsidR="00E63BC1" w:rsidRPr="00390029" w:rsidRDefault="00E63BC1" w:rsidP="00C152B6">
            <w:pPr>
              <w:spacing w:before="0" w:after="40"/>
              <w:rPr>
                <w:b/>
              </w:rPr>
            </w:pPr>
            <w:r w:rsidRPr="00390029">
              <w:rPr>
                <w:b/>
              </w:rPr>
              <w:t>Issue Date:</w:t>
            </w:r>
          </w:p>
        </w:tc>
        <w:tc>
          <w:tcPr>
            <w:tcW w:w="5812" w:type="dxa"/>
            <w:shd w:val="clear" w:color="auto" w:fill="auto"/>
          </w:tcPr>
          <w:p w:rsidR="00E63BC1" w:rsidRPr="00390029" w:rsidRDefault="00D04353" w:rsidP="00C152B6">
            <w:pPr>
              <w:spacing w:before="0" w:after="40"/>
            </w:pPr>
            <w:r w:rsidRPr="00390029">
              <w:t>April</w:t>
            </w:r>
            <w:r w:rsidR="005558EB" w:rsidRPr="00390029">
              <w:t xml:space="preserve"> 2015</w:t>
            </w:r>
          </w:p>
        </w:tc>
      </w:tr>
      <w:tr w:rsidR="00E63BC1" w:rsidRPr="00390029" w:rsidTr="00C152B6">
        <w:tc>
          <w:tcPr>
            <w:tcW w:w="3119" w:type="dxa"/>
            <w:shd w:val="clear" w:color="auto" w:fill="auto"/>
          </w:tcPr>
          <w:p w:rsidR="00E63BC1" w:rsidRPr="00390029" w:rsidRDefault="00E63BC1" w:rsidP="00C152B6">
            <w:pPr>
              <w:spacing w:before="0" w:after="40"/>
              <w:rPr>
                <w:b/>
              </w:rPr>
            </w:pPr>
            <w:r w:rsidRPr="00390029">
              <w:rPr>
                <w:b/>
              </w:rPr>
              <w:t>Delegated Authority:</w:t>
            </w:r>
          </w:p>
        </w:tc>
        <w:tc>
          <w:tcPr>
            <w:tcW w:w="5812" w:type="dxa"/>
            <w:shd w:val="clear" w:color="auto" w:fill="auto"/>
          </w:tcPr>
          <w:p w:rsidR="00E63BC1" w:rsidRPr="00390029" w:rsidRDefault="0090014C" w:rsidP="00C152B6">
            <w:pPr>
              <w:spacing w:before="0" w:after="40"/>
            </w:pPr>
            <w:r w:rsidRPr="00390029">
              <w:t>Nil</w:t>
            </w:r>
          </w:p>
        </w:tc>
      </w:tr>
      <w:tr w:rsidR="00E63BC1" w:rsidRPr="00390029" w:rsidTr="00C152B6">
        <w:tc>
          <w:tcPr>
            <w:tcW w:w="3119" w:type="dxa"/>
            <w:shd w:val="clear" w:color="auto" w:fill="auto"/>
          </w:tcPr>
          <w:p w:rsidR="00E63BC1" w:rsidRPr="00390029" w:rsidRDefault="00E63BC1" w:rsidP="00C152B6">
            <w:pPr>
              <w:spacing w:before="0" w:after="40"/>
              <w:rPr>
                <w:b/>
              </w:rPr>
            </w:pPr>
            <w:r w:rsidRPr="00390029">
              <w:rPr>
                <w:b/>
              </w:rPr>
              <w:t>Staff Responsibility:</w:t>
            </w:r>
          </w:p>
        </w:tc>
        <w:tc>
          <w:tcPr>
            <w:tcW w:w="5812" w:type="dxa"/>
            <w:shd w:val="clear" w:color="auto" w:fill="auto"/>
          </w:tcPr>
          <w:p w:rsidR="00E63BC1" w:rsidRPr="00390029" w:rsidRDefault="00655A2B" w:rsidP="00C152B6">
            <w:pPr>
              <w:spacing w:before="0" w:after="40"/>
            </w:pPr>
            <w:r w:rsidRPr="00390029">
              <w:t>N</w:t>
            </w:r>
            <w:r w:rsidR="0090014C" w:rsidRPr="00390029">
              <w:t>il</w:t>
            </w:r>
          </w:p>
        </w:tc>
      </w:tr>
    </w:tbl>
    <w:p w:rsidR="00E63BC1" w:rsidRPr="00390029" w:rsidRDefault="00E63BC1" w:rsidP="00E63BC1"/>
    <w:p w:rsidR="00E63BC1" w:rsidRPr="00390029" w:rsidRDefault="00E63BC1" w:rsidP="00E63BC1">
      <w:pPr>
        <w:spacing w:after="60"/>
        <w:jc w:val="both"/>
        <w:rPr>
          <w:rFonts w:cs="Arial"/>
          <w:b/>
        </w:rPr>
      </w:pPr>
      <w:r w:rsidRPr="00390029">
        <w:rPr>
          <w:rFonts w:cs="Arial"/>
          <w:b/>
        </w:rPr>
        <w:t xml:space="preserve">Our Role </w:t>
      </w:r>
    </w:p>
    <w:p w:rsidR="00E63BC1" w:rsidRPr="00390029" w:rsidRDefault="00E63BC1" w:rsidP="00E63BC1">
      <w:pPr>
        <w:spacing w:after="120"/>
        <w:jc w:val="both"/>
        <w:rPr>
          <w:rFonts w:cs="Arial"/>
        </w:rPr>
      </w:pPr>
      <w:r w:rsidRPr="00390029">
        <w:rPr>
          <w:rFonts w:cs="Arial"/>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E63BC1" w:rsidRPr="00390029" w:rsidRDefault="00E63BC1" w:rsidP="00E63BC1">
      <w:pPr>
        <w:spacing w:after="120"/>
        <w:jc w:val="both"/>
        <w:rPr>
          <w:rFonts w:cs="Arial"/>
        </w:rPr>
      </w:pPr>
      <w:r w:rsidRPr="00390029">
        <w:rPr>
          <w:rFonts w:cs="Arial"/>
        </w:rPr>
        <w:t xml:space="preserve">The Ministry provides policy advice, and delivers social services and assistance to children and young people, working age people, older people, and families, </w:t>
      </w:r>
      <w:proofErr w:type="spellStart"/>
      <w:r w:rsidRPr="00390029">
        <w:rPr>
          <w:rFonts w:cs="Arial"/>
        </w:rPr>
        <w:t>wh</w:t>
      </w:r>
      <w:r w:rsidRPr="00390029">
        <w:rPr>
          <w:rFonts w:ascii="Arial" w:hAnsi="Arial" w:cs="Arial"/>
        </w:rPr>
        <w:t>ā</w:t>
      </w:r>
      <w:r w:rsidRPr="00390029">
        <w:rPr>
          <w:rFonts w:cs="Arial"/>
        </w:rPr>
        <w:t>nau</w:t>
      </w:r>
      <w:proofErr w:type="spellEnd"/>
      <w:r w:rsidRPr="00390029">
        <w:rPr>
          <w:rFonts w:cs="Arial"/>
        </w:rPr>
        <w:t xml:space="preserve"> and communities. We work directly with New Zealanders of all ages to improve their social wellbeing.</w:t>
      </w:r>
    </w:p>
    <w:p w:rsidR="00E63BC1" w:rsidRPr="00390029" w:rsidRDefault="00E63BC1" w:rsidP="00E63BC1">
      <w:pPr>
        <w:spacing w:after="120"/>
        <w:jc w:val="both"/>
        <w:rPr>
          <w:rFonts w:cs="Arial"/>
        </w:rPr>
      </w:pPr>
      <w:r w:rsidRPr="00390029">
        <w:rPr>
          <w:rFonts w:cs="Arial"/>
        </w:rPr>
        <w:t xml:space="preserve">We serve over a million people, working out of more than 250 centres around the country.  It is likely that every New Zealander will come into contact with the Ministry at some point in their life.  </w:t>
      </w:r>
    </w:p>
    <w:p w:rsidR="00E63BC1" w:rsidRPr="00390029" w:rsidRDefault="00E63BC1" w:rsidP="00E63BC1">
      <w:pPr>
        <w:spacing w:after="240"/>
        <w:jc w:val="both"/>
        <w:rPr>
          <w:rFonts w:cs="Arial"/>
        </w:rPr>
      </w:pPr>
      <w:r w:rsidRPr="00390029">
        <w:rPr>
          <w:rFonts w:cs="Arial"/>
        </w:rPr>
        <w:t xml:space="preserve">Our work, together with our social sector partners, is essential to achieving a sustainable and prosperous future, where all New Zealanders are able to take responsibility for </w:t>
      </w:r>
      <w:proofErr w:type="gramStart"/>
      <w:r w:rsidRPr="00390029">
        <w:rPr>
          <w:rFonts w:cs="Arial"/>
        </w:rPr>
        <w:t>themselves</w:t>
      </w:r>
      <w:proofErr w:type="gramEnd"/>
      <w:r w:rsidRPr="00390029">
        <w:rPr>
          <w:rFonts w:cs="Arial"/>
        </w:rPr>
        <w:t xml:space="preserve">, be successful in their lives and participate in their communities.  </w:t>
      </w:r>
      <w:r w:rsidRPr="00390029">
        <w:rPr>
          <w:szCs w:val="16"/>
        </w:rPr>
        <w:t xml:space="preserve"> </w:t>
      </w:r>
    </w:p>
    <w:p w:rsidR="00E63BC1" w:rsidRPr="00390029" w:rsidRDefault="00E63BC1" w:rsidP="00E63BC1">
      <w:pPr>
        <w:jc w:val="both"/>
        <w:outlineLvl w:val="3"/>
        <w:rPr>
          <w:rFonts w:cs="Arial"/>
          <w:b/>
          <w:bCs/>
          <w:color w:val="000000"/>
          <w:lang w:val="en" w:eastAsia="en-NZ"/>
        </w:rPr>
      </w:pPr>
      <w:r w:rsidRPr="00390029">
        <w:rPr>
          <w:rFonts w:cs="Arial"/>
          <w:b/>
          <w:bCs/>
          <w:color w:val="000000"/>
          <w:lang w:val="en" w:eastAsia="en-NZ"/>
        </w:rPr>
        <w:t>Our Purpose</w:t>
      </w:r>
    </w:p>
    <w:p w:rsidR="00E63BC1" w:rsidRPr="00390029" w:rsidRDefault="00E63BC1" w:rsidP="00E63BC1">
      <w:pPr>
        <w:jc w:val="both"/>
        <w:rPr>
          <w:rFonts w:cs="Arial"/>
          <w:lang w:val="en" w:eastAsia="en-NZ"/>
        </w:rPr>
      </w:pPr>
      <w:r w:rsidRPr="00390029">
        <w:rPr>
          <w:rFonts w:cs="Arial"/>
          <w:lang w:val="en" w:eastAsia="en-NZ"/>
        </w:rPr>
        <w:t>We help New Zealanders to help themselves to be safe, strong and independent.</w:t>
      </w:r>
    </w:p>
    <w:p w:rsidR="00E63BC1" w:rsidRPr="00390029" w:rsidRDefault="00E63BC1" w:rsidP="00E63BC1">
      <w:pPr>
        <w:spacing w:before="0"/>
        <w:jc w:val="both"/>
        <w:rPr>
          <w:rFonts w:cs="Arial"/>
          <w:lang w:val="en" w:eastAsia="en-NZ"/>
        </w:rPr>
      </w:pPr>
      <w:proofErr w:type="spellStart"/>
      <w:proofErr w:type="gramStart"/>
      <w:r w:rsidRPr="00390029">
        <w:rPr>
          <w:rFonts w:cs="Arial"/>
          <w:lang w:val="en" w:eastAsia="en-NZ"/>
        </w:rPr>
        <w:t>Ko</w:t>
      </w:r>
      <w:proofErr w:type="spellEnd"/>
      <w:proofErr w:type="gramEnd"/>
      <w:r w:rsidRPr="00390029">
        <w:rPr>
          <w:rFonts w:cs="Arial"/>
          <w:lang w:val="en" w:eastAsia="en-NZ"/>
        </w:rPr>
        <w:t xml:space="preserve"> ta </w:t>
      </w:r>
      <w:proofErr w:type="spellStart"/>
      <w:r w:rsidRPr="00390029">
        <w:rPr>
          <w:rFonts w:cs="Arial"/>
          <w:lang w:val="en" w:eastAsia="en-NZ"/>
        </w:rPr>
        <w:t>m</w:t>
      </w:r>
      <w:r w:rsidRPr="00390029">
        <w:rPr>
          <w:rFonts w:ascii="Arial" w:hAnsi="Arial" w:cs="Arial"/>
          <w:lang w:val="en" w:eastAsia="en-NZ"/>
        </w:rPr>
        <w:t>ā</w:t>
      </w:r>
      <w:r w:rsidRPr="00390029">
        <w:rPr>
          <w:rFonts w:cs="Arial"/>
          <w:lang w:val="en" w:eastAsia="en-NZ"/>
        </w:rPr>
        <w:t>tou</w:t>
      </w:r>
      <w:proofErr w:type="spellEnd"/>
      <w:r w:rsidRPr="00390029">
        <w:rPr>
          <w:rFonts w:cs="Arial"/>
          <w:lang w:val="en" w:eastAsia="en-NZ"/>
        </w:rPr>
        <w:t xml:space="preserve"> he </w:t>
      </w:r>
      <w:proofErr w:type="spellStart"/>
      <w:r w:rsidRPr="00390029">
        <w:rPr>
          <w:rFonts w:cs="Arial"/>
          <w:lang w:val="en" w:eastAsia="en-NZ"/>
        </w:rPr>
        <w:t>whakamana</w:t>
      </w:r>
      <w:proofErr w:type="spellEnd"/>
      <w:r w:rsidRPr="00390029">
        <w:rPr>
          <w:rFonts w:cs="Arial"/>
          <w:lang w:val="en" w:eastAsia="en-NZ"/>
        </w:rPr>
        <w:t xml:space="preserve"> </w:t>
      </w:r>
      <w:proofErr w:type="spellStart"/>
      <w:r w:rsidRPr="00390029">
        <w:rPr>
          <w:rFonts w:cs="Arial"/>
          <w:lang w:val="en" w:eastAsia="en-NZ"/>
        </w:rPr>
        <w:t>tangata</w:t>
      </w:r>
      <w:proofErr w:type="spellEnd"/>
      <w:r w:rsidRPr="00390029">
        <w:rPr>
          <w:rFonts w:cs="Arial"/>
          <w:lang w:val="en" w:eastAsia="en-NZ"/>
        </w:rPr>
        <w:t xml:space="preserve"> </w:t>
      </w:r>
      <w:proofErr w:type="spellStart"/>
      <w:r w:rsidRPr="00390029">
        <w:rPr>
          <w:rFonts w:cs="Arial"/>
          <w:lang w:val="en" w:eastAsia="en-NZ"/>
        </w:rPr>
        <w:t>kia</w:t>
      </w:r>
      <w:proofErr w:type="spellEnd"/>
      <w:r w:rsidRPr="00390029">
        <w:rPr>
          <w:rFonts w:cs="Arial"/>
          <w:lang w:val="en" w:eastAsia="en-NZ"/>
        </w:rPr>
        <w:t xml:space="preserve"> </w:t>
      </w:r>
      <w:proofErr w:type="spellStart"/>
      <w:r w:rsidRPr="00390029">
        <w:rPr>
          <w:rFonts w:cs="Arial"/>
          <w:lang w:val="en" w:eastAsia="en-NZ"/>
        </w:rPr>
        <w:t>t</w:t>
      </w:r>
      <w:r w:rsidRPr="00390029">
        <w:rPr>
          <w:rFonts w:ascii="Arial" w:hAnsi="Arial" w:cs="Arial"/>
          <w:lang w:val="en" w:eastAsia="en-NZ"/>
        </w:rPr>
        <w:t>ū</w:t>
      </w:r>
      <w:proofErr w:type="spellEnd"/>
      <w:r w:rsidRPr="00390029">
        <w:rPr>
          <w:rFonts w:cs="Arial"/>
          <w:lang w:val="en" w:eastAsia="en-NZ"/>
        </w:rPr>
        <w:t xml:space="preserve"> </w:t>
      </w:r>
      <w:proofErr w:type="spellStart"/>
      <w:r w:rsidRPr="00390029">
        <w:rPr>
          <w:rFonts w:cs="Arial"/>
          <w:lang w:val="en" w:eastAsia="en-NZ"/>
        </w:rPr>
        <w:t>haumaru</w:t>
      </w:r>
      <w:proofErr w:type="spellEnd"/>
      <w:r w:rsidRPr="00390029">
        <w:rPr>
          <w:rFonts w:cs="Arial"/>
          <w:lang w:val="en" w:eastAsia="en-NZ"/>
        </w:rPr>
        <w:t xml:space="preserve">, </w:t>
      </w:r>
      <w:proofErr w:type="spellStart"/>
      <w:r w:rsidRPr="00390029">
        <w:rPr>
          <w:rFonts w:cs="Arial"/>
          <w:lang w:val="en" w:eastAsia="en-NZ"/>
        </w:rPr>
        <w:t>kia</w:t>
      </w:r>
      <w:proofErr w:type="spellEnd"/>
      <w:r w:rsidRPr="00390029">
        <w:rPr>
          <w:rFonts w:cs="Arial"/>
          <w:lang w:val="en" w:eastAsia="en-NZ"/>
        </w:rPr>
        <w:t xml:space="preserve"> </w:t>
      </w:r>
      <w:proofErr w:type="spellStart"/>
      <w:r w:rsidRPr="00390029">
        <w:rPr>
          <w:rFonts w:cs="Arial"/>
          <w:lang w:val="en" w:eastAsia="en-NZ"/>
        </w:rPr>
        <w:t>t</w:t>
      </w:r>
      <w:r w:rsidRPr="00390029">
        <w:rPr>
          <w:rFonts w:ascii="Arial" w:hAnsi="Arial" w:cs="Arial"/>
          <w:lang w:val="en" w:eastAsia="en-NZ"/>
        </w:rPr>
        <w:t>ū</w:t>
      </w:r>
      <w:proofErr w:type="spellEnd"/>
      <w:r w:rsidRPr="00390029">
        <w:rPr>
          <w:rFonts w:cs="Arial"/>
          <w:lang w:val="en" w:eastAsia="en-NZ"/>
        </w:rPr>
        <w:t xml:space="preserve"> </w:t>
      </w:r>
      <w:proofErr w:type="spellStart"/>
      <w:r w:rsidRPr="00390029">
        <w:rPr>
          <w:rFonts w:cs="Arial"/>
          <w:lang w:val="en" w:eastAsia="en-NZ"/>
        </w:rPr>
        <w:t>kaha</w:t>
      </w:r>
      <w:proofErr w:type="spellEnd"/>
      <w:r w:rsidRPr="00390029">
        <w:rPr>
          <w:rFonts w:cs="Arial"/>
          <w:lang w:val="en" w:eastAsia="en-NZ"/>
        </w:rPr>
        <w:t xml:space="preserve">, </w:t>
      </w:r>
      <w:proofErr w:type="spellStart"/>
      <w:r w:rsidRPr="00390029">
        <w:rPr>
          <w:rFonts w:cs="Arial"/>
          <w:lang w:val="en" w:eastAsia="en-NZ"/>
        </w:rPr>
        <w:t>kia</w:t>
      </w:r>
      <w:proofErr w:type="spellEnd"/>
      <w:r w:rsidRPr="00390029">
        <w:rPr>
          <w:rFonts w:cs="Arial"/>
          <w:lang w:val="en" w:eastAsia="en-NZ"/>
        </w:rPr>
        <w:t xml:space="preserve"> </w:t>
      </w:r>
      <w:proofErr w:type="spellStart"/>
      <w:r w:rsidRPr="00390029">
        <w:rPr>
          <w:rFonts w:cs="Arial"/>
          <w:lang w:val="en" w:eastAsia="en-NZ"/>
        </w:rPr>
        <w:t>t</w:t>
      </w:r>
      <w:r w:rsidRPr="00390029">
        <w:rPr>
          <w:rFonts w:ascii="Arial" w:hAnsi="Arial" w:cs="Arial"/>
          <w:lang w:val="en" w:eastAsia="en-NZ"/>
        </w:rPr>
        <w:t>ū</w:t>
      </w:r>
      <w:proofErr w:type="spellEnd"/>
      <w:r w:rsidRPr="00390029">
        <w:rPr>
          <w:rFonts w:cs="Arial"/>
          <w:lang w:val="en" w:eastAsia="en-NZ"/>
        </w:rPr>
        <w:t xml:space="preserve"> </w:t>
      </w:r>
      <w:proofErr w:type="spellStart"/>
      <w:r w:rsidRPr="00390029">
        <w:rPr>
          <w:rFonts w:cs="Arial"/>
          <w:lang w:val="en" w:eastAsia="en-NZ"/>
        </w:rPr>
        <w:t>motuhake</w:t>
      </w:r>
      <w:proofErr w:type="spellEnd"/>
      <w:r w:rsidRPr="00390029">
        <w:rPr>
          <w:rFonts w:cs="Arial"/>
          <w:lang w:val="en" w:eastAsia="en-NZ"/>
        </w:rPr>
        <w:t>.</w:t>
      </w:r>
    </w:p>
    <w:p w:rsidR="00E63BC1" w:rsidRPr="00390029" w:rsidRDefault="003B7936" w:rsidP="00E63BC1">
      <w:pPr>
        <w:jc w:val="both"/>
        <w:outlineLvl w:val="3"/>
        <w:rPr>
          <w:rFonts w:cs="Arial"/>
          <w:b/>
          <w:bCs/>
          <w:color w:val="000000"/>
          <w:lang w:val="en" w:eastAsia="en-NZ"/>
        </w:rPr>
      </w:pPr>
      <w:r w:rsidRPr="00390029">
        <w:rPr>
          <w:rFonts w:cs="Arial"/>
          <w:b/>
          <w:bCs/>
          <w:lang w:val="en" w:eastAsia="en-NZ"/>
        </w:rPr>
        <w:br/>
      </w:r>
      <w:r w:rsidR="00E63BC1" w:rsidRPr="00390029">
        <w:rPr>
          <w:rFonts w:cs="Arial"/>
          <w:b/>
          <w:bCs/>
          <w:color w:val="000000"/>
          <w:lang w:val="en" w:eastAsia="en-NZ"/>
        </w:rPr>
        <w:t>Our Principles</w:t>
      </w:r>
    </w:p>
    <w:p w:rsidR="00E63BC1" w:rsidRPr="00390029" w:rsidRDefault="00E63BC1" w:rsidP="005558EB">
      <w:pPr>
        <w:jc w:val="both"/>
        <w:rPr>
          <w:rFonts w:cs="Arial"/>
          <w:lang w:val="en" w:eastAsia="en-NZ"/>
        </w:rPr>
      </w:pPr>
      <w:r w:rsidRPr="00390029">
        <w:rPr>
          <w:rFonts w:cs="Arial"/>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E63BC1" w:rsidRPr="00390029" w:rsidRDefault="00E63BC1" w:rsidP="00E63BC1">
      <w:pPr>
        <w:rPr>
          <w:sz w:val="24"/>
          <w:szCs w:val="24"/>
        </w:rPr>
      </w:pPr>
    </w:p>
    <w:p w:rsidR="00E63BC1" w:rsidRPr="00390029" w:rsidRDefault="00E63BC1" w:rsidP="00E63BC1">
      <w:pPr>
        <w:rPr>
          <w:b/>
          <w:bCs/>
        </w:rPr>
      </w:pPr>
      <w:r w:rsidRPr="00390029">
        <w:rPr>
          <w:rFonts w:cs="Arial"/>
          <w:b/>
          <w:bCs/>
        </w:rPr>
        <w:t>Position</w:t>
      </w:r>
      <w:r w:rsidRPr="00390029">
        <w:rPr>
          <w:b/>
          <w:bCs/>
        </w:rPr>
        <w:t xml:space="preserve"> </w:t>
      </w:r>
      <w:r w:rsidRPr="00390029">
        <w:rPr>
          <w:rFonts w:cs="Arial"/>
          <w:b/>
          <w:bCs/>
        </w:rPr>
        <w:t>Description</w:t>
      </w:r>
      <w:r w:rsidRPr="00390029">
        <w:rPr>
          <w:b/>
          <w:bCs/>
        </w:rPr>
        <w:t xml:space="preserve"> </w:t>
      </w:r>
      <w:r w:rsidRPr="00390029">
        <w:rPr>
          <w:rFonts w:cs="Arial"/>
          <w:b/>
          <w:bCs/>
        </w:rPr>
        <w:t>approved</w:t>
      </w:r>
      <w:r w:rsidRPr="00390029">
        <w:rPr>
          <w:b/>
          <w:bCs/>
        </w:rPr>
        <w:t xml:space="preserve"> </w:t>
      </w:r>
      <w:r w:rsidRPr="00390029">
        <w:rPr>
          <w:rFonts w:cs="Arial"/>
          <w:b/>
          <w:bCs/>
        </w:rPr>
        <w:t>by</w:t>
      </w:r>
      <w:r w:rsidRPr="00390029">
        <w:rPr>
          <w:b/>
          <w:bCs/>
        </w:rPr>
        <w:t>:</w:t>
      </w:r>
    </w:p>
    <w:p w:rsidR="003B7936" w:rsidRPr="00390029" w:rsidRDefault="003B7936" w:rsidP="00E63BC1">
      <w:pPr>
        <w:rPr>
          <w:bCs/>
        </w:rPr>
      </w:pPr>
    </w:p>
    <w:p w:rsidR="003B7936" w:rsidRPr="00390029" w:rsidRDefault="003B7936" w:rsidP="00E63BC1">
      <w:pPr>
        <w:rPr>
          <w:bCs/>
        </w:rPr>
      </w:pPr>
      <w:r w:rsidRPr="00390029">
        <w:rPr>
          <w:bCs/>
        </w:rPr>
        <w:t>_____________________________</w:t>
      </w:r>
    </w:p>
    <w:p w:rsidR="008C1033" w:rsidRPr="00390029" w:rsidRDefault="003B7936" w:rsidP="003F2FF1">
      <w:pPr>
        <w:spacing w:before="0"/>
        <w:rPr>
          <w:bCs/>
        </w:rPr>
      </w:pPr>
      <w:r w:rsidRPr="00390029">
        <w:rPr>
          <w:bCs/>
        </w:rPr>
        <w:t>Deputy Chief Executive, Service Delivery</w:t>
      </w:r>
    </w:p>
    <w:p w:rsidR="00E63BC1" w:rsidRPr="00390029" w:rsidRDefault="00E63BC1" w:rsidP="008C1033">
      <w:pPr>
        <w:rPr>
          <w:bCs/>
        </w:rPr>
      </w:pPr>
      <w:r w:rsidRPr="00390029">
        <w:rPr>
          <w:rFonts w:cs="Arial"/>
          <w:b/>
          <w:sz w:val="24"/>
          <w:szCs w:val="24"/>
        </w:rPr>
        <w:lastRenderedPageBreak/>
        <w:t>Service Delivery</w:t>
      </w:r>
    </w:p>
    <w:p w:rsidR="00E63BC1" w:rsidRPr="00390029" w:rsidRDefault="00E63BC1" w:rsidP="00E63BC1">
      <w:r w:rsidRPr="00390029">
        <w:t>We work together to make a difference for New Zealanders. Whether that’s helping someone get sorted financially so they can study, supporting someone into work, ensuring support is there for someone who can’t work, helping one of our seniors by granting their entitlement to New Zealand Superannuation, or giving New Zealanders confidence that the system they fund is being used by people in genuine need.</w:t>
      </w:r>
    </w:p>
    <w:p w:rsidR="00E63BC1" w:rsidRPr="00390029" w:rsidRDefault="00E63BC1" w:rsidP="00E63BC1">
      <w:pPr>
        <w:rPr>
          <w:rFonts w:cs="Calibri"/>
        </w:rPr>
      </w:pPr>
      <w:r w:rsidRPr="00390029">
        <w:t xml:space="preserve">We do this through three key groups; </w:t>
      </w:r>
      <w:r w:rsidRPr="00390029">
        <w:rPr>
          <w:i/>
          <w:iCs/>
        </w:rPr>
        <w:t>Regional Service Delivery</w:t>
      </w:r>
      <w:r w:rsidRPr="00390029">
        <w:t xml:space="preserve">, our frontline centres delivering face-to-face services across 11 regions, </w:t>
      </w:r>
      <w:r w:rsidRPr="00390029">
        <w:rPr>
          <w:i/>
          <w:iCs/>
        </w:rPr>
        <w:t>Contact Centre Services</w:t>
      </w:r>
      <w:r w:rsidRPr="00390029">
        <w:t xml:space="preserve"> providing client services by phone, and </w:t>
      </w:r>
      <w:r w:rsidRPr="00390029">
        <w:rPr>
          <w:i/>
          <w:iCs/>
        </w:rPr>
        <w:t>Centralised Services -</w:t>
      </w:r>
      <w:r w:rsidRPr="00390029">
        <w:t xml:space="preserve"> specialist teams managing processing of support and entitlements.</w:t>
      </w:r>
    </w:p>
    <w:p w:rsidR="00E63BC1" w:rsidRPr="00390029" w:rsidRDefault="00E63BC1" w:rsidP="00E63BC1">
      <w:r w:rsidRPr="00390029">
        <w:t>These three groups are supported by a number of teams, providing operational support, service development, learning and development, analytics and workflow management and engagement expertise.</w:t>
      </w:r>
    </w:p>
    <w:p w:rsidR="00E63BC1" w:rsidRPr="00390029" w:rsidRDefault="00E63BC1" w:rsidP="00E63BC1">
      <w:r w:rsidRPr="00390029">
        <w:t xml:space="preserve">Whatever part of Service </w:t>
      </w:r>
      <w:r w:rsidR="00AC3B2A" w:rsidRPr="00390029">
        <w:t>Delivery</w:t>
      </w:r>
      <w:r w:rsidRPr="00390029">
        <w:t xml:space="preserve"> we work </w:t>
      </w:r>
      <w:proofErr w:type="gramStart"/>
      <w:r w:rsidRPr="00390029">
        <w:t>in,</w:t>
      </w:r>
      <w:proofErr w:type="gramEnd"/>
      <w:r w:rsidRPr="00390029">
        <w:t xml:space="preserve"> we have a role in delivering services and making a difference for more than a million clients.</w:t>
      </w:r>
    </w:p>
    <w:p w:rsidR="00E63BC1" w:rsidRPr="00390029" w:rsidRDefault="00E63BC1" w:rsidP="00E63BC1"/>
    <w:p w:rsidR="00390029" w:rsidRPr="00390029" w:rsidRDefault="00390029" w:rsidP="00390029">
      <w:pPr>
        <w:jc w:val="both"/>
        <w:rPr>
          <w:rFonts w:cs="Arial"/>
          <w:b/>
          <w:bCs/>
          <w:sz w:val="24"/>
          <w:szCs w:val="24"/>
        </w:rPr>
      </w:pPr>
      <w:r w:rsidRPr="00390029">
        <w:rPr>
          <w:rFonts w:cs="Arial"/>
          <w:b/>
          <w:bCs/>
          <w:sz w:val="24"/>
          <w:szCs w:val="24"/>
        </w:rPr>
        <w:t>Purpose of the Posit</w:t>
      </w:r>
      <w:r>
        <w:rPr>
          <w:rFonts w:cs="Arial"/>
          <w:b/>
          <w:bCs/>
          <w:sz w:val="24"/>
          <w:szCs w:val="24"/>
        </w:rPr>
        <w:t>ion:</w:t>
      </w:r>
    </w:p>
    <w:p w:rsidR="00390029" w:rsidRPr="00390029" w:rsidRDefault="00390029" w:rsidP="00390029">
      <w:pPr>
        <w:rPr>
          <w:rFonts w:cs="Arial"/>
        </w:rPr>
      </w:pPr>
      <w:r w:rsidRPr="00390029">
        <w:rPr>
          <w:rFonts w:cs="Arial"/>
        </w:rPr>
        <w:t>The Regional Commissioner Advisor provides support and advice across a broad range of areas to support the Regional Commissioner and regional office</w:t>
      </w:r>
      <w:r>
        <w:rPr>
          <w:rFonts w:cs="Arial"/>
        </w:rPr>
        <w:t xml:space="preserve"> operation. </w:t>
      </w:r>
      <w:r w:rsidRPr="00390029">
        <w:rPr>
          <w:rFonts w:cs="Arial"/>
        </w:rPr>
        <w:t xml:space="preserve">The responsibilities of this role include supporting the Regional Commissioner in interagency and cross-sector initiatives, risk management, emergency management, regional planning and ad-hoc project management.  The Regional Commissioner Advisor will represent the region at relevant community forums in these functional areas as required. </w:t>
      </w:r>
    </w:p>
    <w:p w:rsidR="00390029" w:rsidRPr="00390029" w:rsidRDefault="00390029" w:rsidP="00390029">
      <w:pPr>
        <w:rPr>
          <w:rFonts w:cs="Arial"/>
        </w:rPr>
      </w:pPr>
      <w:r w:rsidRPr="00390029">
        <w:rPr>
          <w:rFonts w:cs="Arial"/>
        </w:rPr>
        <w:t>As part of this role the Regional Commissioner Advisor will also:</w:t>
      </w:r>
    </w:p>
    <w:p w:rsidR="00390029" w:rsidRPr="00390029" w:rsidRDefault="00390029" w:rsidP="00390029">
      <w:pPr>
        <w:numPr>
          <w:ilvl w:val="0"/>
          <w:numId w:val="30"/>
        </w:numPr>
        <w:spacing w:before="0"/>
        <w:rPr>
          <w:rFonts w:cs="Arial"/>
        </w:rPr>
      </w:pPr>
      <w:r w:rsidRPr="00390029">
        <w:rPr>
          <w:rFonts w:cs="Arial"/>
        </w:rPr>
        <w:t>Lead and manage cross-sector / cross service line work programmes that enhance the region’s service delivery and capability.</w:t>
      </w:r>
    </w:p>
    <w:p w:rsidR="00390029" w:rsidRPr="00390029" w:rsidRDefault="00390029" w:rsidP="00390029">
      <w:pPr>
        <w:numPr>
          <w:ilvl w:val="0"/>
          <w:numId w:val="30"/>
        </w:numPr>
        <w:spacing w:before="0"/>
        <w:rPr>
          <w:rFonts w:cs="Arial"/>
        </w:rPr>
      </w:pPr>
      <w:r w:rsidRPr="00390029">
        <w:rPr>
          <w:rFonts w:cs="Arial"/>
        </w:rPr>
        <w:t xml:space="preserve">Build strong and effective relationships with a variety of strategic and priority stakeholders. </w:t>
      </w:r>
    </w:p>
    <w:p w:rsidR="00390029" w:rsidRPr="00390029" w:rsidRDefault="00390029" w:rsidP="00390029">
      <w:pPr>
        <w:numPr>
          <w:ilvl w:val="0"/>
          <w:numId w:val="30"/>
        </w:numPr>
        <w:spacing w:before="0"/>
        <w:rPr>
          <w:rFonts w:cs="Arial"/>
        </w:rPr>
      </w:pPr>
      <w:r w:rsidRPr="00390029">
        <w:rPr>
          <w:rFonts w:cs="Arial"/>
        </w:rPr>
        <w:t>Maintain oversight on regional issues management.</w:t>
      </w:r>
    </w:p>
    <w:p w:rsidR="00390029" w:rsidRPr="00390029" w:rsidRDefault="00390029" w:rsidP="00E63BC1"/>
    <w:p w:rsidR="00390029" w:rsidRPr="00390029" w:rsidRDefault="00390029" w:rsidP="00390029">
      <w:pPr>
        <w:rPr>
          <w:rFonts w:cs="Arial"/>
          <w:b/>
          <w:bCs/>
          <w:sz w:val="24"/>
          <w:szCs w:val="24"/>
        </w:rPr>
      </w:pPr>
      <w:r w:rsidRPr="00390029">
        <w:rPr>
          <w:rFonts w:cs="Arial"/>
          <w:b/>
          <w:bCs/>
          <w:sz w:val="24"/>
          <w:szCs w:val="24"/>
        </w:rPr>
        <w:t>Working Relationships</w:t>
      </w:r>
    </w:p>
    <w:p w:rsidR="00390029" w:rsidRPr="00390029" w:rsidRDefault="00390029" w:rsidP="00390029">
      <w:pPr>
        <w:rPr>
          <w:rFonts w:cs="Arial"/>
          <w:sz w:val="16"/>
          <w:szCs w:val="16"/>
        </w:rPr>
      </w:pPr>
    </w:p>
    <w:p w:rsidR="00390029" w:rsidRPr="00390029" w:rsidRDefault="00390029" w:rsidP="00390029">
      <w:pPr>
        <w:rPr>
          <w:rFonts w:cs="Arial"/>
          <w:b/>
        </w:rPr>
      </w:pPr>
      <w:r w:rsidRPr="00390029">
        <w:rPr>
          <w:rFonts w:cs="Arial"/>
          <w:b/>
        </w:rPr>
        <w:t>Internal:</w:t>
      </w:r>
    </w:p>
    <w:p w:rsidR="00390029" w:rsidRPr="00390029" w:rsidRDefault="00390029" w:rsidP="00390029">
      <w:pPr>
        <w:numPr>
          <w:ilvl w:val="0"/>
          <w:numId w:val="30"/>
        </w:numPr>
        <w:spacing w:before="0"/>
        <w:jc w:val="both"/>
        <w:rPr>
          <w:rFonts w:cs="Arial"/>
        </w:rPr>
      </w:pPr>
      <w:r w:rsidRPr="00390029">
        <w:rPr>
          <w:rFonts w:cs="Arial"/>
        </w:rPr>
        <w:t>Regional Commissioner</w:t>
      </w:r>
    </w:p>
    <w:p w:rsidR="00390029" w:rsidRPr="00390029" w:rsidRDefault="00390029" w:rsidP="00390029">
      <w:pPr>
        <w:numPr>
          <w:ilvl w:val="0"/>
          <w:numId w:val="30"/>
        </w:numPr>
        <w:spacing w:before="0"/>
        <w:jc w:val="both"/>
        <w:rPr>
          <w:rFonts w:cs="Arial"/>
        </w:rPr>
      </w:pPr>
      <w:r w:rsidRPr="00390029">
        <w:rPr>
          <w:rFonts w:cs="Arial"/>
        </w:rPr>
        <w:t>Regional Director</w:t>
      </w:r>
    </w:p>
    <w:p w:rsidR="00390029" w:rsidRPr="00390029" w:rsidRDefault="00390029" w:rsidP="00390029">
      <w:pPr>
        <w:numPr>
          <w:ilvl w:val="0"/>
          <w:numId w:val="30"/>
        </w:numPr>
        <w:spacing w:before="0"/>
        <w:jc w:val="both"/>
        <w:rPr>
          <w:rFonts w:cs="Arial"/>
        </w:rPr>
      </w:pPr>
      <w:r w:rsidRPr="00390029">
        <w:rPr>
          <w:rFonts w:cs="Arial"/>
        </w:rPr>
        <w:t>Regional office managers and staff</w:t>
      </w:r>
    </w:p>
    <w:p w:rsidR="00390029" w:rsidRPr="00390029" w:rsidRDefault="00390029" w:rsidP="00390029">
      <w:pPr>
        <w:numPr>
          <w:ilvl w:val="0"/>
          <w:numId w:val="30"/>
        </w:numPr>
        <w:spacing w:before="0"/>
        <w:jc w:val="both"/>
        <w:rPr>
          <w:rFonts w:cs="Arial"/>
        </w:rPr>
      </w:pPr>
      <w:r w:rsidRPr="00390029">
        <w:rPr>
          <w:rFonts w:cs="Arial"/>
        </w:rPr>
        <w:t>Service centre management</w:t>
      </w:r>
    </w:p>
    <w:p w:rsidR="00390029" w:rsidRPr="00390029" w:rsidRDefault="00390029" w:rsidP="00390029">
      <w:pPr>
        <w:numPr>
          <w:ilvl w:val="0"/>
          <w:numId w:val="30"/>
        </w:numPr>
        <w:spacing w:before="0"/>
        <w:jc w:val="both"/>
        <w:rPr>
          <w:rFonts w:cs="Arial"/>
        </w:rPr>
      </w:pPr>
      <w:r w:rsidRPr="00390029">
        <w:rPr>
          <w:rFonts w:cs="Arial"/>
        </w:rPr>
        <w:t>National Commissioner’s Office</w:t>
      </w:r>
    </w:p>
    <w:p w:rsidR="00390029" w:rsidRPr="00390029" w:rsidRDefault="00390029" w:rsidP="00390029">
      <w:pPr>
        <w:numPr>
          <w:ilvl w:val="0"/>
          <w:numId w:val="30"/>
        </w:numPr>
        <w:spacing w:before="0"/>
        <w:jc w:val="both"/>
        <w:rPr>
          <w:rFonts w:cs="Arial"/>
        </w:rPr>
      </w:pPr>
      <w:r>
        <w:rPr>
          <w:rFonts w:cs="Arial"/>
        </w:rPr>
        <w:t>Service Delivery</w:t>
      </w:r>
      <w:r w:rsidRPr="00390029">
        <w:rPr>
          <w:rFonts w:cs="Arial"/>
        </w:rPr>
        <w:t>’s issues management team</w:t>
      </w:r>
    </w:p>
    <w:p w:rsidR="00390029" w:rsidRPr="00390029" w:rsidRDefault="00390029" w:rsidP="00390029">
      <w:pPr>
        <w:numPr>
          <w:ilvl w:val="0"/>
          <w:numId w:val="30"/>
        </w:numPr>
        <w:spacing w:before="0"/>
        <w:jc w:val="both"/>
        <w:rPr>
          <w:rFonts w:cs="Arial"/>
        </w:rPr>
      </w:pPr>
      <w:r>
        <w:rPr>
          <w:rFonts w:cs="Arial"/>
        </w:rPr>
        <w:t>Service Delivery</w:t>
      </w:r>
      <w:r w:rsidRPr="00390029">
        <w:rPr>
          <w:rFonts w:cs="Arial"/>
        </w:rPr>
        <w:t>’s communications tea,</w:t>
      </w:r>
    </w:p>
    <w:p w:rsidR="00390029" w:rsidRPr="00390029" w:rsidRDefault="00390029" w:rsidP="00390029">
      <w:pPr>
        <w:numPr>
          <w:ilvl w:val="0"/>
          <w:numId w:val="30"/>
        </w:numPr>
        <w:spacing w:before="0"/>
        <w:jc w:val="both"/>
        <w:rPr>
          <w:rFonts w:cs="Arial"/>
        </w:rPr>
      </w:pPr>
      <w:r w:rsidRPr="00390029">
        <w:rPr>
          <w:rFonts w:cs="Arial"/>
        </w:rPr>
        <w:t>Ministerial and Executive Services Team</w:t>
      </w:r>
    </w:p>
    <w:p w:rsidR="00390029" w:rsidRPr="00390029" w:rsidRDefault="00390029" w:rsidP="00390029">
      <w:pPr>
        <w:numPr>
          <w:ilvl w:val="0"/>
          <w:numId w:val="30"/>
        </w:numPr>
        <w:spacing w:before="0"/>
        <w:jc w:val="both"/>
        <w:rPr>
          <w:rFonts w:cs="Arial"/>
        </w:rPr>
      </w:pPr>
      <w:r w:rsidRPr="00390029">
        <w:rPr>
          <w:rFonts w:cs="Arial"/>
        </w:rPr>
        <w:t>Other MSD staff as appropriate</w:t>
      </w:r>
    </w:p>
    <w:p w:rsidR="00390029" w:rsidRPr="00390029" w:rsidRDefault="00390029" w:rsidP="00390029">
      <w:pPr>
        <w:rPr>
          <w:rFonts w:cs="Arial"/>
        </w:rPr>
      </w:pPr>
    </w:p>
    <w:p w:rsidR="00390029" w:rsidRPr="00390029" w:rsidRDefault="00390029" w:rsidP="00390029">
      <w:pPr>
        <w:rPr>
          <w:rFonts w:cs="Arial"/>
          <w:b/>
        </w:rPr>
      </w:pPr>
      <w:r w:rsidRPr="00390029">
        <w:rPr>
          <w:rFonts w:cs="Arial"/>
          <w:b/>
        </w:rPr>
        <w:t>External:</w:t>
      </w:r>
    </w:p>
    <w:p w:rsidR="00390029" w:rsidRPr="00390029" w:rsidRDefault="00390029" w:rsidP="00390029">
      <w:pPr>
        <w:numPr>
          <w:ilvl w:val="0"/>
          <w:numId w:val="31"/>
        </w:numPr>
        <w:spacing w:before="0"/>
        <w:jc w:val="both"/>
        <w:rPr>
          <w:rFonts w:cs="Arial"/>
          <w:bCs/>
        </w:rPr>
      </w:pPr>
      <w:r w:rsidRPr="00390029">
        <w:rPr>
          <w:rFonts w:cs="Arial"/>
          <w:bCs/>
        </w:rPr>
        <w:t xml:space="preserve">Community and Non-Government Agencies </w:t>
      </w:r>
    </w:p>
    <w:p w:rsidR="00390029" w:rsidRPr="00390029" w:rsidRDefault="00390029" w:rsidP="00390029">
      <w:pPr>
        <w:numPr>
          <w:ilvl w:val="0"/>
          <w:numId w:val="31"/>
        </w:numPr>
        <w:spacing w:before="0"/>
        <w:jc w:val="both"/>
        <w:rPr>
          <w:rFonts w:cs="Arial"/>
          <w:bCs/>
        </w:rPr>
      </w:pPr>
      <w:r w:rsidRPr="00390029">
        <w:rPr>
          <w:rFonts w:cs="Arial"/>
          <w:bCs/>
        </w:rPr>
        <w:t>Local and Central  Government Agencies as required</w:t>
      </w:r>
    </w:p>
    <w:p w:rsidR="00390029" w:rsidRPr="00390029" w:rsidRDefault="00390029" w:rsidP="00390029">
      <w:pPr>
        <w:numPr>
          <w:ilvl w:val="0"/>
          <w:numId w:val="31"/>
        </w:numPr>
        <w:spacing w:before="0"/>
        <w:jc w:val="both"/>
        <w:rPr>
          <w:rFonts w:cs="Arial"/>
          <w:b/>
          <w:sz w:val="24"/>
          <w:szCs w:val="24"/>
        </w:rPr>
      </w:pPr>
      <w:proofErr w:type="spellStart"/>
      <w:r w:rsidRPr="00390029">
        <w:rPr>
          <w:rFonts w:cs="Arial"/>
          <w:bCs/>
        </w:rPr>
        <w:t>Iwi</w:t>
      </w:r>
      <w:proofErr w:type="spellEnd"/>
      <w:r w:rsidRPr="00390029">
        <w:rPr>
          <w:rFonts w:cs="Arial"/>
          <w:bCs/>
        </w:rPr>
        <w:t xml:space="preserve"> and Pacifica</w:t>
      </w:r>
    </w:p>
    <w:p w:rsidR="00390029" w:rsidRDefault="00390029" w:rsidP="00390029">
      <w:pPr>
        <w:rPr>
          <w:rFonts w:cs="Arial"/>
          <w:b/>
          <w:sz w:val="24"/>
          <w:szCs w:val="24"/>
        </w:rPr>
      </w:pPr>
    </w:p>
    <w:p w:rsidR="00390029" w:rsidRPr="00390029" w:rsidRDefault="00390029" w:rsidP="00390029">
      <w:pPr>
        <w:rPr>
          <w:rFonts w:cs="Arial"/>
          <w:highlight w:val="lightGray"/>
        </w:rPr>
      </w:pPr>
      <w:r w:rsidRPr="00390029">
        <w:rPr>
          <w:rFonts w:cs="Arial"/>
          <w:b/>
          <w:sz w:val="24"/>
          <w:szCs w:val="24"/>
        </w:rPr>
        <w:t xml:space="preserve">Key Accountabilities:  </w:t>
      </w:r>
    </w:p>
    <w:p w:rsidR="00390029" w:rsidRPr="00390029" w:rsidRDefault="00390029" w:rsidP="00390029">
      <w:pPr>
        <w:jc w:val="both"/>
        <w:rPr>
          <w:rFonts w:cs="Arial"/>
          <w:b/>
        </w:rPr>
      </w:pPr>
    </w:p>
    <w:tbl>
      <w:tblPr>
        <w:tblW w:w="9540" w:type="dxa"/>
        <w:tblInd w:w="-2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197"/>
        <w:gridCol w:w="7305"/>
        <w:gridCol w:w="38"/>
      </w:tblGrid>
      <w:tr w:rsidR="00390029" w:rsidRPr="00390029" w:rsidTr="00390029">
        <w:trPr>
          <w:gridAfter w:val="1"/>
          <w:wAfter w:w="38" w:type="dxa"/>
          <w:trHeight w:val="138"/>
        </w:trPr>
        <w:tc>
          <w:tcPr>
            <w:tcW w:w="2197" w:type="dxa"/>
            <w:shd w:val="clear" w:color="auto" w:fill="auto"/>
          </w:tcPr>
          <w:p w:rsidR="00390029" w:rsidRPr="00390029" w:rsidRDefault="00390029" w:rsidP="007575AA">
            <w:pPr>
              <w:jc w:val="center"/>
              <w:rPr>
                <w:rFonts w:cs="Arial"/>
                <w:b/>
                <w:bCs/>
              </w:rPr>
            </w:pPr>
            <w:r w:rsidRPr="00390029">
              <w:rPr>
                <w:rFonts w:cs="Arial"/>
                <w:b/>
                <w:bCs/>
              </w:rPr>
              <w:t>Key Result Area</w:t>
            </w:r>
          </w:p>
        </w:tc>
        <w:tc>
          <w:tcPr>
            <w:tcW w:w="7305" w:type="dxa"/>
            <w:shd w:val="clear" w:color="auto" w:fill="auto"/>
          </w:tcPr>
          <w:p w:rsidR="00390029" w:rsidRPr="00390029" w:rsidRDefault="00390029" w:rsidP="007575AA">
            <w:pPr>
              <w:jc w:val="both"/>
              <w:rPr>
                <w:rFonts w:cs="Arial"/>
                <w:b/>
                <w:bCs/>
              </w:rPr>
            </w:pPr>
            <w:r w:rsidRPr="00390029">
              <w:rPr>
                <w:rFonts w:cs="Arial"/>
                <w:b/>
                <w:bCs/>
              </w:rPr>
              <w:t>Accountabilities</w:t>
            </w:r>
          </w:p>
        </w:tc>
      </w:tr>
      <w:tr w:rsidR="00390029" w:rsidRPr="00390029" w:rsidTr="00390029">
        <w:trPr>
          <w:gridAfter w:val="1"/>
          <w:wAfter w:w="38" w:type="dxa"/>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rPr>
                <w:rFonts w:cs="Arial"/>
                <w:b/>
                <w:bCs/>
              </w:rPr>
            </w:pPr>
          </w:p>
          <w:p w:rsidR="00390029" w:rsidRPr="00390029" w:rsidRDefault="00390029" w:rsidP="007575AA">
            <w:pPr>
              <w:jc w:val="center"/>
              <w:rPr>
                <w:rFonts w:cs="Arial"/>
                <w:b/>
                <w:bCs/>
              </w:rPr>
            </w:pPr>
            <w:r w:rsidRPr="00390029">
              <w:rPr>
                <w:rFonts w:cs="Arial"/>
                <w:b/>
                <w:bCs/>
              </w:rPr>
              <w:t>Strategy Development</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3"/>
              </w:numPr>
              <w:tabs>
                <w:tab w:val="clear" w:pos="1080"/>
                <w:tab w:val="num" w:pos="324"/>
              </w:tabs>
              <w:spacing w:before="0"/>
              <w:ind w:left="324" w:hanging="283"/>
              <w:rPr>
                <w:rFonts w:cs="Arial"/>
                <w:bCs/>
              </w:rPr>
            </w:pPr>
            <w:r w:rsidRPr="00390029">
              <w:rPr>
                <w:rFonts w:cs="Arial"/>
                <w:bCs/>
              </w:rPr>
              <w:t>As a member of the regional office governance group, contribute to the development and implementation of short to medium term operational plans for the region, in accordance with agreed business plans and policies and in alignment with national strategies.</w:t>
            </w:r>
          </w:p>
          <w:p w:rsidR="00390029" w:rsidRPr="00390029" w:rsidRDefault="00390029" w:rsidP="00390029">
            <w:pPr>
              <w:numPr>
                <w:ilvl w:val="0"/>
                <w:numId w:val="33"/>
              </w:numPr>
              <w:tabs>
                <w:tab w:val="clear" w:pos="1080"/>
                <w:tab w:val="num" w:pos="324"/>
                <w:tab w:val="num" w:pos="709"/>
              </w:tabs>
              <w:spacing w:before="0"/>
              <w:ind w:left="324" w:hanging="283"/>
            </w:pPr>
            <w:r w:rsidRPr="00390029">
              <w:t xml:space="preserve">Prepare regional business plans and reports for internal and external audiences. </w:t>
            </w:r>
          </w:p>
        </w:tc>
      </w:tr>
      <w:tr w:rsidR="00390029" w:rsidRPr="00390029" w:rsidTr="00390029">
        <w:trPr>
          <w:gridAfter w:val="1"/>
          <w:wAfter w:w="38" w:type="dxa"/>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jc w:val="center"/>
              <w:rPr>
                <w:rFonts w:cs="Arial"/>
                <w:b/>
                <w:bCs/>
              </w:rPr>
            </w:pPr>
          </w:p>
          <w:p w:rsidR="00390029" w:rsidRPr="00390029" w:rsidRDefault="00390029" w:rsidP="007575AA">
            <w:pPr>
              <w:jc w:val="center"/>
              <w:rPr>
                <w:rFonts w:cs="Arial"/>
                <w:b/>
                <w:bCs/>
              </w:rPr>
            </w:pPr>
            <w:r w:rsidRPr="00390029">
              <w:rPr>
                <w:rFonts w:cs="Arial"/>
                <w:b/>
                <w:bCs/>
              </w:rPr>
              <w:t>Strategic cross sector and inter-agency programmes</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3"/>
              </w:numPr>
              <w:tabs>
                <w:tab w:val="clear" w:pos="1080"/>
                <w:tab w:val="num" w:pos="324"/>
                <w:tab w:val="num" w:pos="709"/>
              </w:tabs>
              <w:spacing w:before="0"/>
              <w:ind w:left="324" w:hanging="283"/>
              <w:rPr>
                <w:rFonts w:cs="Arial"/>
                <w:bCs/>
              </w:rPr>
            </w:pPr>
            <w:r w:rsidRPr="00390029">
              <w:rPr>
                <w:rFonts w:cs="Arial"/>
                <w:bCs/>
              </w:rPr>
              <w:t xml:space="preserve">Build priority, strategic and sustainable relationships with cross-sector and external stakeholders including </w:t>
            </w:r>
            <w:proofErr w:type="spellStart"/>
            <w:r w:rsidRPr="00390029">
              <w:rPr>
                <w:rFonts w:cs="Arial"/>
                <w:bCs/>
              </w:rPr>
              <w:t>Iwi</w:t>
            </w:r>
            <w:proofErr w:type="spellEnd"/>
            <w:r w:rsidRPr="00390029">
              <w:rPr>
                <w:rFonts w:cs="Arial"/>
                <w:bCs/>
              </w:rPr>
              <w:t xml:space="preserve"> and Pacifica.</w:t>
            </w:r>
          </w:p>
          <w:p w:rsidR="00390029" w:rsidRPr="00390029" w:rsidRDefault="00390029" w:rsidP="00390029">
            <w:pPr>
              <w:numPr>
                <w:ilvl w:val="0"/>
                <w:numId w:val="34"/>
              </w:numPr>
              <w:tabs>
                <w:tab w:val="clear" w:pos="720"/>
                <w:tab w:val="num" w:pos="324"/>
                <w:tab w:val="num" w:pos="1080"/>
              </w:tabs>
              <w:spacing w:before="0"/>
              <w:ind w:left="324" w:hanging="283"/>
            </w:pPr>
            <w:r w:rsidRPr="00390029">
              <w:rPr>
                <w:rFonts w:cs="Arial"/>
                <w:bCs/>
              </w:rPr>
              <w:t xml:space="preserve">Represent the Regional Commissioner in the development and delivery of interagency and cross-sector work programmes and initiatives. </w:t>
            </w:r>
          </w:p>
          <w:p w:rsidR="00390029" w:rsidRPr="00390029" w:rsidRDefault="00390029" w:rsidP="00390029">
            <w:pPr>
              <w:numPr>
                <w:ilvl w:val="0"/>
                <w:numId w:val="34"/>
              </w:numPr>
              <w:tabs>
                <w:tab w:val="clear" w:pos="720"/>
                <w:tab w:val="num" w:pos="324"/>
                <w:tab w:val="num" w:pos="1080"/>
              </w:tabs>
              <w:spacing w:before="0"/>
              <w:ind w:left="466" w:hanging="425"/>
            </w:pPr>
            <w:r w:rsidRPr="00390029">
              <w:rPr>
                <w:rFonts w:cs="Arial"/>
                <w:bCs/>
              </w:rPr>
              <w:t>Maintain a good awareness of current events and political context.</w:t>
            </w:r>
          </w:p>
        </w:tc>
      </w:tr>
      <w:tr w:rsidR="00390029" w:rsidRPr="00390029" w:rsidTr="00390029">
        <w:trPr>
          <w:gridAfter w:val="1"/>
          <w:wAfter w:w="38" w:type="dxa"/>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pStyle w:val="Header"/>
              <w:rPr>
                <w:rFonts w:cs="Arial"/>
                <w:b/>
                <w:bCs/>
              </w:rPr>
            </w:pPr>
          </w:p>
          <w:p w:rsidR="00390029" w:rsidRPr="00390029" w:rsidRDefault="00390029" w:rsidP="007575AA">
            <w:pPr>
              <w:pStyle w:val="Header"/>
              <w:jc w:val="center"/>
              <w:rPr>
                <w:rFonts w:cs="Arial"/>
                <w:b/>
                <w:bCs/>
              </w:rPr>
            </w:pPr>
            <w:r w:rsidRPr="00390029">
              <w:rPr>
                <w:rFonts w:cs="Arial"/>
                <w:b/>
                <w:bCs/>
              </w:rPr>
              <w:t>Risk</w:t>
            </w:r>
          </w:p>
          <w:p w:rsidR="00390029" w:rsidRPr="00390029" w:rsidRDefault="00390029" w:rsidP="007575AA">
            <w:pPr>
              <w:pStyle w:val="Header"/>
              <w:jc w:val="center"/>
              <w:rPr>
                <w:rFonts w:cs="Arial"/>
                <w:b/>
                <w:bCs/>
              </w:rPr>
            </w:pPr>
            <w:r w:rsidRPr="00390029">
              <w:rPr>
                <w:rFonts w:cs="Arial"/>
                <w:b/>
                <w:bCs/>
              </w:rPr>
              <w:t>Management</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4"/>
              </w:numPr>
              <w:tabs>
                <w:tab w:val="clear" w:pos="720"/>
                <w:tab w:val="num" w:pos="324"/>
                <w:tab w:val="num" w:pos="466"/>
              </w:tabs>
              <w:spacing w:before="0"/>
              <w:ind w:left="324" w:hanging="283"/>
            </w:pPr>
            <w:r w:rsidRPr="00390029">
              <w:t xml:space="preserve">Manage the region’s risk portfolio, including audit processes, maintaining risk registers, and identifying and mitigating risks. </w:t>
            </w:r>
          </w:p>
          <w:p w:rsidR="00390029" w:rsidRPr="00390029" w:rsidRDefault="00390029" w:rsidP="00390029">
            <w:pPr>
              <w:numPr>
                <w:ilvl w:val="0"/>
                <w:numId w:val="34"/>
              </w:numPr>
              <w:tabs>
                <w:tab w:val="clear" w:pos="720"/>
                <w:tab w:val="num" w:pos="324"/>
                <w:tab w:val="num" w:pos="466"/>
              </w:tabs>
              <w:spacing w:before="0"/>
              <w:ind w:left="324" w:hanging="283"/>
            </w:pPr>
            <w:r w:rsidRPr="00390029">
              <w:t xml:space="preserve">Keep the Regional Commissioner informed and updated on the progress of any potential or actual issues or risks and </w:t>
            </w:r>
            <w:proofErr w:type="gramStart"/>
            <w:r w:rsidRPr="00390029">
              <w:t>ensure</w:t>
            </w:r>
            <w:proofErr w:type="gramEnd"/>
            <w:r w:rsidRPr="00390029">
              <w:t xml:space="preserve"> matters are escalated appropriately.</w:t>
            </w:r>
          </w:p>
          <w:p w:rsidR="00390029" w:rsidRPr="00390029" w:rsidRDefault="00390029" w:rsidP="00390029">
            <w:pPr>
              <w:pStyle w:val="Footer"/>
              <w:numPr>
                <w:ilvl w:val="0"/>
                <w:numId w:val="34"/>
              </w:numPr>
              <w:tabs>
                <w:tab w:val="clear" w:pos="720"/>
                <w:tab w:val="clear" w:pos="4513"/>
                <w:tab w:val="clear" w:pos="9026"/>
                <w:tab w:val="num" w:pos="324"/>
                <w:tab w:val="num" w:pos="466"/>
              </w:tabs>
              <w:ind w:left="324" w:hanging="283"/>
            </w:pPr>
            <w:r w:rsidRPr="00390029">
              <w:t>Ensure that analysis, data and information supplied is accurate and verified.</w:t>
            </w:r>
          </w:p>
          <w:p w:rsidR="00390029" w:rsidRPr="00390029" w:rsidRDefault="00390029" w:rsidP="00390029">
            <w:pPr>
              <w:pStyle w:val="Footer"/>
              <w:numPr>
                <w:ilvl w:val="0"/>
                <w:numId w:val="34"/>
              </w:numPr>
              <w:tabs>
                <w:tab w:val="clear" w:pos="720"/>
                <w:tab w:val="clear" w:pos="4513"/>
                <w:tab w:val="clear" w:pos="9026"/>
                <w:tab w:val="num" w:pos="324"/>
                <w:tab w:val="num" w:pos="466"/>
              </w:tabs>
              <w:ind w:left="324" w:hanging="283"/>
            </w:pPr>
            <w:r w:rsidRPr="00390029">
              <w:t>Provide advice on any risks identified as a result of issues raised.</w:t>
            </w:r>
          </w:p>
          <w:p w:rsidR="00390029" w:rsidRPr="00390029" w:rsidRDefault="00390029" w:rsidP="00390029">
            <w:pPr>
              <w:numPr>
                <w:ilvl w:val="0"/>
                <w:numId w:val="34"/>
              </w:numPr>
              <w:tabs>
                <w:tab w:val="clear" w:pos="720"/>
                <w:tab w:val="num" w:pos="324"/>
                <w:tab w:val="num" w:pos="466"/>
              </w:tabs>
              <w:spacing w:before="0"/>
              <w:ind w:left="324" w:hanging="283"/>
            </w:pPr>
            <w:r w:rsidRPr="00390029">
              <w:t xml:space="preserve">Maintain an oversight of regional issues management to identify trends and risks and ensure regional responses to issues are aligned to </w:t>
            </w:r>
            <w:r>
              <w:t>Service Delivery</w:t>
            </w:r>
            <w:r w:rsidRPr="00390029">
              <w:t xml:space="preserve"> strategy.</w:t>
            </w:r>
          </w:p>
          <w:p w:rsidR="00390029" w:rsidRPr="00390029" w:rsidRDefault="00390029" w:rsidP="00390029">
            <w:pPr>
              <w:numPr>
                <w:ilvl w:val="0"/>
                <w:numId w:val="34"/>
              </w:numPr>
              <w:tabs>
                <w:tab w:val="clear" w:pos="720"/>
                <w:tab w:val="num" w:pos="324"/>
                <w:tab w:val="num" w:pos="466"/>
              </w:tabs>
              <w:spacing w:before="0"/>
              <w:ind w:left="324" w:hanging="283"/>
            </w:pPr>
            <w:r w:rsidRPr="00390029">
              <w:t>Liaise with Community Liaison Advisor in regard to response to issues, information requests, and identified risks for the region.</w:t>
            </w:r>
          </w:p>
          <w:p w:rsidR="00390029" w:rsidRPr="00390029" w:rsidRDefault="00390029" w:rsidP="00390029">
            <w:pPr>
              <w:numPr>
                <w:ilvl w:val="0"/>
                <w:numId w:val="34"/>
              </w:numPr>
              <w:tabs>
                <w:tab w:val="clear" w:pos="720"/>
                <w:tab w:val="num" w:pos="324"/>
                <w:tab w:val="num" w:pos="466"/>
              </w:tabs>
              <w:spacing w:before="0"/>
              <w:ind w:left="324" w:hanging="283"/>
            </w:pPr>
            <w:r w:rsidRPr="00390029">
              <w:t>Provide information and assistance to the National Commissioner and DCE’s Office as required.</w:t>
            </w:r>
          </w:p>
        </w:tc>
      </w:tr>
      <w:tr w:rsidR="00390029" w:rsidRPr="00390029" w:rsidTr="00390029">
        <w:trPr>
          <w:gridAfter w:val="1"/>
          <w:wAfter w:w="38" w:type="dxa"/>
          <w:trHeight w:val="138"/>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pStyle w:val="Header"/>
              <w:rPr>
                <w:rFonts w:cs="Arial"/>
                <w:b/>
                <w:bCs/>
              </w:rPr>
            </w:pPr>
          </w:p>
          <w:p w:rsidR="00390029" w:rsidRPr="00390029" w:rsidRDefault="00390029" w:rsidP="007575AA">
            <w:pPr>
              <w:pStyle w:val="Header"/>
              <w:jc w:val="center"/>
              <w:rPr>
                <w:rFonts w:cs="Arial"/>
                <w:b/>
                <w:bCs/>
              </w:rPr>
            </w:pPr>
            <w:r w:rsidRPr="00390029">
              <w:rPr>
                <w:rFonts w:cs="Arial"/>
                <w:b/>
                <w:bCs/>
              </w:rPr>
              <w:t xml:space="preserve">Emergency Management </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5"/>
              </w:numPr>
              <w:spacing w:before="0"/>
              <w:ind w:left="357" w:hanging="357"/>
            </w:pPr>
            <w:r w:rsidRPr="00390029">
              <w:t>Provide risk and incident management assistance to the Regional Commissioner including identifying, managing and monitoring emergency management and business continuity arrangements.</w:t>
            </w:r>
          </w:p>
          <w:p w:rsidR="00390029" w:rsidRPr="00390029" w:rsidRDefault="00390029" w:rsidP="00390029">
            <w:pPr>
              <w:numPr>
                <w:ilvl w:val="0"/>
                <w:numId w:val="35"/>
              </w:numPr>
              <w:spacing w:before="0"/>
              <w:ind w:left="357" w:hanging="357"/>
            </w:pPr>
            <w:r w:rsidRPr="00390029">
              <w:t xml:space="preserve">Liaise with </w:t>
            </w:r>
            <w:r>
              <w:t>Service Delivery</w:t>
            </w:r>
            <w:r w:rsidRPr="00390029">
              <w:t xml:space="preserve"> Emergency Management to ensure a consistent national approach for the provision of welfare in emergencies.</w:t>
            </w:r>
          </w:p>
          <w:p w:rsidR="00390029" w:rsidRPr="00390029" w:rsidRDefault="00390029" w:rsidP="00390029">
            <w:pPr>
              <w:numPr>
                <w:ilvl w:val="0"/>
                <w:numId w:val="35"/>
              </w:numPr>
              <w:spacing w:before="0"/>
              <w:ind w:left="357" w:hanging="357"/>
            </w:pPr>
            <w:r w:rsidRPr="00390029">
              <w:t>Support the Regional Commissioner in the development of Regional Welfare Coordination Group work programmes and activation and response procedures, including maintaining early notification and alert systems (e</w:t>
            </w:r>
            <w:r>
              <w:t>.</w:t>
            </w:r>
            <w:r w:rsidRPr="00390029">
              <w:t>g</w:t>
            </w:r>
            <w:r>
              <w:t>.</w:t>
            </w:r>
            <w:bookmarkStart w:id="0" w:name="_GoBack"/>
            <w:bookmarkEnd w:id="0"/>
            <w:r w:rsidRPr="00390029">
              <w:t xml:space="preserve"> advisories, warnings, contact lists, email groups and rosters).</w:t>
            </w:r>
          </w:p>
          <w:p w:rsidR="00390029" w:rsidRPr="00390029" w:rsidRDefault="00390029" w:rsidP="00390029">
            <w:pPr>
              <w:numPr>
                <w:ilvl w:val="0"/>
                <w:numId w:val="35"/>
              </w:numPr>
              <w:spacing w:before="0"/>
              <w:ind w:left="357" w:hanging="357"/>
            </w:pPr>
            <w:r w:rsidRPr="00390029">
              <w:t>Maintain an oversight of the region’s business continuity planning to ensure is supports the region’s emergency management response.</w:t>
            </w:r>
          </w:p>
        </w:tc>
      </w:tr>
      <w:tr w:rsidR="00390029" w:rsidRPr="00390029" w:rsidTr="00390029">
        <w:trPr>
          <w:gridAfter w:val="1"/>
          <w:wAfter w:w="38" w:type="dxa"/>
          <w:trHeight w:val="1412"/>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jc w:val="center"/>
              <w:rPr>
                <w:rFonts w:cs="Arial"/>
                <w:b/>
                <w:bCs/>
              </w:rPr>
            </w:pPr>
          </w:p>
          <w:p w:rsidR="00390029" w:rsidRPr="00390029" w:rsidRDefault="00390029" w:rsidP="007575AA">
            <w:pPr>
              <w:jc w:val="center"/>
              <w:rPr>
                <w:rFonts w:cs="Arial"/>
                <w:b/>
                <w:bCs/>
              </w:rPr>
            </w:pPr>
            <w:r w:rsidRPr="00390029">
              <w:rPr>
                <w:rFonts w:cs="Arial"/>
                <w:b/>
                <w:bCs/>
              </w:rPr>
              <w:t>Project Management</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5"/>
              </w:numPr>
              <w:spacing w:before="0"/>
              <w:ind w:left="357" w:hanging="357"/>
              <w:rPr>
                <w:rFonts w:cs="Arial"/>
                <w:bCs/>
              </w:rPr>
            </w:pPr>
            <w:r w:rsidRPr="00390029">
              <w:rPr>
                <w:rFonts w:cs="Arial"/>
                <w:bCs/>
              </w:rPr>
              <w:t>Lead and manage ad-hoc projects and / or programmes of work that are allocated as part of the annual work programme.</w:t>
            </w:r>
          </w:p>
          <w:p w:rsidR="00390029" w:rsidRPr="00390029" w:rsidRDefault="00390029" w:rsidP="00390029">
            <w:pPr>
              <w:numPr>
                <w:ilvl w:val="0"/>
                <w:numId w:val="35"/>
              </w:numPr>
              <w:spacing w:before="0"/>
              <w:ind w:left="357" w:hanging="357"/>
              <w:rPr>
                <w:rFonts w:cs="Arial"/>
                <w:bCs/>
              </w:rPr>
            </w:pPr>
            <w:r w:rsidRPr="00390029">
              <w:rPr>
                <w:rFonts w:cs="Arial"/>
                <w:bCs/>
              </w:rPr>
              <w:t xml:space="preserve">Ensure projects are delivered in accordance within expected quality standards, timelines and budget. </w:t>
            </w:r>
          </w:p>
          <w:p w:rsidR="00390029" w:rsidRPr="00390029" w:rsidRDefault="00390029" w:rsidP="00390029">
            <w:pPr>
              <w:numPr>
                <w:ilvl w:val="0"/>
                <w:numId w:val="35"/>
              </w:numPr>
              <w:spacing w:before="0"/>
              <w:ind w:left="357" w:hanging="357"/>
              <w:rPr>
                <w:rFonts w:cs="Arial"/>
                <w:bCs/>
              </w:rPr>
            </w:pPr>
            <w:r w:rsidRPr="00390029">
              <w:rPr>
                <w:rFonts w:cs="Arial"/>
                <w:bCs/>
              </w:rPr>
              <w:t>Report on projects against project plans.</w:t>
            </w:r>
          </w:p>
        </w:tc>
      </w:tr>
      <w:tr w:rsidR="00390029" w:rsidRPr="00390029" w:rsidTr="00390029">
        <w:trPr>
          <w:gridAfter w:val="1"/>
          <w:wAfter w:w="38" w:type="dxa"/>
          <w:trHeight w:val="689"/>
        </w:trPr>
        <w:tc>
          <w:tcPr>
            <w:tcW w:w="2197"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7575AA">
            <w:pPr>
              <w:jc w:val="center"/>
              <w:rPr>
                <w:rFonts w:cs="Arial"/>
                <w:b/>
                <w:bCs/>
              </w:rPr>
            </w:pPr>
          </w:p>
          <w:p w:rsidR="00390029" w:rsidRPr="00390029" w:rsidRDefault="00390029" w:rsidP="007575AA">
            <w:pPr>
              <w:jc w:val="center"/>
              <w:rPr>
                <w:rFonts w:cs="Arial"/>
                <w:b/>
                <w:bCs/>
              </w:rPr>
            </w:pPr>
            <w:r w:rsidRPr="00390029">
              <w:rPr>
                <w:rFonts w:cs="Arial"/>
                <w:b/>
                <w:bCs/>
              </w:rPr>
              <w:t>Team and Individual Performance</w:t>
            </w:r>
          </w:p>
        </w:tc>
        <w:tc>
          <w:tcPr>
            <w:tcW w:w="7305" w:type="dxa"/>
            <w:tcBorders>
              <w:top w:val="double" w:sz="4" w:space="0" w:color="auto"/>
              <w:left w:val="double" w:sz="4" w:space="0" w:color="auto"/>
              <w:bottom w:val="double" w:sz="4" w:space="0" w:color="auto"/>
              <w:right w:val="double" w:sz="4" w:space="0" w:color="auto"/>
            </w:tcBorders>
            <w:shd w:val="clear" w:color="auto" w:fill="auto"/>
          </w:tcPr>
          <w:p w:rsidR="00390029" w:rsidRPr="00390029" w:rsidRDefault="00390029" w:rsidP="00390029">
            <w:pPr>
              <w:numPr>
                <w:ilvl w:val="0"/>
                <w:numId w:val="33"/>
              </w:numPr>
              <w:tabs>
                <w:tab w:val="clear" w:pos="1080"/>
                <w:tab w:val="num" w:pos="324"/>
              </w:tabs>
              <w:spacing w:before="0"/>
              <w:ind w:left="324" w:hanging="324"/>
            </w:pPr>
            <w:r w:rsidRPr="00390029">
              <w:t>Participates in and contributes to related projects within the region as appropriate.</w:t>
            </w:r>
          </w:p>
          <w:p w:rsidR="00390029" w:rsidRPr="00390029" w:rsidRDefault="00390029" w:rsidP="00390029">
            <w:pPr>
              <w:numPr>
                <w:ilvl w:val="0"/>
                <w:numId w:val="33"/>
              </w:numPr>
              <w:tabs>
                <w:tab w:val="clear" w:pos="1080"/>
                <w:tab w:val="num" w:pos="324"/>
              </w:tabs>
              <w:spacing w:before="0"/>
              <w:ind w:left="324" w:hanging="324"/>
            </w:pPr>
            <w:r w:rsidRPr="00390029">
              <w:t>Actively contributes towards the development of team activities and goals.</w:t>
            </w:r>
          </w:p>
          <w:p w:rsidR="00390029" w:rsidRPr="00390029" w:rsidRDefault="00390029" w:rsidP="00390029">
            <w:pPr>
              <w:numPr>
                <w:ilvl w:val="0"/>
                <w:numId w:val="33"/>
              </w:numPr>
              <w:tabs>
                <w:tab w:val="clear" w:pos="1080"/>
                <w:tab w:val="num" w:pos="324"/>
              </w:tabs>
              <w:spacing w:before="0"/>
              <w:ind w:left="324" w:hanging="324"/>
            </w:pPr>
            <w:r w:rsidRPr="00390029">
              <w:t>Identifies and acts on personal learning and development opportunities.</w:t>
            </w:r>
          </w:p>
        </w:tc>
      </w:tr>
      <w:tr w:rsidR="00390029" w:rsidRPr="00390029" w:rsidTr="00390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80"/>
        </w:trPr>
        <w:tc>
          <w:tcPr>
            <w:tcW w:w="9540" w:type="dxa"/>
            <w:gridSpan w:val="3"/>
            <w:tcBorders>
              <w:top w:val="nil"/>
              <w:left w:val="nil"/>
              <w:bottom w:val="nil"/>
              <w:right w:val="nil"/>
            </w:tcBorders>
            <w:shd w:val="clear" w:color="auto" w:fill="auto"/>
          </w:tcPr>
          <w:p w:rsidR="00390029" w:rsidRDefault="00390029" w:rsidP="00390029">
            <w:pPr>
              <w:rPr>
                <w:rFonts w:cs="Arial"/>
                <w:b/>
                <w:sz w:val="24"/>
                <w:szCs w:val="24"/>
              </w:rPr>
            </w:pPr>
          </w:p>
          <w:p w:rsidR="00390029" w:rsidRPr="00390029" w:rsidRDefault="00390029" w:rsidP="00390029">
            <w:pPr>
              <w:rPr>
                <w:rFonts w:cs="Arial"/>
                <w:b/>
                <w:sz w:val="24"/>
                <w:szCs w:val="24"/>
              </w:rPr>
            </w:pPr>
            <w:r w:rsidRPr="00390029">
              <w:rPr>
                <w:rFonts w:cs="Arial"/>
                <w:b/>
                <w:sz w:val="24"/>
                <w:szCs w:val="24"/>
              </w:rPr>
              <w:t>Technical/Professional Knowledge and Experience</w:t>
            </w:r>
          </w:p>
          <w:p w:rsidR="00390029" w:rsidRPr="00390029" w:rsidRDefault="00390029" w:rsidP="007575AA"/>
          <w:p w:rsidR="00390029" w:rsidRPr="00390029" w:rsidRDefault="00390029" w:rsidP="00390029">
            <w:pPr>
              <w:numPr>
                <w:ilvl w:val="0"/>
                <w:numId w:val="32"/>
              </w:numPr>
              <w:spacing w:before="0"/>
            </w:pPr>
            <w:r w:rsidRPr="00390029">
              <w:t>A relevant tertiary qualification is preferred.</w:t>
            </w:r>
          </w:p>
          <w:p w:rsidR="00390029" w:rsidRPr="00390029" w:rsidRDefault="00390029" w:rsidP="00390029">
            <w:pPr>
              <w:numPr>
                <w:ilvl w:val="0"/>
                <w:numId w:val="32"/>
              </w:numPr>
              <w:spacing w:before="0"/>
              <w:rPr>
                <w:smallCaps/>
              </w:rPr>
            </w:pPr>
            <w:r w:rsidRPr="00390029">
              <w:t>Experience in the public service and working with public service processes (e</w:t>
            </w:r>
            <w:r>
              <w:t>.</w:t>
            </w:r>
            <w:r w:rsidRPr="00390029">
              <w:t>g</w:t>
            </w:r>
            <w:r>
              <w:t>.</w:t>
            </w:r>
            <w:r w:rsidRPr="00390029">
              <w:t xml:space="preserve"> committee structures and decision making processes).</w:t>
            </w:r>
          </w:p>
          <w:p w:rsidR="00390029" w:rsidRPr="00390029" w:rsidRDefault="00390029" w:rsidP="00390029">
            <w:pPr>
              <w:numPr>
                <w:ilvl w:val="0"/>
                <w:numId w:val="32"/>
              </w:numPr>
              <w:spacing w:before="0"/>
              <w:rPr>
                <w:smallCaps/>
              </w:rPr>
            </w:pPr>
            <w:r w:rsidRPr="00390029">
              <w:t>Demonstrated analytical skills that support best practice risk management.</w:t>
            </w:r>
          </w:p>
          <w:p w:rsidR="00390029" w:rsidRPr="00390029" w:rsidRDefault="00390029" w:rsidP="00390029">
            <w:pPr>
              <w:numPr>
                <w:ilvl w:val="0"/>
                <w:numId w:val="32"/>
              </w:numPr>
              <w:spacing w:before="0"/>
              <w:rPr>
                <w:smallCaps/>
              </w:rPr>
            </w:pPr>
            <w:r w:rsidRPr="00390029">
              <w:t>Demonstrated ability to develop and write business plans</w:t>
            </w:r>
          </w:p>
          <w:p w:rsidR="00390029" w:rsidRPr="00390029" w:rsidRDefault="00390029" w:rsidP="00390029">
            <w:pPr>
              <w:numPr>
                <w:ilvl w:val="0"/>
                <w:numId w:val="32"/>
              </w:numPr>
              <w:spacing w:before="0"/>
              <w:rPr>
                <w:smallCaps/>
              </w:rPr>
            </w:pPr>
            <w:r w:rsidRPr="00390029">
              <w:t xml:space="preserve">Ability to manage cross sector and inter-agency work programmes and initiatives, influencing others to ensure delivery of objectives    </w:t>
            </w:r>
          </w:p>
          <w:p w:rsidR="00390029" w:rsidRPr="00390029" w:rsidRDefault="00390029" w:rsidP="00390029">
            <w:pPr>
              <w:numPr>
                <w:ilvl w:val="0"/>
                <w:numId w:val="32"/>
              </w:numPr>
              <w:spacing w:before="0"/>
              <w:rPr>
                <w:smallCaps/>
              </w:rPr>
            </w:pPr>
            <w:r w:rsidRPr="00390029">
              <w:t>A proven record in performing a range of tasks under competing demands, and delivering within expected timeframes and maintaining expected quality standards.</w:t>
            </w:r>
          </w:p>
          <w:p w:rsidR="00390029" w:rsidRPr="00390029" w:rsidRDefault="00390029" w:rsidP="00390029">
            <w:pPr>
              <w:numPr>
                <w:ilvl w:val="0"/>
                <w:numId w:val="32"/>
              </w:numPr>
              <w:spacing w:before="0"/>
              <w:rPr>
                <w:smallCaps/>
              </w:rPr>
            </w:pPr>
            <w:r w:rsidRPr="00390029">
              <w:t>Demonstrated ability to write clear and concise reports to a high standard at both a strategic and operational level.</w:t>
            </w:r>
          </w:p>
          <w:p w:rsidR="00390029" w:rsidRPr="00390029" w:rsidRDefault="00390029" w:rsidP="00390029">
            <w:pPr>
              <w:numPr>
                <w:ilvl w:val="0"/>
                <w:numId w:val="32"/>
              </w:numPr>
              <w:spacing w:before="0"/>
              <w:rPr>
                <w:smallCaps/>
              </w:rPr>
            </w:pPr>
            <w:r w:rsidRPr="00390029">
              <w:t>Excellent communication skills (both written and oral).</w:t>
            </w:r>
          </w:p>
          <w:p w:rsidR="00390029" w:rsidRPr="00390029" w:rsidRDefault="00390029" w:rsidP="00390029">
            <w:pPr>
              <w:numPr>
                <w:ilvl w:val="0"/>
                <w:numId w:val="32"/>
              </w:numPr>
              <w:spacing w:before="0"/>
              <w:rPr>
                <w:smallCaps/>
              </w:rPr>
            </w:pPr>
            <w:r w:rsidRPr="00390029">
              <w:t>Demonstrated ability to influence without position.</w:t>
            </w:r>
          </w:p>
          <w:p w:rsidR="00390029" w:rsidRPr="00390029" w:rsidRDefault="00390029" w:rsidP="00390029">
            <w:pPr>
              <w:numPr>
                <w:ilvl w:val="0"/>
                <w:numId w:val="32"/>
              </w:numPr>
              <w:spacing w:before="0"/>
              <w:rPr>
                <w:smallCaps/>
              </w:rPr>
            </w:pPr>
            <w:r w:rsidRPr="00390029">
              <w:t xml:space="preserve">A proven record in establishing, building and maintaining effective and cohesive working relationships at a senior level and with a variety of stakeholders, including </w:t>
            </w:r>
            <w:proofErr w:type="spellStart"/>
            <w:r w:rsidRPr="00390029">
              <w:t>Iwi</w:t>
            </w:r>
            <w:proofErr w:type="spellEnd"/>
            <w:r w:rsidRPr="00390029">
              <w:t xml:space="preserve"> and Pacifica.</w:t>
            </w:r>
          </w:p>
          <w:p w:rsidR="00390029" w:rsidRPr="00390029" w:rsidRDefault="00390029" w:rsidP="00390029">
            <w:pPr>
              <w:numPr>
                <w:ilvl w:val="0"/>
                <w:numId w:val="32"/>
              </w:numPr>
              <w:spacing w:before="0"/>
              <w:rPr>
                <w:smallCaps/>
              </w:rPr>
            </w:pPr>
            <w:r w:rsidRPr="00390029">
              <w:t xml:space="preserve">Experience in leading projects. </w:t>
            </w:r>
          </w:p>
          <w:p w:rsidR="00390029" w:rsidRPr="00390029" w:rsidRDefault="00390029" w:rsidP="00390029">
            <w:pPr>
              <w:ind w:left="720"/>
              <w:rPr>
                <w:smallCaps/>
              </w:rPr>
            </w:pPr>
          </w:p>
          <w:p w:rsidR="00390029" w:rsidRPr="00390029" w:rsidRDefault="00390029" w:rsidP="00390029">
            <w:pPr>
              <w:rPr>
                <w:rFonts w:cs="Arial"/>
                <w:b/>
                <w:sz w:val="24"/>
                <w:szCs w:val="24"/>
              </w:rPr>
            </w:pPr>
            <w:r w:rsidRPr="00390029">
              <w:rPr>
                <w:rFonts w:cs="Arial"/>
                <w:b/>
                <w:sz w:val="24"/>
                <w:szCs w:val="24"/>
              </w:rPr>
              <w:t>Attributes/Success Factors</w:t>
            </w:r>
          </w:p>
          <w:p w:rsidR="00390029" w:rsidRPr="00390029" w:rsidRDefault="00390029" w:rsidP="00390029">
            <w:pPr>
              <w:rPr>
                <w:rFonts w:cs="Arial"/>
                <w:b/>
                <w:sz w:val="24"/>
                <w:szCs w:val="24"/>
              </w:rPr>
            </w:pPr>
          </w:p>
          <w:p w:rsidR="00390029" w:rsidRPr="00390029" w:rsidRDefault="00390029" w:rsidP="00390029">
            <w:pPr>
              <w:numPr>
                <w:ilvl w:val="0"/>
                <w:numId w:val="15"/>
              </w:numPr>
              <w:spacing w:before="0"/>
              <w:rPr>
                <w:smallCaps/>
              </w:rPr>
            </w:pPr>
            <w:r w:rsidRPr="00390029">
              <w:t>Ability to work well under pressure.</w:t>
            </w:r>
          </w:p>
          <w:p w:rsidR="00390029" w:rsidRPr="00390029" w:rsidRDefault="00390029" w:rsidP="00390029">
            <w:pPr>
              <w:numPr>
                <w:ilvl w:val="0"/>
                <w:numId w:val="15"/>
              </w:numPr>
              <w:spacing w:before="0"/>
              <w:rPr>
                <w:rFonts w:cs="Arial"/>
              </w:rPr>
            </w:pPr>
            <w:r w:rsidRPr="00390029">
              <w:rPr>
                <w:rFonts w:cs="Arial"/>
              </w:rPr>
              <w:t>Ability to multi-task and effectively prioritise.</w:t>
            </w:r>
          </w:p>
          <w:p w:rsidR="00390029" w:rsidRPr="00390029" w:rsidRDefault="00390029" w:rsidP="00390029">
            <w:pPr>
              <w:numPr>
                <w:ilvl w:val="0"/>
                <w:numId w:val="15"/>
              </w:numPr>
              <w:spacing w:before="0"/>
              <w:rPr>
                <w:rFonts w:cs="Arial"/>
              </w:rPr>
            </w:pPr>
            <w:r w:rsidRPr="00390029">
              <w:rPr>
                <w:rFonts w:cs="Arial"/>
              </w:rPr>
              <w:t>Exercises sound judgement and political sensitivity.</w:t>
            </w:r>
          </w:p>
          <w:p w:rsidR="00390029" w:rsidRPr="00390029" w:rsidRDefault="00390029" w:rsidP="00390029">
            <w:pPr>
              <w:numPr>
                <w:ilvl w:val="0"/>
                <w:numId w:val="15"/>
              </w:numPr>
              <w:spacing w:before="0"/>
              <w:rPr>
                <w:rFonts w:cs="Arial"/>
              </w:rPr>
            </w:pPr>
            <w:r w:rsidRPr="00390029">
              <w:rPr>
                <w:rFonts w:cs="Arial"/>
              </w:rPr>
              <w:t>High levels of energy and a sense of urgency.</w:t>
            </w:r>
          </w:p>
          <w:p w:rsidR="00390029" w:rsidRPr="00390029" w:rsidRDefault="00390029" w:rsidP="00390029">
            <w:pPr>
              <w:numPr>
                <w:ilvl w:val="0"/>
                <w:numId w:val="15"/>
              </w:numPr>
              <w:spacing w:before="0"/>
              <w:rPr>
                <w:rFonts w:cs="Arial"/>
              </w:rPr>
            </w:pPr>
            <w:r w:rsidRPr="00390029">
              <w:rPr>
                <w:rFonts w:cs="Arial"/>
              </w:rPr>
              <w:t>Flexible, adaptable and pragmatic.</w:t>
            </w:r>
          </w:p>
          <w:p w:rsidR="00390029" w:rsidRPr="00390029" w:rsidRDefault="00390029" w:rsidP="00390029">
            <w:pPr>
              <w:numPr>
                <w:ilvl w:val="0"/>
                <w:numId w:val="15"/>
              </w:numPr>
              <w:spacing w:before="0"/>
              <w:rPr>
                <w:rFonts w:cs="Arial"/>
              </w:rPr>
            </w:pPr>
            <w:r w:rsidRPr="00390029">
              <w:rPr>
                <w:rFonts w:cs="Arial"/>
              </w:rPr>
              <w:t>Strong partnership builder.</w:t>
            </w:r>
          </w:p>
          <w:p w:rsidR="00390029" w:rsidRPr="00390029" w:rsidRDefault="00390029" w:rsidP="00390029">
            <w:pPr>
              <w:numPr>
                <w:ilvl w:val="0"/>
                <w:numId w:val="15"/>
              </w:numPr>
              <w:spacing w:before="0"/>
              <w:rPr>
                <w:rFonts w:cs="Arial"/>
              </w:rPr>
            </w:pPr>
            <w:r w:rsidRPr="00390029">
              <w:rPr>
                <w:rFonts w:cs="Arial"/>
              </w:rPr>
              <w:t>Strong client focus.</w:t>
            </w:r>
          </w:p>
          <w:p w:rsidR="00390029" w:rsidRPr="00390029" w:rsidRDefault="00390029" w:rsidP="00390029">
            <w:pPr>
              <w:numPr>
                <w:ilvl w:val="0"/>
                <w:numId w:val="15"/>
              </w:numPr>
              <w:spacing w:before="0"/>
              <w:rPr>
                <w:rFonts w:cs="Arial"/>
              </w:rPr>
            </w:pPr>
            <w:r w:rsidRPr="00390029">
              <w:rPr>
                <w:rFonts w:cs="Arial"/>
              </w:rPr>
              <w:t>Excellent research, numerical, planning and organisational skills.</w:t>
            </w:r>
          </w:p>
          <w:p w:rsidR="00390029" w:rsidRPr="00390029" w:rsidRDefault="00390029" w:rsidP="00390029">
            <w:pPr>
              <w:numPr>
                <w:ilvl w:val="0"/>
                <w:numId w:val="15"/>
              </w:numPr>
              <w:spacing w:before="0"/>
              <w:rPr>
                <w:rFonts w:cs="Arial"/>
              </w:rPr>
            </w:pPr>
            <w:r w:rsidRPr="00390029">
              <w:rPr>
                <w:rFonts w:cs="Arial"/>
              </w:rPr>
              <w:t>Organisational and environmental awareness.</w:t>
            </w:r>
          </w:p>
          <w:p w:rsidR="00390029" w:rsidRPr="00390029" w:rsidRDefault="00390029" w:rsidP="00390029">
            <w:pPr>
              <w:numPr>
                <w:ilvl w:val="0"/>
                <w:numId w:val="15"/>
              </w:numPr>
              <w:spacing w:before="0"/>
              <w:rPr>
                <w:rFonts w:cs="Arial"/>
              </w:rPr>
            </w:pPr>
            <w:r w:rsidRPr="00390029">
              <w:rPr>
                <w:rFonts w:cs="Arial"/>
              </w:rPr>
              <w:t>Project management skills.</w:t>
            </w:r>
          </w:p>
          <w:p w:rsidR="00390029" w:rsidRPr="00390029" w:rsidRDefault="00390029" w:rsidP="00390029">
            <w:pPr>
              <w:numPr>
                <w:ilvl w:val="0"/>
                <w:numId w:val="15"/>
              </w:numPr>
              <w:spacing w:before="0"/>
              <w:rPr>
                <w:rFonts w:cs="Arial"/>
              </w:rPr>
            </w:pPr>
            <w:r w:rsidRPr="00390029">
              <w:rPr>
                <w:rFonts w:cs="Arial"/>
              </w:rPr>
              <w:t>Welcomes and values diversity, and contributes to an inclusive working environment where differences are acknowledged and respected.</w:t>
            </w:r>
          </w:p>
          <w:p w:rsidR="00390029" w:rsidRPr="00390029" w:rsidRDefault="00390029" w:rsidP="00390029">
            <w:pPr>
              <w:ind w:left="360"/>
              <w:rPr>
                <w:rFonts w:cs="Arial"/>
              </w:rPr>
            </w:pPr>
            <w:r w:rsidRPr="00390029">
              <w:rPr>
                <w:rFonts w:cs="Arial"/>
              </w:rPr>
              <w:t>.</w:t>
            </w:r>
          </w:p>
          <w:p w:rsidR="00390029" w:rsidRPr="00390029" w:rsidRDefault="00390029" w:rsidP="00390029">
            <w:pPr>
              <w:rPr>
                <w:rFonts w:cs="Arial"/>
                <w:b/>
                <w:sz w:val="24"/>
                <w:szCs w:val="24"/>
              </w:rPr>
            </w:pPr>
            <w:r w:rsidRPr="00390029">
              <w:rPr>
                <w:rFonts w:cs="Arial"/>
                <w:b/>
                <w:sz w:val="24"/>
                <w:szCs w:val="24"/>
              </w:rPr>
              <w:t>Other Requirements</w:t>
            </w:r>
          </w:p>
          <w:p w:rsidR="00390029" w:rsidRPr="00390029" w:rsidRDefault="00390029" w:rsidP="00390029">
            <w:pPr>
              <w:rPr>
                <w:rFonts w:cs="Arial"/>
                <w:b/>
                <w:sz w:val="24"/>
                <w:szCs w:val="24"/>
              </w:rPr>
            </w:pPr>
          </w:p>
          <w:p w:rsidR="00390029" w:rsidRPr="00390029" w:rsidRDefault="00390029" w:rsidP="00390029">
            <w:pPr>
              <w:numPr>
                <w:ilvl w:val="0"/>
                <w:numId w:val="22"/>
              </w:numPr>
              <w:spacing w:before="0"/>
              <w:rPr>
                <w:rFonts w:cs="Arial"/>
              </w:rPr>
            </w:pPr>
            <w:r w:rsidRPr="00390029">
              <w:rPr>
                <w:rFonts w:cs="Arial"/>
              </w:rPr>
              <w:t>Willing to travel to fulfil job requirements.</w:t>
            </w:r>
          </w:p>
          <w:p w:rsidR="00390029" w:rsidRPr="00390029" w:rsidRDefault="00390029" w:rsidP="007575AA">
            <w:pPr>
              <w:ind w:left="360"/>
              <w:jc w:val="both"/>
              <w:rPr>
                <w:rFonts w:cs="Arial"/>
              </w:rPr>
            </w:pPr>
          </w:p>
        </w:tc>
      </w:tr>
    </w:tbl>
    <w:p w:rsidR="00390029" w:rsidRPr="00390029" w:rsidRDefault="00390029" w:rsidP="00E63BC1"/>
    <w:sectPr w:rsidR="00390029" w:rsidRPr="00390029" w:rsidSect="005558EB">
      <w:headerReference w:type="even" r:id="rId10"/>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DA" w:rsidRDefault="008E3ADA" w:rsidP="008E3ADA">
      <w:pPr>
        <w:spacing w:before="0"/>
      </w:pPr>
      <w:r>
        <w:separator/>
      </w:r>
    </w:p>
  </w:endnote>
  <w:endnote w:type="continuationSeparator" w:id="0">
    <w:p w:rsidR="008E3ADA" w:rsidRDefault="008E3ADA" w:rsidP="008E3A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3320" w:type="dxa"/>
      <w:jc w:val="right"/>
      <w:tblInd w:w="-8614" w:type="dxa"/>
      <w:tblCellMar>
        <w:top w:w="28" w:type="dxa"/>
        <w:bottom w:w="28" w:type="dxa"/>
      </w:tblCellMar>
      <w:tblLook w:val="01E0" w:firstRow="1" w:lastRow="1" w:firstColumn="1" w:lastColumn="1" w:noHBand="0" w:noVBand="0"/>
    </w:tblPr>
    <w:tblGrid>
      <w:gridCol w:w="12573"/>
      <w:gridCol w:w="747"/>
    </w:tblGrid>
    <w:tr w:rsidR="008E3ADA" w:rsidTr="009C2561">
      <w:trPr>
        <w:trHeight w:val="322"/>
        <w:jc w:val="right"/>
      </w:trPr>
      <w:tc>
        <w:tcPr>
          <w:tcW w:w="12573" w:type="dxa"/>
          <w:shd w:val="clear" w:color="auto" w:fill="auto"/>
          <w:vAlign w:val="center"/>
        </w:tcPr>
        <w:p w:rsidR="008E3ADA" w:rsidRPr="008539BF" w:rsidRDefault="00390029" w:rsidP="009C2561">
          <w:pPr>
            <w:pStyle w:val="Footer"/>
            <w:tabs>
              <w:tab w:val="right" w:pos="9072"/>
            </w:tabs>
            <w:jc w:val="right"/>
          </w:pPr>
          <w:r>
            <w:t>Regional Commissioner Advisor</w:t>
          </w:r>
        </w:p>
      </w:tc>
      <w:tc>
        <w:tcPr>
          <w:tcW w:w="747" w:type="dxa"/>
          <w:shd w:val="clear" w:color="auto" w:fill="000000"/>
          <w:vAlign w:val="center"/>
        </w:tcPr>
        <w:p w:rsidR="008E3ADA" w:rsidRDefault="008E3ADA" w:rsidP="009C2561">
          <w:pPr>
            <w:pStyle w:val="Footer"/>
            <w:tabs>
              <w:tab w:val="right" w:pos="9072"/>
            </w:tabs>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390029">
            <w:rPr>
              <w:rStyle w:val="PageNumber"/>
              <w:rFonts w:eastAsiaTheme="majorEastAsia"/>
              <w:noProof/>
            </w:rPr>
            <w:t>2</w:t>
          </w:r>
          <w:r>
            <w:rPr>
              <w:rStyle w:val="PageNumber"/>
              <w:rFonts w:eastAsiaTheme="majorEastAsia"/>
            </w:rPr>
            <w:fldChar w:fldCharType="end"/>
          </w:r>
        </w:p>
      </w:tc>
    </w:tr>
  </w:tbl>
  <w:p w:rsidR="008E3ADA" w:rsidRDefault="008E3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DA" w:rsidRDefault="008E3ADA" w:rsidP="008E3ADA">
      <w:pPr>
        <w:spacing w:before="0"/>
      </w:pPr>
      <w:r>
        <w:separator/>
      </w:r>
    </w:p>
  </w:footnote>
  <w:footnote w:type="continuationSeparator" w:id="0">
    <w:p w:rsidR="008E3ADA" w:rsidRDefault="008E3ADA" w:rsidP="008E3A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9002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6" o:spid="_x0000_s2056" type="#_x0000_t75" style="position:absolute;margin-left:0;margin-top:0;width:451pt;height:591.3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9002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7" o:spid="_x0000_s2057" type="#_x0000_t75" style="position:absolute;margin-left:0;margin-top:0;width:451pt;height:591.3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7D" w:rsidRDefault="00390029">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611535" o:spid="_x0000_s2055" type="#_x0000_t75" style="position:absolute;margin-left:0;margin-top:0;width:451pt;height:591.3pt;z-index:-251658240;mso-position-horizontal:center;mso-position-horizontal-relative:margin;mso-position-vertical:center;mso-position-vertical-relative:margin" o:allowincell="f">
          <v:imagedata r:id="rId1" o:title="PD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A62AAE"/>
    <w:multiLevelType w:val="hybridMultilevel"/>
    <w:tmpl w:val="43848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D4C54"/>
    <w:multiLevelType w:val="hybridMultilevel"/>
    <w:tmpl w:val="3566FF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247996"/>
    <w:multiLevelType w:val="hybridMultilevel"/>
    <w:tmpl w:val="81A8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695DD2"/>
    <w:multiLevelType w:val="hybridMultilevel"/>
    <w:tmpl w:val="2F288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1A9C17CB"/>
    <w:multiLevelType w:val="hybridMultilevel"/>
    <w:tmpl w:val="F502F95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FB646C0"/>
    <w:multiLevelType w:val="hybridMultilevel"/>
    <w:tmpl w:val="D6DA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135BE"/>
    <w:multiLevelType w:val="hybridMultilevel"/>
    <w:tmpl w:val="015A446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23C1894"/>
    <w:multiLevelType w:val="hybridMultilevel"/>
    <w:tmpl w:val="4B9E7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6C9209B"/>
    <w:multiLevelType w:val="hybridMultilevel"/>
    <w:tmpl w:val="0A8E5318"/>
    <w:lvl w:ilvl="0" w:tplc="8CA87E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1515FA"/>
    <w:multiLevelType w:val="hybridMultilevel"/>
    <w:tmpl w:val="8A067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9F5180"/>
    <w:multiLevelType w:val="hybridMultilevel"/>
    <w:tmpl w:val="BB228680"/>
    <w:lvl w:ilvl="0" w:tplc="E63C122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3BE86D7D"/>
    <w:multiLevelType w:val="hybridMultilevel"/>
    <w:tmpl w:val="64EC188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2A7A20"/>
    <w:multiLevelType w:val="hybridMultilevel"/>
    <w:tmpl w:val="D5B2A3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EE684C"/>
    <w:multiLevelType w:val="hybridMultilevel"/>
    <w:tmpl w:val="752474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1">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84762D"/>
    <w:multiLevelType w:val="hybridMultilevel"/>
    <w:tmpl w:val="C700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DD1B27"/>
    <w:multiLevelType w:val="hybridMultilevel"/>
    <w:tmpl w:val="C166F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CC7DA9"/>
    <w:multiLevelType w:val="hybridMultilevel"/>
    <w:tmpl w:val="41860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3E80D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6B9267E"/>
    <w:multiLevelType w:val="hybridMultilevel"/>
    <w:tmpl w:val="C5109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D84AA1"/>
    <w:multiLevelType w:val="hybridMultilevel"/>
    <w:tmpl w:val="6EEE2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0"/>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6"/>
  </w:num>
  <w:num w:numId="17">
    <w:abstractNumId w:val="7"/>
  </w:num>
  <w:num w:numId="18">
    <w:abstractNumId w:val="22"/>
  </w:num>
  <w:num w:numId="19">
    <w:abstractNumId w:val="26"/>
  </w:num>
  <w:num w:numId="20">
    <w:abstractNumId w:val="3"/>
  </w:num>
  <w:num w:numId="21">
    <w:abstractNumId w:val="27"/>
  </w:num>
  <w:num w:numId="22">
    <w:abstractNumId w:val="10"/>
  </w:num>
  <w:num w:numId="23">
    <w:abstractNumId w:val="2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23"/>
  </w:num>
  <w:num w:numId="29">
    <w:abstractNumId w:val="25"/>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1"/>
    <w:rsid w:val="00000B4C"/>
    <w:rsid w:val="000106D0"/>
    <w:rsid w:val="000311DB"/>
    <w:rsid w:val="00037CB0"/>
    <w:rsid w:val="000515D2"/>
    <w:rsid w:val="00092A7E"/>
    <w:rsid w:val="000A4D81"/>
    <w:rsid w:val="000E3BB9"/>
    <w:rsid w:val="001021C4"/>
    <w:rsid w:val="00106AED"/>
    <w:rsid w:val="001D14F9"/>
    <w:rsid w:val="001D3744"/>
    <w:rsid w:val="00213DA6"/>
    <w:rsid w:val="00216302"/>
    <w:rsid w:val="00245A2B"/>
    <w:rsid w:val="00272319"/>
    <w:rsid w:val="00291B12"/>
    <w:rsid w:val="002D1C62"/>
    <w:rsid w:val="002E3B5B"/>
    <w:rsid w:val="00354EC2"/>
    <w:rsid w:val="00390029"/>
    <w:rsid w:val="003B7936"/>
    <w:rsid w:val="003C1E47"/>
    <w:rsid w:val="003E0CD5"/>
    <w:rsid w:val="003F2FF1"/>
    <w:rsid w:val="004227ED"/>
    <w:rsid w:val="0043612F"/>
    <w:rsid w:val="00445BCE"/>
    <w:rsid w:val="00454F25"/>
    <w:rsid w:val="00513A99"/>
    <w:rsid w:val="0052285C"/>
    <w:rsid w:val="00533E65"/>
    <w:rsid w:val="00551F98"/>
    <w:rsid w:val="005558EB"/>
    <w:rsid w:val="00572AA9"/>
    <w:rsid w:val="00595906"/>
    <w:rsid w:val="005B11F9"/>
    <w:rsid w:val="00631D73"/>
    <w:rsid w:val="00655A2B"/>
    <w:rsid w:val="00656967"/>
    <w:rsid w:val="006625B9"/>
    <w:rsid w:val="0071395A"/>
    <w:rsid w:val="0075438F"/>
    <w:rsid w:val="007A5E4B"/>
    <w:rsid w:val="007B201A"/>
    <w:rsid w:val="007B2879"/>
    <w:rsid w:val="007E6A0A"/>
    <w:rsid w:val="0080498F"/>
    <w:rsid w:val="008103BF"/>
    <w:rsid w:val="00860654"/>
    <w:rsid w:val="008C1033"/>
    <w:rsid w:val="008E3ADA"/>
    <w:rsid w:val="0090014C"/>
    <w:rsid w:val="00903467"/>
    <w:rsid w:val="00906EAA"/>
    <w:rsid w:val="009576B8"/>
    <w:rsid w:val="00970DD2"/>
    <w:rsid w:val="009D15F1"/>
    <w:rsid w:val="009D2B10"/>
    <w:rsid w:val="009E3E01"/>
    <w:rsid w:val="00A6244E"/>
    <w:rsid w:val="00A977AD"/>
    <w:rsid w:val="00AC3B2A"/>
    <w:rsid w:val="00B14D2B"/>
    <w:rsid w:val="00B35E4D"/>
    <w:rsid w:val="00B41635"/>
    <w:rsid w:val="00B5357A"/>
    <w:rsid w:val="00BA290D"/>
    <w:rsid w:val="00BE283B"/>
    <w:rsid w:val="00C33B67"/>
    <w:rsid w:val="00C34E7D"/>
    <w:rsid w:val="00C5215F"/>
    <w:rsid w:val="00CB4A28"/>
    <w:rsid w:val="00D04353"/>
    <w:rsid w:val="00D34EA0"/>
    <w:rsid w:val="00D36E81"/>
    <w:rsid w:val="00D82617"/>
    <w:rsid w:val="00DD7526"/>
    <w:rsid w:val="00E63BC1"/>
    <w:rsid w:val="00E64AEA"/>
    <w:rsid w:val="00E671C3"/>
    <w:rsid w:val="00E90142"/>
    <w:rsid w:val="00E9269E"/>
    <w:rsid w:val="00F00B04"/>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Body Text 3"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paragraph" w:styleId="Heading7">
    <w:name w:val="heading 7"/>
    <w:basedOn w:val="Normal"/>
    <w:next w:val="Normal"/>
    <w:link w:val="Heading7Char"/>
    <w:qFormat/>
    <w:rsid w:val="008E3ADA"/>
    <w:pPr>
      <w:spacing w:before="240" w:after="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alloonText">
    <w:name w:val="Balloon Text"/>
    <w:basedOn w:val="Normal"/>
    <w:link w:val="BalloonTextChar"/>
    <w:uiPriority w:val="99"/>
    <w:semiHidden/>
    <w:rsid w:val="001021C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4"/>
    <w:rPr>
      <w:rFonts w:ascii="Tahoma" w:hAnsi="Tahoma" w:cs="Tahoma"/>
      <w:sz w:val="16"/>
      <w:szCs w:val="16"/>
    </w:rPr>
  </w:style>
  <w:style w:type="paragraph" w:styleId="Header">
    <w:name w:val="header"/>
    <w:basedOn w:val="Normal"/>
    <w:link w:val="HeaderChar"/>
    <w:rsid w:val="008E3ADA"/>
    <w:pPr>
      <w:tabs>
        <w:tab w:val="center" w:pos="4513"/>
        <w:tab w:val="right" w:pos="9026"/>
      </w:tabs>
      <w:spacing w:before="0"/>
    </w:pPr>
  </w:style>
  <w:style w:type="character" w:customStyle="1" w:styleId="HeaderChar">
    <w:name w:val="Header Char"/>
    <w:basedOn w:val="DefaultParagraphFont"/>
    <w:link w:val="Header"/>
    <w:uiPriority w:val="99"/>
    <w:rsid w:val="008E3ADA"/>
    <w:rPr>
      <w:rFonts w:ascii="Arial Mäori" w:hAnsi="Arial Mäori"/>
    </w:rPr>
  </w:style>
  <w:style w:type="paragraph" w:styleId="Footer">
    <w:name w:val="footer"/>
    <w:basedOn w:val="Normal"/>
    <w:link w:val="FooterChar"/>
    <w:rsid w:val="008E3ADA"/>
    <w:pPr>
      <w:tabs>
        <w:tab w:val="center" w:pos="4513"/>
        <w:tab w:val="right" w:pos="9026"/>
      </w:tabs>
      <w:spacing w:before="0"/>
    </w:pPr>
  </w:style>
  <w:style w:type="character" w:customStyle="1" w:styleId="FooterChar">
    <w:name w:val="Footer Char"/>
    <w:basedOn w:val="DefaultParagraphFont"/>
    <w:link w:val="Footer"/>
    <w:uiPriority w:val="99"/>
    <w:rsid w:val="008E3ADA"/>
    <w:rPr>
      <w:rFonts w:ascii="Arial Mäori" w:hAnsi="Arial Mäori"/>
    </w:rPr>
  </w:style>
  <w:style w:type="character" w:styleId="PageNumber">
    <w:name w:val="page number"/>
    <w:basedOn w:val="DefaultParagraphFont"/>
    <w:rsid w:val="008E3ADA"/>
  </w:style>
  <w:style w:type="table" w:customStyle="1" w:styleId="TableGrid2">
    <w:name w:val="Table Grid2"/>
    <w:basedOn w:val="TableNormal"/>
    <w:next w:val="TableGrid"/>
    <w:rsid w:val="008E3ADA"/>
    <w:pPr>
      <w:spacing w:after="0" w:line="240" w:lineRule="auto"/>
    </w:pPr>
    <w:rPr>
      <w:rFonts w:ascii="Arial" w:eastAsia="Times New Roman" w:hAnsi="Arial" w:cs="Times New Roman"/>
      <w:sz w:val="19"/>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E3ADA"/>
    <w:rPr>
      <w:rFonts w:ascii="Times New Roman" w:eastAsia="Times New Roman" w:hAnsi="Times New Roman" w:cs="Times New Roman"/>
      <w:sz w:val="24"/>
      <w:szCs w:val="24"/>
      <w:lang w:val="en-GB"/>
    </w:rPr>
  </w:style>
  <w:style w:type="paragraph" w:styleId="BodyText3">
    <w:name w:val="Body Text 3"/>
    <w:basedOn w:val="Normal"/>
    <w:link w:val="BodyText3Char"/>
    <w:rsid w:val="008E3ADA"/>
    <w:pPr>
      <w:spacing w:before="0"/>
    </w:pPr>
    <w:rPr>
      <w:rFonts w:ascii="Lucida Sans" w:eastAsia="Times New Roman" w:hAnsi="Lucida Sans" w:cs="Times New Roman"/>
      <w:b/>
      <w:sz w:val="24"/>
      <w:szCs w:val="20"/>
      <w:lang w:val="en-GB"/>
    </w:rPr>
  </w:style>
  <w:style w:type="character" w:customStyle="1" w:styleId="BodyText3Char">
    <w:name w:val="Body Text 3 Char"/>
    <w:basedOn w:val="DefaultParagraphFont"/>
    <w:link w:val="BodyText3"/>
    <w:rsid w:val="008E3ADA"/>
    <w:rPr>
      <w:rFonts w:ascii="Lucida Sans" w:eastAsia="Times New Roman" w:hAnsi="Lucida Sans"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F50B-9EE9-467D-B824-2F09315C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Gee</dc:creator>
  <cp:lastModifiedBy>Eva Wells</cp:lastModifiedBy>
  <cp:revision>2</cp:revision>
  <dcterms:created xsi:type="dcterms:W3CDTF">2015-04-22T04:19:00Z</dcterms:created>
  <dcterms:modified xsi:type="dcterms:W3CDTF">2015-04-22T04:19:00Z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A8067329</vt:lpwstr>
  </property>
  <property fmtid="{D5CDD505-2E9C-101B-9397-08002B2CF9AE}" pid="4" name="Objective-Title">
    <vt:lpwstr>Regional-Commissioner-Advisor-Apr15</vt:lpwstr>
  </property>
  <property fmtid="{D5CDD505-2E9C-101B-9397-08002B2CF9AE}" pid="5" name="Objective-Comment">
    <vt:lpwstr/>
  </property>
  <property fmtid="{D5CDD505-2E9C-101B-9397-08002B2CF9AE}" pid="6" name="Objective-CreationStamp">
    <vt:filetime>2015-04-23T01:38:14Z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2015-06-04T01:50:50Z</vt:filetime>
  </property>
  <property fmtid="{D5CDD505-2E9C-101B-9397-08002B2CF9AE}" pid="10" name="Objective-ModificationStamp">
    <vt:filetime>2015-06-09T00:45:14Z</vt:filetime>
  </property>
  <property fmtid="{D5CDD505-2E9C-101B-9397-08002B2CF9AE}" pid="11" name="Objective-Owner">
    <vt:lpwstr>Eva Knauf</vt:lpwstr>
  </property>
  <property fmtid="{D5CDD505-2E9C-101B-9397-08002B2CF9AE}" pid="12" name="Objective-Path">
    <vt:lpwstr>Global Folder:MSD INFORMATION REPOSITORY:Corporate Management &amp; Administration:Human Resources:Position Management:Job Descriptions:Position Establishment:2_CURRENT POSITION DESCRIPTIONS:Service Delivery:Regional Service Delivery:</vt:lpwstr>
  </property>
  <property fmtid="{D5CDD505-2E9C-101B-9397-08002B2CF9AE}" pid="13" name="Objective-Parent">
    <vt:lpwstr>Regional Service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