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751" w:rsidRDefault="00AE0884">
      <w:pPr>
        <w:tabs>
          <w:tab w:val="left" w:pos="2694"/>
        </w:tabs>
      </w:pPr>
      <w:bookmarkStart w:id="0" w:name="_GoBack"/>
      <w:bookmarkEnd w:id="0"/>
      <w:r>
        <w:t>Title:</w:t>
      </w:r>
      <w:r>
        <w:tab/>
        <w:t>General Manager Policy</w:t>
      </w:r>
    </w:p>
    <w:p w:rsidR="00B22751" w:rsidRDefault="00AE0884">
      <w:pPr>
        <w:tabs>
          <w:tab w:val="left" w:pos="2694"/>
        </w:tabs>
      </w:pPr>
      <w:r>
        <w:t>Group:</w:t>
      </w:r>
      <w:r>
        <w:tab/>
        <w:t>Policy, Investment and Evidence</w:t>
      </w:r>
    </w:p>
    <w:p w:rsidR="00B22751" w:rsidRDefault="00AE0884">
      <w:pPr>
        <w:tabs>
          <w:tab w:val="left" w:pos="2694"/>
        </w:tabs>
      </w:pPr>
      <w:r>
        <w:t>Reports to:</w:t>
      </w:r>
      <w:r>
        <w:tab/>
        <w:t>Deputy Chief Executive, Policy, Investment and Evidence</w:t>
      </w:r>
    </w:p>
    <w:p w:rsidR="00835674" w:rsidRDefault="00AE0884">
      <w:pPr>
        <w:tabs>
          <w:tab w:val="left" w:pos="2694"/>
        </w:tabs>
      </w:pPr>
      <w:r>
        <w:t>Location:</w:t>
      </w:r>
      <w:r>
        <w:tab/>
        <w:t>National Office, Wellington</w:t>
      </w:r>
    </w:p>
    <w:p w:rsidR="00B22751" w:rsidRPr="00835674" w:rsidRDefault="00AE0884">
      <w:pPr>
        <w:tabs>
          <w:tab w:val="left" w:pos="2694"/>
        </w:tabs>
      </w:pPr>
      <w:r w:rsidRPr="00835674">
        <w:t>Direct Reports:</w:t>
      </w:r>
      <w:r w:rsidRPr="00835674">
        <w:tab/>
        <w:t xml:space="preserve">Business Unit comprises around </w:t>
      </w:r>
      <w:r w:rsidR="00835674">
        <w:t>30 FTE</w:t>
      </w:r>
      <w:r w:rsidRPr="00835674">
        <w:t xml:space="preserve"> (direct and indirect reports)</w:t>
      </w:r>
    </w:p>
    <w:p w:rsidR="00B22751" w:rsidRDefault="00AE0884">
      <w:pPr>
        <w:tabs>
          <w:tab w:val="left" w:pos="2694"/>
        </w:tabs>
      </w:pPr>
      <w:r w:rsidRPr="00835674">
        <w:t>Budget:</w:t>
      </w:r>
      <w:r w:rsidRPr="00835674">
        <w:tab/>
        <w:t>yes</w:t>
      </w:r>
      <w:r w:rsidR="00852928" w:rsidRPr="00852928">
        <w:t xml:space="preserve">, </w:t>
      </w:r>
      <w:proofErr w:type="spellStart"/>
      <w:r w:rsidR="00852928" w:rsidRPr="00852928">
        <w:t>tbc</w:t>
      </w:r>
      <w:proofErr w:type="spellEnd"/>
    </w:p>
    <w:p w:rsidR="00B22751" w:rsidRDefault="00AE0884">
      <w:pPr>
        <w:tabs>
          <w:tab w:val="left" w:pos="2694"/>
        </w:tabs>
        <w:spacing w:before="240" w:after="0"/>
        <w:rPr>
          <w:rFonts w:ascii="Oswald" w:hAnsi="Oswald"/>
          <w:sz w:val="28"/>
        </w:rPr>
      </w:pPr>
      <w:r>
        <w:rPr>
          <w:rFonts w:ascii="Oswald" w:hAnsi="Oswald"/>
          <w:sz w:val="28"/>
        </w:rPr>
        <w:t>OUR ORGANISATION</w:t>
      </w:r>
    </w:p>
    <w:tbl>
      <w:tblPr>
        <w:tblStyle w:val="LightShading-Accent1"/>
        <w:tblW w:w="9180" w:type="dxa"/>
        <w:tblLayout w:type="fixed"/>
        <w:tblCellMar>
          <w:top w:w="85" w:type="dxa"/>
          <w:bottom w:w="85" w:type="dxa"/>
        </w:tblCellMar>
        <w:tblLook w:val="04A0" w:firstRow="1" w:lastRow="0" w:firstColumn="1" w:lastColumn="0" w:noHBand="0" w:noVBand="1"/>
      </w:tblPr>
      <w:tblGrid>
        <w:gridCol w:w="2364"/>
        <w:gridCol w:w="6816"/>
      </w:tblGrid>
      <w:tr w:rsidR="00B22751" w:rsidTr="00B22751">
        <w:trPr>
          <w:cnfStyle w:val="100000000000" w:firstRow="1" w:lastRow="0" w:firstColumn="0" w:lastColumn="0" w:oddVBand="0" w:evenVBand="0" w:oddHBand="0" w:evenHBand="0" w:firstRowFirstColumn="0" w:firstRowLastColumn="0" w:lastRowFirstColumn="0" w:lastRowLastColumn="0"/>
          <w:trHeight w:val="1576"/>
        </w:trPr>
        <w:tc>
          <w:tcPr>
            <w:cnfStyle w:val="001000000000" w:firstRow="0" w:lastRow="0" w:firstColumn="1" w:lastColumn="0" w:oddVBand="0" w:evenVBand="0" w:oddHBand="0" w:evenHBand="0" w:firstRowFirstColumn="0" w:firstRowLastColumn="0" w:lastRowFirstColumn="0" w:lastRowLastColumn="0"/>
            <w:tcW w:w="2364" w:type="dxa"/>
            <w:tcBorders>
              <w:top w:val="threeDEngrave" w:sz="24" w:space="0" w:color="auto"/>
              <w:bottom w:val="single" w:sz="4" w:space="0" w:color="auto"/>
            </w:tcBorders>
          </w:tcPr>
          <w:p w:rsidR="00B22751" w:rsidRDefault="00AE0884">
            <w:pPr>
              <w:spacing w:after="0" w:line="240" w:lineRule="auto"/>
              <w:jc w:val="left"/>
              <w:rPr>
                <w:rFonts w:eastAsiaTheme="majorEastAsia"/>
                <w:b w:val="0"/>
                <w:bCs/>
              </w:rPr>
            </w:pPr>
            <w:r>
              <w:rPr>
                <w:rFonts w:eastAsiaTheme="majorEastAsia"/>
              </w:rPr>
              <w:t xml:space="preserve">About us </w:t>
            </w:r>
          </w:p>
        </w:tc>
        <w:tc>
          <w:tcPr>
            <w:tcW w:w="6816" w:type="dxa"/>
            <w:tcBorders>
              <w:top w:val="threeDEngrave" w:sz="24" w:space="0" w:color="auto"/>
              <w:bottom w:val="single" w:sz="4" w:space="0" w:color="auto"/>
            </w:tcBorders>
          </w:tcPr>
          <w:p w:rsidR="00B22751" w:rsidRDefault="00AE0884">
            <w:pPr>
              <w:spacing w:before="120" w:line="240" w:lineRule="auto"/>
              <w:cnfStyle w:val="100000000000" w:firstRow="1" w:lastRow="0" w:firstColumn="0" w:lastColumn="0" w:oddVBand="0" w:evenVBand="0" w:oddHBand="0" w:evenHBand="0" w:firstRowFirstColumn="0" w:firstRowLastColumn="0" w:lastRowFirstColumn="0" w:lastRowLastColumn="0"/>
              <w:rPr>
                <w:rFonts w:eastAsiaTheme="majorEastAsia"/>
                <w:bCs/>
              </w:rPr>
            </w:pPr>
            <w:r>
              <w:rPr>
                <w:rFonts w:eastAsiaTheme="majorEastAsia"/>
                <w:b w:val="0"/>
              </w:rPr>
              <w:t>The Ministry for Vulnerable Children, Oranga Tamariki is a new Ministry dedicated to supporting any child in New Zealand whose wellbeing is at significant risk of harm now, or in the future.  We also work with young people who may have offended, or are likely to offend.  Our belief is that in the right environment, with the right people surrounding and nurturing them, any child can, and should flourish.</w:t>
            </w:r>
          </w:p>
        </w:tc>
      </w:tr>
      <w:tr w:rsidR="00B22751" w:rsidTr="00B22751">
        <w:trPr>
          <w:trHeight w:val="397"/>
        </w:trPr>
        <w:tc>
          <w:tcPr>
            <w:cnfStyle w:val="001000000000" w:firstRow="0" w:lastRow="0" w:firstColumn="1" w:lastColumn="0" w:oddVBand="0" w:evenVBand="0" w:oddHBand="0" w:evenHBand="0" w:firstRowFirstColumn="0" w:firstRowLastColumn="0" w:lastRowFirstColumn="0" w:lastRowLastColumn="0"/>
            <w:tcW w:w="2364" w:type="dxa"/>
            <w:tcBorders>
              <w:left w:val="nil"/>
              <w:bottom w:val="single" w:sz="4" w:space="0" w:color="auto"/>
              <w:right w:val="nil"/>
            </w:tcBorders>
            <w:shd w:val="clear" w:color="auto" w:fill="auto"/>
          </w:tcPr>
          <w:p w:rsidR="00B22751" w:rsidRDefault="00AE0884">
            <w:pPr>
              <w:spacing w:after="0" w:line="240" w:lineRule="auto"/>
              <w:jc w:val="left"/>
              <w:rPr>
                <w:rFonts w:eastAsiaTheme="majorEastAsia"/>
                <w:b w:val="0"/>
                <w:bCs/>
              </w:rPr>
            </w:pPr>
            <w:r>
              <w:rPr>
                <w:rFonts w:eastAsiaTheme="majorEastAsia"/>
              </w:rPr>
              <w:t xml:space="preserve">Our vision </w:t>
            </w:r>
          </w:p>
        </w:tc>
        <w:tc>
          <w:tcPr>
            <w:tcW w:w="6816" w:type="dxa"/>
            <w:tcBorders>
              <w:bottom w:val="single" w:sz="4" w:space="0" w:color="auto"/>
              <w:right w:val="nil"/>
            </w:tcBorders>
            <w:shd w:val="clear" w:color="auto" w:fill="auto"/>
          </w:tcPr>
          <w:p w:rsidR="00B22751" w:rsidRDefault="00AE0884">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bCs w:val="0"/>
              </w:rPr>
            </w:pPr>
            <w:r>
              <w:rPr>
                <w:rFonts w:eastAsiaTheme="majorEastAsia"/>
              </w:rPr>
              <w:t xml:space="preserve">Our vision is: New Zealand values the wellbeing of tamariki above all else. </w:t>
            </w:r>
          </w:p>
        </w:tc>
      </w:tr>
      <w:tr w:rsidR="00B22751" w:rsidTr="00B22751">
        <w:trPr>
          <w:trHeight w:val="537"/>
        </w:trPr>
        <w:tc>
          <w:tcPr>
            <w:cnfStyle w:val="001000000000" w:firstRow="0" w:lastRow="0" w:firstColumn="1" w:lastColumn="0" w:oddVBand="0" w:evenVBand="0" w:oddHBand="0" w:evenHBand="0" w:firstRowFirstColumn="0" w:firstRowLastColumn="0" w:lastRowFirstColumn="0" w:lastRowLastColumn="0"/>
            <w:tcW w:w="2364" w:type="dxa"/>
            <w:tcBorders>
              <w:bottom w:val="single" w:sz="4" w:space="0" w:color="auto"/>
            </w:tcBorders>
            <w:shd w:val="clear" w:color="auto" w:fill="auto"/>
          </w:tcPr>
          <w:p w:rsidR="00B22751" w:rsidRDefault="00AE0884">
            <w:pPr>
              <w:spacing w:after="0" w:line="240" w:lineRule="auto"/>
              <w:jc w:val="left"/>
              <w:rPr>
                <w:rFonts w:eastAsiaTheme="majorEastAsia"/>
                <w:b w:val="0"/>
                <w:bCs/>
              </w:rPr>
            </w:pPr>
            <w:r>
              <w:rPr>
                <w:rFonts w:eastAsiaTheme="majorEastAsia"/>
              </w:rPr>
              <w:t>Our purpose</w:t>
            </w:r>
          </w:p>
        </w:tc>
        <w:tc>
          <w:tcPr>
            <w:tcW w:w="6816" w:type="dxa"/>
            <w:tcBorders>
              <w:bottom w:val="single" w:sz="4" w:space="0" w:color="auto"/>
            </w:tcBorders>
            <w:shd w:val="clear" w:color="auto" w:fill="auto"/>
          </w:tcPr>
          <w:p w:rsidR="00B22751" w:rsidRDefault="00AE0884">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 xml:space="preserve">Our purpose is: To ensure that all tamariki are in loving </w:t>
            </w:r>
            <w:proofErr w:type="spellStart"/>
            <w:r>
              <w:rPr>
                <w:rFonts w:eastAsiaTheme="majorEastAsia"/>
              </w:rPr>
              <w:t>whānau</w:t>
            </w:r>
            <w:proofErr w:type="spellEnd"/>
            <w:r>
              <w:rPr>
                <w:rFonts w:eastAsiaTheme="majorEastAsia"/>
              </w:rPr>
              <w:t xml:space="preserve"> and communities where Oranga tamariki can be realised.</w:t>
            </w:r>
          </w:p>
        </w:tc>
      </w:tr>
      <w:tr w:rsidR="00B22751" w:rsidTr="00B22751">
        <w:trPr>
          <w:trHeight w:val="1541"/>
        </w:trPr>
        <w:tc>
          <w:tcPr>
            <w:cnfStyle w:val="001000000000" w:firstRow="0" w:lastRow="0" w:firstColumn="1" w:lastColumn="0" w:oddVBand="0" w:evenVBand="0" w:oddHBand="0" w:evenHBand="0" w:firstRowFirstColumn="0" w:firstRowLastColumn="0" w:lastRowFirstColumn="0" w:lastRowLastColumn="0"/>
            <w:tcW w:w="2364" w:type="dxa"/>
            <w:tcBorders>
              <w:top w:val="single" w:sz="4" w:space="0" w:color="auto"/>
              <w:left w:val="nil"/>
              <w:bottom w:val="single" w:sz="4" w:space="0" w:color="auto"/>
              <w:right w:val="nil"/>
            </w:tcBorders>
            <w:shd w:val="clear" w:color="auto" w:fill="auto"/>
          </w:tcPr>
          <w:p w:rsidR="00B22751" w:rsidRDefault="00AE0884">
            <w:pPr>
              <w:spacing w:after="0" w:line="240" w:lineRule="auto"/>
              <w:jc w:val="left"/>
              <w:rPr>
                <w:rFonts w:eastAsiaTheme="majorEastAsia"/>
                <w:b w:val="0"/>
                <w:bCs/>
              </w:rPr>
            </w:pPr>
            <w:r>
              <w:rPr>
                <w:rFonts w:eastAsiaTheme="majorEastAsia"/>
              </w:rPr>
              <w:t>The Oranga Tamariki way</w:t>
            </w:r>
          </w:p>
        </w:tc>
        <w:tc>
          <w:tcPr>
            <w:tcW w:w="6816" w:type="dxa"/>
            <w:tcBorders>
              <w:top w:val="single" w:sz="4" w:space="0" w:color="auto"/>
              <w:bottom w:val="single" w:sz="4" w:space="0" w:color="auto"/>
              <w:right w:val="nil"/>
            </w:tcBorders>
            <w:shd w:val="clear" w:color="auto" w:fill="auto"/>
          </w:tcPr>
          <w:p w:rsidR="00B22751" w:rsidRDefault="00AE0884">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We’re introducing a new way of doing things.  A way of looking at the world that guides everything we do:</w:t>
            </w:r>
          </w:p>
          <w:p w:rsidR="00B22751" w:rsidRDefault="00B22751">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p>
          <w:p w:rsidR="00B22751" w:rsidRDefault="00AE0884">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bCs w:val="0"/>
              </w:rPr>
            </w:pPr>
            <w:r>
              <w:rPr>
                <w:rFonts w:eastAsiaTheme="majorEastAsia"/>
                <w:noProof/>
                <w:lang w:eastAsia="en-NZ"/>
              </w:rPr>
              <w:drawing>
                <wp:inline distT="0" distB="0" distL="0" distR="0">
                  <wp:extent cx="4183380" cy="29413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185030" cy="2942737"/>
                          </a:xfrm>
                          <a:prstGeom prst="rect">
                            <a:avLst/>
                          </a:prstGeom>
                          <a:noFill/>
                        </pic:spPr>
                      </pic:pic>
                    </a:graphicData>
                  </a:graphic>
                </wp:inline>
              </w:drawing>
            </w:r>
          </w:p>
        </w:tc>
      </w:tr>
      <w:tr w:rsidR="00B22751" w:rsidTr="00B22751">
        <w:trPr>
          <w:trHeight w:val="954"/>
        </w:trPr>
        <w:tc>
          <w:tcPr>
            <w:cnfStyle w:val="001000000000" w:firstRow="0" w:lastRow="0" w:firstColumn="1" w:lastColumn="0" w:oddVBand="0" w:evenVBand="0" w:oddHBand="0" w:evenHBand="0" w:firstRowFirstColumn="0" w:firstRowLastColumn="0" w:lastRowFirstColumn="0" w:lastRowLastColumn="0"/>
            <w:tcW w:w="2364" w:type="dxa"/>
            <w:tcBorders>
              <w:top w:val="single" w:sz="4" w:space="0" w:color="auto"/>
              <w:bottom w:val="single" w:sz="4" w:space="0" w:color="auto"/>
            </w:tcBorders>
            <w:shd w:val="clear" w:color="auto" w:fill="auto"/>
          </w:tcPr>
          <w:p w:rsidR="00B22751" w:rsidRDefault="00AE0884">
            <w:pPr>
              <w:spacing w:after="0" w:line="240" w:lineRule="auto"/>
              <w:jc w:val="left"/>
              <w:rPr>
                <w:rFonts w:eastAsiaTheme="majorEastAsia"/>
                <w:b w:val="0"/>
                <w:bCs/>
              </w:rPr>
            </w:pPr>
            <w:r>
              <w:rPr>
                <w:rFonts w:eastAsiaTheme="majorEastAsia"/>
              </w:rPr>
              <w:t>Our core outcomes</w:t>
            </w:r>
          </w:p>
        </w:tc>
        <w:tc>
          <w:tcPr>
            <w:tcW w:w="6816" w:type="dxa"/>
            <w:tcBorders>
              <w:top w:val="single" w:sz="4" w:space="0" w:color="auto"/>
              <w:bottom w:val="single" w:sz="4" w:space="0" w:color="auto"/>
            </w:tcBorders>
            <w:shd w:val="clear" w:color="auto" w:fill="auto"/>
          </w:tcPr>
          <w:p w:rsidR="00B22751" w:rsidRDefault="00AE0884">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Our core outcomes are:</w:t>
            </w:r>
          </w:p>
          <w:p w:rsidR="00B22751" w:rsidRDefault="00AE0884">
            <w:pPr>
              <w:pStyle w:val="ListParagraph1"/>
              <w:numPr>
                <w:ilvl w:val="0"/>
                <w:numId w:val="2"/>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All children and young people are in loving families and communities where they can be safe, strong, connected, and able to flourish</w:t>
            </w:r>
          </w:p>
          <w:p w:rsidR="00B22751" w:rsidRDefault="00AE0884">
            <w:pPr>
              <w:pStyle w:val="ListParagraph1"/>
              <w:numPr>
                <w:ilvl w:val="0"/>
                <w:numId w:val="2"/>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Improved outcomes for all children, especially Maori tamariki and rangatahi.</w:t>
            </w:r>
          </w:p>
        </w:tc>
      </w:tr>
    </w:tbl>
    <w:p w:rsidR="00B22751" w:rsidRDefault="00AE0884">
      <w:pPr>
        <w:tabs>
          <w:tab w:val="left" w:pos="2694"/>
        </w:tabs>
        <w:spacing w:before="240" w:after="0"/>
        <w:rPr>
          <w:rFonts w:ascii="Oswald" w:hAnsi="Oswald"/>
          <w:sz w:val="28"/>
        </w:rPr>
      </w:pPr>
      <w:r>
        <w:rPr>
          <w:rFonts w:ascii="Oswald" w:hAnsi="Oswald"/>
          <w:sz w:val="28"/>
        </w:rPr>
        <w:br w:type="column"/>
      </w:r>
      <w:r>
        <w:rPr>
          <w:rFonts w:ascii="Oswald" w:hAnsi="Oswald"/>
          <w:sz w:val="28"/>
        </w:rPr>
        <w:lastRenderedPageBreak/>
        <w:t>POSITION PURPOSE</w:t>
      </w:r>
    </w:p>
    <w:tbl>
      <w:tblPr>
        <w:tblStyle w:val="LightShading-Accent1"/>
        <w:tblW w:w="9180" w:type="dxa"/>
        <w:tblBorders>
          <w:top w:val="single" w:sz="4" w:space="0" w:color="auto"/>
          <w:bottom w:val="none" w:sz="0" w:space="0" w:color="auto"/>
        </w:tblBorders>
        <w:tblLayout w:type="fixed"/>
        <w:tblCellMar>
          <w:top w:w="85" w:type="dxa"/>
          <w:bottom w:w="85" w:type="dxa"/>
        </w:tblCellMar>
        <w:tblLook w:val="04A0" w:firstRow="1" w:lastRow="0" w:firstColumn="1" w:lastColumn="0" w:noHBand="0" w:noVBand="1"/>
      </w:tblPr>
      <w:tblGrid>
        <w:gridCol w:w="9180"/>
      </w:tblGrid>
      <w:tr w:rsidR="00B22751" w:rsidTr="00B227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threeDEngrave" w:sz="24" w:space="0" w:color="auto"/>
              <w:bottom w:val="nil"/>
            </w:tcBorders>
          </w:tcPr>
          <w:p w:rsidR="00B22751" w:rsidRDefault="00AE0884" w:rsidP="00835674">
            <w:pPr>
              <w:jc w:val="left"/>
              <w:rPr>
                <w:rFonts w:eastAsiaTheme="majorEastAsia"/>
                <w:bCs/>
              </w:rPr>
            </w:pPr>
            <w:r>
              <w:rPr>
                <w:rFonts w:eastAsiaTheme="majorEastAsia"/>
                <w:b w:val="0"/>
              </w:rPr>
              <w:t>The purpose of this role is to provide leadership and management support to the Policy, Investment and Evidence Group.  The role is one of three management roles reporting to the Deputy Chief Executive Policy, Investment and Evidence.  The GM Policy is responsible for delivering a policy work</w:t>
            </w:r>
            <w:r>
              <w:rPr>
                <w:rFonts w:eastAsiaTheme="majorEastAsia"/>
                <w:b w:val="0"/>
                <w:lang w:val="en-AU"/>
              </w:rPr>
              <w:t xml:space="preserve"> </w:t>
            </w:r>
            <w:r>
              <w:rPr>
                <w:rFonts w:eastAsiaTheme="majorEastAsia"/>
                <w:b w:val="0"/>
              </w:rPr>
              <w:t xml:space="preserve">programme to support an investment approach to improving outcomes for vulnerable children.  This will be done through managing and leading a high performing policy team who will contribute to, and support the transformation of the Ministry and provide high quality advice to enhance the wellbeing of New Zealand’s vulnerable children.  The work of the policy group spans delivery of complex legislative reforms, development of strategic frameworks and policies to operationalise change. </w:t>
            </w:r>
          </w:p>
        </w:tc>
      </w:tr>
    </w:tbl>
    <w:p w:rsidR="00B22751" w:rsidRDefault="00AE0884">
      <w:pPr>
        <w:tabs>
          <w:tab w:val="left" w:pos="2694"/>
        </w:tabs>
        <w:spacing w:before="240" w:after="0"/>
        <w:rPr>
          <w:rFonts w:ascii="Oswald" w:hAnsi="Oswald"/>
          <w:sz w:val="28"/>
        </w:rPr>
      </w:pPr>
      <w:r>
        <w:rPr>
          <w:rFonts w:ascii="Oswald" w:hAnsi="Oswald"/>
          <w:sz w:val="28"/>
        </w:rPr>
        <w:t>KEY ACCOUNTABILITIES</w:t>
      </w:r>
    </w:p>
    <w:tbl>
      <w:tblPr>
        <w:tblStyle w:val="LightShading-Accent1"/>
        <w:tblW w:w="9180" w:type="dxa"/>
        <w:tblLayout w:type="fixed"/>
        <w:tblCellMar>
          <w:top w:w="85" w:type="dxa"/>
          <w:bottom w:w="85" w:type="dxa"/>
        </w:tblCellMar>
        <w:tblLook w:val="04A0" w:firstRow="1" w:lastRow="0" w:firstColumn="1" w:lastColumn="0" w:noHBand="0" w:noVBand="1"/>
      </w:tblPr>
      <w:tblGrid>
        <w:gridCol w:w="2656"/>
        <w:gridCol w:w="6524"/>
      </w:tblGrid>
      <w:tr w:rsidR="00B22751" w:rsidTr="00B227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B22751" w:rsidRDefault="00AE0884">
            <w:pPr>
              <w:spacing w:after="0"/>
              <w:jc w:val="left"/>
              <w:rPr>
                <w:rFonts w:eastAsiaTheme="majorEastAsia"/>
                <w:b w:val="0"/>
                <w:bCs/>
              </w:rPr>
            </w:pPr>
            <w:r>
              <w:rPr>
                <w:rFonts w:eastAsiaTheme="majorEastAsia"/>
              </w:rPr>
              <w:t>Key Result area</w:t>
            </w:r>
          </w:p>
        </w:tc>
        <w:tc>
          <w:tcPr>
            <w:tcW w:w="6524" w:type="dxa"/>
            <w:tcBorders>
              <w:top w:val="threeDEngrave" w:sz="24" w:space="0" w:color="auto"/>
              <w:bottom w:val="single" w:sz="4" w:space="0" w:color="auto"/>
            </w:tcBorders>
            <w:shd w:val="clear" w:color="auto" w:fill="auto"/>
          </w:tcPr>
          <w:p w:rsidR="00B22751" w:rsidRDefault="00AE0884">
            <w:pPr>
              <w:pStyle w:val="Bullet1"/>
              <w:numPr>
                <w:ilvl w:val="0"/>
                <w:numId w:val="0"/>
              </w:numPr>
              <w:spacing w:after="0"/>
              <w:ind w:left="324" w:hanging="284"/>
              <w:jc w:val="left"/>
              <w:cnfStyle w:val="100000000000" w:firstRow="1" w:lastRow="0" w:firstColumn="0" w:lastColumn="0" w:oddVBand="0" w:evenVBand="0" w:oddHBand="0" w:evenHBand="0" w:firstRowFirstColumn="0" w:firstRowLastColumn="0" w:lastRowFirstColumn="0" w:lastRowLastColumn="0"/>
              <w:rPr>
                <w:rFonts w:eastAsiaTheme="majorEastAsia"/>
                <w:b w:val="0"/>
                <w:bCs/>
              </w:rPr>
            </w:pPr>
            <w:r>
              <w:rPr>
                <w:rFonts w:eastAsiaTheme="majorEastAsia"/>
              </w:rPr>
              <w:t>Key Accountabilities</w:t>
            </w:r>
          </w:p>
        </w:tc>
      </w:tr>
      <w:tr w:rsidR="00B22751" w:rsidTr="00B22751">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left w:val="nil"/>
              <w:bottom w:val="single" w:sz="4" w:space="0" w:color="auto"/>
              <w:right w:val="nil"/>
            </w:tcBorders>
            <w:shd w:val="clear" w:color="auto" w:fill="auto"/>
          </w:tcPr>
          <w:p w:rsidR="00B22751" w:rsidRDefault="00AE0884">
            <w:pPr>
              <w:jc w:val="left"/>
              <w:rPr>
                <w:b w:val="0"/>
                <w:bCs/>
              </w:rPr>
            </w:pPr>
            <w:r>
              <w:t>Contribution to Leadership team</w:t>
            </w:r>
          </w:p>
        </w:tc>
        <w:tc>
          <w:tcPr>
            <w:tcW w:w="6524" w:type="dxa"/>
            <w:tcBorders>
              <w:top w:val="single" w:sz="4" w:space="0" w:color="auto"/>
              <w:bottom w:val="single" w:sz="4" w:space="0" w:color="auto"/>
              <w:right w:val="nil"/>
            </w:tcBorders>
            <w:shd w:val="clear" w:color="auto" w:fill="auto"/>
          </w:tcPr>
          <w:p w:rsidR="00B22751" w:rsidRDefault="00AE0884">
            <w:pPr>
              <w:pStyle w:val="Bullet1"/>
              <w:cnfStyle w:val="000000000000" w:firstRow="0" w:lastRow="0" w:firstColumn="0" w:lastColumn="0" w:oddVBand="0" w:evenVBand="0" w:oddHBand="0" w:evenHBand="0" w:firstRowFirstColumn="0" w:firstRowLastColumn="0" w:lastRowFirstColumn="0" w:lastRowLastColumn="0"/>
            </w:pPr>
            <w:r>
              <w:t>Provide an active contribution to the Policy, Investment and Evidence Group at a level expected from a senior manager</w:t>
            </w:r>
          </w:p>
          <w:p w:rsidR="00B22751" w:rsidRDefault="00AE0884">
            <w:pPr>
              <w:pStyle w:val="Bullet1"/>
              <w:cnfStyle w:val="000000000000" w:firstRow="0" w:lastRow="0" w:firstColumn="0" w:lastColumn="0" w:oddVBand="0" w:evenVBand="0" w:oddHBand="0" w:evenHBand="0" w:firstRowFirstColumn="0" w:firstRowLastColumn="0" w:lastRowFirstColumn="0" w:lastRowLastColumn="0"/>
            </w:pPr>
            <w:r>
              <w:t>Contribute to cultivating a climate of openness, honesty, and encouragement with management colleagues</w:t>
            </w:r>
          </w:p>
          <w:p w:rsidR="00B22751" w:rsidRDefault="00AE0884">
            <w:pPr>
              <w:pStyle w:val="Bullet1"/>
              <w:cnfStyle w:val="000000000000" w:firstRow="0" w:lastRow="0" w:firstColumn="0" w:lastColumn="0" w:oddVBand="0" w:evenVBand="0" w:oddHBand="0" w:evenHBand="0" w:firstRowFirstColumn="0" w:firstRowLastColumn="0" w:lastRowFirstColumn="0" w:lastRowLastColumn="0"/>
            </w:pPr>
            <w:r>
              <w:t>Promote a ‘no surprises’ approach to escalate and share any significant risks with the DCE and/management team</w:t>
            </w:r>
          </w:p>
          <w:p w:rsidR="00B22751" w:rsidRDefault="00AE0884">
            <w:pPr>
              <w:pStyle w:val="Bullet1"/>
              <w:cnfStyle w:val="000000000000" w:firstRow="0" w:lastRow="0" w:firstColumn="0" w:lastColumn="0" w:oddVBand="0" w:evenVBand="0" w:oddHBand="0" w:evenHBand="0" w:firstRowFirstColumn="0" w:firstRowLastColumn="0" w:lastRowFirstColumn="0" w:lastRowLastColumn="0"/>
            </w:pPr>
            <w:r>
              <w:t xml:space="preserve">Identify and share ideas for lifting performance across the Group by contributing input and ideas </w:t>
            </w:r>
          </w:p>
          <w:p w:rsidR="00B22751" w:rsidRDefault="00AE0884">
            <w:pPr>
              <w:pStyle w:val="Bullet1"/>
              <w:cnfStyle w:val="000000000000" w:firstRow="0" w:lastRow="0" w:firstColumn="0" w:lastColumn="0" w:oddVBand="0" w:evenVBand="0" w:oddHBand="0" w:evenHBand="0" w:firstRowFirstColumn="0" w:firstRowLastColumn="0" w:lastRowFirstColumn="0" w:lastRowLastColumn="0"/>
            </w:pPr>
            <w:r>
              <w:t>Ensure the provision of high quality, balanced analysis and advice on a wide range of extremely complex issues within specified time frames</w:t>
            </w:r>
          </w:p>
          <w:p w:rsidR="00B22751" w:rsidRDefault="00AE0884">
            <w:pPr>
              <w:pStyle w:val="Bullet1"/>
              <w:cnfStyle w:val="000000000000" w:firstRow="0" w:lastRow="0" w:firstColumn="0" w:lastColumn="0" w:oddVBand="0" w:evenVBand="0" w:oddHBand="0" w:evenHBand="0" w:firstRowFirstColumn="0" w:firstRowLastColumn="0" w:lastRowFirstColumn="0" w:lastRowLastColumn="0"/>
            </w:pPr>
            <w:r>
              <w:t>Lead and ensure the development and delivery of high quality policy advice, services, and support.</w:t>
            </w:r>
          </w:p>
        </w:tc>
      </w:tr>
      <w:tr w:rsidR="00845678" w:rsidTr="00B22751">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845678" w:rsidRDefault="00845678">
            <w:pPr>
              <w:jc w:val="left"/>
              <w:rPr>
                <w:b w:val="0"/>
                <w:bCs/>
              </w:rPr>
            </w:pPr>
            <w:r>
              <w:t>Policy development</w:t>
            </w:r>
          </w:p>
        </w:tc>
        <w:tc>
          <w:tcPr>
            <w:tcW w:w="6524" w:type="dxa"/>
            <w:tcBorders>
              <w:top w:val="single" w:sz="4" w:space="0" w:color="auto"/>
              <w:bottom w:val="single" w:sz="4" w:space="0" w:color="auto"/>
            </w:tcBorders>
            <w:shd w:val="clear" w:color="auto" w:fill="auto"/>
          </w:tcPr>
          <w:p w:rsidR="00845678" w:rsidRDefault="001707F8" w:rsidP="006D4F95">
            <w:pPr>
              <w:pStyle w:val="Bullet1"/>
              <w:jc w:val="left"/>
              <w:cnfStyle w:val="000000000000" w:firstRow="0" w:lastRow="0" w:firstColumn="0" w:lastColumn="0" w:oddVBand="0" w:evenVBand="0" w:oddHBand="0" w:evenHBand="0" w:firstRowFirstColumn="0" w:firstRowLastColumn="0" w:lastRowFirstColumn="0" w:lastRowLastColumn="0"/>
            </w:pPr>
            <w:r>
              <w:t>O</w:t>
            </w:r>
            <w:r w:rsidR="00845678">
              <w:t>versee the development of robust policy initiatives and strategies aligned to MVCOT’s overall strategic goals</w:t>
            </w:r>
          </w:p>
          <w:p w:rsidR="00845678" w:rsidRDefault="00845678" w:rsidP="006D4F95">
            <w:pPr>
              <w:pStyle w:val="Bullet1"/>
              <w:jc w:val="left"/>
              <w:cnfStyle w:val="000000000000" w:firstRow="0" w:lastRow="0" w:firstColumn="0" w:lastColumn="0" w:oddVBand="0" w:evenVBand="0" w:oddHBand="0" w:evenHBand="0" w:firstRowFirstColumn="0" w:firstRowLastColumn="0" w:lastRowFirstColumn="0" w:lastRowLastColumn="0"/>
            </w:pPr>
            <w:r>
              <w:t>Contribute to achieving high aspirations for Māori tamariki and rangatahi, Pacific children and young people, and other vulnerable children</w:t>
            </w:r>
          </w:p>
          <w:p w:rsidR="00845678" w:rsidRDefault="00845678" w:rsidP="006D4F95">
            <w:pPr>
              <w:pStyle w:val="Bullet1"/>
              <w:jc w:val="left"/>
              <w:cnfStyle w:val="000000000000" w:firstRow="0" w:lastRow="0" w:firstColumn="0" w:lastColumn="0" w:oddVBand="0" w:evenVBand="0" w:oddHBand="0" w:evenHBand="0" w:firstRowFirstColumn="0" w:firstRowLastColumn="0" w:lastRowFirstColumn="0" w:lastRowLastColumn="0"/>
            </w:pPr>
            <w:r>
              <w:t>Develop and enhance the Ministry’s policy capabilities</w:t>
            </w:r>
          </w:p>
          <w:p w:rsidR="00845678" w:rsidRDefault="00845678" w:rsidP="006D4F95">
            <w:pPr>
              <w:pStyle w:val="Bullet1"/>
              <w:jc w:val="left"/>
              <w:cnfStyle w:val="000000000000" w:firstRow="0" w:lastRow="0" w:firstColumn="0" w:lastColumn="0" w:oddVBand="0" w:evenVBand="0" w:oddHBand="0" w:evenHBand="0" w:firstRowFirstColumn="0" w:firstRowLastColumn="0" w:lastRowFirstColumn="0" w:lastRowLastColumn="0"/>
            </w:pPr>
            <w:r>
              <w:t>Work undertaken adds value to the effectiveness of operations and to long term strategies and plans as directed by the CE</w:t>
            </w:r>
          </w:p>
          <w:p w:rsidR="00845678" w:rsidRDefault="00845678" w:rsidP="006D4F95">
            <w:pPr>
              <w:pStyle w:val="Bullet1"/>
              <w:jc w:val="left"/>
              <w:cnfStyle w:val="000000000000" w:firstRow="0" w:lastRow="0" w:firstColumn="0" w:lastColumn="0" w:oddVBand="0" w:evenVBand="0" w:oddHBand="0" w:evenHBand="0" w:firstRowFirstColumn="0" w:firstRowLastColumn="0" w:lastRowFirstColumn="0" w:lastRowLastColumn="0"/>
            </w:pPr>
            <w:r>
              <w:t>Develop monitoring systems for measuring quality of policy analysis, advice and other services</w:t>
            </w:r>
          </w:p>
          <w:p w:rsidR="00845678" w:rsidRDefault="00845678">
            <w:pPr>
              <w:pStyle w:val="Bullet1"/>
              <w:jc w:val="left"/>
              <w:cnfStyle w:val="000000000000" w:firstRow="0" w:lastRow="0" w:firstColumn="0" w:lastColumn="0" w:oddVBand="0" w:evenVBand="0" w:oddHBand="0" w:evenHBand="0" w:firstRowFirstColumn="0" w:firstRowLastColumn="0" w:lastRowFirstColumn="0" w:lastRowLastColumn="0"/>
            </w:pPr>
            <w:r>
              <w:t>Manage workflow in conjunction with the DCE, by ensuring appropriate planning, prioritisation and re-prioritisation of work as required, ensuring that priority work is completed to an appropriate standard.</w:t>
            </w:r>
          </w:p>
        </w:tc>
      </w:tr>
      <w:tr w:rsidR="00845678" w:rsidTr="00B22751">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845678" w:rsidRDefault="00845678">
            <w:pPr>
              <w:jc w:val="left"/>
              <w:rPr>
                <w:b w:val="0"/>
                <w:bCs/>
              </w:rPr>
            </w:pPr>
            <w:r>
              <w:t>Staff leadership and management</w:t>
            </w:r>
          </w:p>
          <w:p w:rsidR="00845678" w:rsidRDefault="00845678">
            <w:pPr>
              <w:jc w:val="left"/>
              <w:rPr>
                <w:b w:val="0"/>
                <w:bCs/>
              </w:rPr>
            </w:pPr>
          </w:p>
        </w:tc>
        <w:tc>
          <w:tcPr>
            <w:tcW w:w="6524" w:type="dxa"/>
            <w:tcBorders>
              <w:top w:val="single" w:sz="4" w:space="0" w:color="auto"/>
              <w:bottom w:val="single" w:sz="4" w:space="0" w:color="auto"/>
            </w:tcBorders>
            <w:shd w:val="clear" w:color="auto" w:fill="auto"/>
          </w:tcPr>
          <w:p w:rsidR="00845678" w:rsidRDefault="00845678">
            <w:pPr>
              <w:pStyle w:val="Bullet1"/>
              <w:jc w:val="left"/>
              <w:cnfStyle w:val="000000000000" w:firstRow="0" w:lastRow="0" w:firstColumn="0" w:lastColumn="0" w:oddVBand="0" w:evenVBand="0" w:oddHBand="0" w:evenHBand="0" w:firstRowFirstColumn="0" w:firstRowLastColumn="0" w:lastRowFirstColumn="0" w:lastRowLastColumn="0"/>
            </w:pPr>
            <w:r>
              <w:t>Provide support to reporting staff, ensure their performance meets the standards expected of them</w:t>
            </w:r>
          </w:p>
          <w:p w:rsidR="00845678" w:rsidRDefault="00845678">
            <w:pPr>
              <w:pStyle w:val="Bullet1"/>
              <w:jc w:val="left"/>
              <w:cnfStyle w:val="000000000000" w:firstRow="0" w:lastRow="0" w:firstColumn="0" w:lastColumn="0" w:oddVBand="0" w:evenVBand="0" w:oddHBand="0" w:evenHBand="0" w:firstRowFirstColumn="0" w:firstRowLastColumn="0" w:lastRowFirstColumn="0" w:lastRowLastColumn="0"/>
            </w:pPr>
            <w:r>
              <w:t xml:space="preserve">Identify skill and/or training gaps that need addressing to enable delivery of policy initiatives that are relevant and within specified </w:t>
            </w:r>
            <w:r>
              <w:lastRenderedPageBreak/>
              <w:t>time frames</w:t>
            </w:r>
          </w:p>
          <w:p w:rsidR="00845678" w:rsidRDefault="00845678">
            <w:pPr>
              <w:pStyle w:val="Bullet1"/>
              <w:jc w:val="left"/>
              <w:cnfStyle w:val="000000000000" w:firstRow="0" w:lastRow="0" w:firstColumn="0" w:lastColumn="0" w:oddVBand="0" w:evenVBand="0" w:oddHBand="0" w:evenHBand="0" w:firstRowFirstColumn="0" w:firstRowLastColumn="0" w:lastRowFirstColumn="0" w:lastRowLastColumn="0"/>
            </w:pPr>
            <w:r>
              <w:t>Actively encourage open working relationships with staff and peers to draw out ideas and proposals that contribute to the knowledge stream</w:t>
            </w:r>
          </w:p>
          <w:p w:rsidR="00845678" w:rsidRDefault="00845678">
            <w:pPr>
              <w:pStyle w:val="Bullet1"/>
              <w:jc w:val="left"/>
              <w:cnfStyle w:val="000000000000" w:firstRow="0" w:lastRow="0" w:firstColumn="0" w:lastColumn="0" w:oddVBand="0" w:evenVBand="0" w:oddHBand="0" w:evenHBand="0" w:firstRowFirstColumn="0" w:firstRowLastColumn="0" w:lastRowFirstColumn="0" w:lastRowLastColumn="0"/>
            </w:pPr>
            <w:r>
              <w:t xml:space="preserve">Provide evaluation and coaching to lift performance of each individual member of the team. </w:t>
            </w:r>
          </w:p>
        </w:tc>
      </w:tr>
      <w:tr w:rsidR="00845678" w:rsidTr="00B22751">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left w:val="nil"/>
              <w:bottom w:val="single" w:sz="4" w:space="0" w:color="auto"/>
              <w:right w:val="nil"/>
            </w:tcBorders>
            <w:shd w:val="clear" w:color="auto" w:fill="auto"/>
          </w:tcPr>
          <w:p w:rsidR="00845678" w:rsidRDefault="00845678">
            <w:pPr>
              <w:jc w:val="left"/>
              <w:rPr>
                <w:b w:val="0"/>
                <w:bCs/>
              </w:rPr>
            </w:pPr>
            <w:r>
              <w:lastRenderedPageBreak/>
              <w:t>Being part of the Oranga Tamariki team</w:t>
            </w:r>
          </w:p>
        </w:tc>
        <w:tc>
          <w:tcPr>
            <w:tcW w:w="6524" w:type="dxa"/>
            <w:tcBorders>
              <w:top w:val="single" w:sz="4" w:space="0" w:color="auto"/>
              <w:bottom w:val="single" w:sz="4" w:space="0" w:color="auto"/>
              <w:right w:val="nil"/>
            </w:tcBorders>
            <w:shd w:val="clear" w:color="auto" w:fill="auto"/>
          </w:tcPr>
          <w:p w:rsidR="00845678" w:rsidRDefault="00845678">
            <w:pPr>
              <w:pStyle w:val="Bullet1"/>
              <w:jc w:val="left"/>
              <w:cnfStyle w:val="000000000000" w:firstRow="0" w:lastRow="0" w:firstColumn="0" w:lastColumn="0" w:oddVBand="0" w:evenVBand="0" w:oddHBand="0" w:evenHBand="0" w:firstRowFirstColumn="0" w:firstRowLastColumn="0" w:lastRowFirstColumn="0" w:lastRowLastColumn="0"/>
            </w:pPr>
            <w:r>
              <w:t>Actively and positively participate as a member of the management team</w:t>
            </w:r>
          </w:p>
          <w:p w:rsidR="00845678" w:rsidRDefault="00845678">
            <w:pPr>
              <w:pStyle w:val="Bullet1"/>
              <w:jc w:val="left"/>
              <w:cnfStyle w:val="000000000000" w:firstRow="0" w:lastRow="0" w:firstColumn="0" w:lastColumn="0" w:oddVBand="0" w:evenVBand="0" w:oddHBand="0" w:evenHBand="0" w:firstRowFirstColumn="0" w:firstRowLastColumn="0" w:lastRowFirstColumn="0" w:lastRowLastColumn="0"/>
            </w:pPr>
            <w:r>
              <w:t>Proactively look for opportunities to improve Oranga Tamariki’s operations</w:t>
            </w:r>
          </w:p>
          <w:p w:rsidR="00845678" w:rsidRDefault="00845678">
            <w:pPr>
              <w:pStyle w:val="Bullet1"/>
              <w:jc w:val="left"/>
              <w:cnfStyle w:val="000000000000" w:firstRow="0" w:lastRow="0" w:firstColumn="0" w:lastColumn="0" w:oddVBand="0" w:evenVBand="0" w:oddHBand="0" w:evenHBand="0" w:firstRowFirstColumn="0" w:firstRowLastColumn="0" w:lastRowFirstColumn="0" w:lastRowLastColumn="0"/>
            </w:pPr>
            <w:r>
              <w:t>Perform any other duties as needed by Oranga Tamariki</w:t>
            </w:r>
          </w:p>
          <w:p w:rsidR="00845678" w:rsidRDefault="00845678">
            <w:pPr>
              <w:pStyle w:val="Bullet1"/>
              <w:jc w:val="left"/>
              <w:cnfStyle w:val="000000000000" w:firstRow="0" w:lastRow="0" w:firstColumn="0" w:lastColumn="0" w:oddVBand="0" w:evenVBand="0" w:oddHBand="0" w:evenHBand="0" w:firstRowFirstColumn="0" w:firstRowLastColumn="0" w:lastRowFirstColumn="0" w:lastRowLastColumn="0"/>
            </w:pPr>
            <w:r>
              <w:t>Adhere to all Oranga Tamariki’s procedures, policies, guidelines, and standards of integrity and conduct</w:t>
            </w:r>
          </w:p>
          <w:p w:rsidR="00845678" w:rsidRDefault="00845678">
            <w:pPr>
              <w:pStyle w:val="Bullet1"/>
              <w:jc w:val="left"/>
              <w:cnfStyle w:val="000000000000" w:firstRow="0" w:lastRow="0" w:firstColumn="0" w:lastColumn="0" w:oddVBand="0" w:evenVBand="0" w:oddHBand="0" w:evenHBand="0" w:firstRowFirstColumn="0" w:firstRowLastColumn="0" w:lastRowFirstColumn="0" w:lastRowLastColumn="0"/>
            </w:pPr>
            <w:r>
              <w:t>Commitment to the Treaty of Waitangi and respect and reflect its importance in relation to MVCOT practices and relationships.</w:t>
            </w:r>
          </w:p>
        </w:tc>
      </w:tr>
      <w:tr w:rsidR="00845678" w:rsidTr="00B22751">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left w:val="nil"/>
              <w:bottom w:val="single" w:sz="4" w:space="0" w:color="auto"/>
              <w:right w:val="nil"/>
            </w:tcBorders>
            <w:shd w:val="clear" w:color="auto" w:fill="auto"/>
          </w:tcPr>
          <w:p w:rsidR="00845678" w:rsidRDefault="00845678">
            <w:pPr>
              <w:jc w:val="left"/>
              <w:rPr>
                <w:b w:val="0"/>
                <w:bCs/>
              </w:rPr>
            </w:pPr>
            <w:r>
              <w:t>Relationship management</w:t>
            </w:r>
          </w:p>
        </w:tc>
        <w:tc>
          <w:tcPr>
            <w:tcW w:w="6524" w:type="dxa"/>
            <w:tcBorders>
              <w:top w:val="single" w:sz="4" w:space="0" w:color="auto"/>
              <w:bottom w:val="single" w:sz="4" w:space="0" w:color="auto"/>
              <w:right w:val="nil"/>
            </w:tcBorders>
            <w:shd w:val="clear" w:color="auto" w:fill="auto"/>
          </w:tcPr>
          <w:p w:rsidR="00845678" w:rsidRDefault="00845678">
            <w:pPr>
              <w:pStyle w:val="Bullet1"/>
              <w:jc w:val="left"/>
              <w:cnfStyle w:val="000000000000" w:firstRow="0" w:lastRow="0" w:firstColumn="0" w:lastColumn="0" w:oddVBand="0" w:evenVBand="0" w:oddHBand="0" w:evenHBand="0" w:firstRowFirstColumn="0" w:firstRowLastColumn="0" w:lastRowFirstColumn="0" w:lastRowLastColumn="0"/>
            </w:pPr>
            <w:r>
              <w:t>Actively build and foster positive professional relationships across Oranga Tamariki and other stakeholders</w:t>
            </w:r>
          </w:p>
          <w:p w:rsidR="00845678" w:rsidRDefault="00845678">
            <w:pPr>
              <w:pStyle w:val="Bullet1"/>
              <w:jc w:val="left"/>
              <w:cnfStyle w:val="000000000000" w:firstRow="0" w:lastRow="0" w:firstColumn="0" w:lastColumn="0" w:oddVBand="0" w:evenVBand="0" w:oddHBand="0" w:evenHBand="0" w:firstRowFirstColumn="0" w:firstRowLastColumn="0" w:lastRowFirstColumn="0" w:lastRowLastColumn="0"/>
            </w:pPr>
            <w:r>
              <w:t>Build sound working relationships with colleagues and staff throughout the Ministry, as well as forming good networks and relationships with staff in other social sector agencies relevant to the nature of the work.</w:t>
            </w:r>
          </w:p>
        </w:tc>
      </w:tr>
      <w:tr w:rsidR="00845678" w:rsidTr="00B22751">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845678" w:rsidRDefault="00845678">
            <w:pPr>
              <w:jc w:val="left"/>
              <w:rPr>
                <w:b w:val="0"/>
                <w:bCs/>
              </w:rPr>
            </w:pPr>
            <w:r>
              <w:rPr>
                <w:rFonts w:cs="Arial"/>
                <w:bCs/>
              </w:rPr>
              <w:t>Risk management</w:t>
            </w:r>
          </w:p>
        </w:tc>
        <w:tc>
          <w:tcPr>
            <w:tcW w:w="6524" w:type="dxa"/>
            <w:tcBorders>
              <w:top w:val="single" w:sz="4" w:space="0" w:color="auto"/>
              <w:bottom w:val="single" w:sz="4" w:space="0" w:color="auto"/>
            </w:tcBorders>
            <w:shd w:val="clear" w:color="auto" w:fill="auto"/>
          </w:tcPr>
          <w:p w:rsidR="00845678" w:rsidRDefault="00845678">
            <w:pPr>
              <w:pStyle w:val="Bullet1"/>
              <w:cnfStyle w:val="000000000000" w:firstRow="0" w:lastRow="0" w:firstColumn="0" w:lastColumn="0" w:oddVBand="0" w:evenVBand="0" w:oddHBand="0" w:evenHBand="0" w:firstRowFirstColumn="0" w:firstRowLastColumn="0" w:lastRowFirstColumn="0" w:lastRowLastColumn="0"/>
            </w:pPr>
            <w:r>
              <w:t>Identify any organisational risks and take action to minimise their impact</w:t>
            </w:r>
          </w:p>
          <w:p w:rsidR="00845678" w:rsidRDefault="00845678">
            <w:pPr>
              <w:pStyle w:val="Bullet1"/>
              <w:cnfStyle w:val="000000000000" w:firstRow="0" w:lastRow="0" w:firstColumn="0" w:lastColumn="0" w:oddVBand="0" w:evenVBand="0" w:oddHBand="0" w:evenHBand="0" w:firstRowFirstColumn="0" w:firstRowLastColumn="0" w:lastRowFirstColumn="0" w:lastRowLastColumn="0"/>
            </w:pPr>
            <w:r>
              <w:t>Identify any financial risks, and ensure sound processes and systems are in place to manage those risks</w:t>
            </w:r>
          </w:p>
          <w:p w:rsidR="00845678" w:rsidRDefault="00845678">
            <w:pPr>
              <w:pStyle w:val="Bullet1"/>
              <w:cnfStyle w:val="000000000000" w:firstRow="0" w:lastRow="0" w:firstColumn="0" w:lastColumn="0" w:oddVBand="0" w:evenVBand="0" w:oddHBand="0" w:evenHBand="0" w:firstRowFirstColumn="0" w:firstRowLastColumn="0" w:lastRowFirstColumn="0" w:lastRowLastColumn="0"/>
            </w:pPr>
            <w:r>
              <w:t>Ensure that appropriate risk management and monitoring strategies are in place in relation to contract management</w:t>
            </w:r>
          </w:p>
          <w:p w:rsidR="00845678" w:rsidRDefault="00845678">
            <w:pPr>
              <w:pStyle w:val="Bullet1"/>
              <w:cnfStyle w:val="000000000000" w:firstRow="0" w:lastRow="0" w:firstColumn="0" w:lastColumn="0" w:oddVBand="0" w:evenVBand="0" w:oddHBand="0" w:evenHBand="0" w:firstRowFirstColumn="0" w:firstRowLastColumn="0" w:lastRowFirstColumn="0" w:lastRowLastColumn="0"/>
            </w:pPr>
            <w:r>
              <w:t>Keep the Deputy Chief Executive informed of any risk issues which may impact on the Ministry’s reputation.</w:t>
            </w:r>
          </w:p>
        </w:tc>
      </w:tr>
      <w:tr w:rsidR="00845678" w:rsidTr="00B22751">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left w:val="nil"/>
              <w:bottom w:val="single" w:sz="4" w:space="0" w:color="auto"/>
              <w:right w:val="nil"/>
            </w:tcBorders>
            <w:shd w:val="clear" w:color="auto" w:fill="auto"/>
          </w:tcPr>
          <w:p w:rsidR="00845678" w:rsidRDefault="00845678">
            <w:pPr>
              <w:jc w:val="left"/>
              <w:rPr>
                <w:b w:val="0"/>
                <w:bCs/>
              </w:rPr>
            </w:pPr>
            <w:r>
              <w:t>Health and safety</w:t>
            </w:r>
          </w:p>
          <w:p w:rsidR="00845678" w:rsidRDefault="00845678">
            <w:pPr>
              <w:jc w:val="left"/>
              <w:rPr>
                <w:b w:val="0"/>
                <w:bCs/>
              </w:rPr>
            </w:pPr>
          </w:p>
        </w:tc>
        <w:tc>
          <w:tcPr>
            <w:tcW w:w="6524" w:type="dxa"/>
            <w:tcBorders>
              <w:top w:val="single" w:sz="4" w:space="0" w:color="auto"/>
              <w:bottom w:val="single" w:sz="4" w:space="0" w:color="auto"/>
              <w:right w:val="nil"/>
            </w:tcBorders>
            <w:shd w:val="clear" w:color="auto" w:fill="auto"/>
          </w:tcPr>
          <w:p w:rsidR="00845678" w:rsidRDefault="00845678" w:rsidP="001707F8">
            <w:pPr>
              <w:ind w:left="175"/>
              <w:cnfStyle w:val="000000000000" w:firstRow="0" w:lastRow="0" w:firstColumn="0" w:lastColumn="0" w:oddVBand="0" w:evenVBand="0" w:oddHBand="0" w:evenHBand="0" w:firstRowFirstColumn="0" w:firstRowLastColumn="0" w:lastRowFirstColumn="0" w:lastRowLastColumn="0"/>
            </w:pPr>
            <w:r>
              <w:t>The Ministry of Vulnerable Children, Oranga Tamariki recognises the importance of complying with all health and safety legislation to provide a safe working environment and to meet its responsibilities under the Health and Safety at Work Act 2015.</w:t>
            </w:r>
          </w:p>
          <w:p w:rsidR="00845678" w:rsidRDefault="00845678" w:rsidP="00357AB0">
            <w:pPr>
              <w:ind w:left="175"/>
              <w:cnfStyle w:val="000000000000" w:firstRow="0" w:lastRow="0" w:firstColumn="0" w:lastColumn="0" w:oddVBand="0" w:evenVBand="0" w:oddHBand="0" w:evenHBand="0" w:firstRowFirstColumn="0" w:firstRowLastColumn="0" w:lastRowFirstColumn="0" w:lastRowLastColumn="0"/>
            </w:pPr>
            <w:r>
              <w:t>The Ministry does this by:</w:t>
            </w:r>
          </w:p>
          <w:p w:rsidR="00845678" w:rsidRDefault="00845678">
            <w:pPr>
              <w:pStyle w:val="Bullet1"/>
              <w:cnfStyle w:val="000000000000" w:firstRow="0" w:lastRow="0" w:firstColumn="0" w:lastColumn="0" w:oddVBand="0" w:evenVBand="0" w:oddHBand="0" w:evenHBand="0" w:firstRowFirstColumn="0" w:firstRowLastColumn="0" w:lastRowFirstColumn="0" w:lastRowLastColumn="0"/>
            </w:pPr>
            <w:r>
              <w:t>Reinforcing the health and safety message to all staff</w:t>
            </w:r>
          </w:p>
          <w:p w:rsidR="00845678" w:rsidRDefault="00845678">
            <w:pPr>
              <w:pStyle w:val="Bullet1"/>
              <w:cnfStyle w:val="000000000000" w:firstRow="0" w:lastRow="0" w:firstColumn="0" w:lastColumn="0" w:oddVBand="0" w:evenVBand="0" w:oddHBand="0" w:evenHBand="0" w:firstRowFirstColumn="0" w:firstRowLastColumn="0" w:lastRowFirstColumn="0" w:lastRowLastColumn="0"/>
            </w:pPr>
            <w:r>
              <w:t>Identifying health and safety risks and implements strategies to take all practicable steps to prevent, minimise or eliminate hazards that may result in injury or risk to health</w:t>
            </w:r>
          </w:p>
          <w:p w:rsidR="00845678" w:rsidRDefault="00845678">
            <w:pPr>
              <w:pStyle w:val="Bullet1"/>
              <w:cnfStyle w:val="000000000000" w:firstRow="0" w:lastRow="0" w:firstColumn="0" w:lastColumn="0" w:oddVBand="0" w:evenVBand="0" w:oddHBand="0" w:evenHBand="0" w:firstRowFirstColumn="0" w:firstRowLastColumn="0" w:lastRowFirstColumn="0" w:lastRowLastColumn="0"/>
            </w:pPr>
            <w:r>
              <w:t>Ensuring that all employees have a clear understanding of MVCOT’s health and safety policies and expectations</w:t>
            </w:r>
          </w:p>
          <w:p w:rsidR="00845678" w:rsidRDefault="00845678">
            <w:pPr>
              <w:pStyle w:val="Bullet1"/>
              <w:cnfStyle w:val="000000000000" w:firstRow="0" w:lastRow="0" w:firstColumn="0" w:lastColumn="0" w:oddVBand="0" w:evenVBand="0" w:oddHBand="0" w:evenHBand="0" w:firstRowFirstColumn="0" w:firstRowLastColumn="0" w:lastRowFirstColumn="0" w:lastRowLastColumn="0"/>
            </w:pPr>
            <w:r>
              <w:t>Complying with all relevant legislation to provide a healthy and safe working environment</w:t>
            </w:r>
          </w:p>
          <w:p w:rsidR="00845678" w:rsidRDefault="00D700F0">
            <w:pPr>
              <w:pStyle w:val="Bullet1"/>
              <w:cnfStyle w:val="000000000000" w:firstRow="0" w:lastRow="0" w:firstColumn="0" w:lastColumn="0" w:oddVBand="0" w:evenVBand="0" w:oddHBand="0" w:evenHBand="0" w:firstRowFirstColumn="0" w:firstRowLastColumn="0" w:lastRowFirstColumn="0" w:lastRowLastColumn="0"/>
            </w:pPr>
            <w:hyperlink r:id="rId10" w:history="1">
              <w:r w:rsidR="00845678">
                <w:rPr>
                  <w:rStyle w:val="Hyperlink"/>
                </w:rPr>
                <w:t>http://www.legislation.govt.nz/Health and Safety at Work Act 2015</w:t>
              </w:r>
            </w:hyperlink>
            <w:r w:rsidR="00845678">
              <w:rPr>
                <w:rStyle w:val="Hyperlink"/>
              </w:rPr>
              <w:t>.</w:t>
            </w:r>
          </w:p>
        </w:tc>
      </w:tr>
    </w:tbl>
    <w:p w:rsidR="00B22751" w:rsidRDefault="00AE0884">
      <w:pPr>
        <w:tabs>
          <w:tab w:val="left" w:pos="2694"/>
        </w:tabs>
        <w:spacing w:before="240" w:after="0"/>
        <w:rPr>
          <w:rFonts w:ascii="Oswald" w:hAnsi="Oswald"/>
          <w:sz w:val="28"/>
        </w:rPr>
      </w:pPr>
      <w:r>
        <w:rPr>
          <w:rFonts w:ascii="Oswald" w:hAnsi="Oswald"/>
          <w:sz w:val="28"/>
        </w:rPr>
        <w:lastRenderedPageBreak/>
        <w:t>KEY RELATIONSHIPS</w:t>
      </w:r>
    </w:p>
    <w:tbl>
      <w:tblPr>
        <w:tblStyle w:val="LightShading-Accent1"/>
        <w:tblW w:w="9180" w:type="dxa"/>
        <w:tblBorders>
          <w:bottom w:val="none" w:sz="0" w:space="0" w:color="auto"/>
        </w:tblBorders>
        <w:shd w:val="clear" w:color="auto" w:fill="FFFFFF" w:themeFill="background1"/>
        <w:tblLayout w:type="fixed"/>
        <w:tblCellMar>
          <w:top w:w="85" w:type="dxa"/>
          <w:bottom w:w="85" w:type="dxa"/>
        </w:tblCellMar>
        <w:tblLook w:val="04A0" w:firstRow="1" w:lastRow="0" w:firstColumn="1" w:lastColumn="0" w:noHBand="0" w:noVBand="1"/>
      </w:tblPr>
      <w:tblGrid>
        <w:gridCol w:w="2656"/>
        <w:gridCol w:w="6524"/>
      </w:tblGrid>
      <w:tr w:rsidR="00B22751" w:rsidTr="00B227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nil"/>
            </w:tcBorders>
            <w:shd w:val="clear" w:color="auto" w:fill="FFFFFF" w:themeFill="background1"/>
          </w:tcPr>
          <w:p w:rsidR="00B22751" w:rsidRDefault="00AE0884">
            <w:pPr>
              <w:jc w:val="left"/>
              <w:rPr>
                <w:rFonts w:eastAsiaTheme="majorEastAsia"/>
                <w:b w:val="0"/>
                <w:bCs/>
              </w:rPr>
            </w:pPr>
            <w:r>
              <w:rPr>
                <w:rFonts w:eastAsiaTheme="majorEastAsia"/>
              </w:rPr>
              <w:br w:type="page"/>
              <w:t>Internal</w:t>
            </w:r>
          </w:p>
        </w:tc>
        <w:tc>
          <w:tcPr>
            <w:tcW w:w="6524" w:type="dxa"/>
            <w:tcBorders>
              <w:top w:val="threeDEngrave" w:sz="24" w:space="0" w:color="auto"/>
              <w:bottom w:val="nil"/>
            </w:tcBorders>
            <w:shd w:val="clear" w:color="auto" w:fill="FFFFFF" w:themeFill="background1"/>
          </w:tcPr>
          <w:p w:rsidR="00B22751" w:rsidRDefault="00AE0884">
            <w:pPr>
              <w:pStyle w:val="Bullet1"/>
              <w:jc w:val="left"/>
              <w:cnfStyle w:val="100000000000" w:firstRow="1" w:lastRow="0" w:firstColumn="0" w:lastColumn="0" w:oddVBand="0" w:evenVBand="0" w:oddHBand="0" w:evenHBand="0" w:firstRowFirstColumn="0" w:firstRowLastColumn="0" w:lastRowFirstColumn="0" w:lastRowLastColumn="0"/>
              <w:rPr>
                <w:rFonts w:eastAsiaTheme="majorEastAsia"/>
                <w:bCs/>
              </w:rPr>
            </w:pPr>
            <w:r>
              <w:rPr>
                <w:rFonts w:eastAsiaTheme="majorEastAsia"/>
                <w:b w:val="0"/>
              </w:rPr>
              <w:t xml:space="preserve">Other senior managers </w:t>
            </w:r>
            <w:r w:rsidR="00357AB0">
              <w:rPr>
                <w:rFonts w:eastAsiaTheme="majorEastAsia"/>
                <w:b w:val="0"/>
              </w:rPr>
              <w:t xml:space="preserve">and employees </w:t>
            </w:r>
            <w:r>
              <w:rPr>
                <w:rFonts w:eastAsiaTheme="majorEastAsia"/>
                <w:b w:val="0"/>
              </w:rPr>
              <w:t>of the Policy, Investment &amp; Evidence Group for example:</w:t>
            </w:r>
          </w:p>
          <w:p w:rsidR="00B22751" w:rsidRDefault="00AE0884">
            <w:pPr>
              <w:pStyle w:val="Bullet1"/>
              <w:numPr>
                <w:ilvl w:val="1"/>
                <w:numId w:val="1"/>
              </w:numPr>
              <w:jc w:val="left"/>
              <w:cnfStyle w:val="100000000000" w:firstRow="1" w:lastRow="0" w:firstColumn="0" w:lastColumn="0" w:oddVBand="0" w:evenVBand="0" w:oddHBand="0" w:evenHBand="0" w:firstRowFirstColumn="0" w:firstRowLastColumn="0" w:lastRowFirstColumn="0" w:lastRowLastColumn="0"/>
              <w:rPr>
                <w:rFonts w:eastAsiaTheme="majorEastAsia"/>
                <w:bCs/>
              </w:rPr>
            </w:pPr>
            <w:r>
              <w:rPr>
                <w:rFonts w:eastAsiaTheme="majorEastAsia"/>
                <w:b w:val="0"/>
              </w:rPr>
              <w:t xml:space="preserve">GM Funding and Performance </w:t>
            </w:r>
          </w:p>
          <w:p w:rsidR="00B22751" w:rsidRDefault="00AE0884">
            <w:pPr>
              <w:pStyle w:val="Bullet1"/>
              <w:numPr>
                <w:ilvl w:val="1"/>
                <w:numId w:val="1"/>
              </w:numPr>
              <w:jc w:val="left"/>
              <w:cnfStyle w:val="100000000000" w:firstRow="1" w:lastRow="0" w:firstColumn="0" w:lastColumn="0" w:oddVBand="0" w:evenVBand="0" w:oddHBand="0" w:evenHBand="0" w:firstRowFirstColumn="0" w:firstRowLastColumn="0" w:lastRowFirstColumn="0" w:lastRowLastColumn="0"/>
              <w:rPr>
                <w:rFonts w:eastAsiaTheme="majorEastAsia"/>
                <w:bCs/>
              </w:rPr>
            </w:pPr>
            <w:r>
              <w:rPr>
                <w:rFonts w:eastAsiaTheme="majorEastAsia"/>
                <w:b w:val="0"/>
              </w:rPr>
              <w:t>GM Evidence &amp; Investment</w:t>
            </w:r>
          </w:p>
          <w:p w:rsidR="00B22751" w:rsidRDefault="00AE0884">
            <w:pPr>
              <w:pStyle w:val="Bullet1"/>
              <w:numPr>
                <w:ilvl w:val="1"/>
                <w:numId w:val="1"/>
              </w:numPr>
              <w:jc w:val="left"/>
              <w:cnfStyle w:val="100000000000" w:firstRow="1" w:lastRow="0" w:firstColumn="0" w:lastColumn="0" w:oddVBand="0" w:evenVBand="0" w:oddHBand="0" w:evenHBand="0" w:firstRowFirstColumn="0" w:firstRowLastColumn="0" w:lastRowFirstColumn="0" w:lastRowLastColumn="0"/>
              <w:rPr>
                <w:rFonts w:eastAsiaTheme="majorEastAsia"/>
                <w:bCs/>
              </w:rPr>
            </w:pPr>
            <w:r>
              <w:rPr>
                <w:rFonts w:eastAsiaTheme="majorEastAsia"/>
                <w:b w:val="0"/>
              </w:rPr>
              <w:t>Policy Managers</w:t>
            </w:r>
          </w:p>
          <w:p w:rsidR="00B22751" w:rsidRDefault="00AE0884">
            <w:pPr>
              <w:pStyle w:val="Bullet1"/>
              <w:numPr>
                <w:ilvl w:val="1"/>
                <w:numId w:val="1"/>
              </w:numPr>
              <w:jc w:val="left"/>
              <w:cnfStyle w:val="100000000000" w:firstRow="1" w:lastRow="0" w:firstColumn="0" w:lastColumn="0" w:oddVBand="0" w:evenVBand="0" w:oddHBand="0" w:evenHBand="0" w:firstRowFirstColumn="0" w:firstRowLastColumn="0" w:lastRowFirstColumn="0" w:lastRowLastColumn="0"/>
              <w:rPr>
                <w:rFonts w:eastAsiaTheme="majorEastAsia"/>
                <w:bCs/>
              </w:rPr>
            </w:pPr>
            <w:r>
              <w:rPr>
                <w:rFonts w:eastAsiaTheme="majorEastAsia"/>
                <w:b w:val="0"/>
              </w:rPr>
              <w:t>Principal Analysts</w:t>
            </w:r>
          </w:p>
          <w:p w:rsidR="00B22751" w:rsidRDefault="00AE0884">
            <w:pPr>
              <w:pStyle w:val="Bullet1"/>
              <w:numPr>
                <w:ilvl w:val="1"/>
                <w:numId w:val="1"/>
              </w:numPr>
              <w:jc w:val="left"/>
              <w:cnfStyle w:val="100000000000" w:firstRow="1" w:lastRow="0" w:firstColumn="0" w:lastColumn="0" w:oddVBand="0" w:evenVBand="0" w:oddHBand="0" w:evenHBand="0" w:firstRowFirstColumn="0" w:firstRowLastColumn="0" w:lastRowFirstColumn="0" w:lastRowLastColumn="0"/>
              <w:rPr>
                <w:rFonts w:eastAsiaTheme="majorEastAsia"/>
                <w:b w:val="0"/>
                <w:bCs/>
              </w:rPr>
            </w:pPr>
            <w:r>
              <w:rPr>
                <w:rFonts w:eastAsiaTheme="majorEastAsia"/>
                <w:b w:val="0"/>
              </w:rPr>
              <w:t>Staff and managers across MVCOT</w:t>
            </w:r>
          </w:p>
        </w:tc>
      </w:tr>
      <w:tr w:rsidR="00B22751" w:rsidTr="00B22751">
        <w:tc>
          <w:tcPr>
            <w:cnfStyle w:val="001000000000" w:firstRow="0" w:lastRow="0" w:firstColumn="1" w:lastColumn="0" w:oddVBand="0" w:evenVBand="0" w:oddHBand="0" w:evenHBand="0" w:firstRowFirstColumn="0" w:firstRowLastColumn="0" w:lastRowFirstColumn="0" w:lastRowLastColumn="0"/>
            <w:tcW w:w="2656" w:type="dxa"/>
            <w:tcBorders>
              <w:left w:val="nil"/>
              <w:right w:val="nil"/>
            </w:tcBorders>
            <w:shd w:val="clear" w:color="auto" w:fill="FFFFFF" w:themeFill="background1"/>
          </w:tcPr>
          <w:p w:rsidR="00B22751" w:rsidRDefault="00AE0884">
            <w:pPr>
              <w:jc w:val="left"/>
              <w:rPr>
                <w:b w:val="0"/>
                <w:bCs/>
              </w:rPr>
            </w:pPr>
            <w:r>
              <w:t>External</w:t>
            </w:r>
          </w:p>
        </w:tc>
        <w:tc>
          <w:tcPr>
            <w:tcW w:w="6524" w:type="dxa"/>
            <w:tcBorders>
              <w:right w:val="nil"/>
            </w:tcBorders>
            <w:shd w:val="clear" w:color="auto" w:fill="FFFFFF" w:themeFill="background1"/>
          </w:tcPr>
          <w:p w:rsidR="00B22751" w:rsidRDefault="00AE0884">
            <w:pPr>
              <w:pStyle w:val="Bullet1"/>
              <w:jc w:val="left"/>
              <w:cnfStyle w:val="000000000000" w:firstRow="0" w:lastRow="0" w:firstColumn="0" w:lastColumn="0" w:oddVBand="0" w:evenVBand="0" w:oddHBand="0" w:evenHBand="0" w:firstRowFirstColumn="0" w:firstRowLastColumn="0" w:lastRowFirstColumn="0" w:lastRowLastColumn="0"/>
            </w:pPr>
            <w:r>
              <w:rPr>
                <w:lang w:val="en-AU"/>
              </w:rPr>
              <w:t>Ministries and their staff</w:t>
            </w:r>
          </w:p>
          <w:p w:rsidR="00B22751" w:rsidRDefault="00AE0884">
            <w:pPr>
              <w:pStyle w:val="Bullet1"/>
              <w:jc w:val="left"/>
              <w:cnfStyle w:val="000000000000" w:firstRow="0" w:lastRow="0" w:firstColumn="0" w:lastColumn="0" w:oddVBand="0" w:evenVBand="0" w:oddHBand="0" w:evenHBand="0" w:firstRowFirstColumn="0" w:firstRowLastColumn="0" w:lastRowFirstColumn="0" w:lastRowLastColumn="0"/>
            </w:pPr>
            <w:r>
              <w:t>Ministry of Social Development</w:t>
            </w:r>
          </w:p>
          <w:p w:rsidR="00B22751" w:rsidRDefault="00AE0884">
            <w:pPr>
              <w:pStyle w:val="Bullet1"/>
              <w:jc w:val="left"/>
              <w:cnfStyle w:val="000000000000" w:firstRow="0" w:lastRow="0" w:firstColumn="0" w:lastColumn="0" w:oddVBand="0" w:evenVBand="0" w:oddHBand="0" w:evenHBand="0" w:firstRowFirstColumn="0" w:firstRowLastColumn="0" w:lastRowFirstColumn="0" w:lastRowLastColumn="0"/>
            </w:pPr>
            <w:r>
              <w:t>Policy Managers from other Government organisations</w:t>
            </w:r>
          </w:p>
          <w:p w:rsidR="00B22751" w:rsidRDefault="00AE0884">
            <w:pPr>
              <w:pStyle w:val="Bullet1"/>
              <w:jc w:val="left"/>
              <w:cnfStyle w:val="000000000000" w:firstRow="0" w:lastRow="0" w:firstColumn="0" w:lastColumn="0" w:oddVBand="0" w:evenVBand="0" w:oddHBand="0" w:evenHBand="0" w:firstRowFirstColumn="0" w:firstRowLastColumn="0" w:lastRowFirstColumn="0" w:lastRowLastColumn="0"/>
            </w:pPr>
            <w:r>
              <w:t>Senior executives and representatives in Ministries, Government Departments, Central Agencies</w:t>
            </w:r>
          </w:p>
          <w:p w:rsidR="00B22751" w:rsidRDefault="00AE0884">
            <w:pPr>
              <w:pStyle w:val="Bullet1"/>
              <w:jc w:val="left"/>
              <w:cnfStyle w:val="000000000000" w:firstRow="0" w:lastRow="0" w:firstColumn="0" w:lastColumn="0" w:oddVBand="0" w:evenVBand="0" w:oddHBand="0" w:evenHBand="0" w:firstRowFirstColumn="0" w:firstRowLastColumn="0" w:lastRowFirstColumn="0" w:lastRowLastColumn="0"/>
            </w:pPr>
            <w:r>
              <w:t>Iwi Networks and Maori Interest groups</w:t>
            </w:r>
          </w:p>
          <w:p w:rsidR="00B22751" w:rsidRDefault="00AE0884">
            <w:pPr>
              <w:pStyle w:val="Bullet1"/>
              <w:jc w:val="left"/>
              <w:cnfStyle w:val="000000000000" w:firstRow="0" w:lastRow="0" w:firstColumn="0" w:lastColumn="0" w:oddVBand="0" w:evenVBand="0" w:oddHBand="0" w:evenHBand="0" w:firstRowFirstColumn="0" w:firstRowLastColumn="0" w:lastRowFirstColumn="0" w:lastRowLastColumn="0"/>
            </w:pPr>
            <w:r>
              <w:t>Local government, non-governmental organisations, community and voluntary sector groups.</w:t>
            </w:r>
          </w:p>
        </w:tc>
      </w:tr>
    </w:tbl>
    <w:p w:rsidR="00B22751" w:rsidRDefault="00B22751"/>
    <w:p w:rsidR="00B22751" w:rsidRDefault="00AE0884">
      <w:pPr>
        <w:tabs>
          <w:tab w:val="left" w:pos="2694"/>
        </w:tabs>
        <w:spacing w:after="0"/>
        <w:rPr>
          <w:rFonts w:ascii="Oswald" w:hAnsi="Oswald"/>
          <w:sz w:val="28"/>
        </w:rPr>
      </w:pPr>
      <w:r>
        <w:rPr>
          <w:rFonts w:ascii="Oswald" w:hAnsi="Oswald"/>
          <w:sz w:val="28"/>
        </w:rPr>
        <w:t xml:space="preserve">QUALIFICATIONS &amp; EXPERIENCE </w:t>
      </w:r>
    </w:p>
    <w:tbl>
      <w:tblPr>
        <w:tblStyle w:val="LightShading-Accent1"/>
        <w:tblW w:w="9180" w:type="dxa"/>
        <w:tblLayout w:type="fixed"/>
        <w:tblCellMar>
          <w:top w:w="85" w:type="dxa"/>
          <w:bottom w:w="85" w:type="dxa"/>
        </w:tblCellMar>
        <w:tblLook w:val="04A0" w:firstRow="1" w:lastRow="0" w:firstColumn="1" w:lastColumn="0" w:noHBand="0" w:noVBand="1"/>
      </w:tblPr>
      <w:tblGrid>
        <w:gridCol w:w="2656"/>
        <w:gridCol w:w="6524"/>
      </w:tblGrid>
      <w:tr w:rsidR="00B22751" w:rsidTr="00B227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B22751" w:rsidRDefault="00AE0884">
            <w:pPr>
              <w:spacing w:after="0"/>
              <w:jc w:val="left"/>
              <w:rPr>
                <w:rFonts w:eastAsiaTheme="majorEastAsia"/>
                <w:b w:val="0"/>
                <w:bCs/>
              </w:rPr>
            </w:pPr>
            <w:r>
              <w:rPr>
                <w:rFonts w:eastAsiaTheme="majorEastAsia"/>
              </w:rPr>
              <w:t>Qualifications</w:t>
            </w:r>
          </w:p>
        </w:tc>
        <w:tc>
          <w:tcPr>
            <w:tcW w:w="6524" w:type="dxa"/>
            <w:tcBorders>
              <w:top w:val="threeDEngrave" w:sz="24" w:space="0" w:color="auto"/>
              <w:bottom w:val="single" w:sz="4" w:space="0" w:color="auto"/>
            </w:tcBorders>
            <w:shd w:val="clear" w:color="auto" w:fill="auto"/>
          </w:tcPr>
          <w:p w:rsidR="00B22751" w:rsidRDefault="00AE0884">
            <w:pPr>
              <w:pStyle w:val="Bullet1"/>
              <w:jc w:val="left"/>
              <w:cnfStyle w:val="100000000000" w:firstRow="1" w:lastRow="0" w:firstColumn="0" w:lastColumn="0" w:oddVBand="0" w:evenVBand="0" w:oddHBand="0" w:evenHBand="0" w:firstRowFirstColumn="0" w:firstRowLastColumn="0" w:lastRowFirstColumn="0" w:lastRowLastColumn="0"/>
              <w:rPr>
                <w:rFonts w:eastAsiaTheme="majorEastAsia"/>
                <w:bCs/>
                <w:i/>
              </w:rPr>
            </w:pPr>
            <w:r>
              <w:rPr>
                <w:rFonts w:eastAsiaTheme="majorEastAsia"/>
                <w:b w:val="0"/>
              </w:rPr>
              <w:t>Appropriate Tertiary degree is mandatory.  This could be drawn from a range of disciplines, for example but not limited to: Public Policy, Law, Business, Public / Business Administration.</w:t>
            </w:r>
          </w:p>
          <w:p w:rsidR="00B22751" w:rsidRDefault="00B22751">
            <w:pPr>
              <w:pStyle w:val="Bullet1"/>
              <w:numPr>
                <w:ilvl w:val="0"/>
                <w:numId w:val="0"/>
              </w:numPr>
              <w:ind w:left="175"/>
              <w:jc w:val="left"/>
              <w:cnfStyle w:val="100000000000" w:firstRow="1" w:lastRow="0" w:firstColumn="0" w:lastColumn="0" w:oddVBand="0" w:evenVBand="0" w:oddHBand="0" w:evenHBand="0" w:firstRowFirstColumn="0" w:firstRowLastColumn="0" w:lastRowFirstColumn="0" w:lastRowLastColumn="0"/>
              <w:rPr>
                <w:rFonts w:eastAsiaTheme="majorEastAsia"/>
                <w:b w:val="0"/>
                <w:bCs/>
              </w:rPr>
            </w:pPr>
          </w:p>
        </w:tc>
      </w:tr>
      <w:tr w:rsidR="00B22751" w:rsidTr="00B22751">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left w:val="nil"/>
              <w:bottom w:val="single" w:sz="4" w:space="0" w:color="auto"/>
              <w:right w:val="nil"/>
            </w:tcBorders>
            <w:shd w:val="clear" w:color="auto" w:fill="auto"/>
          </w:tcPr>
          <w:p w:rsidR="00B22751" w:rsidRDefault="00AE0884">
            <w:pPr>
              <w:jc w:val="left"/>
              <w:rPr>
                <w:b w:val="0"/>
                <w:bCs/>
              </w:rPr>
            </w:pPr>
            <w:r>
              <w:t>Experience</w:t>
            </w:r>
          </w:p>
        </w:tc>
        <w:tc>
          <w:tcPr>
            <w:tcW w:w="6524" w:type="dxa"/>
            <w:tcBorders>
              <w:top w:val="single" w:sz="4" w:space="0" w:color="auto"/>
              <w:bottom w:val="single" w:sz="4" w:space="0" w:color="auto"/>
              <w:right w:val="nil"/>
            </w:tcBorders>
            <w:shd w:val="clear" w:color="auto" w:fill="auto"/>
          </w:tcPr>
          <w:p w:rsidR="00B22751" w:rsidRDefault="00AE0884">
            <w:pPr>
              <w:pStyle w:val="Bullet1"/>
              <w:jc w:val="left"/>
              <w:cnfStyle w:val="000000000000" w:firstRow="0" w:lastRow="0" w:firstColumn="0" w:lastColumn="0" w:oddVBand="0" w:evenVBand="0" w:oddHBand="0" w:evenHBand="0" w:firstRowFirstColumn="0" w:firstRowLastColumn="0" w:lastRowFirstColumn="0" w:lastRowLastColumn="0"/>
            </w:pPr>
            <w:r>
              <w:t>Must have thorough grounding in Policy Development/Analysis at a senior level</w:t>
            </w:r>
          </w:p>
          <w:p w:rsidR="00B22751" w:rsidRDefault="00AE0884">
            <w:pPr>
              <w:pStyle w:val="Bullet1"/>
              <w:jc w:val="left"/>
              <w:cnfStyle w:val="000000000000" w:firstRow="0" w:lastRow="0" w:firstColumn="0" w:lastColumn="0" w:oddVBand="0" w:evenVBand="0" w:oddHBand="0" w:evenHBand="0" w:firstRowFirstColumn="0" w:firstRowLastColumn="0" w:lastRowFirstColumn="0" w:lastRowLastColumn="0"/>
            </w:pPr>
            <w:r>
              <w:t>Demonstrated people management experience in leading high performing teams, particularly in the public sector</w:t>
            </w:r>
          </w:p>
          <w:p w:rsidR="00B22751" w:rsidRDefault="00AE0884">
            <w:pPr>
              <w:pStyle w:val="Bullet1"/>
              <w:jc w:val="left"/>
              <w:cnfStyle w:val="000000000000" w:firstRow="0" w:lastRow="0" w:firstColumn="0" w:lastColumn="0" w:oddVBand="0" w:evenVBand="0" w:oddHBand="0" w:evenHBand="0" w:firstRowFirstColumn="0" w:firstRowLastColumn="0" w:lastRowFirstColumn="0" w:lastRowLastColumn="0"/>
            </w:pPr>
            <w:r>
              <w:t>Sound knowledge of Government direction and policy priorities</w:t>
            </w:r>
          </w:p>
          <w:p w:rsidR="00B22751" w:rsidRDefault="00AE0884">
            <w:pPr>
              <w:pStyle w:val="Bullet1"/>
              <w:jc w:val="left"/>
              <w:cnfStyle w:val="000000000000" w:firstRow="0" w:lastRow="0" w:firstColumn="0" w:lastColumn="0" w:oddVBand="0" w:evenVBand="0" w:oddHBand="0" w:evenHBand="0" w:firstRowFirstColumn="0" w:firstRowLastColumn="0" w:lastRowFirstColumn="0" w:lastRowLastColumn="0"/>
            </w:pPr>
            <w:r>
              <w:t>Knowledge and/or experience of contemporary issues in social policy</w:t>
            </w:r>
          </w:p>
        </w:tc>
      </w:tr>
      <w:tr w:rsidR="00B22751" w:rsidTr="00B22751">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22751" w:rsidRDefault="00AE0884">
            <w:pPr>
              <w:jc w:val="left"/>
              <w:rPr>
                <w:b w:val="0"/>
                <w:bCs/>
              </w:rPr>
            </w:pPr>
            <w:r>
              <w:t>Skills</w:t>
            </w:r>
          </w:p>
        </w:tc>
        <w:tc>
          <w:tcPr>
            <w:tcW w:w="6524" w:type="dxa"/>
            <w:tcBorders>
              <w:top w:val="single" w:sz="4" w:space="0" w:color="auto"/>
              <w:bottom w:val="single" w:sz="4" w:space="0" w:color="auto"/>
            </w:tcBorders>
            <w:shd w:val="clear" w:color="auto" w:fill="auto"/>
          </w:tcPr>
          <w:p w:rsidR="00B22751" w:rsidRDefault="00AE0884">
            <w:pPr>
              <w:pStyle w:val="Bullet1"/>
              <w:jc w:val="left"/>
              <w:cnfStyle w:val="000000000000" w:firstRow="0" w:lastRow="0" w:firstColumn="0" w:lastColumn="0" w:oddVBand="0" w:evenVBand="0" w:oddHBand="0" w:evenHBand="0" w:firstRowFirstColumn="0" w:firstRowLastColumn="0" w:lastRowFirstColumn="0" w:lastRowLastColumn="0"/>
            </w:pPr>
            <w:r>
              <w:t>Excellent verbal, written and interpersonal communication skills</w:t>
            </w:r>
          </w:p>
          <w:p w:rsidR="00B22751" w:rsidRDefault="00AE0884">
            <w:pPr>
              <w:pStyle w:val="Bullet1"/>
              <w:jc w:val="left"/>
              <w:cnfStyle w:val="000000000000" w:firstRow="0" w:lastRow="0" w:firstColumn="0" w:lastColumn="0" w:oddVBand="0" w:evenVBand="0" w:oddHBand="0" w:evenHBand="0" w:firstRowFirstColumn="0" w:firstRowLastColumn="0" w:lastRowFirstColumn="0" w:lastRowLastColumn="0"/>
            </w:pPr>
            <w:r>
              <w:t>Ability to communicate complex ideas to a variety of audiences and build and maintain rapport with others</w:t>
            </w:r>
          </w:p>
          <w:p w:rsidR="00B22751" w:rsidRDefault="00AE0884">
            <w:pPr>
              <w:pStyle w:val="Bullet1"/>
              <w:jc w:val="left"/>
              <w:cnfStyle w:val="000000000000" w:firstRow="0" w:lastRow="0" w:firstColumn="0" w:lastColumn="0" w:oddVBand="0" w:evenVBand="0" w:oddHBand="0" w:evenHBand="0" w:firstRowFirstColumn="0" w:firstRowLastColumn="0" w:lastRowFirstColumn="0" w:lastRowLastColumn="0"/>
            </w:pPr>
            <w:r>
              <w:t>Understanding of analytical concepts and application of these in a social policy or similar area</w:t>
            </w:r>
          </w:p>
          <w:p w:rsidR="00B22751" w:rsidRDefault="00AE0884">
            <w:pPr>
              <w:pStyle w:val="Bullet1"/>
              <w:jc w:val="left"/>
              <w:cnfStyle w:val="000000000000" w:firstRow="0" w:lastRow="0" w:firstColumn="0" w:lastColumn="0" w:oddVBand="0" w:evenVBand="0" w:oddHBand="0" w:evenHBand="0" w:firstRowFirstColumn="0" w:firstRowLastColumn="0" w:lastRowFirstColumn="0" w:lastRowLastColumn="0"/>
            </w:pPr>
            <w:r>
              <w:t>Sensitivity towards Maori, Pacific Peoples and other cultures</w:t>
            </w:r>
          </w:p>
          <w:p w:rsidR="00B22751" w:rsidRDefault="00AE0884">
            <w:pPr>
              <w:pStyle w:val="Bullet1"/>
              <w:jc w:val="left"/>
              <w:cnfStyle w:val="000000000000" w:firstRow="0" w:lastRow="0" w:firstColumn="0" w:lastColumn="0" w:oddVBand="0" w:evenVBand="0" w:oddHBand="0" w:evenHBand="0" w:firstRowFirstColumn="0" w:firstRowLastColumn="0" w:lastRowFirstColumn="0" w:lastRowLastColumn="0"/>
            </w:pPr>
            <w:r>
              <w:t xml:space="preserve">Some understanding of basic Te Reo Maori, Mandarin, or Samoan both verbally and written would be valuable </w:t>
            </w:r>
          </w:p>
          <w:p w:rsidR="00B22751" w:rsidRDefault="00AE0884">
            <w:pPr>
              <w:pStyle w:val="Bullet1"/>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Welcomes and values diversity, and contributes to an inclusive working environment where differences are acknowledged and respected.</w:t>
            </w:r>
          </w:p>
          <w:p w:rsidR="00B22751" w:rsidRDefault="00B22751">
            <w:pPr>
              <w:pStyle w:val="Bullet1"/>
              <w:numPr>
                <w:ilvl w:val="0"/>
                <w:numId w:val="0"/>
              </w:numPr>
              <w:ind w:left="175"/>
              <w:jc w:val="left"/>
              <w:cnfStyle w:val="000000000000" w:firstRow="0" w:lastRow="0" w:firstColumn="0" w:lastColumn="0" w:oddVBand="0" w:evenVBand="0" w:oddHBand="0" w:evenHBand="0" w:firstRowFirstColumn="0" w:firstRowLastColumn="0" w:lastRowFirstColumn="0" w:lastRowLastColumn="0"/>
            </w:pPr>
          </w:p>
        </w:tc>
      </w:tr>
    </w:tbl>
    <w:p w:rsidR="00B22751" w:rsidRDefault="00B22751"/>
    <w:p w:rsidR="00B22751" w:rsidRDefault="00AE0884">
      <w:pPr>
        <w:tabs>
          <w:tab w:val="left" w:pos="2694"/>
        </w:tabs>
        <w:spacing w:after="0"/>
        <w:rPr>
          <w:rFonts w:ascii="Oswald" w:hAnsi="Oswald"/>
          <w:sz w:val="28"/>
        </w:rPr>
      </w:pPr>
      <w:r>
        <w:rPr>
          <w:rFonts w:ascii="Oswald" w:hAnsi="Oswald"/>
          <w:sz w:val="28"/>
        </w:rPr>
        <w:lastRenderedPageBreak/>
        <w:t>POSITION COMPETENCIES</w:t>
      </w:r>
      <w:r>
        <w:rPr>
          <w:highlight w:val="yellow"/>
        </w:rPr>
        <w:t xml:space="preserve"> </w:t>
      </w:r>
    </w:p>
    <w:tbl>
      <w:tblPr>
        <w:tblStyle w:val="LightShading-Accent1"/>
        <w:tblW w:w="9180" w:type="dxa"/>
        <w:tblLayout w:type="fixed"/>
        <w:tblCellMar>
          <w:top w:w="85" w:type="dxa"/>
          <w:bottom w:w="85" w:type="dxa"/>
        </w:tblCellMar>
        <w:tblLook w:val="04A0" w:firstRow="1" w:lastRow="0" w:firstColumn="1" w:lastColumn="0" w:noHBand="0" w:noVBand="1"/>
      </w:tblPr>
      <w:tblGrid>
        <w:gridCol w:w="2656"/>
        <w:gridCol w:w="6524"/>
      </w:tblGrid>
      <w:tr w:rsidR="00B22751" w:rsidTr="00B227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B22751" w:rsidRDefault="00AE0884">
            <w:pPr>
              <w:spacing w:after="0"/>
              <w:jc w:val="left"/>
              <w:rPr>
                <w:rFonts w:eastAsiaTheme="majorEastAsia"/>
                <w:b w:val="0"/>
                <w:bCs/>
              </w:rPr>
            </w:pPr>
            <w:r>
              <w:rPr>
                <w:rFonts w:eastAsiaTheme="majorEastAsia"/>
              </w:rPr>
              <w:t>Competency</w:t>
            </w:r>
          </w:p>
        </w:tc>
        <w:tc>
          <w:tcPr>
            <w:tcW w:w="6524" w:type="dxa"/>
            <w:tcBorders>
              <w:top w:val="threeDEngrave" w:sz="24" w:space="0" w:color="auto"/>
              <w:bottom w:val="single" w:sz="4" w:space="0" w:color="auto"/>
            </w:tcBorders>
            <w:shd w:val="clear" w:color="auto" w:fill="auto"/>
          </w:tcPr>
          <w:p w:rsidR="00B22751" w:rsidRDefault="00AE0884">
            <w:pPr>
              <w:pStyle w:val="Bullet1"/>
              <w:numPr>
                <w:ilvl w:val="0"/>
                <w:numId w:val="0"/>
              </w:numPr>
              <w:spacing w:after="0"/>
              <w:ind w:left="324" w:hanging="284"/>
              <w:jc w:val="left"/>
              <w:cnfStyle w:val="100000000000" w:firstRow="1" w:lastRow="0" w:firstColumn="0" w:lastColumn="0" w:oddVBand="0" w:evenVBand="0" w:oddHBand="0" w:evenHBand="0" w:firstRowFirstColumn="0" w:firstRowLastColumn="0" w:lastRowFirstColumn="0" w:lastRowLastColumn="0"/>
              <w:rPr>
                <w:rFonts w:eastAsiaTheme="majorEastAsia"/>
                <w:b w:val="0"/>
                <w:bCs/>
              </w:rPr>
            </w:pPr>
            <w:r>
              <w:rPr>
                <w:rFonts w:eastAsiaTheme="majorEastAsia"/>
              </w:rPr>
              <w:t>Description of success profile behaviour</w:t>
            </w:r>
          </w:p>
        </w:tc>
      </w:tr>
      <w:tr w:rsidR="00B22751" w:rsidTr="00B22751">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left w:val="nil"/>
              <w:bottom w:val="single" w:sz="4" w:space="0" w:color="auto"/>
              <w:right w:val="nil"/>
            </w:tcBorders>
            <w:shd w:val="clear" w:color="auto" w:fill="auto"/>
          </w:tcPr>
          <w:p w:rsidR="00B22751" w:rsidRDefault="00B22751">
            <w:pPr>
              <w:jc w:val="left"/>
              <w:rPr>
                <w:b w:val="0"/>
                <w:bCs/>
              </w:rPr>
            </w:pPr>
          </w:p>
        </w:tc>
        <w:tc>
          <w:tcPr>
            <w:tcW w:w="6524" w:type="dxa"/>
            <w:tcBorders>
              <w:top w:val="single" w:sz="4" w:space="0" w:color="auto"/>
              <w:bottom w:val="single" w:sz="4" w:space="0" w:color="auto"/>
              <w:right w:val="nil"/>
            </w:tcBorders>
            <w:shd w:val="clear" w:color="auto" w:fill="auto"/>
          </w:tcPr>
          <w:p w:rsidR="00B22751" w:rsidRDefault="00AE0884">
            <w:pPr>
              <w:pStyle w:val="Bullet1"/>
              <w:numPr>
                <w:ilvl w:val="0"/>
                <w:numId w:val="0"/>
              </w:numPr>
              <w:ind w:left="175"/>
              <w:cnfStyle w:val="000000000000" w:firstRow="0" w:lastRow="0" w:firstColumn="0" w:lastColumn="0" w:oddVBand="0" w:evenVBand="0" w:oddHBand="0" w:evenHBand="0" w:firstRowFirstColumn="0" w:firstRowLastColumn="0" w:lastRowFirstColumn="0" w:lastRowLastColumn="0"/>
              <w:rPr>
                <w:b/>
              </w:rPr>
            </w:pPr>
            <w:r>
              <w:rPr>
                <w:b/>
              </w:rPr>
              <w:t>Analytical skills</w:t>
            </w:r>
          </w:p>
          <w:p w:rsidR="00B22751" w:rsidRDefault="00AE0884">
            <w:pPr>
              <w:pStyle w:val="Bullet1"/>
              <w:cnfStyle w:val="000000000000" w:firstRow="0" w:lastRow="0" w:firstColumn="0" w:lastColumn="0" w:oddVBand="0" w:evenVBand="0" w:oddHBand="0" w:evenHBand="0" w:firstRowFirstColumn="0" w:firstRowLastColumn="0" w:lastRowFirstColumn="0" w:lastRowLastColumn="0"/>
              <w:rPr>
                <w:b/>
              </w:rPr>
            </w:pPr>
            <w:r>
              <w:rPr>
                <w:rFonts w:cs="Arial"/>
              </w:rPr>
              <w:t xml:space="preserve">Demonstrates clarity of </w:t>
            </w:r>
            <w:proofErr w:type="gramStart"/>
            <w:r>
              <w:rPr>
                <w:rFonts w:cs="Arial"/>
              </w:rPr>
              <w:t>thinking,</w:t>
            </w:r>
            <w:proofErr w:type="gramEnd"/>
            <w:r>
              <w:rPr>
                <w:rFonts w:cs="Arial"/>
              </w:rPr>
              <w:t xml:space="preserve"> defines problems clearly, produces advice that is thorough, objective and methodologically sound, constructs logical arguments that reconcile areas of complexity or ambiguity, and creates practical recommendations and solutions back up with solid reasoning.</w:t>
            </w:r>
          </w:p>
          <w:p w:rsidR="00B22751" w:rsidRDefault="00AE0884">
            <w:pPr>
              <w:pStyle w:val="Bullet1"/>
              <w:numPr>
                <w:ilvl w:val="0"/>
                <w:numId w:val="0"/>
              </w:numPr>
              <w:ind w:left="175"/>
              <w:cnfStyle w:val="000000000000" w:firstRow="0" w:lastRow="0" w:firstColumn="0" w:lastColumn="0" w:oddVBand="0" w:evenVBand="0" w:oddHBand="0" w:evenHBand="0" w:firstRowFirstColumn="0" w:firstRowLastColumn="0" w:lastRowFirstColumn="0" w:lastRowLastColumn="0"/>
              <w:rPr>
                <w:b/>
              </w:rPr>
            </w:pPr>
            <w:r>
              <w:rPr>
                <w:rFonts w:cs="Arial"/>
                <w:b/>
              </w:rPr>
              <w:t>Results-oriented</w:t>
            </w:r>
          </w:p>
          <w:p w:rsidR="00B22751" w:rsidRDefault="00AE0884">
            <w:pPr>
              <w:pStyle w:val="Bullet1"/>
              <w:cnfStyle w:val="000000000000" w:firstRow="0" w:lastRow="0" w:firstColumn="0" w:lastColumn="0" w:oddVBand="0" w:evenVBand="0" w:oddHBand="0" w:evenHBand="0" w:firstRowFirstColumn="0" w:firstRowLastColumn="0" w:lastRowFirstColumn="0" w:lastRowLastColumn="0"/>
              <w:rPr>
                <w:b/>
              </w:rPr>
            </w:pPr>
            <w:r>
              <w:rPr>
                <w:rFonts w:cs="Arial"/>
              </w:rPr>
              <w:t>Is motivated, persistent, and delivers; takes action to achieve goals, anticipates potential issues, obstacles or problems and deals with them effectively, and completes projects and work assignments efficiently and on time without the need for prompting.</w:t>
            </w:r>
          </w:p>
          <w:p w:rsidR="00B22751" w:rsidRDefault="00AE0884">
            <w:pPr>
              <w:pStyle w:val="Bullet1"/>
              <w:numPr>
                <w:ilvl w:val="0"/>
                <w:numId w:val="0"/>
              </w:numPr>
              <w:ind w:left="175"/>
              <w:cnfStyle w:val="000000000000" w:firstRow="0" w:lastRow="0" w:firstColumn="0" w:lastColumn="0" w:oddVBand="0" w:evenVBand="0" w:oddHBand="0" w:evenHBand="0" w:firstRowFirstColumn="0" w:firstRowLastColumn="0" w:lastRowFirstColumn="0" w:lastRowLastColumn="0"/>
              <w:rPr>
                <w:rFonts w:cs="Arial"/>
                <w:b/>
              </w:rPr>
            </w:pPr>
            <w:r>
              <w:rPr>
                <w:rFonts w:cs="Arial"/>
                <w:b/>
              </w:rPr>
              <w:t>Innovation and creativity</w:t>
            </w:r>
          </w:p>
          <w:p w:rsidR="00B22751" w:rsidRDefault="00AE0884">
            <w:pPr>
              <w:pStyle w:val="Bullet1"/>
              <w:cnfStyle w:val="000000000000" w:firstRow="0" w:lastRow="0" w:firstColumn="0" w:lastColumn="0" w:oddVBand="0" w:evenVBand="0" w:oddHBand="0" w:evenHBand="0" w:firstRowFirstColumn="0" w:firstRowLastColumn="0" w:lastRowFirstColumn="0" w:lastRowLastColumn="0"/>
              <w:rPr>
                <w:b/>
              </w:rPr>
            </w:pPr>
            <w:r>
              <w:rPr>
                <w:rFonts w:cs="Arial"/>
              </w:rPr>
              <w:t>Continuously encourages others to identify opportunities for different and innovative approaches to address organisational problems and opportunities.</w:t>
            </w:r>
          </w:p>
          <w:p w:rsidR="00B22751" w:rsidRDefault="00AE0884">
            <w:pPr>
              <w:pStyle w:val="Bullet1"/>
              <w:numPr>
                <w:ilvl w:val="0"/>
                <w:numId w:val="0"/>
              </w:numPr>
              <w:ind w:left="175"/>
              <w:cnfStyle w:val="000000000000" w:firstRow="0" w:lastRow="0" w:firstColumn="0" w:lastColumn="0" w:oddVBand="0" w:evenVBand="0" w:oddHBand="0" w:evenHBand="0" w:firstRowFirstColumn="0" w:firstRowLastColumn="0" w:lastRowFirstColumn="0" w:lastRowLastColumn="0"/>
              <w:rPr>
                <w:rFonts w:cs="Arial"/>
                <w:b/>
              </w:rPr>
            </w:pPr>
            <w:r>
              <w:rPr>
                <w:rFonts w:cs="Arial"/>
                <w:b/>
              </w:rPr>
              <w:t>Communication skills</w:t>
            </w:r>
          </w:p>
          <w:p w:rsidR="00B22751" w:rsidRDefault="00AE0884">
            <w:pPr>
              <w:pStyle w:val="Bullet1"/>
              <w:cnfStyle w:val="000000000000" w:firstRow="0" w:lastRow="0" w:firstColumn="0" w:lastColumn="0" w:oddVBand="0" w:evenVBand="0" w:oddHBand="0" w:evenHBand="0" w:firstRowFirstColumn="0" w:firstRowLastColumn="0" w:lastRowFirstColumn="0" w:lastRowLastColumn="0"/>
              <w:rPr>
                <w:b/>
              </w:rPr>
            </w:pPr>
            <w:r>
              <w:rPr>
                <w:rFonts w:cs="Arial"/>
              </w:rPr>
              <w:t>Expresses ideas effectively in written communication and in individual and group situations; adjusts style to the needs of the intended audience.  Demonstrates excellent listening skills.</w:t>
            </w:r>
          </w:p>
          <w:p w:rsidR="00B22751" w:rsidRDefault="00AE0884">
            <w:pPr>
              <w:pStyle w:val="Bullet1"/>
              <w:numPr>
                <w:ilvl w:val="0"/>
                <w:numId w:val="0"/>
              </w:numPr>
              <w:ind w:left="175"/>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cs="Arial"/>
                <w:b/>
              </w:rPr>
              <w:t>Relationship management skills</w:t>
            </w:r>
          </w:p>
          <w:p w:rsidR="00B22751" w:rsidRDefault="00AE0884">
            <w:pPr>
              <w:pStyle w:val="Bullet1"/>
              <w:cnfStyle w:val="000000000000" w:firstRow="0" w:lastRow="0" w:firstColumn="0" w:lastColumn="0" w:oddVBand="0" w:evenVBand="0" w:oddHBand="0" w:evenHBand="0" w:firstRowFirstColumn="0" w:firstRowLastColumn="0" w:lastRowFirstColumn="0" w:lastRowLastColumn="0"/>
              <w:rPr>
                <w:rFonts w:cs="Arial"/>
              </w:rPr>
            </w:pPr>
            <w:r>
              <w:rPr>
                <w:rFonts w:cs="Arial"/>
              </w:rPr>
              <w:t>Works effectively with internal and external stakeholders, colleagues, staff, groups outside the formal line of authority, communities, interest groups and clients, external agencies and providers, to accomplish organisation goals.  Uses appropriate interpersonal styles and methods to articulate the Ministry’s position and strategy on issues (and related rationale) with accuracy and persuasion.</w:t>
            </w:r>
          </w:p>
          <w:p w:rsidR="00B22751" w:rsidRDefault="00AE0884">
            <w:pPr>
              <w:pStyle w:val="Bullet1"/>
              <w:numPr>
                <w:ilvl w:val="0"/>
                <w:numId w:val="0"/>
              </w:numPr>
              <w:spacing w:after="0"/>
              <w:ind w:left="40"/>
              <w:cnfStyle w:val="000000000000" w:firstRow="0" w:lastRow="0" w:firstColumn="0" w:lastColumn="0" w:oddVBand="0" w:evenVBand="0" w:oddHBand="0" w:evenHBand="0" w:firstRowFirstColumn="0" w:firstRowLastColumn="0" w:lastRowFirstColumn="0" w:lastRowLastColumn="0"/>
              <w:rPr>
                <w:rFonts w:cs="Arial"/>
                <w:b/>
              </w:rPr>
            </w:pPr>
            <w:r>
              <w:rPr>
                <w:rFonts w:cs="Arial"/>
                <w:b/>
              </w:rPr>
              <w:t>Judgement</w:t>
            </w:r>
          </w:p>
          <w:p w:rsidR="00B22751" w:rsidRDefault="00AE0884">
            <w:pPr>
              <w:pStyle w:val="Bullet1"/>
              <w:cnfStyle w:val="000000000000" w:firstRow="0" w:lastRow="0" w:firstColumn="0" w:lastColumn="0" w:oddVBand="0" w:evenVBand="0" w:oddHBand="0" w:evenHBand="0" w:firstRowFirstColumn="0" w:firstRowLastColumn="0" w:lastRowFirstColumn="0" w:lastRowLastColumn="0"/>
              <w:rPr>
                <w:rFonts w:cs="Arial"/>
                <w:b/>
              </w:rPr>
            </w:pPr>
            <w:r>
              <w:rPr>
                <w:rFonts w:cs="Arial"/>
              </w:rPr>
              <w:t>Behaves in an ethical, honest and transparent manner.  Is trusted to make decisions (appropriate to their level) backed up with sound reasoning.</w:t>
            </w:r>
          </w:p>
          <w:p w:rsidR="00B22751" w:rsidRDefault="00AE0884">
            <w:pPr>
              <w:pStyle w:val="Bullet1"/>
              <w:numPr>
                <w:ilvl w:val="0"/>
                <w:numId w:val="0"/>
              </w:numPr>
              <w:spacing w:after="0"/>
              <w:ind w:left="40"/>
              <w:cnfStyle w:val="000000000000" w:firstRow="0" w:lastRow="0" w:firstColumn="0" w:lastColumn="0" w:oddVBand="0" w:evenVBand="0" w:oddHBand="0" w:evenHBand="0" w:firstRowFirstColumn="0" w:firstRowLastColumn="0" w:lastRowFirstColumn="0" w:lastRowLastColumn="0"/>
              <w:rPr>
                <w:rFonts w:cs="Arial"/>
                <w:b/>
              </w:rPr>
            </w:pPr>
            <w:r>
              <w:rPr>
                <w:rFonts w:cs="Arial"/>
                <w:b/>
              </w:rPr>
              <w:t>Contributes to collective interests</w:t>
            </w:r>
          </w:p>
          <w:p w:rsidR="00B22751" w:rsidRDefault="00AE0884">
            <w:pPr>
              <w:pStyle w:val="Bullet1"/>
              <w:jc w:val="left"/>
              <w:cnfStyle w:val="000000000000" w:firstRow="0" w:lastRow="0" w:firstColumn="0" w:lastColumn="0" w:oddVBand="0" w:evenVBand="0" w:oddHBand="0" w:evenHBand="0" w:firstRowFirstColumn="0" w:firstRowLastColumn="0" w:lastRowFirstColumn="0" w:lastRowLastColumn="0"/>
            </w:pPr>
            <w:r>
              <w:rPr>
                <w:rFonts w:cs="Arial"/>
              </w:rPr>
              <w:t>Identifies and acts on opportunities to raise the profile of their team, group and the Ministry in a positive way, encourages others to make a contribution, shares knowledge and information.</w:t>
            </w:r>
          </w:p>
        </w:tc>
      </w:tr>
    </w:tbl>
    <w:p w:rsidR="00B22751" w:rsidRDefault="00B22751"/>
    <w:sectPr w:rsidR="00B22751">
      <w:footerReference w:type="default" r:id="rId11"/>
      <w:headerReference w:type="first" r:id="rId12"/>
      <w:footerReference w:type="first" r:id="rId13"/>
      <w:pgSz w:w="11906" w:h="16838"/>
      <w:pgMar w:top="969" w:right="1440" w:bottom="476" w:left="1440" w:header="568"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884" w:rsidRDefault="00AE0884">
      <w:pPr>
        <w:spacing w:after="0" w:line="240" w:lineRule="auto"/>
      </w:pPr>
      <w:r>
        <w:separator/>
      </w:r>
    </w:p>
  </w:endnote>
  <w:endnote w:type="continuationSeparator" w:id="0">
    <w:p w:rsidR="00AE0884" w:rsidRDefault="00AE0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panose1 w:val="02000000000000000000"/>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ato">
    <w:altName w:val="Calibri"/>
    <w:charset w:val="00"/>
    <w:family w:val="auto"/>
    <w:pitch w:val="default"/>
    <w:sig w:usb0="00000000" w:usb1="00000000" w:usb2="00000021" w:usb3="00000000" w:csb0="0000019F" w:csb1="00000000"/>
  </w:font>
  <w:font w:name="Oswald">
    <w:panose1 w:val="00000500000000000000"/>
    <w:charset w:val="00"/>
    <w:family w:val="auto"/>
    <w:pitch w:val="variable"/>
    <w:sig w:usb0="20000207" w:usb1="00000000"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57908"/>
    </w:sdtPr>
    <w:sdtEndPr/>
    <w:sdtContent>
      <w:p w:rsidR="00B22751" w:rsidRDefault="00AE0884">
        <w:pPr>
          <w:pStyle w:val="Footer"/>
        </w:pPr>
        <w:r>
          <w:t>Position Description –General Manager Policy</w:t>
        </w:r>
        <w:r>
          <w:tab/>
        </w:r>
        <w:r>
          <w:fldChar w:fldCharType="begin"/>
        </w:r>
        <w:r>
          <w:instrText xml:space="preserve"> PAGE   \* MERGEFORMAT </w:instrText>
        </w:r>
        <w:r>
          <w:fldChar w:fldCharType="separate"/>
        </w:r>
        <w:r w:rsidR="00D700F0">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751" w:rsidRDefault="00AE0884">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884" w:rsidRDefault="00AE0884">
      <w:pPr>
        <w:spacing w:after="0" w:line="240" w:lineRule="auto"/>
      </w:pPr>
      <w:r>
        <w:separator/>
      </w:r>
    </w:p>
  </w:footnote>
  <w:footnote w:type="continuationSeparator" w:id="0">
    <w:p w:rsidR="00AE0884" w:rsidRDefault="00AE0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751" w:rsidRDefault="00AE0884">
    <w:pPr>
      <w:pStyle w:val="WHITEHEADINGS"/>
      <w:spacing w:after="0" w:line="240" w:lineRule="auto"/>
    </w:pPr>
    <w:r>
      <w:rPr>
        <w:noProof/>
        <w:lang w:val="en-NZ"/>
      </w:rPr>
      <mc:AlternateContent>
        <mc:Choice Requires="wps">
          <w:drawing>
            <wp:anchor distT="0" distB="0" distL="114300" distR="114300" simplePos="0" relativeHeight="251673600" behindDoc="1" locked="0" layoutInCell="1" allowOverlap="1">
              <wp:simplePos x="0" y="0"/>
              <wp:positionH relativeFrom="column">
                <wp:posOffset>-949960</wp:posOffset>
              </wp:positionH>
              <wp:positionV relativeFrom="paragraph">
                <wp:posOffset>-360680</wp:posOffset>
              </wp:positionV>
              <wp:extent cx="7887335" cy="1365250"/>
              <wp:effectExtent l="0" t="0" r="0" b="6350"/>
              <wp:wrapNone/>
              <wp:docPr id="1" name="Rectangle 1"/>
              <wp:cNvGraphicFramePr/>
              <a:graphic xmlns:a="http://schemas.openxmlformats.org/drawingml/2006/main">
                <a:graphicData uri="http://schemas.microsoft.com/office/word/2010/wordprocessingShape">
                  <wps:wsp>
                    <wps:cNvSpPr/>
                    <wps:spPr>
                      <a:xfrm>
                        <a:off x="0" y="0"/>
                        <a:ext cx="7887335" cy="13652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2751" w:rsidRDefault="00B22751"/>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 o:spid="_x0000_s1026" style="position:absolute;left:0;text-align:left;margin-left:-74.8pt;margin-top:-28.4pt;width:621.05pt;height:107.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" fillcolor="black [3213]" stroked="f" strokeweight="2pt">
              <v:textbox>
                <w:txbxContent>
                  <w:p w:rsidR="00B22751" w:rsidRDefault="00B22751"/>
                </w:txbxContent>
              </v:textbox>
            </v:rect>
          </w:pict>
        </mc:Fallback>
      </mc:AlternateContent>
    </w:r>
    <w:r>
      <w:rPr>
        <w:noProof/>
        <w:lang w:val="en-NZ"/>
      </w:rPr>
      <w:drawing>
        <wp:anchor distT="0" distB="0" distL="114300" distR="114300" simplePos="0" relativeHeight="251676672" behindDoc="0" locked="0" layoutInCell="1" allowOverlap="1">
          <wp:simplePos x="0" y="0"/>
          <wp:positionH relativeFrom="column">
            <wp:posOffset>4452620</wp:posOffset>
          </wp:positionH>
          <wp:positionV relativeFrom="paragraph">
            <wp:posOffset>-65405</wp:posOffset>
          </wp:positionV>
          <wp:extent cx="1769110" cy="857250"/>
          <wp:effectExtent l="0" t="0" r="254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9424" cy="857243"/>
                  </a:xfrm>
                  <a:prstGeom prst="rect">
                    <a:avLst/>
                  </a:prstGeom>
                </pic:spPr>
              </pic:pic>
            </a:graphicData>
          </a:graphic>
        </wp:anchor>
      </w:drawing>
    </w:r>
    <w:r>
      <w:t>POSITION DESCRIPTION</w:t>
    </w:r>
  </w:p>
  <w:p w:rsidR="00B22751" w:rsidRDefault="00AE0884">
    <w:pPr>
      <w:pStyle w:val="WHITEHEADINGS"/>
      <w:spacing w:after="600"/>
      <w:jc w:val="left"/>
      <w:rPr>
        <w:sz w:val="28"/>
        <w:szCs w:val="24"/>
      </w:rPr>
    </w:pPr>
    <w:r>
      <w:rPr>
        <w:sz w:val="28"/>
        <w:szCs w:val="24"/>
      </w:rPr>
      <w:t>M</w:t>
    </w:r>
    <w:r>
      <w:rPr>
        <w:caps w:val="0"/>
        <w:sz w:val="28"/>
        <w:szCs w:val="24"/>
      </w:rPr>
      <w:t>inistry for Vulnerable Children, Oranga Tamariki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431D1"/>
    <w:multiLevelType w:val="multilevel"/>
    <w:tmpl w:val="453431D1"/>
    <w:lvl w:ilvl="0">
      <w:numFmt w:val="bullet"/>
      <w:lvlText w:val="-"/>
      <w:lvlJc w:val="left"/>
      <w:pPr>
        <w:ind w:left="360" w:hanging="360"/>
      </w:pPr>
      <w:rPr>
        <w:rFonts w:ascii="Roboto" w:eastAsiaTheme="majorEastAsia" w:hAnsi="Roboto" w:cstheme="minorHAns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65855F0D"/>
    <w:multiLevelType w:val="multilevel"/>
    <w:tmpl w:val="65855F0D"/>
    <w:lvl w:ilvl="0">
      <w:start w:val="1"/>
      <w:numFmt w:val="bullet"/>
      <w:pStyle w:val="Bullet1"/>
      <w:lvlText w:val="-"/>
      <w:lvlJc w:val="left"/>
      <w:pPr>
        <w:ind w:left="535" w:hanging="360"/>
      </w:pPr>
      <w:rPr>
        <w:rFonts w:ascii="Courier New" w:hAnsi="Courier New" w:hint="default"/>
      </w:rPr>
    </w:lvl>
    <w:lvl w:ilvl="1">
      <w:start w:val="1"/>
      <w:numFmt w:val="bullet"/>
      <w:lvlText w:val="o"/>
      <w:lvlJc w:val="left"/>
      <w:pPr>
        <w:ind w:left="1255" w:hanging="360"/>
      </w:pPr>
      <w:rPr>
        <w:rFonts w:ascii="Courier New" w:hAnsi="Courier New" w:cs="Courier New" w:hint="default"/>
      </w:rPr>
    </w:lvl>
    <w:lvl w:ilvl="2">
      <w:start w:val="1"/>
      <w:numFmt w:val="bullet"/>
      <w:lvlText w:val=""/>
      <w:lvlJc w:val="left"/>
      <w:pPr>
        <w:ind w:left="1975" w:hanging="360"/>
      </w:pPr>
      <w:rPr>
        <w:rFonts w:ascii="Wingdings" w:hAnsi="Wingdings" w:hint="default"/>
      </w:rPr>
    </w:lvl>
    <w:lvl w:ilvl="3">
      <w:start w:val="1"/>
      <w:numFmt w:val="bullet"/>
      <w:lvlText w:val=""/>
      <w:lvlJc w:val="left"/>
      <w:pPr>
        <w:ind w:left="2695" w:hanging="360"/>
      </w:pPr>
      <w:rPr>
        <w:rFonts w:ascii="Symbol" w:hAnsi="Symbol" w:hint="default"/>
      </w:rPr>
    </w:lvl>
    <w:lvl w:ilvl="4">
      <w:start w:val="1"/>
      <w:numFmt w:val="bullet"/>
      <w:lvlText w:val="o"/>
      <w:lvlJc w:val="left"/>
      <w:pPr>
        <w:ind w:left="3415" w:hanging="360"/>
      </w:pPr>
      <w:rPr>
        <w:rFonts w:ascii="Courier New" w:hAnsi="Courier New" w:cs="Courier New" w:hint="default"/>
      </w:rPr>
    </w:lvl>
    <w:lvl w:ilvl="5">
      <w:start w:val="1"/>
      <w:numFmt w:val="bullet"/>
      <w:lvlText w:val=""/>
      <w:lvlJc w:val="left"/>
      <w:pPr>
        <w:ind w:left="4135" w:hanging="360"/>
      </w:pPr>
      <w:rPr>
        <w:rFonts w:ascii="Wingdings" w:hAnsi="Wingdings" w:hint="default"/>
      </w:rPr>
    </w:lvl>
    <w:lvl w:ilvl="6">
      <w:start w:val="1"/>
      <w:numFmt w:val="bullet"/>
      <w:lvlText w:val=""/>
      <w:lvlJc w:val="left"/>
      <w:pPr>
        <w:ind w:left="4855" w:hanging="360"/>
      </w:pPr>
      <w:rPr>
        <w:rFonts w:ascii="Symbol" w:hAnsi="Symbol" w:hint="default"/>
      </w:rPr>
    </w:lvl>
    <w:lvl w:ilvl="7">
      <w:start w:val="1"/>
      <w:numFmt w:val="bullet"/>
      <w:lvlText w:val="o"/>
      <w:lvlJc w:val="left"/>
      <w:pPr>
        <w:ind w:left="5575" w:hanging="360"/>
      </w:pPr>
      <w:rPr>
        <w:rFonts w:ascii="Courier New" w:hAnsi="Courier New" w:cs="Courier New" w:hint="default"/>
      </w:rPr>
    </w:lvl>
    <w:lvl w:ilvl="8">
      <w:start w:val="1"/>
      <w:numFmt w:val="bullet"/>
      <w:lvlText w:val=""/>
      <w:lvlJc w:val="left"/>
      <w:pPr>
        <w:ind w:left="629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751"/>
    <w:rsid w:val="001707F8"/>
    <w:rsid w:val="00357AB0"/>
    <w:rsid w:val="00544916"/>
    <w:rsid w:val="0076563C"/>
    <w:rsid w:val="007E2274"/>
    <w:rsid w:val="00835674"/>
    <w:rsid w:val="00845678"/>
    <w:rsid w:val="00852928"/>
    <w:rsid w:val="00AE0884"/>
    <w:rsid w:val="00B22751"/>
    <w:rsid w:val="00BF4E7B"/>
    <w:rsid w:val="00D700F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Body Text 3" w:semiHidden="0" w:uiPriority="0" w:unhideWhenUsed="0" w:qFormat="1"/>
    <w:lsdException w:name="Hyperlink"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qFormat="1"/>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8" w:lineRule="auto"/>
      <w:jc w:val="both"/>
    </w:pPr>
    <w:rPr>
      <w:rFonts w:ascii="Roboto" w:eastAsiaTheme="minorHAnsi" w:hAnsi="Roboto" w:cstheme="minorHAnsi"/>
      <w:bCs/>
      <w:color w:val="000000" w:themeColor="tex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BodyText3">
    <w:name w:val="Body Text 3"/>
    <w:basedOn w:val="Normal"/>
    <w:link w:val="BodyText3Char"/>
    <w:qFormat/>
    <w:pPr>
      <w:spacing w:after="0" w:line="240" w:lineRule="auto"/>
    </w:pPr>
    <w:rPr>
      <w:rFonts w:ascii="Lucida Sans" w:eastAsia="Times New Roman" w:hAnsi="Lucida Sans" w:cs="Times New Roman"/>
      <w:b/>
      <w:sz w:val="24"/>
      <w:lang w:val="en-GB"/>
    </w:rPr>
  </w:style>
  <w:style w:type="paragraph" w:styleId="CommentText">
    <w:name w:val="annotation text"/>
    <w:basedOn w:val="Normal"/>
    <w:link w:val="CommentTextChar"/>
    <w:uiPriority w:val="99"/>
    <w:unhideWhenUsed/>
    <w:qFormat/>
    <w:pPr>
      <w:spacing w:line="240" w:lineRule="auto"/>
    </w:pPr>
  </w:style>
  <w:style w:type="paragraph" w:styleId="CommentSubject">
    <w:name w:val="annotation subject"/>
    <w:basedOn w:val="CommentText"/>
    <w:next w:val="CommentText"/>
    <w:link w:val="CommentSubjectChar"/>
    <w:uiPriority w:val="99"/>
    <w:unhideWhenUsed/>
    <w:qFormat/>
    <w:rPr>
      <w:b/>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character" w:styleId="CommentReference">
    <w:name w:val="annotation reference"/>
    <w:basedOn w:val="DefaultParagraphFont"/>
    <w:uiPriority w:val="99"/>
    <w:unhideWhenUsed/>
    <w:qFormat/>
    <w:rPr>
      <w:sz w:val="16"/>
      <w:szCs w:val="16"/>
    </w:rPr>
  </w:style>
  <w:style w:type="character" w:styleId="Hyperlink">
    <w:name w:val="Hyperlink"/>
    <w:basedOn w:val="DefaultParagraphFont"/>
    <w:uiPriority w:val="99"/>
    <w:semiHidden/>
    <w:qFormat/>
    <w:rPr>
      <w:color w:val="0563C1" w:themeColor="hyperlink"/>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qFormat/>
    <w:pPr>
      <w:spacing w:after="0" w:line="240" w:lineRule="auto"/>
    </w:pPr>
    <w:rPr>
      <w:color w:val="174768" w:themeColor="accent1" w:themeShade="BF"/>
    </w:rPr>
    <w:tblPr>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table" w:styleId="MediumShading2">
    <w:name w:val="Medium Shading 2"/>
    <w:basedOn w:val="TableNormal"/>
    <w:uiPriority w:val="64"/>
    <w:qFormat/>
    <w:pPr>
      <w:spacing w:after="0" w:line="240" w:lineRule="auto"/>
    </w:p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qFormat/>
    <w:pPr>
      <w:spacing w:after="0" w:line="240" w:lineRule="auto"/>
    </w:pPr>
    <w:rPr>
      <w:rFonts w:ascii="Verdana" w:eastAsia="Calibri" w:hAnsi="Verdana"/>
      <w:color w:val="000000" w:themeColor="text1"/>
      <w:sz w:val="18"/>
    </w:rPr>
    <w:tblPr>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odyText3Char">
    <w:name w:val="Body Text 3 Char"/>
    <w:basedOn w:val="DefaultParagraphFont"/>
    <w:link w:val="BodyText3"/>
    <w:qFormat/>
    <w:rPr>
      <w:rFonts w:ascii="Lucida Sans" w:eastAsia="Times New Roman" w:hAnsi="Lucida Sans" w:cs="Times New Roman"/>
      <w:b/>
      <w:sz w:val="24"/>
      <w:szCs w:val="20"/>
      <w:lang w:val="en-GB"/>
    </w:rPr>
  </w:style>
  <w:style w:type="paragraph" w:customStyle="1" w:styleId="BODYCOPY">
    <w:name w:val="BODY COPY"/>
    <w:basedOn w:val="Normal"/>
    <w:qFormat/>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Pr>
      <w:rFonts w:ascii="Oswald" w:hAnsi="Oswald"/>
      <w:b/>
      <w:caps/>
      <w:color w:val="FFFFFF" w:themeColor="background1"/>
      <w:sz w:val="48"/>
      <w:lang w:val="en-AU" w:eastAsia="en-NZ"/>
    </w:rPr>
  </w:style>
  <w:style w:type="paragraph" w:customStyle="1" w:styleId="MSDHEADING2">
    <w:name w:val="MSD HEADING 2"/>
    <w:basedOn w:val="Normal"/>
    <w:qFormat/>
    <w:pPr>
      <w:spacing w:before="120" w:line="240" w:lineRule="auto"/>
    </w:pPr>
    <w:rPr>
      <w:rFonts w:ascii="Lato" w:hAnsi="Lato"/>
      <w:b/>
      <w:caps/>
      <w:color w:val="595959" w:themeColor="text1" w:themeTint="A6"/>
      <w:sz w:val="18"/>
    </w:rPr>
  </w:style>
  <w:style w:type="paragraph" w:customStyle="1" w:styleId="Bullet1">
    <w:name w:val="Bullet 1"/>
    <w:basedOn w:val="Normal"/>
    <w:qFormat/>
    <w:pPr>
      <w:numPr>
        <w:numId w:val="1"/>
      </w:numPr>
      <w:spacing w:after="60"/>
    </w:pPr>
  </w:style>
  <w:style w:type="paragraph" w:customStyle="1" w:styleId="NormalArial">
    <w:name w:val="Normal + Arial"/>
    <w:basedOn w:val="Normal"/>
    <w:qFormat/>
    <w:pPr>
      <w:spacing w:after="0" w:line="240" w:lineRule="auto"/>
      <w:jc w:val="left"/>
    </w:pPr>
    <w:rPr>
      <w:rFonts w:ascii="Arial" w:eastAsia="Times New Roman" w:hAnsi="Arial" w:cs="Arial"/>
      <w:bCs w:val="0"/>
      <w:color w:val="auto"/>
      <w:lang w:val="en-GB"/>
    </w:rPr>
  </w:style>
  <w:style w:type="character" w:customStyle="1" w:styleId="CommentTextChar">
    <w:name w:val="Comment Text Char"/>
    <w:basedOn w:val="DefaultParagraphFont"/>
    <w:link w:val="CommentText"/>
    <w:uiPriority w:val="99"/>
    <w:semiHidden/>
    <w:qFormat/>
    <w:rPr>
      <w:rFonts w:ascii="Roboto" w:hAnsi="Roboto" w:cstheme="minorHAnsi"/>
      <w:bCs/>
      <w:color w:val="000000" w:themeColor="text1"/>
      <w:sz w:val="20"/>
      <w:szCs w:val="20"/>
    </w:rPr>
  </w:style>
  <w:style w:type="character" w:customStyle="1" w:styleId="CommentSubjectChar">
    <w:name w:val="Comment Subject Char"/>
    <w:basedOn w:val="CommentTextChar"/>
    <w:link w:val="CommentSubject"/>
    <w:uiPriority w:val="99"/>
    <w:semiHidden/>
    <w:qFormat/>
    <w:rPr>
      <w:rFonts w:ascii="Roboto" w:hAnsi="Roboto" w:cstheme="minorHAnsi"/>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Body Text 3" w:semiHidden="0" w:uiPriority="0" w:unhideWhenUsed="0" w:qFormat="1"/>
    <w:lsdException w:name="Hyperlink"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qFormat="1"/>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8" w:lineRule="auto"/>
      <w:jc w:val="both"/>
    </w:pPr>
    <w:rPr>
      <w:rFonts w:ascii="Roboto" w:eastAsiaTheme="minorHAnsi" w:hAnsi="Roboto" w:cstheme="minorHAnsi"/>
      <w:bCs/>
      <w:color w:val="000000" w:themeColor="tex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BodyText3">
    <w:name w:val="Body Text 3"/>
    <w:basedOn w:val="Normal"/>
    <w:link w:val="BodyText3Char"/>
    <w:qFormat/>
    <w:pPr>
      <w:spacing w:after="0" w:line="240" w:lineRule="auto"/>
    </w:pPr>
    <w:rPr>
      <w:rFonts w:ascii="Lucida Sans" w:eastAsia="Times New Roman" w:hAnsi="Lucida Sans" w:cs="Times New Roman"/>
      <w:b/>
      <w:sz w:val="24"/>
      <w:lang w:val="en-GB"/>
    </w:rPr>
  </w:style>
  <w:style w:type="paragraph" w:styleId="CommentText">
    <w:name w:val="annotation text"/>
    <w:basedOn w:val="Normal"/>
    <w:link w:val="CommentTextChar"/>
    <w:uiPriority w:val="99"/>
    <w:unhideWhenUsed/>
    <w:qFormat/>
    <w:pPr>
      <w:spacing w:line="240" w:lineRule="auto"/>
    </w:pPr>
  </w:style>
  <w:style w:type="paragraph" w:styleId="CommentSubject">
    <w:name w:val="annotation subject"/>
    <w:basedOn w:val="CommentText"/>
    <w:next w:val="CommentText"/>
    <w:link w:val="CommentSubjectChar"/>
    <w:uiPriority w:val="99"/>
    <w:unhideWhenUsed/>
    <w:qFormat/>
    <w:rPr>
      <w:b/>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character" w:styleId="CommentReference">
    <w:name w:val="annotation reference"/>
    <w:basedOn w:val="DefaultParagraphFont"/>
    <w:uiPriority w:val="99"/>
    <w:unhideWhenUsed/>
    <w:qFormat/>
    <w:rPr>
      <w:sz w:val="16"/>
      <w:szCs w:val="16"/>
    </w:rPr>
  </w:style>
  <w:style w:type="character" w:styleId="Hyperlink">
    <w:name w:val="Hyperlink"/>
    <w:basedOn w:val="DefaultParagraphFont"/>
    <w:uiPriority w:val="99"/>
    <w:semiHidden/>
    <w:qFormat/>
    <w:rPr>
      <w:color w:val="0563C1" w:themeColor="hyperlink"/>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qFormat/>
    <w:pPr>
      <w:spacing w:after="0" w:line="240" w:lineRule="auto"/>
    </w:pPr>
    <w:rPr>
      <w:color w:val="174768" w:themeColor="accent1" w:themeShade="BF"/>
    </w:rPr>
    <w:tblPr>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table" w:styleId="MediumShading2">
    <w:name w:val="Medium Shading 2"/>
    <w:basedOn w:val="TableNormal"/>
    <w:uiPriority w:val="64"/>
    <w:qFormat/>
    <w:pPr>
      <w:spacing w:after="0" w:line="240" w:lineRule="auto"/>
    </w:p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qFormat/>
    <w:pPr>
      <w:spacing w:after="0" w:line="240" w:lineRule="auto"/>
    </w:pPr>
    <w:rPr>
      <w:rFonts w:ascii="Verdana" w:eastAsia="Calibri" w:hAnsi="Verdana"/>
      <w:color w:val="000000" w:themeColor="text1"/>
      <w:sz w:val="18"/>
    </w:rPr>
    <w:tblPr>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odyText3Char">
    <w:name w:val="Body Text 3 Char"/>
    <w:basedOn w:val="DefaultParagraphFont"/>
    <w:link w:val="BodyText3"/>
    <w:qFormat/>
    <w:rPr>
      <w:rFonts w:ascii="Lucida Sans" w:eastAsia="Times New Roman" w:hAnsi="Lucida Sans" w:cs="Times New Roman"/>
      <w:b/>
      <w:sz w:val="24"/>
      <w:szCs w:val="20"/>
      <w:lang w:val="en-GB"/>
    </w:rPr>
  </w:style>
  <w:style w:type="paragraph" w:customStyle="1" w:styleId="BODYCOPY">
    <w:name w:val="BODY COPY"/>
    <w:basedOn w:val="Normal"/>
    <w:qFormat/>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Pr>
      <w:rFonts w:ascii="Oswald" w:hAnsi="Oswald"/>
      <w:b/>
      <w:caps/>
      <w:color w:val="FFFFFF" w:themeColor="background1"/>
      <w:sz w:val="48"/>
      <w:lang w:val="en-AU" w:eastAsia="en-NZ"/>
    </w:rPr>
  </w:style>
  <w:style w:type="paragraph" w:customStyle="1" w:styleId="MSDHEADING2">
    <w:name w:val="MSD HEADING 2"/>
    <w:basedOn w:val="Normal"/>
    <w:qFormat/>
    <w:pPr>
      <w:spacing w:before="120" w:line="240" w:lineRule="auto"/>
    </w:pPr>
    <w:rPr>
      <w:rFonts w:ascii="Lato" w:hAnsi="Lato"/>
      <w:b/>
      <w:caps/>
      <w:color w:val="595959" w:themeColor="text1" w:themeTint="A6"/>
      <w:sz w:val="18"/>
    </w:rPr>
  </w:style>
  <w:style w:type="paragraph" w:customStyle="1" w:styleId="Bullet1">
    <w:name w:val="Bullet 1"/>
    <w:basedOn w:val="Normal"/>
    <w:qFormat/>
    <w:pPr>
      <w:numPr>
        <w:numId w:val="1"/>
      </w:numPr>
      <w:spacing w:after="60"/>
    </w:pPr>
  </w:style>
  <w:style w:type="paragraph" w:customStyle="1" w:styleId="NormalArial">
    <w:name w:val="Normal + Arial"/>
    <w:basedOn w:val="Normal"/>
    <w:qFormat/>
    <w:pPr>
      <w:spacing w:after="0" w:line="240" w:lineRule="auto"/>
      <w:jc w:val="left"/>
    </w:pPr>
    <w:rPr>
      <w:rFonts w:ascii="Arial" w:eastAsia="Times New Roman" w:hAnsi="Arial" w:cs="Arial"/>
      <w:bCs w:val="0"/>
      <w:color w:val="auto"/>
      <w:lang w:val="en-GB"/>
    </w:rPr>
  </w:style>
  <w:style w:type="character" w:customStyle="1" w:styleId="CommentTextChar">
    <w:name w:val="Comment Text Char"/>
    <w:basedOn w:val="DefaultParagraphFont"/>
    <w:link w:val="CommentText"/>
    <w:uiPriority w:val="99"/>
    <w:semiHidden/>
    <w:qFormat/>
    <w:rPr>
      <w:rFonts w:ascii="Roboto" w:hAnsi="Roboto" w:cstheme="minorHAnsi"/>
      <w:bCs/>
      <w:color w:val="000000" w:themeColor="text1"/>
      <w:sz w:val="20"/>
      <w:szCs w:val="20"/>
    </w:rPr>
  </w:style>
  <w:style w:type="character" w:customStyle="1" w:styleId="CommentSubjectChar">
    <w:name w:val="Comment Subject Char"/>
    <w:basedOn w:val="CommentTextChar"/>
    <w:link w:val="CommentSubject"/>
    <w:uiPriority w:val="99"/>
    <w:semiHidden/>
    <w:qFormat/>
    <w:rPr>
      <w:rFonts w:ascii="Roboto" w:hAnsi="Roboto" w:cstheme="minorHAns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egislation.govt.nz/Health%20and%20Safety%20at%20Work%20Act%20201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SD">
      <a:dk1>
        <a:srgbClr val="000000"/>
      </a:dk1>
      <a:lt1>
        <a:srgbClr val="FFFFFF"/>
      </a:lt1>
      <a:dk2>
        <a:srgbClr val="44546A"/>
      </a:dk2>
      <a:lt2>
        <a:srgbClr val="E7E6E6"/>
      </a:lt2>
      <a:accent1>
        <a:srgbClr val="1F608B"/>
      </a:accent1>
      <a:accent2>
        <a:srgbClr val="2980B9"/>
      </a:accent2>
      <a:accent3>
        <a:srgbClr val="4098D4"/>
      </a:accent3>
      <a:accent4>
        <a:srgbClr val="7BB8E1"/>
      </a:accent4>
      <a:accent5>
        <a:srgbClr val="9FCBE9"/>
      </a:accent5>
      <a:accent6>
        <a:srgbClr val="C6E0F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1471</Words>
  <Characters>8385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Brucker</dc:creator>
  <cp:lastModifiedBy>George Davis</cp:lastModifiedBy>
  <cp:revision>2</cp:revision>
  <cp:lastPrinted>2017-05-22T16:02:00Z</cp:lastPrinted>
  <dcterms:created xsi:type="dcterms:W3CDTF">2017-07-07T01:24:00Z</dcterms:created>
  <dcterms:modified xsi:type="dcterms:W3CDTF">2017-07-07T01:24:00Z</dcterms:modified>
</cp:coreProperties>
</file>