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5FC6BE1D">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81B9201" w:rsidR="00FD13BE" w:rsidRDefault="00840F29" w:rsidP="00FD13BE">
      <w:pPr>
        <w:pStyle w:val="Heading1"/>
        <w:ind w:left="142"/>
        <w:rPr>
          <w:color w:val="FFFFFF" w:themeColor="background1"/>
          <w:lang w:val="en-NZ"/>
        </w:rPr>
      </w:pPr>
      <w:r w:rsidRPr="00840F29">
        <w:rPr>
          <w:color w:val="FFFFFF" w:themeColor="background1"/>
          <w:lang w:val="en-NZ"/>
        </w:rPr>
        <w:t>Lead Engagement Advisor</w:t>
      </w:r>
    </w:p>
    <w:p w14:paraId="1E412244" w14:textId="2B885E6B" w:rsidR="000710E0" w:rsidRPr="00FD13BE" w:rsidRDefault="00840F29" w:rsidP="00FD13BE">
      <w:pPr>
        <w:pStyle w:val="Heading1"/>
        <w:ind w:left="142"/>
        <w:rPr>
          <w:color w:val="FFFFFF" w:themeColor="background1"/>
          <w:lang w:val="en-NZ"/>
        </w:rPr>
      </w:pPr>
      <w:r w:rsidRPr="00840F29">
        <w:rPr>
          <w:color w:val="FFFFFF" w:themeColor="background1"/>
          <w:lang w:val="en-NZ"/>
        </w:rPr>
        <w:t>Te Pae Tawhiti</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footerReference w:type="default" r:id="rId11"/>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0D7D2515" w14:textId="77777777" w:rsidR="00E26A52" w:rsidRDefault="00E26A52" w:rsidP="00E26A52">
      <w:pPr>
        <w:pStyle w:val="Heading3-leftaligned"/>
      </w:pPr>
      <w:r>
        <w:t>Te Pae Tawhiti</w:t>
      </w:r>
    </w:p>
    <w:p w14:paraId="15043BDF" w14:textId="77777777" w:rsidR="00E26A52" w:rsidRPr="00E26A52" w:rsidRDefault="00E26A52" w:rsidP="00E26A52">
      <w:pPr>
        <w:rPr>
          <w:rFonts w:cstheme="minorHAnsi"/>
          <w:bCs/>
          <w:szCs w:val="20"/>
        </w:rPr>
      </w:pPr>
      <w:bookmarkStart w:id="0" w:name="_Hlk103065947"/>
      <w:r w:rsidRPr="00E26A52">
        <w:rPr>
          <w:szCs w:val="20"/>
        </w:rPr>
        <w:t xml:space="preserve">Te Pae Tawhiti – Our Future is about MSD’s future role and how we can make a bigger and better difference for New Zealanders. </w:t>
      </w:r>
      <w:r w:rsidRPr="00E26A52">
        <w:rPr>
          <w:rFonts w:cstheme="minorHAnsi"/>
          <w:szCs w:val="20"/>
        </w:rPr>
        <w:t xml:space="preserve">In support of </w:t>
      </w:r>
      <w:r w:rsidRPr="00E26A52">
        <w:rPr>
          <w:rFonts w:cstheme="minorHAnsi"/>
          <w:iCs/>
          <w:szCs w:val="20"/>
        </w:rPr>
        <w:t>Te Pae Tawhiti – Our Future</w:t>
      </w:r>
      <w:r w:rsidRPr="00E26A52">
        <w:rPr>
          <w:rFonts w:cstheme="minorHAnsi"/>
          <w:i/>
          <w:szCs w:val="20"/>
        </w:rPr>
        <w:t>,</w:t>
      </w:r>
      <w:r w:rsidRPr="00E26A52">
        <w:rPr>
          <w:rFonts w:cstheme="minorHAnsi"/>
          <w:bCs/>
          <w:szCs w:val="20"/>
        </w:rPr>
        <w:t xml:space="preserve"> </w:t>
      </w:r>
      <w:hyperlink r:id="rId12" w:history="1">
        <w:r w:rsidRPr="00E26A52">
          <w:rPr>
            <w:rFonts w:cstheme="minorHAnsi"/>
            <w:bCs/>
            <w:color w:val="0000FF"/>
            <w:szCs w:val="20"/>
            <w:u w:val="single"/>
          </w:rPr>
          <w:t>Te Pae Tata</w:t>
        </w:r>
      </w:hyperlink>
      <w:r w:rsidRPr="00E26A52">
        <w:rPr>
          <w:rFonts w:cstheme="minorHAnsi"/>
          <w:bCs/>
          <w:szCs w:val="20"/>
        </w:rPr>
        <w:t xml:space="preserve"> and </w:t>
      </w:r>
      <w:hyperlink r:id="rId13" w:history="1">
        <w:r w:rsidRPr="00E26A52">
          <w:rPr>
            <w:rFonts w:cstheme="minorHAnsi"/>
            <w:bCs/>
            <w:color w:val="0000FF"/>
            <w:szCs w:val="20"/>
            <w:u w:val="single"/>
          </w:rPr>
          <w:t>Pacific Prosperity</w:t>
        </w:r>
      </w:hyperlink>
      <w:r w:rsidRPr="00E26A52">
        <w:rPr>
          <w:rFonts w:cstheme="minorHAnsi"/>
          <w:bCs/>
          <w:szCs w:val="20"/>
        </w:rPr>
        <w:t xml:space="preserve"> describe how our future will be realised for Māori and Pacific peoples.</w:t>
      </w:r>
    </w:p>
    <w:p w14:paraId="5E79980D" w14:textId="77777777" w:rsidR="00E26A52" w:rsidRPr="00E26A52" w:rsidRDefault="00E26A52" w:rsidP="00E26A52">
      <w:pPr>
        <w:tabs>
          <w:tab w:val="left" w:pos="426"/>
        </w:tabs>
        <w:rPr>
          <w:szCs w:val="20"/>
        </w:rPr>
      </w:pPr>
      <w:r w:rsidRPr="00E26A52">
        <w:rPr>
          <w:szCs w:val="20"/>
        </w:rPr>
        <w:t>Te Pae Tawhiti Transformation Programme (the Programme) will help us achieve the shifts we want to make. The Programme will also position us to deliver the changes to the welfare system that the Government requires. Achieving our Te Pae Tawhiti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and a broad range of stakeholders.</w:t>
      </w:r>
      <w:r w:rsidRPr="00E26A52" w:rsidDel="00E72B88">
        <w:rPr>
          <w:szCs w:val="20"/>
        </w:rPr>
        <w:t xml:space="preserve"> </w:t>
      </w:r>
    </w:p>
    <w:p w14:paraId="3DC36EC4" w14:textId="61BBAD30" w:rsidR="00E26A52" w:rsidRPr="00E26A52" w:rsidRDefault="00E26A52" w:rsidP="00E26A52">
      <w:pPr>
        <w:tabs>
          <w:tab w:val="left" w:pos="426"/>
        </w:tabs>
        <w:rPr>
          <w:szCs w:val="20"/>
        </w:rPr>
      </w:pPr>
      <w:r w:rsidRPr="00E26A52">
        <w:rPr>
          <w:szCs w:val="20"/>
        </w:rPr>
        <w:t>This is a once in a generation change to the way MSD delivers services to New Zealanders, it’s our opportunity to set up MSD for the next 30 years. The programme will be a major undertaking, delivering significant benefits to over a million New Zealanders who access MSD support and services. This is an unrivalled opportunity to be involved in MSD’s journey.</w:t>
      </w:r>
      <w:bookmarkEnd w:id="0"/>
    </w:p>
    <w:p w14:paraId="1B961415" w14:textId="46AB8969" w:rsidR="0080061F" w:rsidRDefault="0080061F" w:rsidP="0080061F">
      <w:pPr>
        <w:pStyle w:val="Heading3"/>
      </w:pPr>
      <w:r>
        <w:t>Overview of position</w:t>
      </w:r>
    </w:p>
    <w:p w14:paraId="41826B8D" w14:textId="4A39AD7D" w:rsidR="00F00ED7" w:rsidRDefault="00F44BE1" w:rsidP="00B624B4">
      <w:pPr>
        <w:pStyle w:val="Heading3"/>
        <w:rPr>
          <w:rFonts w:eastAsia="Calibri"/>
          <w:b w:val="0"/>
          <w:sz w:val="20"/>
          <w:szCs w:val="22"/>
          <w:lang w:eastAsia="en-US"/>
        </w:rPr>
      </w:pPr>
      <w:r w:rsidRPr="00F44BE1">
        <w:rPr>
          <w:rFonts w:eastAsia="Calibri"/>
          <w:b w:val="0"/>
          <w:sz w:val="20"/>
          <w:szCs w:val="22"/>
          <w:lang w:eastAsia="en-US"/>
        </w:rPr>
        <w:t>The Lead Engagement Advisor is located within the Employment service change as part of the Te Pae Tawhiti Programme.  The role is responsible for leading internal and external engagement strategies and plans for the Employment service change. It also involves leading engagement initiatives, fostering positive relationships with stakeholders, and ensuring our engagement efforts align with the programme goals</w:t>
      </w:r>
      <w:r w:rsidR="00B624B4" w:rsidRPr="00B624B4">
        <w:rPr>
          <w:rFonts w:eastAsia="Calibri"/>
          <w:b w:val="0"/>
          <w:sz w:val="20"/>
          <w:szCs w:val="22"/>
          <w:lang w:eastAsia="en-US"/>
        </w:rPr>
        <w:t>.</w:t>
      </w:r>
    </w:p>
    <w:p w14:paraId="2EC18287" w14:textId="0C054706" w:rsidR="0080061F" w:rsidRPr="00A70B36" w:rsidRDefault="0080061F" w:rsidP="0080061F">
      <w:pPr>
        <w:pStyle w:val="Heading3"/>
      </w:pPr>
      <w:r w:rsidRPr="00A70B36">
        <w:t>Location</w:t>
      </w:r>
    </w:p>
    <w:p w14:paraId="50B953AD" w14:textId="4896159C" w:rsidR="0080061F" w:rsidRDefault="003E407A" w:rsidP="0080061F">
      <w:r>
        <w:t>Wellington</w:t>
      </w:r>
    </w:p>
    <w:p w14:paraId="70CBFD7E" w14:textId="77777777" w:rsidR="0080061F" w:rsidRDefault="0080061F" w:rsidP="0080061F">
      <w:pPr>
        <w:pStyle w:val="Heading3"/>
      </w:pPr>
      <w:r>
        <w:t>Reports to</w:t>
      </w:r>
    </w:p>
    <w:p w14:paraId="3BD35AB1" w14:textId="28232CB7" w:rsidR="0080061F" w:rsidRDefault="00F00ED7" w:rsidP="0080061F">
      <w:pPr>
        <w:spacing w:after="0" w:line="240" w:lineRule="auto"/>
      </w:pPr>
      <w:r w:rsidRPr="00F00ED7">
        <w:t>Director, Service Delivery</w:t>
      </w:r>
    </w:p>
    <w:p w14:paraId="1B2F417C" w14:textId="77777777" w:rsidR="00B624B4" w:rsidRDefault="00B624B4">
      <w:pPr>
        <w:spacing w:after="0" w:line="240" w:lineRule="auto"/>
        <w:rPr>
          <w:rFonts w:eastAsia="Times New Roman"/>
          <w:b/>
          <w:bCs/>
          <w:iCs/>
          <w:color w:val="000000" w:themeColor="text1"/>
          <w:sz w:val="28"/>
          <w:szCs w:val="28"/>
          <w:lang w:eastAsia="en-GB"/>
        </w:rPr>
      </w:pPr>
      <w:r>
        <w:br w:type="page"/>
      </w:r>
    </w:p>
    <w:p w14:paraId="364B1823" w14:textId="57B6CEFA" w:rsidR="0080061F" w:rsidRDefault="0080061F" w:rsidP="0055724C">
      <w:pPr>
        <w:pStyle w:val="Heading2"/>
        <w:spacing w:before="360"/>
      </w:pPr>
      <w:r w:rsidRPr="00776B90">
        <w:lastRenderedPageBreak/>
        <w:t>Key</w:t>
      </w:r>
      <w:r>
        <w:t xml:space="preserve"> </w:t>
      </w:r>
      <w:r w:rsidRPr="00B27E44">
        <w:t>responsibilities</w:t>
      </w:r>
    </w:p>
    <w:p w14:paraId="70B0C77A" w14:textId="70496187" w:rsidR="0080061F" w:rsidRDefault="00840F29" w:rsidP="0080061F">
      <w:pPr>
        <w:pStyle w:val="Heading3"/>
      </w:pPr>
      <w:r w:rsidRPr="00840F29">
        <w:t>Engagement leadership</w:t>
      </w:r>
    </w:p>
    <w:p w14:paraId="4FEE34ED" w14:textId="77777777" w:rsidR="00840F29" w:rsidRPr="00840F29" w:rsidRDefault="00840F29" w:rsidP="00840F29">
      <w:pPr>
        <w:numPr>
          <w:ilvl w:val="0"/>
          <w:numId w:val="7"/>
        </w:numPr>
        <w:spacing w:before="60" w:after="60"/>
        <w:ind w:left="425" w:hanging="425"/>
        <w:contextualSpacing/>
      </w:pPr>
      <w:r>
        <w:t>Design</w:t>
      </w:r>
      <w:r w:rsidRPr="00840F29">
        <w:t xml:space="preserve"> </w:t>
      </w:r>
      <w:r>
        <w:t>and</w:t>
      </w:r>
      <w:r w:rsidRPr="00840F29">
        <w:t xml:space="preserve"> </w:t>
      </w:r>
      <w:r>
        <w:t>manage</w:t>
      </w:r>
      <w:r w:rsidRPr="00840F29">
        <w:t xml:space="preserve"> </w:t>
      </w:r>
      <w:r>
        <w:t>engagement</w:t>
      </w:r>
      <w:r w:rsidRPr="00840F29">
        <w:t xml:space="preserve"> </w:t>
      </w:r>
      <w:r>
        <w:t>processes,</w:t>
      </w:r>
      <w:r w:rsidRPr="00840F29">
        <w:t xml:space="preserve"> </w:t>
      </w:r>
      <w:r>
        <w:t>including</w:t>
      </w:r>
      <w:r w:rsidRPr="00840F29">
        <w:t xml:space="preserve"> </w:t>
      </w:r>
      <w:r>
        <w:t>the</w:t>
      </w:r>
      <w:r w:rsidRPr="00840F29">
        <w:t xml:space="preserve"> </w:t>
      </w:r>
      <w:r>
        <w:t>schedule</w:t>
      </w:r>
      <w:r w:rsidRPr="00840F29">
        <w:t xml:space="preserve"> </w:t>
      </w:r>
      <w:r>
        <w:t>and</w:t>
      </w:r>
      <w:r w:rsidRPr="00840F29">
        <w:t xml:space="preserve"> </w:t>
      </w:r>
      <w:r>
        <w:t>overall</w:t>
      </w:r>
      <w:r w:rsidRPr="00840F29">
        <w:t xml:space="preserve"> </w:t>
      </w:r>
      <w:r>
        <w:t>engagement project timelines.</w:t>
      </w:r>
    </w:p>
    <w:p w14:paraId="00714935" w14:textId="77777777" w:rsidR="00840F29" w:rsidRPr="00840F29" w:rsidRDefault="00840F29" w:rsidP="00840F29">
      <w:pPr>
        <w:numPr>
          <w:ilvl w:val="0"/>
          <w:numId w:val="7"/>
        </w:numPr>
        <w:spacing w:before="60" w:after="60"/>
        <w:ind w:left="425" w:hanging="425"/>
        <w:contextualSpacing/>
      </w:pPr>
      <w:r>
        <w:t>Provide</w:t>
      </w:r>
      <w:r w:rsidRPr="00840F29">
        <w:t xml:space="preserve"> </w:t>
      </w:r>
      <w:r>
        <w:t>strategic</w:t>
      </w:r>
      <w:r w:rsidRPr="00840F29">
        <w:t xml:space="preserve"> </w:t>
      </w:r>
      <w:r>
        <w:t>advice</w:t>
      </w:r>
      <w:r w:rsidRPr="00840F29">
        <w:t xml:space="preserve"> </w:t>
      </w:r>
      <w:r>
        <w:t>as</w:t>
      </w:r>
      <w:r w:rsidRPr="00840F29">
        <w:t xml:space="preserve"> </w:t>
      </w:r>
      <w:r>
        <w:t>well</w:t>
      </w:r>
      <w:r w:rsidRPr="00840F29">
        <w:t xml:space="preserve"> </w:t>
      </w:r>
      <w:r>
        <w:t>as</w:t>
      </w:r>
      <w:r w:rsidRPr="00840F29">
        <w:t xml:space="preserve"> </w:t>
      </w:r>
      <w:r>
        <w:t>immediate</w:t>
      </w:r>
      <w:r w:rsidRPr="00840F29">
        <w:t xml:space="preserve"> </w:t>
      </w:r>
      <w:r>
        <w:t>and</w:t>
      </w:r>
      <w:r w:rsidRPr="00840F29">
        <w:t xml:space="preserve"> </w:t>
      </w:r>
      <w:r>
        <w:t>tactical</w:t>
      </w:r>
      <w:r w:rsidRPr="00840F29">
        <w:t xml:space="preserve"> advice</w:t>
      </w:r>
    </w:p>
    <w:p w14:paraId="15123951" w14:textId="68772F36" w:rsidR="00840F29" w:rsidRPr="00840F29" w:rsidRDefault="00840F29" w:rsidP="00840F29">
      <w:pPr>
        <w:numPr>
          <w:ilvl w:val="0"/>
          <w:numId w:val="7"/>
        </w:numPr>
        <w:spacing w:before="60" w:after="60"/>
        <w:ind w:left="425" w:hanging="425"/>
        <w:contextualSpacing/>
      </w:pPr>
      <w:r>
        <w:t>Lead the internal and external engagement programme, including the delivery of internal engagement</w:t>
      </w:r>
      <w:r w:rsidRPr="00840F29">
        <w:t xml:space="preserve"> </w:t>
      </w:r>
      <w:r>
        <w:t>sessions</w:t>
      </w:r>
      <w:r w:rsidRPr="00840F29">
        <w:t xml:space="preserve"> </w:t>
      </w:r>
      <w:r>
        <w:t>including</w:t>
      </w:r>
      <w:r w:rsidRPr="00840F29">
        <w:t xml:space="preserve"> </w:t>
      </w:r>
      <w:r>
        <w:t>speakers,</w:t>
      </w:r>
      <w:r w:rsidRPr="00840F29">
        <w:t xml:space="preserve"> </w:t>
      </w:r>
      <w:r>
        <w:t>invitations</w:t>
      </w:r>
      <w:r w:rsidRPr="00840F29">
        <w:t xml:space="preserve"> </w:t>
      </w:r>
      <w:r>
        <w:t>and</w:t>
      </w:r>
      <w:r w:rsidRPr="00840F29">
        <w:t xml:space="preserve"> </w:t>
      </w:r>
      <w:r>
        <w:t>communication,</w:t>
      </w:r>
      <w:r w:rsidRPr="00840F29">
        <w:t xml:space="preserve"> </w:t>
      </w:r>
      <w:r>
        <w:t>event</w:t>
      </w:r>
      <w:r w:rsidRPr="00840F29">
        <w:t xml:space="preserve"> </w:t>
      </w:r>
      <w:r>
        <w:t>briefs,</w:t>
      </w:r>
      <w:r w:rsidRPr="00840F29">
        <w:t xml:space="preserve"> </w:t>
      </w:r>
      <w:r>
        <w:t>project plans, and run sheets</w:t>
      </w:r>
    </w:p>
    <w:p w14:paraId="772DA1B4" w14:textId="77777777" w:rsidR="00840F29" w:rsidRPr="00840F29" w:rsidRDefault="00840F29" w:rsidP="00840F29">
      <w:pPr>
        <w:numPr>
          <w:ilvl w:val="0"/>
          <w:numId w:val="7"/>
        </w:numPr>
        <w:spacing w:before="60" w:after="60"/>
        <w:ind w:left="425" w:hanging="425"/>
        <w:contextualSpacing/>
      </w:pPr>
      <w:r>
        <w:t>Develop</w:t>
      </w:r>
      <w:r w:rsidRPr="00840F29">
        <w:t xml:space="preserve"> </w:t>
      </w:r>
      <w:r>
        <w:t>and</w:t>
      </w:r>
      <w:r w:rsidRPr="00840F29">
        <w:t xml:space="preserve"> </w:t>
      </w:r>
      <w:r>
        <w:t>monitor</w:t>
      </w:r>
      <w:r w:rsidRPr="00840F29">
        <w:t xml:space="preserve"> </w:t>
      </w:r>
      <w:r>
        <w:t>project</w:t>
      </w:r>
      <w:r w:rsidRPr="00840F29">
        <w:t xml:space="preserve"> plans</w:t>
      </w:r>
    </w:p>
    <w:p w14:paraId="2CA17476" w14:textId="77777777" w:rsidR="00840F29" w:rsidRPr="00840F29" w:rsidRDefault="00840F29" w:rsidP="00840F29">
      <w:pPr>
        <w:numPr>
          <w:ilvl w:val="0"/>
          <w:numId w:val="7"/>
        </w:numPr>
        <w:spacing w:before="60" w:after="60"/>
        <w:ind w:left="425" w:hanging="425"/>
        <w:contextualSpacing/>
      </w:pPr>
      <w:r>
        <w:t>Provide</w:t>
      </w:r>
      <w:r w:rsidRPr="00840F29">
        <w:t xml:space="preserve"> </w:t>
      </w:r>
      <w:r>
        <w:t>input</w:t>
      </w:r>
      <w:r w:rsidRPr="00840F29">
        <w:t xml:space="preserve"> </w:t>
      </w:r>
      <w:r>
        <w:t>into</w:t>
      </w:r>
      <w:r w:rsidRPr="00840F29">
        <w:t xml:space="preserve"> content</w:t>
      </w:r>
    </w:p>
    <w:p w14:paraId="48FD8AB0" w14:textId="77777777" w:rsidR="00840F29" w:rsidRPr="00840F29" w:rsidRDefault="00840F29" w:rsidP="00840F29">
      <w:pPr>
        <w:numPr>
          <w:ilvl w:val="0"/>
          <w:numId w:val="7"/>
        </w:numPr>
        <w:spacing w:before="60" w:after="60"/>
        <w:ind w:left="425" w:hanging="425"/>
        <w:contextualSpacing/>
      </w:pPr>
      <w:r>
        <w:t>Keep</w:t>
      </w:r>
      <w:r w:rsidRPr="00840F29">
        <w:t xml:space="preserve"> </w:t>
      </w:r>
      <w:r>
        <w:t>up</w:t>
      </w:r>
      <w:r w:rsidRPr="00840F29">
        <w:t xml:space="preserve"> </w:t>
      </w:r>
      <w:r>
        <w:t>to</w:t>
      </w:r>
      <w:r w:rsidRPr="00840F29">
        <w:t xml:space="preserve"> </w:t>
      </w:r>
      <w:r>
        <w:t>date</w:t>
      </w:r>
      <w:r w:rsidRPr="00840F29">
        <w:t xml:space="preserve"> </w:t>
      </w:r>
      <w:r>
        <w:t>with</w:t>
      </w:r>
      <w:r w:rsidRPr="00840F29">
        <w:t xml:space="preserve"> </w:t>
      </w:r>
      <w:r>
        <w:t>new</w:t>
      </w:r>
      <w:r w:rsidRPr="00840F29">
        <w:t xml:space="preserve"> </w:t>
      </w:r>
      <w:r>
        <w:t>engagement</w:t>
      </w:r>
      <w:r w:rsidRPr="00840F29">
        <w:t xml:space="preserve"> </w:t>
      </w:r>
      <w:r>
        <w:t>technologies</w:t>
      </w:r>
      <w:r w:rsidRPr="00840F29">
        <w:t xml:space="preserve"> </w:t>
      </w:r>
      <w:r>
        <w:t>and</w:t>
      </w:r>
      <w:r w:rsidRPr="00840F29">
        <w:t xml:space="preserve"> </w:t>
      </w:r>
      <w:r>
        <w:t>provide</w:t>
      </w:r>
      <w:r w:rsidRPr="00840F29">
        <w:t xml:space="preserve"> </w:t>
      </w:r>
      <w:r>
        <w:t>advice to</w:t>
      </w:r>
      <w:r w:rsidRPr="00840F29">
        <w:t xml:space="preserve"> </w:t>
      </w:r>
      <w:r>
        <w:t>MSD</w:t>
      </w:r>
      <w:r w:rsidRPr="00840F29">
        <w:t xml:space="preserve"> </w:t>
      </w:r>
      <w:r>
        <w:t>on</w:t>
      </w:r>
      <w:r w:rsidRPr="00840F29">
        <w:t xml:space="preserve"> </w:t>
      </w:r>
      <w:r>
        <w:t>ways</w:t>
      </w:r>
      <w:r w:rsidRPr="00840F29">
        <w:t xml:space="preserve"> </w:t>
      </w:r>
      <w:r>
        <w:t>these could be used</w:t>
      </w:r>
    </w:p>
    <w:p w14:paraId="41BE6824" w14:textId="77777777" w:rsidR="00840F29" w:rsidRPr="00840F29" w:rsidRDefault="00840F29" w:rsidP="00840F29">
      <w:pPr>
        <w:numPr>
          <w:ilvl w:val="0"/>
          <w:numId w:val="7"/>
        </w:numPr>
        <w:spacing w:before="60" w:after="60"/>
        <w:ind w:left="425" w:hanging="425"/>
        <w:contextualSpacing/>
      </w:pPr>
      <w:r>
        <w:t>Logistical</w:t>
      </w:r>
      <w:r w:rsidRPr="00840F29">
        <w:t xml:space="preserve"> </w:t>
      </w:r>
      <w:r>
        <w:t>support</w:t>
      </w:r>
      <w:r w:rsidRPr="00840F29">
        <w:t xml:space="preserve"> </w:t>
      </w:r>
      <w:r>
        <w:t>as</w:t>
      </w:r>
      <w:r w:rsidRPr="00840F29">
        <w:t xml:space="preserve"> required</w:t>
      </w:r>
    </w:p>
    <w:p w14:paraId="40ADFDA0" w14:textId="77777777" w:rsidR="00840F29" w:rsidRPr="00840F29" w:rsidRDefault="00840F29" w:rsidP="00840F29">
      <w:pPr>
        <w:numPr>
          <w:ilvl w:val="0"/>
          <w:numId w:val="7"/>
        </w:numPr>
        <w:spacing w:before="60" w:after="60"/>
        <w:ind w:left="425" w:hanging="425"/>
        <w:contextualSpacing/>
      </w:pPr>
      <w:r>
        <w:t>Help</w:t>
      </w:r>
      <w:r w:rsidRPr="00840F29">
        <w:t xml:space="preserve"> </w:t>
      </w:r>
      <w:r>
        <w:t>to</w:t>
      </w:r>
      <w:r w:rsidRPr="00840F29">
        <w:t xml:space="preserve"> </w:t>
      </w:r>
      <w:r>
        <w:t>develop</w:t>
      </w:r>
      <w:r w:rsidRPr="00840F29">
        <w:t xml:space="preserve"> </w:t>
      </w:r>
      <w:r>
        <w:t>the</w:t>
      </w:r>
      <w:r w:rsidRPr="00840F29">
        <w:t xml:space="preserve"> </w:t>
      </w:r>
      <w:r>
        <w:t>engagement</w:t>
      </w:r>
      <w:r w:rsidRPr="00840F29">
        <w:t xml:space="preserve"> </w:t>
      </w:r>
      <w:r>
        <w:t>skills</w:t>
      </w:r>
      <w:r w:rsidRPr="00840F29">
        <w:t xml:space="preserve"> </w:t>
      </w:r>
      <w:r>
        <w:t>and</w:t>
      </w:r>
      <w:r w:rsidRPr="00840F29">
        <w:t xml:space="preserve"> </w:t>
      </w:r>
      <w:r>
        <w:t>expertise</w:t>
      </w:r>
      <w:r w:rsidRPr="00840F29">
        <w:t xml:space="preserve"> </w:t>
      </w:r>
      <w:r>
        <w:t>of</w:t>
      </w:r>
      <w:r w:rsidRPr="00840F29">
        <w:t xml:space="preserve"> </w:t>
      </w:r>
      <w:r>
        <w:t>others</w:t>
      </w:r>
      <w:r w:rsidRPr="00840F29">
        <w:t xml:space="preserve"> </w:t>
      </w:r>
      <w:r>
        <w:t>on</w:t>
      </w:r>
      <w:r w:rsidRPr="00840F29">
        <w:t xml:space="preserve"> </w:t>
      </w:r>
      <w:r>
        <w:t>the</w:t>
      </w:r>
      <w:r w:rsidRPr="00840F29">
        <w:t xml:space="preserve"> team.</w:t>
      </w:r>
    </w:p>
    <w:p w14:paraId="6DE7C714" w14:textId="77777777" w:rsidR="00840F29" w:rsidRDefault="00840F29" w:rsidP="00840F29">
      <w:pPr>
        <w:numPr>
          <w:ilvl w:val="0"/>
          <w:numId w:val="7"/>
        </w:numPr>
        <w:spacing w:before="60" w:after="60"/>
        <w:ind w:left="425" w:hanging="425"/>
        <w:contextualSpacing/>
      </w:pPr>
      <w:r>
        <w:t>Support</w:t>
      </w:r>
      <w:r w:rsidRPr="00840F29">
        <w:t xml:space="preserve"> </w:t>
      </w:r>
      <w:r>
        <w:t>MSD’s</w:t>
      </w:r>
      <w:r w:rsidRPr="00840F29">
        <w:t xml:space="preserve"> </w:t>
      </w:r>
      <w:r>
        <w:t>communication</w:t>
      </w:r>
      <w:r w:rsidRPr="00840F29">
        <w:t xml:space="preserve"> </w:t>
      </w:r>
      <w:r>
        <w:t>of</w:t>
      </w:r>
      <w:r w:rsidRPr="00840F29">
        <w:t xml:space="preserve"> </w:t>
      </w:r>
      <w:r>
        <w:t>engagement</w:t>
      </w:r>
      <w:r w:rsidRPr="00840F29">
        <w:t xml:space="preserve"> </w:t>
      </w:r>
      <w:r>
        <w:t>progress</w:t>
      </w:r>
      <w:r w:rsidRPr="00840F29">
        <w:t xml:space="preserve"> </w:t>
      </w:r>
      <w:r>
        <w:t>with</w:t>
      </w:r>
      <w:r w:rsidRPr="00840F29">
        <w:t xml:space="preserve"> Ministers</w:t>
      </w:r>
    </w:p>
    <w:p w14:paraId="44E3B37F" w14:textId="3472E4E7" w:rsidR="00F00ED7" w:rsidRPr="00840F29" w:rsidRDefault="00F00ED7" w:rsidP="00840F29">
      <w:pPr>
        <w:numPr>
          <w:ilvl w:val="0"/>
          <w:numId w:val="7"/>
        </w:numPr>
        <w:spacing w:before="60" w:after="60"/>
        <w:ind w:left="425" w:hanging="425"/>
        <w:contextualSpacing/>
      </w:pPr>
      <w:r w:rsidRPr="0089525A">
        <w:rPr>
          <w:rFonts w:cs="Verdana"/>
        </w:rPr>
        <w:t>Work with managers and be the connector between the different comms and engagement teams</w:t>
      </w:r>
      <w:r>
        <w:rPr>
          <w:rFonts w:cs="Verdana"/>
        </w:rPr>
        <w:t>.</w:t>
      </w:r>
    </w:p>
    <w:p w14:paraId="6A9800FD" w14:textId="50730B45" w:rsidR="00840F29" w:rsidRDefault="00840F29" w:rsidP="00840F29">
      <w:pPr>
        <w:pStyle w:val="Heading3"/>
      </w:pPr>
      <w:r w:rsidRPr="00840F29">
        <w:t>Stakeholder and relationship management</w:t>
      </w:r>
    </w:p>
    <w:p w14:paraId="10F080E1" w14:textId="77777777" w:rsidR="00840F29" w:rsidRPr="00840F29" w:rsidRDefault="00840F29" w:rsidP="00840F29">
      <w:pPr>
        <w:numPr>
          <w:ilvl w:val="0"/>
          <w:numId w:val="7"/>
        </w:numPr>
        <w:spacing w:before="60" w:after="60"/>
        <w:ind w:left="425" w:hanging="425"/>
        <w:contextualSpacing/>
      </w:pPr>
      <w:r>
        <w:t>Work</w:t>
      </w:r>
      <w:r w:rsidRPr="00840F29">
        <w:t xml:space="preserve"> </w:t>
      </w:r>
      <w:r>
        <w:t>closely</w:t>
      </w:r>
      <w:r w:rsidRPr="00840F29">
        <w:t xml:space="preserve"> </w:t>
      </w:r>
      <w:r>
        <w:t>with</w:t>
      </w:r>
      <w:r w:rsidRPr="00840F29">
        <w:t xml:space="preserve"> </w:t>
      </w:r>
      <w:r>
        <w:t>workstream</w:t>
      </w:r>
      <w:r w:rsidRPr="00840F29">
        <w:t xml:space="preserve"> </w:t>
      </w:r>
      <w:r>
        <w:t>engagement</w:t>
      </w:r>
      <w:r w:rsidRPr="00840F29">
        <w:t xml:space="preserve"> </w:t>
      </w:r>
      <w:r>
        <w:t>leads</w:t>
      </w:r>
      <w:r w:rsidRPr="00840F29">
        <w:t xml:space="preserve"> </w:t>
      </w:r>
      <w:r>
        <w:t>to</w:t>
      </w:r>
      <w:r w:rsidRPr="00840F29">
        <w:t xml:space="preserve"> </w:t>
      </w:r>
      <w:r>
        <w:t>ensure</w:t>
      </w:r>
      <w:r w:rsidRPr="00840F29">
        <w:t xml:space="preserve"> </w:t>
      </w:r>
      <w:r>
        <w:t>engagement</w:t>
      </w:r>
      <w:r w:rsidRPr="00840F29">
        <w:t xml:space="preserve"> </w:t>
      </w:r>
      <w:r>
        <w:t>sessions</w:t>
      </w:r>
      <w:r w:rsidRPr="00840F29">
        <w:t xml:space="preserve"> </w:t>
      </w:r>
      <w:r>
        <w:t>are</w:t>
      </w:r>
      <w:r w:rsidRPr="00840F29">
        <w:t xml:space="preserve"> </w:t>
      </w:r>
      <w:r>
        <w:t>fit</w:t>
      </w:r>
      <w:r w:rsidRPr="00840F29">
        <w:t xml:space="preserve"> </w:t>
      </w:r>
      <w:r>
        <w:t>for purpose, and reflect the local perspective and priorities.</w:t>
      </w:r>
    </w:p>
    <w:p w14:paraId="758CF51A" w14:textId="77777777" w:rsidR="00840F29" w:rsidRPr="00840F29" w:rsidRDefault="00840F29" w:rsidP="00840F29">
      <w:pPr>
        <w:numPr>
          <w:ilvl w:val="0"/>
          <w:numId w:val="7"/>
        </w:numPr>
        <w:spacing w:before="60" w:after="60"/>
        <w:ind w:left="425" w:hanging="425"/>
        <w:contextualSpacing/>
      </w:pPr>
      <w:r>
        <w:t>Foster</w:t>
      </w:r>
      <w:r w:rsidRPr="00840F29">
        <w:t xml:space="preserve"> </w:t>
      </w:r>
      <w:r>
        <w:t>positive</w:t>
      </w:r>
      <w:r w:rsidRPr="00840F29">
        <w:t xml:space="preserve"> </w:t>
      </w:r>
      <w:r>
        <w:t>and</w:t>
      </w:r>
      <w:r w:rsidRPr="00840F29">
        <w:t xml:space="preserve"> </w:t>
      </w:r>
      <w:r>
        <w:t>co-operative</w:t>
      </w:r>
      <w:r w:rsidRPr="00840F29">
        <w:t xml:space="preserve"> </w:t>
      </w:r>
      <w:r>
        <w:t>working</w:t>
      </w:r>
      <w:r w:rsidRPr="00840F29">
        <w:t xml:space="preserve"> </w:t>
      </w:r>
      <w:r>
        <w:t>relationships</w:t>
      </w:r>
      <w:r w:rsidRPr="00840F29">
        <w:t xml:space="preserve"> </w:t>
      </w:r>
      <w:r>
        <w:t>with</w:t>
      </w:r>
      <w:r w:rsidRPr="00840F29">
        <w:t xml:space="preserve"> </w:t>
      </w:r>
      <w:r>
        <w:t>the</w:t>
      </w:r>
      <w:r w:rsidRPr="00840F29">
        <w:t xml:space="preserve"> </w:t>
      </w:r>
      <w:r>
        <w:t>Programme</w:t>
      </w:r>
      <w:r w:rsidRPr="00840F29">
        <w:t xml:space="preserve"> </w:t>
      </w:r>
      <w:r>
        <w:t>leadership</w:t>
      </w:r>
      <w:r w:rsidRPr="00840F29">
        <w:t xml:space="preserve"> </w:t>
      </w:r>
      <w:r>
        <w:t>team</w:t>
      </w:r>
      <w:r w:rsidRPr="00840F29">
        <w:t xml:space="preserve"> </w:t>
      </w:r>
      <w:r>
        <w:t>and other managers and business units</w:t>
      </w:r>
    </w:p>
    <w:p w14:paraId="3BA3DD95" w14:textId="77777777" w:rsidR="00840F29" w:rsidRPr="00840F29" w:rsidRDefault="00840F29" w:rsidP="00840F29">
      <w:pPr>
        <w:numPr>
          <w:ilvl w:val="0"/>
          <w:numId w:val="7"/>
        </w:numPr>
        <w:spacing w:before="60" w:after="60"/>
        <w:ind w:left="425" w:hanging="425"/>
        <w:contextualSpacing/>
      </w:pPr>
      <w:r>
        <w:t>Maintain</w:t>
      </w:r>
      <w:r w:rsidRPr="00840F29">
        <w:t xml:space="preserve"> </w:t>
      </w:r>
      <w:r>
        <w:t>a</w:t>
      </w:r>
      <w:r w:rsidRPr="00840F29">
        <w:t xml:space="preserve"> </w:t>
      </w:r>
      <w:r>
        <w:t>client</w:t>
      </w:r>
      <w:r w:rsidRPr="00840F29">
        <w:t xml:space="preserve"> </w:t>
      </w:r>
      <w:r>
        <w:t>focused</w:t>
      </w:r>
      <w:r w:rsidRPr="00840F29">
        <w:t xml:space="preserve"> </w:t>
      </w:r>
      <w:r>
        <w:t>approach</w:t>
      </w:r>
      <w:r w:rsidRPr="00840F29">
        <w:t xml:space="preserve"> </w:t>
      </w:r>
      <w:r>
        <w:t>and</w:t>
      </w:r>
      <w:r w:rsidRPr="00840F29">
        <w:t xml:space="preserve"> </w:t>
      </w:r>
      <w:r>
        <w:t>ensure</w:t>
      </w:r>
      <w:r w:rsidRPr="00840F29">
        <w:t xml:space="preserve"> </w:t>
      </w:r>
      <w:r>
        <w:t>all</w:t>
      </w:r>
      <w:r w:rsidRPr="00840F29">
        <w:t xml:space="preserve"> </w:t>
      </w:r>
      <w:r>
        <w:t>requests</w:t>
      </w:r>
      <w:r w:rsidRPr="00840F29">
        <w:t xml:space="preserve"> </w:t>
      </w:r>
      <w:r>
        <w:t>for</w:t>
      </w:r>
      <w:r w:rsidRPr="00840F29">
        <w:t xml:space="preserve"> </w:t>
      </w:r>
      <w:r>
        <w:t>information</w:t>
      </w:r>
      <w:r w:rsidRPr="00840F29">
        <w:t xml:space="preserve"> </w:t>
      </w:r>
      <w:r>
        <w:t>and</w:t>
      </w:r>
      <w:r w:rsidRPr="00840F29">
        <w:t xml:space="preserve"> </w:t>
      </w:r>
      <w:r>
        <w:t>services</w:t>
      </w:r>
      <w:r w:rsidRPr="00840F29">
        <w:t xml:space="preserve"> </w:t>
      </w:r>
      <w:r>
        <w:t>are managed and responded to in a timely way.</w:t>
      </w:r>
    </w:p>
    <w:p w14:paraId="18786FC7" w14:textId="77777777" w:rsidR="00840F29" w:rsidRPr="00840F29" w:rsidRDefault="00840F29" w:rsidP="00840F29">
      <w:pPr>
        <w:numPr>
          <w:ilvl w:val="0"/>
          <w:numId w:val="7"/>
        </w:numPr>
        <w:spacing w:before="60" w:after="60"/>
        <w:ind w:left="425" w:hanging="425"/>
        <w:contextualSpacing/>
      </w:pPr>
      <w:r>
        <w:t>Build</w:t>
      </w:r>
      <w:r w:rsidRPr="00840F29">
        <w:t xml:space="preserve"> </w:t>
      </w:r>
      <w:r>
        <w:t>strong</w:t>
      </w:r>
      <w:r w:rsidRPr="00840F29">
        <w:t xml:space="preserve"> </w:t>
      </w:r>
      <w:r>
        <w:t>and</w:t>
      </w:r>
      <w:r w:rsidRPr="00840F29">
        <w:t xml:space="preserve"> </w:t>
      </w:r>
      <w:r>
        <w:t>effective</w:t>
      </w:r>
      <w:r w:rsidRPr="00840F29">
        <w:t xml:space="preserve"> </w:t>
      </w:r>
      <w:r>
        <w:t>internal</w:t>
      </w:r>
      <w:r w:rsidRPr="00840F29">
        <w:t xml:space="preserve"> </w:t>
      </w:r>
      <w:r>
        <w:t>networks</w:t>
      </w:r>
      <w:r w:rsidRPr="00840F29">
        <w:t xml:space="preserve"> </w:t>
      </w:r>
      <w:r>
        <w:t>and</w:t>
      </w:r>
      <w:r w:rsidRPr="00840F29">
        <w:t xml:space="preserve"> </w:t>
      </w:r>
      <w:r>
        <w:t>relationships</w:t>
      </w:r>
      <w:r w:rsidRPr="00840F29">
        <w:t xml:space="preserve"> </w:t>
      </w:r>
      <w:r>
        <w:t>across</w:t>
      </w:r>
      <w:r w:rsidRPr="00840F29">
        <w:t xml:space="preserve"> </w:t>
      </w:r>
      <w:r>
        <w:t>the</w:t>
      </w:r>
      <w:r w:rsidRPr="00840F29">
        <w:t xml:space="preserve"> </w:t>
      </w:r>
      <w:r>
        <w:t>wider</w:t>
      </w:r>
      <w:r w:rsidRPr="00840F29">
        <w:t xml:space="preserve"> </w:t>
      </w:r>
      <w:r>
        <w:t>Ministry</w:t>
      </w:r>
      <w:r w:rsidRPr="00840F29">
        <w:t xml:space="preserve"> </w:t>
      </w:r>
      <w:r>
        <w:t>and</w:t>
      </w:r>
      <w:r w:rsidRPr="00840F29">
        <w:t xml:space="preserve"> </w:t>
      </w:r>
      <w:r>
        <w:t>with key external stakeholders</w:t>
      </w:r>
    </w:p>
    <w:p w14:paraId="5F64E62E" w14:textId="77777777" w:rsidR="00840F29" w:rsidRPr="00840F29" w:rsidRDefault="00840F29" w:rsidP="00840F29">
      <w:pPr>
        <w:numPr>
          <w:ilvl w:val="0"/>
          <w:numId w:val="7"/>
        </w:numPr>
        <w:spacing w:before="60" w:after="60"/>
        <w:ind w:left="425" w:hanging="425"/>
        <w:contextualSpacing/>
      </w:pPr>
      <w:r>
        <w:t>Lead</w:t>
      </w:r>
      <w:r w:rsidRPr="00840F29">
        <w:t xml:space="preserve"> </w:t>
      </w:r>
      <w:r>
        <w:t>a</w:t>
      </w:r>
      <w:r w:rsidRPr="00840F29">
        <w:t xml:space="preserve"> </w:t>
      </w:r>
      <w:r>
        <w:t>consistent</w:t>
      </w:r>
      <w:r w:rsidRPr="00840F29">
        <w:t xml:space="preserve"> </w:t>
      </w:r>
      <w:r>
        <w:t>and</w:t>
      </w:r>
      <w:r w:rsidRPr="00840F29">
        <w:t xml:space="preserve"> </w:t>
      </w:r>
      <w:r>
        <w:t>co-ordinated</w:t>
      </w:r>
      <w:r w:rsidRPr="00840F29">
        <w:t xml:space="preserve"> </w:t>
      </w:r>
      <w:r>
        <w:t>approach</w:t>
      </w:r>
      <w:r w:rsidRPr="00840F29">
        <w:t xml:space="preserve"> </w:t>
      </w:r>
      <w:r>
        <w:t>to</w:t>
      </w:r>
      <w:r w:rsidRPr="00840F29">
        <w:t xml:space="preserve"> </w:t>
      </w:r>
      <w:r>
        <w:t>managing</w:t>
      </w:r>
      <w:r w:rsidRPr="00840F29">
        <w:t xml:space="preserve"> </w:t>
      </w:r>
      <w:r>
        <w:t>stakeholder</w:t>
      </w:r>
      <w:r w:rsidRPr="00840F29">
        <w:t xml:space="preserve"> </w:t>
      </w:r>
      <w:r>
        <w:t>relationships</w:t>
      </w:r>
      <w:r w:rsidRPr="00840F29">
        <w:t xml:space="preserve"> </w:t>
      </w:r>
      <w:r>
        <w:t>at</w:t>
      </w:r>
      <w:r w:rsidRPr="00840F29">
        <w:t xml:space="preserve"> </w:t>
      </w:r>
      <w:r>
        <w:t>all</w:t>
      </w:r>
      <w:r w:rsidRPr="00840F29">
        <w:t xml:space="preserve"> levels</w:t>
      </w:r>
    </w:p>
    <w:p w14:paraId="5F433AFA" w14:textId="2A825F06" w:rsidR="00840F29" w:rsidRPr="00840F29" w:rsidRDefault="00840F29" w:rsidP="00840F29">
      <w:pPr>
        <w:numPr>
          <w:ilvl w:val="0"/>
          <w:numId w:val="7"/>
        </w:numPr>
        <w:spacing w:before="60" w:after="60"/>
        <w:ind w:left="425" w:hanging="425"/>
        <w:contextualSpacing/>
      </w:pPr>
      <w:r>
        <w:t>Deliver</w:t>
      </w:r>
      <w:r w:rsidRPr="00840F29">
        <w:t xml:space="preserve"> </w:t>
      </w:r>
      <w:r>
        <w:t>stakeholder</w:t>
      </w:r>
      <w:r w:rsidRPr="00840F29">
        <w:t xml:space="preserve"> </w:t>
      </w:r>
      <w:r>
        <w:t>engagement</w:t>
      </w:r>
      <w:r w:rsidRPr="00840F29">
        <w:t xml:space="preserve"> </w:t>
      </w:r>
      <w:r>
        <w:t>planning</w:t>
      </w:r>
      <w:r w:rsidRPr="00840F29">
        <w:t xml:space="preserve"> </w:t>
      </w:r>
      <w:r>
        <w:t>in</w:t>
      </w:r>
      <w:r w:rsidRPr="00840F29">
        <w:t xml:space="preserve"> </w:t>
      </w:r>
      <w:r>
        <w:t>alignment</w:t>
      </w:r>
      <w:r w:rsidRPr="00840F29">
        <w:t xml:space="preserve"> </w:t>
      </w:r>
      <w:r>
        <w:t>with</w:t>
      </w:r>
      <w:r w:rsidRPr="00840F29">
        <w:t xml:space="preserve"> </w:t>
      </w:r>
      <w:r>
        <w:t>the</w:t>
      </w:r>
      <w:r w:rsidRPr="00840F29">
        <w:t xml:space="preserve"> communications</w:t>
      </w:r>
      <w:r>
        <w:t xml:space="preserve"> </w:t>
      </w:r>
      <w:r w:rsidRPr="00840F29">
        <w:t>strategy.</w:t>
      </w:r>
    </w:p>
    <w:p w14:paraId="74033372" w14:textId="6906E668" w:rsidR="00840F29" w:rsidRDefault="00840F29" w:rsidP="00840F29">
      <w:pPr>
        <w:pStyle w:val="Heading3"/>
      </w:pPr>
      <w:r w:rsidRPr="00840F29">
        <w:t>Risk management</w:t>
      </w:r>
    </w:p>
    <w:p w14:paraId="586B53DF" w14:textId="77777777" w:rsidR="00840F29" w:rsidRPr="00840F29" w:rsidRDefault="00840F29" w:rsidP="00840F29">
      <w:pPr>
        <w:numPr>
          <w:ilvl w:val="0"/>
          <w:numId w:val="7"/>
        </w:numPr>
        <w:spacing w:before="60" w:after="60"/>
        <w:ind w:left="425" w:hanging="425"/>
        <w:contextualSpacing/>
      </w:pPr>
      <w:r>
        <w:t>Develop</w:t>
      </w:r>
      <w:r w:rsidRPr="00840F29">
        <w:t xml:space="preserve"> </w:t>
      </w:r>
      <w:r>
        <w:t>key</w:t>
      </w:r>
      <w:r w:rsidRPr="00840F29">
        <w:t xml:space="preserve"> </w:t>
      </w:r>
      <w:r>
        <w:t>strategies</w:t>
      </w:r>
      <w:r w:rsidRPr="00840F29">
        <w:t xml:space="preserve"> </w:t>
      </w:r>
      <w:r>
        <w:t>to</w:t>
      </w:r>
      <w:r w:rsidRPr="00840F29">
        <w:t xml:space="preserve"> </w:t>
      </w:r>
      <w:r>
        <w:t>manage</w:t>
      </w:r>
      <w:r w:rsidRPr="00840F29">
        <w:t xml:space="preserve"> </w:t>
      </w:r>
      <w:r>
        <w:t>issues</w:t>
      </w:r>
      <w:r w:rsidRPr="00840F29">
        <w:t xml:space="preserve"> </w:t>
      </w:r>
      <w:r>
        <w:t>and</w:t>
      </w:r>
      <w:r w:rsidRPr="00840F29">
        <w:t xml:space="preserve"> </w:t>
      </w:r>
      <w:r>
        <w:t>risks</w:t>
      </w:r>
      <w:r w:rsidRPr="00840F29">
        <w:t xml:space="preserve"> </w:t>
      </w:r>
      <w:r>
        <w:t>as</w:t>
      </w:r>
      <w:r w:rsidRPr="00840F29">
        <w:t xml:space="preserve"> </w:t>
      </w:r>
      <w:r>
        <w:t>they</w:t>
      </w:r>
      <w:r w:rsidRPr="00840F29">
        <w:t xml:space="preserve"> </w:t>
      </w:r>
      <w:r>
        <w:t>arise,</w:t>
      </w:r>
      <w:r w:rsidRPr="00840F29">
        <w:t xml:space="preserve"> </w:t>
      </w:r>
      <w:r>
        <w:t>anticipate</w:t>
      </w:r>
      <w:r w:rsidRPr="00840F29">
        <w:t xml:space="preserve"> </w:t>
      </w:r>
      <w:r>
        <w:t>new</w:t>
      </w:r>
      <w:r w:rsidRPr="00840F29">
        <w:t xml:space="preserve"> issues</w:t>
      </w:r>
    </w:p>
    <w:p w14:paraId="287D65EF" w14:textId="77777777" w:rsidR="00840F29" w:rsidRPr="00840F29" w:rsidRDefault="00840F29" w:rsidP="00F00ED7">
      <w:pPr>
        <w:spacing w:before="60" w:after="60"/>
        <w:ind w:left="425"/>
        <w:contextualSpacing/>
      </w:pPr>
      <w:r>
        <w:t>and</w:t>
      </w:r>
      <w:r w:rsidRPr="00840F29">
        <w:t xml:space="preserve"> </w:t>
      </w:r>
      <w:r>
        <w:t>risks,</w:t>
      </w:r>
      <w:r w:rsidRPr="00840F29">
        <w:t xml:space="preserve"> </w:t>
      </w:r>
      <w:r>
        <w:t>or</w:t>
      </w:r>
      <w:r w:rsidRPr="00840F29">
        <w:t xml:space="preserve"> </w:t>
      </w:r>
      <w:r>
        <w:t>change</w:t>
      </w:r>
      <w:r w:rsidRPr="00840F29">
        <w:t xml:space="preserve"> </w:t>
      </w:r>
      <w:r>
        <w:t>in</w:t>
      </w:r>
      <w:r w:rsidRPr="00840F29">
        <w:t xml:space="preserve"> </w:t>
      </w:r>
      <w:r>
        <w:t>status</w:t>
      </w:r>
      <w:r w:rsidRPr="00840F29">
        <w:t xml:space="preserve"> </w:t>
      </w:r>
      <w:r>
        <w:t>of</w:t>
      </w:r>
      <w:r w:rsidRPr="00840F29">
        <w:t xml:space="preserve"> </w:t>
      </w:r>
      <w:r>
        <w:t>risks,</w:t>
      </w:r>
      <w:r w:rsidRPr="00840F29">
        <w:t xml:space="preserve"> </w:t>
      </w:r>
      <w:r>
        <w:t>and</w:t>
      </w:r>
      <w:r w:rsidRPr="00840F29">
        <w:t xml:space="preserve"> </w:t>
      </w:r>
      <w:r>
        <w:t>plan</w:t>
      </w:r>
      <w:r w:rsidRPr="00840F29">
        <w:t xml:space="preserve"> </w:t>
      </w:r>
      <w:r>
        <w:t>for</w:t>
      </w:r>
      <w:r w:rsidRPr="00840F29">
        <w:t xml:space="preserve"> </w:t>
      </w:r>
      <w:r>
        <w:t>risk</w:t>
      </w:r>
      <w:r w:rsidRPr="00840F29">
        <w:t xml:space="preserve"> </w:t>
      </w:r>
      <w:r>
        <w:t>areas</w:t>
      </w:r>
      <w:r w:rsidRPr="00840F29">
        <w:t xml:space="preserve"> </w:t>
      </w:r>
      <w:r>
        <w:t>that</w:t>
      </w:r>
      <w:r w:rsidRPr="00840F29">
        <w:t xml:space="preserve"> </w:t>
      </w:r>
      <w:r>
        <w:t>cannot</w:t>
      </w:r>
      <w:r w:rsidRPr="00840F29">
        <w:t xml:space="preserve"> </w:t>
      </w:r>
      <w:r>
        <w:t>be</w:t>
      </w:r>
      <w:r w:rsidRPr="00840F29">
        <w:t xml:space="preserve"> avoided.</w:t>
      </w:r>
    </w:p>
    <w:p w14:paraId="39D99CC4" w14:textId="1E03D00A" w:rsidR="00840F29" w:rsidRPr="00840F29" w:rsidRDefault="00840F29" w:rsidP="00840F29">
      <w:pPr>
        <w:numPr>
          <w:ilvl w:val="0"/>
          <w:numId w:val="7"/>
        </w:numPr>
        <w:spacing w:before="60" w:after="60"/>
        <w:ind w:left="425" w:hanging="425"/>
        <w:contextualSpacing/>
      </w:pPr>
      <w:r>
        <w:t>Keep</w:t>
      </w:r>
      <w:r w:rsidRPr="00840F29">
        <w:t xml:space="preserve"> </w:t>
      </w:r>
      <w:r>
        <w:t>the</w:t>
      </w:r>
      <w:r w:rsidRPr="00840F29">
        <w:t xml:space="preserve"> </w:t>
      </w:r>
      <w:r w:rsidR="00F00ED7" w:rsidRPr="00F00ED7">
        <w:t>workstream change team</w:t>
      </w:r>
      <w:r w:rsidR="00F00ED7">
        <w:t xml:space="preserve"> </w:t>
      </w:r>
      <w:r>
        <w:t>and</w:t>
      </w:r>
      <w:r w:rsidRPr="00840F29">
        <w:t xml:space="preserve"> </w:t>
      </w:r>
      <w:r>
        <w:t>senior</w:t>
      </w:r>
      <w:r w:rsidRPr="00840F29">
        <w:t xml:space="preserve"> </w:t>
      </w:r>
      <w:r>
        <w:t>managers</w:t>
      </w:r>
      <w:r w:rsidRPr="00840F29">
        <w:t xml:space="preserve"> </w:t>
      </w:r>
      <w:r>
        <w:t>and</w:t>
      </w:r>
      <w:r w:rsidRPr="00840F29">
        <w:t xml:space="preserve"> </w:t>
      </w:r>
      <w:r w:rsidR="00AF6C12">
        <w:t>governance</w:t>
      </w:r>
      <w:r w:rsidRPr="00840F29">
        <w:t xml:space="preserve"> </w:t>
      </w:r>
      <w:r>
        <w:t>groups</w:t>
      </w:r>
      <w:r w:rsidRPr="00840F29">
        <w:t xml:space="preserve"> </w:t>
      </w:r>
      <w:r>
        <w:t>informed</w:t>
      </w:r>
      <w:r w:rsidRPr="00840F29">
        <w:t xml:space="preserve"> </w:t>
      </w:r>
      <w:r>
        <w:t xml:space="preserve">of any issues and risks impacting on the Ministry’s reputation and advice on how these will be </w:t>
      </w:r>
      <w:r w:rsidRPr="00840F29">
        <w:t>mitigated.</w:t>
      </w:r>
    </w:p>
    <w:p w14:paraId="6C5FEAE2" w14:textId="423E6468" w:rsidR="00840F29" w:rsidRDefault="00840F29" w:rsidP="00840F29">
      <w:pPr>
        <w:pStyle w:val="Heading3"/>
      </w:pPr>
      <w:r w:rsidRPr="00840F29">
        <w:t>Team support</w:t>
      </w:r>
    </w:p>
    <w:p w14:paraId="409AFFAD" w14:textId="32741972" w:rsidR="00840F29" w:rsidRPr="00840F29" w:rsidRDefault="00840F29" w:rsidP="00840F29">
      <w:pPr>
        <w:numPr>
          <w:ilvl w:val="0"/>
          <w:numId w:val="7"/>
        </w:numPr>
        <w:spacing w:before="60" w:after="60"/>
        <w:ind w:left="425" w:hanging="425"/>
        <w:contextualSpacing/>
      </w:pPr>
      <w:r>
        <w:t>Provide</w:t>
      </w:r>
      <w:r w:rsidRPr="00840F29">
        <w:t xml:space="preserve"> </w:t>
      </w:r>
      <w:r>
        <w:t>cover</w:t>
      </w:r>
      <w:r w:rsidRPr="00840F29">
        <w:t xml:space="preserve"> </w:t>
      </w:r>
      <w:r>
        <w:t>for</w:t>
      </w:r>
      <w:r w:rsidRPr="00840F29">
        <w:t xml:space="preserve"> </w:t>
      </w:r>
      <w:r>
        <w:t>the</w:t>
      </w:r>
      <w:r w:rsidRPr="00840F29">
        <w:t xml:space="preserve"> </w:t>
      </w:r>
      <w:r>
        <w:t>Communications and</w:t>
      </w:r>
      <w:r w:rsidRPr="00840F29">
        <w:t xml:space="preserve"> </w:t>
      </w:r>
      <w:r>
        <w:t>others</w:t>
      </w:r>
      <w:r w:rsidRPr="00840F29">
        <w:t xml:space="preserve"> </w:t>
      </w:r>
      <w:r>
        <w:t>within</w:t>
      </w:r>
      <w:r w:rsidRPr="00840F29">
        <w:t xml:space="preserve"> </w:t>
      </w:r>
      <w:r>
        <w:t>the wider team when required</w:t>
      </w:r>
    </w:p>
    <w:p w14:paraId="154F5BD4" w14:textId="77777777" w:rsidR="00840F29" w:rsidRPr="00840F29" w:rsidRDefault="00840F29" w:rsidP="00840F29">
      <w:pPr>
        <w:numPr>
          <w:ilvl w:val="0"/>
          <w:numId w:val="7"/>
        </w:numPr>
        <w:spacing w:before="60" w:after="60"/>
        <w:ind w:left="425" w:hanging="425"/>
        <w:contextualSpacing/>
      </w:pPr>
      <w:r>
        <w:t>Identify</w:t>
      </w:r>
      <w:r w:rsidRPr="00840F29">
        <w:t xml:space="preserve"> </w:t>
      </w:r>
      <w:r>
        <w:t>and</w:t>
      </w:r>
      <w:r w:rsidRPr="00840F29">
        <w:t xml:space="preserve"> </w:t>
      </w:r>
      <w:r>
        <w:t>act</w:t>
      </w:r>
      <w:r w:rsidRPr="00840F29">
        <w:t xml:space="preserve"> </w:t>
      </w:r>
      <w:r>
        <w:t>on</w:t>
      </w:r>
      <w:r w:rsidRPr="00840F29">
        <w:t xml:space="preserve"> </w:t>
      </w:r>
      <w:r>
        <w:t>personal</w:t>
      </w:r>
      <w:r w:rsidRPr="00840F29">
        <w:t xml:space="preserve"> </w:t>
      </w:r>
      <w:r>
        <w:t>learning</w:t>
      </w:r>
      <w:r w:rsidRPr="00840F29">
        <w:t xml:space="preserve"> </w:t>
      </w:r>
      <w:r>
        <w:t>and</w:t>
      </w:r>
      <w:r w:rsidRPr="00840F29">
        <w:t xml:space="preserve"> </w:t>
      </w:r>
      <w:r>
        <w:t>development</w:t>
      </w:r>
      <w:r w:rsidRPr="00840F29">
        <w:t xml:space="preserve"> opportunities.</w:t>
      </w:r>
    </w:p>
    <w:p w14:paraId="4866FAC7" w14:textId="77777777" w:rsidR="00B624B4" w:rsidRDefault="00B624B4">
      <w:pPr>
        <w:spacing w:after="0" w:line="240" w:lineRule="auto"/>
        <w:rPr>
          <w:rFonts w:eastAsia="Times New Roman"/>
          <w:b/>
          <w:bCs/>
          <w:iCs/>
          <w:color w:val="000000" w:themeColor="text1"/>
          <w:sz w:val="28"/>
          <w:szCs w:val="28"/>
          <w:lang w:eastAsia="en-GB"/>
        </w:rPr>
      </w:pPr>
      <w:r>
        <w:br w:type="page"/>
      </w:r>
    </w:p>
    <w:p w14:paraId="68C809B0" w14:textId="434BA789" w:rsidR="0080061F" w:rsidRDefault="0080061F" w:rsidP="0055724C">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3096F92E" w14:textId="77777777" w:rsidR="00AF6C12" w:rsidRDefault="00AF6C12" w:rsidP="00AF6C12">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2AE22E75" w14:textId="77777777" w:rsidR="00AF6C12" w:rsidRDefault="00AF6C12" w:rsidP="00AF6C12">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692F717D" w14:textId="77777777" w:rsidR="00AF6C12" w:rsidRPr="00EF2412" w:rsidRDefault="00AF6C12" w:rsidP="00AF6C12">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5C21ADDD" w14:textId="77777777" w:rsidR="00AF6C12" w:rsidRDefault="00AF6C12" w:rsidP="00AF6C12">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2FEFA89D" w14:textId="77777777" w:rsidR="008C52C5" w:rsidRPr="00EF2412" w:rsidRDefault="008C52C5" w:rsidP="008C52C5">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182469B3" w14:textId="77777777" w:rsidR="008C52C5" w:rsidRPr="00EF2412" w:rsidRDefault="008C52C5" w:rsidP="008C52C5">
      <w:pPr>
        <w:pStyle w:val="Bullet1"/>
        <w:numPr>
          <w:ilvl w:val="0"/>
          <w:numId w:val="2"/>
        </w:numPr>
        <w:tabs>
          <w:tab w:val="clear" w:pos="454"/>
        </w:tabs>
        <w:spacing w:before="60" w:after="60"/>
      </w:pPr>
      <w:r w:rsidRPr="00EF2412">
        <w:t>Ensure that policies and procedures encompassing emergency management, business continuity and crisis management arrangements are understood, followed and implemented by employees.</w:t>
      </w:r>
    </w:p>
    <w:p w14:paraId="1A1B18FC" w14:textId="0A6FC388" w:rsidR="0080061F" w:rsidRPr="0076538D" w:rsidRDefault="0080061F" w:rsidP="0055724C">
      <w:pPr>
        <w:pStyle w:val="Heading2"/>
        <w:spacing w:before="360"/>
      </w:pPr>
      <w:r>
        <w:t>Know-how</w:t>
      </w:r>
    </w:p>
    <w:p w14:paraId="5D82E90B" w14:textId="77777777" w:rsidR="00840F29" w:rsidRDefault="00840F29" w:rsidP="00840F29">
      <w:pPr>
        <w:spacing w:before="60" w:after="60"/>
        <w:contextualSpacing/>
      </w:pPr>
      <w:r>
        <w:t>You</w:t>
      </w:r>
      <w:r w:rsidRPr="00840F29">
        <w:t xml:space="preserve"> </w:t>
      </w:r>
      <w:r>
        <w:t>will</w:t>
      </w:r>
      <w:r w:rsidRPr="00840F29">
        <w:t xml:space="preserve"> </w:t>
      </w:r>
      <w:r>
        <w:t>require</w:t>
      </w:r>
      <w:r w:rsidRPr="00840F29">
        <w:t xml:space="preserve"> </w:t>
      </w:r>
      <w:r>
        <w:t>at</w:t>
      </w:r>
      <w:r w:rsidRPr="00840F29">
        <w:t xml:space="preserve"> </w:t>
      </w:r>
      <w:r>
        <w:t>least</w:t>
      </w:r>
      <w:r w:rsidRPr="00840F29">
        <w:t xml:space="preserve"> </w:t>
      </w:r>
      <w:r>
        <w:t>five</w:t>
      </w:r>
      <w:r w:rsidRPr="00840F29">
        <w:t xml:space="preserve"> </w:t>
      </w:r>
      <w:r>
        <w:t>to</w:t>
      </w:r>
      <w:r w:rsidRPr="00840F29">
        <w:t xml:space="preserve"> </w:t>
      </w:r>
      <w:r>
        <w:t>10</w:t>
      </w:r>
      <w:r w:rsidRPr="00840F29">
        <w:t xml:space="preserve"> </w:t>
      </w:r>
      <w:r>
        <w:t>years’</w:t>
      </w:r>
      <w:r w:rsidRPr="00840F29">
        <w:t xml:space="preserve"> </w:t>
      </w:r>
      <w:r>
        <w:t>demonstrated</w:t>
      </w:r>
      <w:r w:rsidRPr="00840F29">
        <w:t xml:space="preserve"> </w:t>
      </w:r>
      <w:r>
        <w:t>experience</w:t>
      </w:r>
      <w:r w:rsidRPr="00840F29">
        <w:t xml:space="preserve"> in:</w:t>
      </w:r>
    </w:p>
    <w:p w14:paraId="0233449C" w14:textId="77777777" w:rsidR="00840F29" w:rsidRPr="00840F29" w:rsidRDefault="00840F29" w:rsidP="00840F29">
      <w:pPr>
        <w:numPr>
          <w:ilvl w:val="0"/>
          <w:numId w:val="7"/>
        </w:numPr>
        <w:spacing w:before="60" w:after="60"/>
        <w:ind w:left="425" w:hanging="425"/>
        <w:contextualSpacing/>
      </w:pPr>
      <w:r>
        <w:t>Designing</w:t>
      </w:r>
      <w:r w:rsidRPr="00840F29">
        <w:t xml:space="preserve"> </w:t>
      </w:r>
      <w:r>
        <w:t>and</w:t>
      </w:r>
      <w:r w:rsidRPr="00840F29">
        <w:t xml:space="preserve"> </w:t>
      </w:r>
      <w:r>
        <w:t>delivering</w:t>
      </w:r>
      <w:r w:rsidRPr="00840F29">
        <w:t xml:space="preserve"> </w:t>
      </w:r>
      <w:r>
        <w:t>successful</w:t>
      </w:r>
      <w:r w:rsidRPr="00840F29">
        <w:t xml:space="preserve"> </w:t>
      </w:r>
      <w:r>
        <w:t>engagement</w:t>
      </w:r>
      <w:r w:rsidRPr="00840F29">
        <w:t xml:space="preserve"> strategies</w:t>
      </w:r>
    </w:p>
    <w:p w14:paraId="03DBC095" w14:textId="77777777" w:rsidR="00840F29" w:rsidRPr="00840F29" w:rsidRDefault="00840F29" w:rsidP="00840F29">
      <w:pPr>
        <w:numPr>
          <w:ilvl w:val="0"/>
          <w:numId w:val="7"/>
        </w:numPr>
        <w:spacing w:before="60" w:after="60"/>
        <w:ind w:left="425" w:hanging="425"/>
        <w:contextualSpacing/>
      </w:pPr>
      <w:r>
        <w:t>Understanding</w:t>
      </w:r>
      <w:r w:rsidRPr="00840F29">
        <w:t xml:space="preserve"> </w:t>
      </w:r>
      <w:r>
        <w:t>the</w:t>
      </w:r>
      <w:r w:rsidRPr="00840F29">
        <w:t xml:space="preserve"> </w:t>
      </w:r>
      <w:r>
        <w:t>needs</w:t>
      </w:r>
      <w:r w:rsidRPr="00840F29">
        <w:t xml:space="preserve"> </w:t>
      </w:r>
      <w:r>
        <w:t>of</w:t>
      </w:r>
      <w:r w:rsidRPr="00840F29">
        <w:t xml:space="preserve"> </w:t>
      </w:r>
      <w:r>
        <w:t>communities</w:t>
      </w:r>
      <w:r w:rsidRPr="00840F29">
        <w:t xml:space="preserve"> </w:t>
      </w:r>
      <w:r>
        <w:t>and</w:t>
      </w:r>
      <w:r w:rsidRPr="00840F29">
        <w:t xml:space="preserve"> </w:t>
      </w:r>
      <w:r>
        <w:t>ensuring</w:t>
      </w:r>
      <w:r w:rsidRPr="00840F29">
        <w:t xml:space="preserve"> </w:t>
      </w:r>
      <w:r>
        <w:t>everyone</w:t>
      </w:r>
      <w:r w:rsidRPr="00840F29">
        <w:t xml:space="preserve"> </w:t>
      </w:r>
      <w:r>
        <w:t>has</w:t>
      </w:r>
      <w:r w:rsidRPr="00840F29">
        <w:t xml:space="preserve"> </w:t>
      </w:r>
      <w:r>
        <w:t>a</w:t>
      </w:r>
      <w:r w:rsidRPr="00840F29">
        <w:t xml:space="preserve"> voice</w:t>
      </w:r>
    </w:p>
    <w:p w14:paraId="2077D88B" w14:textId="77777777" w:rsidR="00840F29" w:rsidRPr="00840F29" w:rsidRDefault="00840F29" w:rsidP="00840F29">
      <w:pPr>
        <w:numPr>
          <w:ilvl w:val="0"/>
          <w:numId w:val="7"/>
        </w:numPr>
        <w:spacing w:before="60" w:after="60"/>
        <w:ind w:left="425" w:hanging="425"/>
        <w:contextualSpacing/>
      </w:pPr>
      <w:r>
        <w:t>Balancing</w:t>
      </w:r>
      <w:r w:rsidRPr="00840F29">
        <w:t xml:space="preserve"> </w:t>
      </w:r>
      <w:r>
        <w:t>different</w:t>
      </w:r>
      <w:r w:rsidRPr="00840F29">
        <w:t xml:space="preserve"> </w:t>
      </w:r>
      <w:r>
        <w:t>types</w:t>
      </w:r>
      <w:r w:rsidRPr="00840F29">
        <w:t xml:space="preserve"> </w:t>
      </w:r>
      <w:r>
        <w:t>of</w:t>
      </w:r>
      <w:r w:rsidRPr="00840F29">
        <w:t xml:space="preserve"> </w:t>
      </w:r>
      <w:r>
        <w:t>engagement</w:t>
      </w:r>
      <w:r w:rsidRPr="00840F29">
        <w:t xml:space="preserve"> </w:t>
      </w:r>
      <w:r>
        <w:t>to</w:t>
      </w:r>
      <w:r w:rsidRPr="00840F29">
        <w:t xml:space="preserve"> </w:t>
      </w:r>
      <w:r>
        <w:t>ensure</w:t>
      </w:r>
      <w:r w:rsidRPr="00840F29">
        <w:t xml:space="preserve"> </w:t>
      </w:r>
      <w:r>
        <w:t>a</w:t>
      </w:r>
      <w:r w:rsidRPr="00840F29">
        <w:t xml:space="preserve"> </w:t>
      </w:r>
      <w:r>
        <w:t>thorough</w:t>
      </w:r>
      <w:r w:rsidRPr="00840F29">
        <w:t xml:space="preserve"> </w:t>
      </w:r>
      <w:r>
        <w:t>and</w:t>
      </w:r>
      <w:r w:rsidRPr="00840F29">
        <w:t xml:space="preserve"> </w:t>
      </w:r>
      <w:r>
        <w:t>wide-</w:t>
      </w:r>
      <w:r w:rsidRPr="00840F29">
        <w:t>ranging</w:t>
      </w:r>
    </w:p>
    <w:p w14:paraId="30BB10BF" w14:textId="77777777" w:rsidR="00840F29" w:rsidRPr="00840F29" w:rsidRDefault="00840F29" w:rsidP="00840F29">
      <w:pPr>
        <w:spacing w:before="60" w:after="60"/>
        <w:ind w:left="425"/>
        <w:contextualSpacing/>
      </w:pPr>
      <w:r>
        <w:t>consultation</w:t>
      </w:r>
      <w:r w:rsidRPr="00840F29">
        <w:t xml:space="preserve"> process</w:t>
      </w:r>
    </w:p>
    <w:p w14:paraId="137E4C30" w14:textId="77777777" w:rsidR="00840F29" w:rsidRPr="00840F29" w:rsidRDefault="00840F29" w:rsidP="00840F29">
      <w:pPr>
        <w:numPr>
          <w:ilvl w:val="0"/>
          <w:numId w:val="7"/>
        </w:numPr>
        <w:spacing w:before="60" w:after="60"/>
        <w:ind w:left="425" w:hanging="425"/>
        <w:contextualSpacing/>
      </w:pPr>
      <w:r>
        <w:t>Working</w:t>
      </w:r>
      <w:r w:rsidRPr="00840F29">
        <w:t xml:space="preserve"> </w:t>
      </w:r>
      <w:r>
        <w:t>with</w:t>
      </w:r>
      <w:r w:rsidRPr="00840F29">
        <w:t xml:space="preserve"> </w:t>
      </w:r>
      <w:r>
        <w:t>a</w:t>
      </w:r>
      <w:r w:rsidRPr="00840F29">
        <w:t xml:space="preserve"> </w:t>
      </w:r>
      <w:r>
        <w:t>wide</w:t>
      </w:r>
      <w:r w:rsidRPr="00840F29">
        <w:t xml:space="preserve"> </w:t>
      </w:r>
      <w:r>
        <w:t>range</w:t>
      </w:r>
      <w:r w:rsidRPr="00840F29">
        <w:t xml:space="preserve"> </w:t>
      </w:r>
      <w:r>
        <w:t>of</w:t>
      </w:r>
      <w:r w:rsidRPr="00840F29">
        <w:t xml:space="preserve"> </w:t>
      </w:r>
      <w:r>
        <w:t>stakeholders</w:t>
      </w:r>
      <w:r w:rsidRPr="00840F29">
        <w:t xml:space="preserve"> </w:t>
      </w:r>
      <w:r>
        <w:t>and</w:t>
      </w:r>
      <w:r w:rsidRPr="00840F29">
        <w:t xml:space="preserve"> </w:t>
      </w:r>
      <w:r>
        <w:t>developing</w:t>
      </w:r>
      <w:r w:rsidRPr="00840F29">
        <w:t xml:space="preserve"> </w:t>
      </w:r>
      <w:r>
        <w:t>strong</w:t>
      </w:r>
      <w:r w:rsidRPr="00840F29">
        <w:t xml:space="preserve"> stakeholder</w:t>
      </w:r>
    </w:p>
    <w:p w14:paraId="6F3D92A2" w14:textId="77777777" w:rsidR="00840F29" w:rsidRPr="00840F29" w:rsidRDefault="00840F29" w:rsidP="00840F29">
      <w:pPr>
        <w:spacing w:before="60" w:after="60"/>
        <w:ind w:left="425"/>
        <w:contextualSpacing/>
      </w:pPr>
      <w:r w:rsidRPr="00840F29">
        <w:t>relationships</w:t>
      </w:r>
    </w:p>
    <w:p w14:paraId="282F3419" w14:textId="77777777" w:rsidR="00840F29" w:rsidRPr="00840F29" w:rsidRDefault="00840F29" w:rsidP="00840F29">
      <w:pPr>
        <w:numPr>
          <w:ilvl w:val="0"/>
          <w:numId w:val="7"/>
        </w:numPr>
        <w:spacing w:before="60" w:after="60"/>
        <w:ind w:left="425" w:hanging="425"/>
        <w:contextualSpacing/>
      </w:pPr>
      <w:r>
        <w:t>Supporting</w:t>
      </w:r>
      <w:r w:rsidRPr="00840F29">
        <w:t xml:space="preserve"> </w:t>
      </w:r>
      <w:r>
        <w:t>others</w:t>
      </w:r>
      <w:r w:rsidRPr="00840F29">
        <w:t xml:space="preserve"> </w:t>
      </w:r>
      <w:r>
        <w:t>to</w:t>
      </w:r>
      <w:r w:rsidRPr="00840F29">
        <w:t xml:space="preserve"> </w:t>
      </w:r>
      <w:r>
        <w:t>develop</w:t>
      </w:r>
      <w:r w:rsidRPr="00840F29">
        <w:t xml:space="preserve"> </w:t>
      </w:r>
      <w:r>
        <w:t>their</w:t>
      </w:r>
      <w:r w:rsidRPr="00840F29">
        <w:t xml:space="preserve"> </w:t>
      </w:r>
      <w:r>
        <w:t>engagement</w:t>
      </w:r>
      <w:r w:rsidRPr="00840F29">
        <w:t xml:space="preserve"> capability</w:t>
      </w:r>
    </w:p>
    <w:p w14:paraId="35EE59DB" w14:textId="77777777" w:rsidR="00840F29" w:rsidRPr="00840F29" w:rsidRDefault="00840F29" w:rsidP="00840F29">
      <w:pPr>
        <w:numPr>
          <w:ilvl w:val="0"/>
          <w:numId w:val="7"/>
        </w:numPr>
        <w:spacing w:before="60" w:after="60"/>
        <w:ind w:left="425" w:hanging="425"/>
        <w:contextualSpacing/>
      </w:pPr>
      <w:r>
        <w:t>Working</w:t>
      </w:r>
      <w:r w:rsidRPr="00840F29">
        <w:t xml:space="preserve"> </w:t>
      </w:r>
      <w:r>
        <w:t>in</w:t>
      </w:r>
      <w:r w:rsidRPr="00840F29">
        <w:t xml:space="preserve"> </w:t>
      </w:r>
      <w:r>
        <w:t>environments</w:t>
      </w:r>
      <w:r w:rsidRPr="00840F29">
        <w:t xml:space="preserve"> </w:t>
      </w:r>
      <w:r>
        <w:t>where</w:t>
      </w:r>
      <w:r w:rsidRPr="00840F29">
        <w:t xml:space="preserve"> </w:t>
      </w:r>
      <w:r>
        <w:t>things</w:t>
      </w:r>
      <w:r w:rsidRPr="00840F29">
        <w:t xml:space="preserve"> </w:t>
      </w:r>
      <w:r>
        <w:t>can</w:t>
      </w:r>
      <w:r w:rsidRPr="00840F29">
        <w:t xml:space="preserve"> </w:t>
      </w:r>
      <w:r>
        <w:t>shift,</w:t>
      </w:r>
      <w:r w:rsidRPr="00840F29">
        <w:t xml:space="preserve"> </w:t>
      </w:r>
      <w:r>
        <w:t>move</w:t>
      </w:r>
      <w:r w:rsidRPr="00840F29">
        <w:t xml:space="preserve"> </w:t>
      </w:r>
      <w:r>
        <w:t>or</w:t>
      </w:r>
      <w:r w:rsidRPr="00840F29">
        <w:t xml:space="preserve"> </w:t>
      </w:r>
      <w:r>
        <w:t>change</w:t>
      </w:r>
      <w:r w:rsidRPr="00840F29">
        <w:t xml:space="preserve"> quickly</w:t>
      </w:r>
    </w:p>
    <w:p w14:paraId="13F9F7EF" w14:textId="77777777" w:rsidR="00840F29" w:rsidRPr="00840F29" w:rsidRDefault="00840F29" w:rsidP="00840F29">
      <w:pPr>
        <w:numPr>
          <w:ilvl w:val="0"/>
          <w:numId w:val="7"/>
        </w:numPr>
        <w:spacing w:before="60" w:after="60"/>
        <w:ind w:left="425" w:hanging="425"/>
        <w:contextualSpacing/>
      </w:pPr>
      <w:r>
        <w:t>Experience</w:t>
      </w:r>
      <w:r w:rsidRPr="00840F29">
        <w:t xml:space="preserve"> </w:t>
      </w:r>
      <w:r>
        <w:t>with</w:t>
      </w:r>
      <w:r w:rsidRPr="00840F29">
        <w:t xml:space="preserve"> </w:t>
      </w:r>
      <w:r>
        <w:t>senior</w:t>
      </w:r>
      <w:r w:rsidRPr="00840F29">
        <w:t xml:space="preserve"> </w:t>
      </w:r>
      <w:r>
        <w:t>leadership,</w:t>
      </w:r>
      <w:r w:rsidRPr="00840F29">
        <w:t xml:space="preserve"> </w:t>
      </w:r>
      <w:r>
        <w:t>with</w:t>
      </w:r>
      <w:r w:rsidRPr="00840F29">
        <w:t xml:space="preserve"> </w:t>
      </w:r>
      <w:r>
        <w:t>strong</w:t>
      </w:r>
      <w:r w:rsidRPr="00840F29">
        <w:t xml:space="preserve"> </w:t>
      </w:r>
      <w:r>
        <w:t>judgement</w:t>
      </w:r>
      <w:r w:rsidRPr="00840F29">
        <w:t xml:space="preserve"> </w:t>
      </w:r>
      <w:r>
        <w:t>and</w:t>
      </w:r>
      <w:r w:rsidRPr="00840F29">
        <w:t xml:space="preserve"> </w:t>
      </w:r>
      <w:r>
        <w:t>intellectual</w:t>
      </w:r>
      <w:r w:rsidRPr="00840F29">
        <w:t xml:space="preserve"> flexibility.</w:t>
      </w:r>
    </w:p>
    <w:p w14:paraId="77A94956" w14:textId="77777777" w:rsidR="00840F29" w:rsidRPr="00840F29" w:rsidRDefault="00840F29" w:rsidP="00840F29">
      <w:pPr>
        <w:numPr>
          <w:ilvl w:val="0"/>
          <w:numId w:val="7"/>
        </w:numPr>
        <w:spacing w:before="60" w:after="60"/>
        <w:ind w:left="425" w:hanging="425"/>
        <w:contextualSpacing/>
      </w:pPr>
      <w:r>
        <w:t>Excellent</w:t>
      </w:r>
      <w:r w:rsidRPr="00840F29">
        <w:t xml:space="preserve"> </w:t>
      </w:r>
      <w:r>
        <w:t>knowledge</w:t>
      </w:r>
      <w:r w:rsidRPr="00840F29">
        <w:t xml:space="preserve"> </w:t>
      </w:r>
      <w:r>
        <w:t>and</w:t>
      </w:r>
      <w:r w:rsidRPr="00840F29">
        <w:t xml:space="preserve"> </w:t>
      </w:r>
      <w:r>
        <w:t>experience</w:t>
      </w:r>
      <w:r w:rsidRPr="00840F29">
        <w:t xml:space="preserve"> </w:t>
      </w:r>
      <w:r>
        <w:t>in</w:t>
      </w:r>
      <w:r w:rsidRPr="00840F29">
        <w:t xml:space="preserve"> </w:t>
      </w:r>
      <w:r>
        <w:t>the</w:t>
      </w:r>
      <w:r w:rsidRPr="00840F29">
        <w:t xml:space="preserve"> </w:t>
      </w:r>
      <w:r>
        <w:t>public</w:t>
      </w:r>
      <w:r w:rsidRPr="00840F29">
        <w:t xml:space="preserve"> </w:t>
      </w:r>
      <w:r>
        <w:t>sector</w:t>
      </w:r>
      <w:r w:rsidRPr="00840F29">
        <w:t xml:space="preserve"> </w:t>
      </w:r>
      <w:r>
        <w:t>environment</w:t>
      </w:r>
      <w:r w:rsidRPr="00840F29">
        <w:t xml:space="preserve"> </w:t>
      </w:r>
      <w:r>
        <w:t>and</w:t>
      </w:r>
      <w:r w:rsidRPr="00840F29">
        <w:t xml:space="preserve"> </w:t>
      </w:r>
      <w:r>
        <w:t>the</w:t>
      </w:r>
      <w:r w:rsidRPr="00840F29">
        <w:t xml:space="preserve"> role,</w:t>
      </w:r>
    </w:p>
    <w:p w14:paraId="346F6D51" w14:textId="77777777" w:rsidR="00840F29" w:rsidRPr="00840F29" w:rsidRDefault="00840F29" w:rsidP="00840F29">
      <w:pPr>
        <w:spacing w:before="60" w:after="60"/>
        <w:ind w:left="425"/>
        <w:contextualSpacing/>
      </w:pPr>
      <w:r>
        <w:t>duties</w:t>
      </w:r>
      <w:r w:rsidRPr="00840F29">
        <w:t xml:space="preserve"> </w:t>
      </w:r>
      <w:r>
        <w:t>and</w:t>
      </w:r>
      <w:r w:rsidRPr="00840F29">
        <w:t xml:space="preserve"> </w:t>
      </w:r>
      <w:r>
        <w:t>expectations</w:t>
      </w:r>
      <w:r w:rsidRPr="00840F29">
        <w:t xml:space="preserve"> </w:t>
      </w:r>
      <w:r>
        <w:t>of</w:t>
      </w:r>
      <w:r w:rsidRPr="00840F29">
        <w:t xml:space="preserve"> </w:t>
      </w:r>
      <w:r>
        <w:t>public</w:t>
      </w:r>
      <w:r w:rsidRPr="00840F29">
        <w:t xml:space="preserve"> servants</w:t>
      </w:r>
    </w:p>
    <w:p w14:paraId="31C186AE" w14:textId="77777777" w:rsidR="00840F29" w:rsidRPr="00840F29" w:rsidRDefault="00840F29" w:rsidP="00840F29">
      <w:pPr>
        <w:numPr>
          <w:ilvl w:val="0"/>
          <w:numId w:val="7"/>
        </w:numPr>
        <w:spacing w:before="60" w:after="60"/>
        <w:ind w:left="425" w:hanging="425"/>
        <w:contextualSpacing/>
      </w:pPr>
      <w:r>
        <w:t>Proven</w:t>
      </w:r>
      <w:r w:rsidRPr="00840F29">
        <w:t xml:space="preserve"> </w:t>
      </w:r>
      <w:r>
        <w:t>project</w:t>
      </w:r>
      <w:r w:rsidRPr="00840F29">
        <w:t xml:space="preserve"> </w:t>
      </w:r>
      <w:r>
        <w:t>management</w:t>
      </w:r>
      <w:r w:rsidRPr="00840F29">
        <w:t xml:space="preserve"> </w:t>
      </w:r>
      <w:r>
        <w:t>experience,</w:t>
      </w:r>
      <w:r w:rsidRPr="00840F29">
        <w:t xml:space="preserve"> </w:t>
      </w:r>
      <w:r>
        <w:t>particularly</w:t>
      </w:r>
      <w:r w:rsidRPr="00840F29">
        <w:t xml:space="preserve"> </w:t>
      </w:r>
      <w:r>
        <w:t>in</w:t>
      </w:r>
      <w:r w:rsidRPr="00840F29">
        <w:t xml:space="preserve"> </w:t>
      </w:r>
      <w:r>
        <w:t>the</w:t>
      </w:r>
      <w:r w:rsidRPr="00840F29">
        <w:t xml:space="preserve"> </w:t>
      </w:r>
      <w:r>
        <w:t>management</w:t>
      </w:r>
      <w:r w:rsidRPr="00840F29">
        <w:t xml:space="preserve"> </w:t>
      </w:r>
      <w:r>
        <w:t>of</w:t>
      </w:r>
      <w:r w:rsidRPr="00840F29">
        <w:t xml:space="preserve"> </w:t>
      </w:r>
      <w:r>
        <w:t>multifaceted, complex and multi-stakeholder projects within the public sector</w:t>
      </w:r>
    </w:p>
    <w:p w14:paraId="68589B46" w14:textId="77777777" w:rsidR="00840F29" w:rsidRPr="00840F29" w:rsidRDefault="00840F29" w:rsidP="00840F29">
      <w:pPr>
        <w:numPr>
          <w:ilvl w:val="0"/>
          <w:numId w:val="7"/>
        </w:numPr>
        <w:spacing w:before="60" w:after="60"/>
        <w:ind w:left="425" w:hanging="425"/>
        <w:contextualSpacing/>
      </w:pPr>
      <w:r>
        <w:t>Demonstrated</w:t>
      </w:r>
      <w:r w:rsidRPr="00840F29">
        <w:t xml:space="preserve"> </w:t>
      </w:r>
      <w:r>
        <w:t>awareness</w:t>
      </w:r>
      <w:r w:rsidRPr="00840F29">
        <w:t xml:space="preserve"> </w:t>
      </w:r>
      <w:r>
        <w:t>or</w:t>
      </w:r>
      <w:r w:rsidRPr="00840F29">
        <w:t xml:space="preserve"> </w:t>
      </w:r>
      <w:r>
        <w:t>knowledge</w:t>
      </w:r>
      <w:r w:rsidRPr="00840F29">
        <w:t xml:space="preserve"> </w:t>
      </w:r>
      <w:r>
        <w:t>of</w:t>
      </w:r>
      <w:r w:rsidRPr="00840F29">
        <w:t xml:space="preserve"> </w:t>
      </w:r>
      <w:r>
        <w:t>the</w:t>
      </w:r>
      <w:r w:rsidRPr="00840F29">
        <w:t xml:space="preserve"> </w:t>
      </w:r>
      <w:r>
        <w:t>government</w:t>
      </w:r>
      <w:r w:rsidRPr="00840F29">
        <w:t xml:space="preserve"> </w:t>
      </w:r>
      <w:r>
        <w:t>and</w:t>
      </w:r>
      <w:r w:rsidRPr="00840F29">
        <w:t xml:space="preserve"> </w:t>
      </w:r>
      <w:r>
        <w:t>political</w:t>
      </w:r>
      <w:r w:rsidRPr="00840F29">
        <w:t xml:space="preserve"> </w:t>
      </w:r>
      <w:r>
        <w:t>environment,</w:t>
      </w:r>
      <w:r w:rsidRPr="00840F29">
        <w:t xml:space="preserve"> </w:t>
      </w:r>
      <w:r>
        <w:t>and understanding of the implications for the Ministry</w:t>
      </w:r>
    </w:p>
    <w:p w14:paraId="2A49B302" w14:textId="77777777" w:rsidR="00840F29" w:rsidRPr="00840F29" w:rsidRDefault="00840F29" w:rsidP="00840F29">
      <w:pPr>
        <w:numPr>
          <w:ilvl w:val="0"/>
          <w:numId w:val="7"/>
        </w:numPr>
        <w:spacing w:before="60" w:after="60"/>
        <w:ind w:left="425" w:hanging="425"/>
        <w:contextualSpacing/>
      </w:pPr>
      <w:r>
        <w:t>Understand</w:t>
      </w:r>
      <w:r w:rsidRPr="00840F29">
        <w:t xml:space="preserve"> </w:t>
      </w:r>
      <w:r>
        <w:t>and</w:t>
      </w:r>
      <w:r w:rsidRPr="00840F29">
        <w:t xml:space="preserve"> </w:t>
      </w:r>
      <w:r>
        <w:t>be</w:t>
      </w:r>
      <w:r w:rsidRPr="00840F29">
        <w:t xml:space="preserve"> </w:t>
      </w:r>
      <w:r>
        <w:t>able</w:t>
      </w:r>
      <w:r w:rsidRPr="00840F29">
        <w:t xml:space="preserve"> </w:t>
      </w:r>
      <w:r>
        <w:t>to</w:t>
      </w:r>
      <w:r w:rsidRPr="00840F29">
        <w:t xml:space="preserve"> </w:t>
      </w:r>
      <w:r>
        <w:t>implement</w:t>
      </w:r>
      <w:r w:rsidRPr="00840F29">
        <w:t xml:space="preserve"> </w:t>
      </w:r>
      <w:r>
        <w:t>accessibility</w:t>
      </w:r>
      <w:r w:rsidRPr="00840F29">
        <w:t xml:space="preserve"> </w:t>
      </w:r>
      <w:r>
        <w:t>requirements</w:t>
      </w:r>
      <w:r w:rsidRPr="00840F29">
        <w:t xml:space="preserve"> </w:t>
      </w:r>
      <w:r>
        <w:t>for</w:t>
      </w:r>
      <w:r w:rsidRPr="00840F29">
        <w:t xml:space="preserve"> </w:t>
      </w:r>
      <w:r>
        <w:t>engagement,</w:t>
      </w:r>
      <w:r w:rsidRPr="00840F29">
        <w:t xml:space="preserve"> </w:t>
      </w:r>
      <w:r>
        <w:t>including</w:t>
      </w:r>
      <w:r w:rsidRPr="00840F29">
        <w:t xml:space="preserve"> </w:t>
      </w:r>
      <w:r>
        <w:t>NZSL translation services</w:t>
      </w:r>
    </w:p>
    <w:p w14:paraId="686520C0" w14:textId="77777777" w:rsidR="00840F29" w:rsidRPr="00840F29" w:rsidRDefault="00840F29" w:rsidP="00840F29">
      <w:pPr>
        <w:numPr>
          <w:ilvl w:val="0"/>
          <w:numId w:val="7"/>
        </w:numPr>
        <w:spacing w:before="60" w:after="60"/>
        <w:ind w:left="425" w:hanging="425"/>
        <w:contextualSpacing/>
      </w:pPr>
      <w:r>
        <w:t>Understand</w:t>
      </w:r>
      <w:r w:rsidRPr="00840F29">
        <w:t xml:space="preserve"> </w:t>
      </w:r>
      <w:r>
        <w:t>and</w:t>
      </w:r>
      <w:r w:rsidRPr="00840F29">
        <w:t xml:space="preserve"> </w:t>
      </w:r>
      <w:r>
        <w:t>be</w:t>
      </w:r>
      <w:r w:rsidRPr="00840F29">
        <w:t xml:space="preserve"> </w:t>
      </w:r>
      <w:r>
        <w:t>able</w:t>
      </w:r>
      <w:r w:rsidRPr="00840F29">
        <w:t xml:space="preserve"> </w:t>
      </w:r>
      <w:r>
        <w:t>to</w:t>
      </w:r>
      <w:r w:rsidRPr="00840F29">
        <w:t xml:space="preserve"> </w:t>
      </w:r>
      <w:r>
        <w:t>implement</w:t>
      </w:r>
      <w:r w:rsidRPr="00840F29">
        <w:t xml:space="preserve"> </w:t>
      </w:r>
      <w:r>
        <w:t>Māori</w:t>
      </w:r>
      <w:r w:rsidRPr="00840F29">
        <w:t xml:space="preserve"> </w:t>
      </w:r>
      <w:r>
        <w:t>protocol</w:t>
      </w:r>
      <w:r w:rsidRPr="00840F29">
        <w:t xml:space="preserve"> </w:t>
      </w:r>
      <w:r>
        <w:t>for</w:t>
      </w:r>
      <w:r w:rsidRPr="00840F29">
        <w:t xml:space="preserve"> engagement</w:t>
      </w:r>
    </w:p>
    <w:p w14:paraId="0AA65B77" w14:textId="77777777" w:rsidR="00840F29" w:rsidRPr="00840F29" w:rsidRDefault="00840F29" w:rsidP="00840F29">
      <w:pPr>
        <w:numPr>
          <w:ilvl w:val="0"/>
          <w:numId w:val="7"/>
        </w:numPr>
        <w:spacing w:before="60" w:after="60"/>
        <w:ind w:left="425" w:hanging="425"/>
        <w:contextualSpacing/>
      </w:pPr>
      <w:r>
        <w:t>Tertiary</w:t>
      </w:r>
      <w:r w:rsidRPr="00840F29">
        <w:t xml:space="preserve"> </w:t>
      </w:r>
      <w:r>
        <w:t>qualification</w:t>
      </w:r>
      <w:r w:rsidRPr="00840F29">
        <w:t xml:space="preserve"> </w:t>
      </w:r>
      <w:r>
        <w:t>in</w:t>
      </w:r>
      <w:r w:rsidRPr="00840F29">
        <w:t xml:space="preserve"> </w:t>
      </w:r>
      <w:r>
        <w:t>a</w:t>
      </w:r>
      <w:r w:rsidRPr="00840F29">
        <w:t xml:space="preserve"> </w:t>
      </w:r>
      <w:r>
        <w:t>relevant</w:t>
      </w:r>
      <w:r w:rsidRPr="00840F29">
        <w:t xml:space="preserve"> </w:t>
      </w:r>
      <w:r>
        <w:t>discipline</w:t>
      </w:r>
      <w:r w:rsidRPr="00840F29">
        <w:t xml:space="preserve"> </w:t>
      </w:r>
      <w:r>
        <w:t>or</w:t>
      </w:r>
      <w:r w:rsidRPr="00840F29">
        <w:t xml:space="preserve"> </w:t>
      </w:r>
      <w:r>
        <w:t>equivalent</w:t>
      </w:r>
      <w:r w:rsidRPr="00840F29">
        <w:t xml:space="preserve"> </w:t>
      </w:r>
      <w:r>
        <w:t>operational</w:t>
      </w:r>
      <w:r w:rsidRPr="00840F29">
        <w:t xml:space="preserve"> experience.</w:t>
      </w:r>
    </w:p>
    <w:p w14:paraId="356CA5AE" w14:textId="77777777" w:rsidR="00B624B4" w:rsidRDefault="00B624B4">
      <w:pPr>
        <w:spacing w:after="0" w:line="240" w:lineRule="auto"/>
        <w:rPr>
          <w:rFonts w:eastAsia="Times New Roman"/>
          <w:b/>
          <w:bCs/>
          <w:iCs/>
          <w:color w:val="000000" w:themeColor="text1"/>
          <w:sz w:val="28"/>
          <w:szCs w:val="28"/>
          <w:lang w:eastAsia="en-GB"/>
        </w:rPr>
      </w:pPr>
      <w:r>
        <w:br w:type="page"/>
      </w:r>
    </w:p>
    <w:p w14:paraId="134BA960" w14:textId="31AF8421" w:rsidR="0080061F" w:rsidRDefault="0080061F" w:rsidP="0055724C">
      <w:pPr>
        <w:pStyle w:val="Heading2"/>
        <w:spacing w:before="360"/>
      </w:pPr>
      <w:r w:rsidRPr="00B27E44">
        <w:lastRenderedPageBreak/>
        <w:t>Attributes</w:t>
      </w:r>
    </w:p>
    <w:p w14:paraId="3D5CF3E5" w14:textId="77777777" w:rsidR="003E407A" w:rsidRPr="003E407A" w:rsidRDefault="003E407A" w:rsidP="003E407A">
      <w:pPr>
        <w:numPr>
          <w:ilvl w:val="0"/>
          <w:numId w:val="7"/>
        </w:numPr>
        <w:spacing w:before="60" w:after="60"/>
        <w:ind w:left="425" w:hanging="425"/>
        <w:contextualSpacing/>
      </w:pPr>
      <w:r w:rsidRPr="003E407A">
        <w:t>Strong partnership building ability across multiple stakeholders with varying priorities and agendas</w:t>
      </w:r>
    </w:p>
    <w:p w14:paraId="320563B8" w14:textId="77777777" w:rsidR="003E407A" w:rsidRPr="003E407A" w:rsidRDefault="003E407A" w:rsidP="003E407A">
      <w:pPr>
        <w:numPr>
          <w:ilvl w:val="0"/>
          <w:numId w:val="7"/>
        </w:numPr>
        <w:spacing w:before="60" w:after="60"/>
        <w:ind w:left="425" w:hanging="425"/>
        <w:contextualSpacing/>
      </w:pPr>
      <w:r w:rsidRPr="003E407A">
        <w:t>Credible leadership reputation with proven achievements</w:t>
      </w:r>
    </w:p>
    <w:p w14:paraId="13CF6748" w14:textId="77777777" w:rsidR="003E407A" w:rsidRPr="003E407A" w:rsidRDefault="003E407A" w:rsidP="003E407A">
      <w:pPr>
        <w:numPr>
          <w:ilvl w:val="0"/>
          <w:numId w:val="7"/>
        </w:numPr>
        <w:spacing w:before="60" w:after="60"/>
        <w:ind w:left="425" w:hanging="425"/>
        <w:contextualSpacing/>
      </w:pPr>
      <w:r w:rsidRPr="003E407A">
        <w:t>Excellent verbal and written communication skills</w:t>
      </w:r>
    </w:p>
    <w:p w14:paraId="16B9FC0B" w14:textId="77777777" w:rsidR="003E407A" w:rsidRPr="003E407A" w:rsidRDefault="003E407A" w:rsidP="003E407A">
      <w:pPr>
        <w:numPr>
          <w:ilvl w:val="0"/>
          <w:numId w:val="7"/>
        </w:numPr>
        <w:spacing w:before="60" w:after="60"/>
        <w:ind w:left="425" w:hanging="425"/>
        <w:contextualSpacing/>
      </w:pPr>
      <w:r w:rsidRPr="003E407A">
        <w:t>Strong interpersonal skills with adaptability to different audiences and situations</w:t>
      </w:r>
    </w:p>
    <w:p w14:paraId="7806DF06" w14:textId="77777777" w:rsidR="003E407A" w:rsidRPr="003E407A" w:rsidRDefault="003E407A" w:rsidP="003E407A">
      <w:pPr>
        <w:numPr>
          <w:ilvl w:val="0"/>
          <w:numId w:val="7"/>
        </w:numPr>
        <w:spacing w:before="60" w:after="60"/>
        <w:ind w:left="425" w:hanging="425"/>
        <w:contextualSpacing/>
      </w:pPr>
      <w:r w:rsidRPr="003E407A">
        <w:t>High level of organisation with ability to navigate complex team environments</w:t>
      </w:r>
    </w:p>
    <w:p w14:paraId="3AA6EFC0" w14:textId="77777777" w:rsidR="003E407A" w:rsidRPr="003E407A" w:rsidRDefault="003E407A" w:rsidP="003E407A">
      <w:pPr>
        <w:numPr>
          <w:ilvl w:val="0"/>
          <w:numId w:val="7"/>
        </w:numPr>
        <w:spacing w:before="60" w:after="60"/>
        <w:ind w:left="425" w:hanging="425"/>
        <w:contextualSpacing/>
      </w:pPr>
      <w:r w:rsidRPr="003E407A">
        <w:t>Client-focused mindset</w:t>
      </w:r>
    </w:p>
    <w:p w14:paraId="31487B48" w14:textId="77777777" w:rsidR="003E407A" w:rsidRPr="003E407A" w:rsidRDefault="003E407A" w:rsidP="003E407A">
      <w:pPr>
        <w:numPr>
          <w:ilvl w:val="0"/>
          <w:numId w:val="7"/>
        </w:numPr>
        <w:spacing w:before="60" w:after="60"/>
        <w:ind w:left="425" w:hanging="425"/>
        <w:contextualSpacing/>
      </w:pPr>
      <w:r w:rsidRPr="003E407A">
        <w:t>Sound judgement with political sensitivity, flexibility and pragmatism</w:t>
      </w:r>
    </w:p>
    <w:p w14:paraId="44AE4D87" w14:textId="77777777" w:rsidR="003E407A" w:rsidRPr="003E407A" w:rsidRDefault="003E407A" w:rsidP="003E407A">
      <w:pPr>
        <w:numPr>
          <w:ilvl w:val="0"/>
          <w:numId w:val="7"/>
        </w:numPr>
        <w:spacing w:before="60" w:after="60"/>
        <w:ind w:left="425" w:hanging="425"/>
        <w:contextualSpacing/>
      </w:pPr>
      <w:r w:rsidRPr="003E407A">
        <w:t>Self-directed work style while maintaining collaborative relationships</w:t>
      </w:r>
    </w:p>
    <w:p w14:paraId="6DE0FBBF" w14:textId="77777777" w:rsidR="003E407A" w:rsidRPr="003E407A" w:rsidRDefault="003E407A" w:rsidP="003E407A">
      <w:pPr>
        <w:numPr>
          <w:ilvl w:val="0"/>
          <w:numId w:val="7"/>
        </w:numPr>
        <w:spacing w:before="60" w:after="60"/>
        <w:ind w:left="425" w:hanging="425"/>
        <w:contextualSpacing/>
      </w:pPr>
      <w:r w:rsidRPr="003E407A">
        <w:t>Commitment to diversity and inclusion in the workplace</w:t>
      </w:r>
    </w:p>
    <w:p w14:paraId="6B26C811" w14:textId="77777777" w:rsidR="003E407A" w:rsidRPr="003E407A" w:rsidRDefault="003E407A" w:rsidP="003E407A">
      <w:pPr>
        <w:numPr>
          <w:ilvl w:val="0"/>
          <w:numId w:val="7"/>
        </w:numPr>
        <w:spacing w:before="60" w:after="60"/>
        <w:ind w:left="425" w:hanging="425"/>
        <w:contextualSpacing/>
      </w:pPr>
      <w:r w:rsidRPr="003E407A">
        <w:t>Ability to translate complex concepts into practical actions</w:t>
      </w:r>
    </w:p>
    <w:p w14:paraId="49D633C7" w14:textId="77777777" w:rsidR="003E407A" w:rsidRPr="003E407A" w:rsidRDefault="003E407A" w:rsidP="003E407A">
      <w:pPr>
        <w:numPr>
          <w:ilvl w:val="0"/>
          <w:numId w:val="7"/>
        </w:numPr>
        <w:spacing w:before="60" w:after="60"/>
        <w:ind w:left="425" w:hanging="425"/>
        <w:contextualSpacing/>
      </w:pPr>
      <w:r w:rsidRPr="003E407A">
        <w:t>Stakeholder engagement and commitment-building capability</w:t>
      </w:r>
    </w:p>
    <w:p w14:paraId="398D4005" w14:textId="77777777" w:rsidR="003E407A" w:rsidRPr="003E407A" w:rsidRDefault="003E407A" w:rsidP="003E407A">
      <w:pPr>
        <w:numPr>
          <w:ilvl w:val="0"/>
          <w:numId w:val="7"/>
        </w:numPr>
        <w:spacing w:before="60" w:after="60"/>
        <w:ind w:left="425" w:hanging="425"/>
        <w:contextualSpacing/>
      </w:pPr>
      <w:r w:rsidRPr="003E407A">
        <w:t>Environmental awareness with strategic improvement focus</w:t>
      </w:r>
    </w:p>
    <w:p w14:paraId="530ECF2B" w14:textId="77777777" w:rsidR="003E407A" w:rsidRDefault="003E407A" w:rsidP="003E407A">
      <w:pPr>
        <w:numPr>
          <w:ilvl w:val="0"/>
          <w:numId w:val="7"/>
        </w:numPr>
        <w:spacing w:before="60" w:after="60"/>
        <w:ind w:left="425" w:hanging="425"/>
        <w:contextualSpacing/>
      </w:pPr>
      <w:r w:rsidRPr="003E407A">
        <w:t>Strong analytical and problem-solving abilities, particularly under time pressure</w:t>
      </w:r>
    </w:p>
    <w:p w14:paraId="34125658" w14:textId="7A2E7684" w:rsidR="0080061F" w:rsidRPr="0076538D" w:rsidRDefault="0080061F" w:rsidP="003E407A">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BA78C23" w14:textId="77777777" w:rsidR="003E407A" w:rsidRDefault="003E407A" w:rsidP="003E407A">
      <w:pPr>
        <w:pStyle w:val="Bullet1"/>
        <w:numPr>
          <w:ilvl w:val="0"/>
          <w:numId w:val="2"/>
        </w:numPr>
        <w:tabs>
          <w:tab w:val="clear" w:pos="454"/>
        </w:tabs>
        <w:spacing w:before="60" w:after="60"/>
      </w:pPr>
      <w:r w:rsidRPr="003E407A">
        <w:t>Others in the communications, engagement and change lead team</w:t>
      </w:r>
    </w:p>
    <w:p w14:paraId="32F215E2" w14:textId="0C3E3CD9" w:rsidR="00AF6C12" w:rsidRPr="003E407A" w:rsidRDefault="00AF6C12" w:rsidP="003E407A">
      <w:pPr>
        <w:pStyle w:val="Bullet1"/>
        <w:numPr>
          <w:ilvl w:val="0"/>
          <w:numId w:val="2"/>
        </w:numPr>
        <w:tabs>
          <w:tab w:val="clear" w:pos="454"/>
        </w:tabs>
        <w:spacing w:before="60" w:after="60"/>
      </w:pPr>
      <w:r w:rsidRPr="0089525A">
        <w:rPr>
          <w:rFonts w:cs="Verdana"/>
          <w:szCs w:val="22"/>
        </w:rPr>
        <w:t>Business Change team of the employment service workstream</w:t>
      </w:r>
    </w:p>
    <w:p w14:paraId="25B7EE90" w14:textId="77777777" w:rsidR="003E407A" w:rsidRDefault="003E407A" w:rsidP="003E407A">
      <w:pPr>
        <w:pStyle w:val="Bullet1"/>
        <w:numPr>
          <w:ilvl w:val="0"/>
          <w:numId w:val="2"/>
        </w:numPr>
        <w:tabs>
          <w:tab w:val="clear" w:pos="454"/>
        </w:tabs>
        <w:spacing w:before="60" w:after="60"/>
      </w:pPr>
      <w:r w:rsidRPr="003E407A">
        <w:t>Workstream Leads</w:t>
      </w:r>
    </w:p>
    <w:p w14:paraId="4FCD9D12" w14:textId="091F2282" w:rsidR="00AF6C12" w:rsidRPr="00AF6C12" w:rsidRDefault="00AF6C12" w:rsidP="00AF6C12">
      <w:pPr>
        <w:pStyle w:val="ListBullet"/>
        <w:rPr>
          <w:rFonts w:ascii="Symbol" w:hAnsi="Symbol"/>
        </w:rPr>
      </w:pPr>
      <w:r>
        <w:t>Te</w:t>
      </w:r>
      <w:r>
        <w:rPr>
          <w:spacing w:val="-6"/>
        </w:rPr>
        <w:t xml:space="preserve"> </w:t>
      </w:r>
      <w:r>
        <w:t>Pae</w:t>
      </w:r>
      <w:r>
        <w:rPr>
          <w:spacing w:val="-5"/>
        </w:rPr>
        <w:t xml:space="preserve"> </w:t>
      </w:r>
      <w:r>
        <w:t>Tawhiti Change, Comms and Engagement team</w:t>
      </w:r>
    </w:p>
    <w:p w14:paraId="1C47C79B" w14:textId="77777777" w:rsidR="003E407A" w:rsidRPr="003E407A" w:rsidRDefault="003E407A" w:rsidP="003E407A">
      <w:pPr>
        <w:pStyle w:val="Bullet1"/>
        <w:numPr>
          <w:ilvl w:val="0"/>
          <w:numId w:val="2"/>
        </w:numPr>
        <w:tabs>
          <w:tab w:val="clear" w:pos="454"/>
        </w:tabs>
        <w:spacing w:before="60" w:after="60"/>
      </w:pPr>
      <w:r w:rsidRPr="003E407A">
        <w:t>Te Pae Tawhiti Programme Director’s Office</w:t>
      </w:r>
    </w:p>
    <w:p w14:paraId="08C14F1E" w14:textId="77777777" w:rsidR="003E407A" w:rsidRPr="003E407A" w:rsidRDefault="003E407A" w:rsidP="003E407A">
      <w:pPr>
        <w:pStyle w:val="Bullet1"/>
        <w:numPr>
          <w:ilvl w:val="0"/>
          <w:numId w:val="2"/>
        </w:numPr>
        <w:tabs>
          <w:tab w:val="clear" w:pos="454"/>
        </w:tabs>
        <w:spacing w:before="60" w:after="60"/>
      </w:pPr>
      <w:r w:rsidRPr="003E407A">
        <w:t>Transformation Office</w:t>
      </w:r>
    </w:p>
    <w:p w14:paraId="7B04E226" w14:textId="77777777" w:rsidR="003E407A" w:rsidRPr="003E407A" w:rsidRDefault="003E407A" w:rsidP="003E407A">
      <w:pPr>
        <w:pStyle w:val="Bullet1"/>
        <w:numPr>
          <w:ilvl w:val="0"/>
          <w:numId w:val="2"/>
        </w:numPr>
        <w:tabs>
          <w:tab w:val="clear" w:pos="454"/>
        </w:tabs>
        <w:spacing w:before="60" w:after="60"/>
      </w:pPr>
      <w:r w:rsidRPr="003E407A">
        <w:t>Corporate Communications Team</w:t>
      </w:r>
    </w:p>
    <w:p w14:paraId="0564CB1D" w14:textId="77777777" w:rsidR="003E407A" w:rsidRPr="003E407A" w:rsidRDefault="003E407A" w:rsidP="003E407A">
      <w:pPr>
        <w:pStyle w:val="Bullet1"/>
        <w:numPr>
          <w:ilvl w:val="0"/>
          <w:numId w:val="2"/>
        </w:numPr>
        <w:tabs>
          <w:tab w:val="clear" w:pos="454"/>
        </w:tabs>
        <w:spacing w:before="60" w:after="60"/>
      </w:pPr>
      <w:r w:rsidRPr="003E407A">
        <w:t>Service Delivery Communications Team</w:t>
      </w:r>
    </w:p>
    <w:p w14:paraId="06D0BC07" w14:textId="77777777" w:rsidR="003E407A" w:rsidRPr="003E407A" w:rsidRDefault="003E407A" w:rsidP="003E407A">
      <w:pPr>
        <w:pStyle w:val="Bullet1"/>
        <w:numPr>
          <w:ilvl w:val="0"/>
          <w:numId w:val="2"/>
        </w:numPr>
        <w:tabs>
          <w:tab w:val="clear" w:pos="454"/>
        </w:tabs>
        <w:spacing w:before="60" w:after="60"/>
      </w:pPr>
      <w:r w:rsidRPr="003E407A">
        <w:t>Other MSD managers and staff</w:t>
      </w:r>
    </w:p>
    <w:p w14:paraId="48DBAD43" w14:textId="77777777" w:rsidR="0080061F" w:rsidRDefault="0080061F" w:rsidP="000469A5">
      <w:pPr>
        <w:pStyle w:val="Heading3"/>
      </w:pPr>
      <w:r w:rsidRPr="00E83550">
        <w:t xml:space="preserve">External </w:t>
      </w:r>
    </w:p>
    <w:p w14:paraId="4C40516B" w14:textId="77777777" w:rsidR="003E407A" w:rsidRDefault="003E407A" w:rsidP="003E407A">
      <w:pPr>
        <w:pStyle w:val="ListParagraph"/>
        <w:widowControl w:val="0"/>
        <w:numPr>
          <w:ilvl w:val="0"/>
          <w:numId w:val="11"/>
        </w:numPr>
        <w:tabs>
          <w:tab w:val="left" w:pos="493"/>
        </w:tabs>
        <w:autoSpaceDE w:val="0"/>
        <w:autoSpaceDN w:val="0"/>
        <w:spacing w:before="121" w:after="0" w:line="240" w:lineRule="auto"/>
        <w:ind w:left="493" w:hanging="360"/>
        <w:contextualSpacing w:val="0"/>
        <w:rPr>
          <w:rFonts w:ascii="Symbol" w:hAnsi="Symbol"/>
        </w:rPr>
      </w:pPr>
      <w:r>
        <w:t>External</w:t>
      </w:r>
      <w:r>
        <w:rPr>
          <w:spacing w:val="-7"/>
        </w:rPr>
        <w:t xml:space="preserve"> </w:t>
      </w:r>
      <w:r>
        <w:t>agencies</w:t>
      </w:r>
      <w:r>
        <w:rPr>
          <w:spacing w:val="-9"/>
        </w:rPr>
        <w:t xml:space="preserve"> </w:t>
      </w:r>
      <w:r>
        <w:t>and</w:t>
      </w:r>
      <w:r>
        <w:rPr>
          <w:spacing w:val="-8"/>
        </w:rPr>
        <w:t xml:space="preserve"> </w:t>
      </w:r>
      <w:r>
        <w:rPr>
          <w:spacing w:val="-2"/>
        </w:rPr>
        <w:t>suppliers</w:t>
      </w:r>
    </w:p>
    <w:p w14:paraId="5A8042E5" w14:textId="77777777" w:rsidR="003E407A" w:rsidRDefault="003E407A" w:rsidP="003E407A">
      <w:pPr>
        <w:pStyle w:val="ListParagraph"/>
        <w:widowControl w:val="0"/>
        <w:numPr>
          <w:ilvl w:val="0"/>
          <w:numId w:val="11"/>
        </w:numPr>
        <w:tabs>
          <w:tab w:val="left" w:pos="493"/>
        </w:tabs>
        <w:autoSpaceDE w:val="0"/>
        <w:autoSpaceDN w:val="0"/>
        <w:spacing w:before="108" w:after="0" w:line="240" w:lineRule="auto"/>
        <w:ind w:left="493" w:hanging="360"/>
        <w:contextualSpacing w:val="0"/>
        <w:rPr>
          <w:rFonts w:ascii="Symbol" w:hAnsi="Symbol"/>
        </w:rPr>
      </w:pPr>
      <w:r>
        <w:t>Key</w:t>
      </w:r>
      <w:r>
        <w:rPr>
          <w:spacing w:val="-6"/>
        </w:rPr>
        <w:t xml:space="preserve"> </w:t>
      </w:r>
      <w:r>
        <w:rPr>
          <w:spacing w:val="-2"/>
        </w:rPr>
        <w:t>stakeholders</w:t>
      </w:r>
    </w:p>
    <w:p w14:paraId="059340E8" w14:textId="77777777" w:rsidR="003E407A" w:rsidRDefault="003E407A" w:rsidP="003E407A">
      <w:pPr>
        <w:pStyle w:val="ListParagraph"/>
        <w:widowControl w:val="0"/>
        <w:numPr>
          <w:ilvl w:val="0"/>
          <w:numId w:val="11"/>
        </w:numPr>
        <w:tabs>
          <w:tab w:val="left" w:pos="493"/>
        </w:tabs>
        <w:autoSpaceDE w:val="0"/>
        <w:autoSpaceDN w:val="0"/>
        <w:spacing w:before="108" w:after="0" w:line="240" w:lineRule="auto"/>
        <w:ind w:left="493" w:hanging="360"/>
        <w:contextualSpacing w:val="0"/>
        <w:rPr>
          <w:rFonts w:ascii="Symbol" w:hAnsi="Symbol"/>
        </w:rPr>
      </w:pPr>
      <w:r>
        <w:t>Other</w:t>
      </w:r>
      <w:r>
        <w:rPr>
          <w:spacing w:val="-9"/>
        </w:rPr>
        <w:t xml:space="preserve"> </w:t>
      </w:r>
      <w:r>
        <w:t>government</w:t>
      </w:r>
      <w:r>
        <w:rPr>
          <w:spacing w:val="-9"/>
        </w:rPr>
        <w:t xml:space="preserve"> </w:t>
      </w:r>
      <w:r>
        <w:rPr>
          <w:spacing w:val="-2"/>
        </w:rPr>
        <w:t>agencies</w:t>
      </w:r>
    </w:p>
    <w:p w14:paraId="7D2DC577" w14:textId="77777777" w:rsidR="003E407A" w:rsidRDefault="003E407A" w:rsidP="003E407A">
      <w:pPr>
        <w:pStyle w:val="ListParagraph"/>
        <w:widowControl w:val="0"/>
        <w:numPr>
          <w:ilvl w:val="0"/>
          <w:numId w:val="11"/>
        </w:numPr>
        <w:tabs>
          <w:tab w:val="left" w:pos="493"/>
        </w:tabs>
        <w:autoSpaceDE w:val="0"/>
        <w:autoSpaceDN w:val="0"/>
        <w:spacing w:before="108" w:after="0" w:line="240" w:lineRule="auto"/>
        <w:ind w:left="493" w:hanging="360"/>
        <w:contextualSpacing w:val="0"/>
        <w:rPr>
          <w:rFonts w:ascii="Symbol" w:hAnsi="Symbol"/>
        </w:rPr>
      </w:pPr>
      <w:r>
        <w:t>Venue</w:t>
      </w:r>
      <w:r>
        <w:rPr>
          <w:spacing w:val="-7"/>
        </w:rPr>
        <w:t xml:space="preserve"> </w:t>
      </w:r>
      <w:r>
        <w:t>operators</w:t>
      </w:r>
      <w:r>
        <w:rPr>
          <w:spacing w:val="-6"/>
        </w:rPr>
        <w:t xml:space="preserve"> </w:t>
      </w:r>
      <w:r>
        <w:t>and</w:t>
      </w:r>
      <w:r>
        <w:rPr>
          <w:spacing w:val="-7"/>
        </w:rPr>
        <w:t xml:space="preserve"> </w:t>
      </w:r>
      <w:r>
        <w:t>catering</w:t>
      </w:r>
      <w:r>
        <w:rPr>
          <w:spacing w:val="-7"/>
        </w:rPr>
        <w:t xml:space="preserve"> </w:t>
      </w:r>
      <w:r>
        <w:rPr>
          <w:spacing w:val="-2"/>
        </w:rPr>
        <w:t>companies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06E04ECF" w:rsidR="0080061F" w:rsidRPr="00B27E44" w:rsidRDefault="0080061F" w:rsidP="00086206">
      <w:pPr>
        <w:pStyle w:val="Bullet1"/>
        <w:numPr>
          <w:ilvl w:val="0"/>
          <w:numId w:val="2"/>
        </w:numPr>
        <w:tabs>
          <w:tab w:val="clear" w:pos="454"/>
        </w:tabs>
        <w:spacing w:before="60" w:after="60"/>
      </w:pPr>
      <w:r w:rsidRPr="00B27E44">
        <w:t>Financial – No</w:t>
      </w:r>
    </w:p>
    <w:p w14:paraId="1A13EE12" w14:textId="6026500F" w:rsidR="0080061F" w:rsidRDefault="0080061F" w:rsidP="00086206">
      <w:pPr>
        <w:pStyle w:val="Bullet1"/>
        <w:numPr>
          <w:ilvl w:val="0"/>
          <w:numId w:val="2"/>
        </w:numPr>
        <w:tabs>
          <w:tab w:val="clear" w:pos="454"/>
        </w:tabs>
        <w:spacing w:before="60" w:after="60"/>
      </w:pPr>
      <w:r w:rsidRPr="00B27E44">
        <w:t>Hum</w:t>
      </w:r>
      <w:r>
        <w:t xml:space="preserve">an Resources </w:t>
      </w:r>
      <w:r w:rsidR="00AF6C12">
        <w:t xml:space="preserve">– No </w:t>
      </w:r>
    </w:p>
    <w:p w14:paraId="09A0D619" w14:textId="04F11602" w:rsidR="0080061F" w:rsidRDefault="0080061F" w:rsidP="000469A5">
      <w:pPr>
        <w:pStyle w:val="Heading3"/>
      </w:pPr>
      <w:r w:rsidRPr="00096E86">
        <w:lastRenderedPageBreak/>
        <w:t>Direct reports</w:t>
      </w:r>
      <w:r w:rsidR="003E407A">
        <w:t xml:space="preserve"> - </w:t>
      </w:r>
      <w:r w:rsidR="00AF6C12">
        <w:t>No</w:t>
      </w:r>
    </w:p>
    <w:p w14:paraId="7A424157" w14:textId="0E04CF16" w:rsidR="0080061F" w:rsidRDefault="0080061F" w:rsidP="000469A5">
      <w:pPr>
        <w:pStyle w:val="Heading3"/>
      </w:pPr>
      <w:r>
        <w:t xml:space="preserve">Security clearance </w:t>
      </w:r>
      <w:r w:rsidR="003E407A">
        <w:t xml:space="preserve">- </w:t>
      </w:r>
      <w:r w:rsidRPr="0074781A">
        <w:t>No</w:t>
      </w:r>
    </w:p>
    <w:p w14:paraId="5AD192A7" w14:textId="3583E562" w:rsidR="0080061F" w:rsidRPr="0076538D" w:rsidRDefault="0080061F" w:rsidP="000469A5">
      <w:pPr>
        <w:pStyle w:val="Heading3"/>
      </w:pPr>
      <w:r>
        <w:t xml:space="preserve">Children’s worker </w:t>
      </w:r>
      <w:r w:rsidR="003E407A">
        <w:t>- No</w:t>
      </w:r>
    </w:p>
    <w:p w14:paraId="1AAD5CA7" w14:textId="77777777" w:rsidR="00AF6C12" w:rsidRDefault="00AF6C12" w:rsidP="00AF6C12">
      <w:pPr>
        <w:pStyle w:val="ListParagraph"/>
        <w:widowControl w:val="0"/>
        <w:numPr>
          <w:ilvl w:val="0"/>
          <w:numId w:val="11"/>
        </w:numPr>
        <w:tabs>
          <w:tab w:val="left" w:pos="493"/>
        </w:tabs>
        <w:autoSpaceDE w:val="0"/>
        <w:autoSpaceDN w:val="0"/>
        <w:spacing w:before="23" w:after="0" w:line="240" w:lineRule="auto"/>
        <w:ind w:left="493" w:hanging="360"/>
        <w:contextualSpacing w:val="0"/>
        <w:rPr>
          <w:rFonts w:ascii="Symbol" w:hAnsi="Symbol"/>
        </w:rPr>
      </w:pPr>
      <w:r>
        <w:t>Travel</w:t>
      </w:r>
      <w:r>
        <w:rPr>
          <w:spacing w:val="-3"/>
        </w:rPr>
        <w:t xml:space="preserve"> </w:t>
      </w:r>
      <w:r>
        <w:t>is</w:t>
      </w:r>
      <w:r>
        <w:rPr>
          <w:spacing w:val="-6"/>
        </w:rPr>
        <w:t xml:space="preserve"> </w:t>
      </w:r>
      <w:r>
        <w:t>required</w:t>
      </w:r>
      <w:r>
        <w:rPr>
          <w:spacing w:val="-4"/>
        </w:rPr>
        <w:t xml:space="preserve"> </w:t>
      </w:r>
      <w:r>
        <w:t>at</w:t>
      </w:r>
      <w:r>
        <w:rPr>
          <w:spacing w:val="-4"/>
        </w:rPr>
        <w:t xml:space="preserve"> </w:t>
      </w:r>
      <w:r>
        <w:t>least</w:t>
      </w:r>
      <w:r>
        <w:rPr>
          <w:spacing w:val="-5"/>
        </w:rPr>
        <w:t xml:space="preserve"> </w:t>
      </w:r>
      <w:r>
        <w:t>once</w:t>
      </w:r>
      <w:r>
        <w:rPr>
          <w:spacing w:val="-6"/>
        </w:rPr>
        <w:t xml:space="preserve"> </w:t>
      </w:r>
      <w:r>
        <w:t>a</w:t>
      </w:r>
      <w:r>
        <w:rPr>
          <w:spacing w:val="-3"/>
        </w:rPr>
        <w:t xml:space="preserve"> </w:t>
      </w:r>
      <w:r>
        <w:rPr>
          <w:spacing w:val="-4"/>
        </w:rPr>
        <w:t>month</w:t>
      </w:r>
    </w:p>
    <w:p w14:paraId="07C82B64" w14:textId="77777777" w:rsidR="00AF6C12" w:rsidRDefault="00AF6C12" w:rsidP="00AF6C12">
      <w:pPr>
        <w:pStyle w:val="ListParagraph"/>
        <w:widowControl w:val="0"/>
        <w:numPr>
          <w:ilvl w:val="0"/>
          <w:numId w:val="11"/>
        </w:numPr>
        <w:tabs>
          <w:tab w:val="left" w:pos="493"/>
        </w:tabs>
        <w:autoSpaceDE w:val="0"/>
        <w:autoSpaceDN w:val="0"/>
        <w:spacing w:before="107" w:after="0" w:line="240" w:lineRule="auto"/>
        <w:ind w:left="493" w:hanging="360"/>
        <w:contextualSpacing w:val="0"/>
        <w:rPr>
          <w:rFonts w:ascii="Symbol" w:hAnsi="Symbol"/>
        </w:rPr>
      </w:pPr>
      <w:r>
        <w:t>Prepared</w:t>
      </w:r>
      <w:r>
        <w:rPr>
          <w:spacing w:val="-6"/>
        </w:rPr>
        <w:t xml:space="preserve"> </w:t>
      </w:r>
      <w:r>
        <w:t>to</w:t>
      </w:r>
      <w:r>
        <w:rPr>
          <w:spacing w:val="-4"/>
        </w:rPr>
        <w:t xml:space="preserve"> </w:t>
      </w:r>
      <w:r>
        <w:t>work</w:t>
      </w:r>
      <w:r>
        <w:rPr>
          <w:spacing w:val="-4"/>
        </w:rPr>
        <w:t xml:space="preserve"> </w:t>
      </w:r>
      <w:r>
        <w:t>outside</w:t>
      </w:r>
      <w:r>
        <w:rPr>
          <w:spacing w:val="-5"/>
        </w:rPr>
        <w:t xml:space="preserve"> </w:t>
      </w:r>
      <w:r>
        <w:t>of</w:t>
      </w:r>
      <w:r>
        <w:rPr>
          <w:spacing w:val="-8"/>
        </w:rPr>
        <w:t xml:space="preserve"> </w:t>
      </w:r>
      <w:r>
        <w:t>normal</w:t>
      </w:r>
      <w:r>
        <w:rPr>
          <w:spacing w:val="-3"/>
        </w:rPr>
        <w:t xml:space="preserve"> </w:t>
      </w:r>
      <w:r>
        <w:t>work</w:t>
      </w:r>
      <w:r>
        <w:rPr>
          <w:spacing w:val="-6"/>
        </w:rPr>
        <w:t xml:space="preserve"> </w:t>
      </w:r>
      <w:r>
        <w:t>hours</w:t>
      </w:r>
      <w:r>
        <w:rPr>
          <w:spacing w:val="-2"/>
        </w:rPr>
        <w:t xml:space="preserve"> </w:t>
      </w:r>
      <w:r>
        <w:t>on</w:t>
      </w:r>
      <w:r>
        <w:rPr>
          <w:spacing w:val="-6"/>
        </w:rPr>
        <w:t xml:space="preserve"> </w:t>
      </w:r>
      <w:r>
        <w:rPr>
          <w:spacing w:val="-2"/>
        </w:rPr>
        <w:t>occasion</w:t>
      </w:r>
    </w:p>
    <w:p w14:paraId="25356210" w14:textId="77777777" w:rsidR="00AF6C12" w:rsidRDefault="00AF6C12" w:rsidP="00AF6C12">
      <w:pPr>
        <w:pStyle w:val="ListParagraph"/>
        <w:widowControl w:val="0"/>
        <w:numPr>
          <w:ilvl w:val="0"/>
          <w:numId w:val="11"/>
        </w:numPr>
        <w:tabs>
          <w:tab w:val="left" w:pos="494"/>
        </w:tabs>
        <w:autoSpaceDE w:val="0"/>
        <w:autoSpaceDN w:val="0"/>
        <w:spacing w:before="108" w:after="0"/>
        <w:ind w:right="166"/>
        <w:contextualSpacing w:val="0"/>
        <w:rPr>
          <w:rFonts w:ascii="Symbol" w:hAnsi="Symbol"/>
        </w:rPr>
      </w:pPr>
      <w:r>
        <w:t>Recognises</w:t>
      </w:r>
      <w:r>
        <w:rPr>
          <w:spacing w:val="-4"/>
        </w:rPr>
        <w:t xml:space="preserve"> </w:t>
      </w:r>
      <w:r>
        <w:t>and</w:t>
      </w:r>
      <w:r>
        <w:rPr>
          <w:spacing w:val="-3"/>
        </w:rPr>
        <w:t xml:space="preserve"> </w:t>
      </w:r>
      <w:r>
        <w:t>understands</w:t>
      </w:r>
      <w:r>
        <w:rPr>
          <w:spacing w:val="-4"/>
        </w:rPr>
        <w:t xml:space="preserve"> </w:t>
      </w:r>
      <w:r>
        <w:t>the</w:t>
      </w:r>
      <w:r>
        <w:rPr>
          <w:spacing w:val="-4"/>
        </w:rPr>
        <w:t xml:space="preserve"> </w:t>
      </w:r>
      <w:r>
        <w:t>Ministry’s</w:t>
      </w:r>
      <w:r>
        <w:rPr>
          <w:spacing w:val="-4"/>
        </w:rPr>
        <w:t xml:space="preserve"> </w:t>
      </w:r>
      <w:r>
        <w:t>obligations</w:t>
      </w:r>
      <w:r>
        <w:rPr>
          <w:spacing w:val="-4"/>
        </w:rPr>
        <w:t xml:space="preserve"> </w:t>
      </w:r>
      <w:r>
        <w:t>under</w:t>
      </w:r>
      <w:r>
        <w:rPr>
          <w:spacing w:val="-4"/>
        </w:rPr>
        <w:t xml:space="preserve"> </w:t>
      </w:r>
      <w:r>
        <w:t>the</w:t>
      </w:r>
      <w:r>
        <w:rPr>
          <w:spacing w:val="-4"/>
        </w:rPr>
        <w:t xml:space="preserve"> </w:t>
      </w:r>
      <w:r>
        <w:t>principles</w:t>
      </w:r>
      <w:r>
        <w:rPr>
          <w:spacing w:val="-2"/>
        </w:rPr>
        <w:t xml:space="preserve"> </w:t>
      </w:r>
      <w:r>
        <w:t>of</w:t>
      </w:r>
      <w:r>
        <w:rPr>
          <w:spacing w:val="-2"/>
        </w:rPr>
        <w:t xml:space="preserve"> </w:t>
      </w:r>
      <w:r>
        <w:t>Te Tiriti</w:t>
      </w:r>
      <w:r>
        <w:rPr>
          <w:spacing w:val="-1"/>
        </w:rPr>
        <w:t xml:space="preserve"> </w:t>
      </w:r>
      <w:r>
        <w:t>o</w:t>
      </w:r>
      <w:r>
        <w:rPr>
          <w:spacing w:val="-4"/>
        </w:rPr>
        <w:t xml:space="preserve"> </w:t>
      </w:r>
      <w:r>
        <w:t>Waitangi, when considering the circumstances and issues facing Māori and others in the communities the Ministry works with.</w:t>
      </w:r>
    </w:p>
    <w:p w14:paraId="211086BA" w14:textId="5DA01181" w:rsidR="0080061F" w:rsidRPr="0080061F" w:rsidRDefault="0080061F" w:rsidP="00AF6C12">
      <w:pPr>
        <w:spacing w:after="0" w:line="240" w:lineRule="auto"/>
        <w:rPr>
          <w:b/>
          <w:bCs/>
          <w:lang w:eastAsia="en-GB"/>
        </w:rPr>
      </w:pPr>
    </w:p>
    <w:sectPr w:rsidR="0080061F"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B76F" w14:textId="77777777" w:rsidR="00DA15A3" w:rsidRDefault="00DA15A3" w:rsidP="0077711D">
      <w:pPr>
        <w:spacing w:after="0" w:line="240" w:lineRule="auto"/>
      </w:pPr>
      <w:r>
        <w:separator/>
      </w:r>
    </w:p>
  </w:endnote>
  <w:endnote w:type="continuationSeparator" w:id="0">
    <w:p w14:paraId="3CDC502C" w14:textId="77777777" w:rsidR="00DA15A3" w:rsidRDefault="00DA15A3"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A63F8D2"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840F29" w:rsidRPr="00840F29">
      <w:t>Lead Engagement Advisor</w:t>
    </w:r>
    <w:r w:rsidR="00840F29">
      <w:tab/>
      <w:t>- Te Pae Tawhiti</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C25689D" w:rsidR="00803002" w:rsidRPr="002E5827" w:rsidRDefault="00840F29" w:rsidP="0080061F">
    <w:pPr>
      <w:pStyle w:val="Footer"/>
      <w:pBdr>
        <w:top w:val="single" w:sz="4" w:space="1" w:color="auto"/>
      </w:pBdr>
      <w:tabs>
        <w:tab w:val="clear" w:pos="9026"/>
        <w:tab w:val="right" w:pos="10206"/>
      </w:tabs>
      <w:rPr>
        <w:szCs w:val="18"/>
      </w:rPr>
    </w:pPr>
    <w:r w:rsidRPr="008B5C31">
      <w:t xml:space="preserve">Position Description – </w:t>
    </w:r>
    <w:r w:rsidRPr="00840F29">
      <w:t>Lead Engagement Advisor</w:t>
    </w:r>
    <w:r>
      <w:tab/>
      <w:t>- Te Pae Tawhiti</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10DF" w14:textId="77777777" w:rsidR="00DA15A3" w:rsidRDefault="00DA15A3" w:rsidP="0077711D">
      <w:pPr>
        <w:spacing w:after="0" w:line="240" w:lineRule="auto"/>
      </w:pPr>
      <w:r>
        <w:separator/>
      </w:r>
    </w:p>
  </w:footnote>
  <w:footnote w:type="continuationSeparator" w:id="0">
    <w:p w14:paraId="3751BFE4" w14:textId="77777777" w:rsidR="00DA15A3" w:rsidRDefault="00DA15A3"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3B74" w14:textId="77777777" w:rsidR="0054536C" w:rsidRDefault="00545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67B1" w14:textId="77777777" w:rsidR="0054536C" w:rsidRDefault="00545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4EB7" w14:textId="77777777" w:rsidR="0054536C" w:rsidRDefault="00545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D493EDA"/>
    <w:multiLevelType w:val="hybridMultilevel"/>
    <w:tmpl w:val="049C1698"/>
    <w:lvl w:ilvl="0" w:tplc="122A21D8">
      <w:numFmt w:val="bullet"/>
      <w:lvlText w:val=""/>
      <w:lvlJc w:val="left"/>
      <w:pPr>
        <w:ind w:left="494" w:hanging="361"/>
      </w:pPr>
      <w:rPr>
        <w:rFonts w:ascii="Symbol" w:eastAsia="Symbol" w:hAnsi="Symbol" w:cs="Symbol" w:hint="default"/>
        <w:spacing w:val="0"/>
        <w:w w:val="100"/>
        <w:lang w:val="en-US" w:eastAsia="en-US" w:bidi="ar-SA"/>
      </w:rPr>
    </w:lvl>
    <w:lvl w:ilvl="1" w:tplc="9C0ADCBC">
      <w:numFmt w:val="bullet"/>
      <w:lvlText w:val="•"/>
      <w:lvlJc w:val="left"/>
      <w:pPr>
        <w:ind w:left="932" w:hanging="361"/>
      </w:pPr>
      <w:rPr>
        <w:rFonts w:hint="default"/>
        <w:lang w:val="en-US" w:eastAsia="en-US" w:bidi="ar-SA"/>
      </w:rPr>
    </w:lvl>
    <w:lvl w:ilvl="2" w:tplc="ABA0B484">
      <w:numFmt w:val="bullet"/>
      <w:lvlText w:val="•"/>
      <w:lvlJc w:val="left"/>
      <w:pPr>
        <w:ind w:left="1363" w:hanging="361"/>
      </w:pPr>
      <w:rPr>
        <w:rFonts w:hint="default"/>
        <w:lang w:val="en-US" w:eastAsia="en-US" w:bidi="ar-SA"/>
      </w:rPr>
    </w:lvl>
    <w:lvl w:ilvl="3" w:tplc="B142A496">
      <w:numFmt w:val="bullet"/>
      <w:lvlText w:val="•"/>
      <w:lvlJc w:val="left"/>
      <w:pPr>
        <w:ind w:left="1795" w:hanging="361"/>
      </w:pPr>
      <w:rPr>
        <w:rFonts w:hint="default"/>
        <w:lang w:val="en-US" w:eastAsia="en-US" w:bidi="ar-SA"/>
      </w:rPr>
    </w:lvl>
    <w:lvl w:ilvl="4" w:tplc="A1B2AD0A">
      <w:numFmt w:val="bullet"/>
      <w:lvlText w:val="•"/>
      <w:lvlJc w:val="left"/>
      <w:pPr>
        <w:ind w:left="2227" w:hanging="361"/>
      </w:pPr>
      <w:rPr>
        <w:rFonts w:hint="default"/>
        <w:lang w:val="en-US" w:eastAsia="en-US" w:bidi="ar-SA"/>
      </w:rPr>
    </w:lvl>
    <w:lvl w:ilvl="5" w:tplc="E04E8FF0">
      <w:numFmt w:val="bullet"/>
      <w:lvlText w:val="•"/>
      <w:lvlJc w:val="left"/>
      <w:pPr>
        <w:ind w:left="2659" w:hanging="361"/>
      </w:pPr>
      <w:rPr>
        <w:rFonts w:hint="default"/>
        <w:lang w:val="en-US" w:eastAsia="en-US" w:bidi="ar-SA"/>
      </w:rPr>
    </w:lvl>
    <w:lvl w:ilvl="6" w:tplc="90DA6478">
      <w:numFmt w:val="bullet"/>
      <w:lvlText w:val="•"/>
      <w:lvlJc w:val="left"/>
      <w:pPr>
        <w:ind w:left="3091" w:hanging="361"/>
      </w:pPr>
      <w:rPr>
        <w:rFonts w:hint="default"/>
        <w:lang w:val="en-US" w:eastAsia="en-US" w:bidi="ar-SA"/>
      </w:rPr>
    </w:lvl>
    <w:lvl w:ilvl="7" w:tplc="B1825CE8">
      <w:numFmt w:val="bullet"/>
      <w:lvlText w:val="•"/>
      <w:lvlJc w:val="left"/>
      <w:pPr>
        <w:ind w:left="3523" w:hanging="361"/>
      </w:pPr>
      <w:rPr>
        <w:rFonts w:hint="default"/>
        <w:lang w:val="en-US" w:eastAsia="en-US" w:bidi="ar-SA"/>
      </w:rPr>
    </w:lvl>
    <w:lvl w:ilvl="8" w:tplc="BB08C608">
      <w:numFmt w:val="bullet"/>
      <w:lvlText w:val="•"/>
      <w:lvlJc w:val="left"/>
      <w:pPr>
        <w:ind w:left="3955" w:hanging="361"/>
      </w:pPr>
      <w:rPr>
        <w:rFonts w:hint="default"/>
        <w:lang w:val="en-US" w:eastAsia="en-US" w:bidi="ar-SA"/>
      </w:rPr>
    </w:lvl>
  </w:abstractNum>
  <w:num w:numId="1" w16cid:durableId="1518077201">
    <w:abstractNumId w:val="5"/>
  </w:num>
  <w:num w:numId="2" w16cid:durableId="47919584">
    <w:abstractNumId w:val="1"/>
  </w:num>
  <w:num w:numId="3" w16cid:durableId="2100635900">
    <w:abstractNumId w:val="0"/>
  </w:num>
  <w:num w:numId="4" w16cid:durableId="602802672">
    <w:abstractNumId w:val="3"/>
  </w:num>
  <w:num w:numId="5" w16cid:durableId="1274242427">
    <w:abstractNumId w:val="4"/>
  </w:num>
  <w:num w:numId="6" w16cid:durableId="1053043638">
    <w:abstractNumId w:val="8"/>
  </w:num>
  <w:num w:numId="7" w16cid:durableId="1712459575">
    <w:abstractNumId w:val="7"/>
  </w:num>
  <w:num w:numId="8" w16cid:durableId="866602226">
    <w:abstractNumId w:val="2"/>
  </w:num>
  <w:num w:numId="9" w16cid:durableId="1665477273">
    <w:abstractNumId w:val="6"/>
  </w:num>
  <w:num w:numId="10" w16cid:durableId="1729645514">
    <w:abstractNumId w:val="9"/>
  </w:num>
  <w:num w:numId="11" w16cid:durableId="1614705249">
    <w:abstractNumId w:val="10"/>
  </w:num>
  <w:num w:numId="12" w16cid:durableId="2253416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25A0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E407A"/>
    <w:rsid w:val="003F320E"/>
    <w:rsid w:val="00420E7C"/>
    <w:rsid w:val="004227ED"/>
    <w:rsid w:val="00445BCE"/>
    <w:rsid w:val="00447DD8"/>
    <w:rsid w:val="00454F25"/>
    <w:rsid w:val="004710B8"/>
    <w:rsid w:val="004957D3"/>
    <w:rsid w:val="00495E9D"/>
    <w:rsid w:val="004D1E30"/>
    <w:rsid w:val="00533E65"/>
    <w:rsid w:val="0054536C"/>
    <w:rsid w:val="0055724C"/>
    <w:rsid w:val="0056681E"/>
    <w:rsid w:val="00572AA9"/>
    <w:rsid w:val="00595906"/>
    <w:rsid w:val="005B11F9"/>
    <w:rsid w:val="00631D73"/>
    <w:rsid w:val="006B19BD"/>
    <w:rsid w:val="0076418F"/>
    <w:rsid w:val="0077711D"/>
    <w:rsid w:val="007B201A"/>
    <w:rsid w:val="007C2143"/>
    <w:rsid w:val="007F3ACD"/>
    <w:rsid w:val="0080061F"/>
    <w:rsid w:val="0080133F"/>
    <w:rsid w:val="00803002"/>
    <w:rsid w:val="0080498F"/>
    <w:rsid w:val="00840F29"/>
    <w:rsid w:val="00860654"/>
    <w:rsid w:val="0086515A"/>
    <w:rsid w:val="008C20D5"/>
    <w:rsid w:val="008C52C5"/>
    <w:rsid w:val="00903467"/>
    <w:rsid w:val="00906EAA"/>
    <w:rsid w:val="00965C35"/>
    <w:rsid w:val="00970DD2"/>
    <w:rsid w:val="0099555E"/>
    <w:rsid w:val="009A077C"/>
    <w:rsid w:val="009D15F1"/>
    <w:rsid w:val="009D2B10"/>
    <w:rsid w:val="00A2199C"/>
    <w:rsid w:val="00A43896"/>
    <w:rsid w:val="00A43F21"/>
    <w:rsid w:val="00A6244E"/>
    <w:rsid w:val="00A678E1"/>
    <w:rsid w:val="00AF6C12"/>
    <w:rsid w:val="00B41635"/>
    <w:rsid w:val="00B52748"/>
    <w:rsid w:val="00B5357A"/>
    <w:rsid w:val="00B624B4"/>
    <w:rsid w:val="00C503A7"/>
    <w:rsid w:val="00C5215F"/>
    <w:rsid w:val="00CB4A28"/>
    <w:rsid w:val="00D34EA0"/>
    <w:rsid w:val="00D637C3"/>
    <w:rsid w:val="00DA15A3"/>
    <w:rsid w:val="00DD3676"/>
    <w:rsid w:val="00DD62A5"/>
    <w:rsid w:val="00DD6907"/>
    <w:rsid w:val="00DD7526"/>
    <w:rsid w:val="00DE3537"/>
    <w:rsid w:val="00E22E32"/>
    <w:rsid w:val="00E26A52"/>
    <w:rsid w:val="00E43B69"/>
    <w:rsid w:val="00E4584F"/>
    <w:rsid w:val="00E671C3"/>
    <w:rsid w:val="00E90142"/>
    <w:rsid w:val="00E9269E"/>
    <w:rsid w:val="00EF3676"/>
    <w:rsid w:val="00F00ED7"/>
    <w:rsid w:val="00F05841"/>
    <w:rsid w:val="00F06EE8"/>
    <w:rsid w:val="00F071B6"/>
    <w:rsid w:val="00F07349"/>
    <w:rsid w:val="00F113EF"/>
    <w:rsid w:val="00F12474"/>
    <w:rsid w:val="00F126F3"/>
    <w:rsid w:val="00F22AE5"/>
    <w:rsid w:val="00F44BE1"/>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d.govt.nz/about-msd-and-our-work/about-msd/strategies/pacific-strategy/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d.govt.nz/documents/about-msd-and-our-work/about-msd/strategies/te-pae-tata/te-pae-tata-maori-strategy-and-action-plan-singl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1591</Words>
  <Characters>9074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2025-05-07T19:50:00Z</dcterms:created>
  <dcterms:modified xsi:type="dcterms:W3CDTF">2025-05-07T19:50:00Z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2025-04-16T01:28:01Z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cd3c1754-b8e8-4e18-9332-75593833e0c5</vt:lpwstr>
  </property>
  <property fmtid="{D5CDD505-2E9C-101B-9397-08002B2CF9AE}" pid="8" name="MSIP_Label_f43e46a9-9901-46e9-bfae-bb6189d4cb66_ContentBits">
    <vt:lpwstr>1</vt:lpwstr>
  </property>
</Properties>
</file>