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06" w:rsidRPr="0015019F"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bookmarkStart w:id="0" w:name="_GoBack"/>
      <w:bookmarkEnd w:id="0"/>
      <w:r>
        <w:rPr>
          <w:rFonts w:ascii="Arial" w:hAnsi="Arial"/>
          <w:b/>
          <w:sz w:val="22"/>
          <w:szCs w:val="22"/>
        </w:rPr>
        <w:t>Position:</w:t>
      </w:r>
      <w:r w:rsidR="00146628">
        <w:rPr>
          <w:rFonts w:ascii="Arial" w:hAnsi="Arial"/>
          <w:b/>
          <w:sz w:val="22"/>
          <w:szCs w:val="22"/>
        </w:rPr>
        <w:tab/>
      </w:r>
      <w:r w:rsidR="00C160A6" w:rsidRPr="0015019F">
        <w:rPr>
          <w:rFonts w:ascii="Arial" w:hAnsi="Arial"/>
          <w:sz w:val="22"/>
          <w:szCs w:val="22"/>
        </w:rPr>
        <w:t>Principal Analyst</w:t>
      </w:r>
    </w:p>
    <w:p w:rsidR="00785D06" w:rsidRPr="0015019F" w:rsidRDefault="00C01F4C">
      <w:pPr>
        <w:pBdr>
          <w:top w:val="single" w:sz="4" w:space="7" w:color="auto"/>
          <w:bottom w:val="single" w:sz="4" w:space="7" w:color="auto"/>
        </w:pBdr>
        <w:tabs>
          <w:tab w:val="left" w:pos="2880"/>
        </w:tabs>
        <w:spacing w:before="120"/>
        <w:jc w:val="both"/>
        <w:rPr>
          <w:rFonts w:ascii="Arial" w:hAnsi="Arial"/>
          <w:b/>
          <w:sz w:val="22"/>
          <w:szCs w:val="22"/>
        </w:rPr>
      </w:pPr>
      <w:r w:rsidRPr="0015019F">
        <w:rPr>
          <w:rFonts w:ascii="Arial" w:hAnsi="Arial"/>
          <w:b/>
          <w:sz w:val="22"/>
          <w:szCs w:val="22"/>
        </w:rPr>
        <w:t>Children’s Worker</w:t>
      </w:r>
      <w:r w:rsidRPr="0015019F">
        <w:rPr>
          <w:rFonts w:ascii="Arial" w:hAnsi="Arial"/>
          <w:b/>
          <w:sz w:val="22"/>
          <w:szCs w:val="22"/>
        </w:rPr>
        <w:tab/>
      </w:r>
      <w:r w:rsidRPr="0015019F">
        <w:rPr>
          <w:rFonts w:ascii="Arial" w:hAnsi="Arial"/>
          <w:sz w:val="22"/>
          <w:szCs w:val="22"/>
        </w:rPr>
        <w:t>No</w:t>
      </w:r>
    </w:p>
    <w:p w:rsidR="00785D06" w:rsidRPr="0015019F" w:rsidRDefault="00C01F4C">
      <w:pPr>
        <w:pBdr>
          <w:top w:val="single" w:sz="4" w:space="7" w:color="auto"/>
          <w:bottom w:val="single" w:sz="4" w:space="7" w:color="auto"/>
        </w:pBdr>
        <w:tabs>
          <w:tab w:val="left" w:pos="2880"/>
        </w:tabs>
        <w:spacing w:before="120"/>
        <w:jc w:val="both"/>
        <w:rPr>
          <w:rFonts w:ascii="Arial" w:hAnsi="Arial"/>
          <w:b/>
          <w:sz w:val="22"/>
          <w:szCs w:val="22"/>
        </w:rPr>
      </w:pPr>
      <w:r w:rsidRPr="0015019F">
        <w:rPr>
          <w:rFonts w:ascii="Arial" w:hAnsi="Arial"/>
          <w:b/>
          <w:sz w:val="22"/>
          <w:szCs w:val="22"/>
        </w:rPr>
        <w:t>Location:</w:t>
      </w:r>
      <w:r w:rsidRPr="0015019F">
        <w:rPr>
          <w:rFonts w:ascii="Arial" w:hAnsi="Arial"/>
          <w:b/>
          <w:sz w:val="22"/>
          <w:szCs w:val="22"/>
        </w:rPr>
        <w:tab/>
      </w:r>
      <w:r w:rsidRPr="0015019F">
        <w:rPr>
          <w:rFonts w:ascii="Arial" w:hAnsi="Arial"/>
          <w:sz w:val="22"/>
          <w:szCs w:val="22"/>
        </w:rPr>
        <w:t>National Office, Wellington</w:t>
      </w:r>
    </w:p>
    <w:p w:rsidR="00785D06" w:rsidRPr="0015019F"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15019F">
        <w:rPr>
          <w:rFonts w:ascii="Arial" w:hAnsi="Arial"/>
          <w:b/>
          <w:sz w:val="22"/>
          <w:szCs w:val="22"/>
        </w:rPr>
        <w:t>Business Unit:</w:t>
      </w:r>
      <w:r w:rsidRPr="0015019F">
        <w:rPr>
          <w:rFonts w:ascii="Arial" w:hAnsi="Arial"/>
          <w:b/>
          <w:sz w:val="22"/>
          <w:szCs w:val="22"/>
        </w:rPr>
        <w:tab/>
      </w:r>
      <w:r w:rsidR="00BF2DCF">
        <w:rPr>
          <w:rFonts w:ascii="Arial" w:hAnsi="Arial"/>
          <w:sz w:val="22"/>
          <w:szCs w:val="22"/>
        </w:rPr>
        <w:t>Historic Claims</w:t>
      </w:r>
    </w:p>
    <w:p w:rsidR="00785D06" w:rsidRPr="0015019F" w:rsidRDefault="00C01F4C">
      <w:pPr>
        <w:pBdr>
          <w:top w:val="single" w:sz="4" w:space="7" w:color="auto"/>
          <w:bottom w:val="single" w:sz="4" w:space="7" w:color="auto"/>
        </w:pBdr>
        <w:tabs>
          <w:tab w:val="left" w:pos="2880"/>
        </w:tabs>
        <w:spacing w:before="120"/>
        <w:jc w:val="both"/>
        <w:rPr>
          <w:rFonts w:ascii="Arial" w:hAnsi="Arial"/>
          <w:b/>
          <w:sz w:val="22"/>
          <w:szCs w:val="22"/>
        </w:rPr>
      </w:pPr>
      <w:r w:rsidRPr="0015019F">
        <w:rPr>
          <w:rFonts w:ascii="Arial" w:hAnsi="Arial"/>
          <w:b/>
          <w:sz w:val="22"/>
          <w:szCs w:val="22"/>
        </w:rPr>
        <w:t>Group:</w:t>
      </w:r>
      <w:r w:rsidRPr="0015019F">
        <w:rPr>
          <w:rFonts w:ascii="Arial" w:hAnsi="Arial"/>
          <w:b/>
          <w:sz w:val="22"/>
          <w:szCs w:val="22"/>
        </w:rPr>
        <w:tab/>
      </w:r>
      <w:r w:rsidRPr="0015019F">
        <w:rPr>
          <w:rFonts w:ascii="Arial" w:hAnsi="Arial"/>
          <w:sz w:val="22"/>
          <w:szCs w:val="22"/>
        </w:rPr>
        <w:t>Corporate Solutions</w:t>
      </w:r>
      <w:r w:rsidRPr="0015019F">
        <w:rPr>
          <w:rFonts w:ascii="Arial" w:hAnsi="Arial"/>
          <w:b/>
          <w:sz w:val="22"/>
          <w:szCs w:val="22"/>
        </w:rPr>
        <w:t xml:space="preserve"> </w:t>
      </w:r>
    </w:p>
    <w:p w:rsidR="00785D06" w:rsidRPr="0015019F"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15019F">
        <w:rPr>
          <w:rFonts w:ascii="Arial" w:hAnsi="Arial"/>
          <w:b/>
          <w:sz w:val="22"/>
          <w:szCs w:val="22"/>
        </w:rPr>
        <w:t>Reporting to:</w:t>
      </w:r>
      <w:r w:rsidRPr="0015019F">
        <w:rPr>
          <w:rFonts w:ascii="Arial" w:hAnsi="Arial"/>
          <w:b/>
          <w:sz w:val="22"/>
          <w:szCs w:val="22"/>
        </w:rPr>
        <w:tab/>
      </w:r>
      <w:r w:rsidR="00233C83" w:rsidRPr="0015019F">
        <w:rPr>
          <w:rFonts w:ascii="Arial" w:hAnsi="Arial"/>
          <w:sz w:val="22"/>
          <w:szCs w:val="22"/>
        </w:rPr>
        <w:t xml:space="preserve">Manager </w:t>
      </w:r>
      <w:r w:rsidR="00FC4AB5" w:rsidRPr="0015019F">
        <w:rPr>
          <w:rFonts w:ascii="Arial" w:hAnsi="Arial"/>
          <w:sz w:val="22"/>
          <w:szCs w:val="22"/>
        </w:rPr>
        <w:t>Strategy, Planning and Reporting</w:t>
      </w:r>
    </w:p>
    <w:p w:rsidR="00785D06" w:rsidRPr="0015019F" w:rsidRDefault="00C01F4C">
      <w:pPr>
        <w:pBdr>
          <w:top w:val="single" w:sz="4" w:space="7" w:color="auto"/>
          <w:bottom w:val="single" w:sz="4" w:space="7" w:color="auto"/>
        </w:pBdr>
        <w:tabs>
          <w:tab w:val="left" w:pos="2880"/>
        </w:tabs>
        <w:spacing w:before="120"/>
        <w:rPr>
          <w:rFonts w:ascii="Arial" w:hAnsi="Arial"/>
          <w:sz w:val="22"/>
          <w:szCs w:val="22"/>
        </w:rPr>
      </w:pPr>
      <w:r w:rsidRPr="0015019F">
        <w:rPr>
          <w:rFonts w:ascii="Arial" w:hAnsi="Arial"/>
          <w:b/>
          <w:sz w:val="22"/>
          <w:szCs w:val="22"/>
        </w:rPr>
        <w:t>Issue Date:</w:t>
      </w:r>
      <w:r w:rsidRPr="0015019F">
        <w:rPr>
          <w:rFonts w:ascii="Arial" w:hAnsi="Arial"/>
          <w:b/>
          <w:sz w:val="22"/>
          <w:szCs w:val="22"/>
        </w:rPr>
        <w:tab/>
      </w:r>
      <w:r w:rsidR="00363DFB">
        <w:rPr>
          <w:rFonts w:ascii="Arial" w:hAnsi="Arial"/>
          <w:sz w:val="22"/>
          <w:szCs w:val="22"/>
        </w:rPr>
        <w:t>Octo</w:t>
      </w:r>
      <w:r w:rsidR="00115647" w:rsidRPr="0015019F">
        <w:rPr>
          <w:rFonts w:ascii="Arial" w:hAnsi="Arial"/>
          <w:sz w:val="22"/>
          <w:szCs w:val="22"/>
        </w:rPr>
        <w:t>ber</w:t>
      </w:r>
      <w:r w:rsidR="00146628" w:rsidRPr="0015019F">
        <w:rPr>
          <w:rFonts w:ascii="Arial" w:hAnsi="Arial"/>
          <w:sz w:val="22"/>
          <w:szCs w:val="22"/>
        </w:rPr>
        <w:t xml:space="preserve"> </w:t>
      </w:r>
      <w:r w:rsidR="00B21753" w:rsidRPr="0015019F">
        <w:rPr>
          <w:rFonts w:ascii="Arial" w:hAnsi="Arial"/>
          <w:sz w:val="22"/>
          <w:szCs w:val="22"/>
        </w:rPr>
        <w:t>2018</w:t>
      </w:r>
    </w:p>
    <w:p w:rsidR="00785D06" w:rsidRPr="0015019F" w:rsidRDefault="00C01F4C">
      <w:pPr>
        <w:pBdr>
          <w:top w:val="single" w:sz="4" w:space="7" w:color="auto"/>
          <w:bottom w:val="single" w:sz="4" w:space="7" w:color="auto"/>
        </w:pBdr>
        <w:tabs>
          <w:tab w:val="left" w:pos="2880"/>
        </w:tabs>
        <w:spacing w:before="120"/>
        <w:rPr>
          <w:rFonts w:ascii="Arial" w:hAnsi="Arial"/>
          <w:b/>
          <w:sz w:val="22"/>
          <w:szCs w:val="22"/>
        </w:rPr>
      </w:pPr>
      <w:r w:rsidRPr="0015019F">
        <w:rPr>
          <w:rFonts w:ascii="Arial" w:hAnsi="Arial"/>
          <w:b/>
          <w:sz w:val="22"/>
          <w:szCs w:val="22"/>
        </w:rPr>
        <w:t>Delegated Authority:</w:t>
      </w:r>
      <w:r w:rsidRPr="0015019F">
        <w:rPr>
          <w:rFonts w:ascii="Arial" w:hAnsi="Arial"/>
          <w:b/>
          <w:sz w:val="22"/>
          <w:szCs w:val="22"/>
        </w:rPr>
        <w:tab/>
      </w:r>
      <w:r w:rsidR="00226AEC">
        <w:rPr>
          <w:rFonts w:ascii="Arial" w:hAnsi="Arial"/>
          <w:sz w:val="22"/>
          <w:szCs w:val="22"/>
        </w:rPr>
        <w:t>No</w:t>
      </w:r>
    </w:p>
    <w:p w:rsidR="00785D06" w:rsidRPr="00B21753" w:rsidRDefault="00C01F4C">
      <w:pPr>
        <w:pBdr>
          <w:top w:val="single" w:sz="4" w:space="7" w:color="auto"/>
          <w:bottom w:val="single" w:sz="4" w:space="7" w:color="auto"/>
        </w:pBdr>
        <w:tabs>
          <w:tab w:val="left" w:pos="2880"/>
        </w:tabs>
        <w:spacing w:before="120" w:after="120"/>
        <w:rPr>
          <w:rFonts w:ascii="Arial" w:hAnsi="Arial"/>
          <w:b/>
          <w:sz w:val="22"/>
          <w:szCs w:val="22"/>
        </w:rPr>
      </w:pPr>
      <w:r w:rsidRPr="0015019F">
        <w:rPr>
          <w:rFonts w:ascii="Arial" w:hAnsi="Arial"/>
          <w:b/>
          <w:sz w:val="22"/>
          <w:szCs w:val="22"/>
        </w:rPr>
        <w:t>Staff Responsibility:</w:t>
      </w:r>
      <w:r w:rsidR="00115647" w:rsidRPr="0015019F">
        <w:rPr>
          <w:rFonts w:ascii="Arial" w:hAnsi="Arial"/>
          <w:b/>
          <w:sz w:val="22"/>
          <w:szCs w:val="22"/>
        </w:rPr>
        <w:tab/>
      </w:r>
      <w:r w:rsidR="00115647" w:rsidRPr="0015019F">
        <w:rPr>
          <w:rFonts w:ascii="Arial" w:hAnsi="Arial"/>
          <w:sz w:val="22"/>
          <w:szCs w:val="22"/>
        </w:rPr>
        <w:t>No</w:t>
      </w:r>
    </w:p>
    <w:p w:rsidR="00785D06" w:rsidRPr="00B21753" w:rsidRDefault="00785D06">
      <w:pPr>
        <w:jc w:val="both"/>
        <w:rPr>
          <w:rFonts w:ascii="Arial" w:hAnsi="Arial" w:cs="Arial"/>
          <w:b/>
          <w:sz w:val="10"/>
          <w:szCs w:val="10"/>
        </w:rPr>
      </w:pPr>
    </w:p>
    <w:p w:rsidR="003B7734" w:rsidRPr="003B7734" w:rsidRDefault="003B7734" w:rsidP="003B7734">
      <w:pPr>
        <w:spacing w:after="60"/>
        <w:jc w:val="both"/>
        <w:rPr>
          <w:rFonts w:ascii="Arial" w:hAnsi="Arial" w:cs="Arial"/>
          <w:b/>
          <w:sz w:val="22"/>
          <w:szCs w:val="22"/>
        </w:rPr>
      </w:pPr>
      <w:r w:rsidRPr="003B7734">
        <w:rPr>
          <w:rFonts w:ascii="Arial" w:hAnsi="Arial" w:cs="Arial"/>
          <w:b/>
          <w:sz w:val="22"/>
          <w:szCs w:val="22"/>
        </w:rPr>
        <w:t xml:space="preserve">Our Role </w:t>
      </w:r>
    </w:p>
    <w:p w:rsidR="003B7734" w:rsidRPr="003B7734" w:rsidRDefault="003B7734" w:rsidP="003B7734">
      <w:pPr>
        <w:spacing w:after="120"/>
        <w:jc w:val="both"/>
        <w:rPr>
          <w:rFonts w:ascii="Arial" w:hAnsi="Arial" w:cs="Arial"/>
          <w:sz w:val="22"/>
          <w:szCs w:val="22"/>
        </w:rPr>
      </w:pPr>
      <w:r w:rsidRPr="003B7734">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3B7734" w:rsidRPr="003B7734" w:rsidRDefault="003B7734" w:rsidP="003B7734">
      <w:pPr>
        <w:spacing w:after="120"/>
        <w:jc w:val="both"/>
        <w:rPr>
          <w:rFonts w:ascii="Arial" w:hAnsi="Arial" w:cs="Arial"/>
          <w:sz w:val="22"/>
          <w:szCs w:val="22"/>
        </w:rPr>
      </w:pPr>
      <w:r w:rsidRPr="003B7734">
        <w:rPr>
          <w:rFonts w:ascii="Arial" w:hAnsi="Arial" w:cs="Arial"/>
          <w:sz w:val="22"/>
          <w:szCs w:val="22"/>
        </w:rPr>
        <w:t>The Ministry provides policy advice, and delivers social services and assistance to young people, working age people, older people, and families, whānau and communities. We work directly with New Zealanders of all ages to improve their social wellbeing.</w:t>
      </w:r>
    </w:p>
    <w:p w:rsidR="003B7734" w:rsidRPr="003B7734" w:rsidRDefault="003B7734" w:rsidP="003B7734">
      <w:pPr>
        <w:spacing w:after="120"/>
        <w:jc w:val="both"/>
        <w:rPr>
          <w:rFonts w:ascii="Arial" w:hAnsi="Arial" w:cs="Arial"/>
          <w:sz w:val="22"/>
        </w:rPr>
      </w:pPr>
      <w:r w:rsidRPr="003B7734">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3B7734" w:rsidRPr="003B7734" w:rsidRDefault="003B7734" w:rsidP="003B7734">
      <w:pPr>
        <w:spacing w:after="240"/>
        <w:jc w:val="both"/>
        <w:rPr>
          <w:rFonts w:ascii="Arial" w:hAnsi="Arial" w:cs="Arial"/>
          <w:sz w:val="22"/>
        </w:rPr>
      </w:pPr>
      <w:r w:rsidRPr="003B7734">
        <w:rPr>
          <w:rFonts w:ascii="Arial" w:hAnsi="Arial" w:cs="Arial"/>
          <w:sz w:val="22"/>
        </w:rPr>
        <w:t xml:space="preserve">Our work, together with our social sector partners, is essential to achieving a sustainable and prosperous future, where all New Zealanders are able to take responsibility for themselves, be successful in their lives and participate in their communities.  </w:t>
      </w:r>
      <w:r w:rsidRPr="003B7734">
        <w:rPr>
          <w:rFonts w:ascii="Arial" w:hAnsi="Arial"/>
          <w:szCs w:val="16"/>
        </w:rPr>
        <w:t xml:space="preserve"> </w:t>
      </w:r>
    </w:p>
    <w:p w:rsidR="003B7734" w:rsidRPr="003B7734" w:rsidRDefault="003B7734" w:rsidP="003B7734">
      <w:pPr>
        <w:jc w:val="both"/>
        <w:outlineLvl w:val="3"/>
        <w:rPr>
          <w:rFonts w:ascii="Arial" w:hAnsi="Arial" w:cs="Arial"/>
          <w:b/>
          <w:bCs/>
          <w:color w:val="000000"/>
          <w:sz w:val="22"/>
          <w:szCs w:val="22"/>
          <w:lang w:val="en" w:eastAsia="en-NZ"/>
        </w:rPr>
      </w:pPr>
      <w:r w:rsidRPr="003B7734">
        <w:rPr>
          <w:rFonts w:ascii="Arial" w:hAnsi="Arial" w:cs="Arial"/>
          <w:b/>
          <w:bCs/>
          <w:color w:val="000000"/>
          <w:sz w:val="22"/>
          <w:szCs w:val="22"/>
          <w:lang w:val="en" w:eastAsia="en-NZ"/>
        </w:rPr>
        <w:t>Our Purpose</w:t>
      </w:r>
    </w:p>
    <w:p w:rsidR="003B7734" w:rsidRPr="003B7734" w:rsidRDefault="003B7734" w:rsidP="003B7734">
      <w:pPr>
        <w:jc w:val="both"/>
        <w:outlineLvl w:val="3"/>
        <w:rPr>
          <w:rFonts w:ascii="Arial" w:hAnsi="Arial" w:cs="Arial"/>
          <w:sz w:val="22"/>
          <w:szCs w:val="22"/>
          <w:lang w:val="en" w:eastAsia="en-NZ"/>
        </w:rPr>
      </w:pPr>
      <w:r w:rsidRPr="003B7734">
        <w:rPr>
          <w:rFonts w:ascii="Arial" w:hAnsi="Arial" w:cs="Arial"/>
          <w:sz w:val="22"/>
          <w:szCs w:val="22"/>
          <w:lang w:val="en" w:eastAsia="en-NZ"/>
        </w:rPr>
        <w:t>We help New Zealanders to be safe, strong and independent.</w:t>
      </w:r>
    </w:p>
    <w:p w:rsidR="003B7734" w:rsidRPr="003B7734" w:rsidRDefault="003B7734" w:rsidP="003B7734">
      <w:pPr>
        <w:jc w:val="both"/>
        <w:outlineLvl w:val="3"/>
        <w:rPr>
          <w:rFonts w:ascii="Arial" w:hAnsi="Arial" w:cs="Arial"/>
          <w:sz w:val="22"/>
          <w:szCs w:val="22"/>
          <w:lang w:val="en" w:eastAsia="en-NZ"/>
        </w:rPr>
      </w:pPr>
      <w:r w:rsidRPr="003B7734">
        <w:rPr>
          <w:rFonts w:ascii="Arial" w:hAnsi="Arial" w:cs="Arial"/>
          <w:sz w:val="22"/>
          <w:szCs w:val="22"/>
          <w:lang w:val="en" w:eastAsia="en-NZ"/>
        </w:rPr>
        <w:t>Manaaki Tangata, Manaaki Whānau.</w:t>
      </w:r>
    </w:p>
    <w:p w:rsidR="003B7734" w:rsidRPr="003B7734" w:rsidRDefault="003B7734" w:rsidP="003B7734">
      <w:pPr>
        <w:jc w:val="both"/>
        <w:outlineLvl w:val="3"/>
        <w:rPr>
          <w:rFonts w:ascii="Arial" w:hAnsi="Arial" w:cs="Arial"/>
          <w:b/>
          <w:bCs/>
          <w:color w:val="990000"/>
          <w:sz w:val="22"/>
          <w:szCs w:val="22"/>
          <w:lang w:val="en" w:eastAsia="en-NZ"/>
        </w:rPr>
      </w:pPr>
      <w:r w:rsidRPr="003B7734" w:rsidDel="00B21753">
        <w:rPr>
          <w:rFonts w:ascii="Arial" w:hAnsi="Arial" w:cs="Arial"/>
          <w:sz w:val="22"/>
          <w:szCs w:val="22"/>
          <w:lang w:val="en" w:eastAsia="en-NZ"/>
        </w:rPr>
        <w:t xml:space="preserve"> </w:t>
      </w:r>
    </w:p>
    <w:p w:rsidR="003B7734" w:rsidRPr="003B7734" w:rsidRDefault="003B7734" w:rsidP="003B7734">
      <w:pPr>
        <w:jc w:val="both"/>
        <w:outlineLvl w:val="3"/>
        <w:rPr>
          <w:rFonts w:ascii="Arial" w:hAnsi="Arial" w:cs="Arial"/>
          <w:b/>
          <w:bCs/>
          <w:color w:val="000000"/>
          <w:sz w:val="22"/>
          <w:szCs w:val="22"/>
          <w:lang w:val="en" w:eastAsia="en-NZ"/>
        </w:rPr>
      </w:pPr>
      <w:r w:rsidRPr="003B7734">
        <w:rPr>
          <w:rFonts w:ascii="Arial" w:hAnsi="Arial" w:cs="Arial"/>
          <w:b/>
          <w:bCs/>
          <w:color w:val="000000"/>
          <w:sz w:val="22"/>
          <w:szCs w:val="22"/>
          <w:lang w:val="en" w:eastAsia="en-NZ"/>
        </w:rPr>
        <w:t>Our Principles</w:t>
      </w:r>
    </w:p>
    <w:p w:rsidR="003B7734" w:rsidRPr="003B7734" w:rsidRDefault="003B7734" w:rsidP="003B7734">
      <w:pPr>
        <w:jc w:val="both"/>
        <w:rPr>
          <w:rFonts w:ascii="Arial" w:hAnsi="Arial" w:cs="Arial"/>
          <w:sz w:val="22"/>
          <w:szCs w:val="22"/>
          <w:lang w:val="en" w:eastAsia="en-NZ"/>
        </w:rPr>
      </w:pPr>
      <w:r w:rsidRPr="003B7734">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Default="00785D06">
      <w:pPr>
        <w:rPr>
          <w:rFonts w:ascii="Arial" w:hAnsi="Arial"/>
          <w:sz w:val="24"/>
          <w:szCs w:val="24"/>
        </w:rPr>
      </w:pPr>
    </w:p>
    <w:p w:rsidR="00363DFB" w:rsidRDefault="00363DFB">
      <w:pPr>
        <w:rPr>
          <w:rFonts w:ascii="Arial" w:hAnsi="Arial" w:cs="Arial"/>
          <w:b/>
          <w:bCs/>
          <w:sz w:val="22"/>
          <w:szCs w:val="22"/>
        </w:rPr>
      </w:pPr>
    </w:p>
    <w:p w:rsidR="00363DFB" w:rsidRDefault="00363DFB">
      <w:pPr>
        <w:rPr>
          <w:rFonts w:ascii="Arial" w:hAnsi="Arial" w:cs="Arial"/>
          <w:b/>
          <w:bCs/>
          <w:sz w:val="22"/>
          <w:szCs w:val="22"/>
        </w:rPr>
      </w:pPr>
    </w:p>
    <w:p w:rsidR="00785D06" w:rsidRDefault="00C01F4C">
      <w:pPr>
        <w:rPr>
          <w:rFonts w:ascii="Arial" w:hAnsi="Arial"/>
          <w:b/>
          <w:bCs/>
          <w:sz w:val="22"/>
          <w:szCs w:val="22"/>
        </w:rPr>
      </w:pPr>
      <w:r w:rsidRPr="00226AEC">
        <w:rPr>
          <w:rFonts w:ascii="Arial" w:hAnsi="Arial" w:cs="Arial"/>
          <w:b/>
          <w:bCs/>
          <w:sz w:val="22"/>
          <w:szCs w:val="22"/>
        </w:rPr>
        <w:t>Position</w:t>
      </w:r>
      <w:r w:rsidRPr="00226AEC">
        <w:rPr>
          <w:rFonts w:ascii="Arial" w:hAnsi="Arial"/>
          <w:b/>
          <w:bCs/>
          <w:sz w:val="22"/>
          <w:szCs w:val="22"/>
        </w:rPr>
        <w:t xml:space="preserve"> </w:t>
      </w:r>
      <w:r w:rsidRPr="00226AEC">
        <w:rPr>
          <w:rFonts w:ascii="Arial" w:hAnsi="Arial" w:cs="Arial"/>
          <w:b/>
          <w:bCs/>
          <w:sz w:val="22"/>
          <w:szCs w:val="22"/>
        </w:rPr>
        <w:t>Description</w:t>
      </w:r>
      <w:r w:rsidRPr="00226AEC">
        <w:rPr>
          <w:rFonts w:ascii="Arial" w:hAnsi="Arial"/>
          <w:b/>
          <w:bCs/>
          <w:sz w:val="22"/>
          <w:szCs w:val="22"/>
        </w:rPr>
        <w:t xml:space="preserve"> </w:t>
      </w:r>
      <w:r w:rsidRPr="00226AEC">
        <w:rPr>
          <w:rFonts w:ascii="Arial" w:hAnsi="Arial" w:cs="Arial"/>
          <w:b/>
          <w:bCs/>
          <w:sz w:val="22"/>
          <w:szCs w:val="22"/>
        </w:rPr>
        <w:t>Approved</w:t>
      </w:r>
      <w:r w:rsidRPr="00226AEC">
        <w:rPr>
          <w:rFonts w:ascii="Arial" w:hAnsi="Arial"/>
          <w:b/>
          <w:bCs/>
          <w:sz w:val="22"/>
          <w:szCs w:val="22"/>
        </w:rPr>
        <w:t xml:space="preserve"> </w:t>
      </w:r>
      <w:r w:rsidRPr="00226AEC">
        <w:rPr>
          <w:rFonts w:ascii="Arial" w:hAnsi="Arial" w:cs="Arial"/>
          <w:b/>
          <w:bCs/>
          <w:sz w:val="22"/>
          <w:szCs w:val="22"/>
        </w:rPr>
        <w:t>By</w:t>
      </w:r>
      <w:r w:rsidRPr="00226AEC">
        <w:rPr>
          <w:rFonts w:ascii="Arial" w:hAnsi="Arial"/>
          <w:b/>
          <w:bCs/>
          <w:sz w:val="22"/>
          <w:szCs w:val="22"/>
        </w:rPr>
        <w:t>:</w:t>
      </w:r>
    </w:p>
    <w:p w:rsidR="00363DFB" w:rsidRPr="00226AEC" w:rsidRDefault="00363DFB" w:rsidP="00363DFB">
      <w:pPr>
        <w:rPr>
          <w:rFonts w:ascii="Arial" w:hAnsi="Arial"/>
          <w:sz w:val="22"/>
          <w:szCs w:val="22"/>
        </w:rPr>
      </w:pPr>
      <w:r w:rsidRPr="00226AEC">
        <w:rPr>
          <w:rFonts w:ascii="Arial" w:hAnsi="Arial"/>
          <w:sz w:val="22"/>
          <w:szCs w:val="22"/>
        </w:rPr>
        <w:t>Deputy Chief Executive, Corporate Solutions</w:t>
      </w:r>
    </w:p>
    <w:p w:rsidR="0055387C" w:rsidRDefault="0055387C" w:rsidP="0055387C">
      <w:pPr>
        <w:rPr>
          <w:rFonts w:ascii="Arial" w:hAnsi="Arial" w:cs="Arial"/>
          <w:b/>
          <w:sz w:val="24"/>
          <w:szCs w:val="24"/>
        </w:rPr>
      </w:pPr>
    </w:p>
    <w:p w:rsidR="00363DFB" w:rsidRDefault="00363DFB" w:rsidP="0055387C">
      <w:pPr>
        <w:rPr>
          <w:rFonts w:ascii="Arial" w:hAnsi="Arial" w:cs="Arial"/>
          <w:b/>
          <w:sz w:val="24"/>
          <w:szCs w:val="24"/>
        </w:rPr>
      </w:pPr>
    </w:p>
    <w:p w:rsidR="00146628" w:rsidRDefault="00146628" w:rsidP="0055387C">
      <w:pPr>
        <w:rPr>
          <w:rFonts w:ascii="Arial" w:hAnsi="Arial" w:cs="Arial"/>
          <w:b/>
          <w:sz w:val="24"/>
          <w:szCs w:val="24"/>
        </w:rPr>
      </w:pPr>
    </w:p>
    <w:p w:rsidR="003B7734" w:rsidRPr="003B7734" w:rsidRDefault="003B7734" w:rsidP="003B7734">
      <w:pPr>
        <w:jc w:val="both"/>
      </w:pPr>
      <w:r w:rsidRPr="003B7734">
        <w:rPr>
          <w:rFonts w:ascii="Arial" w:hAnsi="Arial" w:cs="Arial"/>
          <w:b/>
          <w:sz w:val="24"/>
          <w:szCs w:val="24"/>
        </w:rPr>
        <w:lastRenderedPageBreak/>
        <w:t>Group</w:t>
      </w:r>
    </w:p>
    <w:p w:rsidR="003B7734" w:rsidRPr="003B7734" w:rsidRDefault="003B7734" w:rsidP="003B7734">
      <w:pPr>
        <w:jc w:val="both"/>
        <w:rPr>
          <w:rFonts w:ascii="Arial" w:hAnsi="Arial" w:cs="Arial"/>
          <w:sz w:val="10"/>
          <w:szCs w:val="10"/>
        </w:rPr>
      </w:pPr>
    </w:p>
    <w:p w:rsidR="003B7734" w:rsidRPr="003B7734" w:rsidRDefault="003B7734" w:rsidP="003B7734">
      <w:pPr>
        <w:jc w:val="both"/>
        <w:rPr>
          <w:rFonts w:ascii="Arial" w:hAnsi="Arial" w:cs="Arial"/>
          <w:sz w:val="22"/>
          <w:szCs w:val="22"/>
        </w:rPr>
      </w:pPr>
      <w:r w:rsidRPr="003B7734">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3B7734" w:rsidRPr="003B7734" w:rsidRDefault="003B7734" w:rsidP="003B7734">
      <w:pPr>
        <w:jc w:val="both"/>
        <w:rPr>
          <w:rFonts w:ascii="Arial" w:hAnsi="Arial" w:cs="Arial"/>
          <w:sz w:val="22"/>
          <w:szCs w:val="22"/>
        </w:rPr>
      </w:pPr>
    </w:p>
    <w:p w:rsidR="003B7734" w:rsidRPr="003B7734" w:rsidRDefault="003B7734" w:rsidP="003B7734">
      <w:pPr>
        <w:jc w:val="both"/>
        <w:rPr>
          <w:rFonts w:ascii="Arial" w:hAnsi="Arial" w:cs="Arial"/>
          <w:sz w:val="22"/>
          <w:szCs w:val="22"/>
        </w:rPr>
      </w:pPr>
      <w:r w:rsidRPr="003B7734">
        <w:rPr>
          <w:rFonts w:ascii="Arial" w:hAnsi="Arial" w:cs="Arial"/>
          <w:sz w:val="22"/>
          <w:szCs w:val="22"/>
        </w:rPr>
        <w:t>The group provide advice and services to MSD, Oranga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940D97" w:rsidRPr="005F6241" w:rsidRDefault="00940D97" w:rsidP="00940D97">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claimants, and that they encounter </w:t>
      </w:r>
      <w:r w:rsidR="003B7734">
        <w:rPr>
          <w:rFonts w:ascii="Arial Mäori" w:hAnsi="Arial Mäori"/>
          <w:sz w:val="22"/>
          <w:szCs w:val="22"/>
        </w:rPr>
        <w:t>m</w:t>
      </w:r>
      <w:r w:rsidRPr="005F6241">
        <w:rPr>
          <w:rFonts w:ascii="Arial Mäori" w:hAnsi="Arial Mäori"/>
          <w:sz w:val="22"/>
          <w:szCs w:val="22"/>
        </w:rPr>
        <w:t xml:space="preserve">ana </w:t>
      </w:r>
      <w:r w:rsidR="003B7734">
        <w:rPr>
          <w:rFonts w:ascii="Arial Mäori" w:hAnsi="Arial Mäori"/>
          <w:sz w:val="22"/>
          <w:szCs w:val="22"/>
        </w:rPr>
        <w:t>m</w:t>
      </w:r>
      <w:r w:rsidRPr="005F6241">
        <w:rPr>
          <w:rFonts w:ascii="Arial Mäori" w:hAnsi="Arial Mäori"/>
          <w:sz w:val="22"/>
          <w:szCs w:val="22"/>
        </w:rPr>
        <w:t xml:space="preserve">anaaki </w:t>
      </w:r>
      <w:bookmarkStart w:id="1" w:name="OLE_LINK1"/>
      <w:bookmarkStart w:id="2" w:name="OLE_LINK2"/>
      <w:bookmarkStart w:id="3" w:name="OLE_LINK3"/>
      <w:r w:rsidR="00363DFB" w:rsidRPr="009E3503">
        <w:rPr>
          <w:rFonts w:ascii="Arial" w:hAnsi="Arial" w:cs="Arial"/>
          <w:sz w:val="22"/>
          <w:szCs w:val="22"/>
        </w:rPr>
        <w:t>(a positive experience every time)</w:t>
      </w:r>
      <w:r w:rsidR="00363DFB" w:rsidRPr="005F6241">
        <w:rPr>
          <w:rFonts w:ascii="Arial Mäori" w:hAnsi="Arial Mäori"/>
          <w:sz w:val="22"/>
          <w:szCs w:val="22"/>
        </w:rPr>
        <w:t xml:space="preserve"> </w:t>
      </w:r>
      <w:bookmarkEnd w:id="1"/>
      <w:bookmarkEnd w:id="2"/>
      <w:bookmarkEnd w:id="3"/>
      <w:r w:rsidRPr="005F6241">
        <w:rPr>
          <w:rFonts w:ascii="Arial Mäori" w:hAnsi="Arial Mäori"/>
          <w:sz w:val="22"/>
          <w:szCs w:val="22"/>
        </w:rPr>
        <w:t>whenever they come into contact with us.</w:t>
      </w:r>
    </w:p>
    <w:p w:rsidR="00785D06" w:rsidRDefault="00785D06">
      <w:pPr>
        <w:jc w:val="both"/>
        <w:rPr>
          <w:rFonts w:ascii="Arial" w:hAnsi="Arial"/>
          <w:sz w:val="22"/>
          <w:szCs w:val="22"/>
        </w:rPr>
      </w:pPr>
    </w:p>
    <w:p w:rsidR="00785D06" w:rsidRDefault="00C01F4C" w:rsidP="007B1A87">
      <w:pPr>
        <w:rPr>
          <w:rFonts w:ascii="Arial" w:hAnsi="Arial" w:cs="Arial"/>
          <w:b/>
          <w:bCs/>
          <w:sz w:val="24"/>
          <w:szCs w:val="24"/>
        </w:rPr>
      </w:pPr>
      <w:r>
        <w:rPr>
          <w:rFonts w:ascii="Arial" w:hAnsi="Arial" w:cs="Arial"/>
          <w:b/>
          <w:bCs/>
          <w:sz w:val="24"/>
          <w:szCs w:val="24"/>
        </w:rPr>
        <w:t>Purpose of the Position:</w:t>
      </w:r>
    </w:p>
    <w:p w:rsidR="00785D06" w:rsidRDefault="00785D06">
      <w:pPr>
        <w:tabs>
          <w:tab w:val="left" w:pos="3536"/>
        </w:tabs>
        <w:rPr>
          <w:rFonts w:ascii="Arial" w:hAnsi="Arial" w:cs="Arial"/>
          <w:sz w:val="22"/>
          <w:szCs w:val="22"/>
        </w:rPr>
      </w:pPr>
    </w:p>
    <w:p w:rsidR="00F05E16" w:rsidRPr="00180691" w:rsidRDefault="0015019F" w:rsidP="0015019F">
      <w:pPr>
        <w:ind w:right="72"/>
        <w:jc w:val="both"/>
        <w:rPr>
          <w:rFonts w:ascii="Arial" w:hAnsi="Arial" w:cs="Arial"/>
          <w:sz w:val="22"/>
          <w:szCs w:val="22"/>
        </w:rPr>
      </w:pPr>
      <w:r w:rsidRPr="00180691">
        <w:rPr>
          <w:rFonts w:ascii="Arial" w:hAnsi="Arial" w:cs="Arial"/>
          <w:sz w:val="22"/>
          <w:szCs w:val="22"/>
        </w:rPr>
        <w:t xml:space="preserve">The Principal Analyst </w:t>
      </w:r>
      <w:r w:rsidR="0000482F" w:rsidRPr="00180691">
        <w:rPr>
          <w:rFonts w:ascii="Arial" w:hAnsi="Arial" w:cs="Arial"/>
          <w:sz w:val="22"/>
          <w:szCs w:val="22"/>
        </w:rPr>
        <w:t xml:space="preserve">leads </w:t>
      </w:r>
      <w:r w:rsidRPr="00180691">
        <w:rPr>
          <w:rFonts w:ascii="Arial" w:hAnsi="Arial" w:cs="Arial"/>
          <w:sz w:val="22"/>
          <w:szCs w:val="22"/>
        </w:rPr>
        <w:t xml:space="preserve">the on-going development of the Historic Claims team and the Ministry through the provision of </w:t>
      </w:r>
      <w:r w:rsidR="00F05E16" w:rsidRPr="00180691">
        <w:rPr>
          <w:rFonts w:ascii="Arial" w:hAnsi="Arial" w:cs="Arial"/>
          <w:sz w:val="22"/>
          <w:szCs w:val="22"/>
        </w:rPr>
        <w:t>strong intellectual, analytical and leadership advice.</w:t>
      </w:r>
    </w:p>
    <w:p w:rsidR="00F05E16" w:rsidRPr="00180691" w:rsidRDefault="00F05E16" w:rsidP="0015019F">
      <w:pPr>
        <w:ind w:right="72"/>
        <w:jc w:val="both"/>
        <w:rPr>
          <w:rFonts w:ascii="Arial" w:hAnsi="Arial" w:cs="Arial"/>
          <w:sz w:val="22"/>
          <w:szCs w:val="22"/>
        </w:rPr>
      </w:pPr>
    </w:p>
    <w:p w:rsidR="0015019F" w:rsidRPr="00180691" w:rsidRDefault="0015019F" w:rsidP="0015019F">
      <w:pPr>
        <w:ind w:right="72"/>
        <w:jc w:val="both"/>
        <w:rPr>
          <w:rFonts w:ascii="Arial Mäori" w:hAnsi="Arial Mäori"/>
          <w:sz w:val="22"/>
          <w:szCs w:val="22"/>
        </w:rPr>
      </w:pPr>
      <w:r w:rsidRPr="00180691">
        <w:rPr>
          <w:rFonts w:ascii="Arial" w:hAnsi="Arial" w:cs="Arial"/>
          <w:sz w:val="22"/>
          <w:szCs w:val="22"/>
        </w:rPr>
        <w:t xml:space="preserve">The Principal Analyst participates in and leads projects and policy initiatives within the Historic Claims team.  </w:t>
      </w:r>
      <w:r w:rsidRPr="00180691">
        <w:rPr>
          <w:rFonts w:ascii="Arial Mäori" w:hAnsi="Arial Mäori"/>
          <w:sz w:val="22"/>
          <w:szCs w:val="22"/>
        </w:rPr>
        <w:t xml:space="preserve">They play a lead role in </w:t>
      </w:r>
      <w:r w:rsidR="00A07CB2">
        <w:rPr>
          <w:rFonts w:ascii="Arial Mäori" w:hAnsi="Arial Mäori"/>
          <w:sz w:val="22"/>
          <w:szCs w:val="22"/>
        </w:rPr>
        <w:t xml:space="preserve">across the </w:t>
      </w:r>
      <w:r w:rsidRPr="00180691">
        <w:rPr>
          <w:rFonts w:ascii="Arial Mäori" w:hAnsi="Arial Mäori"/>
          <w:sz w:val="22"/>
          <w:szCs w:val="22"/>
        </w:rPr>
        <w:t>Historic Claims team</w:t>
      </w:r>
      <w:r w:rsidR="003B7734" w:rsidRPr="00180691">
        <w:rPr>
          <w:rFonts w:ascii="Arial Mäori" w:hAnsi="Arial Mäori"/>
          <w:sz w:val="22"/>
          <w:szCs w:val="22"/>
        </w:rPr>
        <w:t xml:space="preserve"> </w:t>
      </w:r>
      <w:r w:rsidR="0000482F" w:rsidRPr="00180691">
        <w:rPr>
          <w:rFonts w:ascii="Arial Mäori" w:hAnsi="Arial Mäori"/>
          <w:sz w:val="22"/>
          <w:szCs w:val="22"/>
        </w:rPr>
        <w:t>by</w:t>
      </w:r>
      <w:r w:rsidR="00940D97" w:rsidRPr="00180691">
        <w:rPr>
          <w:rFonts w:ascii="Arial Mäori" w:hAnsi="Arial Mäori"/>
          <w:sz w:val="22"/>
          <w:szCs w:val="22"/>
        </w:rPr>
        <w:t xml:space="preserve">: </w:t>
      </w:r>
    </w:p>
    <w:p w:rsidR="0015019F" w:rsidRPr="00180691" w:rsidRDefault="0000482F" w:rsidP="00396107">
      <w:pPr>
        <w:pStyle w:val="ListParagraph"/>
        <w:numPr>
          <w:ilvl w:val="0"/>
          <w:numId w:val="35"/>
        </w:numPr>
        <w:rPr>
          <w:rFonts w:ascii="Arial" w:hAnsi="Arial" w:cs="Arial"/>
          <w:sz w:val="22"/>
          <w:szCs w:val="22"/>
        </w:rPr>
      </w:pPr>
      <w:r w:rsidRPr="00180691">
        <w:rPr>
          <w:rFonts w:ascii="Arial" w:hAnsi="Arial" w:cs="Arial"/>
          <w:sz w:val="22"/>
          <w:szCs w:val="22"/>
        </w:rPr>
        <w:t>providing an analytical lens across</w:t>
      </w:r>
      <w:r w:rsidR="0015019F" w:rsidRPr="00180691">
        <w:rPr>
          <w:rFonts w:ascii="Arial" w:hAnsi="Arial" w:cs="Arial"/>
          <w:sz w:val="22"/>
          <w:szCs w:val="22"/>
        </w:rPr>
        <w:t xml:space="preserve"> claimant</w:t>
      </w:r>
      <w:r w:rsidRPr="00180691">
        <w:rPr>
          <w:rFonts w:ascii="Arial" w:hAnsi="Arial" w:cs="Arial"/>
          <w:sz w:val="22"/>
          <w:szCs w:val="22"/>
        </w:rPr>
        <w:t>s</w:t>
      </w:r>
      <w:r w:rsidR="0015019F" w:rsidRPr="00180691">
        <w:rPr>
          <w:rFonts w:ascii="Arial" w:hAnsi="Arial" w:cs="Arial"/>
          <w:sz w:val="22"/>
          <w:szCs w:val="22"/>
        </w:rPr>
        <w:t xml:space="preserve"> experiences in care</w:t>
      </w:r>
      <w:r w:rsidRPr="00180691">
        <w:rPr>
          <w:rFonts w:ascii="Arial" w:hAnsi="Arial" w:cs="Arial"/>
          <w:sz w:val="22"/>
          <w:szCs w:val="22"/>
        </w:rPr>
        <w:t>,</w:t>
      </w:r>
      <w:r w:rsidR="0015019F" w:rsidRPr="00180691">
        <w:rPr>
          <w:rFonts w:ascii="Arial" w:hAnsi="Arial" w:cs="Arial"/>
          <w:sz w:val="22"/>
          <w:szCs w:val="22"/>
        </w:rPr>
        <w:t xml:space="preserve"> </w:t>
      </w:r>
      <w:r w:rsidRPr="00180691">
        <w:rPr>
          <w:rFonts w:ascii="Arial" w:hAnsi="Arial" w:cs="Arial"/>
          <w:sz w:val="22"/>
          <w:szCs w:val="22"/>
        </w:rPr>
        <w:t xml:space="preserve">to </w:t>
      </w:r>
      <w:r w:rsidR="0015019F" w:rsidRPr="00180691">
        <w:rPr>
          <w:rFonts w:ascii="Arial" w:hAnsi="Arial" w:cs="Arial"/>
          <w:sz w:val="22"/>
          <w:szCs w:val="22"/>
        </w:rPr>
        <w:t>inform</w:t>
      </w:r>
      <w:r w:rsidRPr="00180691">
        <w:rPr>
          <w:rFonts w:ascii="Arial" w:hAnsi="Arial" w:cs="Arial"/>
          <w:sz w:val="22"/>
          <w:szCs w:val="22"/>
        </w:rPr>
        <w:t xml:space="preserve"> strategic decision</w:t>
      </w:r>
      <w:r w:rsidR="0015019F" w:rsidRPr="00180691">
        <w:rPr>
          <w:rFonts w:ascii="Arial" w:hAnsi="Arial" w:cs="Arial"/>
          <w:sz w:val="22"/>
          <w:szCs w:val="22"/>
        </w:rPr>
        <w:t xml:space="preserve"> </w:t>
      </w:r>
      <w:r w:rsidRPr="00180691">
        <w:rPr>
          <w:rFonts w:ascii="Arial" w:hAnsi="Arial" w:cs="Arial"/>
          <w:sz w:val="22"/>
          <w:szCs w:val="22"/>
        </w:rPr>
        <w:t xml:space="preserve">making and policy settings </w:t>
      </w:r>
    </w:p>
    <w:p w:rsidR="00F06FDF" w:rsidRPr="00180691" w:rsidRDefault="00940D97" w:rsidP="00396107">
      <w:pPr>
        <w:pStyle w:val="ListParagraph"/>
        <w:numPr>
          <w:ilvl w:val="0"/>
          <w:numId w:val="35"/>
        </w:numPr>
        <w:rPr>
          <w:rFonts w:ascii="Arial" w:hAnsi="Arial" w:cs="Arial"/>
          <w:sz w:val="22"/>
          <w:szCs w:val="22"/>
        </w:rPr>
      </w:pPr>
      <w:r w:rsidRPr="00180691">
        <w:rPr>
          <w:rFonts w:ascii="Arial" w:hAnsi="Arial" w:cs="Arial"/>
          <w:sz w:val="22"/>
          <w:szCs w:val="22"/>
        </w:rPr>
        <w:t xml:space="preserve">use the information </w:t>
      </w:r>
      <w:r w:rsidR="0000482F" w:rsidRPr="00180691">
        <w:rPr>
          <w:rFonts w:ascii="Arial" w:hAnsi="Arial" w:cs="Arial"/>
          <w:sz w:val="22"/>
          <w:szCs w:val="22"/>
        </w:rPr>
        <w:t>held</w:t>
      </w:r>
      <w:r w:rsidRPr="00180691">
        <w:rPr>
          <w:rFonts w:ascii="Arial" w:hAnsi="Arial" w:cs="Arial"/>
          <w:sz w:val="22"/>
          <w:szCs w:val="22"/>
        </w:rPr>
        <w:t xml:space="preserve"> to enable </w:t>
      </w:r>
      <w:r w:rsidR="0015019F" w:rsidRPr="00180691">
        <w:rPr>
          <w:rFonts w:ascii="Arial" w:hAnsi="Arial" w:cs="Arial"/>
          <w:sz w:val="22"/>
          <w:szCs w:val="22"/>
        </w:rPr>
        <w:t>evidenced based decision making and improvements to the claims system and the delivery of better outcomes for claimants</w:t>
      </w:r>
    </w:p>
    <w:p w:rsidR="0015019F" w:rsidRPr="00180691" w:rsidRDefault="00F06FDF" w:rsidP="00396107">
      <w:pPr>
        <w:pStyle w:val="ListParagraph"/>
        <w:numPr>
          <w:ilvl w:val="0"/>
          <w:numId w:val="35"/>
        </w:numPr>
        <w:rPr>
          <w:rFonts w:ascii="Arial" w:hAnsi="Arial" w:cs="Arial"/>
          <w:sz w:val="22"/>
          <w:szCs w:val="22"/>
        </w:rPr>
      </w:pPr>
      <w:r w:rsidRPr="00180691">
        <w:rPr>
          <w:rFonts w:ascii="Arial" w:hAnsi="Arial" w:cs="Arial"/>
          <w:sz w:val="22"/>
          <w:szCs w:val="22"/>
        </w:rPr>
        <w:t>leading and managing significant projects</w:t>
      </w:r>
    </w:p>
    <w:p w:rsidR="0015019F" w:rsidRPr="00180691" w:rsidRDefault="0015019F" w:rsidP="0015019F">
      <w:pPr>
        <w:rPr>
          <w:rFonts w:ascii="Arial Mäori" w:hAnsi="Arial Mäori"/>
          <w:sz w:val="22"/>
          <w:szCs w:val="22"/>
        </w:rPr>
      </w:pPr>
    </w:p>
    <w:p w:rsidR="0015019F" w:rsidRPr="00180691" w:rsidRDefault="0015019F" w:rsidP="0015019F">
      <w:pPr>
        <w:rPr>
          <w:rFonts w:ascii="Arial Mäori" w:hAnsi="Arial Mäori"/>
          <w:sz w:val="22"/>
          <w:szCs w:val="22"/>
        </w:rPr>
      </w:pPr>
      <w:r w:rsidRPr="00180691">
        <w:rPr>
          <w:rFonts w:ascii="Arial" w:hAnsi="Arial" w:cs="Arial"/>
          <w:sz w:val="22"/>
          <w:szCs w:val="22"/>
        </w:rPr>
        <w:t xml:space="preserve">In their work, the Principal Analyst is expected to form sound working relationships with colleagues and staff throughout the Ministry, as well as </w:t>
      </w:r>
      <w:r w:rsidR="004F7E48" w:rsidRPr="00180691">
        <w:rPr>
          <w:rFonts w:ascii="Arial" w:hAnsi="Arial" w:cs="Arial"/>
          <w:sz w:val="22"/>
          <w:szCs w:val="22"/>
        </w:rPr>
        <w:t>establishing</w:t>
      </w:r>
      <w:r w:rsidRPr="00180691">
        <w:rPr>
          <w:rFonts w:ascii="Arial" w:hAnsi="Arial" w:cs="Arial"/>
          <w:sz w:val="22"/>
          <w:szCs w:val="22"/>
        </w:rPr>
        <w:t xml:space="preserve"> networks and relationships with staff in other social sector agencies relevant to the nature of the work</w:t>
      </w:r>
      <w:r w:rsidR="00226AEC" w:rsidRPr="00180691">
        <w:rPr>
          <w:rFonts w:ascii="Arial" w:hAnsi="Arial" w:cs="Arial"/>
          <w:sz w:val="22"/>
          <w:szCs w:val="22"/>
        </w:rPr>
        <w:t>.</w:t>
      </w:r>
    </w:p>
    <w:p w:rsidR="0015019F" w:rsidRPr="00180691" w:rsidRDefault="0015019F" w:rsidP="0015019F">
      <w:pPr>
        <w:rPr>
          <w:rFonts w:ascii="Arial Mäori" w:hAnsi="Arial Mäori"/>
          <w:sz w:val="22"/>
          <w:szCs w:val="22"/>
        </w:rPr>
      </w:pPr>
    </w:p>
    <w:p w:rsidR="00146628" w:rsidRPr="00180691" w:rsidRDefault="00146628" w:rsidP="00146628">
      <w:pPr>
        <w:rPr>
          <w:rFonts w:ascii="Arial" w:hAnsi="Arial" w:cs="Arial"/>
          <w:b/>
          <w:bCs/>
          <w:sz w:val="24"/>
          <w:szCs w:val="24"/>
        </w:rPr>
      </w:pPr>
      <w:r w:rsidRPr="00180691">
        <w:rPr>
          <w:rFonts w:ascii="Arial" w:hAnsi="Arial" w:cs="Arial"/>
          <w:b/>
          <w:bCs/>
          <w:sz w:val="24"/>
          <w:szCs w:val="24"/>
        </w:rPr>
        <w:t>Working Relationships</w:t>
      </w:r>
    </w:p>
    <w:p w:rsidR="00146628" w:rsidRPr="00180691" w:rsidRDefault="00146628" w:rsidP="00146628">
      <w:pPr>
        <w:rPr>
          <w:rFonts w:ascii="Arial" w:hAnsi="Arial" w:cs="Arial"/>
          <w:sz w:val="16"/>
          <w:szCs w:val="16"/>
        </w:rPr>
      </w:pPr>
    </w:p>
    <w:p w:rsidR="00146628" w:rsidRPr="00180691" w:rsidRDefault="00146628" w:rsidP="00146628">
      <w:pPr>
        <w:rPr>
          <w:rFonts w:ascii="Arial" w:hAnsi="Arial" w:cs="Arial"/>
          <w:b/>
          <w:sz w:val="22"/>
        </w:rPr>
      </w:pPr>
      <w:r w:rsidRPr="00180691">
        <w:rPr>
          <w:rFonts w:ascii="Arial" w:hAnsi="Arial" w:cs="Arial"/>
          <w:b/>
          <w:sz w:val="22"/>
        </w:rPr>
        <w:t>Internal:</w:t>
      </w:r>
    </w:p>
    <w:p w:rsidR="00940D97" w:rsidRPr="00180691" w:rsidRDefault="00940D97" w:rsidP="00940D97">
      <w:pPr>
        <w:pStyle w:val="ListParagraph"/>
        <w:numPr>
          <w:ilvl w:val="0"/>
          <w:numId w:val="26"/>
        </w:numPr>
        <w:rPr>
          <w:rFonts w:ascii="Arial" w:hAnsi="Arial" w:cs="Arial"/>
          <w:sz w:val="22"/>
          <w:szCs w:val="22"/>
        </w:rPr>
      </w:pPr>
      <w:r w:rsidRPr="00180691">
        <w:rPr>
          <w:rFonts w:ascii="Arial" w:hAnsi="Arial" w:cs="Arial"/>
          <w:sz w:val="22"/>
          <w:szCs w:val="22"/>
        </w:rPr>
        <w:t>Historic Claims team managers and staff</w:t>
      </w:r>
    </w:p>
    <w:p w:rsidR="00300A07" w:rsidRPr="00180691" w:rsidRDefault="00300A07" w:rsidP="00300A07">
      <w:pPr>
        <w:pStyle w:val="ListParagraph"/>
        <w:numPr>
          <w:ilvl w:val="0"/>
          <w:numId w:val="26"/>
        </w:numPr>
        <w:rPr>
          <w:rFonts w:ascii="Arial" w:hAnsi="Arial" w:cs="Arial"/>
          <w:sz w:val="22"/>
          <w:szCs w:val="22"/>
        </w:rPr>
      </w:pPr>
      <w:r w:rsidRPr="00180691">
        <w:rPr>
          <w:rFonts w:ascii="Arial" w:hAnsi="Arial" w:cs="Arial"/>
          <w:sz w:val="22"/>
          <w:szCs w:val="22"/>
        </w:rPr>
        <w:t>MSD Legal Services</w:t>
      </w:r>
    </w:p>
    <w:p w:rsidR="00300A07" w:rsidRPr="00180691" w:rsidRDefault="00300A07" w:rsidP="00300A07">
      <w:pPr>
        <w:pStyle w:val="ListParagraph"/>
        <w:numPr>
          <w:ilvl w:val="0"/>
          <w:numId w:val="26"/>
        </w:numPr>
        <w:rPr>
          <w:rFonts w:ascii="Arial" w:hAnsi="Arial" w:cs="Arial"/>
          <w:sz w:val="22"/>
          <w:szCs w:val="22"/>
        </w:rPr>
      </w:pPr>
      <w:r w:rsidRPr="00180691">
        <w:rPr>
          <w:rFonts w:ascii="Arial" w:hAnsi="Arial" w:cs="Arial"/>
          <w:sz w:val="22"/>
          <w:szCs w:val="22"/>
        </w:rPr>
        <w:t>Chief Executive’s Office</w:t>
      </w:r>
    </w:p>
    <w:p w:rsidR="00300A07" w:rsidRPr="00180691" w:rsidRDefault="00300A07" w:rsidP="00300A07">
      <w:pPr>
        <w:pStyle w:val="ListParagraph"/>
        <w:numPr>
          <w:ilvl w:val="0"/>
          <w:numId w:val="26"/>
        </w:numPr>
        <w:rPr>
          <w:rFonts w:ascii="Arial" w:hAnsi="Arial" w:cs="Arial"/>
          <w:sz w:val="22"/>
          <w:szCs w:val="22"/>
        </w:rPr>
      </w:pPr>
      <w:r w:rsidRPr="00180691">
        <w:rPr>
          <w:rFonts w:ascii="Arial" w:hAnsi="Arial" w:cs="Arial"/>
          <w:sz w:val="22"/>
          <w:szCs w:val="22"/>
        </w:rPr>
        <w:t>Offices of Deputy Chief Executives</w:t>
      </w:r>
    </w:p>
    <w:p w:rsidR="00E37B00" w:rsidRPr="00180691" w:rsidRDefault="00E37B00" w:rsidP="0015019F">
      <w:pPr>
        <w:pStyle w:val="ListParagraph"/>
        <w:numPr>
          <w:ilvl w:val="0"/>
          <w:numId w:val="26"/>
        </w:numPr>
        <w:rPr>
          <w:rFonts w:ascii="Arial" w:hAnsi="Arial" w:cs="Arial"/>
          <w:sz w:val="22"/>
          <w:szCs w:val="22"/>
        </w:rPr>
      </w:pPr>
      <w:r w:rsidRPr="00180691">
        <w:rPr>
          <w:rFonts w:ascii="Arial" w:hAnsi="Arial" w:cs="Arial"/>
          <w:sz w:val="22"/>
          <w:szCs w:val="22"/>
        </w:rPr>
        <w:t>Other MSD employees</w:t>
      </w:r>
    </w:p>
    <w:p w:rsidR="00300A07" w:rsidRPr="00180691" w:rsidRDefault="00300A07" w:rsidP="0015019F">
      <w:pPr>
        <w:pStyle w:val="ListParagraph"/>
        <w:ind w:left="0"/>
        <w:rPr>
          <w:rFonts w:ascii="Arial" w:hAnsi="Arial" w:cs="Arial"/>
          <w:sz w:val="22"/>
          <w:szCs w:val="22"/>
        </w:rPr>
      </w:pPr>
    </w:p>
    <w:p w:rsidR="00146628" w:rsidRPr="00180691" w:rsidRDefault="00146628" w:rsidP="00146628">
      <w:pPr>
        <w:rPr>
          <w:rFonts w:ascii="Arial" w:hAnsi="Arial" w:cs="Arial"/>
          <w:b/>
          <w:sz w:val="22"/>
          <w:szCs w:val="22"/>
        </w:rPr>
      </w:pPr>
      <w:r w:rsidRPr="00180691">
        <w:rPr>
          <w:rFonts w:ascii="Arial" w:hAnsi="Arial" w:cs="Arial"/>
          <w:b/>
          <w:sz w:val="22"/>
          <w:szCs w:val="22"/>
        </w:rPr>
        <w:t>External:</w:t>
      </w:r>
    </w:p>
    <w:p w:rsidR="003B7734" w:rsidRPr="00180691" w:rsidRDefault="003B7734" w:rsidP="00E37B00">
      <w:pPr>
        <w:pStyle w:val="ListParagraph"/>
        <w:numPr>
          <w:ilvl w:val="0"/>
          <w:numId w:val="29"/>
        </w:numPr>
        <w:rPr>
          <w:rFonts w:ascii="Arial" w:hAnsi="Arial" w:cs="Arial"/>
          <w:sz w:val="22"/>
          <w:szCs w:val="22"/>
        </w:rPr>
      </w:pPr>
      <w:r w:rsidRPr="00180691">
        <w:rPr>
          <w:rFonts w:ascii="Arial" w:hAnsi="Arial" w:cs="Arial"/>
          <w:sz w:val="22"/>
          <w:szCs w:val="22"/>
        </w:rPr>
        <w:t>Claimants</w:t>
      </w:r>
    </w:p>
    <w:p w:rsidR="00E37B00" w:rsidRPr="00180691" w:rsidRDefault="00E37B00" w:rsidP="00E37B00">
      <w:pPr>
        <w:pStyle w:val="ListParagraph"/>
        <w:numPr>
          <w:ilvl w:val="0"/>
          <w:numId w:val="29"/>
        </w:numPr>
        <w:rPr>
          <w:rFonts w:ascii="Arial" w:hAnsi="Arial" w:cs="Arial"/>
          <w:sz w:val="22"/>
          <w:szCs w:val="22"/>
        </w:rPr>
      </w:pPr>
      <w:r w:rsidRPr="00180691">
        <w:rPr>
          <w:rFonts w:ascii="Arial" w:hAnsi="Arial" w:cs="Arial"/>
          <w:sz w:val="22"/>
          <w:szCs w:val="22"/>
        </w:rPr>
        <w:t>Other government agencies</w:t>
      </w:r>
    </w:p>
    <w:p w:rsidR="00E37B00" w:rsidRPr="00180691" w:rsidRDefault="00E37B00" w:rsidP="00E37B00">
      <w:pPr>
        <w:pStyle w:val="ListParagraph"/>
        <w:numPr>
          <w:ilvl w:val="0"/>
          <w:numId w:val="29"/>
        </w:numPr>
        <w:rPr>
          <w:rFonts w:ascii="Arial" w:hAnsi="Arial" w:cs="Arial"/>
          <w:sz w:val="22"/>
          <w:szCs w:val="22"/>
        </w:rPr>
      </w:pPr>
      <w:r w:rsidRPr="00180691">
        <w:rPr>
          <w:rFonts w:ascii="Arial" w:hAnsi="Arial" w:cs="Arial"/>
          <w:sz w:val="22"/>
          <w:szCs w:val="22"/>
        </w:rPr>
        <w:t xml:space="preserve">Non-government organisations </w:t>
      </w:r>
    </w:p>
    <w:p w:rsidR="00E37B00" w:rsidRPr="00180691" w:rsidRDefault="00E37B00" w:rsidP="00E37B00">
      <w:pPr>
        <w:pStyle w:val="ListParagraph"/>
        <w:numPr>
          <w:ilvl w:val="0"/>
          <w:numId w:val="29"/>
        </w:numPr>
        <w:rPr>
          <w:rFonts w:ascii="Arial" w:hAnsi="Arial" w:cs="Arial"/>
          <w:sz w:val="22"/>
          <w:szCs w:val="22"/>
        </w:rPr>
      </w:pPr>
      <w:r w:rsidRPr="00180691">
        <w:rPr>
          <w:rFonts w:ascii="Arial" w:hAnsi="Arial" w:cs="Arial"/>
          <w:sz w:val="22"/>
          <w:szCs w:val="22"/>
        </w:rPr>
        <w:t xml:space="preserve">Members of the public </w:t>
      </w:r>
    </w:p>
    <w:p w:rsidR="00E37B00" w:rsidRPr="00180691" w:rsidRDefault="00E37B00" w:rsidP="0015019F">
      <w:pPr>
        <w:pStyle w:val="ListParagraph"/>
        <w:numPr>
          <w:ilvl w:val="0"/>
          <w:numId w:val="29"/>
        </w:numPr>
        <w:rPr>
          <w:rFonts w:ascii="Arial" w:hAnsi="Arial" w:cs="Arial"/>
          <w:sz w:val="22"/>
          <w:szCs w:val="22"/>
        </w:rPr>
      </w:pPr>
      <w:r w:rsidRPr="00180691">
        <w:rPr>
          <w:rFonts w:ascii="Arial" w:hAnsi="Arial" w:cs="Arial"/>
          <w:sz w:val="22"/>
          <w:szCs w:val="22"/>
        </w:rPr>
        <w:t>Lawyers and advocates</w:t>
      </w:r>
    </w:p>
    <w:p w:rsidR="00E37B00" w:rsidRDefault="00E37B00" w:rsidP="00E37B00">
      <w:pPr>
        <w:rPr>
          <w:rFonts w:ascii="Arial" w:hAnsi="Arial" w:cs="Arial"/>
          <w:sz w:val="22"/>
          <w:szCs w:val="22"/>
        </w:rPr>
      </w:pPr>
    </w:p>
    <w:p w:rsidR="00E37B00" w:rsidRPr="0015019F" w:rsidRDefault="00E37B00" w:rsidP="0015019F">
      <w:pPr>
        <w:rPr>
          <w:rFonts w:ascii="Arial" w:hAnsi="Arial" w:cs="Arial"/>
          <w:sz w:val="22"/>
          <w:szCs w:val="22"/>
        </w:rPr>
      </w:pPr>
    </w:p>
    <w:p w:rsidR="00146628" w:rsidRDefault="00C01F4C" w:rsidP="008C0327">
      <w:pPr>
        <w:rPr>
          <w:rFonts w:ascii="Arial" w:hAnsi="Arial" w:cs="Arial"/>
          <w:b/>
          <w:sz w:val="24"/>
          <w:szCs w:val="24"/>
        </w:rPr>
      </w:pPr>
      <w:r>
        <w:rPr>
          <w:rFonts w:ascii="Arial" w:hAnsi="Arial" w:cs="Arial"/>
          <w:b/>
          <w:sz w:val="24"/>
          <w:szCs w:val="24"/>
        </w:rPr>
        <w:t xml:space="preserve">Key Accountabilities </w:t>
      </w:r>
    </w:p>
    <w:p w:rsidR="008C0327" w:rsidRDefault="008C0327" w:rsidP="008C0327">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268"/>
        <w:gridCol w:w="6876"/>
      </w:tblGrid>
      <w:tr w:rsidR="003B7734" w:rsidRPr="00663F46" w:rsidTr="00F05E16">
        <w:trPr>
          <w:trHeight w:val="138"/>
        </w:trPr>
        <w:tc>
          <w:tcPr>
            <w:tcW w:w="2268" w:type="dxa"/>
            <w:shd w:val="clear" w:color="auto" w:fill="auto"/>
          </w:tcPr>
          <w:p w:rsidR="003B7734" w:rsidRPr="00CF6D54" w:rsidRDefault="003B7734" w:rsidP="00F05E16">
            <w:pPr>
              <w:spacing w:before="120" w:after="120"/>
              <w:rPr>
                <w:rFonts w:ascii="Arial" w:hAnsi="Arial"/>
                <w:b/>
                <w:bCs/>
                <w:sz w:val="22"/>
              </w:rPr>
            </w:pPr>
            <w:r w:rsidRPr="00CF6D54">
              <w:rPr>
                <w:rFonts w:ascii="Arial" w:hAnsi="Arial"/>
                <w:b/>
                <w:bCs/>
                <w:sz w:val="22"/>
              </w:rPr>
              <w:t>Key Result Area</w:t>
            </w:r>
          </w:p>
        </w:tc>
        <w:tc>
          <w:tcPr>
            <w:tcW w:w="6876" w:type="dxa"/>
            <w:shd w:val="clear" w:color="auto" w:fill="auto"/>
          </w:tcPr>
          <w:p w:rsidR="003B7734" w:rsidRPr="00CF6D54" w:rsidRDefault="003B7734" w:rsidP="00F05E16">
            <w:pPr>
              <w:tabs>
                <w:tab w:val="num" w:pos="360"/>
              </w:tabs>
              <w:spacing w:before="120" w:after="120"/>
              <w:ind w:left="357" w:hanging="357"/>
              <w:jc w:val="center"/>
              <w:rPr>
                <w:rFonts w:ascii="Arial" w:hAnsi="Arial"/>
                <w:b/>
                <w:sz w:val="22"/>
              </w:rPr>
            </w:pPr>
            <w:r w:rsidRPr="00CF6D54">
              <w:rPr>
                <w:rFonts w:ascii="Arial" w:hAnsi="Arial"/>
                <w:b/>
                <w:sz w:val="22"/>
              </w:rPr>
              <w:t>Accountabilities</w:t>
            </w:r>
          </w:p>
        </w:tc>
      </w:tr>
      <w:tr w:rsidR="008C0327" w:rsidRPr="00663F46" w:rsidTr="00F05E16">
        <w:trPr>
          <w:trHeight w:val="138"/>
        </w:trPr>
        <w:tc>
          <w:tcPr>
            <w:tcW w:w="2268" w:type="dxa"/>
            <w:shd w:val="clear" w:color="auto" w:fill="auto"/>
          </w:tcPr>
          <w:p w:rsidR="008C0327" w:rsidRPr="00180691" w:rsidRDefault="008C0327" w:rsidP="00F05E16">
            <w:pPr>
              <w:spacing w:before="120" w:after="120"/>
              <w:rPr>
                <w:rFonts w:ascii="Arial" w:hAnsi="Arial" w:cs="Arial"/>
                <w:b/>
                <w:bCs/>
                <w:sz w:val="22"/>
                <w:szCs w:val="22"/>
              </w:rPr>
            </w:pPr>
            <w:r w:rsidRPr="00180691">
              <w:rPr>
                <w:rFonts w:ascii="Arial" w:hAnsi="Arial" w:cs="Arial"/>
                <w:b/>
                <w:bCs/>
                <w:sz w:val="22"/>
                <w:szCs w:val="22"/>
              </w:rPr>
              <w:t xml:space="preserve">Analysis, </w:t>
            </w:r>
            <w:r w:rsidR="00226AEC" w:rsidRPr="00180691">
              <w:rPr>
                <w:rFonts w:ascii="Arial" w:hAnsi="Arial" w:cs="Arial"/>
                <w:b/>
                <w:bCs/>
                <w:sz w:val="22"/>
                <w:szCs w:val="22"/>
              </w:rPr>
              <w:t>A</w:t>
            </w:r>
            <w:r w:rsidRPr="00180691">
              <w:rPr>
                <w:rFonts w:ascii="Arial" w:hAnsi="Arial" w:cs="Arial"/>
                <w:b/>
                <w:bCs/>
                <w:sz w:val="22"/>
                <w:szCs w:val="22"/>
              </w:rPr>
              <w:t xml:space="preserve">dvice and </w:t>
            </w:r>
            <w:r w:rsidR="00226AEC" w:rsidRPr="00180691">
              <w:rPr>
                <w:rFonts w:ascii="Arial" w:hAnsi="Arial" w:cs="Arial"/>
                <w:b/>
                <w:bCs/>
                <w:sz w:val="22"/>
                <w:szCs w:val="22"/>
              </w:rPr>
              <w:t>S</w:t>
            </w:r>
            <w:r w:rsidRPr="00180691">
              <w:rPr>
                <w:rFonts w:ascii="Arial" w:hAnsi="Arial" w:cs="Arial"/>
                <w:b/>
                <w:bCs/>
                <w:sz w:val="22"/>
                <w:szCs w:val="22"/>
              </w:rPr>
              <w:t>upport</w:t>
            </w:r>
          </w:p>
        </w:tc>
        <w:tc>
          <w:tcPr>
            <w:tcW w:w="6876" w:type="dxa"/>
            <w:shd w:val="clear" w:color="auto" w:fill="auto"/>
          </w:tcPr>
          <w:p w:rsidR="00DF5375" w:rsidRPr="00DF5375" w:rsidRDefault="00743B10" w:rsidP="00F05E16">
            <w:pPr>
              <w:numPr>
                <w:ilvl w:val="0"/>
                <w:numId w:val="7"/>
              </w:numPr>
              <w:spacing w:before="120" w:after="120"/>
              <w:ind w:left="357" w:hanging="357"/>
              <w:rPr>
                <w:rFonts w:ascii="Arial" w:hAnsi="Arial" w:cs="Arial"/>
                <w:sz w:val="22"/>
                <w:szCs w:val="22"/>
              </w:rPr>
            </w:pPr>
            <w:r>
              <w:rPr>
                <w:rFonts w:ascii="Arial" w:hAnsi="Arial" w:cs="Arial"/>
                <w:sz w:val="22"/>
                <w:szCs w:val="22"/>
              </w:rPr>
              <w:t>Provide e</w:t>
            </w:r>
            <w:r w:rsidR="008C0327" w:rsidRPr="00BF2DCF">
              <w:rPr>
                <w:rFonts w:ascii="Arial" w:hAnsi="Arial" w:cs="Arial"/>
                <w:sz w:val="22"/>
                <w:szCs w:val="22"/>
              </w:rPr>
              <w:t>xpert</w:t>
            </w:r>
            <w:r w:rsidR="00670069">
              <w:rPr>
                <w:rFonts w:ascii="Arial" w:hAnsi="Arial" w:cs="Arial"/>
                <w:sz w:val="22"/>
                <w:szCs w:val="22"/>
              </w:rPr>
              <w:t xml:space="preserve"> analysis and advice </w:t>
            </w:r>
            <w:r w:rsidR="008C0327" w:rsidRPr="00BF2DCF">
              <w:rPr>
                <w:rFonts w:ascii="Arial" w:hAnsi="Arial" w:cs="Arial"/>
                <w:sz w:val="22"/>
                <w:szCs w:val="22"/>
              </w:rPr>
              <w:t>in qualitative and/or quantitative methodologies</w:t>
            </w:r>
            <w:r w:rsidR="00DF5375">
              <w:rPr>
                <w:rFonts w:ascii="Arial" w:hAnsi="Arial" w:cs="Arial"/>
                <w:sz w:val="22"/>
                <w:szCs w:val="22"/>
              </w:rPr>
              <w:t xml:space="preserve"> to support </w:t>
            </w:r>
            <w:r w:rsidR="00C607FA">
              <w:rPr>
                <w:rFonts w:ascii="Arial" w:hAnsi="Arial" w:cs="Arial"/>
                <w:sz w:val="22"/>
                <w:szCs w:val="22"/>
              </w:rPr>
              <w:t xml:space="preserve">decision making </w:t>
            </w:r>
            <w:r w:rsidR="00F05E16">
              <w:rPr>
                <w:rFonts w:ascii="Arial" w:hAnsi="Arial" w:cs="Arial"/>
                <w:sz w:val="22"/>
                <w:szCs w:val="22"/>
              </w:rPr>
              <w:t xml:space="preserve">and </w:t>
            </w:r>
            <w:r w:rsidR="00F05E16" w:rsidRPr="00BF2DCF">
              <w:rPr>
                <w:rFonts w:ascii="Arial" w:hAnsi="Arial" w:cs="Arial"/>
                <w:sz w:val="22"/>
                <w:szCs w:val="22"/>
              </w:rPr>
              <w:t>the development of methodologies, techniques and procedures used within Historic Claims</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Develop and present</w:t>
            </w:r>
            <w:r w:rsidR="00C607FA">
              <w:rPr>
                <w:rFonts w:ascii="Arial" w:hAnsi="Arial" w:cs="Arial"/>
                <w:sz w:val="22"/>
                <w:szCs w:val="22"/>
              </w:rPr>
              <w:t xml:space="preserve"> high</w:t>
            </w:r>
            <w:r w:rsidRPr="00BF2DCF">
              <w:rPr>
                <w:rFonts w:ascii="Arial" w:hAnsi="Arial" w:cs="Arial"/>
                <w:sz w:val="22"/>
                <w:szCs w:val="22"/>
              </w:rPr>
              <w:t xml:space="preserve"> </w:t>
            </w:r>
            <w:r w:rsidR="00C607FA">
              <w:rPr>
                <w:rFonts w:ascii="Arial" w:hAnsi="Arial" w:cs="Arial"/>
                <w:sz w:val="22"/>
                <w:szCs w:val="22"/>
              </w:rPr>
              <w:t xml:space="preserve">quality </w:t>
            </w:r>
            <w:r w:rsidRPr="00BF2DCF">
              <w:rPr>
                <w:rFonts w:ascii="Arial" w:hAnsi="Arial" w:cs="Arial"/>
                <w:sz w:val="22"/>
                <w:szCs w:val="22"/>
              </w:rPr>
              <w:t>advice to senior management</w:t>
            </w:r>
            <w:r w:rsidR="00C607FA">
              <w:rPr>
                <w:rFonts w:ascii="Arial" w:hAnsi="Arial" w:cs="Arial"/>
                <w:sz w:val="22"/>
                <w:szCs w:val="22"/>
              </w:rPr>
              <w:t>, Government</w:t>
            </w:r>
            <w:r w:rsidRPr="00BF2DCF">
              <w:rPr>
                <w:rFonts w:ascii="Arial" w:hAnsi="Arial" w:cs="Arial"/>
                <w:sz w:val="22"/>
                <w:szCs w:val="22"/>
              </w:rPr>
              <w:t xml:space="preserve"> and Ministers</w:t>
            </w:r>
            <w:r w:rsidR="00C607FA">
              <w:rPr>
                <w:rFonts w:ascii="Arial" w:hAnsi="Arial" w:cs="Arial"/>
                <w:sz w:val="22"/>
                <w:szCs w:val="22"/>
              </w:rPr>
              <w:t xml:space="preserve"> based on robust </w:t>
            </w:r>
            <w:r w:rsidR="00F05E16">
              <w:rPr>
                <w:rFonts w:ascii="Arial" w:hAnsi="Arial" w:cs="Arial"/>
                <w:sz w:val="22"/>
                <w:szCs w:val="22"/>
              </w:rPr>
              <w:t>evidence</w:t>
            </w:r>
            <w:r w:rsidR="00C607FA">
              <w:rPr>
                <w:rFonts w:ascii="Arial" w:hAnsi="Arial" w:cs="Arial"/>
                <w:sz w:val="22"/>
                <w:szCs w:val="22"/>
              </w:rPr>
              <w:t>,</w:t>
            </w:r>
            <w:r w:rsidR="00C607FA" w:rsidRPr="00BF2DCF">
              <w:rPr>
                <w:rFonts w:ascii="Arial" w:hAnsi="Arial" w:cs="Arial"/>
                <w:sz w:val="22"/>
                <w:szCs w:val="22"/>
              </w:rPr>
              <w:t xml:space="preserve"> including trends, risks, and developments</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Provide high quality</w:t>
            </w:r>
            <w:r w:rsidR="00BE6482">
              <w:rPr>
                <w:rFonts w:ascii="Arial" w:hAnsi="Arial" w:cs="Arial"/>
                <w:sz w:val="22"/>
                <w:szCs w:val="22"/>
              </w:rPr>
              <w:t xml:space="preserve"> expert</w:t>
            </w:r>
            <w:r w:rsidRPr="00BF2DCF">
              <w:rPr>
                <w:rFonts w:ascii="Arial" w:hAnsi="Arial" w:cs="Arial"/>
                <w:sz w:val="22"/>
                <w:szCs w:val="22"/>
              </w:rPr>
              <w:t xml:space="preserve"> advice on complex issues </w:t>
            </w:r>
          </w:p>
          <w:p w:rsidR="008C0327" w:rsidRPr="00BF2DCF" w:rsidRDefault="004F7E48" w:rsidP="00F05E16">
            <w:pPr>
              <w:numPr>
                <w:ilvl w:val="0"/>
                <w:numId w:val="7"/>
              </w:numPr>
              <w:spacing w:before="120" w:after="120"/>
              <w:ind w:left="357" w:hanging="357"/>
              <w:rPr>
                <w:rFonts w:ascii="Arial" w:hAnsi="Arial" w:cs="Arial"/>
                <w:sz w:val="22"/>
                <w:szCs w:val="22"/>
              </w:rPr>
            </w:pPr>
            <w:r>
              <w:rPr>
                <w:rFonts w:ascii="Arial" w:hAnsi="Arial" w:cs="Arial"/>
                <w:sz w:val="22"/>
                <w:szCs w:val="22"/>
              </w:rPr>
              <w:t>Review and provide feedback to a</w:t>
            </w:r>
            <w:r w:rsidR="008C0327" w:rsidRPr="00BF2DCF">
              <w:rPr>
                <w:rFonts w:ascii="Arial" w:hAnsi="Arial" w:cs="Arial"/>
                <w:sz w:val="22"/>
                <w:szCs w:val="22"/>
              </w:rPr>
              <w:t>dd value to the written communication of others</w:t>
            </w:r>
          </w:p>
          <w:p w:rsidR="008C0327" w:rsidRPr="00BF2DCF" w:rsidRDefault="00F06FDF" w:rsidP="00F05E16">
            <w:pPr>
              <w:numPr>
                <w:ilvl w:val="0"/>
                <w:numId w:val="7"/>
              </w:numPr>
              <w:spacing w:before="120" w:after="120"/>
              <w:ind w:left="357" w:hanging="357"/>
              <w:rPr>
                <w:rFonts w:ascii="Arial" w:hAnsi="Arial" w:cs="Arial"/>
                <w:sz w:val="22"/>
                <w:szCs w:val="22"/>
              </w:rPr>
            </w:pPr>
            <w:r>
              <w:rPr>
                <w:rFonts w:ascii="Arial" w:hAnsi="Arial" w:cs="Arial"/>
                <w:sz w:val="22"/>
                <w:szCs w:val="22"/>
              </w:rPr>
              <w:t>Communicate</w:t>
            </w:r>
            <w:r w:rsidR="008C0327" w:rsidRPr="00BF2DCF">
              <w:rPr>
                <w:rFonts w:ascii="Arial" w:hAnsi="Arial" w:cs="Arial"/>
                <w:sz w:val="22"/>
                <w:szCs w:val="22"/>
              </w:rPr>
              <w:t xml:space="preserve"> </w:t>
            </w:r>
            <w:r>
              <w:rPr>
                <w:rFonts w:ascii="Arial" w:hAnsi="Arial" w:cs="Arial"/>
                <w:sz w:val="22"/>
                <w:szCs w:val="22"/>
              </w:rPr>
              <w:t xml:space="preserve">analysis and research </w:t>
            </w:r>
            <w:r w:rsidR="008C0327" w:rsidRPr="00BF2DCF">
              <w:rPr>
                <w:rFonts w:ascii="Arial" w:hAnsi="Arial" w:cs="Arial"/>
                <w:sz w:val="22"/>
                <w:szCs w:val="22"/>
              </w:rPr>
              <w:t xml:space="preserve">findings to </w:t>
            </w:r>
            <w:r>
              <w:rPr>
                <w:rFonts w:ascii="Arial" w:hAnsi="Arial" w:cs="Arial"/>
                <w:sz w:val="22"/>
                <w:szCs w:val="22"/>
              </w:rPr>
              <w:t>varying audiences, both technical and non-technical</w:t>
            </w:r>
          </w:p>
          <w:p w:rsidR="008C0327" w:rsidRPr="00BF2DCF" w:rsidRDefault="00F06FDF" w:rsidP="00F05E16">
            <w:pPr>
              <w:numPr>
                <w:ilvl w:val="0"/>
                <w:numId w:val="7"/>
              </w:numPr>
              <w:spacing w:before="120" w:after="120"/>
              <w:ind w:left="357" w:hanging="357"/>
              <w:rPr>
                <w:rFonts w:ascii="Arial" w:hAnsi="Arial" w:cs="Arial"/>
                <w:sz w:val="22"/>
                <w:szCs w:val="22"/>
              </w:rPr>
            </w:pPr>
            <w:r>
              <w:rPr>
                <w:rFonts w:ascii="Arial" w:hAnsi="Arial" w:cs="Arial"/>
                <w:sz w:val="22"/>
                <w:szCs w:val="22"/>
              </w:rPr>
              <w:t xml:space="preserve">Develop and maintain </w:t>
            </w:r>
            <w:r w:rsidR="008C0327" w:rsidRPr="00BF2DCF">
              <w:rPr>
                <w:rFonts w:ascii="Arial" w:hAnsi="Arial" w:cs="Arial"/>
                <w:sz w:val="22"/>
                <w:szCs w:val="22"/>
              </w:rPr>
              <w:t>a breadth of view of organisational issues and an understanding of the key imperatives of other agencies</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Take a lead role in internal or external meetings as appropriate</w:t>
            </w:r>
          </w:p>
          <w:p w:rsidR="008C0327" w:rsidRDefault="00F06FDF" w:rsidP="00F05E16">
            <w:pPr>
              <w:numPr>
                <w:ilvl w:val="0"/>
                <w:numId w:val="7"/>
              </w:numPr>
              <w:spacing w:before="120" w:after="120"/>
              <w:ind w:left="357" w:hanging="357"/>
              <w:rPr>
                <w:rFonts w:ascii="Arial" w:hAnsi="Arial" w:cs="Arial"/>
                <w:sz w:val="22"/>
                <w:szCs w:val="22"/>
              </w:rPr>
            </w:pPr>
            <w:r>
              <w:rPr>
                <w:rFonts w:ascii="Arial" w:hAnsi="Arial" w:cs="Arial"/>
                <w:sz w:val="22"/>
                <w:szCs w:val="22"/>
              </w:rPr>
              <w:t>Articulate</w:t>
            </w:r>
            <w:r w:rsidR="008C0327" w:rsidRPr="00BF2DCF">
              <w:rPr>
                <w:rFonts w:ascii="Arial" w:hAnsi="Arial" w:cs="Arial"/>
                <w:sz w:val="22"/>
                <w:szCs w:val="22"/>
              </w:rPr>
              <w:t xml:space="preserve"> the Ministry’s position and strategy on issues</w:t>
            </w:r>
            <w:r>
              <w:rPr>
                <w:rFonts w:ascii="Arial" w:hAnsi="Arial" w:cs="Arial"/>
                <w:sz w:val="22"/>
                <w:szCs w:val="22"/>
              </w:rPr>
              <w:t xml:space="preserve"> in various fora</w:t>
            </w:r>
            <w:r w:rsidR="008C0327" w:rsidRPr="00BF2DCF">
              <w:rPr>
                <w:rFonts w:ascii="Arial" w:hAnsi="Arial" w:cs="Arial"/>
                <w:sz w:val="22"/>
                <w:szCs w:val="22"/>
              </w:rPr>
              <w:t xml:space="preserve"> (and</w:t>
            </w:r>
            <w:r>
              <w:rPr>
                <w:rFonts w:ascii="Arial" w:hAnsi="Arial" w:cs="Arial"/>
                <w:sz w:val="22"/>
                <w:szCs w:val="22"/>
              </w:rPr>
              <w:t xml:space="preserve"> their </w:t>
            </w:r>
            <w:r w:rsidR="008C0327" w:rsidRPr="00BF2DCF">
              <w:rPr>
                <w:rFonts w:ascii="Arial" w:hAnsi="Arial" w:cs="Arial"/>
                <w:sz w:val="22"/>
                <w:szCs w:val="22"/>
              </w:rPr>
              <w:t>related rationale) with accuracy and persuasion</w:t>
            </w:r>
          </w:p>
          <w:p w:rsidR="00BE6482" w:rsidRDefault="00BE6482" w:rsidP="00F05E16">
            <w:pPr>
              <w:numPr>
                <w:ilvl w:val="0"/>
                <w:numId w:val="7"/>
              </w:numPr>
              <w:spacing w:before="120" w:after="120"/>
              <w:ind w:left="357" w:hanging="357"/>
              <w:rPr>
                <w:rFonts w:ascii="Arial" w:hAnsi="Arial" w:cs="Arial"/>
                <w:sz w:val="22"/>
                <w:szCs w:val="22"/>
              </w:rPr>
            </w:pPr>
            <w:r>
              <w:rPr>
                <w:rFonts w:ascii="Arial" w:hAnsi="Arial" w:cs="Arial"/>
                <w:sz w:val="22"/>
                <w:szCs w:val="22"/>
              </w:rPr>
              <w:t xml:space="preserve">Provide </w:t>
            </w:r>
            <w:r w:rsidRPr="00BF2DCF">
              <w:rPr>
                <w:rFonts w:ascii="Arial" w:hAnsi="Arial" w:cs="Arial"/>
                <w:sz w:val="22"/>
                <w:szCs w:val="22"/>
              </w:rPr>
              <w:t>mentoring</w:t>
            </w:r>
            <w:r>
              <w:rPr>
                <w:rFonts w:ascii="Arial" w:hAnsi="Arial" w:cs="Arial"/>
                <w:sz w:val="22"/>
                <w:szCs w:val="22"/>
              </w:rPr>
              <w:t>, support and guidance to the</w:t>
            </w:r>
            <w:r w:rsidRPr="00BF2DCF">
              <w:rPr>
                <w:rFonts w:ascii="Arial" w:hAnsi="Arial" w:cs="Arial"/>
                <w:sz w:val="22"/>
                <w:szCs w:val="22"/>
              </w:rPr>
              <w:t xml:space="preserve"> wider team</w:t>
            </w:r>
          </w:p>
          <w:p w:rsidR="00BE6482" w:rsidRPr="00F3173B" w:rsidRDefault="00BE6482" w:rsidP="00180691">
            <w:pPr>
              <w:numPr>
                <w:ilvl w:val="0"/>
                <w:numId w:val="7"/>
              </w:numPr>
              <w:spacing w:before="120" w:after="120"/>
              <w:ind w:left="357" w:hanging="357"/>
              <w:rPr>
                <w:rFonts w:ascii="Arial" w:hAnsi="Arial" w:cs="Arial"/>
                <w:sz w:val="22"/>
                <w:szCs w:val="22"/>
              </w:rPr>
            </w:pPr>
            <w:r>
              <w:rPr>
                <w:rFonts w:ascii="Arial" w:hAnsi="Arial" w:cs="Arial"/>
                <w:sz w:val="22"/>
                <w:szCs w:val="22"/>
              </w:rPr>
              <w:t>Provide</w:t>
            </w:r>
            <w:r w:rsidRPr="00BF2DCF">
              <w:rPr>
                <w:rFonts w:ascii="Arial" w:hAnsi="Arial" w:cs="Arial"/>
                <w:sz w:val="22"/>
                <w:szCs w:val="22"/>
              </w:rPr>
              <w:t xml:space="preserve"> specialist advice and analytical input to the work of other team members, including quality assurance through peer review</w:t>
            </w:r>
            <w:r w:rsidR="00363DFB">
              <w:rPr>
                <w:rFonts w:ascii="Arial" w:hAnsi="Arial" w:cs="Arial"/>
                <w:sz w:val="22"/>
                <w:szCs w:val="22"/>
              </w:rPr>
              <w:t>.</w:t>
            </w:r>
          </w:p>
        </w:tc>
      </w:tr>
      <w:tr w:rsidR="008C0327" w:rsidRPr="00663F46" w:rsidTr="00F05E16">
        <w:trPr>
          <w:trHeight w:val="138"/>
        </w:trPr>
        <w:tc>
          <w:tcPr>
            <w:tcW w:w="2268" w:type="dxa"/>
            <w:shd w:val="clear" w:color="auto" w:fill="auto"/>
          </w:tcPr>
          <w:p w:rsidR="008C0327" w:rsidRPr="00180691" w:rsidRDefault="00F06FDF" w:rsidP="00F05E16">
            <w:pPr>
              <w:spacing w:before="120" w:after="120"/>
              <w:rPr>
                <w:rFonts w:ascii="Arial" w:hAnsi="Arial" w:cs="Arial"/>
                <w:b/>
                <w:bCs/>
                <w:sz w:val="22"/>
                <w:szCs w:val="22"/>
              </w:rPr>
            </w:pPr>
            <w:r w:rsidRPr="00180691">
              <w:rPr>
                <w:rFonts w:ascii="Arial" w:hAnsi="Arial" w:cs="Arial"/>
                <w:b/>
                <w:bCs/>
                <w:sz w:val="22"/>
                <w:szCs w:val="22"/>
              </w:rPr>
              <w:t xml:space="preserve">Policy, </w:t>
            </w:r>
            <w:r w:rsidR="008C0327" w:rsidRPr="00180691">
              <w:rPr>
                <w:rFonts w:ascii="Arial" w:hAnsi="Arial" w:cs="Arial"/>
                <w:b/>
                <w:bCs/>
                <w:sz w:val="22"/>
                <w:szCs w:val="22"/>
              </w:rPr>
              <w:t xml:space="preserve">Systems and </w:t>
            </w:r>
            <w:r w:rsidR="00226AEC" w:rsidRPr="00180691">
              <w:rPr>
                <w:rFonts w:ascii="Arial" w:hAnsi="Arial" w:cs="Arial"/>
                <w:b/>
                <w:bCs/>
                <w:sz w:val="22"/>
                <w:szCs w:val="22"/>
              </w:rPr>
              <w:t>I</w:t>
            </w:r>
            <w:r w:rsidR="008C0327" w:rsidRPr="00180691">
              <w:rPr>
                <w:rFonts w:ascii="Arial" w:hAnsi="Arial" w:cs="Arial"/>
                <w:b/>
                <w:bCs/>
                <w:sz w:val="22"/>
                <w:szCs w:val="22"/>
              </w:rPr>
              <w:t xml:space="preserve">nformation </w:t>
            </w:r>
            <w:r w:rsidR="00226AEC" w:rsidRPr="00180691">
              <w:rPr>
                <w:rFonts w:ascii="Arial" w:hAnsi="Arial" w:cs="Arial"/>
                <w:b/>
                <w:bCs/>
                <w:sz w:val="22"/>
                <w:szCs w:val="22"/>
              </w:rPr>
              <w:t>D</w:t>
            </w:r>
            <w:r w:rsidR="008C0327" w:rsidRPr="00180691">
              <w:rPr>
                <w:rFonts w:ascii="Arial" w:hAnsi="Arial" w:cs="Arial"/>
                <w:b/>
                <w:bCs/>
                <w:sz w:val="22"/>
                <w:szCs w:val="22"/>
              </w:rPr>
              <w:t>evelopment</w:t>
            </w:r>
          </w:p>
        </w:tc>
        <w:tc>
          <w:tcPr>
            <w:tcW w:w="6876" w:type="dxa"/>
            <w:shd w:val="clear" w:color="auto" w:fill="auto"/>
          </w:tcPr>
          <w:p w:rsidR="008C0327"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Develop professional expertise in areas of priority to the Ministry</w:t>
            </w:r>
          </w:p>
          <w:p w:rsidR="00A07CB2" w:rsidRPr="00BF2DCF" w:rsidRDefault="00A07CB2" w:rsidP="00F05E16">
            <w:pPr>
              <w:numPr>
                <w:ilvl w:val="0"/>
                <w:numId w:val="7"/>
              </w:numPr>
              <w:spacing w:before="120" w:after="120"/>
              <w:ind w:left="357" w:hanging="357"/>
              <w:rPr>
                <w:rFonts w:ascii="Arial" w:hAnsi="Arial" w:cs="Arial"/>
                <w:sz w:val="22"/>
                <w:szCs w:val="22"/>
              </w:rPr>
            </w:pPr>
            <w:r>
              <w:rPr>
                <w:rFonts w:ascii="Arial" w:hAnsi="Arial" w:cs="Arial"/>
                <w:sz w:val="22"/>
                <w:szCs w:val="22"/>
              </w:rPr>
              <w:t>Undertake routine environmental scanning and develop networks to maintain knowledge and understanding of trends, policy and emerging issues that can inform policy and decision making</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Contribute advice to the development of cross-sector and “whole of Government” policies in conjunction with other government agencies as required</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Maintain a high standard of personal integrity in all matters and ensure Ministry processes and protocols are followed</w:t>
            </w:r>
            <w:r w:rsidR="00363DFB">
              <w:rPr>
                <w:rFonts w:ascii="Arial" w:hAnsi="Arial" w:cs="Arial"/>
                <w:sz w:val="22"/>
                <w:szCs w:val="22"/>
              </w:rPr>
              <w:t>.</w:t>
            </w:r>
          </w:p>
        </w:tc>
      </w:tr>
    </w:tbl>
    <w:p w:rsidR="00363DFB" w:rsidRDefault="00363DFB">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268"/>
        <w:gridCol w:w="6876"/>
      </w:tblGrid>
      <w:tr w:rsidR="008C0327" w:rsidRPr="00663F46" w:rsidTr="00F05E16">
        <w:trPr>
          <w:trHeight w:val="551"/>
        </w:trPr>
        <w:tc>
          <w:tcPr>
            <w:tcW w:w="2268" w:type="dxa"/>
            <w:shd w:val="clear" w:color="auto" w:fill="auto"/>
          </w:tcPr>
          <w:p w:rsidR="008C0327" w:rsidRPr="00940D97" w:rsidRDefault="008C0327" w:rsidP="00A07CB2">
            <w:pPr>
              <w:spacing w:before="120" w:after="120"/>
              <w:rPr>
                <w:rFonts w:ascii="Arial" w:hAnsi="Arial" w:cs="Arial"/>
                <w:b/>
                <w:bCs/>
                <w:sz w:val="22"/>
                <w:szCs w:val="22"/>
              </w:rPr>
            </w:pPr>
            <w:r w:rsidRPr="00940D97">
              <w:rPr>
                <w:rFonts w:ascii="Arial" w:hAnsi="Arial" w:cs="Arial"/>
                <w:b/>
                <w:bCs/>
                <w:sz w:val="22"/>
                <w:szCs w:val="22"/>
              </w:rPr>
              <w:lastRenderedPageBreak/>
              <w:t xml:space="preserve">Support </w:t>
            </w:r>
            <w:r w:rsidR="00226AEC">
              <w:rPr>
                <w:rFonts w:ascii="Arial" w:hAnsi="Arial" w:cs="Arial"/>
                <w:b/>
                <w:bCs/>
                <w:sz w:val="22"/>
                <w:szCs w:val="22"/>
              </w:rPr>
              <w:t>O</w:t>
            </w:r>
            <w:r w:rsidRPr="00940D97">
              <w:rPr>
                <w:rFonts w:ascii="Arial" w:hAnsi="Arial" w:cs="Arial"/>
                <w:b/>
                <w:bCs/>
                <w:sz w:val="22"/>
                <w:szCs w:val="22"/>
              </w:rPr>
              <w:t xml:space="preserve">perational and </w:t>
            </w:r>
            <w:r w:rsidR="00226AEC">
              <w:rPr>
                <w:rFonts w:ascii="Arial" w:hAnsi="Arial" w:cs="Arial"/>
                <w:b/>
                <w:bCs/>
                <w:sz w:val="22"/>
                <w:szCs w:val="22"/>
              </w:rPr>
              <w:t>P</w:t>
            </w:r>
            <w:r w:rsidRPr="00940D97">
              <w:rPr>
                <w:rFonts w:ascii="Arial" w:hAnsi="Arial" w:cs="Arial"/>
                <w:b/>
                <w:bCs/>
                <w:sz w:val="22"/>
                <w:szCs w:val="22"/>
              </w:rPr>
              <w:t xml:space="preserve">olicy </w:t>
            </w:r>
            <w:r w:rsidR="00226AEC">
              <w:rPr>
                <w:rFonts w:ascii="Arial" w:hAnsi="Arial" w:cs="Arial"/>
                <w:b/>
                <w:bCs/>
                <w:sz w:val="22"/>
                <w:szCs w:val="22"/>
              </w:rPr>
              <w:t>D</w:t>
            </w:r>
            <w:r w:rsidRPr="00940D97">
              <w:rPr>
                <w:rFonts w:ascii="Arial" w:hAnsi="Arial" w:cs="Arial"/>
                <w:b/>
                <w:bCs/>
                <w:sz w:val="22"/>
                <w:szCs w:val="22"/>
              </w:rPr>
              <w:t>evelopment</w:t>
            </w:r>
          </w:p>
        </w:tc>
        <w:tc>
          <w:tcPr>
            <w:tcW w:w="6876" w:type="dxa"/>
            <w:shd w:val="clear" w:color="auto" w:fill="auto"/>
          </w:tcPr>
          <w:p w:rsidR="008C0327" w:rsidRPr="00BF2DCF" w:rsidRDefault="00226AEC" w:rsidP="00F05E16">
            <w:pPr>
              <w:numPr>
                <w:ilvl w:val="0"/>
                <w:numId w:val="7"/>
              </w:numPr>
              <w:spacing w:before="120" w:after="120"/>
              <w:ind w:left="357" w:hanging="357"/>
              <w:rPr>
                <w:rFonts w:ascii="Arial" w:hAnsi="Arial" w:cs="Arial"/>
                <w:sz w:val="22"/>
                <w:szCs w:val="22"/>
              </w:rPr>
            </w:pPr>
            <w:r>
              <w:rPr>
                <w:rFonts w:ascii="Arial" w:hAnsi="Arial" w:cs="Arial"/>
                <w:sz w:val="22"/>
                <w:szCs w:val="22"/>
              </w:rPr>
              <w:t>Review and analyse</w:t>
            </w:r>
            <w:r w:rsidR="008C0327" w:rsidRPr="00BF2DCF">
              <w:rPr>
                <w:rFonts w:ascii="Arial" w:hAnsi="Arial" w:cs="Arial"/>
                <w:sz w:val="22"/>
                <w:szCs w:val="22"/>
              </w:rPr>
              <w:t xml:space="preserve"> existing policies, processes, products and services and make evidence-based recommendations in line with operational standards, policies, organisational requirements</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Carry out analysis that inform the Historic Claims policies and practices and contribute towards the Ministry’s strategic business plans/outcomes</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Consult with internal and external stakeholders to gain support and input for proposed initiatives, identifying and overcoming barriers as appropriate</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Contribute to or lead projects as agreed with the manager</w:t>
            </w:r>
            <w:r w:rsidR="00363DFB">
              <w:rPr>
                <w:rFonts w:ascii="Arial" w:hAnsi="Arial" w:cs="Arial"/>
                <w:sz w:val="22"/>
                <w:szCs w:val="22"/>
              </w:rPr>
              <w:t>.</w:t>
            </w:r>
          </w:p>
        </w:tc>
      </w:tr>
      <w:tr w:rsidR="008C0327" w:rsidRPr="00C047CA" w:rsidTr="00F05E16">
        <w:trPr>
          <w:trHeight w:val="586"/>
        </w:trPr>
        <w:tc>
          <w:tcPr>
            <w:tcW w:w="2268" w:type="dxa"/>
            <w:tcBorders>
              <w:top w:val="double" w:sz="4" w:space="0" w:color="auto"/>
              <w:left w:val="double" w:sz="4" w:space="0" w:color="auto"/>
              <w:bottom w:val="double" w:sz="4" w:space="0" w:color="auto"/>
              <w:right w:val="double" w:sz="4" w:space="0" w:color="auto"/>
            </w:tcBorders>
            <w:shd w:val="clear" w:color="auto" w:fill="auto"/>
          </w:tcPr>
          <w:p w:rsidR="008C0327" w:rsidRPr="00940D97" w:rsidRDefault="008C0327" w:rsidP="00F05E16">
            <w:pPr>
              <w:spacing w:before="120" w:after="120"/>
              <w:rPr>
                <w:rFonts w:ascii="Arial" w:hAnsi="Arial" w:cs="Arial"/>
                <w:b/>
                <w:bCs/>
                <w:sz w:val="22"/>
                <w:szCs w:val="22"/>
              </w:rPr>
            </w:pPr>
            <w:r w:rsidRPr="00940D97">
              <w:rPr>
                <w:rFonts w:ascii="Arial" w:hAnsi="Arial" w:cs="Arial"/>
                <w:b/>
                <w:bCs/>
                <w:sz w:val="22"/>
                <w:szCs w:val="22"/>
              </w:rPr>
              <w:t>Leadership</w:t>
            </w:r>
          </w:p>
        </w:tc>
        <w:tc>
          <w:tcPr>
            <w:tcW w:w="6876" w:type="dxa"/>
            <w:tcBorders>
              <w:top w:val="double" w:sz="4" w:space="0" w:color="auto"/>
              <w:left w:val="double" w:sz="4" w:space="0" w:color="auto"/>
              <w:bottom w:val="double" w:sz="4" w:space="0" w:color="auto"/>
              <w:right w:val="double" w:sz="4" w:space="0" w:color="auto"/>
            </w:tcBorders>
            <w:shd w:val="clear" w:color="auto" w:fill="auto"/>
          </w:tcPr>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 xml:space="preserve">Participate and work collaboratively as a member of the Historic </w:t>
            </w:r>
            <w:r w:rsidR="00670069" w:rsidRPr="00BF2DCF">
              <w:rPr>
                <w:rFonts w:ascii="Arial" w:hAnsi="Arial" w:cs="Arial"/>
                <w:sz w:val="22"/>
                <w:szCs w:val="22"/>
              </w:rPr>
              <w:t>Claims</w:t>
            </w:r>
            <w:r w:rsidR="00670069">
              <w:rPr>
                <w:rFonts w:ascii="Arial" w:hAnsi="Arial" w:cs="Arial"/>
                <w:sz w:val="22"/>
                <w:szCs w:val="22"/>
              </w:rPr>
              <w:t xml:space="preserve"> Management </w:t>
            </w:r>
            <w:r w:rsidR="00107658">
              <w:rPr>
                <w:rFonts w:ascii="Arial" w:hAnsi="Arial" w:cs="Arial"/>
                <w:sz w:val="22"/>
                <w:szCs w:val="22"/>
              </w:rPr>
              <w:t>t</w:t>
            </w:r>
            <w:r w:rsidRPr="00BF2DCF">
              <w:rPr>
                <w:rFonts w:ascii="Arial" w:hAnsi="Arial" w:cs="Arial"/>
                <w:sz w:val="22"/>
                <w:szCs w:val="22"/>
              </w:rPr>
              <w:t>eam</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 xml:space="preserve">Support a high performance culture across the Claimant </w:t>
            </w:r>
            <w:r w:rsidR="00670069">
              <w:rPr>
                <w:rFonts w:ascii="Arial" w:hAnsi="Arial" w:cs="Arial"/>
                <w:sz w:val="22"/>
                <w:szCs w:val="22"/>
              </w:rPr>
              <w:t>S</w:t>
            </w:r>
            <w:r w:rsidRPr="00BF2DCF">
              <w:rPr>
                <w:rFonts w:ascii="Arial" w:hAnsi="Arial" w:cs="Arial"/>
                <w:sz w:val="22"/>
                <w:szCs w:val="22"/>
              </w:rPr>
              <w:t xml:space="preserve">upport and </w:t>
            </w:r>
            <w:r w:rsidR="00670069">
              <w:rPr>
                <w:rFonts w:ascii="Arial" w:hAnsi="Arial" w:cs="Arial"/>
                <w:sz w:val="22"/>
                <w:szCs w:val="22"/>
              </w:rPr>
              <w:t>Assessment</w:t>
            </w:r>
            <w:r w:rsidR="00670069" w:rsidRPr="00BF2DCF">
              <w:rPr>
                <w:rFonts w:ascii="Arial" w:hAnsi="Arial" w:cs="Arial"/>
                <w:sz w:val="22"/>
                <w:szCs w:val="22"/>
              </w:rPr>
              <w:t xml:space="preserve"> </w:t>
            </w:r>
            <w:r w:rsidRPr="00BF2DCF">
              <w:rPr>
                <w:rFonts w:ascii="Arial" w:hAnsi="Arial" w:cs="Arial"/>
                <w:sz w:val="22"/>
                <w:szCs w:val="22"/>
              </w:rPr>
              <w:t>team</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Uphold a culture of continuous improvement and encourage the identification of on-going improvements to processes and practices to achieve better outcomes for claimants</w:t>
            </w:r>
            <w:r w:rsidR="00363DFB">
              <w:rPr>
                <w:rFonts w:ascii="Arial" w:hAnsi="Arial" w:cs="Arial"/>
                <w:sz w:val="22"/>
                <w:szCs w:val="22"/>
              </w:rPr>
              <w:t>.</w:t>
            </w:r>
          </w:p>
        </w:tc>
      </w:tr>
      <w:tr w:rsidR="008C0327" w:rsidRPr="00C047CA" w:rsidTr="00F05E16">
        <w:trPr>
          <w:trHeight w:val="586"/>
        </w:trPr>
        <w:tc>
          <w:tcPr>
            <w:tcW w:w="2268" w:type="dxa"/>
            <w:tcBorders>
              <w:top w:val="double" w:sz="4" w:space="0" w:color="auto"/>
              <w:left w:val="double" w:sz="4" w:space="0" w:color="auto"/>
              <w:bottom w:val="double" w:sz="4" w:space="0" w:color="auto"/>
              <w:right w:val="double" w:sz="4" w:space="0" w:color="auto"/>
            </w:tcBorders>
            <w:shd w:val="clear" w:color="auto" w:fill="auto"/>
          </w:tcPr>
          <w:p w:rsidR="008C0327" w:rsidRPr="00940D97" w:rsidRDefault="00363DFB" w:rsidP="00F05E16">
            <w:pPr>
              <w:spacing w:before="120" w:after="120"/>
              <w:rPr>
                <w:rFonts w:ascii="Arial" w:hAnsi="Arial" w:cs="Arial"/>
                <w:b/>
                <w:bCs/>
                <w:sz w:val="22"/>
                <w:szCs w:val="22"/>
              </w:rPr>
            </w:pPr>
            <w:r w:rsidRPr="00363DFB">
              <w:rPr>
                <w:rFonts w:ascii="Arial" w:hAnsi="Arial" w:cs="Arial"/>
                <w:b/>
                <w:bCs/>
                <w:sz w:val="22"/>
                <w:szCs w:val="22"/>
              </w:rPr>
              <w:t>Achieve efficient and effective resolution of historic claims</w:t>
            </w:r>
          </w:p>
        </w:tc>
        <w:tc>
          <w:tcPr>
            <w:tcW w:w="6876" w:type="dxa"/>
            <w:tcBorders>
              <w:top w:val="double" w:sz="4" w:space="0" w:color="auto"/>
              <w:left w:val="double" w:sz="4" w:space="0" w:color="auto"/>
              <w:bottom w:val="double" w:sz="4" w:space="0" w:color="auto"/>
              <w:right w:val="double" w:sz="4" w:space="0" w:color="auto"/>
            </w:tcBorders>
            <w:shd w:val="clear" w:color="auto" w:fill="auto"/>
          </w:tcPr>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 xml:space="preserve">Support the Manager to develop and implement plans that support the Claimant Support team to support resolution of claims in a manner that is mana manaaki </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Identify opportunities to partner with others to deliver a better service for claimants</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 xml:space="preserve">Support the Manager to facilitate a whole MSD approach to </w:t>
            </w:r>
            <w:r w:rsidR="00BF2DCF" w:rsidRPr="00BF2DCF">
              <w:rPr>
                <w:rFonts w:ascii="Arial" w:hAnsi="Arial" w:cs="Arial"/>
                <w:sz w:val="22"/>
                <w:szCs w:val="22"/>
              </w:rPr>
              <w:t>Historic Claims</w:t>
            </w:r>
            <w:r w:rsidRPr="00BF2DCF">
              <w:rPr>
                <w:rFonts w:ascii="Arial" w:hAnsi="Arial" w:cs="Arial"/>
                <w:sz w:val="22"/>
                <w:szCs w:val="22"/>
              </w:rPr>
              <w:t xml:space="preserve"> ensuring coordination and </w:t>
            </w:r>
            <w:r w:rsidR="0041414A" w:rsidRPr="00BF2DCF">
              <w:rPr>
                <w:rFonts w:ascii="Arial" w:hAnsi="Arial" w:cs="Arial"/>
                <w:sz w:val="22"/>
                <w:szCs w:val="22"/>
              </w:rPr>
              <w:t>inte</w:t>
            </w:r>
            <w:r w:rsidR="0041414A">
              <w:rPr>
                <w:rFonts w:ascii="Arial" w:hAnsi="Arial" w:cs="Arial"/>
                <w:sz w:val="22"/>
                <w:szCs w:val="22"/>
              </w:rPr>
              <w:t xml:space="preserve">gration </w:t>
            </w:r>
            <w:r w:rsidRPr="00BF2DCF">
              <w:rPr>
                <w:rFonts w:ascii="Arial" w:hAnsi="Arial" w:cs="Arial"/>
                <w:sz w:val="22"/>
                <w:szCs w:val="22"/>
              </w:rPr>
              <w:t>across all business groups and relevant external stakeholders</w:t>
            </w:r>
          </w:p>
          <w:p w:rsidR="008C0327" w:rsidRPr="00BF2DCF" w:rsidRDefault="008C0327" w:rsidP="00F05E16">
            <w:pPr>
              <w:numPr>
                <w:ilvl w:val="0"/>
                <w:numId w:val="7"/>
              </w:numPr>
              <w:spacing w:before="120" w:after="120"/>
              <w:ind w:left="357" w:hanging="357"/>
              <w:rPr>
                <w:rFonts w:ascii="Arial" w:hAnsi="Arial" w:cs="Arial"/>
                <w:sz w:val="22"/>
                <w:szCs w:val="22"/>
              </w:rPr>
            </w:pPr>
            <w:r w:rsidRPr="00BF2DCF">
              <w:rPr>
                <w:rFonts w:ascii="Arial" w:hAnsi="Arial" w:cs="Arial"/>
                <w:sz w:val="22"/>
                <w:szCs w:val="22"/>
              </w:rPr>
              <w:t>Promote a focus on claimants’ need whilst balancing this with strategy, best practice, ensuring that the Ministry is complying with legislative and policy requirements</w:t>
            </w:r>
          </w:p>
          <w:p w:rsidR="0088619A" w:rsidRDefault="008C0327" w:rsidP="0041414A">
            <w:pPr>
              <w:numPr>
                <w:ilvl w:val="0"/>
                <w:numId w:val="7"/>
              </w:numPr>
              <w:spacing w:before="120" w:after="120"/>
              <w:ind w:left="357" w:hanging="357"/>
              <w:rPr>
                <w:rFonts w:ascii="Arial" w:hAnsi="Arial" w:cs="Arial"/>
                <w:sz w:val="22"/>
                <w:szCs w:val="22"/>
              </w:rPr>
            </w:pPr>
            <w:r w:rsidRPr="00BF2DCF">
              <w:rPr>
                <w:rFonts w:ascii="Arial" w:hAnsi="Arial" w:cs="Arial"/>
                <w:sz w:val="22"/>
                <w:szCs w:val="22"/>
              </w:rPr>
              <w:t>Support the development of standardised frameworks and processes that are fit for purpose, efficient and effective</w:t>
            </w:r>
            <w:bookmarkStart w:id="4" w:name="OLE_LINK4"/>
            <w:bookmarkStart w:id="5" w:name="OLE_LINK5"/>
          </w:p>
          <w:p w:rsidR="008C0327" w:rsidRPr="00BF2DCF" w:rsidRDefault="0088619A" w:rsidP="0041414A">
            <w:pPr>
              <w:numPr>
                <w:ilvl w:val="0"/>
                <w:numId w:val="7"/>
              </w:numPr>
              <w:spacing w:before="120" w:after="120"/>
              <w:ind w:left="357" w:hanging="357"/>
              <w:rPr>
                <w:rFonts w:ascii="Arial" w:hAnsi="Arial" w:cs="Arial"/>
                <w:sz w:val="22"/>
                <w:szCs w:val="22"/>
              </w:rPr>
            </w:pPr>
            <w:r w:rsidRPr="00125561">
              <w:rPr>
                <w:rFonts w:ascii="Arial" w:hAnsi="Arial" w:cs="Arial"/>
                <w:sz w:val="22"/>
                <w:szCs w:val="22"/>
              </w:rPr>
              <w:t>Understand the constraints of the Historic Claims processes, but strive to be flexible and empathetic to individual claimants</w:t>
            </w:r>
            <w:r>
              <w:rPr>
                <w:rFonts w:ascii="Arial" w:hAnsi="Arial" w:cs="Arial"/>
                <w:sz w:val="22"/>
                <w:szCs w:val="22"/>
              </w:rPr>
              <w:t>.</w:t>
            </w:r>
            <w:bookmarkEnd w:id="4"/>
            <w:bookmarkEnd w:id="5"/>
          </w:p>
        </w:tc>
      </w:tr>
    </w:tbl>
    <w:p w:rsidR="0088619A" w:rsidRDefault="0088619A">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2268"/>
        <w:gridCol w:w="6876"/>
      </w:tblGrid>
      <w:tr w:rsidR="003D73FF" w:rsidRPr="00C047CA" w:rsidTr="00F05E16">
        <w:trPr>
          <w:trHeight w:val="586"/>
        </w:trPr>
        <w:tc>
          <w:tcPr>
            <w:tcW w:w="2268" w:type="dxa"/>
            <w:tcBorders>
              <w:top w:val="double" w:sz="4" w:space="0" w:color="auto"/>
              <w:left w:val="double" w:sz="4" w:space="0" w:color="auto"/>
              <w:bottom w:val="double" w:sz="4" w:space="0" w:color="auto"/>
              <w:right w:val="double" w:sz="4" w:space="0" w:color="auto"/>
            </w:tcBorders>
            <w:shd w:val="clear" w:color="auto" w:fill="auto"/>
          </w:tcPr>
          <w:p w:rsidR="003D73FF" w:rsidRPr="00940D97" w:rsidRDefault="003D73FF" w:rsidP="00C84907">
            <w:pPr>
              <w:spacing w:before="120" w:after="120"/>
              <w:rPr>
                <w:rFonts w:ascii="Arial" w:hAnsi="Arial" w:cs="Arial"/>
                <w:b/>
                <w:bCs/>
                <w:sz w:val="22"/>
                <w:szCs w:val="22"/>
              </w:rPr>
            </w:pPr>
            <w:r w:rsidRPr="00940D97">
              <w:rPr>
                <w:rFonts w:ascii="Arial" w:hAnsi="Arial" w:cs="Arial"/>
                <w:b/>
                <w:bCs/>
                <w:sz w:val="22"/>
                <w:szCs w:val="22"/>
              </w:rPr>
              <w:lastRenderedPageBreak/>
              <w:t xml:space="preserve">Building Māori </w:t>
            </w:r>
            <w:r>
              <w:rPr>
                <w:rFonts w:ascii="Arial" w:hAnsi="Arial" w:cs="Arial"/>
                <w:b/>
                <w:bCs/>
                <w:sz w:val="22"/>
                <w:szCs w:val="22"/>
              </w:rPr>
              <w:t>C</w:t>
            </w:r>
            <w:r w:rsidRPr="00940D97">
              <w:rPr>
                <w:rFonts w:ascii="Arial" w:hAnsi="Arial" w:cs="Arial"/>
                <w:b/>
                <w:bCs/>
                <w:sz w:val="22"/>
                <w:szCs w:val="22"/>
              </w:rPr>
              <w:t xml:space="preserve">apability and </w:t>
            </w:r>
            <w:r>
              <w:rPr>
                <w:rFonts w:ascii="Arial" w:hAnsi="Arial" w:cs="Arial"/>
                <w:b/>
                <w:bCs/>
                <w:sz w:val="22"/>
                <w:szCs w:val="22"/>
              </w:rPr>
              <w:t>R</w:t>
            </w:r>
            <w:r w:rsidRPr="00940D97">
              <w:rPr>
                <w:rFonts w:ascii="Arial" w:hAnsi="Arial" w:cs="Arial"/>
                <w:b/>
                <w:bCs/>
                <w:sz w:val="22"/>
                <w:szCs w:val="22"/>
              </w:rPr>
              <w:t>esponsiveness</w:t>
            </w:r>
          </w:p>
        </w:tc>
        <w:tc>
          <w:tcPr>
            <w:tcW w:w="6876" w:type="dxa"/>
            <w:tcBorders>
              <w:top w:val="double" w:sz="4" w:space="0" w:color="auto"/>
              <w:left w:val="double" w:sz="4" w:space="0" w:color="auto"/>
              <w:bottom w:val="double" w:sz="4" w:space="0" w:color="auto"/>
              <w:right w:val="double" w:sz="4" w:space="0" w:color="auto"/>
            </w:tcBorders>
            <w:shd w:val="clear" w:color="auto" w:fill="auto"/>
          </w:tcPr>
          <w:p w:rsidR="003D73FF" w:rsidRPr="00BF2DCF" w:rsidRDefault="003D73FF" w:rsidP="00C84907">
            <w:pPr>
              <w:numPr>
                <w:ilvl w:val="0"/>
                <w:numId w:val="7"/>
              </w:numPr>
              <w:spacing w:before="120" w:after="120"/>
              <w:ind w:left="357" w:hanging="357"/>
              <w:rPr>
                <w:rFonts w:ascii="Arial" w:hAnsi="Arial" w:cs="Arial"/>
                <w:sz w:val="22"/>
                <w:szCs w:val="22"/>
              </w:rPr>
            </w:pPr>
            <w:r w:rsidRPr="00BF2DCF">
              <w:rPr>
                <w:rFonts w:ascii="Arial" w:hAnsi="Arial" w:cs="Arial"/>
                <w:sz w:val="22"/>
                <w:szCs w:val="22"/>
              </w:rPr>
              <w:t xml:space="preserve">Provide a culturally responsive service to claimants and their </w:t>
            </w:r>
            <w:r w:rsidRPr="003B7734">
              <w:rPr>
                <w:rFonts w:ascii="Arial" w:hAnsi="Arial" w:cs="Arial"/>
                <w:sz w:val="22"/>
                <w:szCs w:val="22"/>
              </w:rPr>
              <w:t>w</w:t>
            </w:r>
            <w:r w:rsidRPr="00460851">
              <w:rPr>
                <w:rFonts w:ascii="Arial" w:hAnsi="Arial" w:cs="Arial"/>
                <w:sz w:val="22"/>
                <w:szCs w:val="22"/>
              </w:rPr>
              <w:t>hānau</w:t>
            </w:r>
            <w:r w:rsidRPr="00BF2DCF">
              <w:rPr>
                <w:rFonts w:ascii="Arial" w:hAnsi="Arial" w:cs="Arial"/>
                <w:sz w:val="22"/>
                <w:szCs w:val="22"/>
              </w:rPr>
              <w:t>, hapu and iwi</w:t>
            </w:r>
          </w:p>
          <w:p w:rsidR="003D73FF" w:rsidRPr="00BF2DCF" w:rsidRDefault="003D73FF" w:rsidP="00C84907">
            <w:pPr>
              <w:numPr>
                <w:ilvl w:val="0"/>
                <w:numId w:val="7"/>
              </w:numPr>
              <w:spacing w:before="120" w:after="120"/>
              <w:ind w:left="357" w:hanging="357"/>
              <w:rPr>
                <w:rFonts w:ascii="Arial" w:hAnsi="Arial" w:cs="Arial"/>
                <w:sz w:val="22"/>
                <w:szCs w:val="22"/>
              </w:rPr>
            </w:pPr>
            <w:r w:rsidRPr="00BF2DCF">
              <w:rPr>
                <w:rFonts w:ascii="Arial" w:hAnsi="Arial" w:cs="Arial"/>
                <w:sz w:val="22"/>
                <w:szCs w:val="22"/>
              </w:rPr>
              <w:t xml:space="preserve">Work in partnership with iwi, hapu and </w:t>
            </w:r>
            <w:r w:rsidRPr="003B7734">
              <w:rPr>
                <w:rFonts w:ascii="Arial" w:hAnsi="Arial" w:cs="Arial"/>
                <w:sz w:val="22"/>
                <w:szCs w:val="22"/>
              </w:rPr>
              <w:t>w</w:t>
            </w:r>
            <w:r w:rsidRPr="00460851">
              <w:rPr>
                <w:rFonts w:ascii="Arial" w:hAnsi="Arial" w:cs="Arial"/>
                <w:sz w:val="22"/>
                <w:szCs w:val="22"/>
              </w:rPr>
              <w:t>hānau</w:t>
            </w:r>
            <w:r w:rsidRPr="00BF2DCF">
              <w:rPr>
                <w:rFonts w:ascii="Arial" w:hAnsi="Arial" w:cs="Arial"/>
                <w:sz w:val="22"/>
                <w:szCs w:val="22"/>
              </w:rPr>
              <w:t xml:space="preserve"> as appropriate</w:t>
            </w:r>
          </w:p>
          <w:p w:rsidR="003D73FF" w:rsidRPr="00BF2DCF" w:rsidRDefault="003D73FF" w:rsidP="00C84907">
            <w:pPr>
              <w:numPr>
                <w:ilvl w:val="0"/>
                <w:numId w:val="7"/>
              </w:numPr>
              <w:spacing w:before="120" w:after="120"/>
              <w:ind w:left="357" w:hanging="357"/>
              <w:rPr>
                <w:rFonts w:ascii="Arial" w:hAnsi="Arial" w:cs="Arial"/>
                <w:sz w:val="22"/>
                <w:szCs w:val="22"/>
              </w:rPr>
            </w:pPr>
            <w:r w:rsidRPr="00BF2DCF">
              <w:rPr>
                <w:rFonts w:ascii="Arial" w:hAnsi="Arial" w:cs="Arial"/>
                <w:sz w:val="22"/>
                <w:szCs w:val="22"/>
              </w:rPr>
              <w:t>Ensure the implications of the Treaty of Waitangi, Human Rights and equity considerations are fully addressed in our work</w:t>
            </w:r>
          </w:p>
          <w:p w:rsidR="003D73FF" w:rsidRPr="00BF2DCF" w:rsidRDefault="003D73FF" w:rsidP="00C84907">
            <w:pPr>
              <w:numPr>
                <w:ilvl w:val="0"/>
                <w:numId w:val="7"/>
              </w:numPr>
              <w:spacing w:before="120" w:after="120"/>
              <w:ind w:left="357" w:hanging="357"/>
              <w:rPr>
                <w:rFonts w:ascii="Arial" w:hAnsi="Arial" w:cs="Arial"/>
                <w:sz w:val="22"/>
                <w:szCs w:val="22"/>
              </w:rPr>
            </w:pPr>
            <w:r w:rsidRPr="00BF2DCF">
              <w:rPr>
                <w:rFonts w:ascii="Arial" w:hAnsi="Arial" w:cs="Arial"/>
                <w:sz w:val="22"/>
                <w:szCs w:val="22"/>
              </w:rPr>
              <w:t xml:space="preserve">Have a demonstrated understanding of tikanga Māori and te reo Māori </w:t>
            </w:r>
          </w:p>
          <w:p w:rsidR="003D73FF" w:rsidRPr="00BF2DCF" w:rsidRDefault="003D73FF" w:rsidP="00C84907">
            <w:pPr>
              <w:numPr>
                <w:ilvl w:val="0"/>
                <w:numId w:val="7"/>
              </w:numPr>
              <w:spacing w:before="120" w:after="120"/>
              <w:ind w:left="357" w:hanging="357"/>
              <w:rPr>
                <w:rFonts w:ascii="Arial" w:hAnsi="Arial" w:cs="Arial"/>
                <w:sz w:val="22"/>
                <w:szCs w:val="22"/>
              </w:rPr>
            </w:pPr>
            <w:r w:rsidRPr="00BF2DCF">
              <w:rPr>
                <w:rFonts w:ascii="Arial" w:hAnsi="Arial" w:cs="Arial"/>
                <w:sz w:val="22"/>
                <w:szCs w:val="22"/>
              </w:rPr>
              <w:t>Support the development of the Māori capability and responsiveness across the team</w:t>
            </w:r>
          </w:p>
          <w:p w:rsidR="003D73FF" w:rsidRPr="00BF2DCF" w:rsidRDefault="003D73FF" w:rsidP="00C84907">
            <w:pPr>
              <w:numPr>
                <w:ilvl w:val="0"/>
                <w:numId w:val="7"/>
              </w:numPr>
              <w:spacing w:before="120" w:after="120"/>
              <w:ind w:left="357" w:hanging="357"/>
              <w:rPr>
                <w:rFonts w:ascii="Arial" w:hAnsi="Arial" w:cs="Arial"/>
                <w:sz w:val="22"/>
                <w:szCs w:val="22"/>
              </w:rPr>
            </w:pPr>
            <w:r w:rsidRPr="00BF2DCF">
              <w:rPr>
                <w:rFonts w:ascii="Arial" w:hAnsi="Arial" w:cs="Arial"/>
                <w:sz w:val="22"/>
                <w:szCs w:val="22"/>
              </w:rPr>
              <w:t>Contribute to the promotion of the principles of Treaty of Waitangi and the involvement of Maori within the decision making process</w:t>
            </w:r>
            <w:r w:rsidR="00363DFB">
              <w:rPr>
                <w:rFonts w:ascii="Arial" w:hAnsi="Arial" w:cs="Arial"/>
                <w:sz w:val="22"/>
                <w:szCs w:val="22"/>
              </w:rPr>
              <w:t>.</w:t>
            </w:r>
          </w:p>
        </w:tc>
      </w:tr>
      <w:tr w:rsidR="003D73FF" w:rsidRPr="00C047CA" w:rsidTr="00F05E16">
        <w:trPr>
          <w:trHeight w:val="586"/>
        </w:trPr>
        <w:tc>
          <w:tcPr>
            <w:tcW w:w="2268" w:type="dxa"/>
            <w:tcBorders>
              <w:top w:val="double" w:sz="4" w:space="0" w:color="auto"/>
              <w:left w:val="double" w:sz="4" w:space="0" w:color="auto"/>
              <w:bottom w:val="double" w:sz="4" w:space="0" w:color="auto"/>
              <w:right w:val="double" w:sz="4" w:space="0" w:color="auto"/>
            </w:tcBorders>
            <w:shd w:val="clear" w:color="auto" w:fill="auto"/>
          </w:tcPr>
          <w:p w:rsidR="003D73FF" w:rsidRPr="00750867" w:rsidRDefault="003D73FF" w:rsidP="00094767">
            <w:pPr>
              <w:spacing w:before="120" w:after="120"/>
              <w:rPr>
                <w:rFonts w:ascii="Arial" w:hAnsi="Arial" w:cs="Arial"/>
                <w:b/>
                <w:bCs/>
                <w:sz w:val="22"/>
                <w:szCs w:val="22"/>
              </w:rPr>
            </w:pPr>
            <w:r w:rsidRPr="00940D97">
              <w:rPr>
                <w:rFonts w:ascii="Arial" w:hAnsi="Arial" w:cs="Arial"/>
                <w:b/>
                <w:bCs/>
                <w:sz w:val="22"/>
                <w:szCs w:val="22"/>
              </w:rPr>
              <w:t>Safe and Healthy</w:t>
            </w:r>
          </w:p>
          <w:p w:rsidR="003D73FF" w:rsidRPr="00750867" w:rsidRDefault="003D73FF" w:rsidP="00094767">
            <w:pPr>
              <w:spacing w:before="120" w:after="120"/>
              <w:rPr>
                <w:rFonts w:ascii="Arial" w:hAnsi="Arial" w:cs="Arial"/>
                <w:b/>
                <w:bCs/>
                <w:sz w:val="22"/>
                <w:szCs w:val="22"/>
              </w:rPr>
            </w:pPr>
          </w:p>
        </w:tc>
        <w:tc>
          <w:tcPr>
            <w:tcW w:w="6876" w:type="dxa"/>
            <w:tcBorders>
              <w:top w:val="double" w:sz="4" w:space="0" w:color="auto"/>
              <w:left w:val="double" w:sz="4" w:space="0" w:color="auto"/>
              <w:bottom w:val="double" w:sz="4" w:space="0" w:color="auto"/>
              <w:right w:val="double" w:sz="4" w:space="0" w:color="auto"/>
            </w:tcBorders>
            <w:shd w:val="clear" w:color="auto" w:fill="auto"/>
          </w:tcPr>
          <w:p w:rsidR="003D73FF" w:rsidRPr="00BF2DCF" w:rsidRDefault="003D73FF" w:rsidP="00094767">
            <w:pPr>
              <w:numPr>
                <w:ilvl w:val="0"/>
                <w:numId w:val="7"/>
              </w:numPr>
              <w:spacing w:before="120" w:after="120"/>
              <w:ind w:left="357" w:hanging="357"/>
              <w:rPr>
                <w:rFonts w:ascii="Arial" w:hAnsi="Arial" w:cs="Arial"/>
                <w:sz w:val="22"/>
                <w:szCs w:val="22"/>
              </w:rPr>
            </w:pPr>
            <w:r w:rsidRPr="00BF2DCF">
              <w:rPr>
                <w:rFonts w:ascii="Arial" w:hAnsi="Arial" w:cs="Arial"/>
                <w:sz w:val="22"/>
                <w:szCs w:val="22"/>
              </w:rPr>
              <w:t>Understand and adhere to MSD health, safety and security</w:t>
            </w:r>
            <w:r>
              <w:rPr>
                <w:rFonts w:ascii="Arial" w:hAnsi="Arial" w:cs="Arial"/>
                <w:sz w:val="22"/>
                <w:szCs w:val="22"/>
              </w:rPr>
              <w:t xml:space="preserve"> (HSS) policies and procedures</w:t>
            </w:r>
          </w:p>
          <w:p w:rsidR="003D73FF" w:rsidRPr="00BF2DCF" w:rsidRDefault="003D73FF" w:rsidP="00094767">
            <w:pPr>
              <w:numPr>
                <w:ilvl w:val="0"/>
                <w:numId w:val="7"/>
              </w:numPr>
              <w:spacing w:before="120" w:after="120"/>
              <w:ind w:left="357" w:hanging="357"/>
              <w:rPr>
                <w:rFonts w:ascii="Arial" w:hAnsi="Arial" w:cs="Arial"/>
                <w:sz w:val="22"/>
                <w:szCs w:val="22"/>
              </w:rPr>
            </w:pPr>
            <w:r w:rsidRPr="00BF2DCF">
              <w:rPr>
                <w:rFonts w:ascii="Arial" w:hAnsi="Arial" w:cs="Arial"/>
                <w:sz w:val="22"/>
                <w:szCs w:val="22"/>
              </w:rPr>
              <w:t>Implement HSS accountabilities at work to keep themselves, colleagues, clients and others safe and well</w:t>
            </w:r>
            <w:r w:rsidR="00363DFB">
              <w:rPr>
                <w:rFonts w:ascii="Arial" w:hAnsi="Arial" w:cs="Arial"/>
                <w:sz w:val="22"/>
                <w:szCs w:val="22"/>
              </w:rPr>
              <w:t>.</w:t>
            </w:r>
          </w:p>
        </w:tc>
      </w:tr>
    </w:tbl>
    <w:p w:rsidR="00363DFB" w:rsidRDefault="00363DFB"/>
    <w:p w:rsidR="003D73FF" w:rsidRDefault="003D73FF"/>
    <w:p w:rsidR="0088619A" w:rsidRDefault="0088619A">
      <w:pPr>
        <w:rPr>
          <w:rFonts w:ascii="Arial" w:hAnsi="Arial"/>
          <w:b/>
          <w:sz w:val="24"/>
          <w:szCs w:val="24"/>
        </w:rPr>
      </w:pPr>
      <w:r>
        <w:rPr>
          <w:rFonts w:ascii="Arial" w:hAnsi="Arial"/>
          <w:smallCaps/>
          <w:sz w:val="24"/>
          <w:szCs w:val="24"/>
        </w:rPr>
        <w:br w:type="page"/>
      </w:r>
    </w:p>
    <w:p w:rsidR="00363DFB" w:rsidRPr="00845A7C" w:rsidRDefault="00363DFB" w:rsidP="00363DFB">
      <w:pPr>
        <w:pStyle w:val="Heading4"/>
        <w:rPr>
          <w:rFonts w:ascii="Arial" w:hAnsi="Arial"/>
          <w:smallCaps w:val="0"/>
          <w:sz w:val="24"/>
          <w:szCs w:val="24"/>
        </w:rPr>
      </w:pPr>
      <w:r w:rsidRPr="00845A7C">
        <w:rPr>
          <w:rFonts w:ascii="Arial" w:hAnsi="Arial"/>
          <w:smallCaps w:val="0"/>
          <w:sz w:val="24"/>
          <w:szCs w:val="24"/>
        </w:rPr>
        <w:lastRenderedPageBreak/>
        <w:t>Technical/Professional Knowledge and Experience</w:t>
      </w:r>
    </w:p>
    <w:p w:rsidR="00363DFB" w:rsidRPr="00845A7C" w:rsidRDefault="00363DFB" w:rsidP="00363DFB">
      <w:pPr>
        <w:rPr>
          <w:rFonts w:ascii="Arial" w:hAnsi="Arial" w:cs="Arial"/>
          <w:sz w:val="22"/>
          <w:szCs w:val="22"/>
        </w:rPr>
      </w:pPr>
    </w:p>
    <w:p w:rsidR="00363DFB" w:rsidRDefault="00363DFB" w:rsidP="00363DFB">
      <w:pPr>
        <w:numPr>
          <w:ilvl w:val="0"/>
          <w:numId w:val="31"/>
        </w:numPr>
        <w:rPr>
          <w:rFonts w:ascii="Arial" w:hAnsi="Arial" w:cs="Arial"/>
          <w:sz w:val="22"/>
          <w:szCs w:val="22"/>
        </w:rPr>
      </w:pPr>
      <w:r w:rsidRPr="00663F46">
        <w:rPr>
          <w:rFonts w:ascii="Arial" w:hAnsi="Arial" w:cs="Arial"/>
          <w:sz w:val="22"/>
          <w:szCs w:val="22"/>
        </w:rPr>
        <w:t>Tertiary qualification in a relevant discipline or equivalent operational experience</w:t>
      </w:r>
    </w:p>
    <w:p w:rsidR="00363DFB" w:rsidRDefault="00363DFB" w:rsidP="00363DFB">
      <w:pPr>
        <w:numPr>
          <w:ilvl w:val="0"/>
          <w:numId w:val="31"/>
        </w:numPr>
        <w:ind w:right="141"/>
        <w:rPr>
          <w:rFonts w:ascii="Arial" w:hAnsi="Arial"/>
          <w:sz w:val="22"/>
          <w:szCs w:val="22"/>
        </w:rPr>
      </w:pPr>
      <w:r>
        <w:rPr>
          <w:rFonts w:ascii="Arial" w:hAnsi="Arial"/>
          <w:sz w:val="22"/>
          <w:szCs w:val="22"/>
        </w:rPr>
        <w:t>Technical computer and data manipulation skills and the ability to analyse data using the appropriate tools (MS Excel, MS Word, MS Access, SAS, Visual Basic, Statistical Packages and modelling tools, web based applications and publication skills)</w:t>
      </w:r>
    </w:p>
    <w:p w:rsidR="00363DFB" w:rsidRPr="00663F46" w:rsidRDefault="00363DFB" w:rsidP="00363DFB">
      <w:pPr>
        <w:numPr>
          <w:ilvl w:val="0"/>
          <w:numId w:val="31"/>
        </w:numPr>
        <w:rPr>
          <w:sz w:val="22"/>
          <w:szCs w:val="22"/>
        </w:rPr>
      </w:pPr>
      <w:r w:rsidRPr="00663F46">
        <w:rPr>
          <w:rFonts w:ascii="Arial" w:hAnsi="Arial" w:cs="Arial"/>
          <w:sz w:val="22"/>
          <w:szCs w:val="22"/>
        </w:rPr>
        <w:t xml:space="preserve">Comprehensive </w:t>
      </w:r>
      <w:r>
        <w:rPr>
          <w:rFonts w:ascii="Arial" w:hAnsi="Arial" w:cs="Arial"/>
          <w:sz w:val="22"/>
          <w:szCs w:val="22"/>
        </w:rPr>
        <w:t xml:space="preserve">knowledge and </w:t>
      </w:r>
      <w:r w:rsidRPr="00663F46">
        <w:rPr>
          <w:rFonts w:ascii="Arial" w:hAnsi="Arial" w:cs="Arial"/>
          <w:sz w:val="22"/>
          <w:szCs w:val="22"/>
        </w:rPr>
        <w:t>e</w:t>
      </w:r>
      <w:r>
        <w:rPr>
          <w:rFonts w:ascii="Arial" w:hAnsi="Arial" w:cs="Arial"/>
          <w:sz w:val="22"/>
          <w:szCs w:val="22"/>
        </w:rPr>
        <w:t xml:space="preserve">xperience at a senior level in </w:t>
      </w:r>
      <w:r w:rsidRPr="00663F46">
        <w:rPr>
          <w:rFonts w:ascii="Arial" w:hAnsi="Arial" w:cs="Arial"/>
          <w:sz w:val="22"/>
          <w:szCs w:val="22"/>
        </w:rPr>
        <w:t>an analytical  role</w:t>
      </w:r>
    </w:p>
    <w:p w:rsidR="00363DFB" w:rsidRPr="008C0327" w:rsidRDefault="00363DFB" w:rsidP="00363DFB">
      <w:pPr>
        <w:numPr>
          <w:ilvl w:val="0"/>
          <w:numId w:val="31"/>
        </w:numPr>
        <w:rPr>
          <w:rFonts w:ascii="Arial" w:hAnsi="Arial" w:cs="Arial"/>
          <w:sz w:val="22"/>
          <w:szCs w:val="22"/>
        </w:rPr>
      </w:pPr>
      <w:r w:rsidRPr="008C0327">
        <w:rPr>
          <w:rFonts w:ascii="Arial" w:hAnsi="Arial" w:cs="Arial"/>
          <w:sz w:val="22"/>
          <w:szCs w:val="22"/>
        </w:rPr>
        <w:t xml:space="preserve">Comprehensive knowledge </w:t>
      </w:r>
      <w:r>
        <w:rPr>
          <w:rFonts w:ascii="Arial" w:hAnsi="Arial" w:cs="Arial"/>
          <w:sz w:val="22"/>
          <w:szCs w:val="22"/>
        </w:rPr>
        <w:t xml:space="preserve">of child welfare services </w:t>
      </w:r>
      <w:r w:rsidRPr="00D22E7C">
        <w:rPr>
          <w:rFonts w:ascii="Arial" w:hAnsi="Arial" w:cs="Arial"/>
          <w:sz w:val="22"/>
          <w:szCs w:val="22"/>
        </w:rPr>
        <w:t>and the machinery of Government</w:t>
      </w:r>
    </w:p>
    <w:p w:rsidR="00363DFB" w:rsidRPr="00663F46" w:rsidRDefault="00363DFB" w:rsidP="00363DFB">
      <w:pPr>
        <w:numPr>
          <w:ilvl w:val="0"/>
          <w:numId w:val="31"/>
        </w:numPr>
        <w:rPr>
          <w:rFonts w:ascii="Arial" w:hAnsi="Arial" w:cs="Arial"/>
          <w:sz w:val="22"/>
          <w:szCs w:val="22"/>
        </w:rPr>
      </w:pPr>
      <w:r w:rsidRPr="00663F46">
        <w:rPr>
          <w:rFonts w:ascii="Arial" w:hAnsi="Arial" w:cs="Arial"/>
          <w:sz w:val="22"/>
          <w:szCs w:val="22"/>
        </w:rPr>
        <w:t>Highly developed analytical skills and a demonstrated commitment to developing and maintaining specialist skills and knowledge in own area of expertise</w:t>
      </w:r>
    </w:p>
    <w:p w:rsidR="00363DFB" w:rsidRPr="00663F46" w:rsidRDefault="00363DFB" w:rsidP="00363DFB">
      <w:pPr>
        <w:numPr>
          <w:ilvl w:val="0"/>
          <w:numId w:val="31"/>
        </w:numPr>
        <w:rPr>
          <w:rFonts w:ascii="Arial" w:hAnsi="Arial" w:cs="Arial"/>
          <w:sz w:val="22"/>
          <w:szCs w:val="22"/>
        </w:rPr>
      </w:pPr>
      <w:r w:rsidRPr="00663F46">
        <w:rPr>
          <w:rFonts w:ascii="Arial" w:hAnsi="Arial" w:cs="Arial"/>
          <w:sz w:val="22"/>
          <w:szCs w:val="22"/>
        </w:rPr>
        <w:t xml:space="preserve">Ability to produce high quality analytical work and provide peer support and coaching to colleagues </w:t>
      </w:r>
    </w:p>
    <w:p w:rsidR="00363DFB" w:rsidRPr="00663F46" w:rsidRDefault="00363DFB" w:rsidP="00363DFB">
      <w:pPr>
        <w:numPr>
          <w:ilvl w:val="0"/>
          <w:numId w:val="31"/>
        </w:numPr>
        <w:rPr>
          <w:rFonts w:ascii="Arial" w:hAnsi="Arial" w:cs="Arial"/>
          <w:sz w:val="22"/>
          <w:szCs w:val="22"/>
        </w:rPr>
      </w:pPr>
      <w:r w:rsidRPr="00663F46">
        <w:rPr>
          <w:rFonts w:ascii="Arial" w:hAnsi="Arial" w:cs="Arial"/>
          <w:sz w:val="22"/>
          <w:szCs w:val="22"/>
        </w:rPr>
        <w:t>Project leadership skills</w:t>
      </w:r>
      <w:r>
        <w:rPr>
          <w:rFonts w:ascii="Arial" w:hAnsi="Arial" w:cs="Arial"/>
          <w:sz w:val="22"/>
          <w:szCs w:val="22"/>
        </w:rPr>
        <w:t>.</w:t>
      </w:r>
    </w:p>
    <w:p w:rsidR="00363DFB" w:rsidRPr="007A708E" w:rsidRDefault="00363DFB" w:rsidP="00363DFB">
      <w:pPr>
        <w:rPr>
          <w:rFonts w:ascii="Arial" w:hAnsi="Arial" w:cs="Arial"/>
          <w:sz w:val="22"/>
          <w:szCs w:val="22"/>
          <w:highlight w:val="cyan"/>
        </w:rPr>
      </w:pPr>
    </w:p>
    <w:p w:rsidR="00363DFB" w:rsidRPr="00845A7C" w:rsidRDefault="00363DFB" w:rsidP="00363DFB">
      <w:pPr>
        <w:rPr>
          <w:rFonts w:ascii="Arial" w:hAnsi="Arial" w:cs="Arial"/>
          <w:b/>
          <w:sz w:val="24"/>
          <w:szCs w:val="24"/>
        </w:rPr>
      </w:pPr>
      <w:r w:rsidRPr="00845A7C">
        <w:rPr>
          <w:rFonts w:ascii="Arial" w:hAnsi="Arial" w:cs="Arial"/>
          <w:b/>
          <w:sz w:val="24"/>
          <w:szCs w:val="24"/>
        </w:rPr>
        <w:t>Attributes/Success Factors</w:t>
      </w:r>
    </w:p>
    <w:p w:rsidR="00363DFB" w:rsidRDefault="00363DFB" w:rsidP="00363DFB">
      <w:pPr>
        <w:rPr>
          <w:rFonts w:ascii="Arial" w:hAnsi="Arial" w:cs="Arial"/>
          <w:b/>
          <w:sz w:val="22"/>
          <w:szCs w:val="22"/>
        </w:rPr>
      </w:pPr>
    </w:p>
    <w:p w:rsidR="00363DFB" w:rsidRPr="00F06FDF" w:rsidRDefault="00363DFB" w:rsidP="00363DFB">
      <w:pPr>
        <w:numPr>
          <w:ilvl w:val="0"/>
          <w:numId w:val="31"/>
        </w:numPr>
        <w:jc w:val="both"/>
        <w:rPr>
          <w:rFonts w:ascii="Arial" w:hAnsi="Arial" w:cs="Arial"/>
          <w:sz w:val="22"/>
          <w:szCs w:val="22"/>
        </w:rPr>
      </w:pPr>
      <w:r>
        <w:rPr>
          <w:rFonts w:ascii="Arial" w:hAnsi="Arial" w:cs="Arial"/>
          <w:sz w:val="22"/>
          <w:szCs w:val="22"/>
        </w:rPr>
        <w:t xml:space="preserve">Ability to deal with high levels of intellectual complexity, potential conflict and risk </w:t>
      </w:r>
    </w:p>
    <w:p w:rsidR="00363DFB" w:rsidRDefault="00363DFB" w:rsidP="00363DFB">
      <w:pPr>
        <w:numPr>
          <w:ilvl w:val="0"/>
          <w:numId w:val="31"/>
        </w:numPr>
        <w:jc w:val="both"/>
        <w:rPr>
          <w:rFonts w:ascii="Arial" w:hAnsi="Arial" w:cs="Arial"/>
          <w:sz w:val="22"/>
          <w:szCs w:val="22"/>
        </w:rPr>
      </w:pPr>
      <w:r>
        <w:rPr>
          <w:rFonts w:ascii="Arial" w:hAnsi="Arial" w:cs="Arial"/>
          <w:sz w:val="22"/>
          <w:szCs w:val="22"/>
        </w:rPr>
        <w:t>Collaborative and effective worker</w:t>
      </w:r>
    </w:p>
    <w:p w:rsidR="00363DFB" w:rsidRPr="00663F46" w:rsidRDefault="00363DFB" w:rsidP="00363DFB">
      <w:pPr>
        <w:numPr>
          <w:ilvl w:val="0"/>
          <w:numId w:val="31"/>
        </w:numPr>
        <w:jc w:val="both"/>
        <w:rPr>
          <w:rFonts w:ascii="Arial" w:hAnsi="Arial" w:cs="Arial"/>
          <w:sz w:val="22"/>
          <w:szCs w:val="22"/>
        </w:rPr>
      </w:pPr>
      <w:r w:rsidRPr="00663F46">
        <w:rPr>
          <w:rFonts w:ascii="Arial" w:hAnsi="Arial" w:cs="Arial"/>
          <w:sz w:val="22"/>
          <w:szCs w:val="22"/>
        </w:rPr>
        <w:t xml:space="preserve">Committed to learning &amp; extending self </w:t>
      </w:r>
    </w:p>
    <w:p w:rsidR="00363DFB" w:rsidRPr="00663F46" w:rsidRDefault="00363DFB" w:rsidP="00363DFB">
      <w:pPr>
        <w:numPr>
          <w:ilvl w:val="0"/>
          <w:numId w:val="31"/>
        </w:numPr>
        <w:jc w:val="both"/>
        <w:rPr>
          <w:rFonts w:ascii="Arial" w:hAnsi="Arial" w:cs="Arial"/>
          <w:sz w:val="22"/>
          <w:szCs w:val="22"/>
        </w:rPr>
      </w:pPr>
      <w:r w:rsidRPr="00663F46">
        <w:rPr>
          <w:rFonts w:ascii="Arial" w:hAnsi="Arial" w:cs="Arial"/>
          <w:sz w:val="22"/>
          <w:szCs w:val="22"/>
        </w:rPr>
        <w:t>Demonstrates honesty and integrity</w:t>
      </w:r>
    </w:p>
    <w:p w:rsidR="00363DFB" w:rsidRDefault="00363DFB" w:rsidP="00363DFB">
      <w:pPr>
        <w:numPr>
          <w:ilvl w:val="0"/>
          <w:numId w:val="31"/>
        </w:numPr>
        <w:jc w:val="both"/>
        <w:rPr>
          <w:rFonts w:ascii="Arial" w:hAnsi="Arial" w:cs="Arial"/>
          <w:sz w:val="22"/>
          <w:szCs w:val="22"/>
        </w:rPr>
      </w:pPr>
      <w:r w:rsidRPr="00663F46">
        <w:rPr>
          <w:rFonts w:ascii="Arial" w:hAnsi="Arial" w:cs="Arial"/>
          <w:sz w:val="22"/>
          <w:szCs w:val="22"/>
        </w:rPr>
        <w:t>Makes a positive contribution</w:t>
      </w:r>
    </w:p>
    <w:p w:rsidR="00363DFB" w:rsidRPr="00663F46" w:rsidRDefault="00363DFB" w:rsidP="00363DFB">
      <w:pPr>
        <w:numPr>
          <w:ilvl w:val="0"/>
          <w:numId w:val="31"/>
        </w:numPr>
        <w:jc w:val="both"/>
        <w:rPr>
          <w:rFonts w:ascii="Arial" w:hAnsi="Arial" w:cs="Arial"/>
          <w:sz w:val="22"/>
          <w:szCs w:val="22"/>
        </w:rPr>
      </w:pPr>
      <w:r w:rsidRPr="00663F46">
        <w:rPr>
          <w:rFonts w:ascii="Arial" w:hAnsi="Arial" w:cs="Arial"/>
          <w:sz w:val="22"/>
          <w:szCs w:val="22"/>
        </w:rPr>
        <w:t>Constructive</w:t>
      </w:r>
    </w:p>
    <w:p w:rsidR="00363DFB" w:rsidRPr="00663F46" w:rsidRDefault="00363DFB" w:rsidP="00363DFB">
      <w:pPr>
        <w:numPr>
          <w:ilvl w:val="0"/>
          <w:numId w:val="31"/>
        </w:numPr>
        <w:jc w:val="both"/>
        <w:rPr>
          <w:rFonts w:ascii="Arial" w:hAnsi="Arial" w:cs="Arial"/>
          <w:sz w:val="22"/>
          <w:szCs w:val="22"/>
        </w:rPr>
      </w:pPr>
      <w:r w:rsidRPr="00663F46">
        <w:rPr>
          <w:rFonts w:ascii="Arial" w:hAnsi="Arial" w:cs="Arial"/>
          <w:sz w:val="22"/>
          <w:szCs w:val="22"/>
        </w:rPr>
        <w:t>Self-motivated</w:t>
      </w:r>
    </w:p>
    <w:p w:rsidR="00363DFB" w:rsidRPr="00663F46" w:rsidRDefault="00363DFB" w:rsidP="00363DFB">
      <w:pPr>
        <w:numPr>
          <w:ilvl w:val="0"/>
          <w:numId w:val="31"/>
        </w:numPr>
        <w:jc w:val="both"/>
        <w:rPr>
          <w:rFonts w:ascii="Arial" w:hAnsi="Arial" w:cs="Arial"/>
          <w:sz w:val="22"/>
          <w:szCs w:val="22"/>
        </w:rPr>
      </w:pPr>
      <w:r w:rsidRPr="00663F46">
        <w:rPr>
          <w:rFonts w:ascii="Arial" w:hAnsi="Arial" w:cs="Arial"/>
          <w:sz w:val="22"/>
          <w:szCs w:val="22"/>
        </w:rPr>
        <w:t>Determined/resilient</w:t>
      </w:r>
    </w:p>
    <w:p w:rsidR="00363DFB" w:rsidRPr="00663F46" w:rsidRDefault="00363DFB" w:rsidP="00363DFB">
      <w:pPr>
        <w:numPr>
          <w:ilvl w:val="0"/>
          <w:numId w:val="31"/>
        </w:numPr>
        <w:jc w:val="both"/>
        <w:rPr>
          <w:rFonts w:ascii="Arial" w:hAnsi="Arial" w:cs="Arial"/>
          <w:sz w:val="22"/>
          <w:szCs w:val="22"/>
        </w:rPr>
      </w:pPr>
      <w:r w:rsidRPr="00663F46">
        <w:rPr>
          <w:rFonts w:ascii="Arial" w:hAnsi="Arial" w:cs="Arial"/>
          <w:sz w:val="22"/>
          <w:szCs w:val="22"/>
        </w:rPr>
        <w:t>Pragmatic</w:t>
      </w:r>
    </w:p>
    <w:p w:rsidR="00363DFB" w:rsidRPr="00663F46" w:rsidRDefault="00363DFB" w:rsidP="00363DFB">
      <w:pPr>
        <w:numPr>
          <w:ilvl w:val="0"/>
          <w:numId w:val="31"/>
        </w:numPr>
        <w:jc w:val="both"/>
        <w:rPr>
          <w:rFonts w:ascii="Arial" w:hAnsi="Arial" w:cs="Arial"/>
          <w:sz w:val="22"/>
          <w:szCs w:val="22"/>
        </w:rPr>
      </w:pPr>
      <w:r w:rsidRPr="00663F46">
        <w:rPr>
          <w:rFonts w:ascii="Arial" w:hAnsi="Arial" w:cs="Arial"/>
          <w:sz w:val="22"/>
          <w:szCs w:val="22"/>
        </w:rPr>
        <w:t>Adaptable</w:t>
      </w:r>
    </w:p>
    <w:p w:rsidR="00363DFB" w:rsidRPr="008C0327" w:rsidRDefault="00363DFB" w:rsidP="00363DFB">
      <w:pPr>
        <w:numPr>
          <w:ilvl w:val="0"/>
          <w:numId w:val="31"/>
        </w:numPr>
        <w:jc w:val="both"/>
        <w:rPr>
          <w:rFonts w:ascii="Arial" w:hAnsi="Arial" w:cs="Arial"/>
          <w:sz w:val="22"/>
          <w:szCs w:val="22"/>
        </w:rPr>
      </w:pPr>
      <w:r w:rsidRPr="008C0327">
        <w:rPr>
          <w:rFonts w:ascii="Arial" w:hAnsi="Arial" w:cs="Arial"/>
          <w:sz w:val="22"/>
          <w:szCs w:val="22"/>
        </w:rPr>
        <w:t>Forward thinking</w:t>
      </w:r>
    </w:p>
    <w:p w:rsidR="00363DFB" w:rsidRPr="008C0327" w:rsidRDefault="00363DFB" w:rsidP="00363DFB">
      <w:pPr>
        <w:numPr>
          <w:ilvl w:val="0"/>
          <w:numId w:val="31"/>
        </w:numPr>
        <w:rPr>
          <w:rFonts w:ascii="Arial" w:hAnsi="Arial" w:cs="Arial"/>
          <w:sz w:val="22"/>
          <w:szCs w:val="22"/>
        </w:rPr>
      </w:pPr>
      <w:r w:rsidRPr="008C0327">
        <w:rPr>
          <w:rFonts w:ascii="Arial" w:hAnsi="Arial" w:cs="Arial"/>
          <w:sz w:val="22"/>
          <w:szCs w:val="22"/>
        </w:rPr>
        <w:t>Flexible, adaptable and pragmatic</w:t>
      </w:r>
    </w:p>
    <w:p w:rsidR="00363DFB" w:rsidRPr="008C0327" w:rsidRDefault="00363DFB" w:rsidP="00363DFB">
      <w:pPr>
        <w:numPr>
          <w:ilvl w:val="0"/>
          <w:numId w:val="31"/>
        </w:numPr>
        <w:rPr>
          <w:rFonts w:ascii="Arial" w:hAnsi="Arial" w:cs="Arial"/>
          <w:sz w:val="22"/>
          <w:szCs w:val="22"/>
        </w:rPr>
      </w:pPr>
      <w:r w:rsidRPr="008C0327">
        <w:rPr>
          <w:rFonts w:ascii="Arial" w:hAnsi="Arial" w:cs="Arial"/>
          <w:sz w:val="22"/>
          <w:szCs w:val="22"/>
        </w:rPr>
        <w:t>Strong client focus</w:t>
      </w:r>
    </w:p>
    <w:p w:rsidR="00363DFB" w:rsidRPr="008C0327" w:rsidRDefault="00363DFB" w:rsidP="00363DFB">
      <w:pPr>
        <w:numPr>
          <w:ilvl w:val="0"/>
          <w:numId w:val="31"/>
        </w:numPr>
        <w:rPr>
          <w:rFonts w:ascii="Arial" w:hAnsi="Arial" w:cs="Arial"/>
          <w:sz w:val="22"/>
          <w:szCs w:val="22"/>
        </w:rPr>
      </w:pPr>
      <w:r w:rsidRPr="008C0327">
        <w:rPr>
          <w:rFonts w:ascii="Arial" w:hAnsi="Arial" w:cs="Arial"/>
          <w:sz w:val="22"/>
          <w:szCs w:val="22"/>
        </w:rPr>
        <w:t>Welcomes and values diversity, and contributes to an inclusive working environment where differences are acknowledged and respected</w:t>
      </w:r>
    </w:p>
    <w:p w:rsidR="00363DFB" w:rsidRPr="008C0327" w:rsidRDefault="00363DFB" w:rsidP="00363DFB">
      <w:pPr>
        <w:numPr>
          <w:ilvl w:val="0"/>
          <w:numId w:val="31"/>
        </w:numPr>
        <w:rPr>
          <w:rFonts w:ascii="Arial" w:hAnsi="Arial" w:cs="Arial"/>
          <w:sz w:val="22"/>
          <w:szCs w:val="22"/>
        </w:rPr>
      </w:pPr>
      <w:r w:rsidRPr="008C0327">
        <w:rPr>
          <w:rFonts w:ascii="Arial" w:hAnsi="Arial" w:cs="Arial"/>
          <w:sz w:val="22"/>
          <w:szCs w:val="22"/>
        </w:rPr>
        <w:t>Ability to deal with multi-complex issues</w:t>
      </w:r>
    </w:p>
    <w:p w:rsidR="00363DFB" w:rsidRPr="008C0327" w:rsidRDefault="00363DFB" w:rsidP="00363DFB">
      <w:pPr>
        <w:numPr>
          <w:ilvl w:val="0"/>
          <w:numId w:val="31"/>
        </w:numPr>
        <w:rPr>
          <w:rFonts w:ascii="Arial" w:hAnsi="Arial" w:cs="Arial"/>
          <w:sz w:val="22"/>
          <w:szCs w:val="22"/>
        </w:rPr>
      </w:pPr>
      <w:r w:rsidRPr="008C0327">
        <w:rPr>
          <w:rFonts w:ascii="Arial" w:hAnsi="Arial" w:cs="Arial"/>
          <w:sz w:val="22"/>
          <w:szCs w:val="22"/>
        </w:rPr>
        <w:t>A proven team player</w:t>
      </w:r>
      <w:r>
        <w:rPr>
          <w:rFonts w:ascii="Arial" w:hAnsi="Arial" w:cs="Arial"/>
          <w:sz w:val="22"/>
          <w:szCs w:val="22"/>
        </w:rPr>
        <w:t>.</w:t>
      </w:r>
    </w:p>
    <w:p w:rsidR="00363DFB" w:rsidRDefault="00363DFB" w:rsidP="00363DFB">
      <w:pPr>
        <w:rPr>
          <w:rFonts w:ascii="Arial" w:hAnsi="Arial" w:cs="Arial"/>
          <w:sz w:val="22"/>
          <w:szCs w:val="22"/>
          <w:highlight w:val="cyan"/>
        </w:rPr>
      </w:pPr>
    </w:p>
    <w:p w:rsidR="00363DFB" w:rsidRDefault="00363DFB" w:rsidP="00363DFB">
      <w:pPr>
        <w:rPr>
          <w:rFonts w:ascii="Arial" w:hAnsi="Arial" w:cs="Arial"/>
          <w:b/>
          <w:sz w:val="24"/>
          <w:szCs w:val="24"/>
        </w:rPr>
      </w:pPr>
      <w:r w:rsidRPr="00845A7C">
        <w:rPr>
          <w:rFonts w:ascii="Arial" w:hAnsi="Arial" w:cs="Arial"/>
          <w:b/>
          <w:sz w:val="24"/>
          <w:szCs w:val="24"/>
        </w:rPr>
        <w:t>Other Requirements</w:t>
      </w:r>
    </w:p>
    <w:p w:rsidR="00363DFB" w:rsidRPr="00845A7C" w:rsidRDefault="00363DFB" w:rsidP="00363DFB">
      <w:pPr>
        <w:rPr>
          <w:rFonts w:ascii="Arial" w:hAnsi="Arial" w:cs="Arial"/>
          <w:b/>
          <w:sz w:val="24"/>
          <w:szCs w:val="24"/>
        </w:rPr>
      </w:pPr>
    </w:p>
    <w:p w:rsidR="00363DFB" w:rsidRPr="00845A7C" w:rsidRDefault="00363DFB" w:rsidP="00363DFB">
      <w:pPr>
        <w:numPr>
          <w:ilvl w:val="0"/>
          <w:numId w:val="31"/>
        </w:numPr>
        <w:jc w:val="both"/>
        <w:rPr>
          <w:rFonts w:ascii="Arial" w:hAnsi="Arial" w:cs="Arial"/>
          <w:sz w:val="22"/>
          <w:szCs w:val="22"/>
        </w:rPr>
      </w:pPr>
      <w:r w:rsidRPr="00845A7C">
        <w:rPr>
          <w:rFonts w:ascii="Arial" w:hAnsi="Arial" w:cs="Arial"/>
          <w:sz w:val="22"/>
          <w:szCs w:val="22"/>
        </w:rPr>
        <w:t>Willing to travel to fulfil job requirements</w:t>
      </w:r>
      <w:r>
        <w:rPr>
          <w:rFonts w:ascii="Arial" w:hAnsi="Arial" w:cs="Arial"/>
          <w:sz w:val="22"/>
          <w:szCs w:val="22"/>
        </w:rPr>
        <w:t>.</w:t>
      </w:r>
    </w:p>
    <w:p w:rsidR="00785D06" w:rsidRDefault="00785D06" w:rsidP="0017273D">
      <w:pPr>
        <w:widowControl w:val="0"/>
        <w:jc w:val="both"/>
      </w:pPr>
    </w:p>
    <w:sectPr w:rsidR="00785D06" w:rsidSect="0017273D">
      <w:headerReference w:type="even" r:id="rId9"/>
      <w:headerReference w:type="default" r:id="rId10"/>
      <w:footerReference w:type="even" r:id="rId11"/>
      <w:footerReference w:type="default" r:id="rId12"/>
      <w:headerReference w:type="first" r:id="rId13"/>
      <w:footerReference w:type="first" r:id="rId14"/>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F4" w:rsidRDefault="000B43F4">
      <w:r>
        <w:separator/>
      </w:r>
    </w:p>
  </w:endnote>
  <w:endnote w:type="continuationSeparator" w:id="0">
    <w:p w:rsidR="000B43F4" w:rsidRDefault="000B4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FB" w:rsidRDefault="00363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trPr>
        <w:trHeight w:val="322"/>
        <w:jc w:val="right"/>
      </w:trPr>
      <w:tc>
        <w:tcPr>
          <w:tcW w:w="12573" w:type="dxa"/>
          <w:shd w:val="clear" w:color="auto" w:fill="auto"/>
          <w:vAlign w:val="center"/>
        </w:tcPr>
        <w:p w:rsidR="00785D06" w:rsidRDefault="0015019F" w:rsidP="00A07CB2">
          <w:pPr>
            <w:pStyle w:val="Footer"/>
            <w:tabs>
              <w:tab w:val="right" w:pos="9072"/>
            </w:tabs>
            <w:jc w:val="right"/>
            <w:rPr>
              <w:rFonts w:ascii="Arial" w:hAnsi="Arial"/>
              <w:sz w:val="19"/>
            </w:rPr>
          </w:pPr>
          <w:r>
            <w:rPr>
              <w:rFonts w:ascii="Arial" w:hAnsi="Arial" w:cs="Arial"/>
            </w:rPr>
            <w:t>Principal Analyst</w:t>
          </w:r>
        </w:p>
      </w:tc>
      <w:tc>
        <w:tcPr>
          <w:tcW w:w="747" w:type="dxa"/>
          <w:shd w:val="clear" w:color="auto" w:fill="000000"/>
          <w:vAlign w:val="center"/>
        </w:tcPr>
        <w:p w:rsidR="00785D06" w:rsidRDefault="00C01F4C">
          <w:pPr>
            <w:pStyle w:val="Footer"/>
            <w:tabs>
              <w:tab w:val="right" w:pos="9072"/>
            </w:tabs>
            <w:rPr>
              <w:rFonts w:ascii="Arial" w:hAnsi="Arial"/>
              <w:sz w:val="19"/>
            </w:rPr>
          </w:pPr>
          <w:r>
            <w:rPr>
              <w:rFonts w:ascii="Arial" w:hAnsi="Arial"/>
              <w:sz w:val="19"/>
            </w:rPr>
            <w:fldChar w:fldCharType="begin"/>
          </w:r>
          <w:r>
            <w:rPr>
              <w:rStyle w:val="PageNumber"/>
              <w:rFonts w:ascii="Arial" w:hAnsi="Arial"/>
              <w:sz w:val="19"/>
            </w:rPr>
            <w:instrText xml:space="preserve"> PAGE </w:instrText>
          </w:r>
          <w:r>
            <w:rPr>
              <w:rFonts w:ascii="Arial" w:hAnsi="Arial"/>
              <w:sz w:val="19"/>
            </w:rPr>
            <w:fldChar w:fldCharType="separate"/>
          </w:r>
          <w:r w:rsidR="00D3713B">
            <w:rPr>
              <w:rStyle w:val="PageNumber"/>
              <w:rFonts w:ascii="Arial" w:hAnsi="Arial"/>
              <w:noProof/>
              <w:sz w:val="19"/>
            </w:rPr>
            <w:t>2</w:t>
          </w:r>
          <w:r>
            <w:rPr>
              <w:rFonts w:ascii="Arial" w:hAnsi="Arial"/>
              <w:sz w:val="19"/>
            </w:rPr>
            <w:fldChar w:fldCharType="end"/>
          </w:r>
        </w:p>
      </w:tc>
    </w:tr>
  </w:tbl>
  <w:p w:rsidR="00785D06" w:rsidRDefault="00785D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FB" w:rsidRDefault="00363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F4" w:rsidRDefault="000B43F4">
      <w:r>
        <w:separator/>
      </w:r>
    </w:p>
  </w:footnote>
  <w:footnote w:type="continuationSeparator" w:id="0">
    <w:p w:rsidR="000B43F4" w:rsidRDefault="000B4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FB" w:rsidRDefault="00D3713B">
    <w:pPr>
      <w:pStyle w:val="Head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7168" o:spid="_x0000_s2050"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06" w:rsidRDefault="00D3713B">
    <w:pPr>
      <w:pStyle w:val="Header"/>
      <w:jc w:val="center"/>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7169" o:spid="_x0000_s2051"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D3713B">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noProof/>
              <w:color w:val="999999"/>
              <w:sz w:val="56"/>
              <w:szCs w:val="56"/>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07167" o:spid="_x0000_s2049" type="#_x0000_t75" style="position:absolute;margin-left:0;margin-top:0;width:432.2pt;height:566.65pt;z-index:-251658240;mso-position-horizontal:center;mso-position-horizontal-relative:margin;mso-position-vertical:center;mso-position-vertical-relative:margin" o:allowincell="f">
                <v:imagedata r:id="rId1" o:title="PD watermark"/>
                <w10:wrap anchorx="margin" anchory="margin"/>
              </v:shape>
            </w:pict>
          </w:r>
          <w:r w:rsidR="00C01F4C">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1D48BDF" wp14:editId="7206AF78">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C01F4C">
    <w:pPr>
      <w:pStyle w:val="Header"/>
    </w:pPr>
    <w:r>
      <w:rPr>
        <w:sz w:val="22"/>
      </w:rPr>
      <w:tab/>
    </w: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nsid w:val="182C0725"/>
    <w:multiLevelType w:val="hybridMultilevel"/>
    <w:tmpl w:val="7F7677F6"/>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A3665A2"/>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5">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D616531"/>
    <w:multiLevelType w:val="hybridMultilevel"/>
    <w:tmpl w:val="845A1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F777930"/>
    <w:multiLevelType w:val="hybridMultilevel"/>
    <w:tmpl w:val="F8764C7A"/>
    <w:lvl w:ilvl="0" w:tplc="36885940">
      <w:start w:val="1"/>
      <w:numFmt w:val="bullet"/>
      <w:lvlText w:val="­"/>
      <w:lvlJc w:val="left"/>
      <w:pPr>
        <w:ind w:left="420" w:hanging="360"/>
      </w:pPr>
      <w:rPr>
        <w:rFonts w:ascii="Courier New" w:hAnsi="Courier New"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8">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7A001B1"/>
    <w:multiLevelType w:val="hybridMultilevel"/>
    <w:tmpl w:val="3C1C65E2"/>
    <w:lvl w:ilvl="0" w:tplc="14090003">
      <w:start w:val="1"/>
      <w:numFmt w:val="bullet"/>
      <w:lvlText w:val="o"/>
      <w:lvlJc w:val="left"/>
      <w:pPr>
        <w:ind w:left="420" w:hanging="360"/>
      </w:pPr>
      <w:rPr>
        <w:rFonts w:ascii="Courier New" w:hAnsi="Courier New" w:cs="Courier New"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0">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CCB5990"/>
    <w:multiLevelType w:val="hybridMultilevel"/>
    <w:tmpl w:val="9E3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3E65C75"/>
    <w:multiLevelType w:val="hybridMultilevel"/>
    <w:tmpl w:val="795E7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nsid w:val="6B735839"/>
    <w:multiLevelType w:val="hybridMultilevel"/>
    <w:tmpl w:val="91D8A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76B7247F"/>
    <w:multiLevelType w:val="hybridMultilevel"/>
    <w:tmpl w:val="18189BF4"/>
    <w:lvl w:ilvl="0" w:tplc="E86C2D6C">
      <w:numFmt w:val="bullet"/>
      <w:lvlText w:val="-"/>
      <w:lvlJc w:val="left"/>
      <w:pPr>
        <w:ind w:left="420" w:hanging="360"/>
      </w:pPr>
      <w:rPr>
        <w:rFonts w:ascii="Arial Mäori" w:eastAsia="Times New Roman" w:hAnsi="Arial Mäori"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32">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23"/>
  </w:num>
  <w:num w:numId="4">
    <w:abstractNumId w:val="33"/>
  </w:num>
  <w:num w:numId="5">
    <w:abstractNumId w:val="10"/>
  </w:num>
  <w:num w:numId="6">
    <w:abstractNumId w:val="11"/>
  </w:num>
  <w:num w:numId="7">
    <w:abstractNumId w:val="8"/>
  </w:num>
  <w:num w:numId="8">
    <w:abstractNumId w:val="5"/>
  </w:num>
  <w:num w:numId="9">
    <w:abstractNumId w:val="15"/>
  </w:num>
  <w:num w:numId="10">
    <w:abstractNumId w:val="3"/>
  </w:num>
  <w:num w:numId="11">
    <w:abstractNumId w:val="29"/>
  </w:num>
  <w:num w:numId="12">
    <w:abstractNumId w:val="13"/>
  </w:num>
  <w:num w:numId="13">
    <w:abstractNumId w:val="26"/>
  </w:num>
  <w:num w:numId="14">
    <w:abstractNumId w:val="32"/>
  </w:num>
  <w:num w:numId="15">
    <w:abstractNumId w:val="34"/>
  </w:num>
  <w:num w:numId="16">
    <w:abstractNumId w:val="2"/>
  </w:num>
  <w:num w:numId="17">
    <w:abstractNumId w:val="4"/>
  </w:num>
  <w:num w:numId="18">
    <w:abstractNumId w:val="1"/>
  </w:num>
  <w:num w:numId="19">
    <w:abstractNumId w:val="24"/>
  </w:num>
  <w:num w:numId="20">
    <w:abstractNumId w:val="27"/>
  </w:num>
  <w:num w:numId="21">
    <w:abstractNumId w:val="12"/>
  </w:num>
  <w:num w:numId="22">
    <w:abstractNumId w:val="18"/>
  </w:num>
  <w:num w:numId="23">
    <w:abstractNumId w:val="30"/>
  </w:num>
  <w:num w:numId="24">
    <w:abstractNumId w:val="7"/>
  </w:num>
  <w:num w:numId="25">
    <w:abstractNumId w:val="28"/>
  </w:num>
  <w:num w:numId="26">
    <w:abstractNumId w:val="9"/>
  </w:num>
  <w:num w:numId="27">
    <w:abstractNumId w:val="16"/>
  </w:num>
  <w:num w:numId="28">
    <w:abstractNumId w:val="25"/>
  </w:num>
  <w:num w:numId="29">
    <w:abstractNumId w:val="21"/>
  </w:num>
  <w:num w:numId="30">
    <w:abstractNumId w:val="31"/>
  </w:num>
  <w:num w:numId="31">
    <w:abstractNumId w:val="22"/>
  </w:num>
  <w:num w:numId="32">
    <w:abstractNumId w:val="19"/>
  </w:num>
  <w:num w:numId="33">
    <w:abstractNumId w:val="17"/>
  </w:num>
  <w:num w:numId="34">
    <w:abstractNumId w:val="14"/>
  </w:num>
  <w:num w:numId="3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Leffler">
    <w15:presenceInfo w15:providerId="None" w15:userId="Nick Leffler"/>
  </w15:person>
  <w15:person w15:author="Alice Hartley">
    <w15:presenceInfo w15:providerId="AD" w15:userId="S-1-5-21-1956342663-848501951-1261251303-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82F"/>
    <w:rsid w:val="00034DDC"/>
    <w:rsid w:val="000454AF"/>
    <w:rsid w:val="00061C84"/>
    <w:rsid w:val="000933BB"/>
    <w:rsid w:val="000B43F4"/>
    <w:rsid w:val="000B6745"/>
    <w:rsid w:val="000C2CE7"/>
    <w:rsid w:val="000C6DF1"/>
    <w:rsid w:val="00107658"/>
    <w:rsid w:val="00115647"/>
    <w:rsid w:val="00122E1A"/>
    <w:rsid w:val="00146628"/>
    <w:rsid w:val="0015019F"/>
    <w:rsid w:val="0017273D"/>
    <w:rsid w:val="00172A27"/>
    <w:rsid w:val="00180308"/>
    <w:rsid w:val="00180691"/>
    <w:rsid w:val="00197F00"/>
    <w:rsid w:val="001E73B2"/>
    <w:rsid w:val="00226AEC"/>
    <w:rsid w:val="00233C83"/>
    <w:rsid w:val="00251B0E"/>
    <w:rsid w:val="00266B65"/>
    <w:rsid w:val="0028734C"/>
    <w:rsid w:val="002A5E37"/>
    <w:rsid w:val="002B6804"/>
    <w:rsid w:val="00300A07"/>
    <w:rsid w:val="0032416B"/>
    <w:rsid w:val="0035211C"/>
    <w:rsid w:val="00354704"/>
    <w:rsid w:val="00363DFB"/>
    <w:rsid w:val="00396107"/>
    <w:rsid w:val="003A57D1"/>
    <w:rsid w:val="003B7734"/>
    <w:rsid w:val="003D4172"/>
    <w:rsid w:val="003D73FF"/>
    <w:rsid w:val="0041414A"/>
    <w:rsid w:val="004239D4"/>
    <w:rsid w:val="00432C25"/>
    <w:rsid w:val="00463E92"/>
    <w:rsid w:val="004D3CA7"/>
    <w:rsid w:val="004F7E48"/>
    <w:rsid w:val="0050478A"/>
    <w:rsid w:val="0055387C"/>
    <w:rsid w:val="005611C1"/>
    <w:rsid w:val="005C23C8"/>
    <w:rsid w:val="005D65B7"/>
    <w:rsid w:val="00600B2C"/>
    <w:rsid w:val="00670069"/>
    <w:rsid w:val="006979C8"/>
    <w:rsid w:val="006E68B6"/>
    <w:rsid w:val="006F4668"/>
    <w:rsid w:val="00713C63"/>
    <w:rsid w:val="00743B10"/>
    <w:rsid w:val="00764BD9"/>
    <w:rsid w:val="00773D74"/>
    <w:rsid w:val="00785D06"/>
    <w:rsid w:val="007A708E"/>
    <w:rsid w:val="007B1A87"/>
    <w:rsid w:val="00807D50"/>
    <w:rsid w:val="00821FE2"/>
    <w:rsid w:val="00846AB4"/>
    <w:rsid w:val="008716B2"/>
    <w:rsid w:val="0088619A"/>
    <w:rsid w:val="008B0F5F"/>
    <w:rsid w:val="008C0327"/>
    <w:rsid w:val="008E016E"/>
    <w:rsid w:val="008E5956"/>
    <w:rsid w:val="0093714E"/>
    <w:rsid w:val="00940D97"/>
    <w:rsid w:val="009629AB"/>
    <w:rsid w:val="009847A3"/>
    <w:rsid w:val="009920E0"/>
    <w:rsid w:val="00995693"/>
    <w:rsid w:val="00996CBB"/>
    <w:rsid w:val="009B034C"/>
    <w:rsid w:val="00A07CB2"/>
    <w:rsid w:val="00A37478"/>
    <w:rsid w:val="00A4624A"/>
    <w:rsid w:val="00AE22A3"/>
    <w:rsid w:val="00AF2C7B"/>
    <w:rsid w:val="00B179CD"/>
    <w:rsid w:val="00B21753"/>
    <w:rsid w:val="00B23B41"/>
    <w:rsid w:val="00B40946"/>
    <w:rsid w:val="00B75B57"/>
    <w:rsid w:val="00BB11F8"/>
    <w:rsid w:val="00BE6482"/>
    <w:rsid w:val="00BF2DCF"/>
    <w:rsid w:val="00C01F4C"/>
    <w:rsid w:val="00C056FA"/>
    <w:rsid w:val="00C160A6"/>
    <w:rsid w:val="00C20B71"/>
    <w:rsid w:val="00C34B48"/>
    <w:rsid w:val="00C607FA"/>
    <w:rsid w:val="00CE5760"/>
    <w:rsid w:val="00D047BB"/>
    <w:rsid w:val="00D36E38"/>
    <w:rsid w:val="00D3713B"/>
    <w:rsid w:val="00D84DF4"/>
    <w:rsid w:val="00DA6495"/>
    <w:rsid w:val="00DA680E"/>
    <w:rsid w:val="00DC2BFE"/>
    <w:rsid w:val="00DC7EE9"/>
    <w:rsid w:val="00DF5375"/>
    <w:rsid w:val="00E15629"/>
    <w:rsid w:val="00E37B00"/>
    <w:rsid w:val="00E5194E"/>
    <w:rsid w:val="00E56222"/>
    <w:rsid w:val="00E91E2B"/>
    <w:rsid w:val="00EA44A0"/>
    <w:rsid w:val="00EC0753"/>
    <w:rsid w:val="00EE34E3"/>
    <w:rsid w:val="00EE4FFF"/>
    <w:rsid w:val="00F04FCF"/>
    <w:rsid w:val="00F05E16"/>
    <w:rsid w:val="00F06FDF"/>
    <w:rsid w:val="00F3173B"/>
    <w:rsid w:val="00F5235F"/>
    <w:rsid w:val="00FA2DD4"/>
    <w:rsid w:val="00FC0683"/>
    <w:rsid w:val="00FC3583"/>
    <w:rsid w:val="00FC4AB5"/>
    <w:rsid w:val="00FC508E"/>
    <w:rsid w:val="00FF4716"/>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8C0327"/>
    <w:rPr>
      <w:lang w:val="en-GB" w:eastAsia="en-US"/>
    </w:rPr>
  </w:style>
  <w:style w:type="paragraph" w:customStyle="1" w:styleId="Default">
    <w:name w:val="Default"/>
    <w:rsid w:val="00B40946"/>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8C0327"/>
    <w:rPr>
      <w:lang w:val="en-GB" w:eastAsia="en-US"/>
    </w:rPr>
  </w:style>
  <w:style w:type="paragraph" w:customStyle="1" w:styleId="Default">
    <w:name w:val="Default"/>
    <w:rsid w:val="00B4094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8C2C8-56E0-4211-AE1C-B52DC068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8568</Characters>
  <Application>Microsoft Office Word</Application>
  <DocSecurity>4</DocSecurity>
  <PresentationFormat/>
  <Lines>71</Lines>
  <Paragraphs>20</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Amanda Arthurs</cp:lastModifiedBy>
  <cp:revision>2</cp:revision>
  <cp:lastPrinted>2018-07-24T00:56:00Z</cp:lastPrinted>
  <dcterms:created xsi:type="dcterms:W3CDTF">2018-10-31T00:34:00Z</dcterms:created>
  <dcterms:modified xsi:type="dcterms:W3CDTF">2018-10-31T00:34:00Z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A10908632</vt:lpwstr>
  </property>
  <property fmtid="{D5CDD505-2E9C-101B-9397-08002B2CF9AE}" pid="3" name="Objective-Comment">
    <vt:lpwstr/>
  </property>
  <property fmtid="{D5CDD505-2E9C-101B-9397-08002B2CF9AE}" pid="4" name="Objective-CreationStamp">
    <vt:filetime>2018-10-28T21:00:44Z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2018-10-28T21:01:08Z</vt:filetime>
  </property>
  <property fmtid="{D5CDD505-2E9C-101B-9397-08002B2CF9AE}" pid="8" name="Objective-ModificationStamp">
    <vt:filetime>2018-10-28T21:01:08Z</vt:filetime>
  </property>
  <property fmtid="{D5CDD505-2E9C-101B-9397-08002B2CF9AE}" pid="9" name="Objective-Owner">
    <vt:lpwstr>Sophorn Son-Smith</vt:lpwstr>
  </property>
  <property fmtid="{D5CDD505-2E9C-101B-9397-08002B2CF9AE}" pid="10" name="Objective-Path">
    <vt:lpwstr>Global Folder:MSD INFORMATION REPOSITORY:Corporate Management and Administration:Human Resources:Human Resources Strategy:Corporate (OSL, OST, OI and CE's Office):Position &amp; Change Management:CORPORATE SOLUTIONS:Historic Claims (formerly Claims Resolution</vt:lpwstr>
  </property>
  <property fmtid="{D5CDD505-2E9C-101B-9397-08002B2CF9AE}" pid="11" name="Objective-Parent">
    <vt:lpwstr>3.2 Final Position Descriptions</vt:lpwstr>
  </property>
  <property fmtid="{D5CDD505-2E9C-101B-9397-08002B2CF9AE}" pid="12" name="Objective-State">
    <vt:lpwstr>Published</vt:lpwstr>
  </property>
  <property fmtid="{D5CDD505-2E9C-101B-9397-08002B2CF9AE}" pid="13" name="Objective-Title">
    <vt:lpwstr>12. Principal Analyst</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CT/HU/02/07/08</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