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3A" w:rsidRPr="00912381" w:rsidRDefault="00B603B0" w:rsidP="00912381">
      <w:pPr>
        <w:rPr>
          <w:sz w:val="52"/>
          <w:szCs w:val="52"/>
        </w:rPr>
      </w:pPr>
      <w:bookmarkStart w:id="0" w:name="_GoBack"/>
      <w:bookmarkEnd w:id="0"/>
      <w:r w:rsidRPr="00912381">
        <w:rPr>
          <w:sz w:val="52"/>
          <w:szCs w:val="52"/>
        </w:rPr>
        <w:t xml:space="preserve">Care and Support Worker </w:t>
      </w:r>
      <w:r w:rsidR="000D553A" w:rsidRPr="00912381">
        <w:rPr>
          <w:sz w:val="52"/>
          <w:szCs w:val="52"/>
        </w:rPr>
        <w:t xml:space="preserve">Pay Equity Settlement </w:t>
      </w:r>
    </w:p>
    <w:p w:rsidR="00912381" w:rsidRDefault="00912381" w:rsidP="00912381">
      <w:pPr>
        <w:rPr>
          <w:sz w:val="40"/>
          <w:szCs w:val="40"/>
        </w:rPr>
      </w:pPr>
    </w:p>
    <w:p w:rsidR="00853167" w:rsidRPr="00912381" w:rsidRDefault="00B603B0" w:rsidP="00912381">
      <w:pPr>
        <w:rPr>
          <w:sz w:val="40"/>
          <w:szCs w:val="40"/>
        </w:rPr>
      </w:pPr>
      <w:r w:rsidRPr="00912381">
        <w:rPr>
          <w:sz w:val="40"/>
          <w:szCs w:val="40"/>
        </w:rPr>
        <w:t>Frequently-asked questions</w:t>
      </w:r>
    </w:p>
    <w:p w:rsidR="00912381" w:rsidRDefault="00912381" w:rsidP="00853167">
      <w:pPr>
        <w:rPr>
          <w:rFonts w:ascii="Verdana" w:hAnsi="Verdana"/>
          <w:b/>
          <w:iCs/>
          <w:sz w:val="24"/>
          <w:u w:val="single"/>
          <w:lang w:eastAsia="en-NZ"/>
        </w:rPr>
      </w:pPr>
    </w:p>
    <w:p w:rsidR="00853167" w:rsidRPr="00520E18" w:rsidRDefault="00520E18" w:rsidP="00853167">
      <w:pPr>
        <w:rPr>
          <w:rFonts w:ascii="Verdana" w:hAnsi="Verdana"/>
          <w:b/>
          <w:iCs/>
          <w:sz w:val="24"/>
          <w:u w:val="single"/>
          <w:lang w:eastAsia="en-NZ"/>
        </w:rPr>
      </w:pPr>
      <w:r w:rsidRPr="00520E18">
        <w:rPr>
          <w:rFonts w:ascii="Verdana" w:hAnsi="Verdana"/>
          <w:b/>
          <w:iCs/>
          <w:sz w:val="24"/>
          <w:u w:val="single"/>
          <w:lang w:eastAsia="en-NZ"/>
        </w:rPr>
        <w:t xml:space="preserve">Version </w:t>
      </w:r>
      <w:r w:rsidR="006D79AB">
        <w:rPr>
          <w:rFonts w:ascii="Verdana" w:hAnsi="Verdana"/>
          <w:b/>
          <w:iCs/>
          <w:sz w:val="24"/>
          <w:u w:val="single"/>
          <w:lang w:eastAsia="en-NZ"/>
        </w:rPr>
        <w:t>2</w:t>
      </w:r>
      <w:r w:rsidR="007B0BFF">
        <w:rPr>
          <w:rFonts w:ascii="Verdana" w:hAnsi="Verdana"/>
          <w:b/>
          <w:iCs/>
          <w:sz w:val="24"/>
          <w:u w:val="single"/>
          <w:lang w:eastAsia="en-NZ"/>
        </w:rPr>
        <w:t>.0 – 20</w:t>
      </w:r>
      <w:r w:rsidRPr="00520E18">
        <w:rPr>
          <w:rFonts w:ascii="Verdana" w:hAnsi="Verdana"/>
          <w:b/>
          <w:iCs/>
          <w:sz w:val="24"/>
          <w:u w:val="single"/>
          <w:lang w:eastAsia="en-NZ"/>
        </w:rPr>
        <w:t xml:space="preserve"> </w:t>
      </w:r>
      <w:r w:rsidR="006D79AB">
        <w:rPr>
          <w:rFonts w:ascii="Verdana" w:hAnsi="Verdana"/>
          <w:b/>
          <w:iCs/>
          <w:sz w:val="24"/>
          <w:u w:val="single"/>
          <w:lang w:eastAsia="en-NZ"/>
        </w:rPr>
        <w:t>July 2018</w:t>
      </w:r>
    </w:p>
    <w:p w:rsidR="00520E18" w:rsidRDefault="00520E18" w:rsidP="00853167">
      <w:pPr>
        <w:rPr>
          <w:rFonts w:ascii="Verdana" w:hAnsi="Verdana"/>
          <w:iCs/>
          <w:sz w:val="20"/>
          <w:lang w:eastAsia="en-NZ"/>
        </w:rPr>
      </w:pPr>
    </w:p>
    <w:p w:rsidR="00520E18" w:rsidRDefault="00520E18" w:rsidP="00853167">
      <w:pPr>
        <w:rPr>
          <w:rFonts w:ascii="Verdana" w:hAnsi="Verdana"/>
          <w:iCs/>
          <w:sz w:val="20"/>
          <w:lang w:eastAsia="en-NZ"/>
        </w:rPr>
      </w:pPr>
    </w:p>
    <w:sdt>
      <w:sdtPr>
        <w:rPr>
          <w:rFonts w:eastAsia="Times New Roman" w:cs="Times New Roman"/>
          <w:b w:val="0"/>
          <w:bCs w:val="0"/>
          <w:sz w:val="22"/>
          <w:szCs w:val="20"/>
          <w:lang w:val="en-NZ" w:eastAsia="en-GB"/>
        </w:rPr>
        <w:id w:val="726040330"/>
        <w:docPartObj>
          <w:docPartGallery w:val="Table of Contents"/>
          <w:docPartUnique/>
        </w:docPartObj>
      </w:sdtPr>
      <w:sdtEndPr>
        <w:rPr>
          <w:noProof/>
        </w:rPr>
      </w:sdtEndPr>
      <w:sdtContent>
        <w:p w:rsidR="00912381" w:rsidRDefault="00912381">
          <w:pPr>
            <w:pStyle w:val="TOCHeading"/>
          </w:pPr>
          <w:r>
            <w:t>Contents</w:t>
          </w:r>
        </w:p>
        <w:p w:rsidR="003E0F39" w:rsidRDefault="00912381">
          <w:pPr>
            <w:pStyle w:val="TOC2"/>
            <w:tabs>
              <w:tab w:val="right" w:leader="dot" w:pos="9016"/>
            </w:tabs>
            <w:rPr>
              <w:rFonts w:asciiTheme="minorHAnsi" w:eastAsiaTheme="minorEastAsia" w:hAnsiTheme="minorHAnsi" w:cstheme="minorBidi"/>
              <w:noProof/>
              <w:szCs w:val="22"/>
              <w:lang w:eastAsia="en-NZ"/>
            </w:rPr>
          </w:pPr>
          <w:r>
            <w:fldChar w:fldCharType="begin"/>
          </w:r>
          <w:r>
            <w:instrText xml:space="preserve"> TOC \o "1-3" \h \z \u </w:instrText>
          </w:r>
          <w:r>
            <w:fldChar w:fldCharType="separate"/>
          </w:r>
          <w:hyperlink w:anchor="_Toc496170662" w:history="1">
            <w:r w:rsidR="003E0F39" w:rsidRPr="00DD6CD4">
              <w:rPr>
                <w:rStyle w:val="Hyperlink"/>
                <w:noProof/>
              </w:rPr>
              <w:t>Eligibility for pay equity</w:t>
            </w:r>
            <w:r w:rsidR="003E0F39">
              <w:rPr>
                <w:noProof/>
                <w:webHidden/>
              </w:rPr>
              <w:tab/>
            </w:r>
            <w:r w:rsidR="003E0F39">
              <w:rPr>
                <w:noProof/>
                <w:webHidden/>
              </w:rPr>
              <w:fldChar w:fldCharType="begin"/>
            </w:r>
            <w:r w:rsidR="003E0F39">
              <w:rPr>
                <w:noProof/>
                <w:webHidden/>
              </w:rPr>
              <w:instrText xml:space="preserve"> PAGEREF _Toc496170662 \h </w:instrText>
            </w:r>
            <w:r w:rsidR="003E0F39">
              <w:rPr>
                <w:noProof/>
                <w:webHidden/>
              </w:rPr>
            </w:r>
            <w:r w:rsidR="003E0F39">
              <w:rPr>
                <w:noProof/>
                <w:webHidden/>
              </w:rPr>
              <w:fldChar w:fldCharType="separate"/>
            </w:r>
            <w:r w:rsidR="005C4C7E">
              <w:rPr>
                <w:noProof/>
                <w:webHidden/>
              </w:rPr>
              <w:t>1</w:t>
            </w:r>
            <w:r w:rsidR="003E0F39">
              <w:rPr>
                <w:noProof/>
                <w:webHidden/>
              </w:rPr>
              <w:fldChar w:fldCharType="end"/>
            </w:r>
          </w:hyperlink>
        </w:p>
        <w:p w:rsidR="003E0F39" w:rsidRDefault="00CC338C">
          <w:pPr>
            <w:pStyle w:val="TOC2"/>
            <w:tabs>
              <w:tab w:val="right" w:leader="dot" w:pos="9016"/>
            </w:tabs>
            <w:rPr>
              <w:rFonts w:asciiTheme="minorHAnsi" w:eastAsiaTheme="minorEastAsia" w:hAnsiTheme="minorHAnsi" w:cstheme="minorBidi"/>
              <w:noProof/>
              <w:szCs w:val="22"/>
              <w:lang w:eastAsia="en-NZ"/>
            </w:rPr>
          </w:pPr>
          <w:hyperlink w:anchor="_Toc496170663" w:history="1">
            <w:r w:rsidR="003E0F39" w:rsidRPr="00DD6CD4">
              <w:rPr>
                <w:rStyle w:val="Hyperlink"/>
                <w:noProof/>
                <w:lang w:eastAsia="en-NZ"/>
              </w:rPr>
              <w:t>Pay equity rates and funding</w:t>
            </w:r>
            <w:r w:rsidR="003E0F39">
              <w:rPr>
                <w:noProof/>
                <w:webHidden/>
              </w:rPr>
              <w:tab/>
            </w:r>
            <w:r w:rsidR="003E0F39">
              <w:rPr>
                <w:noProof/>
                <w:webHidden/>
              </w:rPr>
              <w:fldChar w:fldCharType="begin"/>
            </w:r>
            <w:r w:rsidR="003E0F39">
              <w:rPr>
                <w:noProof/>
                <w:webHidden/>
              </w:rPr>
              <w:instrText xml:space="preserve"> PAGEREF _Toc496170663 \h </w:instrText>
            </w:r>
            <w:r w:rsidR="003E0F39">
              <w:rPr>
                <w:noProof/>
                <w:webHidden/>
              </w:rPr>
            </w:r>
            <w:r w:rsidR="003E0F39">
              <w:rPr>
                <w:noProof/>
                <w:webHidden/>
              </w:rPr>
              <w:fldChar w:fldCharType="separate"/>
            </w:r>
            <w:r w:rsidR="005C4C7E">
              <w:rPr>
                <w:noProof/>
                <w:webHidden/>
              </w:rPr>
              <w:t>2</w:t>
            </w:r>
            <w:r w:rsidR="003E0F39">
              <w:rPr>
                <w:noProof/>
                <w:webHidden/>
              </w:rPr>
              <w:fldChar w:fldCharType="end"/>
            </w:r>
          </w:hyperlink>
        </w:p>
        <w:p w:rsidR="003E0F39" w:rsidRDefault="00CC338C">
          <w:pPr>
            <w:pStyle w:val="TOC2"/>
            <w:tabs>
              <w:tab w:val="right" w:leader="dot" w:pos="9016"/>
            </w:tabs>
            <w:rPr>
              <w:rFonts w:asciiTheme="minorHAnsi" w:eastAsiaTheme="minorEastAsia" w:hAnsiTheme="minorHAnsi" w:cstheme="minorBidi"/>
              <w:noProof/>
              <w:szCs w:val="22"/>
              <w:lang w:eastAsia="en-NZ"/>
            </w:rPr>
          </w:pPr>
          <w:hyperlink w:anchor="_Toc496170664" w:history="1">
            <w:r w:rsidR="003E0F39" w:rsidRPr="00DD6CD4">
              <w:rPr>
                <w:rStyle w:val="Hyperlink"/>
                <w:noProof/>
                <w:lang w:eastAsia="en-NZ"/>
              </w:rPr>
              <w:t>Support for training</w:t>
            </w:r>
            <w:r w:rsidR="003E0F39">
              <w:rPr>
                <w:noProof/>
                <w:webHidden/>
              </w:rPr>
              <w:tab/>
            </w:r>
            <w:r w:rsidR="003E0F39">
              <w:rPr>
                <w:noProof/>
                <w:webHidden/>
              </w:rPr>
              <w:fldChar w:fldCharType="begin"/>
            </w:r>
            <w:r w:rsidR="003E0F39">
              <w:rPr>
                <w:noProof/>
                <w:webHidden/>
              </w:rPr>
              <w:instrText xml:space="preserve"> PAGEREF _Toc496170664 \h </w:instrText>
            </w:r>
            <w:r w:rsidR="003E0F39">
              <w:rPr>
                <w:noProof/>
                <w:webHidden/>
              </w:rPr>
            </w:r>
            <w:r w:rsidR="003E0F39">
              <w:rPr>
                <w:noProof/>
                <w:webHidden/>
              </w:rPr>
              <w:fldChar w:fldCharType="separate"/>
            </w:r>
            <w:r w:rsidR="005C4C7E">
              <w:rPr>
                <w:noProof/>
                <w:webHidden/>
              </w:rPr>
              <w:t>6</w:t>
            </w:r>
            <w:r w:rsidR="003E0F39">
              <w:rPr>
                <w:noProof/>
                <w:webHidden/>
              </w:rPr>
              <w:fldChar w:fldCharType="end"/>
            </w:r>
          </w:hyperlink>
        </w:p>
        <w:p w:rsidR="003E0F39" w:rsidRDefault="00CC338C">
          <w:pPr>
            <w:pStyle w:val="TOC2"/>
            <w:tabs>
              <w:tab w:val="right" w:leader="dot" w:pos="9016"/>
            </w:tabs>
            <w:rPr>
              <w:rFonts w:asciiTheme="minorHAnsi" w:eastAsiaTheme="minorEastAsia" w:hAnsiTheme="minorHAnsi" w:cstheme="minorBidi"/>
              <w:noProof/>
              <w:szCs w:val="22"/>
              <w:lang w:eastAsia="en-NZ"/>
            </w:rPr>
          </w:pPr>
          <w:hyperlink w:anchor="_Toc496170665" w:history="1">
            <w:r w:rsidR="003E0F39" w:rsidRPr="00DD6CD4">
              <w:rPr>
                <w:rStyle w:val="Hyperlink"/>
                <w:noProof/>
                <w:lang w:eastAsia="en-NZ"/>
              </w:rPr>
              <w:t>Annual leave liability</w:t>
            </w:r>
            <w:r w:rsidR="003E0F39">
              <w:rPr>
                <w:noProof/>
                <w:webHidden/>
              </w:rPr>
              <w:tab/>
            </w:r>
            <w:r w:rsidR="003E0F39">
              <w:rPr>
                <w:noProof/>
                <w:webHidden/>
              </w:rPr>
              <w:fldChar w:fldCharType="begin"/>
            </w:r>
            <w:r w:rsidR="003E0F39">
              <w:rPr>
                <w:noProof/>
                <w:webHidden/>
              </w:rPr>
              <w:instrText xml:space="preserve"> PAGEREF _Toc496170665 \h </w:instrText>
            </w:r>
            <w:r w:rsidR="003E0F39">
              <w:rPr>
                <w:noProof/>
                <w:webHidden/>
              </w:rPr>
            </w:r>
            <w:r w:rsidR="003E0F39">
              <w:rPr>
                <w:noProof/>
                <w:webHidden/>
              </w:rPr>
              <w:fldChar w:fldCharType="separate"/>
            </w:r>
            <w:r w:rsidR="005C4C7E">
              <w:rPr>
                <w:noProof/>
                <w:webHidden/>
              </w:rPr>
              <w:t>7</w:t>
            </w:r>
            <w:r w:rsidR="003E0F39">
              <w:rPr>
                <w:noProof/>
                <w:webHidden/>
              </w:rPr>
              <w:fldChar w:fldCharType="end"/>
            </w:r>
          </w:hyperlink>
        </w:p>
        <w:p w:rsidR="003E0F39" w:rsidRDefault="00CC338C">
          <w:pPr>
            <w:pStyle w:val="TOC2"/>
            <w:tabs>
              <w:tab w:val="right" w:leader="dot" w:pos="9016"/>
            </w:tabs>
            <w:rPr>
              <w:rFonts w:asciiTheme="minorHAnsi" w:eastAsiaTheme="minorEastAsia" w:hAnsiTheme="minorHAnsi" w:cstheme="minorBidi"/>
              <w:noProof/>
              <w:szCs w:val="22"/>
              <w:lang w:eastAsia="en-NZ"/>
            </w:rPr>
          </w:pPr>
          <w:hyperlink w:anchor="_Toc496170666" w:history="1">
            <w:r w:rsidR="003E0F39" w:rsidRPr="00DD6CD4">
              <w:rPr>
                <w:rStyle w:val="Hyperlink"/>
                <w:noProof/>
                <w:lang w:eastAsia="en-NZ"/>
              </w:rPr>
              <w:t>The wash-up process</w:t>
            </w:r>
            <w:r w:rsidR="003E0F39">
              <w:rPr>
                <w:noProof/>
                <w:webHidden/>
              </w:rPr>
              <w:tab/>
            </w:r>
            <w:r w:rsidR="003E0F39">
              <w:rPr>
                <w:noProof/>
                <w:webHidden/>
              </w:rPr>
              <w:fldChar w:fldCharType="begin"/>
            </w:r>
            <w:r w:rsidR="003E0F39">
              <w:rPr>
                <w:noProof/>
                <w:webHidden/>
              </w:rPr>
              <w:instrText xml:space="preserve"> PAGEREF _Toc496170666 \h </w:instrText>
            </w:r>
            <w:r w:rsidR="003E0F39">
              <w:rPr>
                <w:noProof/>
                <w:webHidden/>
              </w:rPr>
            </w:r>
            <w:r w:rsidR="003E0F39">
              <w:rPr>
                <w:noProof/>
                <w:webHidden/>
              </w:rPr>
              <w:fldChar w:fldCharType="separate"/>
            </w:r>
            <w:r w:rsidR="005C4C7E">
              <w:rPr>
                <w:noProof/>
                <w:webHidden/>
              </w:rPr>
              <w:t>9</w:t>
            </w:r>
            <w:r w:rsidR="003E0F39">
              <w:rPr>
                <w:noProof/>
                <w:webHidden/>
              </w:rPr>
              <w:fldChar w:fldCharType="end"/>
            </w:r>
          </w:hyperlink>
        </w:p>
        <w:p w:rsidR="003E0F39" w:rsidRDefault="00CC338C">
          <w:pPr>
            <w:pStyle w:val="TOC2"/>
            <w:tabs>
              <w:tab w:val="right" w:leader="dot" w:pos="9016"/>
            </w:tabs>
            <w:rPr>
              <w:rFonts w:asciiTheme="minorHAnsi" w:eastAsiaTheme="minorEastAsia" w:hAnsiTheme="minorHAnsi" w:cstheme="minorBidi"/>
              <w:noProof/>
              <w:szCs w:val="22"/>
              <w:lang w:eastAsia="en-NZ"/>
            </w:rPr>
          </w:pPr>
          <w:hyperlink w:anchor="_Toc496170667" w:history="1">
            <w:r w:rsidR="003E0F39" w:rsidRPr="00DD6CD4">
              <w:rPr>
                <w:rStyle w:val="Hyperlink"/>
                <w:noProof/>
                <w:lang w:eastAsia="en-NZ"/>
              </w:rPr>
              <w:t>Other questions</w:t>
            </w:r>
            <w:r w:rsidR="003E0F39">
              <w:rPr>
                <w:noProof/>
                <w:webHidden/>
              </w:rPr>
              <w:tab/>
            </w:r>
            <w:r w:rsidR="003E0F39">
              <w:rPr>
                <w:noProof/>
                <w:webHidden/>
              </w:rPr>
              <w:fldChar w:fldCharType="begin"/>
            </w:r>
            <w:r w:rsidR="003E0F39">
              <w:rPr>
                <w:noProof/>
                <w:webHidden/>
              </w:rPr>
              <w:instrText xml:space="preserve"> PAGEREF _Toc496170667 \h </w:instrText>
            </w:r>
            <w:r w:rsidR="003E0F39">
              <w:rPr>
                <w:noProof/>
                <w:webHidden/>
              </w:rPr>
            </w:r>
            <w:r w:rsidR="003E0F39">
              <w:rPr>
                <w:noProof/>
                <w:webHidden/>
              </w:rPr>
              <w:fldChar w:fldCharType="separate"/>
            </w:r>
            <w:r w:rsidR="005C4C7E">
              <w:rPr>
                <w:noProof/>
                <w:webHidden/>
              </w:rPr>
              <w:t>10</w:t>
            </w:r>
            <w:r w:rsidR="003E0F39">
              <w:rPr>
                <w:noProof/>
                <w:webHidden/>
              </w:rPr>
              <w:fldChar w:fldCharType="end"/>
            </w:r>
          </w:hyperlink>
        </w:p>
        <w:p w:rsidR="00912381" w:rsidRDefault="00912381">
          <w:r>
            <w:fldChar w:fldCharType="end"/>
          </w:r>
        </w:p>
      </w:sdtContent>
    </w:sdt>
    <w:p w:rsidR="00912381" w:rsidRDefault="00912381" w:rsidP="00853167">
      <w:pPr>
        <w:rPr>
          <w:rFonts w:ascii="Verdana" w:hAnsi="Verdana"/>
          <w:iCs/>
          <w:sz w:val="20"/>
          <w:lang w:eastAsia="en-NZ"/>
        </w:rPr>
      </w:pPr>
    </w:p>
    <w:p w:rsidR="00912381" w:rsidRDefault="00912381" w:rsidP="00853167">
      <w:pPr>
        <w:rPr>
          <w:rFonts w:ascii="Verdana" w:hAnsi="Verdana"/>
          <w:iCs/>
          <w:sz w:val="20"/>
          <w:lang w:eastAsia="en-NZ"/>
        </w:rPr>
      </w:pPr>
    </w:p>
    <w:p w:rsidR="00853167" w:rsidRPr="006961E7" w:rsidRDefault="00853167" w:rsidP="00853167">
      <w:pPr>
        <w:pStyle w:val="Heading2"/>
      </w:pPr>
      <w:bookmarkStart w:id="1" w:name="_Toc488741783"/>
      <w:bookmarkStart w:id="2" w:name="_Toc496170662"/>
      <w:r w:rsidRPr="006961E7">
        <w:t>Eligibility</w:t>
      </w:r>
      <w:bookmarkEnd w:id="1"/>
      <w:r w:rsidR="004D3C47">
        <w:t xml:space="preserve"> for pay equity</w:t>
      </w:r>
      <w:bookmarkEnd w:id="2"/>
    </w:p>
    <w:p w:rsidR="00FD528E" w:rsidRPr="005979C0" w:rsidRDefault="00FD528E" w:rsidP="00520E18">
      <w:pPr>
        <w:spacing w:before="360"/>
        <w:rPr>
          <w:rFonts w:ascii="Verdana" w:hAnsi="Verdana"/>
          <w:i/>
          <w:sz w:val="24"/>
          <w:szCs w:val="24"/>
        </w:rPr>
      </w:pPr>
      <w:bookmarkStart w:id="3" w:name="_Needs_assessment"/>
      <w:bookmarkEnd w:id="3"/>
      <w:r w:rsidRPr="005979C0">
        <w:rPr>
          <w:rFonts w:ascii="Verdana" w:hAnsi="Verdana"/>
          <w:i/>
          <w:sz w:val="24"/>
          <w:szCs w:val="24"/>
        </w:rPr>
        <w:t xml:space="preserve">How </w:t>
      </w:r>
      <w:r w:rsidR="002D6D4C">
        <w:rPr>
          <w:rFonts w:ascii="Verdana" w:hAnsi="Verdana"/>
          <w:i/>
          <w:sz w:val="24"/>
          <w:szCs w:val="24"/>
        </w:rPr>
        <w:t xml:space="preserve">does a provider establish </w:t>
      </w:r>
      <w:r w:rsidR="00772649">
        <w:rPr>
          <w:rFonts w:ascii="Verdana" w:hAnsi="Verdana"/>
          <w:i/>
          <w:sz w:val="24"/>
          <w:szCs w:val="24"/>
        </w:rPr>
        <w:t>if</w:t>
      </w:r>
      <w:r w:rsidRPr="005979C0">
        <w:rPr>
          <w:rFonts w:ascii="Verdana" w:hAnsi="Verdana"/>
          <w:i/>
          <w:sz w:val="24"/>
          <w:szCs w:val="24"/>
        </w:rPr>
        <w:t xml:space="preserve"> workers are eligible?</w:t>
      </w:r>
    </w:p>
    <w:p w:rsidR="005979C0" w:rsidRDefault="002D6D4C" w:rsidP="00E97C30">
      <w:pPr>
        <w:spacing w:before="120"/>
        <w:rPr>
          <w:rFonts w:ascii="Verdana" w:hAnsi="Verdana"/>
          <w:sz w:val="20"/>
        </w:rPr>
      </w:pPr>
      <w:r>
        <w:rPr>
          <w:rFonts w:ascii="Verdana" w:hAnsi="Verdana"/>
          <w:sz w:val="20"/>
        </w:rPr>
        <w:t xml:space="preserve">Providers </w:t>
      </w:r>
      <w:r w:rsidR="005979C0">
        <w:rPr>
          <w:rFonts w:ascii="Verdana" w:hAnsi="Verdana"/>
          <w:sz w:val="20"/>
        </w:rPr>
        <w:t xml:space="preserve">can work through </w:t>
      </w:r>
      <w:r>
        <w:rPr>
          <w:rFonts w:ascii="Verdana" w:hAnsi="Verdana"/>
          <w:sz w:val="20"/>
        </w:rPr>
        <w:t xml:space="preserve">the </w:t>
      </w:r>
      <w:r w:rsidR="005979C0">
        <w:rPr>
          <w:rFonts w:ascii="Verdana" w:hAnsi="Verdana"/>
          <w:sz w:val="20"/>
        </w:rPr>
        <w:t xml:space="preserve">short Pay Equity employee eligibility questionnaire which can </w:t>
      </w:r>
      <w:r>
        <w:rPr>
          <w:rFonts w:ascii="Verdana" w:hAnsi="Verdana"/>
          <w:sz w:val="20"/>
        </w:rPr>
        <w:t xml:space="preserve">be </w:t>
      </w:r>
      <w:r w:rsidR="005979C0">
        <w:rPr>
          <w:rFonts w:ascii="Verdana" w:hAnsi="Verdana"/>
          <w:sz w:val="20"/>
        </w:rPr>
        <w:t>download</w:t>
      </w:r>
      <w:r>
        <w:rPr>
          <w:rFonts w:ascii="Verdana" w:hAnsi="Verdana"/>
          <w:sz w:val="20"/>
        </w:rPr>
        <w:t>ed</w:t>
      </w:r>
      <w:r w:rsidR="005979C0">
        <w:rPr>
          <w:rFonts w:ascii="Verdana" w:hAnsi="Verdana"/>
          <w:sz w:val="20"/>
        </w:rPr>
        <w:t xml:space="preserve"> from the </w:t>
      </w:r>
      <w:hyperlink r:id="rId9" w:history="1">
        <w:r w:rsidR="007B0BFF">
          <w:rPr>
            <w:rStyle w:val="Hyperlink"/>
            <w:color w:val="0000FF"/>
            <w:u w:val="single"/>
          </w:rPr>
          <w:t>MSD vocational and disability care support workers pay equity information page</w:t>
        </w:r>
      </w:hyperlink>
      <w:r w:rsidR="005979C0" w:rsidRPr="00B20622">
        <w:rPr>
          <w:rFonts w:ascii="Verdana" w:hAnsi="Verdana"/>
          <w:color w:val="0000FF"/>
          <w:sz w:val="20"/>
          <w:u w:val="single"/>
        </w:rPr>
        <w:t>.</w:t>
      </w:r>
    </w:p>
    <w:p w:rsidR="00FD528E" w:rsidRPr="005979C0" w:rsidRDefault="00FD528E" w:rsidP="00520E18">
      <w:pPr>
        <w:spacing w:before="360"/>
        <w:rPr>
          <w:rFonts w:ascii="Verdana" w:hAnsi="Verdana"/>
          <w:i/>
          <w:sz w:val="24"/>
          <w:szCs w:val="24"/>
        </w:rPr>
      </w:pPr>
      <w:r w:rsidRPr="005979C0">
        <w:rPr>
          <w:rFonts w:ascii="Verdana" w:hAnsi="Verdana"/>
          <w:i/>
          <w:sz w:val="24"/>
          <w:szCs w:val="24"/>
        </w:rPr>
        <w:t>Are admin workers eligible?</w:t>
      </w:r>
    </w:p>
    <w:p w:rsidR="005979C0" w:rsidRDefault="008027DC" w:rsidP="00E97C30">
      <w:pPr>
        <w:spacing w:before="120"/>
        <w:rPr>
          <w:rFonts w:ascii="Verdana" w:hAnsi="Verdana"/>
          <w:sz w:val="20"/>
        </w:rPr>
      </w:pPr>
      <w:r>
        <w:rPr>
          <w:rFonts w:ascii="Verdana" w:hAnsi="Verdana"/>
          <w:sz w:val="20"/>
        </w:rPr>
        <w:t>Generally</w:t>
      </w:r>
      <w:r w:rsidR="00772649">
        <w:rPr>
          <w:rFonts w:ascii="Verdana" w:hAnsi="Verdana"/>
          <w:sz w:val="20"/>
        </w:rPr>
        <w:t>,</w:t>
      </w:r>
      <w:r>
        <w:rPr>
          <w:rFonts w:ascii="Verdana" w:hAnsi="Verdana"/>
          <w:sz w:val="20"/>
        </w:rPr>
        <w:t xml:space="preserve"> workers providing administration support </w:t>
      </w:r>
      <w:r w:rsidR="002D6D4C">
        <w:rPr>
          <w:rFonts w:ascii="Verdana" w:hAnsi="Verdana"/>
          <w:sz w:val="20"/>
        </w:rPr>
        <w:t xml:space="preserve">will not </w:t>
      </w:r>
      <w:r>
        <w:rPr>
          <w:rFonts w:ascii="Verdana" w:hAnsi="Verdana"/>
          <w:sz w:val="20"/>
        </w:rPr>
        <w:t xml:space="preserve">be eligible.  </w:t>
      </w:r>
      <w:r w:rsidR="00B20622">
        <w:rPr>
          <w:rFonts w:ascii="Verdana" w:hAnsi="Verdana"/>
          <w:sz w:val="20"/>
        </w:rPr>
        <w:t>An</w:t>
      </w:r>
      <w:r>
        <w:rPr>
          <w:rFonts w:ascii="Verdana" w:hAnsi="Verdana"/>
          <w:sz w:val="20"/>
        </w:rPr>
        <w:t xml:space="preserve"> exception </w:t>
      </w:r>
      <w:r w:rsidR="00B20622">
        <w:rPr>
          <w:rFonts w:ascii="Verdana" w:hAnsi="Verdana"/>
          <w:sz w:val="20"/>
        </w:rPr>
        <w:t>woul</w:t>
      </w:r>
      <w:r w:rsidR="0063446C">
        <w:rPr>
          <w:rFonts w:ascii="Verdana" w:hAnsi="Verdana"/>
          <w:sz w:val="20"/>
        </w:rPr>
        <w:t xml:space="preserve">d </w:t>
      </w:r>
      <w:r>
        <w:rPr>
          <w:rFonts w:ascii="Verdana" w:hAnsi="Verdana"/>
          <w:sz w:val="20"/>
        </w:rPr>
        <w:t xml:space="preserve">be if </w:t>
      </w:r>
      <w:r w:rsidR="002D6D4C">
        <w:rPr>
          <w:rFonts w:ascii="Verdana" w:hAnsi="Verdana"/>
          <w:sz w:val="20"/>
        </w:rPr>
        <w:t xml:space="preserve">workers </w:t>
      </w:r>
      <w:r>
        <w:rPr>
          <w:rFonts w:ascii="Verdana" w:hAnsi="Verdana"/>
          <w:sz w:val="20"/>
        </w:rPr>
        <w:t xml:space="preserve">spend more than half their time providing care and support services.  </w:t>
      </w:r>
      <w:r w:rsidR="002D6D4C">
        <w:rPr>
          <w:rFonts w:ascii="Verdana" w:hAnsi="Verdana"/>
          <w:sz w:val="20"/>
        </w:rPr>
        <w:t xml:space="preserve">The </w:t>
      </w:r>
      <w:r>
        <w:rPr>
          <w:rFonts w:ascii="Verdana" w:hAnsi="Verdana"/>
          <w:sz w:val="20"/>
        </w:rPr>
        <w:t xml:space="preserve">MSD Pay Equity employee eligibility questionnaire </w:t>
      </w:r>
      <w:r w:rsidR="002D6D4C">
        <w:rPr>
          <w:rFonts w:ascii="Verdana" w:hAnsi="Verdana"/>
          <w:sz w:val="20"/>
        </w:rPr>
        <w:t xml:space="preserve">provides </w:t>
      </w:r>
      <w:r>
        <w:rPr>
          <w:rFonts w:ascii="Verdana" w:hAnsi="Verdana"/>
          <w:sz w:val="20"/>
        </w:rPr>
        <w:t>more details of what</w:t>
      </w:r>
      <w:r w:rsidR="002D6D4C">
        <w:rPr>
          <w:rFonts w:ascii="Verdana" w:hAnsi="Verdana"/>
          <w:sz w:val="20"/>
        </w:rPr>
        <w:t xml:space="preserve"> is</w:t>
      </w:r>
      <w:r>
        <w:rPr>
          <w:rFonts w:ascii="Verdana" w:hAnsi="Verdana"/>
          <w:sz w:val="20"/>
        </w:rPr>
        <w:t xml:space="preserve"> included within the definition of care and support services</w:t>
      </w:r>
    </w:p>
    <w:p w:rsidR="00E97C30" w:rsidRPr="008027DC" w:rsidRDefault="00FD528E" w:rsidP="00520E18">
      <w:pPr>
        <w:spacing w:before="360"/>
        <w:rPr>
          <w:rFonts w:ascii="Verdana" w:hAnsi="Verdana"/>
          <w:i/>
          <w:sz w:val="24"/>
          <w:szCs w:val="24"/>
        </w:rPr>
      </w:pPr>
      <w:r w:rsidRPr="008027DC">
        <w:rPr>
          <w:rFonts w:ascii="Verdana" w:hAnsi="Verdana"/>
          <w:i/>
          <w:sz w:val="24"/>
          <w:szCs w:val="24"/>
        </w:rPr>
        <w:t>Are self-employed care and support workers eligible?</w:t>
      </w:r>
    </w:p>
    <w:p w:rsidR="00FD528E" w:rsidRDefault="008027DC" w:rsidP="008027DC">
      <w:pPr>
        <w:spacing w:before="120"/>
        <w:rPr>
          <w:rFonts w:ascii="Verdana" w:hAnsi="Verdana"/>
          <w:sz w:val="20"/>
        </w:rPr>
      </w:pPr>
      <w:bookmarkStart w:id="4" w:name="_Toc488741780"/>
      <w:r>
        <w:rPr>
          <w:rFonts w:ascii="Verdana" w:hAnsi="Verdana"/>
          <w:sz w:val="20"/>
        </w:rPr>
        <w:t>No, only employees are included within the settlement. That means self-employed/sole providers are not covered by the new pay equity rates.  This also means that contractors are not included.</w:t>
      </w:r>
    </w:p>
    <w:p w:rsidR="00D06572" w:rsidRPr="00D06572" w:rsidRDefault="00D06572" w:rsidP="00D06572">
      <w:pPr>
        <w:spacing w:before="360"/>
        <w:rPr>
          <w:rFonts w:ascii="Verdana" w:hAnsi="Verdana"/>
          <w:i/>
          <w:sz w:val="24"/>
          <w:szCs w:val="24"/>
        </w:rPr>
      </w:pPr>
      <w:r w:rsidRPr="00D06572">
        <w:rPr>
          <w:rFonts w:ascii="Verdana" w:hAnsi="Verdana"/>
          <w:i/>
          <w:sz w:val="24"/>
          <w:szCs w:val="24"/>
        </w:rPr>
        <w:lastRenderedPageBreak/>
        <w:t xml:space="preserve">Are mental health </w:t>
      </w:r>
      <w:r w:rsidR="006763F6">
        <w:rPr>
          <w:rFonts w:ascii="Verdana" w:hAnsi="Verdana"/>
          <w:i/>
          <w:sz w:val="24"/>
          <w:szCs w:val="24"/>
        </w:rPr>
        <w:t xml:space="preserve">care and support </w:t>
      </w:r>
      <w:r w:rsidRPr="00D06572">
        <w:rPr>
          <w:rFonts w:ascii="Verdana" w:hAnsi="Verdana"/>
          <w:i/>
          <w:sz w:val="24"/>
          <w:szCs w:val="24"/>
        </w:rPr>
        <w:t>workers eligible</w:t>
      </w:r>
      <w:r>
        <w:rPr>
          <w:rFonts w:ascii="Verdana" w:hAnsi="Verdana"/>
          <w:i/>
          <w:sz w:val="24"/>
          <w:szCs w:val="24"/>
        </w:rPr>
        <w:t>?</w:t>
      </w:r>
    </w:p>
    <w:p w:rsidR="003908CD" w:rsidRDefault="007B0BFF" w:rsidP="008027DC">
      <w:pPr>
        <w:spacing w:before="120"/>
        <w:rPr>
          <w:rFonts w:ascii="Verdana" w:hAnsi="Verdana"/>
          <w:sz w:val="20"/>
        </w:rPr>
      </w:pPr>
      <w:r>
        <w:rPr>
          <w:rFonts w:ascii="Verdana" w:hAnsi="Verdana"/>
          <w:sz w:val="20"/>
        </w:rPr>
        <w:t xml:space="preserve">Please see the </w:t>
      </w:r>
      <w:hyperlink r:id="rId10" w:history="1">
        <w:r w:rsidRPr="007B0BFF">
          <w:rPr>
            <w:rStyle w:val="Hyperlink"/>
            <w:color w:val="0000FF"/>
            <w:u w:val="single"/>
          </w:rPr>
          <w:t>MSD mental health and addiction support workers pay equity information page</w:t>
        </w:r>
      </w:hyperlink>
      <w:r>
        <w:rPr>
          <w:rFonts w:ascii="Verdana" w:hAnsi="Verdana"/>
          <w:sz w:val="20"/>
        </w:rPr>
        <w:t>.</w:t>
      </w:r>
    </w:p>
    <w:p w:rsidR="00912381" w:rsidRDefault="00912381" w:rsidP="008027DC">
      <w:pPr>
        <w:spacing w:before="120"/>
        <w:rPr>
          <w:rFonts w:ascii="Verdana" w:hAnsi="Verdana"/>
          <w:sz w:val="20"/>
        </w:rPr>
      </w:pPr>
    </w:p>
    <w:p w:rsidR="0094559A" w:rsidRPr="006763F6" w:rsidRDefault="00D06572" w:rsidP="006763F6">
      <w:pPr>
        <w:pStyle w:val="Heading2"/>
        <w:rPr>
          <w:lang w:eastAsia="en-NZ"/>
        </w:rPr>
      </w:pPr>
      <w:bookmarkStart w:id="5" w:name="_Toc496170663"/>
      <w:r w:rsidRPr="006763F6">
        <w:rPr>
          <w:lang w:eastAsia="en-NZ"/>
        </w:rPr>
        <w:t xml:space="preserve">Pay </w:t>
      </w:r>
      <w:r w:rsidR="006763F6">
        <w:rPr>
          <w:lang w:eastAsia="en-NZ"/>
        </w:rPr>
        <w:t xml:space="preserve">equity </w:t>
      </w:r>
      <w:r w:rsidRPr="006763F6">
        <w:rPr>
          <w:lang w:eastAsia="en-NZ"/>
        </w:rPr>
        <w:t>rates and funding</w:t>
      </w:r>
      <w:bookmarkEnd w:id="5"/>
    </w:p>
    <w:p w:rsidR="00853167" w:rsidRPr="006763F6" w:rsidRDefault="00FD528E" w:rsidP="006763F6">
      <w:pPr>
        <w:spacing w:before="360"/>
        <w:rPr>
          <w:rFonts w:ascii="Verdana" w:hAnsi="Verdana"/>
          <w:i/>
          <w:sz w:val="24"/>
          <w:szCs w:val="24"/>
        </w:rPr>
      </w:pPr>
      <w:r w:rsidRPr="006763F6">
        <w:rPr>
          <w:rFonts w:ascii="Verdana" w:hAnsi="Verdana"/>
          <w:i/>
          <w:sz w:val="24"/>
          <w:szCs w:val="24"/>
        </w:rPr>
        <w:t>What are the n</w:t>
      </w:r>
      <w:r w:rsidR="00853167" w:rsidRPr="006763F6">
        <w:rPr>
          <w:rFonts w:ascii="Verdana" w:hAnsi="Verdana"/>
          <w:i/>
          <w:sz w:val="24"/>
          <w:szCs w:val="24"/>
        </w:rPr>
        <w:t xml:space="preserve">ew </w:t>
      </w:r>
      <w:r w:rsidRPr="006763F6">
        <w:rPr>
          <w:rFonts w:ascii="Verdana" w:hAnsi="Verdana"/>
          <w:i/>
          <w:sz w:val="24"/>
          <w:szCs w:val="24"/>
        </w:rPr>
        <w:t>p</w:t>
      </w:r>
      <w:r w:rsidR="00853167" w:rsidRPr="006763F6">
        <w:rPr>
          <w:rFonts w:ascii="Verdana" w:hAnsi="Verdana"/>
          <w:i/>
          <w:sz w:val="24"/>
          <w:szCs w:val="24"/>
        </w:rPr>
        <w:t xml:space="preserve">ay </w:t>
      </w:r>
      <w:r w:rsidRPr="006763F6">
        <w:rPr>
          <w:rFonts w:ascii="Verdana" w:hAnsi="Verdana"/>
          <w:i/>
          <w:sz w:val="24"/>
          <w:szCs w:val="24"/>
        </w:rPr>
        <w:t>r</w:t>
      </w:r>
      <w:r w:rsidR="00853167" w:rsidRPr="006763F6">
        <w:rPr>
          <w:rFonts w:ascii="Verdana" w:hAnsi="Verdana"/>
          <w:i/>
          <w:sz w:val="24"/>
          <w:szCs w:val="24"/>
        </w:rPr>
        <w:t>ates</w:t>
      </w:r>
      <w:bookmarkEnd w:id="4"/>
      <w:r w:rsidRPr="006763F6">
        <w:rPr>
          <w:rFonts w:ascii="Verdana" w:hAnsi="Verdana"/>
          <w:i/>
          <w:sz w:val="24"/>
          <w:szCs w:val="24"/>
        </w:rPr>
        <w:t xml:space="preserve"> and when do they apply?</w:t>
      </w:r>
    </w:p>
    <w:p w:rsidR="00B978A8" w:rsidRPr="00B978A8" w:rsidRDefault="00B978A8" w:rsidP="00853167">
      <w:pPr>
        <w:spacing w:before="120"/>
        <w:rPr>
          <w:rFonts w:ascii="Verdana" w:hAnsi="Verdana"/>
          <w:b/>
          <w:sz w:val="20"/>
        </w:rPr>
      </w:pPr>
      <w:r>
        <w:rPr>
          <w:rFonts w:ascii="Verdana" w:hAnsi="Verdana"/>
          <w:b/>
          <w:sz w:val="20"/>
        </w:rPr>
        <w:t>Pay rates for workers employed before 1 July 2017</w:t>
      </w:r>
    </w:p>
    <w:p w:rsidR="00853167" w:rsidRDefault="00853167" w:rsidP="00853167">
      <w:pPr>
        <w:spacing w:before="120"/>
        <w:rPr>
          <w:rFonts w:ascii="Verdana" w:hAnsi="Verdana"/>
          <w:sz w:val="20"/>
        </w:rPr>
      </w:pPr>
      <w:r w:rsidRPr="001A353D">
        <w:rPr>
          <w:rFonts w:ascii="Verdana" w:hAnsi="Verdana"/>
          <w:sz w:val="20"/>
        </w:rPr>
        <w:t xml:space="preserve">All </w:t>
      </w:r>
      <w:r w:rsidR="006763F6">
        <w:rPr>
          <w:rFonts w:ascii="Verdana" w:hAnsi="Verdana"/>
          <w:sz w:val="20"/>
        </w:rPr>
        <w:t xml:space="preserve">disability </w:t>
      </w:r>
      <w:r w:rsidRPr="001A353D">
        <w:rPr>
          <w:rFonts w:ascii="Verdana" w:hAnsi="Verdana"/>
          <w:sz w:val="20"/>
        </w:rPr>
        <w:t xml:space="preserve">care </w:t>
      </w:r>
      <w:r w:rsidR="00B20622">
        <w:rPr>
          <w:rFonts w:ascii="Verdana" w:hAnsi="Verdana"/>
          <w:sz w:val="20"/>
        </w:rPr>
        <w:t>and</w:t>
      </w:r>
      <w:r w:rsidRPr="001A353D">
        <w:rPr>
          <w:rFonts w:ascii="Verdana" w:hAnsi="Verdana"/>
          <w:sz w:val="20"/>
        </w:rPr>
        <w:t xml:space="preserve"> support workers </w:t>
      </w:r>
      <w:r w:rsidR="00E45778">
        <w:rPr>
          <w:rFonts w:ascii="Verdana" w:hAnsi="Verdana"/>
          <w:sz w:val="20"/>
        </w:rPr>
        <w:t xml:space="preserve">employed before 1 July 2017 </w:t>
      </w:r>
      <w:r w:rsidR="006763F6">
        <w:rPr>
          <w:rFonts w:ascii="Verdana" w:hAnsi="Verdana"/>
          <w:sz w:val="20"/>
        </w:rPr>
        <w:t>were eligible for new minimum pay rates</w:t>
      </w:r>
      <w:r>
        <w:rPr>
          <w:rFonts w:ascii="Verdana" w:hAnsi="Verdana"/>
          <w:sz w:val="20"/>
        </w:rPr>
        <w:t xml:space="preserve"> </w:t>
      </w:r>
      <w:r w:rsidR="006763F6">
        <w:rPr>
          <w:rFonts w:ascii="Verdana" w:hAnsi="Verdana"/>
          <w:sz w:val="20"/>
        </w:rPr>
        <w:t xml:space="preserve">from </w:t>
      </w:r>
      <w:r>
        <w:rPr>
          <w:rFonts w:ascii="Verdana" w:hAnsi="Verdana"/>
          <w:sz w:val="20"/>
        </w:rPr>
        <w:t>1 July 2017</w:t>
      </w:r>
      <w:r w:rsidR="006763F6">
        <w:rPr>
          <w:rFonts w:ascii="Verdana" w:hAnsi="Verdana"/>
          <w:sz w:val="20"/>
        </w:rPr>
        <w:t>.  Employees are allocated to the four pay bands</w:t>
      </w:r>
      <w:r>
        <w:rPr>
          <w:rFonts w:ascii="Verdana" w:hAnsi="Verdana"/>
          <w:sz w:val="20"/>
        </w:rPr>
        <w:t xml:space="preserve"> </w:t>
      </w:r>
      <w:r w:rsidR="0063446C">
        <w:rPr>
          <w:rFonts w:ascii="Verdana" w:hAnsi="Verdana"/>
          <w:sz w:val="20"/>
        </w:rPr>
        <w:t>based on</w:t>
      </w:r>
      <w:r w:rsidRPr="001A353D">
        <w:rPr>
          <w:rFonts w:ascii="Verdana" w:hAnsi="Verdana"/>
          <w:sz w:val="20"/>
        </w:rPr>
        <w:t xml:space="preserve"> either </w:t>
      </w:r>
      <w:r w:rsidR="006763F6">
        <w:rPr>
          <w:rFonts w:ascii="Verdana" w:hAnsi="Verdana"/>
          <w:sz w:val="20"/>
        </w:rPr>
        <w:t xml:space="preserve">length of </w:t>
      </w:r>
      <w:r w:rsidRPr="001A353D">
        <w:rPr>
          <w:rFonts w:ascii="Verdana" w:hAnsi="Verdana"/>
          <w:sz w:val="20"/>
        </w:rPr>
        <w:t>service or qualifications, whichever i</w:t>
      </w:r>
      <w:r>
        <w:rPr>
          <w:rFonts w:ascii="Verdana" w:hAnsi="Verdana"/>
          <w:sz w:val="20"/>
        </w:rPr>
        <w:t>s the most advantageous to them</w:t>
      </w:r>
      <w:r w:rsidR="006763F6">
        <w:rPr>
          <w:rFonts w:ascii="Verdana" w:hAnsi="Verdana"/>
          <w:sz w:val="20"/>
        </w:rPr>
        <w:t>.</w:t>
      </w:r>
    </w:p>
    <w:p w:rsidR="006763F6" w:rsidRDefault="006763F6" w:rsidP="00853167">
      <w:pPr>
        <w:spacing w:before="120"/>
        <w:rPr>
          <w:rFonts w:ascii="Verdana" w:hAnsi="Verdana"/>
          <w:sz w:val="20"/>
        </w:rPr>
      </w:pPr>
      <w:r>
        <w:rPr>
          <w:rFonts w:ascii="Verdana" w:hAnsi="Verdana"/>
          <w:sz w:val="20"/>
        </w:rPr>
        <w:t xml:space="preserve">The minimum pay </w:t>
      </w:r>
      <w:r w:rsidR="00FB5EFE">
        <w:rPr>
          <w:rFonts w:ascii="Verdana" w:hAnsi="Verdana"/>
          <w:sz w:val="20"/>
        </w:rPr>
        <w:t>rates increase on 1 July each year from 2017 to 2021, inclusive</w:t>
      </w:r>
      <w:r w:rsidR="00D07ACE">
        <w:rPr>
          <w:rFonts w:ascii="Verdana" w:hAnsi="Verdana"/>
          <w:sz w:val="20"/>
        </w:rPr>
        <w:t>, with the exception of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481"/>
        <w:gridCol w:w="1164"/>
        <w:gridCol w:w="1251"/>
        <w:gridCol w:w="1253"/>
        <w:gridCol w:w="1251"/>
        <w:gridCol w:w="1344"/>
      </w:tblGrid>
      <w:tr w:rsidR="00853167" w:rsidRPr="00536BFC" w:rsidTr="006763F6">
        <w:tc>
          <w:tcPr>
            <w:tcW w:w="810" w:type="pct"/>
            <w:tcBorders>
              <w:top w:val="single" w:sz="4" w:space="0" w:color="auto"/>
              <w:left w:val="single" w:sz="4" w:space="0" w:color="auto"/>
              <w:bottom w:val="single" w:sz="4" w:space="0" w:color="auto"/>
              <w:right w:val="single" w:sz="4" w:space="0" w:color="auto"/>
            </w:tcBorders>
            <w:shd w:val="clear" w:color="auto" w:fill="D9D9D9"/>
            <w:vAlign w:val="center"/>
          </w:tcPr>
          <w:p w:rsidR="00853167" w:rsidRPr="00E80597" w:rsidRDefault="00853167" w:rsidP="00E45778">
            <w:pPr>
              <w:jc w:val="center"/>
            </w:pPr>
            <w:r w:rsidRPr="00E80597">
              <w:t>Length of Service</w:t>
            </w:r>
          </w:p>
        </w:tc>
        <w:tc>
          <w:tcPr>
            <w:tcW w:w="801" w:type="pct"/>
            <w:tcBorders>
              <w:top w:val="single" w:sz="4" w:space="0" w:color="auto"/>
              <w:left w:val="single" w:sz="4" w:space="0" w:color="auto"/>
              <w:bottom w:val="single" w:sz="4" w:space="0" w:color="auto"/>
              <w:right w:val="single" w:sz="4" w:space="0" w:color="auto"/>
            </w:tcBorders>
            <w:shd w:val="clear" w:color="auto" w:fill="D9D9D9"/>
            <w:vAlign w:val="center"/>
          </w:tcPr>
          <w:p w:rsidR="00853167" w:rsidRPr="00E80597" w:rsidRDefault="00853167" w:rsidP="00E45778">
            <w:pPr>
              <w:jc w:val="center"/>
            </w:pPr>
            <w:r w:rsidRPr="00E80597">
              <w:t>Qualification</w:t>
            </w:r>
          </w:p>
        </w:tc>
        <w:tc>
          <w:tcPr>
            <w:tcW w:w="630" w:type="pct"/>
            <w:tcBorders>
              <w:top w:val="single" w:sz="4" w:space="0" w:color="auto"/>
              <w:left w:val="single" w:sz="4" w:space="0" w:color="auto"/>
              <w:bottom w:val="single" w:sz="4" w:space="0" w:color="auto"/>
              <w:right w:val="single" w:sz="4" w:space="0" w:color="auto"/>
            </w:tcBorders>
            <w:shd w:val="clear" w:color="auto" w:fill="D9D9D9"/>
            <w:vAlign w:val="center"/>
          </w:tcPr>
          <w:p w:rsidR="00853167" w:rsidRPr="00E80597" w:rsidRDefault="00853167" w:rsidP="00E45778">
            <w:pPr>
              <w:jc w:val="center"/>
            </w:pPr>
            <w:r w:rsidRPr="00E80597">
              <w:t>Pay Band</w:t>
            </w:r>
          </w:p>
        </w:tc>
        <w:tc>
          <w:tcPr>
            <w:tcW w:w="677" w:type="pct"/>
            <w:tcBorders>
              <w:top w:val="single" w:sz="4" w:space="0" w:color="auto"/>
              <w:left w:val="single" w:sz="4" w:space="0" w:color="auto"/>
              <w:bottom w:val="single" w:sz="4" w:space="0" w:color="auto"/>
              <w:right w:val="single" w:sz="4" w:space="0" w:color="auto"/>
            </w:tcBorders>
            <w:shd w:val="clear" w:color="auto" w:fill="D9D9D9"/>
            <w:vAlign w:val="center"/>
          </w:tcPr>
          <w:p w:rsidR="00853167" w:rsidRPr="00E80597" w:rsidRDefault="00853167" w:rsidP="00E45778">
            <w:pPr>
              <w:jc w:val="center"/>
            </w:pPr>
            <w:r w:rsidRPr="00E80597">
              <w:t>1 July 2017</w:t>
            </w:r>
          </w:p>
          <w:p w:rsidR="00853167" w:rsidRPr="00E80597" w:rsidRDefault="00853167" w:rsidP="00E45778">
            <w:pPr>
              <w:jc w:val="center"/>
            </w:pPr>
            <w:r w:rsidRPr="00E80597">
              <w:t>Year 1</w:t>
            </w: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tcPr>
          <w:p w:rsidR="00853167" w:rsidRPr="00E80597" w:rsidRDefault="00853167" w:rsidP="00E45778">
            <w:pPr>
              <w:jc w:val="center"/>
            </w:pPr>
            <w:r w:rsidRPr="00E80597">
              <w:t>1 July 2018</w:t>
            </w:r>
          </w:p>
          <w:p w:rsidR="00853167" w:rsidRPr="00E80597" w:rsidRDefault="00853167" w:rsidP="00E45778">
            <w:pPr>
              <w:jc w:val="center"/>
            </w:pPr>
            <w:r w:rsidRPr="00E80597">
              <w:t>Year 2</w:t>
            </w:r>
          </w:p>
        </w:tc>
        <w:tc>
          <w:tcPr>
            <w:tcW w:w="677" w:type="pct"/>
            <w:tcBorders>
              <w:top w:val="single" w:sz="4" w:space="0" w:color="auto"/>
              <w:left w:val="single" w:sz="4" w:space="0" w:color="auto"/>
              <w:bottom w:val="single" w:sz="4" w:space="0" w:color="auto"/>
              <w:right w:val="single" w:sz="4" w:space="0" w:color="auto"/>
            </w:tcBorders>
            <w:shd w:val="clear" w:color="auto" w:fill="D9D9D9"/>
            <w:vAlign w:val="center"/>
          </w:tcPr>
          <w:p w:rsidR="00853167" w:rsidRPr="00E80597" w:rsidRDefault="00853167" w:rsidP="00E45778">
            <w:pPr>
              <w:jc w:val="center"/>
            </w:pPr>
            <w:r w:rsidRPr="00E80597">
              <w:t>1 July 2019</w:t>
            </w:r>
          </w:p>
          <w:p w:rsidR="00853167" w:rsidRPr="00E80597" w:rsidRDefault="00853167" w:rsidP="00E45778">
            <w:pPr>
              <w:jc w:val="center"/>
            </w:pPr>
            <w:r w:rsidRPr="00E80597">
              <w:t>Year 3 &amp; 4</w:t>
            </w:r>
          </w:p>
        </w:tc>
        <w:tc>
          <w:tcPr>
            <w:tcW w:w="727" w:type="pct"/>
            <w:tcBorders>
              <w:top w:val="single" w:sz="4" w:space="0" w:color="auto"/>
              <w:left w:val="single" w:sz="4" w:space="0" w:color="auto"/>
              <w:bottom w:val="single" w:sz="4" w:space="0" w:color="auto"/>
              <w:right w:val="single" w:sz="4" w:space="0" w:color="auto"/>
            </w:tcBorders>
            <w:shd w:val="clear" w:color="auto" w:fill="D9D9D9"/>
            <w:vAlign w:val="center"/>
          </w:tcPr>
          <w:p w:rsidR="00853167" w:rsidRPr="00E80597" w:rsidRDefault="00853167" w:rsidP="00E45778">
            <w:pPr>
              <w:jc w:val="center"/>
            </w:pPr>
            <w:r w:rsidRPr="00E80597">
              <w:t>1 July 2021</w:t>
            </w:r>
          </w:p>
          <w:p w:rsidR="00853167" w:rsidRPr="00E80597" w:rsidRDefault="00853167" w:rsidP="00E45778">
            <w:pPr>
              <w:jc w:val="center"/>
            </w:pPr>
            <w:r w:rsidRPr="00E80597">
              <w:t>Year 5</w:t>
            </w:r>
          </w:p>
        </w:tc>
      </w:tr>
      <w:tr w:rsidR="00853167" w:rsidRPr="00536BFC" w:rsidTr="006763F6">
        <w:tc>
          <w:tcPr>
            <w:tcW w:w="810"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&lt;3 years’ service OR</w:t>
            </w:r>
          </w:p>
        </w:tc>
        <w:tc>
          <w:tcPr>
            <w:tcW w:w="801"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D77D7E">
            <w:pPr>
              <w:jc w:val="center"/>
            </w:pPr>
            <w:r w:rsidRPr="00E80597">
              <w:t>Level 0</w:t>
            </w:r>
          </w:p>
        </w:tc>
        <w:tc>
          <w:tcPr>
            <w:tcW w:w="630"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L0</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853167" w:rsidRPr="00E80597" w:rsidRDefault="00853167" w:rsidP="00E45778">
            <w:pPr>
              <w:jc w:val="center"/>
            </w:pPr>
            <w:r w:rsidRPr="00E80597">
              <w:t>$19.00</w:t>
            </w:r>
          </w:p>
        </w:tc>
        <w:tc>
          <w:tcPr>
            <w:tcW w:w="678"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$19.80</w:t>
            </w:r>
          </w:p>
        </w:tc>
        <w:tc>
          <w:tcPr>
            <w:tcW w:w="677"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$20.50</w:t>
            </w:r>
          </w:p>
        </w:tc>
        <w:tc>
          <w:tcPr>
            <w:tcW w:w="727"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$21.50</w:t>
            </w:r>
          </w:p>
        </w:tc>
      </w:tr>
      <w:tr w:rsidR="00853167" w:rsidRPr="00536BFC" w:rsidTr="006763F6">
        <w:tc>
          <w:tcPr>
            <w:tcW w:w="810"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3+ to 8 years’ service OR</w:t>
            </w:r>
          </w:p>
        </w:tc>
        <w:tc>
          <w:tcPr>
            <w:tcW w:w="801"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D77D7E">
            <w:pPr>
              <w:jc w:val="center"/>
            </w:pPr>
            <w:r w:rsidRPr="00E80597">
              <w:t>Level 2</w:t>
            </w:r>
          </w:p>
        </w:tc>
        <w:tc>
          <w:tcPr>
            <w:tcW w:w="630"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L2</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853167" w:rsidRPr="00E80597" w:rsidRDefault="00853167" w:rsidP="00E45778">
            <w:pPr>
              <w:jc w:val="center"/>
            </w:pPr>
            <w:r w:rsidRPr="00E80597">
              <w:t>$20.00</w:t>
            </w:r>
          </w:p>
        </w:tc>
        <w:tc>
          <w:tcPr>
            <w:tcW w:w="678"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$21.00</w:t>
            </w:r>
          </w:p>
        </w:tc>
        <w:tc>
          <w:tcPr>
            <w:tcW w:w="677"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$21.50</w:t>
            </w:r>
          </w:p>
        </w:tc>
        <w:tc>
          <w:tcPr>
            <w:tcW w:w="727"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$23.00</w:t>
            </w:r>
          </w:p>
        </w:tc>
      </w:tr>
      <w:tr w:rsidR="00853167" w:rsidRPr="00536BFC" w:rsidTr="006763F6">
        <w:tc>
          <w:tcPr>
            <w:tcW w:w="810"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8+ to 12 years’ service OR</w:t>
            </w:r>
          </w:p>
        </w:tc>
        <w:tc>
          <w:tcPr>
            <w:tcW w:w="801"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D77D7E">
            <w:pPr>
              <w:jc w:val="center"/>
            </w:pPr>
            <w:r w:rsidRPr="00E80597">
              <w:t>Level 3</w:t>
            </w:r>
          </w:p>
        </w:tc>
        <w:tc>
          <w:tcPr>
            <w:tcW w:w="630"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L3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853167" w:rsidRPr="00E80597" w:rsidRDefault="00853167" w:rsidP="00E45778">
            <w:pPr>
              <w:jc w:val="center"/>
            </w:pPr>
            <w:r w:rsidRPr="00E80597">
              <w:t>$21.00</w:t>
            </w:r>
          </w:p>
        </w:tc>
        <w:tc>
          <w:tcPr>
            <w:tcW w:w="678"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$22.50</w:t>
            </w:r>
          </w:p>
        </w:tc>
        <w:tc>
          <w:tcPr>
            <w:tcW w:w="677"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$23.00</w:t>
            </w:r>
          </w:p>
        </w:tc>
        <w:tc>
          <w:tcPr>
            <w:tcW w:w="727"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$25.00</w:t>
            </w:r>
          </w:p>
        </w:tc>
      </w:tr>
      <w:tr w:rsidR="00853167" w:rsidRPr="00536BFC" w:rsidTr="006763F6">
        <w:tc>
          <w:tcPr>
            <w:tcW w:w="810"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12+ years’ service OR</w:t>
            </w:r>
          </w:p>
        </w:tc>
        <w:tc>
          <w:tcPr>
            <w:tcW w:w="801"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D77D7E">
            <w:pPr>
              <w:jc w:val="center"/>
            </w:pPr>
            <w:r w:rsidRPr="00E80597">
              <w:t>Level 4</w:t>
            </w:r>
          </w:p>
        </w:tc>
        <w:tc>
          <w:tcPr>
            <w:tcW w:w="630"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L4b</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853167" w:rsidRPr="00E80597" w:rsidRDefault="00853167" w:rsidP="00E45778">
            <w:pPr>
              <w:jc w:val="center"/>
            </w:pPr>
            <w:r w:rsidRPr="00E80597">
              <w:t>$23.50</w:t>
            </w:r>
          </w:p>
        </w:tc>
        <w:tc>
          <w:tcPr>
            <w:tcW w:w="678"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$24.50</w:t>
            </w:r>
          </w:p>
        </w:tc>
        <w:tc>
          <w:tcPr>
            <w:tcW w:w="677"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$25.50</w:t>
            </w:r>
          </w:p>
        </w:tc>
        <w:tc>
          <w:tcPr>
            <w:tcW w:w="727"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$27.00</w:t>
            </w:r>
          </w:p>
        </w:tc>
      </w:tr>
    </w:tbl>
    <w:p w:rsidR="00853167" w:rsidRDefault="00D77D7E" w:rsidP="00D07ACE">
      <w:pPr>
        <w:spacing w:before="180" w:after="120"/>
        <w:rPr>
          <w:rFonts w:ascii="Verdana" w:hAnsi="Verdana"/>
          <w:sz w:val="20"/>
        </w:rPr>
      </w:pPr>
      <w:r>
        <w:rPr>
          <w:rFonts w:ascii="Verdana" w:hAnsi="Verdana"/>
          <w:sz w:val="20"/>
        </w:rPr>
        <w:t xml:space="preserve">There is an additional pay band, L4a, that applies to </w:t>
      </w:r>
      <w:r w:rsidR="00D07ACE">
        <w:rPr>
          <w:rFonts w:ascii="Verdana" w:hAnsi="Verdana"/>
          <w:sz w:val="20"/>
        </w:rPr>
        <w:t xml:space="preserve">existing </w:t>
      </w:r>
      <w:r>
        <w:rPr>
          <w:rFonts w:ascii="Verdana" w:hAnsi="Verdana"/>
          <w:sz w:val="20"/>
        </w:rPr>
        <w:t xml:space="preserve">employees who have not achieved a Level 4 Certificate or higher and who complete 12 years or more of continuous service </w:t>
      </w:r>
      <w:r w:rsidRPr="00D07ACE">
        <w:rPr>
          <w:rFonts w:ascii="Verdana" w:hAnsi="Verdana"/>
          <w:i/>
          <w:sz w:val="20"/>
        </w:rPr>
        <w:t>after</w:t>
      </w:r>
      <w:r>
        <w:rPr>
          <w:rFonts w:ascii="Verdana" w:hAnsi="Verdana"/>
          <w:sz w:val="20"/>
        </w:rPr>
        <w:t xml:space="preserve"> 1 July 2017.  </w:t>
      </w:r>
      <w:r w:rsidR="0063446C">
        <w:rPr>
          <w:rFonts w:ascii="Verdana" w:hAnsi="Verdana"/>
          <w:sz w:val="20"/>
        </w:rPr>
        <w:t xml:space="preserve">If an employee has </w:t>
      </w:r>
      <w:r w:rsidRPr="00D77D7E">
        <w:rPr>
          <w:rFonts w:ascii="Verdana" w:hAnsi="Verdana"/>
          <w:sz w:val="20"/>
        </w:rPr>
        <w:t xml:space="preserve">reasonable grounds </w:t>
      </w:r>
      <w:r w:rsidR="0063446C">
        <w:rPr>
          <w:rFonts w:ascii="Verdana" w:hAnsi="Verdana"/>
          <w:sz w:val="20"/>
        </w:rPr>
        <w:t>to argue that they were</w:t>
      </w:r>
      <w:r w:rsidRPr="00D77D7E">
        <w:rPr>
          <w:rFonts w:ascii="Verdana" w:hAnsi="Verdana"/>
          <w:sz w:val="20"/>
        </w:rPr>
        <w:t xml:space="preserve"> not provide</w:t>
      </w:r>
      <w:r w:rsidR="0063446C">
        <w:rPr>
          <w:rFonts w:ascii="Verdana" w:hAnsi="Verdana"/>
          <w:sz w:val="20"/>
        </w:rPr>
        <w:t>d</w:t>
      </w:r>
      <w:r w:rsidRPr="00D77D7E">
        <w:rPr>
          <w:rFonts w:ascii="Verdana" w:hAnsi="Verdana"/>
          <w:sz w:val="20"/>
        </w:rPr>
        <w:t xml:space="preserve"> </w:t>
      </w:r>
      <w:r w:rsidR="0063446C">
        <w:rPr>
          <w:rFonts w:ascii="Verdana" w:hAnsi="Verdana"/>
          <w:sz w:val="20"/>
        </w:rPr>
        <w:t xml:space="preserve">with </w:t>
      </w:r>
      <w:r w:rsidR="00772649">
        <w:rPr>
          <w:rFonts w:ascii="Verdana" w:hAnsi="Verdana"/>
          <w:sz w:val="20"/>
        </w:rPr>
        <w:t xml:space="preserve">the </w:t>
      </w:r>
      <w:r w:rsidRPr="00D77D7E">
        <w:rPr>
          <w:rFonts w:ascii="Verdana" w:hAnsi="Verdana"/>
          <w:sz w:val="20"/>
        </w:rPr>
        <w:t xml:space="preserve">support </w:t>
      </w:r>
      <w:r w:rsidR="00772649">
        <w:rPr>
          <w:rFonts w:ascii="Verdana" w:hAnsi="Verdana"/>
          <w:sz w:val="20"/>
        </w:rPr>
        <w:t xml:space="preserve">necessary </w:t>
      </w:r>
      <w:r w:rsidRPr="00D77D7E">
        <w:rPr>
          <w:rFonts w:ascii="Verdana" w:hAnsi="Verdana"/>
          <w:sz w:val="20"/>
        </w:rPr>
        <w:t xml:space="preserve">to achieve the Level 4 qualification, </w:t>
      </w:r>
      <w:r w:rsidR="0063446C">
        <w:rPr>
          <w:rFonts w:ascii="Verdana" w:hAnsi="Verdana"/>
          <w:sz w:val="20"/>
        </w:rPr>
        <w:t xml:space="preserve">that </w:t>
      </w:r>
      <w:r w:rsidRPr="00D77D7E">
        <w:rPr>
          <w:rFonts w:ascii="Verdana" w:hAnsi="Verdana"/>
          <w:sz w:val="20"/>
        </w:rPr>
        <w:t>employee will be entitled to move to the Level 4</w:t>
      </w:r>
      <w:r>
        <w:rPr>
          <w:rFonts w:ascii="Verdana" w:hAnsi="Verdana"/>
          <w:sz w:val="20"/>
        </w:rPr>
        <w:t>b pay band.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165"/>
        <w:gridCol w:w="1251"/>
        <w:gridCol w:w="1253"/>
        <w:gridCol w:w="1251"/>
        <w:gridCol w:w="1340"/>
      </w:tblGrid>
      <w:tr w:rsidR="00B6524D" w:rsidRPr="00E80597" w:rsidTr="00B6524D">
        <w:tc>
          <w:tcPr>
            <w:tcW w:w="1613" w:type="pct"/>
            <w:tcBorders>
              <w:top w:val="single" w:sz="4" w:space="0" w:color="auto"/>
              <w:left w:val="single" w:sz="4" w:space="0" w:color="auto"/>
              <w:bottom w:val="single" w:sz="4" w:space="0" w:color="auto"/>
              <w:right w:val="single" w:sz="4" w:space="0" w:color="auto"/>
            </w:tcBorders>
            <w:shd w:val="clear" w:color="auto" w:fill="D9D9D9"/>
            <w:vAlign w:val="center"/>
          </w:tcPr>
          <w:p w:rsidR="00B6524D" w:rsidRPr="00E80597" w:rsidRDefault="00B6524D" w:rsidP="00AF2CCC">
            <w:pPr>
              <w:jc w:val="center"/>
            </w:pPr>
            <w:r w:rsidRPr="00E80597">
              <w:t>Length of Service</w:t>
            </w:r>
            <w:r>
              <w:t xml:space="preserve"> and</w:t>
            </w:r>
          </w:p>
          <w:p w:rsidR="00B6524D" w:rsidRPr="00E80597" w:rsidRDefault="00B6524D" w:rsidP="00AF2CCC">
            <w:pPr>
              <w:jc w:val="center"/>
            </w:pPr>
            <w:r w:rsidRPr="00E80597">
              <w:t>Qualification</w:t>
            </w:r>
          </w:p>
        </w:tc>
        <w:tc>
          <w:tcPr>
            <w:tcW w:w="630" w:type="pct"/>
            <w:tcBorders>
              <w:top w:val="single" w:sz="4" w:space="0" w:color="auto"/>
              <w:left w:val="single" w:sz="4" w:space="0" w:color="auto"/>
              <w:bottom w:val="single" w:sz="4" w:space="0" w:color="auto"/>
              <w:right w:val="single" w:sz="4" w:space="0" w:color="auto"/>
            </w:tcBorders>
            <w:shd w:val="clear" w:color="auto" w:fill="D9D9D9"/>
            <w:vAlign w:val="center"/>
          </w:tcPr>
          <w:p w:rsidR="00B6524D" w:rsidRPr="00E80597" w:rsidRDefault="00B6524D" w:rsidP="00AF2CCC">
            <w:pPr>
              <w:jc w:val="center"/>
            </w:pPr>
            <w:r w:rsidRPr="00E80597">
              <w:t>Pay Band</w:t>
            </w:r>
          </w:p>
        </w:tc>
        <w:tc>
          <w:tcPr>
            <w:tcW w:w="677" w:type="pct"/>
            <w:tcBorders>
              <w:top w:val="single" w:sz="4" w:space="0" w:color="auto"/>
              <w:left w:val="single" w:sz="4" w:space="0" w:color="auto"/>
              <w:bottom w:val="single" w:sz="4" w:space="0" w:color="auto"/>
              <w:right w:val="single" w:sz="4" w:space="0" w:color="auto"/>
            </w:tcBorders>
            <w:shd w:val="clear" w:color="auto" w:fill="D9D9D9"/>
            <w:vAlign w:val="center"/>
          </w:tcPr>
          <w:p w:rsidR="00B6524D" w:rsidRPr="00E80597" w:rsidRDefault="00B6524D" w:rsidP="00D77D7E">
            <w:pPr>
              <w:jc w:val="center"/>
            </w:pPr>
            <w:r>
              <w:t xml:space="preserve">After </w:t>
            </w:r>
            <w:r w:rsidRPr="00E80597">
              <w:t>1 July 2017</w:t>
            </w: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tcPr>
          <w:p w:rsidR="00B6524D" w:rsidRPr="00E80597" w:rsidRDefault="00B6524D" w:rsidP="00D77D7E">
            <w:pPr>
              <w:jc w:val="center"/>
            </w:pPr>
            <w:r>
              <w:t xml:space="preserve">On or after </w:t>
            </w:r>
            <w:r w:rsidRPr="00E80597">
              <w:t>1 July 201</w:t>
            </w:r>
            <w:r>
              <w:t>8</w:t>
            </w:r>
          </w:p>
        </w:tc>
        <w:tc>
          <w:tcPr>
            <w:tcW w:w="677" w:type="pct"/>
            <w:tcBorders>
              <w:top w:val="single" w:sz="4" w:space="0" w:color="auto"/>
              <w:left w:val="single" w:sz="4" w:space="0" w:color="auto"/>
              <w:bottom w:val="single" w:sz="4" w:space="0" w:color="auto"/>
              <w:right w:val="single" w:sz="4" w:space="0" w:color="auto"/>
            </w:tcBorders>
            <w:shd w:val="clear" w:color="auto" w:fill="D9D9D9"/>
            <w:vAlign w:val="center"/>
          </w:tcPr>
          <w:p w:rsidR="00B6524D" w:rsidRPr="00E80597" w:rsidRDefault="00B6524D" w:rsidP="00D77D7E">
            <w:pPr>
              <w:jc w:val="center"/>
            </w:pPr>
            <w:r>
              <w:t xml:space="preserve">On or after </w:t>
            </w:r>
            <w:r w:rsidRPr="00E80597">
              <w:t>1 July 2019</w:t>
            </w:r>
          </w:p>
        </w:tc>
        <w:tc>
          <w:tcPr>
            <w:tcW w:w="726" w:type="pct"/>
            <w:tcBorders>
              <w:top w:val="single" w:sz="4" w:space="0" w:color="auto"/>
              <w:left w:val="single" w:sz="4" w:space="0" w:color="auto"/>
              <w:bottom w:val="single" w:sz="4" w:space="0" w:color="auto"/>
              <w:right w:val="single" w:sz="4" w:space="0" w:color="auto"/>
            </w:tcBorders>
            <w:shd w:val="clear" w:color="auto" w:fill="D9D9D9"/>
            <w:vAlign w:val="center"/>
          </w:tcPr>
          <w:p w:rsidR="00B6524D" w:rsidRPr="00E80597" w:rsidRDefault="00B6524D" w:rsidP="00D77D7E">
            <w:pPr>
              <w:jc w:val="center"/>
            </w:pPr>
            <w:r>
              <w:t xml:space="preserve">On or after </w:t>
            </w:r>
            <w:r w:rsidRPr="00E80597">
              <w:t>1 July 2021</w:t>
            </w:r>
          </w:p>
        </w:tc>
      </w:tr>
      <w:tr w:rsidR="00B6524D" w:rsidRPr="00E80597" w:rsidTr="00B6524D">
        <w:tc>
          <w:tcPr>
            <w:tcW w:w="1613" w:type="pct"/>
            <w:tcBorders>
              <w:top w:val="single" w:sz="4" w:space="0" w:color="auto"/>
              <w:left w:val="single" w:sz="4" w:space="0" w:color="auto"/>
              <w:bottom w:val="single" w:sz="4" w:space="0" w:color="auto"/>
              <w:right w:val="single" w:sz="4" w:space="0" w:color="auto"/>
            </w:tcBorders>
            <w:vAlign w:val="center"/>
          </w:tcPr>
          <w:p w:rsidR="00B6524D" w:rsidRPr="00E80597" w:rsidRDefault="00B6524D" w:rsidP="00B6524D">
            <w:pPr>
              <w:jc w:val="center"/>
            </w:pPr>
            <w:r w:rsidRPr="00E80597">
              <w:t>12+ years’ service</w:t>
            </w:r>
            <w:r>
              <w:t xml:space="preserve"> after 1 July 2017 </w:t>
            </w:r>
            <w:r w:rsidRPr="00B6524D">
              <w:rPr>
                <w:i/>
              </w:rPr>
              <w:t>and</w:t>
            </w:r>
            <w:r>
              <w:t xml:space="preserve"> NZQA</w:t>
            </w:r>
          </w:p>
          <w:p w:rsidR="00B6524D" w:rsidRPr="00E80597" w:rsidRDefault="00B6524D" w:rsidP="00D77D7E">
            <w:pPr>
              <w:jc w:val="center"/>
            </w:pPr>
            <w:r w:rsidRPr="00E80597">
              <w:t xml:space="preserve">Level </w:t>
            </w:r>
            <w:r>
              <w:t>3 or below</w:t>
            </w:r>
          </w:p>
        </w:tc>
        <w:tc>
          <w:tcPr>
            <w:tcW w:w="630" w:type="pct"/>
            <w:tcBorders>
              <w:top w:val="single" w:sz="4" w:space="0" w:color="auto"/>
              <w:left w:val="single" w:sz="4" w:space="0" w:color="auto"/>
              <w:bottom w:val="single" w:sz="4" w:space="0" w:color="auto"/>
              <w:right w:val="single" w:sz="4" w:space="0" w:color="auto"/>
            </w:tcBorders>
            <w:vAlign w:val="center"/>
          </w:tcPr>
          <w:p w:rsidR="00B6524D" w:rsidRPr="00E80597" w:rsidRDefault="00B6524D" w:rsidP="00D77D7E">
            <w:pPr>
              <w:jc w:val="center"/>
            </w:pPr>
            <w:r w:rsidRPr="00E80597">
              <w:t>L</w:t>
            </w:r>
            <w:r>
              <w:t>4a</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B6524D" w:rsidRPr="00E80597" w:rsidRDefault="00B6524D" w:rsidP="00D77D7E">
            <w:pPr>
              <w:jc w:val="center"/>
            </w:pPr>
            <w:r w:rsidRPr="00E80597">
              <w:t>$</w:t>
            </w:r>
            <w:r>
              <w:t>22</w:t>
            </w:r>
            <w:r w:rsidRPr="00E80597">
              <w:t>.</w:t>
            </w:r>
            <w:r>
              <w:t>5</w:t>
            </w:r>
            <w:r w:rsidRPr="00E80597">
              <w:t>0</w:t>
            </w:r>
          </w:p>
        </w:tc>
        <w:tc>
          <w:tcPr>
            <w:tcW w:w="678" w:type="pct"/>
            <w:tcBorders>
              <w:top w:val="single" w:sz="4" w:space="0" w:color="auto"/>
              <w:left w:val="single" w:sz="4" w:space="0" w:color="auto"/>
              <w:bottom w:val="single" w:sz="4" w:space="0" w:color="auto"/>
              <w:right w:val="single" w:sz="4" w:space="0" w:color="auto"/>
            </w:tcBorders>
            <w:vAlign w:val="center"/>
          </w:tcPr>
          <w:p w:rsidR="00B6524D" w:rsidRPr="00E80597" w:rsidRDefault="00B6524D" w:rsidP="00D77D7E">
            <w:pPr>
              <w:jc w:val="center"/>
            </w:pPr>
            <w:r w:rsidRPr="00E80597">
              <w:t>$</w:t>
            </w:r>
            <w:r>
              <w:t>23</w:t>
            </w:r>
            <w:r w:rsidRPr="00E80597">
              <w:t>.</w:t>
            </w:r>
            <w:r>
              <w:t>5</w:t>
            </w:r>
            <w:r w:rsidRPr="00E80597">
              <w:t>0</w:t>
            </w:r>
          </w:p>
        </w:tc>
        <w:tc>
          <w:tcPr>
            <w:tcW w:w="677" w:type="pct"/>
            <w:tcBorders>
              <w:top w:val="single" w:sz="4" w:space="0" w:color="auto"/>
              <w:left w:val="single" w:sz="4" w:space="0" w:color="auto"/>
              <w:bottom w:val="single" w:sz="4" w:space="0" w:color="auto"/>
              <w:right w:val="single" w:sz="4" w:space="0" w:color="auto"/>
            </w:tcBorders>
            <w:vAlign w:val="center"/>
          </w:tcPr>
          <w:p w:rsidR="00B6524D" w:rsidRPr="00E80597" w:rsidRDefault="00B6524D" w:rsidP="00D77D7E">
            <w:pPr>
              <w:jc w:val="center"/>
            </w:pPr>
            <w:r w:rsidRPr="00E80597">
              <w:t>$2</w:t>
            </w:r>
            <w:r>
              <w:t>4</w:t>
            </w:r>
            <w:r w:rsidRPr="00E80597">
              <w:t>.50</w:t>
            </w:r>
          </w:p>
        </w:tc>
        <w:tc>
          <w:tcPr>
            <w:tcW w:w="726" w:type="pct"/>
            <w:tcBorders>
              <w:top w:val="single" w:sz="4" w:space="0" w:color="auto"/>
              <w:left w:val="single" w:sz="4" w:space="0" w:color="auto"/>
              <w:bottom w:val="single" w:sz="4" w:space="0" w:color="auto"/>
              <w:right w:val="single" w:sz="4" w:space="0" w:color="auto"/>
            </w:tcBorders>
            <w:vAlign w:val="center"/>
          </w:tcPr>
          <w:p w:rsidR="00B6524D" w:rsidRPr="00E80597" w:rsidRDefault="00B6524D" w:rsidP="00D77D7E">
            <w:pPr>
              <w:jc w:val="center"/>
            </w:pPr>
            <w:r w:rsidRPr="00E80597">
              <w:t>$2</w:t>
            </w:r>
            <w:r>
              <w:t>6</w:t>
            </w:r>
            <w:r w:rsidRPr="00E80597">
              <w:t>.</w:t>
            </w:r>
            <w:r>
              <w:t>00</w:t>
            </w:r>
          </w:p>
        </w:tc>
      </w:tr>
    </w:tbl>
    <w:p w:rsidR="00B978A8" w:rsidRPr="00B978A8" w:rsidRDefault="00B978A8" w:rsidP="00F73730">
      <w:pPr>
        <w:spacing w:before="240"/>
        <w:rPr>
          <w:rFonts w:ascii="Verdana" w:hAnsi="Verdana"/>
          <w:b/>
          <w:sz w:val="20"/>
        </w:rPr>
      </w:pPr>
      <w:bookmarkStart w:id="6" w:name="_Toc488741781"/>
      <w:r>
        <w:rPr>
          <w:rFonts w:ascii="Verdana" w:hAnsi="Verdana"/>
          <w:b/>
          <w:sz w:val="20"/>
        </w:rPr>
        <w:t xml:space="preserve">Pay rates for workers employed </w:t>
      </w:r>
      <w:r w:rsidR="00B6524D">
        <w:rPr>
          <w:rFonts w:ascii="Verdana" w:hAnsi="Verdana"/>
          <w:b/>
          <w:sz w:val="20"/>
        </w:rPr>
        <w:t xml:space="preserve">on or </w:t>
      </w:r>
      <w:r>
        <w:rPr>
          <w:rFonts w:ascii="Verdana" w:hAnsi="Verdana"/>
          <w:b/>
          <w:sz w:val="20"/>
        </w:rPr>
        <w:t>after 1 July 2017</w:t>
      </w:r>
    </w:p>
    <w:p w:rsidR="00772649" w:rsidRDefault="00B6524D" w:rsidP="00B6524D">
      <w:pPr>
        <w:spacing w:before="120"/>
        <w:rPr>
          <w:rFonts w:ascii="Verdana" w:hAnsi="Verdana"/>
          <w:sz w:val="20"/>
        </w:rPr>
      </w:pPr>
      <w:r w:rsidRPr="00B6524D">
        <w:rPr>
          <w:rFonts w:ascii="Verdana" w:hAnsi="Verdana"/>
          <w:sz w:val="20"/>
        </w:rPr>
        <w:t xml:space="preserve">The pay </w:t>
      </w:r>
      <w:r>
        <w:rPr>
          <w:rFonts w:ascii="Verdana" w:hAnsi="Verdana"/>
          <w:sz w:val="20"/>
        </w:rPr>
        <w:t>bands</w:t>
      </w:r>
      <w:r w:rsidRPr="00B6524D">
        <w:rPr>
          <w:rFonts w:ascii="Verdana" w:hAnsi="Verdana"/>
          <w:sz w:val="20"/>
        </w:rPr>
        <w:t xml:space="preserve"> for workers</w:t>
      </w:r>
      <w:r>
        <w:rPr>
          <w:rFonts w:ascii="Verdana" w:hAnsi="Verdana"/>
          <w:sz w:val="20"/>
        </w:rPr>
        <w:t xml:space="preserve"> who are employed on or after 1 July 2017 are calculated on the basis of their qualifications alone.  This applies to all new employees, even if they have a number of years’ experience as </w:t>
      </w:r>
      <w:r w:rsidR="00D07ACE">
        <w:rPr>
          <w:rFonts w:ascii="Verdana" w:hAnsi="Verdana"/>
          <w:sz w:val="20"/>
        </w:rPr>
        <w:t xml:space="preserve">a </w:t>
      </w:r>
      <w:r>
        <w:rPr>
          <w:rFonts w:ascii="Verdana" w:hAnsi="Verdana"/>
          <w:sz w:val="20"/>
        </w:rPr>
        <w:t xml:space="preserve">care and support worker with a </w:t>
      </w:r>
      <w:r w:rsidR="00D07ACE">
        <w:rPr>
          <w:rFonts w:ascii="Verdana" w:hAnsi="Verdana"/>
          <w:sz w:val="20"/>
        </w:rPr>
        <w:t>previous</w:t>
      </w:r>
      <w:r>
        <w:rPr>
          <w:rFonts w:ascii="Verdana" w:hAnsi="Verdana"/>
          <w:sz w:val="20"/>
        </w:rPr>
        <w:t xml:space="preserve"> employer.  </w:t>
      </w:r>
    </w:p>
    <w:p w:rsidR="00B978A8" w:rsidRDefault="00B6524D" w:rsidP="00B6524D">
      <w:pPr>
        <w:spacing w:before="120"/>
        <w:rPr>
          <w:rFonts w:ascii="Verdana" w:hAnsi="Verdana"/>
          <w:sz w:val="20"/>
        </w:rPr>
      </w:pPr>
      <w:r>
        <w:rPr>
          <w:rFonts w:ascii="Verdana" w:hAnsi="Verdana"/>
          <w:sz w:val="20"/>
        </w:rPr>
        <w:lastRenderedPageBreak/>
        <w:t>An employee</w:t>
      </w:r>
      <w:r w:rsidR="004F6BCD">
        <w:rPr>
          <w:rFonts w:ascii="Verdana" w:hAnsi="Verdana"/>
          <w:sz w:val="20"/>
        </w:rPr>
        <w:t>’</w:t>
      </w:r>
      <w:r>
        <w:rPr>
          <w:rFonts w:ascii="Verdana" w:hAnsi="Verdana"/>
          <w:sz w:val="20"/>
        </w:rPr>
        <w:t xml:space="preserve">s length of service can only be taken into account if they have had “continuous </w:t>
      </w:r>
      <w:r w:rsidR="00D07ACE">
        <w:rPr>
          <w:rFonts w:ascii="Verdana" w:hAnsi="Verdana"/>
          <w:sz w:val="20"/>
        </w:rPr>
        <w:t>employment</w:t>
      </w:r>
      <w:r>
        <w:rPr>
          <w:rFonts w:ascii="Verdana" w:hAnsi="Verdana"/>
          <w:sz w:val="20"/>
        </w:rPr>
        <w:t>”</w:t>
      </w:r>
      <w:r w:rsidR="00D07ACE">
        <w:rPr>
          <w:rFonts w:ascii="Verdana" w:hAnsi="Verdana"/>
          <w:sz w:val="20"/>
        </w:rPr>
        <w:t xml:space="preserve"> (see the FAQ below for </w:t>
      </w:r>
      <w:r w:rsidR="007F37A3">
        <w:rPr>
          <w:rFonts w:ascii="Verdana" w:hAnsi="Verdana"/>
          <w:sz w:val="20"/>
        </w:rPr>
        <w:t xml:space="preserve">the definition </w:t>
      </w:r>
      <w:r w:rsidR="00772649">
        <w:rPr>
          <w:rFonts w:ascii="Verdana" w:hAnsi="Verdana"/>
          <w:sz w:val="20"/>
        </w:rPr>
        <w:t>of</w:t>
      </w:r>
      <w:r w:rsidR="007F37A3">
        <w:rPr>
          <w:rFonts w:ascii="Verdana" w:hAnsi="Verdana"/>
          <w:sz w:val="20"/>
        </w:rPr>
        <w:t xml:space="preserve"> ‘continuous employment’</w:t>
      </w:r>
      <w:r w:rsidR="00D07ACE">
        <w:rPr>
          <w:rFonts w:ascii="Verdana" w:hAnsi="Verdana"/>
          <w:sz w:val="20"/>
        </w:rPr>
        <w:t>)</w:t>
      </w:r>
      <w:r>
        <w:rPr>
          <w:rFonts w:ascii="Verdana" w:hAnsi="Verdana"/>
          <w:sz w:val="20"/>
        </w:rPr>
        <w:t>.</w:t>
      </w:r>
    </w:p>
    <w:bookmarkEnd w:id="6"/>
    <w:p w:rsidR="00F73730" w:rsidRDefault="00F73730" w:rsidP="00F73730">
      <w:pPr>
        <w:spacing w:before="120"/>
        <w:rPr>
          <w:rFonts w:ascii="Verdana" w:hAnsi="Verdana"/>
          <w:sz w:val="20"/>
          <w:szCs w:val="24"/>
        </w:rPr>
      </w:pPr>
      <w:r>
        <w:rPr>
          <w:rFonts w:ascii="Verdana" w:hAnsi="Verdana"/>
          <w:sz w:val="20"/>
          <w:szCs w:val="24"/>
        </w:rPr>
        <w:t>Completing the pay equity estimation data col</w:t>
      </w:r>
      <w:r w:rsidR="00EA2FD3">
        <w:rPr>
          <w:rFonts w:ascii="Verdana" w:hAnsi="Verdana"/>
          <w:sz w:val="20"/>
          <w:szCs w:val="24"/>
        </w:rPr>
        <w:t>lection tool or pay equity wash-</w:t>
      </w:r>
      <w:r>
        <w:rPr>
          <w:rFonts w:ascii="Verdana" w:hAnsi="Verdana"/>
          <w:sz w:val="20"/>
          <w:szCs w:val="24"/>
        </w:rPr>
        <w:t xml:space="preserve">up data collection tool will </w:t>
      </w:r>
      <w:r w:rsidR="007F37A3">
        <w:rPr>
          <w:rFonts w:ascii="Verdana" w:hAnsi="Verdana"/>
          <w:sz w:val="20"/>
          <w:szCs w:val="24"/>
        </w:rPr>
        <w:t xml:space="preserve">inform </w:t>
      </w:r>
      <w:r>
        <w:rPr>
          <w:rFonts w:ascii="Verdana" w:hAnsi="Verdana"/>
          <w:sz w:val="20"/>
          <w:szCs w:val="24"/>
        </w:rPr>
        <w:t xml:space="preserve">providers </w:t>
      </w:r>
      <w:r w:rsidR="007F37A3">
        <w:rPr>
          <w:rFonts w:ascii="Verdana" w:hAnsi="Verdana"/>
          <w:sz w:val="20"/>
          <w:szCs w:val="24"/>
        </w:rPr>
        <w:t xml:space="preserve">as to </w:t>
      </w:r>
      <w:r>
        <w:rPr>
          <w:rFonts w:ascii="Verdana" w:hAnsi="Verdana"/>
          <w:sz w:val="20"/>
          <w:szCs w:val="24"/>
        </w:rPr>
        <w:t>what pay</w:t>
      </w:r>
      <w:r w:rsidR="00D07ACE">
        <w:rPr>
          <w:rFonts w:ascii="Verdana" w:hAnsi="Verdana"/>
          <w:sz w:val="20"/>
          <w:szCs w:val="24"/>
        </w:rPr>
        <w:t>-</w:t>
      </w:r>
      <w:r>
        <w:rPr>
          <w:rFonts w:ascii="Verdana" w:hAnsi="Verdana"/>
          <w:sz w:val="20"/>
          <w:szCs w:val="24"/>
        </w:rPr>
        <w:t>band</w:t>
      </w:r>
      <w:r w:rsidR="007F37A3">
        <w:rPr>
          <w:rFonts w:ascii="Verdana" w:hAnsi="Verdana"/>
          <w:sz w:val="20"/>
          <w:szCs w:val="24"/>
        </w:rPr>
        <w:t>s</w:t>
      </w:r>
      <w:r>
        <w:rPr>
          <w:rFonts w:ascii="Verdana" w:hAnsi="Verdana"/>
          <w:sz w:val="20"/>
          <w:szCs w:val="24"/>
        </w:rPr>
        <w:t xml:space="preserve"> their </w:t>
      </w:r>
      <w:r w:rsidR="00D07ACE">
        <w:rPr>
          <w:rFonts w:ascii="Verdana" w:hAnsi="Verdana"/>
          <w:sz w:val="20"/>
          <w:szCs w:val="24"/>
        </w:rPr>
        <w:t>eligible</w:t>
      </w:r>
      <w:r>
        <w:rPr>
          <w:rFonts w:ascii="Verdana" w:hAnsi="Verdana"/>
          <w:sz w:val="20"/>
          <w:szCs w:val="24"/>
        </w:rPr>
        <w:t xml:space="preserve"> employees are entitled to.</w:t>
      </w:r>
    </w:p>
    <w:p w:rsidR="00CD14D2" w:rsidRPr="00927EFB" w:rsidRDefault="00CD14D2" w:rsidP="00F73730">
      <w:pPr>
        <w:spacing w:before="120"/>
        <w:rPr>
          <w:rFonts w:ascii="Verdana" w:hAnsi="Verdana"/>
          <w:sz w:val="20"/>
          <w:szCs w:val="24"/>
        </w:rPr>
      </w:pPr>
      <w:r>
        <w:rPr>
          <w:rFonts w:ascii="Verdana" w:hAnsi="Verdana"/>
          <w:sz w:val="20"/>
          <w:szCs w:val="24"/>
        </w:rPr>
        <w:t>For information on how the pay equity funding will be calculated for new employees hired on or after 1 July 2017, see the section on the pay equity wash-up process, below.</w:t>
      </w:r>
    </w:p>
    <w:p w:rsidR="001158DC" w:rsidRDefault="001158DC" w:rsidP="001158DC">
      <w:pPr>
        <w:spacing w:before="360"/>
        <w:rPr>
          <w:rFonts w:ascii="Verdana" w:hAnsi="Verdana"/>
          <w:i/>
          <w:sz w:val="24"/>
          <w:szCs w:val="24"/>
        </w:rPr>
      </w:pPr>
      <w:r>
        <w:rPr>
          <w:rFonts w:ascii="Verdana" w:hAnsi="Verdana"/>
          <w:i/>
          <w:sz w:val="24"/>
          <w:szCs w:val="24"/>
        </w:rPr>
        <w:t xml:space="preserve">How </w:t>
      </w:r>
      <w:r w:rsidRPr="009756CD">
        <w:rPr>
          <w:rFonts w:ascii="Verdana" w:hAnsi="Verdana"/>
          <w:i/>
          <w:sz w:val="24"/>
          <w:szCs w:val="24"/>
        </w:rPr>
        <w:t xml:space="preserve">can </w:t>
      </w:r>
      <w:r w:rsidR="002D6D4C">
        <w:rPr>
          <w:rFonts w:ascii="Verdana" w:hAnsi="Verdana"/>
          <w:i/>
          <w:sz w:val="24"/>
          <w:szCs w:val="24"/>
        </w:rPr>
        <w:t>a provider establish if</w:t>
      </w:r>
      <w:r w:rsidRPr="009756CD">
        <w:rPr>
          <w:rFonts w:ascii="Verdana" w:hAnsi="Verdana"/>
          <w:i/>
          <w:sz w:val="24"/>
          <w:szCs w:val="24"/>
        </w:rPr>
        <w:t xml:space="preserve"> employees are entitled to </w:t>
      </w:r>
      <w:r>
        <w:rPr>
          <w:rFonts w:ascii="Verdana" w:hAnsi="Verdana"/>
          <w:i/>
          <w:sz w:val="24"/>
          <w:szCs w:val="24"/>
        </w:rPr>
        <w:t>a pay band</w:t>
      </w:r>
      <w:r w:rsidRPr="009756CD">
        <w:rPr>
          <w:rFonts w:ascii="Verdana" w:hAnsi="Verdana"/>
          <w:i/>
          <w:sz w:val="24"/>
          <w:szCs w:val="24"/>
        </w:rPr>
        <w:t xml:space="preserve"> based on their </w:t>
      </w:r>
      <w:r>
        <w:rPr>
          <w:rFonts w:ascii="Verdana" w:hAnsi="Verdana"/>
          <w:i/>
          <w:sz w:val="24"/>
          <w:szCs w:val="24"/>
        </w:rPr>
        <w:t>length of service</w:t>
      </w:r>
      <w:r w:rsidRPr="009756CD">
        <w:rPr>
          <w:rFonts w:ascii="Verdana" w:hAnsi="Verdana"/>
          <w:i/>
          <w:sz w:val="24"/>
          <w:szCs w:val="24"/>
        </w:rPr>
        <w:t>?</w:t>
      </w:r>
    </w:p>
    <w:p w:rsidR="00D07ACE" w:rsidRDefault="00D07ACE" w:rsidP="00B6524D">
      <w:pPr>
        <w:spacing w:before="120"/>
        <w:rPr>
          <w:rFonts w:ascii="Verdana" w:hAnsi="Verdana"/>
          <w:sz w:val="20"/>
        </w:rPr>
      </w:pPr>
      <w:r>
        <w:rPr>
          <w:rFonts w:ascii="Verdana" w:hAnsi="Verdana"/>
          <w:sz w:val="20"/>
        </w:rPr>
        <w:t>Only employees who were working for the same employer prior to 1 July 2017 are entitled to be allocated to a pay equity pay band based on either length of service or qualifications.</w:t>
      </w:r>
    </w:p>
    <w:p w:rsidR="001158DC" w:rsidRDefault="00B6524D" w:rsidP="00B6524D">
      <w:pPr>
        <w:spacing w:before="120"/>
        <w:rPr>
          <w:rFonts w:ascii="Verdana" w:hAnsi="Verdana"/>
          <w:sz w:val="20"/>
        </w:rPr>
      </w:pPr>
      <w:r>
        <w:rPr>
          <w:rFonts w:ascii="Verdana" w:hAnsi="Verdana"/>
          <w:sz w:val="20"/>
        </w:rPr>
        <w:t xml:space="preserve">A care and support worker’s length of service is based on the time that they have been in </w:t>
      </w:r>
      <w:r w:rsidR="00E330E7">
        <w:rPr>
          <w:rFonts w:ascii="Verdana" w:hAnsi="Verdana"/>
          <w:sz w:val="20"/>
        </w:rPr>
        <w:t>“</w:t>
      </w:r>
      <w:r>
        <w:rPr>
          <w:rFonts w:ascii="Verdana" w:hAnsi="Verdana"/>
          <w:sz w:val="20"/>
        </w:rPr>
        <w:t>continuous employment</w:t>
      </w:r>
      <w:r w:rsidR="00E330E7">
        <w:rPr>
          <w:rFonts w:ascii="Verdana" w:hAnsi="Verdana"/>
          <w:sz w:val="20"/>
        </w:rPr>
        <w:t>”</w:t>
      </w:r>
      <w:r>
        <w:rPr>
          <w:rFonts w:ascii="Verdana" w:hAnsi="Verdana"/>
          <w:sz w:val="20"/>
        </w:rPr>
        <w:t xml:space="preserve"> as a care and support worker with their current employer.</w:t>
      </w:r>
    </w:p>
    <w:p w:rsidR="00B6524D" w:rsidRPr="00B6524D" w:rsidRDefault="00B6524D" w:rsidP="00B6524D">
      <w:pPr>
        <w:spacing w:before="120"/>
        <w:rPr>
          <w:rFonts w:ascii="Verdana" w:hAnsi="Verdana"/>
          <w:sz w:val="20"/>
        </w:rPr>
      </w:pPr>
      <w:r>
        <w:rPr>
          <w:rFonts w:ascii="Verdana" w:hAnsi="Verdana"/>
          <w:sz w:val="20"/>
        </w:rPr>
        <w:t xml:space="preserve">This includes any period during which </w:t>
      </w:r>
      <w:r w:rsidRPr="00B6524D">
        <w:rPr>
          <w:rFonts w:ascii="Verdana" w:hAnsi="Verdana"/>
          <w:sz w:val="20"/>
        </w:rPr>
        <w:t>the worker is—</w:t>
      </w:r>
    </w:p>
    <w:p w:rsidR="00B6524D" w:rsidRPr="00B6524D" w:rsidRDefault="00B6524D" w:rsidP="00B6524D">
      <w:pPr>
        <w:spacing w:before="120"/>
        <w:rPr>
          <w:rFonts w:ascii="Verdana" w:hAnsi="Verdana"/>
          <w:sz w:val="20"/>
        </w:rPr>
      </w:pPr>
      <w:r w:rsidRPr="00B6524D">
        <w:rPr>
          <w:rFonts w:ascii="Verdana" w:hAnsi="Verdana"/>
          <w:sz w:val="20"/>
        </w:rPr>
        <w:t>(</w:t>
      </w:r>
      <w:proofErr w:type="spellStart"/>
      <w:r w:rsidRPr="00B6524D">
        <w:rPr>
          <w:rFonts w:ascii="Verdana" w:hAnsi="Verdana"/>
          <w:sz w:val="20"/>
        </w:rPr>
        <w:t>i</w:t>
      </w:r>
      <w:proofErr w:type="spellEnd"/>
      <w:r w:rsidRPr="00B6524D">
        <w:rPr>
          <w:rFonts w:ascii="Verdana" w:hAnsi="Verdana"/>
          <w:sz w:val="20"/>
        </w:rPr>
        <w:t xml:space="preserve">) </w:t>
      </w:r>
      <w:proofErr w:type="gramStart"/>
      <w:r w:rsidRPr="00B6524D">
        <w:rPr>
          <w:rFonts w:ascii="Verdana" w:hAnsi="Verdana"/>
          <w:sz w:val="20"/>
        </w:rPr>
        <w:t>on</w:t>
      </w:r>
      <w:proofErr w:type="gramEnd"/>
      <w:r w:rsidRPr="00B6524D">
        <w:rPr>
          <w:rFonts w:ascii="Verdana" w:hAnsi="Verdana"/>
          <w:sz w:val="20"/>
        </w:rPr>
        <w:t xml:space="preserve"> paid holidays or leave under the Holidays Act 2003; or</w:t>
      </w:r>
    </w:p>
    <w:p w:rsidR="00B6524D" w:rsidRPr="00B6524D" w:rsidRDefault="00B6524D" w:rsidP="00B6524D">
      <w:pPr>
        <w:spacing w:before="120"/>
        <w:rPr>
          <w:rFonts w:ascii="Verdana" w:hAnsi="Verdana"/>
          <w:sz w:val="20"/>
        </w:rPr>
      </w:pPr>
      <w:r w:rsidRPr="00B6524D">
        <w:rPr>
          <w:rFonts w:ascii="Verdana" w:hAnsi="Verdana"/>
          <w:sz w:val="20"/>
        </w:rPr>
        <w:t xml:space="preserve">(ii) </w:t>
      </w:r>
      <w:proofErr w:type="gramStart"/>
      <w:r w:rsidRPr="00B6524D">
        <w:rPr>
          <w:rFonts w:ascii="Verdana" w:hAnsi="Verdana"/>
          <w:sz w:val="20"/>
        </w:rPr>
        <w:t>on</w:t>
      </w:r>
      <w:proofErr w:type="gramEnd"/>
      <w:r w:rsidRPr="00B6524D">
        <w:rPr>
          <w:rFonts w:ascii="Verdana" w:hAnsi="Verdana"/>
          <w:sz w:val="20"/>
        </w:rPr>
        <w:t xml:space="preserve"> parental leave under the Parental Leave and Employment Protection Act 1987; or</w:t>
      </w:r>
    </w:p>
    <w:p w:rsidR="00B6524D" w:rsidRPr="00B6524D" w:rsidRDefault="00B6524D" w:rsidP="00B6524D">
      <w:pPr>
        <w:spacing w:before="120"/>
        <w:rPr>
          <w:rFonts w:ascii="Verdana" w:hAnsi="Verdana"/>
          <w:sz w:val="20"/>
        </w:rPr>
      </w:pPr>
      <w:r w:rsidRPr="00B6524D">
        <w:rPr>
          <w:rFonts w:ascii="Verdana" w:hAnsi="Verdana"/>
          <w:sz w:val="20"/>
        </w:rPr>
        <w:t xml:space="preserve">(iii) </w:t>
      </w:r>
      <w:proofErr w:type="gramStart"/>
      <w:r w:rsidRPr="00B6524D">
        <w:rPr>
          <w:rFonts w:ascii="Verdana" w:hAnsi="Verdana"/>
          <w:sz w:val="20"/>
        </w:rPr>
        <w:t>on</w:t>
      </w:r>
      <w:proofErr w:type="gramEnd"/>
      <w:r w:rsidRPr="00B6524D">
        <w:rPr>
          <w:rFonts w:ascii="Verdana" w:hAnsi="Verdana"/>
          <w:sz w:val="20"/>
        </w:rPr>
        <w:t xml:space="preserve"> volunteers leave (within the meaning of that term in section 2(1) of the Volunteers Employment Protection Act 1973); or</w:t>
      </w:r>
    </w:p>
    <w:p w:rsidR="00B6524D" w:rsidRPr="00B6524D" w:rsidRDefault="00B6524D" w:rsidP="00B6524D">
      <w:pPr>
        <w:spacing w:before="120"/>
        <w:rPr>
          <w:rFonts w:ascii="Verdana" w:hAnsi="Verdana"/>
          <w:sz w:val="20"/>
        </w:rPr>
      </w:pPr>
      <w:r w:rsidRPr="00B6524D">
        <w:rPr>
          <w:rFonts w:ascii="Verdana" w:hAnsi="Verdana"/>
          <w:sz w:val="20"/>
        </w:rPr>
        <w:t xml:space="preserve">(iv) </w:t>
      </w:r>
      <w:proofErr w:type="gramStart"/>
      <w:r w:rsidRPr="00B6524D">
        <w:rPr>
          <w:rFonts w:ascii="Verdana" w:hAnsi="Verdana"/>
          <w:sz w:val="20"/>
        </w:rPr>
        <w:t>receiving</w:t>
      </w:r>
      <w:proofErr w:type="gramEnd"/>
      <w:r w:rsidRPr="00B6524D">
        <w:rPr>
          <w:rFonts w:ascii="Verdana" w:hAnsi="Verdana"/>
          <w:sz w:val="20"/>
        </w:rPr>
        <w:t xml:space="preserve"> weekly compensation under the Accident Compensation Act 2001 as well as, or instead of, payment from the employer; or</w:t>
      </w:r>
    </w:p>
    <w:p w:rsidR="00B6524D" w:rsidRPr="00B6524D" w:rsidRDefault="00B6524D" w:rsidP="00B6524D">
      <w:pPr>
        <w:spacing w:before="120"/>
        <w:rPr>
          <w:rFonts w:ascii="Verdana" w:hAnsi="Verdana"/>
          <w:sz w:val="20"/>
        </w:rPr>
      </w:pPr>
      <w:r w:rsidRPr="00B6524D">
        <w:rPr>
          <w:rFonts w:ascii="Verdana" w:hAnsi="Verdana"/>
          <w:sz w:val="20"/>
        </w:rPr>
        <w:t xml:space="preserve">(v) </w:t>
      </w:r>
      <w:proofErr w:type="gramStart"/>
      <w:r w:rsidRPr="00B6524D">
        <w:rPr>
          <w:rFonts w:ascii="Verdana" w:hAnsi="Verdana"/>
          <w:sz w:val="20"/>
        </w:rPr>
        <w:t>on</w:t>
      </w:r>
      <w:proofErr w:type="gramEnd"/>
      <w:r w:rsidRPr="00B6524D">
        <w:rPr>
          <w:rFonts w:ascii="Verdana" w:hAnsi="Verdana"/>
          <w:sz w:val="20"/>
        </w:rPr>
        <w:t xml:space="preserve"> unpaid sick leave or unpaid bereavement leave; or</w:t>
      </w:r>
    </w:p>
    <w:p w:rsidR="00B6524D" w:rsidRDefault="00B6524D" w:rsidP="00B6524D">
      <w:pPr>
        <w:spacing w:before="120"/>
        <w:rPr>
          <w:rFonts w:ascii="Verdana" w:hAnsi="Verdana"/>
          <w:sz w:val="20"/>
        </w:rPr>
      </w:pPr>
      <w:r w:rsidRPr="00B6524D">
        <w:rPr>
          <w:rFonts w:ascii="Verdana" w:hAnsi="Verdana"/>
          <w:sz w:val="20"/>
        </w:rPr>
        <w:t xml:space="preserve">(vi) </w:t>
      </w:r>
      <w:proofErr w:type="gramStart"/>
      <w:r w:rsidRPr="00B6524D">
        <w:rPr>
          <w:rFonts w:ascii="Verdana" w:hAnsi="Verdana"/>
          <w:sz w:val="20"/>
        </w:rPr>
        <w:t>on</w:t>
      </w:r>
      <w:proofErr w:type="gramEnd"/>
      <w:r w:rsidRPr="00B6524D">
        <w:rPr>
          <w:rFonts w:ascii="Verdana" w:hAnsi="Verdana"/>
          <w:sz w:val="20"/>
        </w:rPr>
        <w:t xml:space="preserve"> unpaid leave for any other reason for a p</w:t>
      </w:r>
      <w:r>
        <w:rPr>
          <w:rFonts w:ascii="Verdana" w:hAnsi="Verdana"/>
          <w:sz w:val="20"/>
        </w:rPr>
        <w:t>eriod of no more than 1 week</w:t>
      </w:r>
      <w:r w:rsidR="003A6BA4">
        <w:rPr>
          <w:rFonts w:ascii="Verdana" w:hAnsi="Verdana"/>
          <w:sz w:val="20"/>
        </w:rPr>
        <w:t>.</w:t>
      </w:r>
      <w:r>
        <w:rPr>
          <w:rFonts w:ascii="Verdana" w:hAnsi="Verdana"/>
          <w:sz w:val="20"/>
        </w:rPr>
        <w:br/>
      </w:r>
    </w:p>
    <w:p w:rsidR="00B6524D" w:rsidRDefault="00B6524D" w:rsidP="00927EFB">
      <w:pPr>
        <w:spacing w:before="120"/>
        <w:rPr>
          <w:rFonts w:ascii="Verdana" w:hAnsi="Verdana"/>
          <w:sz w:val="20"/>
        </w:rPr>
      </w:pPr>
      <w:r>
        <w:rPr>
          <w:rFonts w:ascii="Verdana" w:hAnsi="Verdana"/>
          <w:sz w:val="20"/>
        </w:rPr>
        <w:t>Continuous employment with a previous employer will only contribute to an employee’s length of service if:</w:t>
      </w:r>
    </w:p>
    <w:p w:rsidR="00B6524D" w:rsidRPr="00B6524D" w:rsidRDefault="00B6524D" w:rsidP="00B6524D">
      <w:pPr>
        <w:spacing w:before="120"/>
        <w:rPr>
          <w:rFonts w:ascii="Verdana" w:hAnsi="Verdana"/>
          <w:sz w:val="20"/>
        </w:rPr>
      </w:pPr>
      <w:r w:rsidRPr="00B6524D">
        <w:rPr>
          <w:rFonts w:ascii="Verdana" w:hAnsi="Verdana"/>
          <w:sz w:val="20"/>
        </w:rPr>
        <w:t xml:space="preserve">(A) </w:t>
      </w:r>
      <w:proofErr w:type="gramStart"/>
      <w:r w:rsidRPr="00B6524D">
        <w:rPr>
          <w:rFonts w:ascii="Verdana" w:hAnsi="Verdana"/>
          <w:sz w:val="20"/>
        </w:rPr>
        <w:t>the</w:t>
      </w:r>
      <w:proofErr w:type="gramEnd"/>
      <w:r w:rsidRPr="00B6524D">
        <w:rPr>
          <w:rFonts w:ascii="Verdana" w:hAnsi="Verdana"/>
          <w:sz w:val="20"/>
        </w:rPr>
        <w:t xml:space="preserve"> worker transferred from the previous employer to the current employer; and</w:t>
      </w:r>
    </w:p>
    <w:p w:rsidR="00B6524D" w:rsidRPr="00B6524D" w:rsidRDefault="00B6524D" w:rsidP="00B6524D">
      <w:pPr>
        <w:spacing w:before="120"/>
        <w:rPr>
          <w:rFonts w:ascii="Verdana" w:hAnsi="Verdana"/>
          <w:sz w:val="20"/>
        </w:rPr>
      </w:pPr>
      <w:r w:rsidRPr="00B6524D">
        <w:rPr>
          <w:rFonts w:ascii="Verdana" w:hAnsi="Verdana"/>
          <w:sz w:val="20"/>
        </w:rPr>
        <w:t xml:space="preserve">(B) </w:t>
      </w:r>
      <w:proofErr w:type="gramStart"/>
      <w:r w:rsidRPr="00B6524D">
        <w:rPr>
          <w:rFonts w:ascii="Verdana" w:hAnsi="Verdana"/>
          <w:sz w:val="20"/>
        </w:rPr>
        <w:t>the</w:t>
      </w:r>
      <w:proofErr w:type="gramEnd"/>
      <w:r w:rsidRPr="00B6524D">
        <w:rPr>
          <w:rFonts w:ascii="Verdana" w:hAnsi="Verdana"/>
          <w:sz w:val="20"/>
        </w:rPr>
        <w:t xml:space="preserve"> transfer was a result of restructuring (within the meaning of that term in section 69B of the Employment Relations Act 2000); but</w:t>
      </w:r>
      <w:r w:rsidR="00D07ACE">
        <w:rPr>
          <w:rFonts w:ascii="Verdana" w:hAnsi="Verdana"/>
          <w:sz w:val="20"/>
        </w:rPr>
        <w:t xml:space="preserve"> </w:t>
      </w:r>
      <w:r w:rsidR="007F37A3">
        <w:rPr>
          <w:rFonts w:ascii="Verdana" w:hAnsi="Verdana"/>
          <w:sz w:val="20"/>
        </w:rPr>
        <w:t>(</w:t>
      </w:r>
      <w:r w:rsidRPr="00B6524D">
        <w:rPr>
          <w:rFonts w:ascii="Verdana" w:hAnsi="Verdana"/>
          <w:sz w:val="20"/>
        </w:rPr>
        <w:t>unless otherwise agreed between the worker and the worker’s employer</w:t>
      </w:r>
      <w:r w:rsidR="007F37A3">
        <w:rPr>
          <w:rFonts w:ascii="Verdana" w:hAnsi="Verdana"/>
          <w:sz w:val="20"/>
        </w:rPr>
        <w:t>)</w:t>
      </w:r>
      <w:r w:rsidRPr="00B6524D">
        <w:rPr>
          <w:rFonts w:ascii="Verdana" w:hAnsi="Verdana"/>
          <w:sz w:val="20"/>
        </w:rPr>
        <w:t xml:space="preserve"> does not include unpaid leave </w:t>
      </w:r>
      <w:r w:rsidR="00772649">
        <w:rPr>
          <w:rFonts w:ascii="Verdana" w:hAnsi="Verdana"/>
          <w:sz w:val="20"/>
        </w:rPr>
        <w:t>unless it is mentioned in paragraphs (</w:t>
      </w:r>
      <w:proofErr w:type="spellStart"/>
      <w:r w:rsidR="00772649">
        <w:rPr>
          <w:rFonts w:ascii="Verdana" w:hAnsi="Verdana"/>
          <w:sz w:val="20"/>
        </w:rPr>
        <w:t>i</w:t>
      </w:r>
      <w:proofErr w:type="spellEnd"/>
      <w:r w:rsidR="00772649">
        <w:rPr>
          <w:rFonts w:ascii="Verdana" w:hAnsi="Verdana"/>
          <w:sz w:val="20"/>
        </w:rPr>
        <w:t xml:space="preserve">) to (vi), </w:t>
      </w:r>
      <w:r w:rsidR="00927EFB">
        <w:rPr>
          <w:rFonts w:ascii="Verdana" w:hAnsi="Verdana"/>
          <w:sz w:val="20"/>
        </w:rPr>
        <w:t>above</w:t>
      </w:r>
      <w:r w:rsidR="00D07ACE">
        <w:rPr>
          <w:rFonts w:ascii="Verdana" w:hAnsi="Verdana"/>
          <w:sz w:val="20"/>
        </w:rPr>
        <w:t>.</w:t>
      </w:r>
    </w:p>
    <w:p w:rsidR="001158DC" w:rsidRDefault="00927EFB" w:rsidP="00927EFB">
      <w:pPr>
        <w:spacing w:before="120"/>
        <w:rPr>
          <w:rFonts w:ascii="Verdana" w:hAnsi="Verdana"/>
          <w:sz w:val="20"/>
          <w:szCs w:val="24"/>
        </w:rPr>
      </w:pPr>
      <w:r w:rsidRPr="00927EFB">
        <w:rPr>
          <w:rFonts w:ascii="Verdana" w:hAnsi="Verdana"/>
          <w:sz w:val="20"/>
          <w:szCs w:val="24"/>
        </w:rPr>
        <w:t xml:space="preserve">The definition of </w:t>
      </w:r>
      <w:r w:rsidR="008359AD">
        <w:rPr>
          <w:rFonts w:ascii="Verdana" w:hAnsi="Verdana"/>
          <w:sz w:val="20"/>
          <w:szCs w:val="24"/>
        </w:rPr>
        <w:t>“</w:t>
      </w:r>
      <w:r w:rsidRPr="00927EFB">
        <w:rPr>
          <w:rFonts w:ascii="Verdana" w:hAnsi="Verdana"/>
          <w:sz w:val="20"/>
          <w:szCs w:val="24"/>
        </w:rPr>
        <w:t>restructuring</w:t>
      </w:r>
      <w:r w:rsidR="008359AD">
        <w:rPr>
          <w:rFonts w:ascii="Verdana" w:hAnsi="Verdana"/>
          <w:sz w:val="20"/>
          <w:szCs w:val="24"/>
        </w:rPr>
        <w:t>”</w:t>
      </w:r>
      <w:r w:rsidRPr="00927EFB">
        <w:rPr>
          <w:rFonts w:ascii="Verdana" w:hAnsi="Verdana"/>
          <w:sz w:val="20"/>
          <w:szCs w:val="24"/>
        </w:rPr>
        <w:t xml:space="preserve"> can be found </w:t>
      </w:r>
      <w:hyperlink r:id="rId11" w:history="1">
        <w:r w:rsidRPr="00D07ACE">
          <w:rPr>
            <w:rStyle w:val="Hyperlink"/>
            <w:color w:val="0000FF"/>
            <w:szCs w:val="24"/>
            <w:u w:val="single"/>
          </w:rPr>
          <w:t>here</w:t>
        </w:r>
      </w:hyperlink>
      <w:r w:rsidRPr="00927EFB">
        <w:rPr>
          <w:rFonts w:ascii="Verdana" w:hAnsi="Verdana"/>
          <w:sz w:val="20"/>
          <w:szCs w:val="24"/>
        </w:rPr>
        <w:t>.</w:t>
      </w:r>
      <w:r>
        <w:rPr>
          <w:rFonts w:ascii="Verdana" w:hAnsi="Verdana"/>
          <w:sz w:val="20"/>
          <w:szCs w:val="24"/>
        </w:rPr>
        <w:t xml:space="preserve"> The most common circumstance in which </w:t>
      </w:r>
      <w:r w:rsidR="007F37A3">
        <w:rPr>
          <w:rFonts w:ascii="Verdana" w:hAnsi="Verdana"/>
          <w:sz w:val="20"/>
          <w:szCs w:val="24"/>
        </w:rPr>
        <w:t>restructuring might be relevant to continuous service would be</w:t>
      </w:r>
      <w:r>
        <w:rPr>
          <w:rFonts w:ascii="Verdana" w:hAnsi="Verdana"/>
          <w:sz w:val="20"/>
          <w:szCs w:val="24"/>
        </w:rPr>
        <w:t xml:space="preserve"> if all or part of one employer’s business is sold or transferred to </w:t>
      </w:r>
      <w:r w:rsidR="00D07ACE">
        <w:rPr>
          <w:rFonts w:ascii="Verdana" w:hAnsi="Verdana"/>
          <w:sz w:val="20"/>
          <w:szCs w:val="24"/>
        </w:rPr>
        <w:t>another</w:t>
      </w:r>
      <w:r>
        <w:rPr>
          <w:rFonts w:ascii="Verdana" w:hAnsi="Verdana"/>
          <w:sz w:val="20"/>
          <w:szCs w:val="24"/>
        </w:rPr>
        <w:t xml:space="preserve"> employer.</w:t>
      </w:r>
    </w:p>
    <w:p w:rsidR="00927EFB" w:rsidRPr="009756CD" w:rsidRDefault="00927EFB" w:rsidP="00927EFB">
      <w:pPr>
        <w:spacing w:before="360"/>
        <w:rPr>
          <w:rFonts w:ascii="Verdana" w:hAnsi="Verdana"/>
          <w:i/>
          <w:sz w:val="24"/>
          <w:szCs w:val="24"/>
        </w:rPr>
      </w:pPr>
      <w:r w:rsidRPr="009756CD">
        <w:rPr>
          <w:rFonts w:ascii="Verdana" w:hAnsi="Verdana"/>
          <w:i/>
          <w:sz w:val="24"/>
          <w:szCs w:val="24"/>
        </w:rPr>
        <w:t xml:space="preserve">How can </w:t>
      </w:r>
      <w:r w:rsidR="002D6D4C">
        <w:rPr>
          <w:rFonts w:ascii="Verdana" w:hAnsi="Verdana"/>
          <w:i/>
          <w:sz w:val="24"/>
          <w:szCs w:val="24"/>
        </w:rPr>
        <w:t>a provider establish if</w:t>
      </w:r>
      <w:r w:rsidRPr="009756CD">
        <w:rPr>
          <w:rFonts w:ascii="Verdana" w:hAnsi="Verdana"/>
          <w:i/>
          <w:sz w:val="24"/>
          <w:szCs w:val="24"/>
        </w:rPr>
        <w:t xml:space="preserve"> employees are entitled to </w:t>
      </w:r>
      <w:r>
        <w:rPr>
          <w:rFonts w:ascii="Verdana" w:hAnsi="Verdana"/>
          <w:i/>
          <w:sz w:val="24"/>
          <w:szCs w:val="24"/>
        </w:rPr>
        <w:t>a pay band</w:t>
      </w:r>
      <w:r w:rsidRPr="009756CD">
        <w:rPr>
          <w:rFonts w:ascii="Verdana" w:hAnsi="Verdana"/>
          <w:i/>
          <w:sz w:val="24"/>
          <w:szCs w:val="24"/>
        </w:rPr>
        <w:t xml:space="preserve"> based on their qualifications?</w:t>
      </w:r>
    </w:p>
    <w:p w:rsidR="00927EFB" w:rsidRDefault="007F37A3" w:rsidP="00927EFB">
      <w:pPr>
        <w:spacing w:before="120"/>
        <w:rPr>
          <w:rFonts w:ascii="Verdana" w:hAnsi="Verdana"/>
          <w:sz w:val="20"/>
        </w:rPr>
      </w:pPr>
      <w:r>
        <w:rPr>
          <w:rFonts w:ascii="Verdana" w:hAnsi="Verdana"/>
          <w:sz w:val="20"/>
        </w:rPr>
        <w:t>The pay equity bands align with NZQA qualifications</w:t>
      </w:r>
      <w:r w:rsidR="00D07ACE">
        <w:rPr>
          <w:rFonts w:ascii="Verdana" w:hAnsi="Verdana"/>
          <w:sz w:val="20"/>
        </w:rPr>
        <w:t xml:space="preserve"> (i.e. a level 2 </w:t>
      </w:r>
      <w:proofErr w:type="gramStart"/>
      <w:r w:rsidR="00D07ACE">
        <w:rPr>
          <w:rFonts w:ascii="Verdana" w:hAnsi="Verdana"/>
          <w:sz w:val="20"/>
        </w:rPr>
        <w:t>qualification</w:t>
      </w:r>
      <w:proofErr w:type="gramEnd"/>
      <w:r w:rsidR="00D07ACE">
        <w:rPr>
          <w:rFonts w:ascii="Verdana" w:hAnsi="Verdana"/>
          <w:sz w:val="20"/>
        </w:rPr>
        <w:t xml:space="preserve"> means an employee would be on the level 2 pay band)</w:t>
      </w:r>
      <w:r w:rsidR="00927EFB">
        <w:rPr>
          <w:rFonts w:ascii="Verdana" w:hAnsi="Verdana"/>
          <w:sz w:val="20"/>
        </w:rPr>
        <w:t xml:space="preserve">.  The </w:t>
      </w:r>
      <w:r w:rsidR="008359AD">
        <w:rPr>
          <w:rFonts w:ascii="Verdana" w:hAnsi="Verdana"/>
          <w:sz w:val="20"/>
        </w:rPr>
        <w:t>principle</w:t>
      </w:r>
      <w:r w:rsidR="00927EFB">
        <w:rPr>
          <w:rFonts w:ascii="Verdana" w:hAnsi="Verdana"/>
          <w:sz w:val="20"/>
        </w:rPr>
        <w:t xml:space="preserve"> qualification is a </w:t>
      </w:r>
      <w:r w:rsidR="00927EFB" w:rsidRPr="001158DC">
        <w:rPr>
          <w:rFonts w:ascii="Verdana" w:hAnsi="Verdana"/>
          <w:sz w:val="20"/>
        </w:rPr>
        <w:t>Level 2, 3 or 4 New Zealand Cert</w:t>
      </w:r>
      <w:r w:rsidR="00927EFB">
        <w:rPr>
          <w:rFonts w:ascii="Verdana" w:hAnsi="Verdana"/>
          <w:sz w:val="20"/>
        </w:rPr>
        <w:t>ificate in Health and Wellbeing</w:t>
      </w:r>
      <w:r>
        <w:rPr>
          <w:rFonts w:ascii="Verdana" w:hAnsi="Verdana"/>
          <w:sz w:val="20"/>
        </w:rPr>
        <w:t xml:space="preserve"> issued through an NZQA accredited provider</w:t>
      </w:r>
      <w:r w:rsidR="00927EFB">
        <w:rPr>
          <w:rFonts w:ascii="Verdana" w:hAnsi="Verdana"/>
          <w:sz w:val="20"/>
        </w:rPr>
        <w:t xml:space="preserve">.  There is an assessment process to recognise the equivalence of other </w:t>
      </w:r>
      <w:r w:rsidR="00927EFB">
        <w:rPr>
          <w:rFonts w:ascii="Verdana" w:hAnsi="Verdana"/>
          <w:sz w:val="20"/>
        </w:rPr>
        <w:lastRenderedPageBreak/>
        <w:t xml:space="preserve">qualifications.  If an employee or provider has questions about an employee’s qualifications, </w:t>
      </w:r>
      <w:r w:rsidR="00927EFB" w:rsidRPr="001A353D">
        <w:rPr>
          <w:rFonts w:ascii="Verdana" w:hAnsi="Verdana"/>
          <w:sz w:val="20"/>
        </w:rPr>
        <w:t xml:space="preserve">they should </w:t>
      </w:r>
      <w:r w:rsidR="00927EFB">
        <w:rPr>
          <w:rFonts w:ascii="Verdana" w:hAnsi="Verdana"/>
          <w:sz w:val="20"/>
        </w:rPr>
        <w:t xml:space="preserve">refer to the </w:t>
      </w:r>
      <w:hyperlink r:id="rId12" w:history="1">
        <w:r w:rsidR="00927EFB" w:rsidRPr="00285032">
          <w:rPr>
            <w:rStyle w:val="Hyperlink"/>
            <w:color w:val="0000FF"/>
            <w:u w:val="single"/>
          </w:rPr>
          <w:t>Careerforce website</w:t>
        </w:r>
      </w:hyperlink>
      <w:r w:rsidR="00285032">
        <w:rPr>
          <w:rFonts w:ascii="Verdana" w:hAnsi="Verdana"/>
          <w:sz w:val="20"/>
        </w:rPr>
        <w:t>,</w:t>
      </w:r>
      <w:r w:rsidR="00927EFB">
        <w:rPr>
          <w:rFonts w:ascii="Verdana" w:hAnsi="Verdana"/>
          <w:sz w:val="20"/>
        </w:rPr>
        <w:t xml:space="preserve"> or </w:t>
      </w:r>
      <w:r w:rsidR="00927EFB" w:rsidRPr="001A353D">
        <w:rPr>
          <w:rFonts w:ascii="Verdana" w:hAnsi="Verdana"/>
          <w:sz w:val="20"/>
        </w:rPr>
        <w:t xml:space="preserve">contact Careerforce by calling 0800 277 486 or emailing </w:t>
      </w:r>
      <w:hyperlink r:id="rId13" w:history="1">
        <w:r w:rsidR="00927EFB" w:rsidRPr="001A353D">
          <w:rPr>
            <w:rFonts w:ascii="Verdana" w:hAnsi="Verdana"/>
            <w:sz w:val="20"/>
          </w:rPr>
          <w:t>info@careerforce.org.nz</w:t>
        </w:r>
      </w:hyperlink>
      <w:r w:rsidR="00927EFB" w:rsidRPr="001A353D">
        <w:rPr>
          <w:rFonts w:ascii="Verdana" w:hAnsi="Verdana"/>
          <w:sz w:val="20"/>
        </w:rPr>
        <w:t xml:space="preserve"> with ‘Pay Equity Qualification Query’ in the subject line.</w:t>
      </w:r>
    </w:p>
    <w:p w:rsidR="008359AD" w:rsidRDefault="008359AD" w:rsidP="00927EFB">
      <w:pPr>
        <w:spacing w:before="120"/>
        <w:rPr>
          <w:rFonts w:ascii="Verdana" w:hAnsi="Verdana"/>
          <w:sz w:val="20"/>
        </w:rPr>
      </w:pPr>
      <w:r>
        <w:rPr>
          <w:rFonts w:ascii="Verdana" w:hAnsi="Verdana"/>
          <w:sz w:val="20"/>
        </w:rPr>
        <w:t>Qualifications above NZQA level 4 (such as bachelor’s degrees) will put employees in the level 4 pay band as long as the qualifications are assessed as being relevant to the type of care and support work that the employee does</w:t>
      </w:r>
      <w:r w:rsidR="00D07ACE">
        <w:rPr>
          <w:rFonts w:ascii="Verdana" w:hAnsi="Verdana"/>
          <w:sz w:val="20"/>
        </w:rPr>
        <w:t>.  These assessments are made</w:t>
      </w:r>
      <w:r>
        <w:rPr>
          <w:rFonts w:ascii="Verdana" w:hAnsi="Verdana"/>
          <w:sz w:val="20"/>
        </w:rPr>
        <w:t xml:space="preserve"> by </w:t>
      </w:r>
      <w:hyperlink r:id="rId14" w:history="1">
        <w:r w:rsidRPr="00D07ACE">
          <w:rPr>
            <w:rStyle w:val="Hyperlink"/>
            <w:color w:val="0000FF"/>
            <w:u w:val="single"/>
          </w:rPr>
          <w:t>Careerforce</w:t>
        </w:r>
      </w:hyperlink>
      <w:r>
        <w:rPr>
          <w:rFonts w:ascii="Verdana" w:hAnsi="Verdana"/>
          <w:sz w:val="20"/>
        </w:rPr>
        <w:t>.</w:t>
      </w:r>
    </w:p>
    <w:p w:rsidR="001158DC" w:rsidRPr="009756CD" w:rsidRDefault="001158DC" w:rsidP="001158DC">
      <w:pPr>
        <w:spacing w:before="360"/>
        <w:rPr>
          <w:rFonts w:ascii="Verdana" w:hAnsi="Verdana"/>
          <w:i/>
          <w:sz w:val="24"/>
          <w:szCs w:val="24"/>
        </w:rPr>
      </w:pPr>
      <w:r w:rsidRPr="009756CD">
        <w:rPr>
          <w:rFonts w:ascii="Verdana" w:hAnsi="Verdana"/>
          <w:i/>
          <w:sz w:val="24"/>
          <w:szCs w:val="24"/>
        </w:rPr>
        <w:t>Do providers have to pay back-pay to their employees?</w:t>
      </w:r>
    </w:p>
    <w:p w:rsidR="001158DC" w:rsidRDefault="001158DC" w:rsidP="001158DC">
      <w:pPr>
        <w:spacing w:before="120"/>
        <w:rPr>
          <w:rFonts w:ascii="Verdana" w:hAnsi="Verdana"/>
          <w:sz w:val="20"/>
        </w:rPr>
      </w:pPr>
      <w:r>
        <w:rPr>
          <w:rFonts w:ascii="Verdana" w:hAnsi="Verdana"/>
          <w:sz w:val="20"/>
        </w:rPr>
        <w:t>Yes, once providers have received their first quarterly estimated advance payment then they need to make a back-payment to all employees who were eligible for pay equity rates from 1 July 2017.</w:t>
      </w:r>
    </w:p>
    <w:p w:rsidR="00EE5D4F" w:rsidRDefault="00EE5D4F" w:rsidP="001158DC">
      <w:pPr>
        <w:spacing w:before="120"/>
        <w:rPr>
          <w:rFonts w:ascii="Verdana" w:hAnsi="Verdana"/>
          <w:sz w:val="20"/>
        </w:rPr>
      </w:pPr>
      <w:r>
        <w:rPr>
          <w:rFonts w:ascii="Verdana" w:hAnsi="Verdana"/>
          <w:sz w:val="20"/>
        </w:rPr>
        <w:t>If an employee is assessed as being entitled to a higher pay rate after receiving their initial back-pay (through having a qualification’s equivalence and relevance assessed, for example), then they will be entitled to additional back-pay.</w:t>
      </w:r>
    </w:p>
    <w:p w:rsidR="001158DC" w:rsidRPr="009756CD" w:rsidRDefault="001158DC" w:rsidP="001158DC">
      <w:pPr>
        <w:spacing w:before="360"/>
        <w:rPr>
          <w:rFonts w:ascii="Verdana" w:hAnsi="Verdana"/>
          <w:i/>
          <w:sz w:val="24"/>
          <w:szCs w:val="24"/>
        </w:rPr>
      </w:pPr>
      <w:r w:rsidRPr="009756CD">
        <w:rPr>
          <w:rFonts w:ascii="Verdana" w:hAnsi="Verdana"/>
          <w:i/>
          <w:sz w:val="24"/>
          <w:szCs w:val="24"/>
        </w:rPr>
        <w:t xml:space="preserve">What if </w:t>
      </w:r>
      <w:r w:rsidR="002D6D4C">
        <w:rPr>
          <w:rFonts w:ascii="Verdana" w:hAnsi="Verdana"/>
          <w:i/>
          <w:sz w:val="24"/>
          <w:szCs w:val="24"/>
        </w:rPr>
        <w:t xml:space="preserve">a provider is </w:t>
      </w:r>
      <w:r w:rsidR="00123701">
        <w:rPr>
          <w:rFonts w:ascii="Verdana" w:hAnsi="Verdana"/>
          <w:i/>
          <w:sz w:val="24"/>
          <w:szCs w:val="24"/>
        </w:rPr>
        <w:t>already paying employees above the</w:t>
      </w:r>
      <w:r w:rsidRPr="009756CD">
        <w:rPr>
          <w:rFonts w:ascii="Verdana" w:hAnsi="Verdana"/>
          <w:i/>
          <w:sz w:val="24"/>
          <w:szCs w:val="24"/>
        </w:rPr>
        <w:t xml:space="preserve"> pay </w:t>
      </w:r>
      <w:r w:rsidR="00123701">
        <w:rPr>
          <w:rFonts w:ascii="Verdana" w:hAnsi="Verdana"/>
          <w:i/>
          <w:sz w:val="24"/>
          <w:szCs w:val="24"/>
        </w:rPr>
        <w:t xml:space="preserve">equity minimum </w:t>
      </w:r>
      <w:r w:rsidRPr="009756CD">
        <w:rPr>
          <w:rFonts w:ascii="Verdana" w:hAnsi="Verdana"/>
          <w:i/>
          <w:sz w:val="24"/>
          <w:szCs w:val="24"/>
        </w:rPr>
        <w:t>rates?</w:t>
      </w:r>
    </w:p>
    <w:p w:rsidR="001158DC" w:rsidRDefault="001158DC" w:rsidP="001158DC">
      <w:pPr>
        <w:spacing w:before="120"/>
        <w:rPr>
          <w:rFonts w:ascii="Verdana" w:hAnsi="Verdana"/>
          <w:sz w:val="20"/>
        </w:rPr>
      </w:pPr>
      <w:r>
        <w:rPr>
          <w:rFonts w:ascii="Verdana" w:hAnsi="Verdana"/>
          <w:sz w:val="20"/>
        </w:rPr>
        <w:t xml:space="preserve">If a provider is already paying </w:t>
      </w:r>
      <w:r w:rsidR="00123701">
        <w:rPr>
          <w:rFonts w:ascii="Verdana" w:hAnsi="Verdana"/>
          <w:sz w:val="20"/>
        </w:rPr>
        <w:t xml:space="preserve">any of </w:t>
      </w:r>
      <w:r>
        <w:rPr>
          <w:rFonts w:ascii="Verdana" w:hAnsi="Verdana"/>
          <w:sz w:val="20"/>
        </w:rPr>
        <w:t xml:space="preserve">its </w:t>
      </w:r>
      <w:r w:rsidR="00123701">
        <w:rPr>
          <w:rFonts w:ascii="Verdana" w:hAnsi="Verdana"/>
          <w:sz w:val="20"/>
        </w:rPr>
        <w:t xml:space="preserve">eligible </w:t>
      </w:r>
      <w:r>
        <w:rPr>
          <w:rFonts w:ascii="Verdana" w:hAnsi="Verdana"/>
          <w:sz w:val="20"/>
        </w:rPr>
        <w:t xml:space="preserve">employees above the pay equity minimum rates, then it </w:t>
      </w:r>
      <w:r w:rsidR="00123701">
        <w:rPr>
          <w:rFonts w:ascii="Verdana" w:hAnsi="Verdana"/>
          <w:sz w:val="20"/>
        </w:rPr>
        <w:t>must</w:t>
      </w:r>
      <w:r>
        <w:rPr>
          <w:rFonts w:ascii="Verdana" w:hAnsi="Verdana"/>
          <w:sz w:val="20"/>
        </w:rPr>
        <w:t xml:space="preserve"> continue to pay those rates.  The provider will not receive any funding for wage</w:t>
      </w:r>
      <w:r w:rsidR="00123701">
        <w:rPr>
          <w:rFonts w:ascii="Verdana" w:hAnsi="Verdana"/>
          <w:sz w:val="20"/>
        </w:rPr>
        <w:t xml:space="preserve"> or on-cost</w:t>
      </w:r>
      <w:r>
        <w:rPr>
          <w:rFonts w:ascii="Verdana" w:hAnsi="Verdana"/>
          <w:sz w:val="20"/>
        </w:rPr>
        <w:t xml:space="preserve">s </w:t>
      </w:r>
      <w:r w:rsidR="00123701">
        <w:rPr>
          <w:rFonts w:ascii="Verdana" w:hAnsi="Verdana"/>
          <w:sz w:val="20"/>
        </w:rPr>
        <w:t>for those employees</w:t>
      </w:r>
      <w:r>
        <w:rPr>
          <w:rFonts w:ascii="Verdana" w:hAnsi="Verdana"/>
          <w:sz w:val="20"/>
        </w:rPr>
        <w:t>.</w:t>
      </w:r>
    </w:p>
    <w:p w:rsidR="00123701" w:rsidRDefault="00123701" w:rsidP="001158DC">
      <w:pPr>
        <w:spacing w:before="120"/>
        <w:rPr>
          <w:rFonts w:ascii="Verdana" w:hAnsi="Verdana"/>
          <w:sz w:val="20"/>
        </w:rPr>
      </w:pPr>
      <w:r>
        <w:rPr>
          <w:rFonts w:ascii="Verdana" w:hAnsi="Verdana"/>
          <w:sz w:val="20"/>
        </w:rPr>
        <w:t>P</w:t>
      </w:r>
      <w:r w:rsidR="001158DC">
        <w:rPr>
          <w:rFonts w:ascii="Verdana" w:hAnsi="Verdana"/>
          <w:sz w:val="20"/>
        </w:rPr>
        <w:t>roviders will still be eligible for training and education funding for eligible employees</w:t>
      </w:r>
      <w:r>
        <w:rPr>
          <w:rFonts w:ascii="Verdana" w:hAnsi="Verdana"/>
          <w:sz w:val="20"/>
        </w:rPr>
        <w:t xml:space="preserve"> who are earning above the applicable pay equity rates</w:t>
      </w:r>
      <w:r w:rsidR="001158DC">
        <w:rPr>
          <w:rFonts w:ascii="Verdana" w:hAnsi="Verdana"/>
          <w:sz w:val="20"/>
        </w:rPr>
        <w:t xml:space="preserve">.  This </w:t>
      </w:r>
      <w:r>
        <w:rPr>
          <w:rFonts w:ascii="Verdana" w:hAnsi="Verdana"/>
          <w:sz w:val="20"/>
        </w:rPr>
        <w:t xml:space="preserve">funding </w:t>
      </w:r>
      <w:r w:rsidR="001158DC">
        <w:rPr>
          <w:rFonts w:ascii="Verdana" w:hAnsi="Verdana"/>
          <w:sz w:val="20"/>
        </w:rPr>
        <w:t xml:space="preserve">will be calculated </w:t>
      </w:r>
      <w:r>
        <w:rPr>
          <w:rFonts w:ascii="Verdana" w:hAnsi="Verdana"/>
          <w:sz w:val="20"/>
        </w:rPr>
        <w:t>at</w:t>
      </w:r>
      <w:r w:rsidR="001158DC">
        <w:rPr>
          <w:rFonts w:ascii="Verdana" w:hAnsi="Verdana"/>
          <w:sz w:val="20"/>
        </w:rPr>
        <w:t xml:space="preserve"> 0.8% per annum</w:t>
      </w:r>
      <w:r w:rsidR="002D6D4C">
        <w:rPr>
          <w:rFonts w:ascii="Verdana" w:hAnsi="Verdana"/>
          <w:sz w:val="20"/>
        </w:rPr>
        <w:t xml:space="preserve"> of the applicable pay equity pay rate </w:t>
      </w:r>
      <w:r w:rsidR="00773A3A">
        <w:rPr>
          <w:rFonts w:ascii="Verdana" w:hAnsi="Verdana"/>
          <w:sz w:val="20"/>
        </w:rPr>
        <w:t xml:space="preserve">multiplied by </w:t>
      </w:r>
      <w:r w:rsidR="001158DC">
        <w:rPr>
          <w:rFonts w:ascii="Verdana" w:hAnsi="Verdana"/>
          <w:sz w:val="20"/>
        </w:rPr>
        <w:t>the number of hours the employee worked</w:t>
      </w:r>
      <w:r w:rsidR="002D6D4C">
        <w:rPr>
          <w:rFonts w:ascii="Verdana" w:hAnsi="Verdana"/>
          <w:sz w:val="20"/>
        </w:rPr>
        <w:t>.</w:t>
      </w:r>
    </w:p>
    <w:p w:rsidR="001158DC" w:rsidRDefault="001158DC" w:rsidP="001158DC">
      <w:pPr>
        <w:spacing w:before="120"/>
        <w:rPr>
          <w:rFonts w:ascii="Verdana" w:hAnsi="Verdana"/>
          <w:sz w:val="20"/>
        </w:rPr>
      </w:pPr>
      <w:r>
        <w:rPr>
          <w:rFonts w:ascii="Verdana" w:hAnsi="Verdana"/>
          <w:sz w:val="20"/>
        </w:rPr>
        <w:t>Th</w:t>
      </w:r>
      <w:r w:rsidR="00123701">
        <w:rPr>
          <w:rFonts w:ascii="Verdana" w:hAnsi="Verdana"/>
          <w:sz w:val="20"/>
        </w:rPr>
        <w:t xml:space="preserve">e training funding </w:t>
      </w:r>
      <w:r w:rsidR="00285032">
        <w:rPr>
          <w:rFonts w:ascii="Verdana" w:hAnsi="Verdana"/>
          <w:sz w:val="20"/>
        </w:rPr>
        <w:t xml:space="preserve">for employees earning above the hourly rate for their applicable pay equity pay band </w:t>
      </w:r>
      <w:r w:rsidR="00123701">
        <w:rPr>
          <w:rFonts w:ascii="Verdana" w:hAnsi="Verdana"/>
          <w:sz w:val="20"/>
        </w:rPr>
        <w:t>will</w:t>
      </w:r>
      <w:r>
        <w:rPr>
          <w:rFonts w:ascii="Verdana" w:hAnsi="Verdana"/>
          <w:sz w:val="20"/>
        </w:rPr>
        <w:t xml:space="preserve"> be </w:t>
      </w:r>
      <w:r w:rsidR="008359AD">
        <w:rPr>
          <w:rFonts w:ascii="Verdana" w:hAnsi="Verdana"/>
          <w:sz w:val="20"/>
        </w:rPr>
        <w:t>paid</w:t>
      </w:r>
      <w:r>
        <w:rPr>
          <w:rFonts w:ascii="Verdana" w:hAnsi="Verdana"/>
          <w:sz w:val="20"/>
        </w:rPr>
        <w:t xml:space="preserve"> </w:t>
      </w:r>
      <w:r w:rsidR="00123701">
        <w:rPr>
          <w:rFonts w:ascii="Verdana" w:hAnsi="Verdana"/>
          <w:sz w:val="20"/>
        </w:rPr>
        <w:t xml:space="preserve">to providers </w:t>
      </w:r>
      <w:r w:rsidR="00F954D5">
        <w:rPr>
          <w:rFonts w:ascii="Verdana" w:hAnsi="Verdana"/>
          <w:sz w:val="20"/>
        </w:rPr>
        <w:t>quarterly.</w:t>
      </w:r>
    </w:p>
    <w:p w:rsidR="00F654E2" w:rsidRDefault="00F654E2" w:rsidP="00F654E2">
      <w:pPr>
        <w:spacing w:before="360"/>
        <w:rPr>
          <w:rFonts w:ascii="Verdana" w:hAnsi="Verdana"/>
          <w:i/>
          <w:sz w:val="24"/>
          <w:szCs w:val="24"/>
        </w:rPr>
      </w:pPr>
      <w:r>
        <w:rPr>
          <w:rFonts w:ascii="Verdana" w:hAnsi="Verdana"/>
          <w:i/>
          <w:sz w:val="24"/>
          <w:szCs w:val="24"/>
        </w:rPr>
        <w:t>What happens when an employee gains a new qualification or crosses a length of service threshold after 1 July 2017?</w:t>
      </w:r>
    </w:p>
    <w:p w:rsidR="00F654E2" w:rsidRDefault="00F654E2" w:rsidP="00F654E2">
      <w:pPr>
        <w:spacing w:before="120"/>
        <w:rPr>
          <w:rFonts w:ascii="Verdana" w:hAnsi="Verdana"/>
          <w:sz w:val="20"/>
        </w:rPr>
      </w:pPr>
      <w:r>
        <w:rPr>
          <w:rFonts w:ascii="Verdana" w:hAnsi="Verdana"/>
          <w:sz w:val="20"/>
        </w:rPr>
        <w:t xml:space="preserve">If an employee gains a relevant </w:t>
      </w:r>
      <w:r w:rsidR="00123701">
        <w:rPr>
          <w:rFonts w:ascii="Verdana" w:hAnsi="Verdana"/>
          <w:sz w:val="20"/>
        </w:rPr>
        <w:t>and</w:t>
      </w:r>
      <w:r>
        <w:rPr>
          <w:rFonts w:ascii="Verdana" w:hAnsi="Verdana"/>
          <w:sz w:val="20"/>
        </w:rPr>
        <w:t xml:space="preserve"> equivalent qualification after 1 July 2017 they are entitled to be paid the hourly rate for </w:t>
      </w:r>
      <w:r w:rsidR="00CF6E0D">
        <w:rPr>
          <w:rFonts w:ascii="Verdana" w:hAnsi="Verdana"/>
          <w:sz w:val="20"/>
        </w:rPr>
        <w:t xml:space="preserve">the </w:t>
      </w:r>
      <w:r w:rsidR="00123701">
        <w:rPr>
          <w:rFonts w:ascii="Verdana" w:hAnsi="Verdana"/>
          <w:sz w:val="20"/>
        </w:rPr>
        <w:t xml:space="preserve">higher </w:t>
      </w:r>
      <w:r>
        <w:rPr>
          <w:rFonts w:ascii="Verdana" w:hAnsi="Verdana"/>
          <w:sz w:val="20"/>
        </w:rPr>
        <w:t xml:space="preserve">band from the date they are granted the qualification. </w:t>
      </w:r>
      <w:r w:rsidR="00CF6E0D">
        <w:rPr>
          <w:rFonts w:ascii="Verdana" w:hAnsi="Verdana"/>
          <w:sz w:val="20"/>
        </w:rPr>
        <w:t>It is the</w:t>
      </w:r>
      <w:r>
        <w:rPr>
          <w:rFonts w:ascii="Verdana" w:hAnsi="Verdana"/>
          <w:sz w:val="20"/>
        </w:rPr>
        <w:t xml:space="preserve"> employee</w:t>
      </w:r>
      <w:r w:rsidR="00CF6E0D">
        <w:rPr>
          <w:rFonts w:ascii="Verdana" w:hAnsi="Verdana"/>
          <w:sz w:val="20"/>
        </w:rPr>
        <w:t>’s responsibility</w:t>
      </w:r>
      <w:r>
        <w:rPr>
          <w:rFonts w:ascii="Verdana" w:hAnsi="Verdana"/>
          <w:sz w:val="20"/>
        </w:rPr>
        <w:t xml:space="preserve"> to notify their employer that they have achieved the qualification</w:t>
      </w:r>
      <w:r w:rsidR="00285032">
        <w:rPr>
          <w:rFonts w:ascii="Verdana" w:hAnsi="Verdana"/>
          <w:sz w:val="20"/>
        </w:rPr>
        <w:t>. The employee will need to provide proof that they have attained the qualification, including the date the qualification was granted to them</w:t>
      </w:r>
    </w:p>
    <w:p w:rsidR="00F654E2" w:rsidRDefault="00285032" w:rsidP="00F654E2">
      <w:pPr>
        <w:spacing w:before="120"/>
        <w:rPr>
          <w:rFonts w:ascii="Verdana" w:hAnsi="Verdana"/>
          <w:sz w:val="20"/>
        </w:rPr>
      </w:pPr>
      <w:r>
        <w:rPr>
          <w:rFonts w:ascii="Verdana" w:hAnsi="Verdana"/>
          <w:sz w:val="20"/>
        </w:rPr>
        <w:t>E</w:t>
      </w:r>
      <w:r w:rsidR="00F654E2">
        <w:rPr>
          <w:rFonts w:ascii="Verdana" w:hAnsi="Verdana"/>
          <w:sz w:val="20"/>
        </w:rPr>
        <w:t xml:space="preserve">mployees who were employed </w:t>
      </w:r>
      <w:r>
        <w:rPr>
          <w:rFonts w:ascii="Verdana" w:hAnsi="Verdana"/>
          <w:sz w:val="20"/>
        </w:rPr>
        <w:t xml:space="preserve">by the same employer </w:t>
      </w:r>
      <w:r w:rsidR="00F654E2">
        <w:rPr>
          <w:rFonts w:ascii="Verdana" w:hAnsi="Verdana"/>
          <w:sz w:val="20"/>
        </w:rPr>
        <w:t>before 1 July 2017</w:t>
      </w:r>
      <w:r>
        <w:rPr>
          <w:rFonts w:ascii="Verdana" w:hAnsi="Verdana"/>
          <w:sz w:val="20"/>
        </w:rPr>
        <w:t xml:space="preserve"> </w:t>
      </w:r>
      <w:r w:rsidR="00F654E2">
        <w:rPr>
          <w:rFonts w:ascii="Verdana" w:hAnsi="Verdana"/>
          <w:sz w:val="20"/>
        </w:rPr>
        <w:t xml:space="preserve">are also entitled to move into higher pay bands based on continuous length of service.  The higher wage band will be effective from the date the employee crosses the </w:t>
      </w:r>
      <w:r>
        <w:rPr>
          <w:rFonts w:ascii="Verdana" w:hAnsi="Verdana"/>
          <w:sz w:val="20"/>
        </w:rPr>
        <w:t xml:space="preserve">length of service </w:t>
      </w:r>
      <w:r w:rsidR="00F654E2">
        <w:rPr>
          <w:rFonts w:ascii="Verdana" w:hAnsi="Verdana"/>
          <w:sz w:val="20"/>
        </w:rPr>
        <w:t>threshold</w:t>
      </w:r>
      <w:r>
        <w:rPr>
          <w:rFonts w:ascii="Verdana" w:hAnsi="Verdana"/>
          <w:sz w:val="20"/>
        </w:rPr>
        <w:t xml:space="preserve"> for the next pay band</w:t>
      </w:r>
      <w:r w:rsidR="00F654E2">
        <w:rPr>
          <w:rFonts w:ascii="Verdana" w:hAnsi="Verdana"/>
          <w:sz w:val="20"/>
        </w:rPr>
        <w:t xml:space="preserve">.  The length of service thresholds </w:t>
      </w:r>
      <w:r>
        <w:rPr>
          <w:rFonts w:ascii="Verdana" w:hAnsi="Verdana"/>
          <w:sz w:val="20"/>
        </w:rPr>
        <w:t xml:space="preserve">for the pay bands </w:t>
      </w:r>
      <w:r w:rsidR="00F654E2">
        <w:rPr>
          <w:rFonts w:ascii="Verdana" w:hAnsi="Verdana"/>
          <w:sz w:val="20"/>
        </w:rPr>
        <w:t xml:space="preserve">are: </w:t>
      </w:r>
    </w:p>
    <w:p w:rsidR="00F654E2" w:rsidRDefault="00F654E2" w:rsidP="00F654E2">
      <w:pPr>
        <w:pStyle w:val="ListParagraph"/>
        <w:numPr>
          <w:ilvl w:val="0"/>
          <w:numId w:val="42"/>
        </w:numPr>
        <w:spacing w:before="60"/>
        <w:rPr>
          <w:rFonts w:ascii="Verdana" w:hAnsi="Verdana"/>
          <w:sz w:val="20"/>
          <w:lang w:eastAsia="en-NZ"/>
        </w:rPr>
      </w:pPr>
      <w:r>
        <w:rPr>
          <w:rFonts w:ascii="Verdana" w:hAnsi="Verdana"/>
          <w:sz w:val="20"/>
          <w:lang w:eastAsia="en-NZ"/>
        </w:rPr>
        <w:t>Level 2: after 3 years’ continuous service;</w:t>
      </w:r>
    </w:p>
    <w:p w:rsidR="00F654E2" w:rsidRDefault="00F654E2" w:rsidP="00F654E2">
      <w:pPr>
        <w:pStyle w:val="ListParagraph"/>
        <w:numPr>
          <w:ilvl w:val="0"/>
          <w:numId w:val="42"/>
        </w:numPr>
        <w:spacing w:before="60"/>
        <w:rPr>
          <w:rFonts w:ascii="Verdana" w:hAnsi="Verdana"/>
          <w:sz w:val="20"/>
          <w:lang w:eastAsia="en-NZ"/>
        </w:rPr>
      </w:pPr>
      <w:r>
        <w:rPr>
          <w:rFonts w:ascii="Verdana" w:hAnsi="Verdana"/>
          <w:sz w:val="20"/>
          <w:lang w:eastAsia="en-NZ"/>
        </w:rPr>
        <w:t>Level 3: after 8 years’ continuous service;</w:t>
      </w:r>
    </w:p>
    <w:p w:rsidR="00F654E2" w:rsidRDefault="00F654E2" w:rsidP="00F654E2">
      <w:pPr>
        <w:pStyle w:val="ListParagraph"/>
        <w:numPr>
          <w:ilvl w:val="0"/>
          <w:numId w:val="42"/>
        </w:numPr>
        <w:spacing w:before="60"/>
        <w:rPr>
          <w:rFonts w:ascii="Verdana" w:hAnsi="Verdana"/>
          <w:sz w:val="20"/>
          <w:lang w:eastAsia="en-NZ"/>
        </w:rPr>
      </w:pPr>
      <w:r>
        <w:rPr>
          <w:rFonts w:ascii="Verdana" w:hAnsi="Verdana"/>
          <w:sz w:val="20"/>
          <w:lang w:eastAsia="en-NZ"/>
        </w:rPr>
        <w:t>Level 4: after 12 years’ continuous service</w:t>
      </w:r>
    </w:p>
    <w:p w:rsidR="00063C9F" w:rsidRDefault="00063C9F" w:rsidP="00063C9F">
      <w:pPr>
        <w:spacing w:before="60"/>
        <w:rPr>
          <w:rFonts w:ascii="Verdana" w:hAnsi="Verdana"/>
          <w:sz w:val="20"/>
          <w:lang w:eastAsia="en-NZ"/>
        </w:rPr>
      </w:pPr>
      <w:r>
        <w:rPr>
          <w:rFonts w:ascii="Verdana" w:hAnsi="Verdana"/>
          <w:sz w:val="20"/>
          <w:lang w:eastAsia="en-NZ"/>
        </w:rPr>
        <w:lastRenderedPageBreak/>
        <w:t>When an employee moves up to a higher pay band</w:t>
      </w:r>
      <w:r w:rsidR="00285032">
        <w:rPr>
          <w:rFonts w:ascii="Verdana" w:hAnsi="Verdana"/>
          <w:sz w:val="20"/>
          <w:lang w:eastAsia="en-NZ"/>
        </w:rPr>
        <w:t xml:space="preserve"> (for either qualifications or length of service)</w:t>
      </w:r>
      <w:r>
        <w:rPr>
          <w:rFonts w:ascii="Verdana" w:hAnsi="Verdana"/>
          <w:sz w:val="20"/>
          <w:lang w:eastAsia="en-NZ"/>
        </w:rPr>
        <w:t xml:space="preserve">, the funding from MSD for the increase in wage costs for that employee </w:t>
      </w:r>
      <w:r w:rsidR="00902D30">
        <w:rPr>
          <w:rFonts w:ascii="Verdana" w:hAnsi="Verdana"/>
          <w:sz w:val="20"/>
          <w:lang w:eastAsia="en-NZ"/>
        </w:rPr>
        <w:t>will be calculated in the wash-up</w:t>
      </w:r>
      <w:r>
        <w:rPr>
          <w:rFonts w:ascii="Verdana" w:hAnsi="Verdana"/>
          <w:sz w:val="20"/>
          <w:lang w:eastAsia="en-NZ"/>
        </w:rPr>
        <w:t xml:space="preserve"> data collection at the end of each quarter.</w:t>
      </w:r>
    </w:p>
    <w:p w:rsidR="00F73730" w:rsidRPr="00063C9F" w:rsidRDefault="00285032" w:rsidP="00063C9F">
      <w:pPr>
        <w:spacing w:before="60"/>
        <w:rPr>
          <w:rFonts w:ascii="Verdana" w:hAnsi="Verdana"/>
          <w:sz w:val="20"/>
          <w:lang w:eastAsia="en-NZ"/>
        </w:rPr>
      </w:pPr>
      <w:r>
        <w:rPr>
          <w:rFonts w:ascii="Verdana" w:hAnsi="Verdana"/>
          <w:sz w:val="20"/>
          <w:lang w:eastAsia="en-NZ"/>
        </w:rPr>
        <w:t>Increased wage c</w:t>
      </w:r>
      <w:r w:rsidR="00F73730">
        <w:rPr>
          <w:rFonts w:ascii="Verdana" w:hAnsi="Verdana"/>
          <w:sz w:val="20"/>
          <w:lang w:eastAsia="en-NZ"/>
        </w:rPr>
        <w:t xml:space="preserve">osts for employees whose qualifications were assessed as being equivalent to a higher level than what was entered in the pay equity </w:t>
      </w:r>
      <w:r>
        <w:rPr>
          <w:rFonts w:ascii="Verdana" w:hAnsi="Verdana"/>
          <w:sz w:val="20"/>
          <w:lang w:eastAsia="en-NZ"/>
        </w:rPr>
        <w:t>estimation data collection tool will also be reimb</w:t>
      </w:r>
      <w:r w:rsidR="00902D30">
        <w:rPr>
          <w:rFonts w:ascii="Verdana" w:hAnsi="Verdana"/>
          <w:sz w:val="20"/>
          <w:lang w:eastAsia="en-NZ"/>
        </w:rPr>
        <w:t>ursed to providers through the wash-up</w:t>
      </w:r>
      <w:r>
        <w:rPr>
          <w:rFonts w:ascii="Verdana" w:hAnsi="Verdana"/>
          <w:sz w:val="20"/>
          <w:lang w:eastAsia="en-NZ"/>
        </w:rPr>
        <w:t xml:space="preserve"> process.</w:t>
      </w:r>
    </w:p>
    <w:p w:rsidR="009756CD" w:rsidRPr="009756CD" w:rsidRDefault="009756CD" w:rsidP="009756CD">
      <w:pPr>
        <w:spacing w:before="360"/>
        <w:rPr>
          <w:rFonts w:ascii="Verdana" w:hAnsi="Verdana"/>
          <w:i/>
          <w:sz w:val="24"/>
          <w:szCs w:val="24"/>
        </w:rPr>
      </w:pPr>
      <w:r w:rsidRPr="009756CD">
        <w:rPr>
          <w:rFonts w:ascii="Verdana" w:hAnsi="Verdana"/>
          <w:i/>
          <w:sz w:val="24"/>
          <w:szCs w:val="24"/>
        </w:rPr>
        <w:t>What funding do providers receive from MSD for pay equity?</w:t>
      </w:r>
    </w:p>
    <w:p w:rsidR="00123701" w:rsidRDefault="00015EF2" w:rsidP="00015EF2">
      <w:pPr>
        <w:spacing w:before="120"/>
        <w:rPr>
          <w:rFonts w:ascii="Verdana" w:hAnsi="Verdana"/>
          <w:sz w:val="20"/>
        </w:rPr>
      </w:pPr>
      <w:r>
        <w:rPr>
          <w:rFonts w:ascii="Verdana" w:hAnsi="Verdana"/>
          <w:sz w:val="20"/>
        </w:rPr>
        <w:t xml:space="preserve">MSD is funding the increase to care and support workers’ wage rates </w:t>
      </w:r>
      <w:r w:rsidR="00CF6E0D">
        <w:rPr>
          <w:rFonts w:ascii="Verdana" w:hAnsi="Verdana"/>
          <w:sz w:val="20"/>
        </w:rPr>
        <w:t>resulting from the implementation of the</w:t>
      </w:r>
      <w:r>
        <w:rPr>
          <w:rFonts w:ascii="Verdana" w:hAnsi="Verdana"/>
          <w:sz w:val="20"/>
        </w:rPr>
        <w:t xml:space="preserve"> pay equity settlement.  This means that, if a worker was earning $16 an hour on 30 June 2017 and is entitled to $19 an hour from 1 July 2017, MSD will fund the $3 an hour difference.</w:t>
      </w:r>
      <w:r w:rsidR="00123701">
        <w:rPr>
          <w:rFonts w:ascii="Verdana" w:hAnsi="Verdana"/>
          <w:sz w:val="20"/>
        </w:rPr>
        <w:t xml:space="preserve">  </w:t>
      </w:r>
    </w:p>
    <w:p w:rsidR="009756CD" w:rsidRDefault="00902D30" w:rsidP="00015EF2">
      <w:pPr>
        <w:spacing w:before="120"/>
        <w:rPr>
          <w:rFonts w:ascii="Verdana" w:hAnsi="Verdana"/>
          <w:sz w:val="20"/>
        </w:rPr>
      </w:pPr>
      <w:r>
        <w:rPr>
          <w:rFonts w:ascii="Verdana" w:hAnsi="Verdana"/>
          <w:sz w:val="20"/>
        </w:rPr>
        <w:t>A</w:t>
      </w:r>
      <w:r w:rsidR="00123701">
        <w:rPr>
          <w:rFonts w:ascii="Verdana" w:hAnsi="Verdana"/>
          <w:sz w:val="20"/>
        </w:rPr>
        <w:t xml:space="preserve"> worker</w:t>
      </w:r>
      <w:r>
        <w:rPr>
          <w:rFonts w:ascii="Verdana" w:hAnsi="Verdana"/>
          <w:sz w:val="20"/>
        </w:rPr>
        <w:t>’s</w:t>
      </w:r>
      <w:r w:rsidR="00123701">
        <w:rPr>
          <w:rFonts w:ascii="Verdana" w:hAnsi="Verdana"/>
          <w:sz w:val="20"/>
        </w:rPr>
        <w:t xml:space="preserve"> hourly rate before 1 July 2017 is calculated to include any allowance they were paid in recognition of their qualifications or length of service.  </w:t>
      </w:r>
      <w:r w:rsidR="00CA4F85">
        <w:rPr>
          <w:rFonts w:ascii="Verdana" w:hAnsi="Verdana"/>
          <w:sz w:val="20"/>
        </w:rPr>
        <w:t xml:space="preserve">Any such </w:t>
      </w:r>
      <w:r w:rsidR="00123701">
        <w:rPr>
          <w:rFonts w:ascii="Verdana" w:hAnsi="Verdana"/>
          <w:sz w:val="20"/>
        </w:rPr>
        <w:t>allowances are extinguished because the settlement’s pay rates specifically recognise care and support workers’ qualifications and length of service.</w:t>
      </w:r>
    </w:p>
    <w:p w:rsidR="00015EF2" w:rsidRDefault="00015EF2" w:rsidP="00015EF2">
      <w:pPr>
        <w:spacing w:before="120"/>
        <w:rPr>
          <w:rFonts w:ascii="Verdana" w:hAnsi="Verdana"/>
          <w:sz w:val="20"/>
        </w:rPr>
      </w:pPr>
      <w:r>
        <w:rPr>
          <w:rFonts w:ascii="Verdana" w:hAnsi="Verdana"/>
          <w:sz w:val="20"/>
        </w:rPr>
        <w:t xml:space="preserve">In addition to the </w:t>
      </w:r>
      <w:r w:rsidR="005B4179">
        <w:rPr>
          <w:rFonts w:ascii="Verdana" w:hAnsi="Verdana"/>
          <w:sz w:val="20"/>
        </w:rPr>
        <w:t xml:space="preserve">direct increase in wage costs, MSD is also funding the increase to the ‘on-costs’ associated with each care and support worker.  The on-cost calculation includes an </w:t>
      </w:r>
      <w:r w:rsidR="00285032">
        <w:rPr>
          <w:rFonts w:ascii="Verdana" w:hAnsi="Verdana"/>
          <w:sz w:val="20"/>
        </w:rPr>
        <w:t>extra</w:t>
      </w:r>
      <w:r w:rsidR="005B4179">
        <w:rPr>
          <w:rFonts w:ascii="Verdana" w:hAnsi="Verdana"/>
          <w:sz w:val="20"/>
        </w:rPr>
        <w:t xml:space="preserve"> 0.8% per employee, per year as a contribution towards training and qualification costs.</w:t>
      </w:r>
    </w:p>
    <w:p w:rsidR="005B4179" w:rsidRDefault="005B4179" w:rsidP="00015EF2">
      <w:pPr>
        <w:spacing w:before="120"/>
        <w:rPr>
          <w:rFonts w:ascii="Verdana" w:hAnsi="Verdana"/>
          <w:sz w:val="20"/>
        </w:rPr>
      </w:pPr>
      <w:r>
        <w:rPr>
          <w:rFonts w:ascii="Verdana" w:hAnsi="Verdana"/>
          <w:sz w:val="20"/>
        </w:rPr>
        <w:t>MSD is also funding a one-off payment to contribute to the increase in the value of the annual leave liability for employees’ leave that was accrued, but not taken, before 1 July 2017.</w:t>
      </w:r>
    </w:p>
    <w:p w:rsidR="009756CD" w:rsidRPr="009756CD" w:rsidRDefault="009756CD" w:rsidP="009756CD">
      <w:pPr>
        <w:spacing w:before="360"/>
        <w:rPr>
          <w:rFonts w:ascii="Verdana" w:hAnsi="Verdana"/>
          <w:i/>
          <w:sz w:val="24"/>
          <w:szCs w:val="24"/>
        </w:rPr>
      </w:pPr>
      <w:r w:rsidRPr="009756CD">
        <w:rPr>
          <w:rFonts w:ascii="Verdana" w:hAnsi="Verdana"/>
          <w:i/>
          <w:sz w:val="24"/>
          <w:szCs w:val="24"/>
        </w:rPr>
        <w:t>What are ‘on-costs’?</w:t>
      </w:r>
    </w:p>
    <w:p w:rsidR="003361A2" w:rsidRPr="003361A2" w:rsidRDefault="003361A2" w:rsidP="003361A2">
      <w:pPr>
        <w:spacing w:before="120"/>
        <w:rPr>
          <w:rFonts w:ascii="Verdana" w:hAnsi="Verdana"/>
          <w:sz w:val="20"/>
        </w:rPr>
      </w:pPr>
      <w:bookmarkStart w:id="7" w:name="_Toc488741782"/>
      <w:r w:rsidRPr="003361A2">
        <w:rPr>
          <w:rFonts w:ascii="Verdana" w:hAnsi="Verdana"/>
          <w:sz w:val="20"/>
        </w:rPr>
        <w:t xml:space="preserve">The purpose of on-costs is to cover statutory minimum costs in addition to wages. </w:t>
      </w:r>
    </w:p>
    <w:p w:rsidR="003361A2" w:rsidRPr="003361A2" w:rsidRDefault="003361A2" w:rsidP="003361A2">
      <w:pPr>
        <w:spacing w:before="120"/>
        <w:rPr>
          <w:rFonts w:ascii="Verdana" w:hAnsi="Verdana"/>
          <w:sz w:val="20"/>
        </w:rPr>
      </w:pPr>
      <w:r w:rsidRPr="003361A2">
        <w:rPr>
          <w:rFonts w:ascii="Verdana" w:hAnsi="Verdana"/>
          <w:sz w:val="20"/>
        </w:rPr>
        <w:t xml:space="preserve">These include annual leave, statutory holidays, sick days, time and a half for work on public holidays, ACC levies and KiwiSaver. </w:t>
      </w:r>
    </w:p>
    <w:p w:rsidR="003361A2" w:rsidRPr="003361A2" w:rsidRDefault="003361A2" w:rsidP="003361A2">
      <w:pPr>
        <w:spacing w:before="120"/>
        <w:rPr>
          <w:rFonts w:ascii="Verdana" w:hAnsi="Verdana"/>
          <w:sz w:val="20"/>
        </w:rPr>
      </w:pPr>
      <w:r>
        <w:rPr>
          <w:rFonts w:ascii="Verdana" w:hAnsi="Verdana"/>
          <w:sz w:val="20"/>
        </w:rPr>
        <w:t xml:space="preserve">On-costs have been calculated at an additional 20.9% of a worker’s annual earnings.  These costs </w:t>
      </w:r>
      <w:r w:rsidR="00D10BF0">
        <w:rPr>
          <w:rFonts w:ascii="Verdana" w:hAnsi="Verdana"/>
          <w:sz w:val="20"/>
        </w:rPr>
        <w:t>have been calculated to include, for each year</w:t>
      </w:r>
      <w:r w:rsidRPr="003361A2">
        <w:rPr>
          <w:rFonts w:ascii="Verdana" w:hAnsi="Verdana"/>
          <w:sz w:val="20"/>
        </w:rPr>
        <w:t>:</w:t>
      </w:r>
    </w:p>
    <w:p w:rsidR="003361A2" w:rsidRPr="003361A2" w:rsidRDefault="003361A2" w:rsidP="003361A2">
      <w:pPr>
        <w:pStyle w:val="ListParagraph"/>
        <w:numPr>
          <w:ilvl w:val="0"/>
          <w:numId w:val="42"/>
        </w:numPr>
        <w:spacing w:before="60"/>
        <w:rPr>
          <w:rFonts w:ascii="Verdana" w:hAnsi="Verdana"/>
          <w:sz w:val="20"/>
          <w:lang w:eastAsia="en-NZ"/>
        </w:rPr>
      </w:pPr>
      <w:r w:rsidRPr="003361A2">
        <w:rPr>
          <w:rFonts w:ascii="Verdana" w:hAnsi="Verdana"/>
          <w:sz w:val="20"/>
          <w:lang w:eastAsia="en-NZ"/>
        </w:rPr>
        <w:t>20 days</w:t>
      </w:r>
      <w:r>
        <w:rPr>
          <w:rFonts w:ascii="Verdana" w:hAnsi="Verdana"/>
          <w:sz w:val="20"/>
          <w:lang w:eastAsia="en-NZ"/>
        </w:rPr>
        <w:t>’</w:t>
      </w:r>
      <w:r w:rsidRPr="003361A2">
        <w:rPr>
          <w:rFonts w:ascii="Verdana" w:hAnsi="Verdana"/>
          <w:sz w:val="20"/>
          <w:lang w:eastAsia="en-NZ"/>
        </w:rPr>
        <w:t xml:space="preserve"> annual leave</w:t>
      </w:r>
    </w:p>
    <w:p w:rsidR="003361A2" w:rsidRPr="003361A2" w:rsidRDefault="003361A2" w:rsidP="003361A2">
      <w:pPr>
        <w:pStyle w:val="ListParagraph"/>
        <w:numPr>
          <w:ilvl w:val="0"/>
          <w:numId w:val="42"/>
        </w:numPr>
        <w:spacing w:before="60"/>
        <w:rPr>
          <w:rFonts w:ascii="Verdana" w:hAnsi="Verdana"/>
          <w:sz w:val="20"/>
          <w:lang w:eastAsia="en-NZ"/>
        </w:rPr>
      </w:pPr>
      <w:r w:rsidRPr="003361A2">
        <w:rPr>
          <w:rFonts w:ascii="Verdana" w:hAnsi="Verdana"/>
          <w:sz w:val="20"/>
          <w:lang w:eastAsia="en-NZ"/>
        </w:rPr>
        <w:t>11 days</w:t>
      </w:r>
      <w:r>
        <w:rPr>
          <w:rFonts w:ascii="Verdana" w:hAnsi="Verdana"/>
          <w:sz w:val="20"/>
          <w:lang w:eastAsia="en-NZ"/>
        </w:rPr>
        <w:t>’</w:t>
      </w:r>
      <w:r w:rsidRPr="003361A2">
        <w:rPr>
          <w:rFonts w:ascii="Verdana" w:hAnsi="Verdana"/>
          <w:sz w:val="20"/>
          <w:lang w:eastAsia="en-NZ"/>
        </w:rPr>
        <w:t xml:space="preserve"> statutory holidays </w:t>
      </w:r>
    </w:p>
    <w:p w:rsidR="003361A2" w:rsidRPr="003361A2" w:rsidRDefault="003361A2" w:rsidP="003361A2">
      <w:pPr>
        <w:pStyle w:val="ListParagraph"/>
        <w:numPr>
          <w:ilvl w:val="0"/>
          <w:numId w:val="42"/>
        </w:numPr>
        <w:spacing w:before="60"/>
        <w:rPr>
          <w:rFonts w:ascii="Verdana" w:hAnsi="Verdana"/>
          <w:sz w:val="20"/>
          <w:lang w:eastAsia="en-NZ"/>
        </w:rPr>
      </w:pPr>
      <w:r w:rsidRPr="003361A2">
        <w:rPr>
          <w:rFonts w:ascii="Verdana" w:hAnsi="Verdana"/>
          <w:sz w:val="20"/>
          <w:lang w:eastAsia="en-NZ"/>
        </w:rPr>
        <w:t>5.5 days</w:t>
      </w:r>
      <w:r>
        <w:rPr>
          <w:rFonts w:ascii="Verdana" w:hAnsi="Verdana"/>
          <w:sz w:val="20"/>
          <w:lang w:eastAsia="en-NZ"/>
        </w:rPr>
        <w:t>’</w:t>
      </w:r>
      <w:r w:rsidRPr="003361A2">
        <w:rPr>
          <w:rFonts w:ascii="Verdana" w:hAnsi="Verdana"/>
          <w:sz w:val="20"/>
          <w:lang w:eastAsia="en-NZ"/>
        </w:rPr>
        <w:t xml:space="preserve"> time and a half for time worked on statutory holidays</w:t>
      </w:r>
    </w:p>
    <w:p w:rsidR="003361A2" w:rsidRPr="003361A2" w:rsidRDefault="003361A2" w:rsidP="003361A2">
      <w:pPr>
        <w:pStyle w:val="ListParagraph"/>
        <w:numPr>
          <w:ilvl w:val="0"/>
          <w:numId w:val="42"/>
        </w:numPr>
        <w:spacing w:before="60"/>
        <w:rPr>
          <w:rFonts w:ascii="Verdana" w:hAnsi="Verdana"/>
          <w:sz w:val="20"/>
          <w:lang w:eastAsia="en-NZ"/>
        </w:rPr>
      </w:pPr>
      <w:r w:rsidRPr="003361A2">
        <w:rPr>
          <w:rFonts w:ascii="Verdana" w:hAnsi="Verdana"/>
          <w:sz w:val="20"/>
          <w:lang w:eastAsia="en-NZ"/>
        </w:rPr>
        <w:t>5 days</w:t>
      </w:r>
      <w:r>
        <w:rPr>
          <w:rFonts w:ascii="Verdana" w:hAnsi="Verdana"/>
          <w:sz w:val="20"/>
          <w:lang w:eastAsia="en-NZ"/>
        </w:rPr>
        <w:t>’</w:t>
      </w:r>
      <w:r w:rsidRPr="003361A2">
        <w:rPr>
          <w:rFonts w:ascii="Verdana" w:hAnsi="Verdana"/>
          <w:sz w:val="20"/>
          <w:lang w:eastAsia="en-NZ"/>
        </w:rPr>
        <w:t xml:space="preserve"> sick leave</w:t>
      </w:r>
    </w:p>
    <w:p w:rsidR="003361A2" w:rsidRPr="003361A2" w:rsidRDefault="003361A2" w:rsidP="003361A2">
      <w:pPr>
        <w:pStyle w:val="ListParagraph"/>
        <w:numPr>
          <w:ilvl w:val="0"/>
          <w:numId w:val="42"/>
        </w:numPr>
        <w:spacing w:before="60"/>
        <w:rPr>
          <w:rFonts w:ascii="Verdana" w:hAnsi="Verdana"/>
          <w:sz w:val="20"/>
          <w:lang w:eastAsia="en-NZ"/>
        </w:rPr>
      </w:pPr>
      <w:r w:rsidRPr="003361A2">
        <w:rPr>
          <w:rFonts w:ascii="Verdana" w:hAnsi="Verdana"/>
          <w:sz w:val="20"/>
          <w:lang w:eastAsia="en-NZ"/>
        </w:rPr>
        <w:t xml:space="preserve">3 per cent KiwiSaver employer contribution </w:t>
      </w:r>
    </w:p>
    <w:p w:rsidR="003361A2" w:rsidRPr="003361A2" w:rsidRDefault="003361A2" w:rsidP="003361A2">
      <w:pPr>
        <w:pStyle w:val="ListParagraph"/>
        <w:numPr>
          <w:ilvl w:val="0"/>
          <w:numId w:val="42"/>
        </w:numPr>
        <w:spacing w:before="60"/>
        <w:rPr>
          <w:rFonts w:ascii="Verdana" w:hAnsi="Verdana"/>
          <w:sz w:val="20"/>
          <w:lang w:eastAsia="en-NZ"/>
        </w:rPr>
      </w:pPr>
      <w:r w:rsidRPr="003361A2">
        <w:rPr>
          <w:rFonts w:ascii="Verdana" w:hAnsi="Verdana"/>
          <w:sz w:val="20"/>
          <w:lang w:eastAsia="en-NZ"/>
        </w:rPr>
        <w:t>2 per cent for ACC levies</w:t>
      </w:r>
    </w:p>
    <w:p w:rsidR="009756CD" w:rsidRPr="003361A2" w:rsidRDefault="00D10BF0" w:rsidP="003361A2">
      <w:pPr>
        <w:spacing w:before="120"/>
        <w:rPr>
          <w:rFonts w:ascii="Verdana" w:hAnsi="Verdana"/>
          <w:sz w:val="20"/>
        </w:rPr>
      </w:pPr>
      <w:r>
        <w:rPr>
          <w:rFonts w:ascii="Verdana" w:hAnsi="Verdana"/>
          <w:sz w:val="20"/>
        </w:rPr>
        <w:t>The pay equity funding for on-costs is</w:t>
      </w:r>
      <w:r w:rsidR="003361A2" w:rsidRPr="003361A2">
        <w:rPr>
          <w:rFonts w:ascii="Verdana" w:hAnsi="Verdana"/>
          <w:sz w:val="20"/>
        </w:rPr>
        <w:t xml:space="preserve"> to cover </w:t>
      </w:r>
      <w:r w:rsidR="003361A2" w:rsidRPr="00DF1078">
        <w:rPr>
          <w:rFonts w:ascii="Verdana" w:hAnsi="Verdana"/>
          <w:i/>
          <w:sz w:val="20"/>
        </w:rPr>
        <w:t>the difference</w:t>
      </w:r>
      <w:r w:rsidR="003361A2" w:rsidRPr="00DF1078">
        <w:rPr>
          <w:rFonts w:ascii="Verdana" w:hAnsi="Verdana"/>
          <w:b/>
          <w:sz w:val="20"/>
        </w:rPr>
        <w:t xml:space="preserve"> </w:t>
      </w:r>
      <w:r w:rsidR="003361A2" w:rsidRPr="003361A2">
        <w:rPr>
          <w:rFonts w:ascii="Verdana" w:hAnsi="Verdana"/>
          <w:sz w:val="20"/>
        </w:rPr>
        <w:t xml:space="preserve">between what providers </w:t>
      </w:r>
      <w:r w:rsidR="003361A2">
        <w:rPr>
          <w:rFonts w:ascii="Verdana" w:hAnsi="Verdana"/>
          <w:sz w:val="20"/>
        </w:rPr>
        <w:t>paid for these costs before the implementation of pay equity wage rates</w:t>
      </w:r>
      <w:r w:rsidR="003361A2" w:rsidRPr="003361A2">
        <w:rPr>
          <w:rFonts w:ascii="Verdana" w:hAnsi="Verdana"/>
          <w:sz w:val="20"/>
        </w:rPr>
        <w:t xml:space="preserve"> and what providers will pay for these costs </w:t>
      </w:r>
      <w:r w:rsidR="003361A2">
        <w:rPr>
          <w:rFonts w:ascii="Verdana" w:hAnsi="Verdana"/>
          <w:sz w:val="20"/>
        </w:rPr>
        <w:t>after implementing the pay equity wage rates</w:t>
      </w:r>
      <w:r w:rsidR="003361A2" w:rsidRPr="003361A2">
        <w:rPr>
          <w:rFonts w:ascii="Verdana" w:hAnsi="Verdana"/>
          <w:sz w:val="20"/>
        </w:rPr>
        <w:t>.</w:t>
      </w:r>
    </w:p>
    <w:p w:rsidR="003361A2" w:rsidRPr="003361A2" w:rsidRDefault="003361A2" w:rsidP="003361A2">
      <w:pPr>
        <w:spacing w:before="120"/>
        <w:rPr>
          <w:rFonts w:ascii="Verdana" w:hAnsi="Verdana"/>
          <w:sz w:val="20"/>
        </w:rPr>
      </w:pPr>
      <w:r w:rsidRPr="003361A2">
        <w:rPr>
          <w:rFonts w:ascii="Verdana" w:hAnsi="Verdana"/>
          <w:sz w:val="20"/>
        </w:rPr>
        <w:t xml:space="preserve">An </w:t>
      </w:r>
      <w:r>
        <w:rPr>
          <w:rFonts w:ascii="Verdana" w:hAnsi="Verdana"/>
          <w:sz w:val="20"/>
        </w:rPr>
        <w:t xml:space="preserve">additional 0.8% has been added to the on-cost </w:t>
      </w:r>
      <w:r w:rsidR="00D10BF0">
        <w:rPr>
          <w:rFonts w:ascii="Verdana" w:hAnsi="Verdana"/>
          <w:sz w:val="20"/>
        </w:rPr>
        <w:t>funding</w:t>
      </w:r>
      <w:r>
        <w:rPr>
          <w:rFonts w:ascii="Verdana" w:hAnsi="Verdana"/>
          <w:sz w:val="20"/>
        </w:rPr>
        <w:t xml:space="preserve"> for the government’s contribution to training and qualifications for care and support workers, bringing the total pay equity on-cost percentage to 21.7%</w:t>
      </w:r>
    </w:p>
    <w:p w:rsidR="003361A2" w:rsidRPr="00DF1078" w:rsidRDefault="00DF1078" w:rsidP="003361A2">
      <w:pPr>
        <w:spacing w:before="120"/>
        <w:rPr>
          <w:rFonts w:ascii="Verdana" w:hAnsi="Verdana"/>
          <w:b/>
          <w:sz w:val="20"/>
        </w:rPr>
      </w:pPr>
      <w:r w:rsidRPr="00DF1078">
        <w:rPr>
          <w:rFonts w:ascii="Verdana" w:hAnsi="Verdana"/>
          <w:b/>
          <w:sz w:val="20"/>
        </w:rPr>
        <w:t>For example:</w:t>
      </w:r>
    </w:p>
    <w:p w:rsidR="00DF1078" w:rsidRDefault="00DF1078" w:rsidP="003361A2">
      <w:pPr>
        <w:spacing w:before="120"/>
        <w:rPr>
          <w:rFonts w:ascii="Verdana" w:hAnsi="Verdana"/>
          <w:sz w:val="20"/>
        </w:rPr>
      </w:pPr>
      <w:r>
        <w:rPr>
          <w:rFonts w:ascii="Verdana" w:hAnsi="Verdana"/>
          <w:sz w:val="20"/>
        </w:rPr>
        <w:lastRenderedPageBreak/>
        <w:t>Worker A earned $34,000 a year before tax prior to 1 July 2017.  Their employer is calculated to have incurred an additional $7,106 in on-costs for that employee ($34,000 x 20.9%)</w:t>
      </w:r>
    </w:p>
    <w:p w:rsidR="00DF1078" w:rsidRDefault="00DF1078" w:rsidP="003361A2">
      <w:pPr>
        <w:spacing w:before="120"/>
        <w:rPr>
          <w:rFonts w:ascii="Verdana" w:hAnsi="Verdana"/>
          <w:sz w:val="20"/>
        </w:rPr>
      </w:pPr>
      <w:r>
        <w:rPr>
          <w:rFonts w:ascii="Verdana" w:hAnsi="Verdana"/>
          <w:sz w:val="20"/>
        </w:rPr>
        <w:t>From 1 July 2017 Worker A earns $40,000 a year before tax</w:t>
      </w:r>
      <w:r w:rsidR="00D10BF0">
        <w:rPr>
          <w:rFonts w:ascii="Verdana" w:hAnsi="Verdana"/>
          <w:sz w:val="20"/>
        </w:rPr>
        <w:t xml:space="preserve"> on the new pay equity rate</w:t>
      </w:r>
      <w:r>
        <w:rPr>
          <w:rFonts w:ascii="Verdana" w:hAnsi="Verdana"/>
          <w:sz w:val="20"/>
        </w:rPr>
        <w:t>.  Their employer’s on-costs are now calculated at $8,680 per annum ($40,000 x 21.7%).</w:t>
      </w:r>
    </w:p>
    <w:p w:rsidR="00DF1078" w:rsidRPr="003361A2" w:rsidRDefault="00DF1078" w:rsidP="003361A2">
      <w:pPr>
        <w:spacing w:before="120"/>
        <w:rPr>
          <w:rFonts w:ascii="Verdana" w:hAnsi="Verdana"/>
          <w:sz w:val="20"/>
        </w:rPr>
      </w:pPr>
      <w:r>
        <w:rPr>
          <w:rFonts w:ascii="Verdana" w:hAnsi="Verdana"/>
          <w:sz w:val="20"/>
        </w:rPr>
        <w:t>The pay equity funding the employer receives for that employee is the increase in the salary ($6,000) plus the increase in on-costs ($1,574).</w:t>
      </w:r>
    </w:p>
    <w:p w:rsidR="00E330E7" w:rsidRPr="00CD14D2" w:rsidRDefault="00E330E7" w:rsidP="00E330E7">
      <w:pPr>
        <w:spacing w:before="360"/>
        <w:rPr>
          <w:rFonts w:ascii="Verdana" w:hAnsi="Verdana"/>
          <w:i/>
          <w:sz w:val="24"/>
          <w:szCs w:val="24"/>
        </w:rPr>
      </w:pPr>
      <w:r w:rsidRPr="00CD14D2">
        <w:rPr>
          <w:rFonts w:ascii="Verdana" w:hAnsi="Verdana"/>
          <w:i/>
          <w:sz w:val="24"/>
          <w:szCs w:val="24"/>
        </w:rPr>
        <w:t>What happens if a provider hires a new employee after 1 July 2017?  Will the provider still receive pay equity funding for that new employee and how will that be calculated?</w:t>
      </w:r>
    </w:p>
    <w:p w:rsidR="00E330E7" w:rsidRDefault="00E330E7" w:rsidP="00E330E7">
      <w:pPr>
        <w:spacing w:before="120"/>
        <w:rPr>
          <w:rFonts w:ascii="Verdana" w:hAnsi="Verdana"/>
          <w:sz w:val="20"/>
        </w:rPr>
      </w:pPr>
      <w:r>
        <w:rPr>
          <w:rFonts w:ascii="Verdana" w:hAnsi="Verdana"/>
          <w:sz w:val="20"/>
        </w:rPr>
        <w:t>Providers will receive pay equity funding for new employees hired on, or after, 1 July 2017.  This funding will be calculated as</w:t>
      </w:r>
      <w:r w:rsidR="00902D30">
        <w:rPr>
          <w:rFonts w:ascii="Verdana" w:hAnsi="Verdana"/>
          <w:sz w:val="20"/>
        </w:rPr>
        <w:t xml:space="preserve"> part of the quarterly wash-up (see the wash-up</w:t>
      </w:r>
      <w:r>
        <w:rPr>
          <w:rFonts w:ascii="Verdana" w:hAnsi="Verdana"/>
          <w:sz w:val="20"/>
        </w:rPr>
        <w:t xml:space="preserve"> section of this document for more information on the wash-up process).</w:t>
      </w:r>
    </w:p>
    <w:p w:rsidR="00E330E7" w:rsidRDefault="00E330E7" w:rsidP="00E330E7">
      <w:pPr>
        <w:spacing w:before="120"/>
        <w:rPr>
          <w:rFonts w:ascii="Verdana" w:hAnsi="Verdana"/>
          <w:sz w:val="20"/>
        </w:rPr>
      </w:pPr>
      <w:r>
        <w:rPr>
          <w:rFonts w:ascii="Verdana" w:hAnsi="Verdana"/>
          <w:sz w:val="20"/>
        </w:rPr>
        <w:t>All employees who start work with a new employer from 1 July onwards will be assigned to a pay band on the basis of their relevant qualifications</w:t>
      </w:r>
      <w:r w:rsidR="00BE68EC">
        <w:rPr>
          <w:rFonts w:ascii="Verdana" w:hAnsi="Verdana"/>
          <w:sz w:val="20"/>
        </w:rPr>
        <w:t xml:space="preserve"> (length of service with a previous employer isn’t taken into account in most circumstances)</w:t>
      </w:r>
      <w:r>
        <w:rPr>
          <w:rFonts w:ascii="Verdana" w:hAnsi="Verdana"/>
          <w:sz w:val="20"/>
        </w:rPr>
        <w:t>.</w:t>
      </w:r>
    </w:p>
    <w:p w:rsidR="00BE68EC" w:rsidRDefault="00BE68EC" w:rsidP="00F330FD">
      <w:pPr>
        <w:spacing w:before="120"/>
        <w:rPr>
          <w:rFonts w:ascii="Verdana" w:hAnsi="Verdana"/>
          <w:sz w:val="20"/>
        </w:rPr>
      </w:pPr>
      <w:r>
        <w:rPr>
          <w:rFonts w:ascii="Verdana" w:hAnsi="Verdana"/>
          <w:sz w:val="20"/>
        </w:rPr>
        <w:t xml:space="preserve">The funding </w:t>
      </w:r>
      <w:r w:rsidR="00F330FD">
        <w:rPr>
          <w:rFonts w:ascii="Verdana" w:hAnsi="Verdana"/>
          <w:sz w:val="20"/>
        </w:rPr>
        <w:t xml:space="preserve">providers receive </w:t>
      </w:r>
      <w:r>
        <w:rPr>
          <w:rFonts w:ascii="Verdana" w:hAnsi="Verdana"/>
          <w:sz w:val="20"/>
        </w:rPr>
        <w:t>for new employees will be calculated from a notional pay rate.  The notional pay rate is what the employee would have earned if they had been employed before the pay equity rates came i</w:t>
      </w:r>
      <w:r w:rsidR="00F330FD">
        <w:rPr>
          <w:rFonts w:ascii="Verdana" w:hAnsi="Verdana"/>
          <w:sz w:val="20"/>
        </w:rPr>
        <w:t xml:space="preserve">nto effect on 1 July 2017.  This will be </w:t>
      </w:r>
      <w:r>
        <w:rPr>
          <w:rFonts w:ascii="Verdana" w:hAnsi="Verdana"/>
          <w:sz w:val="20"/>
        </w:rPr>
        <w:t xml:space="preserve">based on what each provider paid employees of the same pay band as the new employee </w:t>
      </w:r>
      <w:r w:rsidR="00F330FD">
        <w:rPr>
          <w:rFonts w:ascii="Verdana" w:hAnsi="Verdana"/>
          <w:sz w:val="20"/>
        </w:rPr>
        <w:t>up to 30 June 2017</w:t>
      </w:r>
      <w:r>
        <w:rPr>
          <w:rFonts w:ascii="Verdana" w:hAnsi="Verdana"/>
          <w:sz w:val="20"/>
        </w:rPr>
        <w:t xml:space="preserve">.  </w:t>
      </w:r>
    </w:p>
    <w:p w:rsidR="00912381" w:rsidRPr="003361A2" w:rsidRDefault="00912381" w:rsidP="003361A2">
      <w:pPr>
        <w:spacing w:before="120"/>
        <w:rPr>
          <w:rFonts w:ascii="Verdana" w:hAnsi="Verdana"/>
          <w:sz w:val="20"/>
        </w:rPr>
      </w:pPr>
    </w:p>
    <w:p w:rsidR="009756CD" w:rsidRPr="009756CD" w:rsidRDefault="00123701" w:rsidP="009756CD">
      <w:pPr>
        <w:pStyle w:val="Heading2"/>
        <w:rPr>
          <w:lang w:eastAsia="en-NZ"/>
        </w:rPr>
      </w:pPr>
      <w:bookmarkStart w:id="8" w:name="_Toc496170664"/>
      <w:r>
        <w:rPr>
          <w:lang w:eastAsia="en-NZ"/>
        </w:rPr>
        <w:t xml:space="preserve">Support for </w:t>
      </w:r>
      <w:r w:rsidR="00C839F7">
        <w:rPr>
          <w:lang w:eastAsia="en-NZ"/>
        </w:rPr>
        <w:t>t</w:t>
      </w:r>
      <w:r>
        <w:rPr>
          <w:lang w:eastAsia="en-NZ"/>
        </w:rPr>
        <w:t>raining</w:t>
      </w:r>
      <w:bookmarkEnd w:id="8"/>
    </w:p>
    <w:p w:rsidR="004970D2" w:rsidRDefault="004970D2" w:rsidP="009756CD">
      <w:pPr>
        <w:spacing w:before="360"/>
        <w:rPr>
          <w:rFonts w:ascii="Verdana" w:hAnsi="Verdana"/>
          <w:i/>
          <w:sz w:val="24"/>
          <w:szCs w:val="24"/>
        </w:rPr>
      </w:pPr>
      <w:r>
        <w:rPr>
          <w:rFonts w:ascii="Verdana" w:hAnsi="Verdana"/>
          <w:i/>
          <w:sz w:val="24"/>
          <w:szCs w:val="24"/>
        </w:rPr>
        <w:t xml:space="preserve">What support for training does </w:t>
      </w:r>
      <w:r w:rsidR="00CA4F85">
        <w:rPr>
          <w:rFonts w:ascii="Verdana" w:hAnsi="Verdana"/>
          <w:i/>
          <w:sz w:val="24"/>
          <w:szCs w:val="24"/>
        </w:rPr>
        <w:t>MSD</w:t>
      </w:r>
      <w:r>
        <w:rPr>
          <w:rFonts w:ascii="Verdana" w:hAnsi="Verdana"/>
          <w:i/>
          <w:sz w:val="24"/>
          <w:szCs w:val="24"/>
        </w:rPr>
        <w:t xml:space="preserve"> provide?</w:t>
      </w:r>
    </w:p>
    <w:p w:rsidR="004970D2" w:rsidRDefault="00CA4F85" w:rsidP="004970D2">
      <w:pPr>
        <w:spacing w:before="120"/>
        <w:rPr>
          <w:rFonts w:ascii="Verdana" w:hAnsi="Verdana"/>
          <w:sz w:val="20"/>
        </w:rPr>
      </w:pPr>
      <w:r>
        <w:rPr>
          <w:rFonts w:ascii="Verdana" w:hAnsi="Verdana"/>
          <w:sz w:val="20"/>
        </w:rPr>
        <w:t>MSD</w:t>
      </w:r>
      <w:r w:rsidR="004970D2" w:rsidRPr="004970D2">
        <w:rPr>
          <w:rFonts w:ascii="Verdana" w:hAnsi="Verdana"/>
          <w:sz w:val="20"/>
        </w:rPr>
        <w:t xml:space="preserve"> will fund employers for two days per employee</w:t>
      </w:r>
      <w:r w:rsidR="00912381">
        <w:rPr>
          <w:rFonts w:ascii="Verdana" w:hAnsi="Verdana"/>
          <w:sz w:val="20"/>
        </w:rPr>
        <w:t>,</w:t>
      </w:r>
      <w:r w:rsidR="004970D2" w:rsidRPr="004970D2">
        <w:rPr>
          <w:rFonts w:ascii="Verdana" w:hAnsi="Verdana"/>
          <w:sz w:val="20"/>
        </w:rPr>
        <w:t xml:space="preserve"> per year as its contribution to </w:t>
      </w:r>
      <w:r w:rsidR="00912381">
        <w:rPr>
          <w:rFonts w:ascii="Verdana" w:hAnsi="Verdana"/>
          <w:sz w:val="20"/>
        </w:rPr>
        <w:t>supporting care and support workers to become more qualified</w:t>
      </w:r>
      <w:r w:rsidR="004970D2" w:rsidRPr="004970D2">
        <w:rPr>
          <w:rFonts w:ascii="Verdana" w:hAnsi="Verdana"/>
          <w:sz w:val="20"/>
        </w:rPr>
        <w:t>.</w:t>
      </w:r>
    </w:p>
    <w:p w:rsidR="004970D2" w:rsidRDefault="004970D2" w:rsidP="004970D2">
      <w:pPr>
        <w:spacing w:before="120"/>
        <w:rPr>
          <w:rFonts w:ascii="Verdana" w:hAnsi="Verdana"/>
          <w:sz w:val="20"/>
        </w:rPr>
      </w:pPr>
      <w:r>
        <w:rPr>
          <w:rFonts w:ascii="Verdana" w:hAnsi="Verdana"/>
          <w:sz w:val="20"/>
        </w:rPr>
        <w:t xml:space="preserve">This </w:t>
      </w:r>
      <w:r w:rsidR="00912381">
        <w:rPr>
          <w:rFonts w:ascii="Verdana" w:hAnsi="Verdana"/>
          <w:sz w:val="20"/>
        </w:rPr>
        <w:t xml:space="preserve">funding </w:t>
      </w:r>
      <w:r>
        <w:rPr>
          <w:rFonts w:ascii="Verdana" w:hAnsi="Verdana"/>
          <w:sz w:val="20"/>
        </w:rPr>
        <w:t>is calculated at 0.8% per year of the employee’s salary or wages from 1 July 2017.  This payment is included in the pay equity on-cost</w:t>
      </w:r>
      <w:r w:rsidR="00EA2FD3">
        <w:rPr>
          <w:rFonts w:ascii="Verdana" w:hAnsi="Verdana"/>
          <w:sz w:val="20"/>
        </w:rPr>
        <w:t>s calculation for all employees not</w:t>
      </w:r>
      <w:r>
        <w:rPr>
          <w:rFonts w:ascii="Verdana" w:hAnsi="Verdana"/>
          <w:sz w:val="20"/>
        </w:rPr>
        <w:t xml:space="preserve"> earning pay equity wage</w:t>
      </w:r>
      <w:r w:rsidR="00912381">
        <w:rPr>
          <w:rFonts w:ascii="Verdana" w:hAnsi="Verdana"/>
          <w:sz w:val="20"/>
        </w:rPr>
        <w:t xml:space="preserve"> rate</w:t>
      </w:r>
      <w:r>
        <w:rPr>
          <w:rFonts w:ascii="Verdana" w:hAnsi="Verdana"/>
          <w:sz w:val="20"/>
        </w:rPr>
        <w:t>s</w:t>
      </w:r>
      <w:r w:rsidR="00EA2FD3">
        <w:rPr>
          <w:rFonts w:ascii="Verdana" w:hAnsi="Verdana"/>
          <w:sz w:val="20"/>
        </w:rPr>
        <w:t xml:space="preserve"> before 1 July 2017</w:t>
      </w:r>
      <w:r>
        <w:rPr>
          <w:rFonts w:ascii="Verdana" w:hAnsi="Verdana"/>
          <w:sz w:val="20"/>
        </w:rPr>
        <w:t>.</w:t>
      </w:r>
    </w:p>
    <w:p w:rsidR="002B44FC" w:rsidRPr="002B44FC" w:rsidRDefault="002B44FC" w:rsidP="002B44FC">
      <w:pPr>
        <w:spacing w:before="360"/>
        <w:rPr>
          <w:rFonts w:ascii="Verdana" w:hAnsi="Verdana"/>
          <w:i/>
          <w:sz w:val="24"/>
          <w:szCs w:val="24"/>
        </w:rPr>
      </w:pPr>
      <w:r w:rsidRPr="002B44FC">
        <w:rPr>
          <w:rFonts w:ascii="Verdana" w:hAnsi="Verdana"/>
          <w:i/>
          <w:sz w:val="24"/>
          <w:szCs w:val="24"/>
        </w:rPr>
        <w:t>Do providers get training funding for employees who are already earning above the pay equity rate?</w:t>
      </w:r>
    </w:p>
    <w:p w:rsidR="0038333A" w:rsidRDefault="004970D2" w:rsidP="004970D2">
      <w:pPr>
        <w:spacing w:before="120"/>
        <w:rPr>
          <w:rFonts w:ascii="Verdana" w:hAnsi="Verdana"/>
          <w:sz w:val="20"/>
        </w:rPr>
      </w:pPr>
      <w:r>
        <w:rPr>
          <w:rFonts w:ascii="Verdana" w:hAnsi="Verdana"/>
          <w:sz w:val="20"/>
        </w:rPr>
        <w:t>If a provider has any employees who are earning above the pay equity rate which they would be entitled to</w:t>
      </w:r>
      <w:r w:rsidR="002B44FC">
        <w:rPr>
          <w:rFonts w:ascii="Verdana" w:hAnsi="Verdana"/>
          <w:sz w:val="20"/>
        </w:rPr>
        <w:t>,</w:t>
      </w:r>
      <w:r>
        <w:rPr>
          <w:rFonts w:ascii="Verdana" w:hAnsi="Verdana"/>
          <w:sz w:val="20"/>
        </w:rPr>
        <w:t xml:space="preserve"> the provider will still receive training funding for those employees</w:t>
      </w:r>
      <w:r w:rsidR="002B44FC">
        <w:rPr>
          <w:rFonts w:ascii="Verdana" w:hAnsi="Verdana"/>
          <w:sz w:val="20"/>
        </w:rPr>
        <w:t xml:space="preserve">.  </w:t>
      </w:r>
    </w:p>
    <w:p w:rsidR="004970D2" w:rsidRPr="004970D2" w:rsidRDefault="002B44FC" w:rsidP="004970D2">
      <w:pPr>
        <w:spacing w:before="120"/>
        <w:rPr>
          <w:rFonts w:ascii="Verdana" w:hAnsi="Verdana"/>
          <w:sz w:val="20"/>
        </w:rPr>
      </w:pPr>
      <w:r>
        <w:rPr>
          <w:rFonts w:ascii="Verdana" w:hAnsi="Verdana"/>
          <w:sz w:val="20"/>
        </w:rPr>
        <w:t>The funding</w:t>
      </w:r>
      <w:r w:rsidR="004970D2">
        <w:rPr>
          <w:rFonts w:ascii="Verdana" w:hAnsi="Verdana"/>
          <w:sz w:val="20"/>
        </w:rPr>
        <w:t xml:space="preserve"> will be calculated </w:t>
      </w:r>
      <w:r>
        <w:rPr>
          <w:rFonts w:ascii="Verdana" w:hAnsi="Verdana"/>
          <w:sz w:val="20"/>
        </w:rPr>
        <w:t xml:space="preserve">at 0.8% of </w:t>
      </w:r>
      <w:r w:rsidR="004970D2">
        <w:rPr>
          <w:rFonts w:ascii="Verdana" w:hAnsi="Verdana"/>
          <w:sz w:val="20"/>
        </w:rPr>
        <w:t>the applicable pay equity rate</w:t>
      </w:r>
      <w:r>
        <w:rPr>
          <w:rFonts w:ascii="Verdana" w:hAnsi="Verdana"/>
          <w:sz w:val="20"/>
        </w:rPr>
        <w:t>, not the rate the employee is currently earning</w:t>
      </w:r>
      <w:r w:rsidR="004970D2">
        <w:rPr>
          <w:rFonts w:ascii="Verdana" w:hAnsi="Verdana"/>
          <w:sz w:val="20"/>
        </w:rPr>
        <w:t xml:space="preserve">.  The training funding for employees earning above the pay equity rates will be </w:t>
      </w:r>
      <w:r>
        <w:rPr>
          <w:rFonts w:ascii="Verdana" w:hAnsi="Verdana"/>
          <w:sz w:val="20"/>
        </w:rPr>
        <w:t>paid quarter</w:t>
      </w:r>
      <w:r w:rsidR="00902D30">
        <w:rPr>
          <w:rFonts w:ascii="Verdana" w:hAnsi="Verdana"/>
          <w:sz w:val="20"/>
        </w:rPr>
        <w:t>ly</w:t>
      </w:r>
      <w:r w:rsidR="00EA2FD3">
        <w:rPr>
          <w:rFonts w:ascii="Verdana" w:hAnsi="Verdana"/>
          <w:sz w:val="20"/>
        </w:rPr>
        <w:t xml:space="preserve"> with any other pay equity payments</w:t>
      </w:r>
      <w:r w:rsidR="004970D2">
        <w:rPr>
          <w:rFonts w:ascii="Verdana" w:hAnsi="Verdana"/>
          <w:sz w:val="20"/>
        </w:rPr>
        <w:t>.</w:t>
      </w:r>
    </w:p>
    <w:p w:rsidR="00853167" w:rsidRDefault="00FD528E" w:rsidP="009756CD">
      <w:pPr>
        <w:spacing w:before="360"/>
        <w:rPr>
          <w:rFonts w:ascii="Verdana" w:hAnsi="Verdana"/>
          <w:i/>
          <w:sz w:val="24"/>
          <w:szCs w:val="24"/>
        </w:rPr>
      </w:pPr>
      <w:r w:rsidRPr="009756CD">
        <w:rPr>
          <w:rFonts w:ascii="Verdana" w:hAnsi="Verdana"/>
          <w:i/>
          <w:sz w:val="24"/>
          <w:szCs w:val="24"/>
        </w:rPr>
        <w:t>What can the t</w:t>
      </w:r>
      <w:r w:rsidR="00853167" w:rsidRPr="009756CD">
        <w:rPr>
          <w:rFonts w:ascii="Verdana" w:hAnsi="Verdana"/>
          <w:i/>
          <w:sz w:val="24"/>
          <w:szCs w:val="24"/>
        </w:rPr>
        <w:t>raining</w:t>
      </w:r>
      <w:bookmarkEnd w:id="7"/>
      <w:r w:rsidRPr="009756CD">
        <w:rPr>
          <w:rFonts w:ascii="Verdana" w:hAnsi="Verdana"/>
          <w:i/>
          <w:sz w:val="24"/>
          <w:szCs w:val="24"/>
        </w:rPr>
        <w:t xml:space="preserve"> payment </w:t>
      </w:r>
      <w:proofErr w:type="gramStart"/>
      <w:r w:rsidRPr="009756CD">
        <w:rPr>
          <w:rFonts w:ascii="Verdana" w:hAnsi="Verdana"/>
          <w:i/>
          <w:sz w:val="24"/>
          <w:szCs w:val="24"/>
        </w:rPr>
        <w:t>be</w:t>
      </w:r>
      <w:proofErr w:type="gramEnd"/>
      <w:r w:rsidRPr="009756CD">
        <w:rPr>
          <w:rFonts w:ascii="Verdana" w:hAnsi="Verdana"/>
          <w:i/>
          <w:sz w:val="24"/>
          <w:szCs w:val="24"/>
        </w:rPr>
        <w:t xml:space="preserve"> used for?</w:t>
      </w:r>
    </w:p>
    <w:p w:rsidR="004970D2" w:rsidRDefault="004970D2" w:rsidP="004970D2">
      <w:pPr>
        <w:spacing w:before="120"/>
        <w:rPr>
          <w:rFonts w:ascii="Verdana" w:hAnsi="Verdana"/>
          <w:sz w:val="20"/>
        </w:rPr>
      </w:pPr>
      <w:r>
        <w:rPr>
          <w:rFonts w:ascii="Verdana" w:hAnsi="Verdana"/>
          <w:sz w:val="20"/>
        </w:rPr>
        <w:t>The training payment is based on providing funding to enable an emp</w:t>
      </w:r>
      <w:r w:rsidR="00902D30">
        <w:rPr>
          <w:rFonts w:ascii="Verdana" w:hAnsi="Verdana"/>
          <w:sz w:val="20"/>
        </w:rPr>
        <w:t>loyee to receive two days’</w:t>
      </w:r>
      <w:r>
        <w:rPr>
          <w:rFonts w:ascii="Verdana" w:hAnsi="Verdana"/>
          <w:sz w:val="20"/>
        </w:rPr>
        <w:t xml:space="preserve"> paid leave per year to attend training that contributes to a qualification.</w:t>
      </w:r>
    </w:p>
    <w:p w:rsidR="004970D2" w:rsidRPr="004970D2" w:rsidRDefault="004970D2" w:rsidP="004970D2">
      <w:pPr>
        <w:spacing w:before="120"/>
        <w:rPr>
          <w:rFonts w:ascii="Verdana" w:hAnsi="Verdana"/>
          <w:sz w:val="20"/>
        </w:rPr>
      </w:pPr>
      <w:r>
        <w:rPr>
          <w:rFonts w:ascii="Verdana" w:hAnsi="Verdana"/>
          <w:sz w:val="20"/>
        </w:rPr>
        <w:lastRenderedPageBreak/>
        <w:t>In practical terms, it is up to the employee to agree how that funding is to be used, as long as it is contributing to a formal and relevant qualification.</w:t>
      </w:r>
    </w:p>
    <w:p w:rsidR="00FD528E" w:rsidRPr="009756CD" w:rsidRDefault="002B44FC" w:rsidP="009756CD">
      <w:pPr>
        <w:spacing w:before="360"/>
        <w:rPr>
          <w:rFonts w:ascii="Verdana" w:hAnsi="Verdana"/>
          <w:i/>
          <w:sz w:val="24"/>
          <w:szCs w:val="24"/>
        </w:rPr>
      </w:pPr>
      <w:r>
        <w:rPr>
          <w:rFonts w:ascii="Verdana" w:hAnsi="Verdana"/>
          <w:i/>
          <w:sz w:val="24"/>
          <w:szCs w:val="24"/>
        </w:rPr>
        <w:t>What support do employers have to provide for training?</w:t>
      </w:r>
    </w:p>
    <w:p w:rsidR="00CE4BAF" w:rsidRDefault="00CE4BAF" w:rsidP="00853167">
      <w:pPr>
        <w:spacing w:before="120"/>
        <w:rPr>
          <w:rFonts w:ascii="Verdana" w:hAnsi="Verdana"/>
          <w:sz w:val="20"/>
        </w:rPr>
      </w:pPr>
      <w:r>
        <w:rPr>
          <w:rFonts w:ascii="Verdana" w:hAnsi="Verdana"/>
          <w:sz w:val="20"/>
        </w:rPr>
        <w:t>The MSD pay equity contract variation states that Providers</w:t>
      </w:r>
      <w:r w:rsidRPr="00CE4BAF">
        <w:rPr>
          <w:rFonts w:ascii="Verdana" w:hAnsi="Verdana"/>
          <w:sz w:val="20"/>
        </w:rPr>
        <w:t xml:space="preserve"> </w:t>
      </w:r>
      <w:r>
        <w:rPr>
          <w:rFonts w:ascii="Verdana" w:hAnsi="Verdana"/>
          <w:sz w:val="20"/>
        </w:rPr>
        <w:t>“</w:t>
      </w:r>
      <w:r w:rsidRPr="00CE4BAF">
        <w:rPr>
          <w:rFonts w:ascii="Verdana" w:hAnsi="Verdana"/>
          <w:sz w:val="20"/>
        </w:rPr>
        <w:t>must take all reasonable steps to ensure that a disability care and support worker is able to attain</w:t>
      </w:r>
      <w:r>
        <w:rPr>
          <w:rFonts w:ascii="Verdana" w:hAnsi="Verdana"/>
          <w:sz w:val="20"/>
        </w:rPr>
        <w:t xml:space="preserve">” a level 2, 3 or 4 </w:t>
      </w:r>
      <w:proofErr w:type="gramStart"/>
      <w:r>
        <w:rPr>
          <w:rFonts w:ascii="Verdana" w:hAnsi="Verdana"/>
          <w:sz w:val="20"/>
        </w:rPr>
        <w:t>qualification</w:t>
      </w:r>
      <w:proofErr w:type="gramEnd"/>
      <w:r>
        <w:rPr>
          <w:rFonts w:ascii="Verdana" w:hAnsi="Verdana"/>
          <w:sz w:val="20"/>
        </w:rPr>
        <w:t xml:space="preserve"> within certain timeframes.</w:t>
      </w:r>
    </w:p>
    <w:p w:rsidR="00CE4BAF" w:rsidRPr="00CE4BAF" w:rsidRDefault="00CE4BAF" w:rsidP="00CE4BAF">
      <w:pPr>
        <w:spacing w:before="120"/>
        <w:rPr>
          <w:rFonts w:ascii="Verdana" w:hAnsi="Verdana"/>
          <w:sz w:val="20"/>
        </w:rPr>
      </w:pPr>
      <w:r>
        <w:rPr>
          <w:rFonts w:ascii="Verdana" w:hAnsi="Verdana"/>
          <w:sz w:val="20"/>
        </w:rPr>
        <w:t>What “reasonable steps”</w:t>
      </w:r>
      <w:r w:rsidRPr="00CE4BAF">
        <w:rPr>
          <w:rFonts w:ascii="Verdana" w:hAnsi="Verdana"/>
          <w:sz w:val="20"/>
        </w:rPr>
        <w:t xml:space="preserve"> </w:t>
      </w:r>
      <w:r>
        <w:rPr>
          <w:rFonts w:ascii="Verdana" w:hAnsi="Verdana"/>
          <w:sz w:val="20"/>
        </w:rPr>
        <w:t>are depends on the circumstances.  MSD</w:t>
      </w:r>
      <w:r w:rsidRPr="00CE4BAF">
        <w:rPr>
          <w:rFonts w:ascii="Verdana" w:hAnsi="Verdana"/>
          <w:sz w:val="20"/>
        </w:rPr>
        <w:t xml:space="preserve"> expect</w:t>
      </w:r>
      <w:r>
        <w:rPr>
          <w:rFonts w:ascii="Verdana" w:hAnsi="Verdana"/>
          <w:sz w:val="20"/>
        </w:rPr>
        <w:t>s</w:t>
      </w:r>
      <w:r w:rsidRPr="00CE4BAF">
        <w:rPr>
          <w:rFonts w:ascii="Verdana" w:hAnsi="Verdana"/>
          <w:sz w:val="20"/>
        </w:rPr>
        <w:t xml:space="preserve"> there will be a flexible approach suited to the needs of the workers and the clients. </w:t>
      </w:r>
    </w:p>
    <w:p w:rsidR="00CE4BAF" w:rsidRPr="00CE4BAF" w:rsidRDefault="00CE4BAF" w:rsidP="00CE4BAF">
      <w:pPr>
        <w:spacing w:before="120"/>
        <w:rPr>
          <w:rFonts w:ascii="Verdana" w:hAnsi="Verdana"/>
          <w:sz w:val="20"/>
        </w:rPr>
      </w:pPr>
      <w:r w:rsidRPr="00CE4BAF">
        <w:rPr>
          <w:rFonts w:ascii="Verdana" w:hAnsi="Verdana"/>
          <w:sz w:val="20"/>
        </w:rPr>
        <w:t xml:space="preserve">This </w:t>
      </w:r>
      <w:r>
        <w:rPr>
          <w:rFonts w:ascii="Verdana" w:hAnsi="Verdana"/>
          <w:sz w:val="20"/>
        </w:rPr>
        <w:t xml:space="preserve">support </w:t>
      </w:r>
      <w:r w:rsidRPr="00CE4BAF">
        <w:rPr>
          <w:rFonts w:ascii="Verdana" w:hAnsi="Verdana"/>
          <w:sz w:val="20"/>
        </w:rPr>
        <w:t xml:space="preserve">will include </w:t>
      </w:r>
      <w:r w:rsidR="0038333A">
        <w:rPr>
          <w:rFonts w:ascii="Verdana" w:hAnsi="Verdana"/>
          <w:sz w:val="20"/>
        </w:rPr>
        <w:t xml:space="preserve">things like </w:t>
      </w:r>
      <w:r w:rsidRPr="00CE4BAF">
        <w:rPr>
          <w:rFonts w:ascii="Verdana" w:hAnsi="Verdana"/>
          <w:sz w:val="20"/>
        </w:rPr>
        <w:t xml:space="preserve">facilitating online and on-the-job training, time off for training and examinations, </w:t>
      </w:r>
      <w:r w:rsidR="00902D30">
        <w:rPr>
          <w:rFonts w:ascii="Verdana" w:hAnsi="Verdana"/>
          <w:sz w:val="20"/>
        </w:rPr>
        <w:t xml:space="preserve">and </w:t>
      </w:r>
      <w:r>
        <w:rPr>
          <w:rFonts w:ascii="Verdana" w:hAnsi="Verdana"/>
          <w:sz w:val="20"/>
        </w:rPr>
        <w:t xml:space="preserve">contributing to or covering the full cost of </w:t>
      </w:r>
      <w:r w:rsidRPr="00CE4BAF">
        <w:rPr>
          <w:rFonts w:ascii="Verdana" w:hAnsi="Verdana"/>
          <w:sz w:val="20"/>
        </w:rPr>
        <w:t>course fees.</w:t>
      </w:r>
    </w:p>
    <w:p w:rsidR="00853167" w:rsidRPr="001A353D" w:rsidRDefault="00AB39D4" w:rsidP="00CE4BAF">
      <w:pPr>
        <w:spacing w:before="120"/>
        <w:rPr>
          <w:rFonts w:ascii="Verdana" w:hAnsi="Verdana"/>
          <w:sz w:val="20"/>
        </w:rPr>
      </w:pPr>
      <w:r>
        <w:rPr>
          <w:rFonts w:ascii="Verdana" w:hAnsi="Verdana"/>
          <w:sz w:val="20"/>
        </w:rPr>
        <w:t>Providers are require</w:t>
      </w:r>
      <w:r w:rsidR="0072321B">
        <w:rPr>
          <w:rFonts w:ascii="Verdana" w:hAnsi="Verdana"/>
          <w:sz w:val="20"/>
        </w:rPr>
        <w:t>d</w:t>
      </w:r>
      <w:r>
        <w:rPr>
          <w:rFonts w:ascii="Verdana" w:hAnsi="Verdana"/>
          <w:sz w:val="20"/>
        </w:rPr>
        <w:t xml:space="preserve"> to support their care and support worker employees</w:t>
      </w:r>
      <w:r w:rsidR="00853167" w:rsidRPr="001A353D">
        <w:rPr>
          <w:rFonts w:ascii="Verdana" w:hAnsi="Verdana"/>
          <w:sz w:val="20"/>
        </w:rPr>
        <w:t xml:space="preserve"> to </w:t>
      </w:r>
      <w:r>
        <w:rPr>
          <w:rFonts w:ascii="Verdana" w:hAnsi="Verdana"/>
          <w:sz w:val="20"/>
        </w:rPr>
        <w:t xml:space="preserve">enable them to </w:t>
      </w:r>
      <w:r w:rsidR="00853167" w:rsidRPr="001A353D">
        <w:rPr>
          <w:rFonts w:ascii="Verdana" w:hAnsi="Verdana"/>
          <w:sz w:val="20"/>
        </w:rPr>
        <w:t>reach the NZ Qualifications Authority Health and Wellbeing Certificate qualifications within the following time periods:</w:t>
      </w:r>
    </w:p>
    <w:p w:rsidR="00853167" w:rsidRPr="001A353D" w:rsidRDefault="00853167" w:rsidP="00853167">
      <w:pPr>
        <w:spacing w:before="120"/>
        <w:rPr>
          <w:rFonts w:ascii="Verdana" w:hAnsi="Verdana"/>
          <w:sz w:val="20"/>
        </w:rPr>
      </w:pPr>
      <w:r w:rsidRPr="001A353D">
        <w:rPr>
          <w:rFonts w:ascii="Verdana" w:hAnsi="Verdana"/>
          <w:sz w:val="20"/>
        </w:rPr>
        <w:t>•</w:t>
      </w:r>
      <w:r w:rsidRPr="001A353D">
        <w:rPr>
          <w:rFonts w:ascii="Verdana" w:hAnsi="Verdana"/>
          <w:sz w:val="20"/>
        </w:rPr>
        <w:tab/>
        <w:t>Level 2 NZ Certificate – within 12 months of employment</w:t>
      </w:r>
    </w:p>
    <w:p w:rsidR="00853167" w:rsidRPr="001A353D" w:rsidRDefault="00853167" w:rsidP="00853167">
      <w:pPr>
        <w:spacing w:before="120"/>
        <w:rPr>
          <w:rFonts w:ascii="Verdana" w:hAnsi="Verdana"/>
          <w:sz w:val="20"/>
        </w:rPr>
      </w:pPr>
      <w:r w:rsidRPr="001A353D">
        <w:rPr>
          <w:rFonts w:ascii="Verdana" w:hAnsi="Verdana"/>
          <w:sz w:val="20"/>
        </w:rPr>
        <w:t>•</w:t>
      </w:r>
      <w:r w:rsidRPr="001A353D">
        <w:rPr>
          <w:rFonts w:ascii="Verdana" w:hAnsi="Verdana"/>
          <w:sz w:val="20"/>
        </w:rPr>
        <w:tab/>
        <w:t>Level 3 NZ Certificate – within 3 years of employment</w:t>
      </w:r>
    </w:p>
    <w:p w:rsidR="00853167" w:rsidRPr="006961E7" w:rsidRDefault="00853167" w:rsidP="00853167">
      <w:pPr>
        <w:spacing w:before="120"/>
        <w:rPr>
          <w:rFonts w:ascii="Verdana" w:hAnsi="Verdana"/>
          <w:sz w:val="20"/>
        </w:rPr>
      </w:pPr>
      <w:r w:rsidRPr="001A353D">
        <w:rPr>
          <w:rFonts w:ascii="Verdana" w:hAnsi="Verdana"/>
          <w:sz w:val="20"/>
        </w:rPr>
        <w:t>•</w:t>
      </w:r>
      <w:r w:rsidRPr="001A353D">
        <w:rPr>
          <w:rFonts w:ascii="Verdana" w:hAnsi="Verdana"/>
          <w:sz w:val="20"/>
        </w:rPr>
        <w:tab/>
        <w:t>Level 4 NZ Certificate – within 6 years of employment</w:t>
      </w:r>
    </w:p>
    <w:p w:rsidR="00853167" w:rsidRDefault="00AB39D4" w:rsidP="00AB39D4">
      <w:pPr>
        <w:spacing w:before="120"/>
        <w:rPr>
          <w:rFonts w:ascii="Verdana" w:hAnsi="Verdana"/>
          <w:sz w:val="20"/>
        </w:rPr>
      </w:pPr>
      <w:bookmarkStart w:id="9" w:name="_Toc488741784"/>
      <w:r>
        <w:rPr>
          <w:rFonts w:ascii="Verdana" w:hAnsi="Verdana"/>
          <w:sz w:val="20"/>
        </w:rPr>
        <w:t>For employees employed before 1 July 2017, the time periods apply from 1 July 2017, not their date of employment.</w:t>
      </w:r>
    </w:p>
    <w:p w:rsidR="00AB39D4" w:rsidRPr="00AB39D4" w:rsidRDefault="00AB39D4" w:rsidP="00AB39D4">
      <w:pPr>
        <w:spacing w:before="120"/>
        <w:rPr>
          <w:rFonts w:ascii="Verdana" w:hAnsi="Verdana"/>
          <w:sz w:val="20"/>
        </w:rPr>
      </w:pPr>
      <w:r>
        <w:rPr>
          <w:rFonts w:ascii="Verdana" w:hAnsi="Verdana"/>
          <w:sz w:val="20"/>
        </w:rPr>
        <w:t>If an employee cannot attain a qualification within these time periods, their employer must take all reasonable steps to ensure the worker is able to attain the qualification as soon as possible.</w:t>
      </w:r>
    </w:p>
    <w:p w:rsidR="00AB39D4" w:rsidRPr="00AB39D4" w:rsidRDefault="00AB39D4" w:rsidP="00AB39D4">
      <w:pPr>
        <w:spacing w:before="360"/>
        <w:rPr>
          <w:rFonts w:ascii="Verdana" w:hAnsi="Verdana"/>
          <w:i/>
          <w:sz w:val="24"/>
          <w:szCs w:val="24"/>
        </w:rPr>
      </w:pPr>
      <w:r w:rsidRPr="00AB39D4">
        <w:rPr>
          <w:rFonts w:ascii="Verdana" w:hAnsi="Verdana"/>
          <w:i/>
          <w:sz w:val="24"/>
          <w:szCs w:val="24"/>
        </w:rPr>
        <w:t>Do employees have to complete these qualifications?</w:t>
      </w:r>
    </w:p>
    <w:p w:rsidR="00AB39D4" w:rsidRPr="00AB39D4" w:rsidRDefault="00AB39D4" w:rsidP="00AB39D4">
      <w:pPr>
        <w:spacing w:before="120"/>
        <w:rPr>
          <w:rFonts w:ascii="Verdana" w:hAnsi="Verdana"/>
          <w:sz w:val="20"/>
        </w:rPr>
      </w:pPr>
      <w:r>
        <w:rPr>
          <w:rFonts w:ascii="Verdana" w:hAnsi="Verdana"/>
          <w:sz w:val="20"/>
        </w:rPr>
        <w:t xml:space="preserve">No, employees are not being compelled to complete these qualifications through the pay equity settlement.  </w:t>
      </w:r>
      <w:r w:rsidRPr="00AB39D4">
        <w:rPr>
          <w:rFonts w:ascii="Verdana" w:hAnsi="Verdana"/>
          <w:sz w:val="20"/>
        </w:rPr>
        <w:t xml:space="preserve">The aim is for </w:t>
      </w:r>
      <w:r>
        <w:rPr>
          <w:rFonts w:ascii="Verdana" w:hAnsi="Verdana"/>
          <w:sz w:val="20"/>
        </w:rPr>
        <w:t xml:space="preserve">care and support workers </w:t>
      </w:r>
      <w:r w:rsidRPr="00AB39D4">
        <w:rPr>
          <w:rFonts w:ascii="Verdana" w:hAnsi="Verdana"/>
          <w:sz w:val="20"/>
        </w:rPr>
        <w:t xml:space="preserve">to have opportunities for up-skilling </w:t>
      </w:r>
      <w:r>
        <w:rPr>
          <w:rFonts w:ascii="Verdana" w:hAnsi="Verdana"/>
          <w:sz w:val="20"/>
        </w:rPr>
        <w:t>if they want to do so</w:t>
      </w:r>
      <w:r w:rsidRPr="00AB39D4">
        <w:rPr>
          <w:rFonts w:ascii="Verdana" w:hAnsi="Verdana"/>
          <w:sz w:val="20"/>
        </w:rPr>
        <w:t>.</w:t>
      </w:r>
    </w:p>
    <w:bookmarkEnd w:id="9"/>
    <w:p w:rsidR="00EA022E" w:rsidRDefault="00EA022E" w:rsidP="00EA022E">
      <w:pPr>
        <w:pStyle w:val="Heading2"/>
        <w:rPr>
          <w:lang w:eastAsia="en-NZ"/>
        </w:rPr>
      </w:pPr>
    </w:p>
    <w:p w:rsidR="00B86D1C" w:rsidRDefault="00B86D1C" w:rsidP="00B86D1C">
      <w:pPr>
        <w:pStyle w:val="Heading2"/>
        <w:rPr>
          <w:lang w:eastAsia="en-NZ"/>
        </w:rPr>
      </w:pPr>
      <w:bookmarkStart w:id="10" w:name="_Toc496170665"/>
      <w:r>
        <w:rPr>
          <w:lang w:eastAsia="en-NZ"/>
        </w:rPr>
        <w:t>Annual leave liability</w:t>
      </w:r>
      <w:bookmarkEnd w:id="10"/>
    </w:p>
    <w:p w:rsidR="00B86D1C" w:rsidRPr="00BE2B5D" w:rsidRDefault="00B86D1C" w:rsidP="00B86D1C">
      <w:pPr>
        <w:spacing w:before="360"/>
        <w:rPr>
          <w:rFonts w:ascii="Verdana" w:hAnsi="Verdana"/>
          <w:i/>
          <w:sz w:val="24"/>
          <w:szCs w:val="24"/>
        </w:rPr>
      </w:pPr>
      <w:r w:rsidRPr="00BE2B5D">
        <w:rPr>
          <w:rFonts w:ascii="Verdana" w:hAnsi="Verdana"/>
          <w:i/>
          <w:sz w:val="24"/>
          <w:szCs w:val="24"/>
        </w:rPr>
        <w:t>What is annual leave liability?</w:t>
      </w:r>
    </w:p>
    <w:p w:rsidR="00B86D1C" w:rsidRDefault="00B86D1C" w:rsidP="00B86D1C">
      <w:pPr>
        <w:spacing w:before="120"/>
        <w:rPr>
          <w:rFonts w:ascii="Verdana" w:hAnsi="Verdana"/>
          <w:sz w:val="20"/>
        </w:rPr>
      </w:pPr>
      <w:r>
        <w:rPr>
          <w:rFonts w:ascii="Verdana" w:hAnsi="Verdana"/>
          <w:sz w:val="20"/>
        </w:rPr>
        <w:t>Annual leave liability is the cost employers will need to pay when employees take their annual leave entitlement.  This includes when employees are paid out for their leave balances when they leave a job.</w:t>
      </w:r>
    </w:p>
    <w:p w:rsidR="00B86D1C" w:rsidRPr="00BE2B5D" w:rsidRDefault="00B86D1C" w:rsidP="00B86D1C">
      <w:pPr>
        <w:spacing w:before="360"/>
        <w:rPr>
          <w:rFonts w:ascii="Verdana" w:hAnsi="Verdana"/>
          <w:i/>
          <w:sz w:val="24"/>
          <w:szCs w:val="24"/>
        </w:rPr>
      </w:pPr>
      <w:r w:rsidRPr="00BE2B5D">
        <w:rPr>
          <w:rFonts w:ascii="Verdana" w:hAnsi="Verdana"/>
          <w:i/>
          <w:sz w:val="24"/>
          <w:szCs w:val="24"/>
        </w:rPr>
        <w:t>How is annual leave liability affected by the pay equity settlement?</w:t>
      </w:r>
    </w:p>
    <w:p w:rsidR="00B86D1C" w:rsidRDefault="00B86D1C" w:rsidP="00B86D1C">
      <w:pPr>
        <w:spacing w:before="120"/>
        <w:rPr>
          <w:rFonts w:ascii="Verdana" w:hAnsi="Verdana"/>
          <w:sz w:val="20"/>
        </w:rPr>
      </w:pPr>
      <w:r>
        <w:rPr>
          <w:rFonts w:ascii="Verdana" w:hAnsi="Verdana"/>
          <w:sz w:val="20"/>
        </w:rPr>
        <w:t xml:space="preserve">When </w:t>
      </w:r>
      <w:r w:rsidR="00EA2FD3">
        <w:rPr>
          <w:rFonts w:ascii="Verdana" w:hAnsi="Verdana"/>
          <w:sz w:val="20"/>
        </w:rPr>
        <w:t xml:space="preserve">an </w:t>
      </w:r>
      <w:r>
        <w:rPr>
          <w:rFonts w:ascii="Verdana" w:hAnsi="Verdana"/>
          <w:sz w:val="20"/>
        </w:rPr>
        <w:t>employee</w:t>
      </w:r>
      <w:r w:rsidR="00EA2FD3">
        <w:rPr>
          <w:rFonts w:ascii="Verdana" w:hAnsi="Verdana"/>
          <w:sz w:val="20"/>
        </w:rPr>
        <w:t>’</w:t>
      </w:r>
      <w:r>
        <w:rPr>
          <w:rFonts w:ascii="Verdana" w:hAnsi="Verdana"/>
          <w:sz w:val="20"/>
        </w:rPr>
        <w:t>s</w:t>
      </w:r>
      <w:r w:rsidR="00EA2FD3">
        <w:rPr>
          <w:rFonts w:ascii="Verdana" w:hAnsi="Verdana"/>
          <w:sz w:val="20"/>
        </w:rPr>
        <w:t xml:space="preserve"> pay rate</w:t>
      </w:r>
      <w:r>
        <w:rPr>
          <w:rFonts w:ascii="Verdana" w:hAnsi="Verdana"/>
          <w:sz w:val="20"/>
        </w:rPr>
        <w:t xml:space="preserve"> increase</w:t>
      </w:r>
      <w:r w:rsidR="00EA2FD3">
        <w:rPr>
          <w:rFonts w:ascii="Verdana" w:hAnsi="Verdana"/>
          <w:sz w:val="20"/>
        </w:rPr>
        <w:t>s</w:t>
      </w:r>
      <w:r>
        <w:rPr>
          <w:rFonts w:ascii="Verdana" w:hAnsi="Verdana"/>
          <w:sz w:val="20"/>
        </w:rPr>
        <w:t>, so does the cost of their annual leave.  This change affects annual leave that employees have accrued (but not taken) before their pay increased as well as annual leave that they accrue after their pay increases.</w:t>
      </w:r>
    </w:p>
    <w:p w:rsidR="00B86D1C" w:rsidRDefault="00B86D1C" w:rsidP="00B86D1C">
      <w:pPr>
        <w:spacing w:before="120"/>
        <w:rPr>
          <w:rFonts w:ascii="Verdana" w:hAnsi="Verdana"/>
          <w:sz w:val="20"/>
        </w:rPr>
      </w:pPr>
      <w:r>
        <w:rPr>
          <w:rFonts w:ascii="Verdana" w:hAnsi="Verdana"/>
          <w:sz w:val="20"/>
        </w:rPr>
        <w:t>This cost-increase also applies to any time-in-lieu that employees have owing to them for working on a public holiday before their pay increased.</w:t>
      </w:r>
    </w:p>
    <w:p w:rsidR="00B86D1C" w:rsidRPr="00841F58" w:rsidRDefault="00B86D1C" w:rsidP="00B86D1C">
      <w:pPr>
        <w:spacing w:before="360"/>
        <w:rPr>
          <w:rFonts w:ascii="Verdana" w:hAnsi="Verdana"/>
          <w:i/>
          <w:sz w:val="24"/>
          <w:szCs w:val="24"/>
        </w:rPr>
      </w:pPr>
      <w:r w:rsidRPr="00841F58">
        <w:rPr>
          <w:rFonts w:ascii="Verdana" w:hAnsi="Verdana"/>
          <w:i/>
          <w:sz w:val="24"/>
          <w:szCs w:val="24"/>
        </w:rPr>
        <w:lastRenderedPageBreak/>
        <w:t>Why are providers receiving separate funding for annual leave liability when annual leave is included in the on-costs?</w:t>
      </w:r>
    </w:p>
    <w:p w:rsidR="00B86D1C" w:rsidRDefault="00B86D1C" w:rsidP="00B86D1C">
      <w:pPr>
        <w:spacing w:before="120"/>
        <w:rPr>
          <w:rFonts w:ascii="Verdana" w:hAnsi="Verdana"/>
          <w:sz w:val="20"/>
        </w:rPr>
      </w:pPr>
      <w:r>
        <w:rPr>
          <w:rFonts w:ascii="Verdana" w:hAnsi="Verdana"/>
          <w:sz w:val="20"/>
        </w:rPr>
        <w:t xml:space="preserve">The annual leave liability funding calculation is for annual leave days that employees have accrued </w:t>
      </w:r>
      <w:r>
        <w:rPr>
          <w:rFonts w:ascii="Verdana" w:hAnsi="Verdana"/>
          <w:i/>
          <w:sz w:val="20"/>
        </w:rPr>
        <w:t>before</w:t>
      </w:r>
      <w:r>
        <w:rPr>
          <w:rFonts w:ascii="Verdana" w:hAnsi="Verdana"/>
          <w:sz w:val="20"/>
        </w:rPr>
        <w:t xml:space="preserve"> 1 July 2017 but haven’t taken before that date.</w:t>
      </w:r>
    </w:p>
    <w:p w:rsidR="00B86D1C" w:rsidRDefault="00B86D1C" w:rsidP="00B86D1C">
      <w:pPr>
        <w:spacing w:before="120"/>
        <w:rPr>
          <w:rFonts w:ascii="Verdana" w:hAnsi="Verdana"/>
          <w:sz w:val="20"/>
        </w:rPr>
      </w:pPr>
      <w:r>
        <w:rPr>
          <w:rFonts w:ascii="Verdana" w:hAnsi="Verdana"/>
          <w:sz w:val="20"/>
        </w:rPr>
        <w:t xml:space="preserve">The funding for annual leave included in the on-costs percentage is for the increase in the cost of any annual leave accrued </w:t>
      </w:r>
      <w:r>
        <w:rPr>
          <w:rFonts w:ascii="Verdana" w:hAnsi="Verdana"/>
          <w:i/>
          <w:sz w:val="20"/>
        </w:rPr>
        <w:t>after</w:t>
      </w:r>
      <w:r>
        <w:rPr>
          <w:rFonts w:ascii="Verdana" w:hAnsi="Verdana"/>
          <w:sz w:val="20"/>
        </w:rPr>
        <w:t xml:space="preserve"> 1 July 2017.</w:t>
      </w:r>
    </w:p>
    <w:p w:rsidR="00B86D1C" w:rsidRDefault="00B86D1C" w:rsidP="00B86D1C">
      <w:pPr>
        <w:spacing w:before="120"/>
        <w:rPr>
          <w:rFonts w:ascii="Verdana" w:hAnsi="Verdana"/>
          <w:sz w:val="20"/>
        </w:rPr>
      </w:pPr>
      <w:r>
        <w:rPr>
          <w:rFonts w:ascii="Verdana" w:hAnsi="Verdana"/>
          <w:sz w:val="20"/>
        </w:rPr>
        <w:t>MSD is funding the actual cost increase for up to four weeks</w:t>
      </w:r>
      <w:r w:rsidR="0038333A">
        <w:rPr>
          <w:rFonts w:ascii="Verdana" w:hAnsi="Verdana"/>
          <w:sz w:val="20"/>
        </w:rPr>
        <w:t>’</w:t>
      </w:r>
      <w:r>
        <w:rPr>
          <w:rFonts w:ascii="Verdana" w:hAnsi="Verdana"/>
          <w:sz w:val="20"/>
        </w:rPr>
        <w:t xml:space="preserve"> accrued annual leave per employee.</w:t>
      </w:r>
    </w:p>
    <w:p w:rsidR="00B86D1C" w:rsidRPr="00164787" w:rsidRDefault="00B86D1C" w:rsidP="00B86D1C">
      <w:pPr>
        <w:spacing w:before="360"/>
        <w:rPr>
          <w:rFonts w:ascii="Verdana" w:hAnsi="Verdana"/>
          <w:i/>
          <w:sz w:val="24"/>
          <w:szCs w:val="24"/>
        </w:rPr>
      </w:pPr>
      <w:r w:rsidRPr="00164787">
        <w:rPr>
          <w:rFonts w:ascii="Verdana" w:hAnsi="Verdana"/>
          <w:i/>
          <w:sz w:val="24"/>
          <w:szCs w:val="24"/>
        </w:rPr>
        <w:t xml:space="preserve">How do </w:t>
      </w:r>
      <w:r w:rsidR="00203D42">
        <w:rPr>
          <w:rFonts w:ascii="Verdana" w:hAnsi="Verdana"/>
          <w:i/>
          <w:sz w:val="24"/>
          <w:szCs w:val="24"/>
        </w:rPr>
        <w:t>providers</w:t>
      </w:r>
      <w:r w:rsidRPr="00164787">
        <w:rPr>
          <w:rFonts w:ascii="Verdana" w:hAnsi="Verdana"/>
          <w:i/>
          <w:sz w:val="24"/>
          <w:szCs w:val="24"/>
        </w:rPr>
        <w:t xml:space="preserve"> know how much </w:t>
      </w:r>
      <w:r>
        <w:rPr>
          <w:rFonts w:ascii="Verdana" w:hAnsi="Verdana"/>
          <w:i/>
          <w:sz w:val="24"/>
          <w:szCs w:val="24"/>
        </w:rPr>
        <w:t xml:space="preserve">to </w:t>
      </w:r>
      <w:r w:rsidRPr="00164787">
        <w:rPr>
          <w:rFonts w:ascii="Verdana" w:hAnsi="Verdana"/>
          <w:i/>
          <w:sz w:val="24"/>
          <w:szCs w:val="24"/>
        </w:rPr>
        <w:t>pay my employees for their annual leave?</w:t>
      </w:r>
    </w:p>
    <w:p w:rsidR="00B86D1C" w:rsidRPr="00164787" w:rsidRDefault="00B86D1C" w:rsidP="00B86D1C">
      <w:pPr>
        <w:spacing w:before="120"/>
        <w:rPr>
          <w:rFonts w:ascii="Verdana" w:hAnsi="Verdana"/>
          <w:sz w:val="20"/>
        </w:rPr>
      </w:pPr>
      <w:r w:rsidRPr="00164787">
        <w:rPr>
          <w:rFonts w:ascii="Verdana" w:hAnsi="Verdana"/>
          <w:sz w:val="20"/>
        </w:rPr>
        <w:t>Payment for holidays and leave must be calculated each time the employee goes on holiday or leave as the rate of payment may change from pay period to pay period.</w:t>
      </w:r>
    </w:p>
    <w:p w:rsidR="00B86D1C" w:rsidRPr="001C34D5" w:rsidRDefault="00B86D1C" w:rsidP="00B86D1C">
      <w:pPr>
        <w:spacing w:before="240"/>
        <w:rPr>
          <w:rFonts w:ascii="Verdana" w:hAnsi="Verdana"/>
          <w:sz w:val="20"/>
          <w:lang w:eastAsia="en-NZ"/>
        </w:rPr>
      </w:pPr>
      <w:r w:rsidRPr="001C34D5">
        <w:rPr>
          <w:rFonts w:ascii="Verdana" w:hAnsi="Verdana"/>
          <w:sz w:val="20"/>
          <w:lang w:eastAsia="en-NZ"/>
        </w:rPr>
        <w:t>Annual holidays are paid at whichever rate is the higher of:</w:t>
      </w:r>
    </w:p>
    <w:p w:rsidR="00B86D1C" w:rsidRPr="00520E18" w:rsidRDefault="00B86D1C" w:rsidP="00B86D1C">
      <w:pPr>
        <w:pStyle w:val="ListParagraph"/>
        <w:numPr>
          <w:ilvl w:val="0"/>
          <w:numId w:val="42"/>
        </w:numPr>
        <w:spacing w:before="60"/>
        <w:rPr>
          <w:rFonts w:ascii="Verdana" w:hAnsi="Verdana"/>
          <w:sz w:val="20"/>
          <w:lang w:eastAsia="en-NZ"/>
        </w:rPr>
      </w:pPr>
      <w:r w:rsidRPr="00520E18">
        <w:rPr>
          <w:rFonts w:ascii="Verdana" w:hAnsi="Verdana"/>
          <w:sz w:val="20"/>
          <w:lang w:eastAsia="en-NZ"/>
        </w:rPr>
        <w:t>the employee’s ordinary weekly pay at the beginning of the annual holiday, or</w:t>
      </w:r>
    </w:p>
    <w:p w:rsidR="00B86D1C" w:rsidRPr="00520E18" w:rsidRDefault="00B86D1C" w:rsidP="00B86D1C">
      <w:pPr>
        <w:pStyle w:val="ListParagraph"/>
        <w:numPr>
          <w:ilvl w:val="0"/>
          <w:numId w:val="42"/>
        </w:numPr>
        <w:spacing w:before="60"/>
        <w:rPr>
          <w:rFonts w:ascii="Verdana" w:hAnsi="Verdana"/>
          <w:sz w:val="20"/>
          <w:lang w:eastAsia="en-NZ"/>
        </w:rPr>
      </w:pPr>
      <w:proofErr w:type="gramStart"/>
      <w:r w:rsidRPr="00520E18">
        <w:rPr>
          <w:rFonts w:ascii="Verdana" w:hAnsi="Verdana"/>
          <w:sz w:val="20"/>
          <w:lang w:eastAsia="en-NZ"/>
        </w:rPr>
        <w:t>the</w:t>
      </w:r>
      <w:proofErr w:type="gramEnd"/>
      <w:r w:rsidRPr="00520E18">
        <w:rPr>
          <w:rFonts w:ascii="Verdana" w:hAnsi="Verdana"/>
          <w:sz w:val="20"/>
          <w:lang w:eastAsia="en-NZ"/>
        </w:rPr>
        <w:t xml:space="preserve"> employee’s average weekly earnings for the 12 months just before the end of the last pay period before the annual holiday.</w:t>
      </w:r>
    </w:p>
    <w:p w:rsidR="00B86D1C" w:rsidRPr="00520E18" w:rsidRDefault="00203D42" w:rsidP="00B86D1C">
      <w:pPr>
        <w:spacing w:before="120"/>
        <w:rPr>
          <w:rFonts w:ascii="Verdana" w:hAnsi="Verdana"/>
          <w:sz w:val="20"/>
        </w:rPr>
      </w:pPr>
      <w:r>
        <w:rPr>
          <w:rFonts w:ascii="Verdana" w:hAnsi="Verdana"/>
          <w:sz w:val="20"/>
        </w:rPr>
        <w:t>Providers</w:t>
      </w:r>
      <w:r w:rsidR="00B86D1C">
        <w:rPr>
          <w:rFonts w:ascii="Verdana" w:hAnsi="Verdana"/>
          <w:sz w:val="20"/>
        </w:rPr>
        <w:t xml:space="preserve"> can get additional advice and support for calculating payments for leave and public holidays on the </w:t>
      </w:r>
      <w:hyperlink r:id="rId15" w:history="1">
        <w:r w:rsidR="00B86D1C" w:rsidRPr="0038333A">
          <w:rPr>
            <w:rStyle w:val="Hyperlink"/>
            <w:color w:val="0000FF"/>
            <w:u w:val="single"/>
          </w:rPr>
          <w:t>employment.govt.nz website</w:t>
        </w:r>
      </w:hyperlink>
      <w:r w:rsidR="00B86D1C">
        <w:rPr>
          <w:rStyle w:val="Hyperlink"/>
        </w:rPr>
        <w:t>.</w:t>
      </w:r>
      <w:r w:rsidR="00B86D1C" w:rsidRPr="00520E18">
        <w:rPr>
          <w:rFonts w:ascii="Verdana" w:hAnsi="Verdana"/>
          <w:sz w:val="20"/>
        </w:rPr>
        <w:t xml:space="preserve"> </w:t>
      </w:r>
    </w:p>
    <w:p w:rsidR="00B86D1C" w:rsidRPr="00B56EBB" w:rsidRDefault="00B86D1C" w:rsidP="00B86D1C">
      <w:pPr>
        <w:spacing w:before="360"/>
        <w:rPr>
          <w:rFonts w:ascii="Verdana" w:hAnsi="Verdana"/>
          <w:i/>
          <w:sz w:val="24"/>
          <w:szCs w:val="24"/>
        </w:rPr>
      </w:pPr>
      <w:r w:rsidRPr="00B56EBB">
        <w:rPr>
          <w:rFonts w:ascii="Verdana" w:hAnsi="Verdana"/>
          <w:i/>
          <w:sz w:val="24"/>
          <w:szCs w:val="24"/>
        </w:rPr>
        <w:t>How is the annual leave liability funding calculated?</w:t>
      </w:r>
    </w:p>
    <w:p w:rsidR="00B86D1C" w:rsidRDefault="00B86D1C" w:rsidP="00B86D1C">
      <w:pPr>
        <w:spacing w:before="120"/>
        <w:rPr>
          <w:rFonts w:ascii="Verdana" w:hAnsi="Verdana"/>
          <w:sz w:val="20"/>
        </w:rPr>
      </w:pPr>
      <w:r w:rsidRPr="00B56EBB">
        <w:rPr>
          <w:rFonts w:ascii="Verdana" w:hAnsi="Verdana"/>
          <w:sz w:val="20"/>
        </w:rPr>
        <w:t xml:space="preserve">The </w:t>
      </w:r>
      <w:r>
        <w:rPr>
          <w:rFonts w:ascii="Verdana" w:hAnsi="Verdana"/>
          <w:sz w:val="20"/>
        </w:rPr>
        <w:t xml:space="preserve">amount of funding </w:t>
      </w:r>
      <w:r w:rsidR="006349F2">
        <w:rPr>
          <w:rFonts w:ascii="Verdana" w:hAnsi="Verdana"/>
          <w:sz w:val="20"/>
        </w:rPr>
        <w:t>providers received</w:t>
      </w:r>
      <w:r>
        <w:rPr>
          <w:rFonts w:ascii="Verdana" w:hAnsi="Verdana"/>
          <w:sz w:val="20"/>
        </w:rPr>
        <w:t xml:space="preserve"> for the increase in </w:t>
      </w:r>
      <w:r w:rsidR="006349F2">
        <w:rPr>
          <w:rFonts w:ascii="Verdana" w:hAnsi="Verdana"/>
          <w:sz w:val="20"/>
        </w:rPr>
        <w:t>their</w:t>
      </w:r>
      <w:r>
        <w:rPr>
          <w:rFonts w:ascii="Verdana" w:hAnsi="Verdana"/>
          <w:sz w:val="20"/>
        </w:rPr>
        <w:t xml:space="preserve"> annual leave liability costs was calculated by completing the Leave Liability Collection Tool.  This tool was distributed in August</w:t>
      </w:r>
      <w:r w:rsidR="005C4C7E">
        <w:rPr>
          <w:rFonts w:ascii="Verdana" w:hAnsi="Verdana"/>
          <w:sz w:val="20"/>
        </w:rPr>
        <w:t xml:space="preserve"> 2017</w:t>
      </w:r>
      <w:r>
        <w:rPr>
          <w:rFonts w:ascii="Verdana" w:hAnsi="Verdana"/>
          <w:sz w:val="20"/>
        </w:rPr>
        <w:t>.  Providers were able to upload their completed Leave Liability Collection Tool until the end of September 2017.</w:t>
      </w:r>
    </w:p>
    <w:p w:rsidR="00B86D1C" w:rsidRDefault="00B86D1C" w:rsidP="00B86D1C">
      <w:pPr>
        <w:spacing w:before="120"/>
        <w:rPr>
          <w:rFonts w:ascii="Verdana" w:hAnsi="Verdana"/>
          <w:sz w:val="20"/>
        </w:rPr>
      </w:pPr>
      <w:r>
        <w:rPr>
          <w:rFonts w:ascii="Verdana" w:hAnsi="Verdana"/>
          <w:sz w:val="20"/>
        </w:rPr>
        <w:t>Providers are no longer able to complete and upload the Leave Liability Collection Tool.</w:t>
      </w:r>
    </w:p>
    <w:p w:rsidR="00B86D1C" w:rsidRDefault="00B86D1C" w:rsidP="00B86D1C">
      <w:pPr>
        <w:spacing w:before="120"/>
        <w:rPr>
          <w:rFonts w:ascii="Verdana" w:hAnsi="Verdana"/>
          <w:sz w:val="20"/>
        </w:rPr>
      </w:pPr>
      <w:r>
        <w:rPr>
          <w:rFonts w:ascii="Verdana" w:hAnsi="Verdana"/>
          <w:sz w:val="20"/>
        </w:rPr>
        <w:t>This was a one-off data collection exercise.  All future annual leave and holiday pay costs are included in the on-cost percentages.</w:t>
      </w:r>
    </w:p>
    <w:p w:rsidR="00E05EB5" w:rsidRPr="00B86D1C" w:rsidRDefault="00E05EB5" w:rsidP="00B86D1C">
      <w:pPr>
        <w:rPr>
          <w:lang w:eastAsia="en-NZ"/>
        </w:rPr>
      </w:pPr>
    </w:p>
    <w:p w:rsidR="00E97C30" w:rsidRPr="00EA022E" w:rsidRDefault="00EA022E" w:rsidP="00EA022E">
      <w:pPr>
        <w:pStyle w:val="Heading2"/>
        <w:rPr>
          <w:lang w:eastAsia="en-NZ"/>
        </w:rPr>
      </w:pPr>
      <w:bookmarkStart w:id="11" w:name="_Toc496170666"/>
      <w:r w:rsidRPr="00EA022E">
        <w:rPr>
          <w:lang w:eastAsia="en-NZ"/>
        </w:rPr>
        <w:t>The wash-up process</w:t>
      </w:r>
      <w:bookmarkEnd w:id="11"/>
    </w:p>
    <w:p w:rsidR="00853167" w:rsidRPr="00EA022E" w:rsidRDefault="00EA022E" w:rsidP="00EA022E">
      <w:pPr>
        <w:spacing w:before="360"/>
        <w:rPr>
          <w:rFonts w:ascii="Verdana" w:hAnsi="Verdana"/>
          <w:i/>
          <w:sz w:val="24"/>
          <w:szCs w:val="24"/>
        </w:rPr>
      </w:pPr>
      <w:r w:rsidRPr="00EA022E">
        <w:rPr>
          <w:rFonts w:ascii="Verdana" w:hAnsi="Verdana"/>
          <w:i/>
          <w:sz w:val="24"/>
          <w:szCs w:val="24"/>
        </w:rPr>
        <w:t>What is the wash-up process?</w:t>
      </w:r>
    </w:p>
    <w:p w:rsidR="00853167" w:rsidRDefault="00EA022E" w:rsidP="00140274">
      <w:pPr>
        <w:spacing w:before="120"/>
        <w:rPr>
          <w:rFonts w:ascii="Verdana" w:hAnsi="Verdana"/>
          <w:sz w:val="20"/>
        </w:rPr>
      </w:pPr>
      <w:r>
        <w:rPr>
          <w:rFonts w:ascii="Verdana" w:hAnsi="Verdana"/>
          <w:sz w:val="20"/>
        </w:rPr>
        <w:t xml:space="preserve">The purpose of the wash-up is to collect </w:t>
      </w:r>
      <w:r w:rsidR="00297B4E">
        <w:rPr>
          <w:rFonts w:ascii="Verdana" w:hAnsi="Verdana"/>
          <w:sz w:val="20"/>
        </w:rPr>
        <w:t xml:space="preserve">the </w:t>
      </w:r>
      <w:r>
        <w:rPr>
          <w:rFonts w:ascii="Verdana" w:hAnsi="Verdana"/>
          <w:sz w:val="20"/>
        </w:rPr>
        <w:t>data to calculate the correct pay equity funding amount for providers.</w:t>
      </w:r>
    </w:p>
    <w:p w:rsidR="00EA022E" w:rsidRDefault="00EA022E" w:rsidP="00140274">
      <w:pPr>
        <w:spacing w:before="120"/>
        <w:rPr>
          <w:rFonts w:ascii="Verdana" w:hAnsi="Verdana"/>
          <w:sz w:val="20"/>
        </w:rPr>
      </w:pPr>
      <w:r>
        <w:rPr>
          <w:rFonts w:ascii="Verdana" w:hAnsi="Verdana"/>
          <w:sz w:val="20"/>
        </w:rPr>
        <w:t xml:space="preserve">Providers supply the same type of information as for the estimation process, but </w:t>
      </w:r>
      <w:r w:rsidR="006349F2">
        <w:rPr>
          <w:rFonts w:ascii="Verdana" w:hAnsi="Verdana"/>
          <w:sz w:val="20"/>
        </w:rPr>
        <w:t>for</w:t>
      </w:r>
      <w:r>
        <w:rPr>
          <w:rFonts w:ascii="Verdana" w:hAnsi="Verdana"/>
          <w:sz w:val="20"/>
        </w:rPr>
        <w:t xml:space="preserve"> the </w:t>
      </w:r>
      <w:r w:rsidR="005C4C7E">
        <w:rPr>
          <w:rFonts w:ascii="Verdana" w:hAnsi="Verdana"/>
          <w:sz w:val="20"/>
        </w:rPr>
        <w:t>specified time period</w:t>
      </w:r>
      <w:r>
        <w:rPr>
          <w:rFonts w:ascii="Verdana" w:hAnsi="Verdana"/>
          <w:sz w:val="20"/>
        </w:rPr>
        <w:t>.</w:t>
      </w:r>
    </w:p>
    <w:p w:rsidR="00EA022E" w:rsidRPr="00EA022E" w:rsidRDefault="00EA022E" w:rsidP="00EA022E">
      <w:pPr>
        <w:spacing w:before="360"/>
        <w:rPr>
          <w:rFonts w:ascii="Verdana" w:hAnsi="Verdana"/>
          <w:i/>
          <w:sz w:val="24"/>
          <w:szCs w:val="24"/>
        </w:rPr>
      </w:pPr>
      <w:r w:rsidRPr="00EA022E">
        <w:rPr>
          <w:rFonts w:ascii="Verdana" w:hAnsi="Verdana"/>
          <w:i/>
          <w:sz w:val="24"/>
          <w:szCs w:val="24"/>
        </w:rPr>
        <w:t>How does the wash-up process differ from the estimation process?</w:t>
      </w:r>
    </w:p>
    <w:p w:rsidR="00A305EF" w:rsidRDefault="00EA022E" w:rsidP="00140274">
      <w:pPr>
        <w:spacing w:before="120"/>
        <w:rPr>
          <w:rFonts w:ascii="Verdana" w:hAnsi="Verdana"/>
          <w:sz w:val="20"/>
        </w:rPr>
      </w:pPr>
      <w:r>
        <w:rPr>
          <w:rFonts w:ascii="Verdana" w:hAnsi="Verdana"/>
          <w:sz w:val="20"/>
        </w:rPr>
        <w:t>The purpose of the estimation phase was to calculate the approximate, expected cost of implementing the pay equity rates so that MSD could fund providers for this cost in advance through quarterly estimated payments</w:t>
      </w:r>
      <w:r w:rsidR="000817F6">
        <w:rPr>
          <w:rFonts w:ascii="Verdana" w:hAnsi="Verdana"/>
          <w:sz w:val="20"/>
        </w:rPr>
        <w:t>.</w:t>
      </w:r>
    </w:p>
    <w:p w:rsidR="00EA022E" w:rsidRPr="00140274" w:rsidRDefault="00EA022E" w:rsidP="00140274">
      <w:pPr>
        <w:spacing w:before="120"/>
        <w:rPr>
          <w:rFonts w:ascii="Verdana" w:hAnsi="Verdana"/>
          <w:sz w:val="20"/>
        </w:rPr>
      </w:pPr>
      <w:r>
        <w:rPr>
          <w:rFonts w:ascii="Verdana" w:hAnsi="Verdana"/>
          <w:sz w:val="20"/>
        </w:rPr>
        <w:lastRenderedPageBreak/>
        <w:t xml:space="preserve">The purpose of the wash-up phase is to calculate the actual cost of implementing the pay equity rates by collecting retrospective data for </w:t>
      </w:r>
      <w:r w:rsidR="005C4C7E">
        <w:rPr>
          <w:rFonts w:ascii="Verdana" w:hAnsi="Verdana"/>
          <w:sz w:val="20"/>
        </w:rPr>
        <w:t>a time period</w:t>
      </w:r>
      <w:r>
        <w:rPr>
          <w:rFonts w:ascii="Verdana" w:hAnsi="Verdana"/>
          <w:sz w:val="20"/>
        </w:rPr>
        <w:t>.  This will enable MSD to calculate and fund providers for the correct pay equity costs.</w:t>
      </w:r>
    </w:p>
    <w:p w:rsidR="00620FA3" w:rsidRPr="002F0D97" w:rsidRDefault="00CE705D" w:rsidP="002F0D97">
      <w:pPr>
        <w:spacing w:before="360"/>
        <w:rPr>
          <w:rFonts w:ascii="Verdana" w:hAnsi="Verdana"/>
          <w:i/>
          <w:sz w:val="24"/>
          <w:szCs w:val="24"/>
        </w:rPr>
      </w:pPr>
      <w:r w:rsidRPr="002F0D97">
        <w:rPr>
          <w:rFonts w:ascii="Verdana" w:hAnsi="Verdana"/>
          <w:i/>
          <w:sz w:val="24"/>
          <w:szCs w:val="24"/>
        </w:rPr>
        <w:t>How often will the estimation and wash-up processes happen?</w:t>
      </w:r>
    </w:p>
    <w:p w:rsidR="006349F2" w:rsidRDefault="00CE705D" w:rsidP="00140274">
      <w:pPr>
        <w:spacing w:before="120"/>
        <w:rPr>
          <w:rFonts w:ascii="Verdana" w:hAnsi="Verdana"/>
          <w:sz w:val="20"/>
        </w:rPr>
      </w:pPr>
      <w:r>
        <w:rPr>
          <w:rFonts w:ascii="Verdana" w:hAnsi="Verdana"/>
          <w:sz w:val="20"/>
        </w:rPr>
        <w:t xml:space="preserve">The wash-up process </w:t>
      </w:r>
      <w:r w:rsidR="006349F2">
        <w:rPr>
          <w:rFonts w:ascii="Verdana" w:hAnsi="Verdana"/>
          <w:sz w:val="20"/>
        </w:rPr>
        <w:t>for the 2017/18 financial year is currently underway. The completed wash-up data collection tools are due back by 3 August 2018.</w:t>
      </w:r>
    </w:p>
    <w:p w:rsidR="00297B4E" w:rsidRDefault="00297B4E" w:rsidP="00140274">
      <w:pPr>
        <w:spacing w:before="120"/>
        <w:rPr>
          <w:rFonts w:ascii="Verdana" w:hAnsi="Verdana"/>
          <w:sz w:val="20"/>
        </w:rPr>
      </w:pPr>
      <w:r>
        <w:rPr>
          <w:rFonts w:ascii="Verdana" w:hAnsi="Verdana"/>
          <w:sz w:val="20"/>
        </w:rPr>
        <w:t xml:space="preserve">This </w:t>
      </w:r>
      <w:r w:rsidR="006349F2">
        <w:rPr>
          <w:rFonts w:ascii="Verdana" w:hAnsi="Verdana"/>
          <w:sz w:val="20"/>
        </w:rPr>
        <w:t>wash</w:t>
      </w:r>
      <w:r w:rsidR="002F0D97">
        <w:rPr>
          <w:rFonts w:ascii="Verdana" w:hAnsi="Verdana"/>
          <w:sz w:val="20"/>
        </w:rPr>
        <w:t xml:space="preserve">-up data will be used to make </w:t>
      </w:r>
      <w:r w:rsidR="006349F2">
        <w:rPr>
          <w:rFonts w:ascii="Verdana" w:hAnsi="Verdana"/>
          <w:sz w:val="20"/>
        </w:rPr>
        <w:t xml:space="preserve">ensure the 2017/18 payments were correct and to estimated payments </w:t>
      </w:r>
      <w:r w:rsidR="002F0D97">
        <w:rPr>
          <w:rFonts w:ascii="Verdana" w:hAnsi="Verdana"/>
          <w:sz w:val="20"/>
        </w:rPr>
        <w:t xml:space="preserve">for </w:t>
      </w:r>
      <w:r w:rsidR="006349F2">
        <w:rPr>
          <w:rFonts w:ascii="Verdana" w:hAnsi="Verdana"/>
          <w:sz w:val="20"/>
        </w:rPr>
        <w:t>the 2018/19 financial year</w:t>
      </w:r>
      <w:r w:rsidR="002F0D97">
        <w:rPr>
          <w:rFonts w:ascii="Verdana" w:hAnsi="Verdana"/>
          <w:sz w:val="20"/>
        </w:rPr>
        <w:t xml:space="preserve">.  </w:t>
      </w:r>
    </w:p>
    <w:p w:rsidR="002F0D97" w:rsidRDefault="006349F2" w:rsidP="00140274">
      <w:pPr>
        <w:spacing w:before="120"/>
        <w:rPr>
          <w:rFonts w:ascii="Verdana" w:hAnsi="Verdana"/>
          <w:sz w:val="20"/>
        </w:rPr>
      </w:pPr>
      <w:r>
        <w:rPr>
          <w:rFonts w:ascii="Verdana" w:hAnsi="Verdana"/>
          <w:sz w:val="20"/>
        </w:rPr>
        <w:t>There will be another wash-up at the end of 2018/19.</w:t>
      </w:r>
    </w:p>
    <w:p w:rsidR="002F0D97" w:rsidRPr="00AF2CCC" w:rsidRDefault="00AF2CCC" w:rsidP="00AF2CCC">
      <w:pPr>
        <w:spacing w:before="360"/>
        <w:rPr>
          <w:rFonts w:ascii="Verdana" w:hAnsi="Verdana"/>
          <w:i/>
          <w:sz w:val="24"/>
          <w:szCs w:val="24"/>
        </w:rPr>
      </w:pPr>
      <w:r w:rsidRPr="00AF2CCC">
        <w:rPr>
          <w:rFonts w:ascii="Verdana" w:hAnsi="Verdana"/>
          <w:i/>
          <w:sz w:val="24"/>
          <w:szCs w:val="24"/>
        </w:rPr>
        <w:t>What happens if the wash-up amount is more than the estimated payment we received?</w:t>
      </w:r>
    </w:p>
    <w:p w:rsidR="002F0D97" w:rsidRDefault="00AF2CCC" w:rsidP="00140274">
      <w:pPr>
        <w:spacing w:before="120"/>
        <w:rPr>
          <w:rFonts w:ascii="Verdana" w:hAnsi="Verdana"/>
          <w:sz w:val="20"/>
        </w:rPr>
      </w:pPr>
      <w:r>
        <w:rPr>
          <w:rFonts w:ascii="Verdana" w:hAnsi="Verdana"/>
          <w:sz w:val="20"/>
        </w:rPr>
        <w:t>If the payment calculated through the wash</w:t>
      </w:r>
      <w:r w:rsidR="0003022E">
        <w:rPr>
          <w:rFonts w:ascii="Verdana" w:hAnsi="Verdana"/>
          <w:sz w:val="20"/>
        </w:rPr>
        <w:t>-</w:t>
      </w:r>
      <w:r>
        <w:rPr>
          <w:rFonts w:ascii="Verdana" w:hAnsi="Verdana"/>
          <w:sz w:val="20"/>
        </w:rPr>
        <w:t>up process is higher than the estimat</w:t>
      </w:r>
      <w:r w:rsidR="0003022E">
        <w:rPr>
          <w:rFonts w:ascii="Verdana" w:hAnsi="Verdana"/>
          <w:sz w:val="20"/>
        </w:rPr>
        <w:t>ed</w:t>
      </w:r>
      <w:r>
        <w:rPr>
          <w:rFonts w:ascii="Verdana" w:hAnsi="Verdana"/>
          <w:sz w:val="20"/>
        </w:rPr>
        <w:t xml:space="preserve"> payment</w:t>
      </w:r>
      <w:r w:rsidR="0003022E">
        <w:rPr>
          <w:rFonts w:ascii="Verdana" w:hAnsi="Verdana"/>
          <w:sz w:val="20"/>
        </w:rPr>
        <w:t>,</w:t>
      </w:r>
      <w:r>
        <w:rPr>
          <w:rFonts w:ascii="Verdana" w:hAnsi="Verdana"/>
          <w:sz w:val="20"/>
        </w:rPr>
        <w:t xml:space="preserve"> then MSD will make an additional payment to make up the difference</w:t>
      </w:r>
      <w:r w:rsidR="006349F2">
        <w:rPr>
          <w:rFonts w:ascii="Verdana" w:hAnsi="Verdana"/>
          <w:sz w:val="20"/>
        </w:rPr>
        <w:t>.</w:t>
      </w:r>
    </w:p>
    <w:p w:rsidR="00AF2CCC" w:rsidRPr="00AF2CCC" w:rsidRDefault="00AF2CCC" w:rsidP="00AF2CCC">
      <w:pPr>
        <w:spacing w:before="360"/>
        <w:rPr>
          <w:rFonts w:ascii="Verdana" w:hAnsi="Verdana"/>
          <w:i/>
          <w:sz w:val="24"/>
          <w:szCs w:val="24"/>
        </w:rPr>
      </w:pPr>
      <w:r w:rsidRPr="00AF2CCC">
        <w:rPr>
          <w:rFonts w:ascii="Verdana" w:hAnsi="Verdana"/>
          <w:i/>
          <w:sz w:val="24"/>
          <w:szCs w:val="24"/>
        </w:rPr>
        <w:t xml:space="preserve">What happens if the wash-up amount is </w:t>
      </w:r>
      <w:r>
        <w:rPr>
          <w:rFonts w:ascii="Verdana" w:hAnsi="Verdana"/>
          <w:i/>
          <w:sz w:val="24"/>
          <w:szCs w:val="24"/>
        </w:rPr>
        <w:t>less</w:t>
      </w:r>
      <w:r w:rsidRPr="00AF2CCC">
        <w:rPr>
          <w:rFonts w:ascii="Verdana" w:hAnsi="Verdana"/>
          <w:i/>
          <w:sz w:val="24"/>
          <w:szCs w:val="24"/>
        </w:rPr>
        <w:t xml:space="preserve"> than the estimated payment we received?</w:t>
      </w:r>
      <w:r>
        <w:rPr>
          <w:rFonts w:ascii="Verdana" w:hAnsi="Verdana"/>
          <w:i/>
          <w:sz w:val="24"/>
          <w:szCs w:val="24"/>
        </w:rPr>
        <w:t xml:space="preserve">  Will we have to pay money back to MSD?</w:t>
      </w:r>
    </w:p>
    <w:p w:rsidR="00AF2CCC" w:rsidRDefault="00AF2CCC" w:rsidP="00140274">
      <w:pPr>
        <w:spacing w:before="120"/>
        <w:rPr>
          <w:rFonts w:ascii="Verdana" w:hAnsi="Verdana"/>
          <w:sz w:val="20"/>
        </w:rPr>
      </w:pPr>
      <w:r>
        <w:rPr>
          <w:rFonts w:ascii="Verdana" w:hAnsi="Verdana"/>
          <w:sz w:val="20"/>
        </w:rPr>
        <w:t>If the payment calculated through the wash</w:t>
      </w:r>
      <w:r w:rsidR="00EA2FD3">
        <w:rPr>
          <w:rFonts w:ascii="Verdana" w:hAnsi="Verdana"/>
          <w:sz w:val="20"/>
        </w:rPr>
        <w:t>-</w:t>
      </w:r>
      <w:r>
        <w:rPr>
          <w:rFonts w:ascii="Verdana" w:hAnsi="Verdana"/>
          <w:sz w:val="20"/>
        </w:rPr>
        <w:t>up process is lower than the estimation</w:t>
      </w:r>
      <w:r w:rsidR="00EA2FD3">
        <w:rPr>
          <w:rFonts w:ascii="Verdana" w:hAnsi="Verdana"/>
          <w:sz w:val="20"/>
        </w:rPr>
        <w:t xml:space="preserve"> payment amount</w:t>
      </w:r>
      <w:r>
        <w:rPr>
          <w:rFonts w:ascii="Verdana" w:hAnsi="Verdana"/>
          <w:sz w:val="20"/>
        </w:rPr>
        <w:t xml:space="preserve">, then MSD will deduct the difference from the </w:t>
      </w:r>
      <w:r w:rsidR="00EA2FD3">
        <w:rPr>
          <w:rFonts w:ascii="Verdana" w:hAnsi="Verdana"/>
          <w:sz w:val="20"/>
        </w:rPr>
        <w:t>next payment</w:t>
      </w:r>
      <w:r>
        <w:rPr>
          <w:rFonts w:ascii="Verdana" w:hAnsi="Verdana"/>
          <w:sz w:val="20"/>
        </w:rPr>
        <w:t>.</w:t>
      </w:r>
    </w:p>
    <w:p w:rsidR="00BC4F42" w:rsidRPr="00BC4F42" w:rsidRDefault="00BC4F42" w:rsidP="00BC4F42">
      <w:pPr>
        <w:spacing w:before="360"/>
        <w:rPr>
          <w:rFonts w:ascii="Verdana" w:hAnsi="Verdana"/>
          <w:i/>
          <w:sz w:val="24"/>
          <w:szCs w:val="24"/>
        </w:rPr>
      </w:pPr>
      <w:r w:rsidRPr="00BC4F42">
        <w:rPr>
          <w:rFonts w:ascii="Verdana" w:hAnsi="Verdana"/>
          <w:i/>
          <w:sz w:val="24"/>
          <w:szCs w:val="24"/>
        </w:rPr>
        <w:t>What happens if an employee changed their hours of work during the quarter?</w:t>
      </w:r>
    </w:p>
    <w:p w:rsidR="00BC4F42" w:rsidRDefault="00BC4F42" w:rsidP="00140274">
      <w:pPr>
        <w:spacing w:before="120"/>
        <w:rPr>
          <w:rFonts w:ascii="Verdana" w:hAnsi="Verdana"/>
          <w:sz w:val="20"/>
        </w:rPr>
      </w:pPr>
      <w:r>
        <w:rPr>
          <w:rFonts w:ascii="Verdana" w:hAnsi="Verdana"/>
          <w:sz w:val="20"/>
        </w:rPr>
        <w:t>If an employee increased or decreased their hours of work during the</w:t>
      </w:r>
      <w:r w:rsidR="006349F2">
        <w:rPr>
          <w:rFonts w:ascii="Verdana" w:hAnsi="Verdana"/>
          <w:sz w:val="20"/>
        </w:rPr>
        <w:t xml:space="preserve"> financial</w:t>
      </w:r>
      <w:r>
        <w:rPr>
          <w:rFonts w:ascii="Verdana" w:hAnsi="Verdana"/>
          <w:sz w:val="20"/>
        </w:rPr>
        <w:t xml:space="preserve"> </w:t>
      </w:r>
      <w:r w:rsidR="006349F2">
        <w:rPr>
          <w:rFonts w:ascii="Verdana" w:hAnsi="Verdana"/>
          <w:sz w:val="20"/>
        </w:rPr>
        <w:t>year</w:t>
      </w:r>
      <w:r>
        <w:rPr>
          <w:rFonts w:ascii="Verdana" w:hAnsi="Verdana"/>
          <w:sz w:val="20"/>
        </w:rPr>
        <w:t>, then providers will be able to record this in the data collection tool for the wash</w:t>
      </w:r>
      <w:r w:rsidR="0003022E">
        <w:rPr>
          <w:rFonts w:ascii="Verdana" w:hAnsi="Verdana"/>
          <w:sz w:val="20"/>
        </w:rPr>
        <w:t>-</w:t>
      </w:r>
      <w:r>
        <w:rPr>
          <w:rFonts w:ascii="Verdana" w:hAnsi="Verdana"/>
          <w:sz w:val="20"/>
        </w:rPr>
        <w:t>up process and the calculated payment will reflect this.</w:t>
      </w:r>
    </w:p>
    <w:p w:rsidR="00CD14D2" w:rsidRDefault="00CD14D2" w:rsidP="00140274">
      <w:pPr>
        <w:spacing w:before="120"/>
        <w:rPr>
          <w:rFonts w:ascii="Verdana" w:hAnsi="Verdana"/>
          <w:sz w:val="20"/>
        </w:rPr>
      </w:pPr>
    </w:p>
    <w:p w:rsidR="0003022E" w:rsidRPr="0003022E" w:rsidRDefault="0003022E" w:rsidP="0003022E">
      <w:pPr>
        <w:pStyle w:val="Heading2"/>
        <w:rPr>
          <w:lang w:eastAsia="en-NZ"/>
        </w:rPr>
      </w:pPr>
      <w:bookmarkStart w:id="12" w:name="_Toc496170667"/>
      <w:r w:rsidRPr="0003022E">
        <w:rPr>
          <w:lang w:eastAsia="en-NZ"/>
        </w:rPr>
        <w:t>Other questions</w:t>
      </w:r>
      <w:bookmarkEnd w:id="12"/>
    </w:p>
    <w:p w:rsidR="00853167" w:rsidRPr="0003022E" w:rsidRDefault="00BC4F42" w:rsidP="0003022E">
      <w:pPr>
        <w:spacing w:before="120"/>
        <w:rPr>
          <w:rFonts w:ascii="Verdana" w:hAnsi="Verdana"/>
          <w:sz w:val="20"/>
        </w:rPr>
      </w:pPr>
      <w:bookmarkStart w:id="13" w:name="_Who_is_eligible"/>
      <w:bookmarkEnd w:id="13"/>
      <w:r w:rsidRPr="0003022E">
        <w:rPr>
          <w:rFonts w:ascii="Verdana" w:hAnsi="Verdana"/>
          <w:sz w:val="20"/>
        </w:rPr>
        <w:t>If you have a question that isn’t answered here, c</w:t>
      </w:r>
      <w:r w:rsidR="00853167" w:rsidRPr="0003022E">
        <w:rPr>
          <w:rFonts w:ascii="Verdana" w:hAnsi="Verdana"/>
          <w:sz w:val="20"/>
        </w:rPr>
        <w:t>ontact the pay equity implementation team</w:t>
      </w:r>
    </w:p>
    <w:p w:rsidR="00853167" w:rsidRPr="001A353D" w:rsidRDefault="00853167" w:rsidP="00853167">
      <w:pPr>
        <w:spacing w:before="120"/>
        <w:rPr>
          <w:rFonts w:ascii="Verdana" w:hAnsi="Verdana"/>
          <w:sz w:val="20"/>
        </w:rPr>
      </w:pPr>
      <w:r w:rsidRPr="001A353D">
        <w:rPr>
          <w:rFonts w:ascii="Verdana" w:hAnsi="Verdana"/>
          <w:sz w:val="20"/>
        </w:rPr>
        <w:t xml:space="preserve">There is a dedicated pay equity implementation email address, </w:t>
      </w:r>
      <w:hyperlink r:id="rId16" w:history="1">
        <w:r w:rsidRPr="00EF0AA8">
          <w:rPr>
            <w:rFonts w:ascii="Verdana" w:hAnsi="Verdana"/>
            <w:color w:val="0070C0"/>
            <w:sz w:val="20"/>
          </w:rPr>
          <w:t>payequity_implementation@msd.govt.nz</w:t>
        </w:r>
      </w:hyperlink>
      <w:r w:rsidRPr="001A353D">
        <w:rPr>
          <w:rFonts w:ascii="Verdana" w:hAnsi="Verdana"/>
          <w:sz w:val="20"/>
        </w:rPr>
        <w:t>, which you can send questions to at any time. Someone from our team will respond to you as soon as possible.</w:t>
      </w:r>
    </w:p>
    <w:sectPr w:rsidR="00853167" w:rsidRPr="001A353D" w:rsidSect="002B46A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F9" w:rsidRDefault="003B2DF9">
      <w:pPr>
        <w:spacing w:line="240" w:lineRule="auto"/>
      </w:pPr>
      <w:r>
        <w:separator/>
      </w:r>
    </w:p>
  </w:endnote>
  <w:endnote w:type="continuationSeparator" w:id="0">
    <w:p w:rsidR="003B2DF9" w:rsidRDefault="003B2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F9" w:rsidRDefault="003B2DF9">
      <w:pPr>
        <w:spacing w:line="240" w:lineRule="auto"/>
      </w:pPr>
      <w:r>
        <w:separator/>
      </w:r>
    </w:p>
  </w:footnote>
  <w:footnote w:type="continuationSeparator" w:id="0">
    <w:p w:rsidR="003B2DF9" w:rsidRDefault="003B2D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CC" w:rsidRDefault="00AF2CCC" w:rsidP="003215C0">
    <w:pPr>
      <w:pStyle w:val="Header"/>
      <w:jc w:val="right"/>
    </w:pPr>
    <w:r>
      <w:object w:dxaOrig="5820"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5pt;height:43.2pt" o:ole="">
          <v:imagedata r:id="rId1" o:title=""/>
        </v:shape>
        <o:OLEObject Type="Embed" ProgID="PBrush" ShapeID="_x0000_i1025" DrawAspect="Content" ObjectID="_159695497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E8F4393"/>
    <w:multiLevelType w:val="hybridMultilevel"/>
    <w:tmpl w:val="2924B3A0"/>
    <w:lvl w:ilvl="0" w:tplc="6A98DA4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nsid w:val="21697327"/>
    <w:multiLevelType w:val="hybridMultilevel"/>
    <w:tmpl w:val="7700C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8B2ACD"/>
    <w:multiLevelType w:val="hybridMultilevel"/>
    <w:tmpl w:val="58E257B6"/>
    <w:lvl w:ilvl="0" w:tplc="31D0435E">
      <w:start w:val="1"/>
      <w:numFmt w:val="decimal"/>
      <w:pStyle w:val="Numbering"/>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0477809"/>
    <w:multiLevelType w:val="hybridMultilevel"/>
    <w:tmpl w:val="44F4C01E"/>
    <w:lvl w:ilvl="0" w:tplc="42F28E3E">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810320B"/>
    <w:multiLevelType w:val="hybridMultilevel"/>
    <w:tmpl w:val="F9FCE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82D74F0"/>
    <w:multiLevelType w:val="hybridMultilevel"/>
    <w:tmpl w:val="E1C611A0"/>
    <w:lvl w:ilvl="0" w:tplc="1409001B">
      <w:start w:val="1"/>
      <w:numFmt w:val="lowerRoman"/>
      <w:lvlText w:val="%1."/>
      <w:lvlJc w:val="right"/>
      <w:pPr>
        <w:ind w:left="720" w:hanging="360"/>
      </w:pPr>
    </w:lvl>
    <w:lvl w:ilvl="1" w:tplc="FF8E96A0">
      <w:start w:val="1"/>
      <w:numFmt w:val="upperLetter"/>
      <w:lvlText w:val="(%2)"/>
      <w:lvlJc w:val="left"/>
      <w:pPr>
        <w:ind w:left="1440" w:hanging="360"/>
      </w:pPr>
      <w:rPr>
        <w:rFonts w:hint="default"/>
      </w:rPr>
    </w:lvl>
    <w:lvl w:ilvl="2" w:tplc="D8409892">
      <w:start w:val="1"/>
      <w:numFmt w:val="decimal"/>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95C5C1D"/>
    <w:multiLevelType w:val="hybridMultilevel"/>
    <w:tmpl w:val="2028EC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9">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5C667B3C"/>
    <w:multiLevelType w:val="hybridMultilevel"/>
    <w:tmpl w:val="20BE9CA6"/>
    <w:lvl w:ilvl="0" w:tplc="14090015">
      <w:start w:val="1"/>
      <w:numFmt w:val="upperLetter"/>
      <w:lvlText w:val="%1."/>
      <w:lvlJc w:val="left"/>
      <w:pPr>
        <w:ind w:left="1080" w:hanging="360"/>
      </w:pPr>
    </w:lvl>
    <w:lvl w:ilvl="1" w:tplc="14090015">
      <w:start w:val="1"/>
      <w:numFmt w:val="upp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nsid w:val="60197B28"/>
    <w:multiLevelType w:val="hybridMultilevel"/>
    <w:tmpl w:val="09101A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5103358"/>
    <w:multiLevelType w:val="hybridMultilevel"/>
    <w:tmpl w:val="507C35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9"/>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1"/>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33"/>
  </w:num>
  <w:num w:numId="26">
    <w:abstractNumId w:val="34"/>
  </w:num>
  <w:num w:numId="27">
    <w:abstractNumId w:val="30"/>
  </w:num>
  <w:num w:numId="28">
    <w:abstractNumId w:val="19"/>
  </w:num>
  <w:num w:numId="29">
    <w:abstractNumId w:val="11"/>
  </w:num>
  <w:num w:numId="30">
    <w:abstractNumId w:val="20"/>
  </w:num>
  <w:num w:numId="31">
    <w:abstractNumId w:val="36"/>
  </w:num>
  <w:num w:numId="32">
    <w:abstractNumId w:val="24"/>
  </w:num>
  <w:num w:numId="33">
    <w:abstractNumId w:val="25"/>
  </w:num>
  <w:num w:numId="34">
    <w:abstractNumId w:val="12"/>
  </w:num>
  <w:num w:numId="35">
    <w:abstractNumId w:val="27"/>
  </w:num>
  <w:num w:numId="36">
    <w:abstractNumId w:val="16"/>
  </w:num>
  <w:num w:numId="37">
    <w:abstractNumId w:val="35"/>
  </w:num>
  <w:num w:numId="38">
    <w:abstractNumId w:val="32"/>
  </w:num>
  <w:num w:numId="39">
    <w:abstractNumId w:val="22"/>
  </w:num>
  <w:num w:numId="40">
    <w:abstractNumId w:val="31"/>
  </w:num>
  <w:num w:numId="41">
    <w:abstractNumId w:val="2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67"/>
    <w:rsid w:val="00000B4C"/>
    <w:rsid w:val="00005BBE"/>
    <w:rsid w:val="000106D0"/>
    <w:rsid w:val="00015EF2"/>
    <w:rsid w:val="0003022E"/>
    <w:rsid w:val="00034336"/>
    <w:rsid w:val="00037CB0"/>
    <w:rsid w:val="00063C9F"/>
    <w:rsid w:val="000817F6"/>
    <w:rsid w:val="000A576B"/>
    <w:rsid w:val="000C282A"/>
    <w:rsid w:val="000D553A"/>
    <w:rsid w:val="000E3BB9"/>
    <w:rsid w:val="00106AED"/>
    <w:rsid w:val="001158DC"/>
    <w:rsid w:val="00123701"/>
    <w:rsid w:val="00140274"/>
    <w:rsid w:val="00164787"/>
    <w:rsid w:val="00184EAE"/>
    <w:rsid w:val="001C34D5"/>
    <w:rsid w:val="001D2C9B"/>
    <w:rsid w:val="001D3744"/>
    <w:rsid w:val="00203D42"/>
    <w:rsid w:val="00211B25"/>
    <w:rsid w:val="00213DA6"/>
    <w:rsid w:val="00216302"/>
    <w:rsid w:val="00236D2D"/>
    <w:rsid w:val="00245A2B"/>
    <w:rsid w:val="00255A2C"/>
    <w:rsid w:val="00285032"/>
    <w:rsid w:val="00294EBF"/>
    <w:rsid w:val="00297B4E"/>
    <w:rsid w:val="002B44FC"/>
    <w:rsid w:val="002B46A4"/>
    <w:rsid w:val="002D1C62"/>
    <w:rsid w:val="002D20B6"/>
    <w:rsid w:val="002D367B"/>
    <w:rsid w:val="002D6D4C"/>
    <w:rsid w:val="002F0D97"/>
    <w:rsid w:val="002F62A0"/>
    <w:rsid w:val="003215C0"/>
    <w:rsid w:val="003361A2"/>
    <w:rsid w:val="00354EC2"/>
    <w:rsid w:val="0038333A"/>
    <w:rsid w:val="003908CD"/>
    <w:rsid w:val="003956D6"/>
    <w:rsid w:val="00397220"/>
    <w:rsid w:val="003A6BA4"/>
    <w:rsid w:val="003B0A38"/>
    <w:rsid w:val="003B2DF9"/>
    <w:rsid w:val="003B5D35"/>
    <w:rsid w:val="003E0F39"/>
    <w:rsid w:val="003E3722"/>
    <w:rsid w:val="003E37AD"/>
    <w:rsid w:val="004227ED"/>
    <w:rsid w:val="00445BCE"/>
    <w:rsid w:val="00454F25"/>
    <w:rsid w:val="004710B8"/>
    <w:rsid w:val="004970D2"/>
    <w:rsid w:val="004C7A57"/>
    <w:rsid w:val="004D3C47"/>
    <w:rsid w:val="004F6BCD"/>
    <w:rsid w:val="00520E18"/>
    <w:rsid w:val="00522485"/>
    <w:rsid w:val="00533E65"/>
    <w:rsid w:val="00537CB7"/>
    <w:rsid w:val="0056681E"/>
    <w:rsid w:val="00572AA9"/>
    <w:rsid w:val="00595906"/>
    <w:rsid w:val="005979C0"/>
    <w:rsid w:val="005B11F9"/>
    <w:rsid w:val="005B4179"/>
    <w:rsid w:val="005C4C7E"/>
    <w:rsid w:val="005E02C6"/>
    <w:rsid w:val="00620FA3"/>
    <w:rsid w:val="00627E0F"/>
    <w:rsid w:val="00631D73"/>
    <w:rsid w:val="0063446C"/>
    <w:rsid w:val="006349F2"/>
    <w:rsid w:val="006441C5"/>
    <w:rsid w:val="0065407E"/>
    <w:rsid w:val="006763F6"/>
    <w:rsid w:val="006B19BD"/>
    <w:rsid w:val="006C330D"/>
    <w:rsid w:val="006D79AB"/>
    <w:rsid w:val="006E36D5"/>
    <w:rsid w:val="0072321B"/>
    <w:rsid w:val="00747F53"/>
    <w:rsid w:val="007503FA"/>
    <w:rsid w:val="00772649"/>
    <w:rsid w:val="00773A3A"/>
    <w:rsid w:val="007A3546"/>
    <w:rsid w:val="007B0BFF"/>
    <w:rsid w:val="007B201A"/>
    <w:rsid w:val="007C028F"/>
    <w:rsid w:val="007C2143"/>
    <w:rsid w:val="007D5685"/>
    <w:rsid w:val="007E5C14"/>
    <w:rsid w:val="007F37A3"/>
    <w:rsid w:val="007F3ACD"/>
    <w:rsid w:val="007F63FF"/>
    <w:rsid w:val="0080133F"/>
    <w:rsid w:val="008027DC"/>
    <w:rsid w:val="0080498F"/>
    <w:rsid w:val="008359AD"/>
    <w:rsid w:val="00841F58"/>
    <w:rsid w:val="00853167"/>
    <w:rsid w:val="00860654"/>
    <w:rsid w:val="008C787D"/>
    <w:rsid w:val="008F745D"/>
    <w:rsid w:val="00902D30"/>
    <w:rsid w:val="00903467"/>
    <w:rsid w:val="00906EAA"/>
    <w:rsid w:val="00912381"/>
    <w:rsid w:val="00927EFB"/>
    <w:rsid w:val="0094559A"/>
    <w:rsid w:val="00970DD2"/>
    <w:rsid w:val="009756CD"/>
    <w:rsid w:val="009D15F1"/>
    <w:rsid w:val="009D2B10"/>
    <w:rsid w:val="009E5407"/>
    <w:rsid w:val="009F1A13"/>
    <w:rsid w:val="009F1F83"/>
    <w:rsid w:val="00A15FD0"/>
    <w:rsid w:val="00A2199C"/>
    <w:rsid w:val="00A305EF"/>
    <w:rsid w:val="00A43896"/>
    <w:rsid w:val="00A521C0"/>
    <w:rsid w:val="00A6244E"/>
    <w:rsid w:val="00A85586"/>
    <w:rsid w:val="00A87AD0"/>
    <w:rsid w:val="00AB39D4"/>
    <w:rsid w:val="00AF2CCC"/>
    <w:rsid w:val="00AF3D09"/>
    <w:rsid w:val="00B002F1"/>
    <w:rsid w:val="00B20622"/>
    <w:rsid w:val="00B41635"/>
    <w:rsid w:val="00B46CFC"/>
    <w:rsid w:val="00B5357A"/>
    <w:rsid w:val="00B56EBB"/>
    <w:rsid w:val="00B603B0"/>
    <w:rsid w:val="00B6524D"/>
    <w:rsid w:val="00B70B92"/>
    <w:rsid w:val="00B86D1C"/>
    <w:rsid w:val="00B978A8"/>
    <w:rsid w:val="00BA26D6"/>
    <w:rsid w:val="00BC4F42"/>
    <w:rsid w:val="00BE2B5D"/>
    <w:rsid w:val="00BE68EC"/>
    <w:rsid w:val="00BF5C44"/>
    <w:rsid w:val="00C10FBC"/>
    <w:rsid w:val="00C503A7"/>
    <w:rsid w:val="00C5215F"/>
    <w:rsid w:val="00C527C0"/>
    <w:rsid w:val="00C66CE5"/>
    <w:rsid w:val="00C76BB7"/>
    <w:rsid w:val="00C839F7"/>
    <w:rsid w:val="00CA4F85"/>
    <w:rsid w:val="00CA6BCB"/>
    <w:rsid w:val="00CB4A28"/>
    <w:rsid w:val="00CC338C"/>
    <w:rsid w:val="00CC5EF8"/>
    <w:rsid w:val="00CD14D2"/>
    <w:rsid w:val="00CE4BAF"/>
    <w:rsid w:val="00CE705D"/>
    <w:rsid w:val="00CF6E0D"/>
    <w:rsid w:val="00D06572"/>
    <w:rsid w:val="00D07ACE"/>
    <w:rsid w:val="00D10BF0"/>
    <w:rsid w:val="00D34EA0"/>
    <w:rsid w:val="00D47113"/>
    <w:rsid w:val="00D77D7E"/>
    <w:rsid w:val="00DA2D4C"/>
    <w:rsid w:val="00DD6907"/>
    <w:rsid w:val="00DD7526"/>
    <w:rsid w:val="00DF1078"/>
    <w:rsid w:val="00E05EB5"/>
    <w:rsid w:val="00E31F5B"/>
    <w:rsid w:val="00E330E7"/>
    <w:rsid w:val="00E45778"/>
    <w:rsid w:val="00E635DB"/>
    <w:rsid w:val="00E671C3"/>
    <w:rsid w:val="00E86234"/>
    <w:rsid w:val="00E90142"/>
    <w:rsid w:val="00E9269E"/>
    <w:rsid w:val="00E97C30"/>
    <w:rsid w:val="00EA022E"/>
    <w:rsid w:val="00EA2FD3"/>
    <w:rsid w:val="00EE5D4F"/>
    <w:rsid w:val="00EF0AA8"/>
    <w:rsid w:val="00F06EE8"/>
    <w:rsid w:val="00F07349"/>
    <w:rsid w:val="00F113EF"/>
    <w:rsid w:val="00F126F3"/>
    <w:rsid w:val="00F22AE5"/>
    <w:rsid w:val="00F330FD"/>
    <w:rsid w:val="00F50E6C"/>
    <w:rsid w:val="00F654E2"/>
    <w:rsid w:val="00F72848"/>
    <w:rsid w:val="00F73730"/>
    <w:rsid w:val="00F750F9"/>
    <w:rsid w:val="00F829C0"/>
    <w:rsid w:val="00F829F6"/>
    <w:rsid w:val="00F954D5"/>
    <w:rsid w:val="00FA2424"/>
    <w:rsid w:val="00FA5010"/>
    <w:rsid w:val="00FB5EFE"/>
    <w:rsid w:val="00FD528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3167"/>
    <w:pPr>
      <w:spacing w:line="264" w:lineRule="auto"/>
    </w:pPr>
    <w:rPr>
      <w:rFonts w:ascii="Georgia" w:eastAsia="Times New Roman" w:hAnsi="Georgia"/>
      <w:sz w:val="22"/>
      <w:lang w:eastAsia="en-GB"/>
    </w:rPr>
  </w:style>
  <w:style w:type="paragraph" w:styleId="Heading1">
    <w:name w:val="heading 1"/>
    <w:basedOn w:val="Normal"/>
    <w:next w:val="Normal"/>
    <w:link w:val="Heading1Char"/>
    <w:qFormat/>
    <w:rsid w:val="00F113EF"/>
    <w:pPr>
      <w:keepNext/>
      <w:keepLines/>
      <w:spacing w:before="360" w:after="240"/>
      <w:outlineLvl w:val="0"/>
    </w:pPr>
    <w:rPr>
      <w:rFonts w:eastAsiaTheme="majorEastAs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Rec para,List Paragraph1,Recommendation,List Paragraph11"/>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eastAsiaTheme="majorEastAs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line="240" w:lineRule="auto"/>
    </w:pPr>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uiPriority w:val="99"/>
    <w:rsid w:val="00B20622"/>
    <w:rPr>
      <w:rFonts w:ascii="Verdana" w:hAnsi="Verdana"/>
      <w:sz w:val="20"/>
    </w:rPr>
  </w:style>
  <w:style w:type="character" w:customStyle="1" w:styleId="ListParagraphChar">
    <w:name w:val="List Paragraph Char"/>
    <w:aliases w:val="Rec para Char,List Paragraph1 Char,Recommendation Char,List Paragraph11 Char"/>
    <w:basedOn w:val="DefaultParagraphFont"/>
    <w:link w:val="ListParagraph"/>
    <w:uiPriority w:val="34"/>
    <w:rsid w:val="00853167"/>
    <w:rPr>
      <w:rFonts w:ascii="Verdana" w:hAnsi="Verdana" w:cs="Arial"/>
      <w:szCs w:val="22"/>
    </w:rPr>
  </w:style>
  <w:style w:type="paragraph" w:styleId="CommentSubject">
    <w:name w:val="annotation subject"/>
    <w:basedOn w:val="CommentText"/>
    <w:next w:val="CommentText"/>
    <w:link w:val="CommentSubjectChar"/>
    <w:uiPriority w:val="99"/>
    <w:semiHidden/>
    <w:rsid w:val="00E45778"/>
    <w:rPr>
      <w:b/>
      <w:bCs/>
      <w:sz w:val="20"/>
    </w:rPr>
  </w:style>
  <w:style w:type="character" w:customStyle="1" w:styleId="CommentSubjectChar">
    <w:name w:val="Comment Subject Char"/>
    <w:basedOn w:val="CommentTextChar"/>
    <w:link w:val="CommentSubject"/>
    <w:uiPriority w:val="99"/>
    <w:semiHidden/>
    <w:rsid w:val="00E45778"/>
    <w:rPr>
      <w:rFonts w:ascii="Georgia" w:eastAsia="Times New Roman" w:hAnsi="Georgia" w:cs="Arial"/>
      <w:b/>
      <w:bCs/>
      <w:lang w:eastAsia="en-GB"/>
    </w:rPr>
  </w:style>
  <w:style w:type="paragraph" w:styleId="Header">
    <w:name w:val="header"/>
    <w:basedOn w:val="Normal"/>
    <w:link w:val="HeaderChar"/>
    <w:uiPriority w:val="99"/>
    <w:semiHidden/>
    <w:rsid w:val="00A521C0"/>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A521C0"/>
    <w:rPr>
      <w:rFonts w:ascii="Georgia" w:eastAsia="Times New Roman" w:hAnsi="Georgia"/>
      <w:sz w:val="22"/>
      <w:lang w:eastAsia="en-GB"/>
    </w:rPr>
  </w:style>
  <w:style w:type="paragraph" w:customStyle="1" w:styleId="Numbering">
    <w:name w:val="Numbering"/>
    <w:basedOn w:val="ListParagraph"/>
    <w:next w:val="Heading4"/>
    <w:link w:val="NumberingChar"/>
    <w:qFormat/>
    <w:rsid w:val="00522485"/>
    <w:pPr>
      <w:numPr>
        <w:numId w:val="39"/>
      </w:numPr>
      <w:spacing w:line="276" w:lineRule="auto"/>
    </w:pPr>
    <w:rPr>
      <w:b/>
      <w:sz w:val="21"/>
      <w:szCs w:val="24"/>
    </w:rPr>
  </w:style>
  <w:style w:type="character" w:customStyle="1" w:styleId="NumberingChar">
    <w:name w:val="Numbering Char"/>
    <w:link w:val="Numbering"/>
    <w:rsid w:val="00522485"/>
    <w:rPr>
      <w:rFonts w:ascii="Georgia" w:eastAsia="Times New Roman" w:hAnsi="Georgia"/>
      <w:b/>
      <w:sz w:val="21"/>
      <w:szCs w:val="24"/>
    </w:rPr>
  </w:style>
  <w:style w:type="character" w:styleId="FootnoteReference">
    <w:name w:val="footnote reference"/>
    <w:basedOn w:val="DefaultParagraphFont"/>
    <w:uiPriority w:val="99"/>
    <w:semiHidden/>
    <w:rsid w:val="00A305EF"/>
    <w:rPr>
      <w:vertAlign w:val="superscript"/>
    </w:rPr>
  </w:style>
  <w:style w:type="character" w:styleId="FollowedHyperlink">
    <w:name w:val="FollowedHyperlink"/>
    <w:basedOn w:val="DefaultParagraphFont"/>
    <w:uiPriority w:val="99"/>
    <w:semiHidden/>
    <w:rsid w:val="005979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3167"/>
    <w:pPr>
      <w:spacing w:line="264" w:lineRule="auto"/>
    </w:pPr>
    <w:rPr>
      <w:rFonts w:ascii="Georgia" w:eastAsia="Times New Roman" w:hAnsi="Georgia"/>
      <w:sz w:val="22"/>
      <w:lang w:eastAsia="en-GB"/>
    </w:rPr>
  </w:style>
  <w:style w:type="paragraph" w:styleId="Heading1">
    <w:name w:val="heading 1"/>
    <w:basedOn w:val="Normal"/>
    <w:next w:val="Normal"/>
    <w:link w:val="Heading1Char"/>
    <w:qFormat/>
    <w:rsid w:val="00F113EF"/>
    <w:pPr>
      <w:keepNext/>
      <w:keepLines/>
      <w:spacing w:before="360" w:after="240"/>
      <w:outlineLvl w:val="0"/>
    </w:pPr>
    <w:rPr>
      <w:rFonts w:eastAsiaTheme="majorEastAs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Rec para,List Paragraph1,Recommendation,List Paragraph11"/>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eastAsiaTheme="majorEastAs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line="240" w:lineRule="auto"/>
    </w:pPr>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uiPriority w:val="99"/>
    <w:rsid w:val="00B20622"/>
    <w:rPr>
      <w:rFonts w:ascii="Verdana" w:hAnsi="Verdana"/>
      <w:sz w:val="20"/>
    </w:rPr>
  </w:style>
  <w:style w:type="character" w:customStyle="1" w:styleId="ListParagraphChar">
    <w:name w:val="List Paragraph Char"/>
    <w:aliases w:val="Rec para Char,List Paragraph1 Char,Recommendation Char,List Paragraph11 Char"/>
    <w:basedOn w:val="DefaultParagraphFont"/>
    <w:link w:val="ListParagraph"/>
    <w:uiPriority w:val="34"/>
    <w:rsid w:val="00853167"/>
    <w:rPr>
      <w:rFonts w:ascii="Verdana" w:hAnsi="Verdana" w:cs="Arial"/>
      <w:szCs w:val="22"/>
    </w:rPr>
  </w:style>
  <w:style w:type="paragraph" w:styleId="CommentSubject">
    <w:name w:val="annotation subject"/>
    <w:basedOn w:val="CommentText"/>
    <w:next w:val="CommentText"/>
    <w:link w:val="CommentSubjectChar"/>
    <w:uiPriority w:val="99"/>
    <w:semiHidden/>
    <w:rsid w:val="00E45778"/>
    <w:rPr>
      <w:b/>
      <w:bCs/>
      <w:sz w:val="20"/>
    </w:rPr>
  </w:style>
  <w:style w:type="character" w:customStyle="1" w:styleId="CommentSubjectChar">
    <w:name w:val="Comment Subject Char"/>
    <w:basedOn w:val="CommentTextChar"/>
    <w:link w:val="CommentSubject"/>
    <w:uiPriority w:val="99"/>
    <w:semiHidden/>
    <w:rsid w:val="00E45778"/>
    <w:rPr>
      <w:rFonts w:ascii="Georgia" w:eastAsia="Times New Roman" w:hAnsi="Georgia" w:cs="Arial"/>
      <w:b/>
      <w:bCs/>
      <w:lang w:eastAsia="en-GB"/>
    </w:rPr>
  </w:style>
  <w:style w:type="paragraph" w:styleId="Header">
    <w:name w:val="header"/>
    <w:basedOn w:val="Normal"/>
    <w:link w:val="HeaderChar"/>
    <w:uiPriority w:val="99"/>
    <w:semiHidden/>
    <w:rsid w:val="00A521C0"/>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A521C0"/>
    <w:rPr>
      <w:rFonts w:ascii="Georgia" w:eastAsia="Times New Roman" w:hAnsi="Georgia"/>
      <w:sz w:val="22"/>
      <w:lang w:eastAsia="en-GB"/>
    </w:rPr>
  </w:style>
  <w:style w:type="paragraph" w:customStyle="1" w:styleId="Numbering">
    <w:name w:val="Numbering"/>
    <w:basedOn w:val="ListParagraph"/>
    <w:next w:val="Heading4"/>
    <w:link w:val="NumberingChar"/>
    <w:qFormat/>
    <w:rsid w:val="00522485"/>
    <w:pPr>
      <w:numPr>
        <w:numId w:val="39"/>
      </w:numPr>
      <w:spacing w:line="276" w:lineRule="auto"/>
    </w:pPr>
    <w:rPr>
      <w:b/>
      <w:sz w:val="21"/>
      <w:szCs w:val="24"/>
    </w:rPr>
  </w:style>
  <w:style w:type="character" w:customStyle="1" w:styleId="NumberingChar">
    <w:name w:val="Numbering Char"/>
    <w:link w:val="Numbering"/>
    <w:rsid w:val="00522485"/>
    <w:rPr>
      <w:rFonts w:ascii="Georgia" w:eastAsia="Times New Roman" w:hAnsi="Georgia"/>
      <w:b/>
      <w:sz w:val="21"/>
      <w:szCs w:val="24"/>
    </w:rPr>
  </w:style>
  <w:style w:type="character" w:styleId="FootnoteReference">
    <w:name w:val="footnote reference"/>
    <w:basedOn w:val="DefaultParagraphFont"/>
    <w:uiPriority w:val="99"/>
    <w:semiHidden/>
    <w:rsid w:val="00A305EF"/>
    <w:rPr>
      <w:vertAlign w:val="superscript"/>
    </w:rPr>
  </w:style>
  <w:style w:type="character" w:styleId="FollowedHyperlink">
    <w:name w:val="FollowedHyperlink"/>
    <w:basedOn w:val="DefaultParagraphFont"/>
    <w:uiPriority w:val="99"/>
    <w:semiHidden/>
    <w:rsid w:val="005979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37599">
      <w:bodyDiv w:val="1"/>
      <w:marLeft w:val="0"/>
      <w:marRight w:val="0"/>
      <w:marTop w:val="0"/>
      <w:marBottom w:val="0"/>
      <w:divBdr>
        <w:top w:val="none" w:sz="0" w:space="0" w:color="auto"/>
        <w:left w:val="none" w:sz="0" w:space="0" w:color="auto"/>
        <w:bottom w:val="none" w:sz="0" w:space="0" w:color="auto"/>
        <w:right w:val="none" w:sz="0" w:space="0" w:color="auto"/>
      </w:divBdr>
    </w:div>
    <w:div w:id="1265460784">
      <w:bodyDiv w:val="1"/>
      <w:marLeft w:val="0"/>
      <w:marRight w:val="0"/>
      <w:marTop w:val="0"/>
      <w:marBottom w:val="0"/>
      <w:divBdr>
        <w:top w:val="none" w:sz="0" w:space="0" w:color="auto"/>
        <w:left w:val="none" w:sz="0" w:space="0" w:color="auto"/>
        <w:bottom w:val="none" w:sz="0" w:space="0" w:color="auto"/>
        <w:right w:val="none" w:sz="0" w:space="0" w:color="auto"/>
      </w:divBdr>
    </w:div>
    <w:div w:id="2018190536">
      <w:bodyDiv w:val="1"/>
      <w:marLeft w:val="0"/>
      <w:marRight w:val="0"/>
      <w:marTop w:val="0"/>
      <w:marBottom w:val="0"/>
      <w:divBdr>
        <w:top w:val="none" w:sz="0" w:space="0" w:color="auto"/>
        <w:left w:val="none" w:sz="0" w:space="0" w:color="auto"/>
        <w:bottom w:val="none" w:sz="0" w:space="0" w:color="auto"/>
        <w:right w:val="none" w:sz="0" w:space="0" w:color="auto"/>
      </w:divBdr>
      <w:divsChild>
        <w:div w:id="18687192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areerforce.org.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reerforce.org.nz/careerforce-pay-equity-qualification-equivalencies/equivalenc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yequity_implementation@msd.govt.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t.nz/act/public/2000/0024/latest/DLM59181.html" TargetMode="External"/><Relationship Id="rId5" Type="http://schemas.openxmlformats.org/officeDocument/2006/relationships/settings" Target="settings.xml"/><Relationship Id="rId15" Type="http://schemas.openxmlformats.org/officeDocument/2006/relationships/hyperlink" Target="https://www.employment.govt.nz/leave-and-holidays/calculating-payments-for-leave-and-holidays/" TargetMode="External"/><Relationship Id="rId10" Type="http://schemas.openxmlformats.org/officeDocument/2006/relationships/hyperlink" Target="https://www.msd.govt.nz/what-we-can-do/providers/pay-equity-settlements/pay-equity-for-mental-health-and-addiction-support-worker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sd.govt.nz/what-we-can-do/providers/pay-equity-settlements/pay-equity-for-vocational-and-disability-care-and-support-workers.html" TargetMode="External"/><Relationship Id="rId14" Type="http://schemas.openxmlformats.org/officeDocument/2006/relationships/hyperlink" Target="https://www.careerforce.org.nz/careerforce-pay-equity-qualification-equivalencies/equivalencie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4AAA-D890-4DBB-B004-B10519FB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McCawe</dc:creator>
  <cp:lastModifiedBy>Barb Narasy</cp:lastModifiedBy>
  <cp:revision>2</cp:revision>
  <cp:lastPrinted>2018-07-20T02:20:00Z</cp:lastPrinted>
  <dcterms:created xsi:type="dcterms:W3CDTF">2018-08-27T21:50:00Z</dcterms:created>
  <dcterms:modified xsi:type="dcterms:W3CDTF">2018-08-27T21:50:00Z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A10009414</vt:lpwstr>
  </property>
  <property fmtid="{D5CDD505-2E9C-101B-9397-08002B2CF9AE}" pid="4" name="Objective-Title">
    <vt:lpwstr>FAQs for wash-up process</vt:lpwstr>
  </property>
  <property fmtid="{D5CDD505-2E9C-101B-9397-08002B2CF9AE}" pid="5" name="Objective-Comment">
    <vt:lpwstr/>
  </property>
  <property fmtid="{D5CDD505-2E9C-101B-9397-08002B2CF9AE}" pid="6" name="Objective-CreationStamp">
    <vt:filetime>2017-10-09T03:57:48Z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2017-10-24T20:45:45Z</vt:filetime>
  </property>
  <property fmtid="{D5CDD505-2E9C-101B-9397-08002B2CF9AE}" pid="11" name="Objective-Owner">
    <vt:lpwstr>Andrew Joel</vt:lpwstr>
  </property>
  <property fmtid="{D5CDD505-2E9C-101B-9397-08002B2CF9AE}" pid="12" name="Objective-Path">
    <vt:lpwstr>Global Folder:MSD INFORMATION REPOSITORY:Service Delivery:Work and Income:Account Management:Contracting for Services:Vocational Services:Service Development:Pay Equity:1st Quarter wash up:Process documentation:</vt:lpwstr>
  </property>
  <property fmtid="{D5CDD505-2E9C-101B-9397-08002B2CF9AE}" pid="13" name="Objective-Parent">
    <vt:lpwstr>Process documentation</vt:lpwstr>
  </property>
  <property fmtid="{D5CDD505-2E9C-101B-9397-08002B2CF9AE}" pid="14" name="Objective-State">
    <vt:lpwstr>Being Edited</vt:lpwstr>
  </property>
  <property fmtid="{D5CDD505-2E9C-101B-9397-08002B2CF9AE}" pid="15" name="Objective-Version">
    <vt:lpwstr>0.9</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SD/WI/02/03/03/08/17-14366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