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6BFE" w14:textId="56AED126" w:rsidR="002F6206" w:rsidRPr="00207A80" w:rsidRDefault="002F6206" w:rsidP="00BF666E">
      <w:pPr>
        <w:pStyle w:val="Heading1"/>
        <w:tabs>
          <w:tab w:val="left" w:pos="284"/>
        </w:tabs>
      </w:pPr>
      <w:r w:rsidRPr="00207A80">
        <w:t xml:space="preserve">The </w:t>
      </w:r>
      <w:r w:rsidR="00C42F3C">
        <w:t>2015 Social Housing Valuation</w:t>
      </w:r>
      <w:proofErr w:type="gramStart"/>
      <w:r w:rsidR="00170CE3">
        <w:t>:</w:t>
      </w:r>
      <w:proofErr w:type="gramEnd"/>
      <w:r w:rsidR="00170CE3">
        <w:br/>
      </w:r>
      <w:r w:rsidR="00C42F3C">
        <w:rPr>
          <w:b w:val="0"/>
        </w:rPr>
        <w:t>Key Findings</w:t>
      </w:r>
    </w:p>
    <w:p w14:paraId="13D4BC09" w14:textId="77777777" w:rsidR="00AD085D" w:rsidRPr="00AD085D" w:rsidRDefault="00AD085D" w:rsidP="00AD085D">
      <w:pPr>
        <w:rPr>
          <w:rFonts w:eastAsia="Helvetica Neue Light"/>
          <w:color w:val="000000"/>
          <w:sz w:val="20"/>
          <w:u w:color="000000"/>
        </w:rPr>
      </w:pPr>
      <w:r w:rsidRPr="00AD085D">
        <w:rPr>
          <w:rFonts w:eastAsia="Helvetica Neue Light"/>
          <w:color w:val="000000"/>
          <w:sz w:val="20"/>
          <w:u w:color="000000"/>
        </w:rPr>
        <w:t>The valuation covers the period 1 July 2014 to 30 June 2015. It therefore does not reflect changes implemented as part of the Social Housing Reform Programme beyond 30 June 2015.</w:t>
      </w:r>
    </w:p>
    <w:p w14:paraId="19825E68" w14:textId="77777777" w:rsidR="00AD085D" w:rsidRDefault="00AD085D" w:rsidP="00AD085D">
      <w:pPr>
        <w:spacing w:after="0" w:line="240" w:lineRule="auto"/>
        <w:rPr>
          <w:b/>
          <w:color w:val="242651"/>
          <w:sz w:val="24"/>
          <w:szCs w:val="28"/>
        </w:rPr>
      </w:pPr>
    </w:p>
    <w:p w14:paraId="04E075E8" w14:textId="77777777" w:rsidR="00C42F3C" w:rsidRPr="00C42F3C" w:rsidRDefault="00C42F3C" w:rsidP="00AC7A03">
      <w:pPr>
        <w:spacing w:before="0" w:after="0" w:line="276" w:lineRule="auto"/>
        <w:rPr>
          <w:b/>
          <w:color w:val="242651"/>
          <w:sz w:val="24"/>
          <w:szCs w:val="28"/>
        </w:rPr>
      </w:pPr>
      <w:r w:rsidRPr="00C42F3C">
        <w:rPr>
          <w:b/>
          <w:color w:val="242651"/>
          <w:sz w:val="24"/>
          <w:szCs w:val="28"/>
        </w:rPr>
        <w:t>Projected lifetime housing cost and duration</w:t>
      </w:r>
    </w:p>
    <w:p w14:paraId="7AB10466"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09AF2916"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The lifetime housing cost of adults either in social housing or on the register in 2014/15 is $16.4 billion. </w:t>
      </w:r>
    </w:p>
    <w:p w14:paraId="29D17189"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1FC7EFC9"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About 85% of this cost relates to future Income-Related Rent Subsidy (IRRS) payments with the rest made up of the Accommodation Supplement (AS), and Temporary Additional Support (TAS) and other related MSD costs. </w:t>
      </w:r>
    </w:p>
    <w:p w14:paraId="62FD4B2A"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5446ADBD"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For those currently in social housing receiving some level of IRRS payment, the average household liability is $230,000. </w:t>
      </w:r>
    </w:p>
    <w:p w14:paraId="2A398584"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3683FC95"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These households are expected to spend a further 17 years in social housing on average. </w:t>
      </w:r>
    </w:p>
    <w:p w14:paraId="7BC3EB12"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007DC091"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There is a large spread between households with high and low predicted costs. The top decile (typically those in housing with high market rent and IRRS) has an average over $480,000, whereas the lowest decile (including older clients on the register) has an average of about $50,000.</w:t>
      </w:r>
    </w:p>
    <w:p w14:paraId="67E5283E" w14:textId="77777777" w:rsidR="00C42F3C" w:rsidRDefault="00C42F3C" w:rsidP="00147544">
      <w:pPr>
        <w:spacing w:after="0" w:line="240" w:lineRule="auto"/>
        <w:rPr>
          <w:rFonts w:eastAsiaTheme="minorEastAsia"/>
          <w:u w:val="single"/>
        </w:rPr>
      </w:pPr>
    </w:p>
    <w:p w14:paraId="06B008F2" w14:textId="2A53CD09" w:rsidR="00C42F3C" w:rsidRPr="00C42F3C" w:rsidRDefault="00C42F3C" w:rsidP="00C42F3C">
      <w:pPr>
        <w:spacing w:before="0" w:after="200" w:line="276" w:lineRule="auto"/>
      </w:pPr>
      <w:r w:rsidRPr="00C42F3C">
        <w:rPr>
          <w:b/>
          <w:color w:val="242651"/>
          <w:sz w:val="24"/>
          <w:szCs w:val="28"/>
        </w:rPr>
        <w:t>Factors that drive lifetime housing cost and duration</w:t>
      </w:r>
    </w:p>
    <w:p w14:paraId="1B8F3AC1"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The top five predictors of lifetime housing cost for people in social housing are market rent, household size, age of the primary </w:t>
      </w:r>
      <w:proofErr w:type="gramStart"/>
      <w:r w:rsidRPr="00AC7A03">
        <w:rPr>
          <w:shd w:val="clear" w:color="auto" w:fill="FFFFFF"/>
          <w:lang w:val="en-GB" w:eastAsia="en-GB"/>
        </w:rPr>
        <w:t>householder,</w:t>
      </w:r>
      <w:proofErr w:type="gramEnd"/>
      <w:r w:rsidRPr="00AC7A03">
        <w:rPr>
          <w:shd w:val="clear" w:color="auto" w:fill="FFFFFF"/>
          <w:lang w:val="en-GB" w:eastAsia="en-GB"/>
        </w:rPr>
        <w:t xml:space="preserve"> IRRS level and welfare benefit history. </w:t>
      </w:r>
    </w:p>
    <w:p w14:paraId="5967B7E2"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60CDBEDA"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The most significant predictor of register applications is benefit receipt. People on Jobseeker or Sole Parent Support are about 70 times more likely to apply for social housing than those not on benefits in the last five years.</w:t>
      </w:r>
    </w:p>
    <w:p w14:paraId="15E310F3" w14:textId="77777777" w:rsidR="00C42F3C" w:rsidRPr="00E145AC" w:rsidRDefault="00C42F3C" w:rsidP="00AD085D">
      <w:pPr>
        <w:spacing w:after="0" w:line="240" w:lineRule="auto"/>
        <w:rPr>
          <w:rFonts w:eastAsia="Helvetica Neue Light"/>
          <w:color w:val="000000"/>
          <w:sz w:val="20"/>
          <w:u w:color="000000"/>
        </w:rPr>
      </w:pPr>
    </w:p>
    <w:p w14:paraId="430E085A" w14:textId="77777777" w:rsidR="00C42F3C" w:rsidRPr="00C42F3C" w:rsidRDefault="00C42F3C" w:rsidP="00C42F3C">
      <w:pPr>
        <w:spacing w:before="0" w:after="200" w:line="276" w:lineRule="auto"/>
        <w:rPr>
          <w:b/>
          <w:color w:val="242651"/>
          <w:sz w:val="24"/>
          <w:szCs w:val="28"/>
        </w:rPr>
      </w:pPr>
      <w:r w:rsidRPr="00C42F3C">
        <w:rPr>
          <w:b/>
          <w:color w:val="242651"/>
          <w:sz w:val="24"/>
          <w:szCs w:val="28"/>
        </w:rPr>
        <w:t>Auckland has a higher share of the liability than population</w:t>
      </w:r>
    </w:p>
    <w:p w14:paraId="24F3E72F"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Auckland, despite comprising only 35% of the population of New Zealand, represents 61% of the total liability. The average household liability is 80% higher due to higher IRRS levels, which in turn also leads to longer durations in social housing (because the likelihood of exiting social housing falls with higher IRRS as it becomes more difficult to achieve independence). </w:t>
      </w:r>
    </w:p>
    <w:p w14:paraId="6854BCFC" w14:textId="77777777" w:rsidR="00C42F3C" w:rsidRDefault="00C42F3C" w:rsidP="00AD085D">
      <w:pPr>
        <w:spacing w:after="0" w:line="240" w:lineRule="auto"/>
      </w:pPr>
    </w:p>
    <w:p w14:paraId="3A9C858C" w14:textId="77777777" w:rsidR="00C42F3C" w:rsidRPr="00C42F3C" w:rsidRDefault="00C42F3C" w:rsidP="00C42F3C">
      <w:pPr>
        <w:spacing w:before="0" w:after="200" w:line="276" w:lineRule="auto"/>
        <w:rPr>
          <w:b/>
          <w:color w:val="242651"/>
          <w:sz w:val="24"/>
          <w:szCs w:val="28"/>
        </w:rPr>
      </w:pPr>
      <w:r w:rsidRPr="00C42F3C">
        <w:rPr>
          <w:b/>
          <w:color w:val="242651"/>
          <w:sz w:val="24"/>
          <w:szCs w:val="28"/>
        </w:rPr>
        <w:t>Impacts of growth in market rents</w:t>
      </w:r>
    </w:p>
    <w:p w14:paraId="3C026AC0"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Growth in IRRS payment size over time is driven by the growth in market rents. While growth in the incomes of people in social housing has typically averaged close to Consumer Price Index (CPI) – inflation, rents have grown significantly faster than CPI. </w:t>
      </w:r>
    </w:p>
    <w:p w14:paraId="7B065029"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43C60C89"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Compared to 15 years ago, social housing tenants are older, have been in social housing longer and receive more IRRS. These factors mean that a household is 30% less likely to exit in any given quarter than 15 years ago.</w:t>
      </w:r>
    </w:p>
    <w:p w14:paraId="58AC67EB" w14:textId="77777777" w:rsidR="00C42F3C" w:rsidRPr="00C42F3C" w:rsidRDefault="00C42F3C"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4E48BAD2" w14:textId="3EDA3479" w:rsidR="00C42F3C" w:rsidRDefault="00C42F3C" w:rsidP="00AD085D">
      <w:pPr>
        <w:spacing w:after="0" w:line="240" w:lineRule="auto"/>
        <w:rPr>
          <w:rFonts w:eastAsiaTheme="minorEastAsia"/>
          <w:u w:val="single"/>
        </w:rPr>
      </w:pPr>
    </w:p>
    <w:p w14:paraId="7626DB47" w14:textId="77777777" w:rsidR="00AC7A03" w:rsidRDefault="00AC7A03" w:rsidP="00C42F3C">
      <w:pPr>
        <w:spacing w:before="0" w:after="200" w:line="276" w:lineRule="auto"/>
        <w:rPr>
          <w:b/>
          <w:color w:val="242651"/>
          <w:sz w:val="24"/>
          <w:szCs w:val="28"/>
        </w:rPr>
      </w:pPr>
    </w:p>
    <w:p w14:paraId="4BB73C49" w14:textId="77777777" w:rsidR="00AC7A03" w:rsidRDefault="00AC7A03" w:rsidP="00C42F3C">
      <w:pPr>
        <w:spacing w:before="0" w:after="200" w:line="276" w:lineRule="auto"/>
        <w:rPr>
          <w:b/>
          <w:color w:val="242651"/>
          <w:sz w:val="24"/>
          <w:szCs w:val="28"/>
        </w:rPr>
      </w:pPr>
    </w:p>
    <w:p w14:paraId="4F90A259" w14:textId="77777777" w:rsidR="00AC7A03" w:rsidRDefault="00AC7A03" w:rsidP="00C42F3C">
      <w:pPr>
        <w:spacing w:before="0" w:after="200" w:line="276" w:lineRule="auto"/>
        <w:rPr>
          <w:b/>
          <w:color w:val="242651"/>
          <w:sz w:val="24"/>
          <w:szCs w:val="28"/>
        </w:rPr>
      </w:pPr>
    </w:p>
    <w:p w14:paraId="0E06B905" w14:textId="77777777" w:rsidR="00C42F3C" w:rsidRPr="00C42F3C" w:rsidRDefault="00C42F3C" w:rsidP="00C42F3C">
      <w:pPr>
        <w:spacing w:before="0" w:after="200" w:line="276" w:lineRule="auto"/>
        <w:rPr>
          <w:b/>
          <w:color w:val="242651"/>
          <w:sz w:val="24"/>
          <w:szCs w:val="28"/>
        </w:rPr>
      </w:pPr>
      <w:r w:rsidRPr="00C42F3C">
        <w:rPr>
          <w:b/>
          <w:color w:val="242651"/>
          <w:sz w:val="24"/>
          <w:szCs w:val="28"/>
        </w:rPr>
        <w:t>Māori and Pacific people are overrepresented</w:t>
      </w:r>
    </w:p>
    <w:p w14:paraId="17FAD293"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Māori and Pacific people are heavily overrepresented in the social housing system. Māori are five times more likely to be in social housing, and Pacific people are seven times, compared to the average rate for those with European or other background. </w:t>
      </w:r>
    </w:p>
    <w:p w14:paraId="3C3E26C9"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59A3DF80" w14:textId="0304525F" w:rsidR="00E6715C"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Households with a Māori primary householder tend to have higher exit rates. However, </w:t>
      </w:r>
      <w:r w:rsidR="00E6715C" w:rsidRPr="00AC7A03">
        <w:rPr>
          <w:shd w:val="clear" w:color="auto" w:fill="FFFFFF"/>
          <w:lang w:val="en-GB" w:eastAsia="en-GB"/>
        </w:rPr>
        <w:t>Māori</w:t>
      </w:r>
      <w:r w:rsidRPr="00AC7A03">
        <w:rPr>
          <w:shd w:val="clear" w:color="auto" w:fill="FFFFFF"/>
          <w:lang w:val="en-GB" w:eastAsia="en-GB"/>
        </w:rPr>
        <w:t xml:space="preserve"> are also more likely to exit with poor social outcomes (which could potentially include termination by tenancy tribunal, safety concerns, abandonment, prison, overcrowding, neighbourhood issues, etc</w:t>
      </w:r>
      <w:r w:rsidR="00E6715C">
        <w:rPr>
          <w:shd w:val="clear" w:color="auto" w:fill="FFFFFF"/>
          <w:lang w:val="en-GB" w:eastAsia="en-GB"/>
        </w:rPr>
        <w:t>.</w:t>
      </w:r>
      <w:r w:rsidRPr="00AC7A03">
        <w:rPr>
          <w:shd w:val="clear" w:color="auto" w:fill="FFFFFF"/>
          <w:lang w:val="en-GB" w:eastAsia="en-GB"/>
        </w:rPr>
        <w:t>).</w:t>
      </w:r>
    </w:p>
    <w:p w14:paraId="75D7F329" w14:textId="77777777" w:rsidR="00E6715C" w:rsidRDefault="00E6715C" w:rsidP="00E6715C">
      <w:pPr>
        <w:pStyle w:val="ListParagraph"/>
        <w:rPr>
          <w:shd w:val="clear" w:color="auto" w:fill="FFFFFF"/>
          <w:lang w:val="en-GB" w:eastAsia="en-GB"/>
        </w:rPr>
      </w:pPr>
    </w:p>
    <w:p w14:paraId="0C6D154A" w14:textId="78986F3E"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If exit rates due to poor social outcomes are excluded from the analysis, Māori exit at a similar rate to other tenants. </w:t>
      </w:r>
    </w:p>
    <w:p w14:paraId="7AF5EF4F" w14:textId="77777777" w:rsidR="00C42F3C" w:rsidRPr="00C42F3C" w:rsidRDefault="00C42F3C" w:rsidP="00AD085D">
      <w:pPr>
        <w:spacing w:after="0" w:line="240" w:lineRule="auto"/>
        <w:rPr>
          <w:b/>
          <w:color w:val="242651"/>
          <w:sz w:val="24"/>
          <w:szCs w:val="28"/>
        </w:rPr>
      </w:pPr>
    </w:p>
    <w:p w14:paraId="47EAA601" w14:textId="77777777" w:rsidR="00C42F3C" w:rsidRPr="00C42F3C" w:rsidRDefault="00C42F3C" w:rsidP="00C42F3C">
      <w:pPr>
        <w:spacing w:before="0" w:after="200" w:line="276" w:lineRule="auto"/>
        <w:rPr>
          <w:b/>
          <w:color w:val="242651"/>
          <w:sz w:val="24"/>
          <w:szCs w:val="28"/>
        </w:rPr>
      </w:pPr>
      <w:r w:rsidRPr="00C42F3C">
        <w:rPr>
          <w:b/>
          <w:color w:val="242651"/>
          <w:sz w:val="24"/>
          <w:szCs w:val="28"/>
        </w:rPr>
        <w:t>Matching of social housing supply to household</w:t>
      </w:r>
      <w:bookmarkStart w:id="0" w:name="_GoBack"/>
      <w:bookmarkEnd w:id="0"/>
      <w:r w:rsidRPr="00C42F3C">
        <w:rPr>
          <w:b/>
          <w:color w:val="242651"/>
          <w:sz w:val="24"/>
          <w:szCs w:val="28"/>
        </w:rPr>
        <w:t xml:space="preserve"> size</w:t>
      </w:r>
    </w:p>
    <w:p w14:paraId="59582846" w14:textId="69EC8E15"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In 2014/15 about 45% of social houses were exactly matched to household size. If matching within</w:t>
      </w:r>
      <w:r w:rsidR="00E6715C">
        <w:rPr>
          <w:shd w:val="clear" w:color="auto" w:fill="FFFFFF"/>
          <w:lang w:val="en-GB" w:eastAsia="en-GB"/>
        </w:rPr>
        <w:t xml:space="preserve"> one</w:t>
      </w:r>
      <w:r w:rsidRPr="00AC7A03">
        <w:rPr>
          <w:shd w:val="clear" w:color="auto" w:fill="FFFFFF"/>
          <w:lang w:val="en-GB" w:eastAsia="en-GB"/>
        </w:rPr>
        <w:t xml:space="preserve"> bedroom of need is used (which is what MSD does) then there is a 90% match. </w:t>
      </w:r>
    </w:p>
    <w:p w14:paraId="3762CA75" w14:textId="77777777" w:rsidR="00AC7A03" w:rsidRDefault="00AC7A03"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p>
    <w:p w14:paraId="260DEF75" w14:textId="77777777" w:rsidR="00AC7A03" w:rsidRPr="00AC7A03" w:rsidRDefault="00AC7A03" w:rsidP="00AC7A03">
      <w:pPr>
        <w:pStyle w:val="ListBullet"/>
        <w:numPr>
          <w:ilvl w:val="0"/>
          <w:numId w:val="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0" w:line="312" w:lineRule="auto"/>
        <w:ind w:left="426"/>
        <w:contextualSpacing w:val="0"/>
        <w:rPr>
          <w:shd w:val="clear" w:color="auto" w:fill="FFFFFF"/>
          <w:lang w:val="en-GB" w:eastAsia="en-GB"/>
        </w:rPr>
      </w:pPr>
      <w:r w:rsidRPr="00AC7A03">
        <w:rPr>
          <w:shd w:val="clear" w:color="auto" w:fill="FFFFFF"/>
          <w:lang w:val="en-GB" w:eastAsia="en-GB"/>
        </w:rPr>
        <w:t xml:space="preserve">There were too few one and four bedroom places, and too many two and three bedroom places. </w:t>
      </w:r>
    </w:p>
    <w:p w14:paraId="6C91DBCC" w14:textId="3195C29F" w:rsidR="00C42F3C" w:rsidRPr="00AD085D" w:rsidRDefault="00C42F3C" w:rsidP="00AC7A03">
      <w:pPr>
        <w:pStyle w:val="ListBullet"/>
        <w:numPr>
          <w:ilvl w:val="0"/>
          <w:numId w:val="0"/>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before="0" w:after="200" w:line="276" w:lineRule="auto"/>
        <w:ind w:left="426"/>
        <w:contextualSpacing w:val="0"/>
        <w:rPr>
          <w:rFonts w:eastAsia="Helvetica Neue Light"/>
          <w:color w:val="000000"/>
          <w:sz w:val="20"/>
          <w:u w:color="000000"/>
        </w:rPr>
      </w:pPr>
    </w:p>
    <w:sectPr w:rsidR="00C42F3C" w:rsidRPr="00AD085D" w:rsidSect="00C42F3C">
      <w:headerReference w:type="first" r:id="rId9"/>
      <w:pgSz w:w="11906" w:h="16838"/>
      <w:pgMar w:top="249" w:right="849" w:bottom="720" w:left="720"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6542" w14:textId="77777777" w:rsidR="00147544" w:rsidRDefault="00147544" w:rsidP="002F6206">
      <w:r>
        <w:separator/>
      </w:r>
    </w:p>
  </w:endnote>
  <w:endnote w:type="continuationSeparator" w:id="0">
    <w:p w14:paraId="301D2C39" w14:textId="77777777" w:rsidR="00147544" w:rsidRDefault="00147544" w:rsidP="002F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Light">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5460" w14:textId="77777777" w:rsidR="00147544" w:rsidRDefault="00147544" w:rsidP="002F6206">
      <w:r>
        <w:separator/>
      </w:r>
    </w:p>
  </w:footnote>
  <w:footnote w:type="continuationSeparator" w:id="0">
    <w:p w14:paraId="476CB266" w14:textId="77777777" w:rsidR="00147544" w:rsidRDefault="00147544" w:rsidP="002F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F5B8" w14:textId="11645C13" w:rsidR="00E14C5B" w:rsidRDefault="00E14C5B">
    <w:pPr>
      <w:pStyle w:val="Header"/>
    </w:pPr>
    <w:r>
      <w:rPr>
        <w:noProof/>
      </w:rPr>
      <w:drawing>
        <wp:anchor distT="0" distB="0" distL="114300" distR="114300" simplePos="0" relativeHeight="251663360" behindDoc="1" locked="0" layoutInCell="1" allowOverlap="1" wp14:anchorId="23831ABA" wp14:editId="30BE538A">
          <wp:simplePos x="0" y="0"/>
          <wp:positionH relativeFrom="column">
            <wp:posOffset>5281930</wp:posOffset>
          </wp:positionH>
          <wp:positionV relativeFrom="paragraph">
            <wp:posOffset>-112688</wp:posOffset>
          </wp:positionV>
          <wp:extent cx="1770380" cy="40830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1">
                    <a:extLst>
                      <a:ext uri="{28A0092B-C50C-407E-A947-70E740481C1C}">
                        <a14:useLocalDpi xmlns:a14="http://schemas.microsoft.com/office/drawing/2010/main" val="0"/>
                      </a:ext>
                    </a:extLst>
                  </a:blip>
                  <a:stretch>
                    <a:fillRect/>
                  </a:stretch>
                </pic:blipFill>
                <pic:spPr>
                  <a:xfrm>
                    <a:off x="0" y="0"/>
                    <a:ext cx="1770380" cy="4083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35158091" wp14:editId="522CFF0C">
              <wp:simplePos x="0" y="0"/>
              <wp:positionH relativeFrom="column">
                <wp:posOffset>-466725</wp:posOffset>
              </wp:positionH>
              <wp:positionV relativeFrom="paragraph">
                <wp:posOffset>-450216</wp:posOffset>
              </wp:positionV>
              <wp:extent cx="10706100" cy="1571625"/>
              <wp:effectExtent l="0" t="0" r="0" b="9525"/>
              <wp:wrapNone/>
              <wp:docPr id="9" name="Rectangle 9"/>
              <wp:cNvGraphicFramePr/>
              <a:graphic xmlns:a="http://schemas.openxmlformats.org/drawingml/2006/main">
                <a:graphicData uri="http://schemas.microsoft.com/office/word/2010/wordprocessingShape">
                  <wps:wsp>
                    <wps:cNvSpPr/>
                    <wps:spPr>
                      <a:xfrm>
                        <a:off x="0" y="0"/>
                        <a:ext cx="10706100" cy="1571625"/>
                      </a:xfrm>
                      <a:prstGeom prst="rect">
                        <a:avLst/>
                      </a:prstGeom>
                      <a:solidFill>
                        <a:srgbClr val="2426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5pt;margin-top:-35.45pt;width:843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cilwIAAIcFAAAOAAAAZHJzL2Uyb0RvYy54bWysVEtv2zAMvg/YfxB0X/1Akq5BnSJo0WFA&#10;0RZth54VWYoNyKImKXGyXz9Kst3Hih2G5aCIIvmR/Ezy/OLQKbIX1rWgK1qc5JQIzaFu9baiP56u&#10;v3ylxHmma6ZAi4oehaMXq8+fznuzFCU0oGphCYJot+xNRRvvzTLLHG9Ex9wJGKFRKcF2zKNot1lt&#10;WY/oncrKPF9kPdjaWODCOXy9Skq6ivhSCu7vpHTCE1VRzM3H08ZzE85sdc6WW8tM0/IhDfYPWXSs&#10;1Rh0grpinpGdbf+A6lpuwYH0Jxy6DKRsuYg1YDVF/q6ax4YZEWtBcpyZaHL/D5bf7u8taeuKnlGi&#10;WYef6AFJY3qrBDkL9PTGLdHq0dzbQXJ4DbUepO3CP1ZBDpHS40SpOHjC8bHIT/NFkSP1HJXF/LRY&#10;lPMAm734G+v8NwEdCZeKWowfuWT7G+eT6WgSwjlQbX3dKhUFu91cKkv2DD9wOSsX82JAf2OmdDDW&#10;ENwSYnjJQm2pmnjzRyWCndIPQiIpmH8ZM4ntKKY4jHOhfZFUDatFCj/P8TdGDw0cPGKlETAgS4w/&#10;YQ8Ao2UCGbFTloN9cBWxmyfn/G+JJefJI0YG7SfnrtVgPwJQWNUQOdmPJCVqAksbqI/YMhbSLDnD&#10;r1v8bjfM+XtmcXjwW+NC8Hd4SAV9RWG4UdKA/fXRe7DHnkYtJT0OY0Xdzx2zghL1XWO3nxWzWZje&#10;KMzmpyUK9rVm81qjd90lYDsUuHoMj9dg79V4lRa6Z9wb6xAVVUxzjF1R7u0oXPq0JHDzcLFeRzOc&#10;WMP8jX40PIAHVkNfPh2emTVD83ps/FsYB5ct3/Vwsg2eGtY7D7KNDf7C68A3TntsnGEzhXXyWo5W&#10;L/tz9RsAAP//AwBQSwMEFAAGAAgAAAAhABJmaQXhAAAADAEAAA8AAABkcnMvZG93bnJldi54bWxM&#10;j8FOwzAQRO9I/IO1SFxQa6cVLglxKkRFJaQeoPTA0YlNEhGvo9hNw9+zOcFtdmc0+zbfTq5jox1C&#10;61FBshTALFbetFgrOH28LB6AhajR6M6jVfBjA2yL66tcZ8Zf8N2Ox1gzKsGQaQVNjH3Geaga63RY&#10;+t4ieV9+cDrSONTcDPpC5a7jKyEkd7pFutDo3j43tvo+np2CtHw7JPs7Oe74uN59hleR7vGk1O3N&#10;9PQILNop/oVhxid0KIip9Gc0gXUKFpv1PUVnIVJgc0ImK1qVpDZSAi9y/v+J4hcAAP//AwBQSwEC&#10;LQAUAAYACAAAACEAtoM4kv4AAADhAQAAEwAAAAAAAAAAAAAAAAAAAAAAW0NvbnRlbnRfVHlwZXNd&#10;LnhtbFBLAQItABQABgAIAAAAIQA4/SH/1gAAAJQBAAALAAAAAAAAAAAAAAAAAC8BAABfcmVscy8u&#10;cmVsc1BLAQItABQABgAIAAAAIQCBTecilwIAAIcFAAAOAAAAAAAAAAAAAAAAAC4CAABkcnMvZTJv&#10;RG9jLnhtbFBLAQItABQABgAIAAAAIQASZmkF4QAAAAwBAAAPAAAAAAAAAAAAAAAAAPEEAABkcnMv&#10;ZG93bnJldi54bWxQSwUGAAAAAAQABADzAAAA/wUAAAAA&#10;" fillcolor="#242651"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192506"/>
    <w:multiLevelType w:val="hybridMultilevel"/>
    <w:tmpl w:val="405EC4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50650345"/>
    <w:multiLevelType w:val="hybridMultilevel"/>
    <w:tmpl w:val="60C4B684"/>
    <w:lvl w:ilvl="0" w:tplc="7E04ED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93"/>
    <w:rsid w:val="00000B4C"/>
    <w:rsid w:val="00005BBE"/>
    <w:rsid w:val="00007565"/>
    <w:rsid w:val="000106D0"/>
    <w:rsid w:val="00034336"/>
    <w:rsid w:val="00037CB0"/>
    <w:rsid w:val="000A576B"/>
    <w:rsid w:val="000C4D11"/>
    <w:rsid w:val="000E3BB9"/>
    <w:rsid w:val="00106AED"/>
    <w:rsid w:val="00147544"/>
    <w:rsid w:val="00170CE3"/>
    <w:rsid w:val="001D3744"/>
    <w:rsid w:val="00213DA6"/>
    <w:rsid w:val="00216302"/>
    <w:rsid w:val="00236D2D"/>
    <w:rsid w:val="00245A2B"/>
    <w:rsid w:val="002D1216"/>
    <w:rsid w:val="002D1C62"/>
    <w:rsid w:val="002D367B"/>
    <w:rsid w:val="002F6206"/>
    <w:rsid w:val="0032146C"/>
    <w:rsid w:val="003458D1"/>
    <w:rsid w:val="00354EC2"/>
    <w:rsid w:val="00397220"/>
    <w:rsid w:val="003B0A38"/>
    <w:rsid w:val="003B1243"/>
    <w:rsid w:val="003E3722"/>
    <w:rsid w:val="004227ED"/>
    <w:rsid w:val="0044167D"/>
    <w:rsid w:val="00445BCE"/>
    <w:rsid w:val="004478F8"/>
    <w:rsid w:val="00454F25"/>
    <w:rsid w:val="004710B8"/>
    <w:rsid w:val="004A15BC"/>
    <w:rsid w:val="00533E65"/>
    <w:rsid w:val="0056681E"/>
    <w:rsid w:val="00572AA9"/>
    <w:rsid w:val="00595906"/>
    <w:rsid w:val="005B11F9"/>
    <w:rsid w:val="005C4FBA"/>
    <w:rsid w:val="005C5793"/>
    <w:rsid w:val="00631D73"/>
    <w:rsid w:val="006B19BD"/>
    <w:rsid w:val="006D0B61"/>
    <w:rsid w:val="007B201A"/>
    <w:rsid w:val="007C2143"/>
    <w:rsid w:val="007F3ACD"/>
    <w:rsid w:val="0080133F"/>
    <w:rsid w:val="0080498F"/>
    <w:rsid w:val="00860654"/>
    <w:rsid w:val="00891CD6"/>
    <w:rsid w:val="0090219F"/>
    <w:rsid w:val="00903467"/>
    <w:rsid w:val="00906EAA"/>
    <w:rsid w:val="0091395E"/>
    <w:rsid w:val="00923507"/>
    <w:rsid w:val="00970DD2"/>
    <w:rsid w:val="00980718"/>
    <w:rsid w:val="009B29BC"/>
    <w:rsid w:val="009D15F1"/>
    <w:rsid w:val="009D2B10"/>
    <w:rsid w:val="00A2199C"/>
    <w:rsid w:val="00A43896"/>
    <w:rsid w:val="00A6244E"/>
    <w:rsid w:val="00AC7A03"/>
    <w:rsid w:val="00AD085D"/>
    <w:rsid w:val="00AF6B98"/>
    <w:rsid w:val="00B15A09"/>
    <w:rsid w:val="00B164D5"/>
    <w:rsid w:val="00B41635"/>
    <w:rsid w:val="00B5357A"/>
    <w:rsid w:val="00BF666E"/>
    <w:rsid w:val="00C42F3C"/>
    <w:rsid w:val="00C503A7"/>
    <w:rsid w:val="00C5215F"/>
    <w:rsid w:val="00CB4A28"/>
    <w:rsid w:val="00CC1B7B"/>
    <w:rsid w:val="00CF6090"/>
    <w:rsid w:val="00D34EA0"/>
    <w:rsid w:val="00DD6907"/>
    <w:rsid w:val="00DD7526"/>
    <w:rsid w:val="00E14C5B"/>
    <w:rsid w:val="00E6715C"/>
    <w:rsid w:val="00E671C3"/>
    <w:rsid w:val="00E90142"/>
    <w:rsid w:val="00E9269E"/>
    <w:rsid w:val="00F06EE8"/>
    <w:rsid w:val="00F07349"/>
    <w:rsid w:val="00F113EF"/>
    <w:rsid w:val="00F126F3"/>
    <w:rsid w:val="00F22AE5"/>
    <w:rsid w:val="00F74E8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C4D11"/>
    <w:pPr>
      <w:spacing w:before="60" w:after="60" w:line="288" w:lineRule="auto"/>
    </w:pPr>
    <w:rPr>
      <w:rFonts w:ascii="Verdana" w:eastAsia="Times New Roman" w:hAnsi="Verdana"/>
      <w:kern w:val="28"/>
      <w:sz w:val="18"/>
      <w:lang w:eastAsia="en-NZ"/>
    </w:rPr>
  </w:style>
  <w:style w:type="paragraph" w:styleId="Heading1">
    <w:name w:val="heading 1"/>
    <w:basedOn w:val="Normal"/>
    <w:next w:val="Normal"/>
    <w:link w:val="Heading1Char"/>
    <w:uiPriority w:val="99"/>
    <w:qFormat/>
    <w:rsid w:val="0091395E"/>
    <w:pPr>
      <w:keepNext/>
      <w:keepLines/>
      <w:spacing w:before="240" w:after="360"/>
      <w:outlineLvl w:val="0"/>
    </w:pPr>
    <w:rPr>
      <w:rFonts w:ascii="Georgia" w:hAnsi="Georgia"/>
      <w:b/>
      <w:bCs/>
      <w:color w:val="FFFFFF" w:themeColor="background1"/>
      <w:sz w:val="48"/>
      <w:szCs w:val="28"/>
    </w:rPr>
  </w:style>
  <w:style w:type="paragraph" w:styleId="Heading2">
    <w:name w:val="heading 2"/>
    <w:basedOn w:val="Normal"/>
    <w:next w:val="Normal"/>
    <w:link w:val="Heading2Char"/>
    <w:uiPriority w:val="99"/>
    <w:qFormat/>
    <w:rsid w:val="00170CE3"/>
    <w:pPr>
      <w:outlineLvl w:val="1"/>
    </w:pPr>
    <w:rPr>
      <w:b/>
      <w:color w:val="242651"/>
      <w:sz w:val="24"/>
      <w:szCs w:val="28"/>
    </w:rPr>
  </w:style>
  <w:style w:type="paragraph" w:styleId="Heading3">
    <w:name w:val="heading 3"/>
    <w:basedOn w:val="Heading2"/>
    <w:next w:val="Normal"/>
    <w:link w:val="Heading3Char"/>
    <w:uiPriority w:val="99"/>
    <w:qFormat/>
    <w:rsid w:val="00170CE3"/>
    <w:pPr>
      <w:outlineLvl w:val="2"/>
    </w:pPr>
    <w:rPr>
      <w:sz w:val="21"/>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95E"/>
    <w:rPr>
      <w:rFonts w:ascii="Georgia" w:eastAsia="Times New Roman" w:hAnsi="Georgia"/>
      <w:b/>
      <w:bCs/>
      <w:color w:val="FFFFFF" w:themeColor="background1"/>
      <w:kern w:val="28"/>
      <w:sz w:val="48"/>
      <w:szCs w:val="28"/>
      <w:lang w:eastAsia="en-NZ"/>
    </w:rPr>
  </w:style>
  <w:style w:type="character" w:customStyle="1" w:styleId="Heading2Char">
    <w:name w:val="Heading 2 Char"/>
    <w:basedOn w:val="DefaultParagraphFont"/>
    <w:link w:val="Heading2"/>
    <w:uiPriority w:val="99"/>
    <w:rsid w:val="00170CE3"/>
    <w:rPr>
      <w:rFonts w:ascii="Verdana" w:eastAsia="Times New Roman" w:hAnsi="Verdana"/>
      <w:b/>
      <w:color w:val="242651"/>
      <w:kern w:val="28"/>
      <w:sz w:val="24"/>
      <w:szCs w:val="28"/>
      <w:lang w:eastAsia="en-NZ"/>
    </w:rPr>
  </w:style>
  <w:style w:type="character" w:customStyle="1" w:styleId="Heading3Char">
    <w:name w:val="Heading 3 Char"/>
    <w:basedOn w:val="DefaultParagraphFont"/>
    <w:link w:val="Heading3"/>
    <w:uiPriority w:val="99"/>
    <w:rsid w:val="00170CE3"/>
    <w:rPr>
      <w:rFonts w:ascii="Verdana" w:eastAsia="Times New Roman" w:hAnsi="Verdana"/>
      <w:b/>
      <w:color w:val="242651"/>
      <w:kern w:val="28"/>
      <w:sz w:val="21"/>
      <w:szCs w:val="24"/>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2D1216"/>
    <w:pPr>
      <w:numPr>
        <w:numId w:val="6"/>
      </w:numPr>
      <w:tabs>
        <w:tab w:val="left" w:pos="284"/>
      </w:tabs>
      <w:suppressAutoHyphens/>
      <w:autoSpaceDE w:val="0"/>
      <w:autoSpaceDN w:val="0"/>
      <w:adjustRightInd w:val="0"/>
      <w:ind w:left="284" w:hanging="284"/>
      <w:textAlignment w:val="center"/>
    </w:pPr>
    <w:rPr>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kern w:val="28"/>
      <w:sz w:val="18"/>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rPr>
  </w:style>
  <w:style w:type="paragraph" w:styleId="Footer">
    <w:name w:val="footer"/>
    <w:basedOn w:val="Normal"/>
    <w:link w:val="FooterChar"/>
    <w:uiPriority w:val="99"/>
    <w:semiHidden/>
    <w:rsid w:val="003E3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5C5793"/>
    <w:rPr>
      <w:rFonts w:ascii="Verdana" w:hAnsi="Verdana" w:cs="Arial"/>
      <w:szCs w:val="22"/>
    </w:rPr>
  </w:style>
  <w:style w:type="paragraph" w:styleId="Header">
    <w:name w:val="header"/>
    <w:basedOn w:val="Normal"/>
    <w:link w:val="HeaderChar"/>
    <w:uiPriority w:val="99"/>
    <w:semiHidden/>
    <w:rsid w:val="00AF6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B98"/>
    <w:rPr>
      <w:rFonts w:ascii="Verdana" w:hAnsi="Verdana" w:cs="Arial"/>
      <w:kern w:val="28"/>
    </w:rPr>
  </w:style>
  <w:style w:type="character" w:styleId="FootnoteReference">
    <w:name w:val="footnote reference"/>
    <w:basedOn w:val="DefaultParagraphFont"/>
    <w:uiPriority w:val="99"/>
    <w:semiHidden/>
    <w:rsid w:val="00007565"/>
    <w:rPr>
      <w:vertAlign w:val="superscript"/>
    </w:rPr>
  </w:style>
  <w:style w:type="character" w:styleId="Hyperlink">
    <w:name w:val="Hyperlink"/>
    <w:basedOn w:val="DefaultParagraphFont"/>
    <w:uiPriority w:val="99"/>
    <w:semiHidden/>
    <w:rsid w:val="00321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C4D11"/>
    <w:pPr>
      <w:spacing w:before="60" w:after="60" w:line="288" w:lineRule="auto"/>
    </w:pPr>
    <w:rPr>
      <w:rFonts w:ascii="Verdana" w:eastAsia="Times New Roman" w:hAnsi="Verdana"/>
      <w:kern w:val="28"/>
      <w:sz w:val="18"/>
      <w:lang w:eastAsia="en-NZ"/>
    </w:rPr>
  </w:style>
  <w:style w:type="paragraph" w:styleId="Heading1">
    <w:name w:val="heading 1"/>
    <w:basedOn w:val="Normal"/>
    <w:next w:val="Normal"/>
    <w:link w:val="Heading1Char"/>
    <w:uiPriority w:val="99"/>
    <w:qFormat/>
    <w:rsid w:val="0091395E"/>
    <w:pPr>
      <w:keepNext/>
      <w:keepLines/>
      <w:spacing w:before="240" w:after="360"/>
      <w:outlineLvl w:val="0"/>
    </w:pPr>
    <w:rPr>
      <w:rFonts w:ascii="Georgia" w:hAnsi="Georgia"/>
      <w:b/>
      <w:bCs/>
      <w:color w:val="FFFFFF" w:themeColor="background1"/>
      <w:sz w:val="48"/>
      <w:szCs w:val="28"/>
    </w:rPr>
  </w:style>
  <w:style w:type="paragraph" w:styleId="Heading2">
    <w:name w:val="heading 2"/>
    <w:basedOn w:val="Normal"/>
    <w:next w:val="Normal"/>
    <w:link w:val="Heading2Char"/>
    <w:uiPriority w:val="99"/>
    <w:qFormat/>
    <w:rsid w:val="00170CE3"/>
    <w:pPr>
      <w:outlineLvl w:val="1"/>
    </w:pPr>
    <w:rPr>
      <w:b/>
      <w:color w:val="242651"/>
      <w:sz w:val="24"/>
      <w:szCs w:val="28"/>
    </w:rPr>
  </w:style>
  <w:style w:type="paragraph" w:styleId="Heading3">
    <w:name w:val="heading 3"/>
    <w:basedOn w:val="Heading2"/>
    <w:next w:val="Normal"/>
    <w:link w:val="Heading3Char"/>
    <w:uiPriority w:val="99"/>
    <w:qFormat/>
    <w:rsid w:val="00170CE3"/>
    <w:pPr>
      <w:outlineLvl w:val="2"/>
    </w:pPr>
    <w:rPr>
      <w:sz w:val="21"/>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95E"/>
    <w:rPr>
      <w:rFonts w:ascii="Georgia" w:eastAsia="Times New Roman" w:hAnsi="Georgia"/>
      <w:b/>
      <w:bCs/>
      <w:color w:val="FFFFFF" w:themeColor="background1"/>
      <w:kern w:val="28"/>
      <w:sz w:val="48"/>
      <w:szCs w:val="28"/>
      <w:lang w:eastAsia="en-NZ"/>
    </w:rPr>
  </w:style>
  <w:style w:type="character" w:customStyle="1" w:styleId="Heading2Char">
    <w:name w:val="Heading 2 Char"/>
    <w:basedOn w:val="DefaultParagraphFont"/>
    <w:link w:val="Heading2"/>
    <w:uiPriority w:val="99"/>
    <w:rsid w:val="00170CE3"/>
    <w:rPr>
      <w:rFonts w:ascii="Verdana" w:eastAsia="Times New Roman" w:hAnsi="Verdana"/>
      <w:b/>
      <w:color w:val="242651"/>
      <w:kern w:val="28"/>
      <w:sz w:val="24"/>
      <w:szCs w:val="28"/>
      <w:lang w:eastAsia="en-NZ"/>
    </w:rPr>
  </w:style>
  <w:style w:type="character" w:customStyle="1" w:styleId="Heading3Char">
    <w:name w:val="Heading 3 Char"/>
    <w:basedOn w:val="DefaultParagraphFont"/>
    <w:link w:val="Heading3"/>
    <w:uiPriority w:val="99"/>
    <w:rsid w:val="00170CE3"/>
    <w:rPr>
      <w:rFonts w:ascii="Verdana" w:eastAsia="Times New Roman" w:hAnsi="Verdana"/>
      <w:b/>
      <w:color w:val="242651"/>
      <w:kern w:val="28"/>
      <w:sz w:val="21"/>
      <w:szCs w:val="24"/>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2D1216"/>
    <w:pPr>
      <w:numPr>
        <w:numId w:val="6"/>
      </w:numPr>
      <w:tabs>
        <w:tab w:val="left" w:pos="284"/>
      </w:tabs>
      <w:suppressAutoHyphens/>
      <w:autoSpaceDE w:val="0"/>
      <w:autoSpaceDN w:val="0"/>
      <w:adjustRightInd w:val="0"/>
      <w:ind w:left="284" w:hanging="284"/>
      <w:textAlignment w:val="center"/>
    </w:pPr>
    <w:rPr>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kern w:val="28"/>
      <w:sz w:val="18"/>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rPr>
  </w:style>
  <w:style w:type="paragraph" w:styleId="Footer">
    <w:name w:val="footer"/>
    <w:basedOn w:val="Normal"/>
    <w:link w:val="FooterChar"/>
    <w:uiPriority w:val="99"/>
    <w:semiHidden/>
    <w:rsid w:val="003E3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5C5793"/>
    <w:rPr>
      <w:rFonts w:ascii="Verdana" w:hAnsi="Verdana" w:cs="Arial"/>
      <w:szCs w:val="22"/>
    </w:rPr>
  </w:style>
  <w:style w:type="paragraph" w:styleId="Header">
    <w:name w:val="header"/>
    <w:basedOn w:val="Normal"/>
    <w:link w:val="HeaderChar"/>
    <w:uiPriority w:val="99"/>
    <w:semiHidden/>
    <w:rsid w:val="00AF6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B98"/>
    <w:rPr>
      <w:rFonts w:ascii="Verdana" w:hAnsi="Verdana" w:cs="Arial"/>
      <w:kern w:val="28"/>
    </w:rPr>
  </w:style>
  <w:style w:type="character" w:styleId="FootnoteReference">
    <w:name w:val="footnote reference"/>
    <w:basedOn w:val="DefaultParagraphFont"/>
    <w:uiPriority w:val="99"/>
    <w:semiHidden/>
    <w:rsid w:val="00007565"/>
    <w:rPr>
      <w:vertAlign w:val="superscript"/>
    </w:rPr>
  </w:style>
  <w:style w:type="character" w:styleId="Hyperlink">
    <w:name w:val="Hyperlink"/>
    <w:basedOn w:val="DefaultParagraphFont"/>
    <w:uiPriority w:val="99"/>
    <w:semiHidden/>
    <w:rsid w:val="0032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9646">
      <w:bodyDiv w:val="1"/>
      <w:marLeft w:val="0"/>
      <w:marRight w:val="0"/>
      <w:marTop w:val="0"/>
      <w:marBottom w:val="0"/>
      <w:divBdr>
        <w:top w:val="none" w:sz="0" w:space="0" w:color="auto"/>
        <w:left w:val="none" w:sz="0" w:space="0" w:color="auto"/>
        <w:bottom w:val="none" w:sz="0" w:space="0" w:color="auto"/>
        <w:right w:val="none" w:sz="0" w:space="0" w:color="auto"/>
      </w:divBdr>
    </w:div>
    <w:div w:id="1833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1179-600A-4200-A2E3-F7192A46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Whelen</dc:creator>
  <cp:lastModifiedBy>Andrew Gregory</cp:lastModifiedBy>
  <cp:revision>4</cp:revision>
  <cp:lastPrinted>2017-06-02T03:06:00Z</cp:lastPrinted>
  <dcterms:created xsi:type="dcterms:W3CDTF">2017-06-22T22:24:00Z</dcterms:created>
  <dcterms:modified xsi:type="dcterms:W3CDTF">2017-06-26T21:38:00Z</dcterms:modified>
</cp:coreProperties>
</file>