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24" w:rsidRDefault="00C76F24" w:rsidP="004866E1">
      <w:r>
        <w:rPr>
          <w:noProof/>
          <w:lang w:eastAsia="en-NZ"/>
        </w:rPr>
        <w:drawing>
          <wp:anchor distT="0" distB="0" distL="114300" distR="114300" simplePos="0" relativeHeight="251659264" behindDoc="0" locked="0" layoutInCell="1" allowOverlap="1" wp14:anchorId="5891BB2A" wp14:editId="69C6136C">
            <wp:simplePos x="0" y="0"/>
            <wp:positionH relativeFrom="page">
              <wp:posOffset>730250</wp:posOffset>
            </wp:positionH>
            <wp:positionV relativeFrom="page">
              <wp:posOffset>671830</wp:posOffset>
            </wp:positionV>
            <wp:extent cx="3005455" cy="701675"/>
            <wp:effectExtent l="0" t="0" r="4445" b="3175"/>
            <wp:wrapNone/>
            <wp:docPr id="27" name="Picture 27"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ssi.govt.nz\usersm\mjohn034\Desktop\MSD Branding\MSD Logos\MSD_30mmBELOW_RGB.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23" t="13514" r="3990" b="13513"/>
                    <a:stretch/>
                  </pic:blipFill>
                  <pic:spPr bwMode="auto">
                    <a:xfrm>
                      <a:off x="0" y="0"/>
                      <a:ext cx="3005455" cy="701675"/>
                    </a:xfrm>
                    <a:prstGeom prst="rect">
                      <a:avLst/>
                    </a:prstGeom>
                    <a:noFill/>
                    <a:ln>
                      <a:noFill/>
                    </a:ln>
                    <a:extLst>
                      <a:ext uri="{53640926-AAD7-44D8-BBD7-CCE9431645EC}">
                        <a14:shadowObscured xmlns:a14="http://schemas.microsoft.com/office/drawing/2010/main"/>
                      </a:ext>
                    </a:extLst>
                  </pic:spPr>
                </pic:pic>
              </a:graphicData>
            </a:graphic>
          </wp:anchor>
        </w:drawing>
      </w:r>
    </w:p>
    <w:p w:rsidR="00C76F24" w:rsidRDefault="00C76F24" w:rsidP="004866E1"/>
    <w:p w:rsidR="00C76F24" w:rsidRDefault="00C76F24" w:rsidP="004866E1"/>
    <w:p w:rsidR="00C76F24" w:rsidRDefault="00C76F24" w:rsidP="004866E1"/>
    <w:p w:rsidR="00084CCE" w:rsidRDefault="00084CCE" w:rsidP="008B7CE8">
      <w:pPr>
        <w:pStyle w:val="Report"/>
        <w:pBdr>
          <w:bottom w:val="none" w:sz="0" w:space="0" w:color="auto"/>
        </w:pBdr>
        <w:spacing w:before="8040" w:line="760" w:lineRule="atLeast"/>
        <w:ind w:right="-1038"/>
        <w:rPr>
          <w:color w:val="FFFFFF" w:themeColor="background1"/>
        </w:rPr>
      </w:pPr>
      <w:r w:rsidRPr="00084CCE">
        <w:rPr>
          <w:color w:val="FFFFFF" w:themeColor="background1"/>
        </w:rPr>
        <w:drawing>
          <wp:anchor distT="0" distB="0" distL="114300" distR="114300" simplePos="0" relativeHeight="251696128" behindDoc="1" locked="0" layoutInCell="1" allowOverlap="1" wp14:anchorId="5F0346CE" wp14:editId="1BC03E81">
            <wp:simplePos x="0" y="0"/>
            <wp:positionH relativeFrom="column">
              <wp:posOffset>-962025</wp:posOffset>
            </wp:positionH>
            <wp:positionV relativeFrom="paragraph">
              <wp:posOffset>3441797</wp:posOffset>
            </wp:positionV>
            <wp:extent cx="7620000" cy="41358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9597" cy="4141081"/>
                    </a:xfrm>
                    <a:prstGeom prst="rect">
                      <a:avLst/>
                    </a:prstGeom>
                  </pic:spPr>
                </pic:pic>
              </a:graphicData>
            </a:graphic>
            <wp14:sizeRelH relativeFrom="page">
              <wp14:pctWidth>0</wp14:pctWidth>
            </wp14:sizeRelH>
            <wp14:sizeRelV relativeFrom="page">
              <wp14:pctHeight>0</wp14:pctHeight>
            </wp14:sizeRelV>
          </wp:anchor>
        </w:drawing>
      </w:r>
      <w:r w:rsidR="006F41C9" w:rsidRPr="00084CCE">
        <w:rPr>
          <w:color w:val="FFFFFF" w:themeColor="background1"/>
        </w:rPr>
        <w:t xml:space="preserve">Review of </w:t>
      </w:r>
      <w:r w:rsidR="004800D3" w:rsidRPr="00084CCE">
        <w:rPr>
          <w:color w:val="FFFFFF" w:themeColor="background1"/>
        </w:rPr>
        <w:t xml:space="preserve">                                 </w:t>
      </w:r>
      <w:r w:rsidR="00825C48" w:rsidRPr="00084CCE">
        <w:rPr>
          <w:color w:val="FFFFFF" w:themeColor="background1"/>
        </w:rPr>
        <w:t>Housing Support Products</w:t>
      </w:r>
    </w:p>
    <w:p w:rsidR="00C76F24" w:rsidRPr="00084CCE" w:rsidRDefault="00C20D4C" w:rsidP="008B7CE8">
      <w:pPr>
        <w:pStyle w:val="Report"/>
        <w:pBdr>
          <w:bottom w:val="none" w:sz="0" w:space="0" w:color="auto"/>
        </w:pBdr>
        <w:spacing w:before="1200" w:line="760" w:lineRule="atLeast"/>
        <w:ind w:right="-1038"/>
      </w:pPr>
      <w:r w:rsidRPr="00084CCE">
        <w:rPr>
          <w:rStyle w:val="Heading3Char"/>
          <w:b/>
        </w:rPr>
        <w:t>Ju</w:t>
      </w:r>
      <w:r w:rsidR="00DA427A">
        <w:rPr>
          <w:rStyle w:val="Heading3Char"/>
          <w:b/>
        </w:rPr>
        <w:t>ly</w:t>
      </w:r>
      <w:bookmarkStart w:id="0" w:name="_GoBack"/>
      <w:bookmarkEnd w:id="0"/>
      <w:r w:rsidRPr="00084CCE">
        <w:rPr>
          <w:rStyle w:val="Heading3Char"/>
          <w:b/>
        </w:rPr>
        <w:t xml:space="preserve"> 2018</w:t>
      </w:r>
      <w:r w:rsidR="00C76F24" w:rsidRPr="00084CCE">
        <w:br w:type="page"/>
      </w:r>
    </w:p>
    <w:p w:rsidR="009B5875" w:rsidRDefault="009B5875" w:rsidP="00B54307">
      <w:pPr>
        <w:pStyle w:val="Caption"/>
        <w:rPr>
          <w:lang w:val="en-US"/>
        </w:rPr>
      </w:pPr>
      <w:bookmarkStart w:id="1" w:name="_Toc490746984"/>
    </w:p>
    <w:p w:rsidR="009B5875" w:rsidRDefault="009B5875" w:rsidP="00B54307">
      <w:pPr>
        <w:pStyle w:val="Caption"/>
        <w:rPr>
          <w:lang w:val="en-US"/>
        </w:rPr>
      </w:pPr>
    </w:p>
    <w:p w:rsidR="009B5875" w:rsidRDefault="009B5875" w:rsidP="00B54307">
      <w:pPr>
        <w:pStyle w:val="Caption"/>
        <w:rPr>
          <w:lang w:val="en-US"/>
        </w:rPr>
      </w:pPr>
    </w:p>
    <w:p w:rsidR="009B5875" w:rsidRDefault="009B5875" w:rsidP="00B54307">
      <w:pPr>
        <w:pStyle w:val="Caption"/>
        <w:rPr>
          <w:lang w:val="en-US"/>
        </w:rPr>
      </w:pPr>
    </w:p>
    <w:p w:rsidR="009B5875" w:rsidRDefault="009B5875" w:rsidP="00B54307">
      <w:pPr>
        <w:pStyle w:val="Caption"/>
        <w:rPr>
          <w:lang w:val="en-US"/>
        </w:rPr>
      </w:pPr>
    </w:p>
    <w:p w:rsidR="009B5875" w:rsidRDefault="009B5875" w:rsidP="00B54307">
      <w:pPr>
        <w:pStyle w:val="Caption"/>
        <w:rPr>
          <w:lang w:val="en-US"/>
        </w:rPr>
      </w:pPr>
    </w:p>
    <w:p w:rsidR="009B5875" w:rsidRDefault="009B5875" w:rsidP="00B54307">
      <w:pPr>
        <w:pStyle w:val="Caption"/>
        <w:rPr>
          <w:lang w:val="en-US"/>
        </w:rPr>
      </w:pPr>
    </w:p>
    <w:p w:rsidR="009B5875" w:rsidRDefault="009B5875" w:rsidP="00B54307">
      <w:pPr>
        <w:pStyle w:val="Caption"/>
        <w:rPr>
          <w:lang w:val="en-US"/>
        </w:rPr>
      </w:pPr>
    </w:p>
    <w:p w:rsidR="009B5875" w:rsidRDefault="009B5875" w:rsidP="00B54307">
      <w:pPr>
        <w:pStyle w:val="Caption"/>
        <w:rPr>
          <w:lang w:val="en-US"/>
        </w:rPr>
      </w:pPr>
    </w:p>
    <w:p w:rsidR="009B5875" w:rsidRDefault="009B5875" w:rsidP="00B54307">
      <w:pPr>
        <w:pStyle w:val="Caption"/>
        <w:rPr>
          <w:lang w:val="en-US"/>
        </w:rPr>
      </w:pPr>
    </w:p>
    <w:p w:rsidR="009B5875" w:rsidRDefault="009B5875" w:rsidP="00B54307">
      <w:pPr>
        <w:pStyle w:val="Caption"/>
        <w:rPr>
          <w:lang w:val="en-US"/>
        </w:rPr>
      </w:pPr>
    </w:p>
    <w:p w:rsidR="009B5875" w:rsidRDefault="009B5875" w:rsidP="00B54307">
      <w:pPr>
        <w:pStyle w:val="Caption"/>
        <w:rPr>
          <w:lang w:val="en-US"/>
        </w:rPr>
      </w:pPr>
    </w:p>
    <w:p w:rsidR="009B5875" w:rsidRDefault="009B5875" w:rsidP="00B54307">
      <w:pPr>
        <w:pStyle w:val="Caption"/>
        <w:rPr>
          <w:lang w:val="en-US"/>
        </w:rPr>
      </w:pPr>
    </w:p>
    <w:p w:rsidR="009B5875" w:rsidRDefault="009B5875" w:rsidP="00B54307">
      <w:pPr>
        <w:pStyle w:val="Caption"/>
        <w:rPr>
          <w:lang w:val="en-US"/>
        </w:rPr>
      </w:pPr>
    </w:p>
    <w:p w:rsidR="00F76C7B" w:rsidRDefault="00F76C7B" w:rsidP="00FA44C8">
      <w:pPr>
        <w:rPr>
          <w:lang w:val="en-US"/>
        </w:rPr>
      </w:pPr>
    </w:p>
    <w:p w:rsidR="00F76C7B" w:rsidRDefault="00F76C7B" w:rsidP="00FA44C8">
      <w:pPr>
        <w:rPr>
          <w:lang w:val="en-US"/>
        </w:rPr>
      </w:pPr>
    </w:p>
    <w:p w:rsidR="00F76C7B" w:rsidRDefault="00F76C7B" w:rsidP="00FA44C8">
      <w:pPr>
        <w:rPr>
          <w:lang w:val="en-US"/>
        </w:rPr>
      </w:pPr>
    </w:p>
    <w:p w:rsidR="00F76C7B" w:rsidRPr="008A7E90" w:rsidRDefault="00F76C7B" w:rsidP="00FA44C8">
      <w:pPr>
        <w:rPr>
          <w:lang w:val="en-US"/>
        </w:rPr>
      </w:pPr>
    </w:p>
    <w:p w:rsidR="00FA44C8" w:rsidRDefault="00FA44C8" w:rsidP="00FA44C8">
      <w:pPr>
        <w:pStyle w:val="Heading3"/>
        <w:rPr>
          <w:lang w:val="en-US"/>
        </w:rPr>
      </w:pPr>
    </w:p>
    <w:p w:rsidR="00C76F24" w:rsidRPr="007525AF" w:rsidRDefault="00C76F24" w:rsidP="00FA44C8">
      <w:pPr>
        <w:pStyle w:val="Heading3"/>
      </w:pPr>
      <w:r w:rsidRPr="00D60E69">
        <w:rPr>
          <w:lang w:val="en-US"/>
        </w:rPr>
        <w:t>Author</w:t>
      </w:r>
      <w:bookmarkEnd w:id="1"/>
    </w:p>
    <w:p w:rsidR="00C76F24" w:rsidRDefault="00DB27E6" w:rsidP="004866E1">
      <w:pPr>
        <w:pStyle w:val="BodyText"/>
      </w:pPr>
      <w:r>
        <w:t>Bridget Burmester,</w:t>
      </w:r>
      <w:r w:rsidR="00C76F24" w:rsidRPr="008741F8">
        <w:t xml:space="preserve"> </w:t>
      </w:r>
      <w:r w:rsidR="004800D3">
        <w:t>Ministry of Social Development</w:t>
      </w:r>
    </w:p>
    <w:p w:rsidR="006964F7" w:rsidRDefault="00F76C7B" w:rsidP="00FA44C8">
      <w:pPr>
        <w:pStyle w:val="Heading3"/>
        <w:rPr>
          <w:lang w:val="en-US"/>
        </w:rPr>
      </w:pPr>
      <w:r>
        <w:rPr>
          <w:lang w:val="en-US"/>
        </w:rPr>
        <w:t>Acknowledgements</w:t>
      </w:r>
    </w:p>
    <w:p w:rsidR="00345C87" w:rsidRDefault="00F76C7B" w:rsidP="008A7E90">
      <w:pPr>
        <w:rPr>
          <w:lang w:val="en-US"/>
        </w:rPr>
      </w:pPr>
      <w:bookmarkStart w:id="2" w:name="_Toc490746986"/>
      <w:r>
        <w:rPr>
          <w:lang w:val="en-US"/>
        </w:rPr>
        <w:t xml:space="preserve">Thanks to </w:t>
      </w:r>
      <w:r w:rsidR="00345C87">
        <w:rPr>
          <w:lang w:val="en-US"/>
        </w:rPr>
        <w:t>Miranda Devlin</w:t>
      </w:r>
      <w:r>
        <w:rPr>
          <w:lang w:val="en-US"/>
        </w:rPr>
        <w:t xml:space="preserve"> and Diane Anderson, both from the Ministry of Social Development (MSD), for reviewing this report.</w:t>
      </w:r>
    </w:p>
    <w:p w:rsidR="00F76C7B" w:rsidRPr="00F76C7B" w:rsidRDefault="00F76C7B" w:rsidP="00F76C7B">
      <w:pPr>
        <w:keepNext/>
        <w:keepLines/>
        <w:spacing w:before="240"/>
        <w:outlineLvl w:val="2"/>
        <w:rPr>
          <w:rFonts w:eastAsiaTheme="majorEastAsia"/>
          <w:b/>
          <w:bCs/>
          <w:kern w:val="0"/>
          <w:sz w:val="24"/>
          <w:szCs w:val="22"/>
          <w:lang w:val="en-US" w:eastAsia="en-AU"/>
        </w:rPr>
      </w:pPr>
      <w:r w:rsidRPr="00F76C7B">
        <w:rPr>
          <w:rFonts w:eastAsiaTheme="majorEastAsia"/>
          <w:b/>
          <w:bCs/>
          <w:kern w:val="0"/>
          <w:sz w:val="24"/>
          <w:szCs w:val="22"/>
          <w:lang w:val="en-US" w:eastAsia="en-AU"/>
        </w:rPr>
        <w:t>Published</w:t>
      </w:r>
    </w:p>
    <w:p w:rsidR="00F76C7B" w:rsidRPr="00F76C7B" w:rsidRDefault="00F76C7B" w:rsidP="00F76C7B">
      <w:pPr>
        <w:spacing w:before="120"/>
      </w:pPr>
      <w:r w:rsidRPr="00F76C7B">
        <w:t>Ju</w:t>
      </w:r>
      <w:r w:rsidR="00DA427A">
        <w:t>ly</w:t>
      </w:r>
      <w:r w:rsidRPr="00F76C7B">
        <w:t xml:space="preserve"> 2018</w:t>
      </w:r>
    </w:p>
    <w:p w:rsidR="00F76C7B" w:rsidRPr="00F76C7B" w:rsidRDefault="00F76C7B" w:rsidP="00F76C7B">
      <w:pPr>
        <w:spacing w:before="120"/>
        <w:rPr>
          <w:b/>
          <w:sz w:val="24"/>
          <w:lang w:val="en-US"/>
        </w:rPr>
      </w:pPr>
      <w:r w:rsidRPr="00F76C7B">
        <w:rPr>
          <w:b/>
          <w:sz w:val="24"/>
          <w:lang w:val="en-US"/>
        </w:rPr>
        <w:t>ISBN</w:t>
      </w:r>
    </w:p>
    <w:p w:rsidR="004800D3" w:rsidRDefault="001A7FC8" w:rsidP="00345C87">
      <w:pPr>
        <w:rPr>
          <w:lang w:val="en-US"/>
        </w:rPr>
      </w:pPr>
      <w:r>
        <w:rPr>
          <w:lang w:val="en-US"/>
        </w:rPr>
        <w:t xml:space="preserve">Online </w:t>
      </w:r>
      <w:r w:rsidRPr="001A7FC8">
        <w:rPr>
          <w:lang w:val="en-US"/>
        </w:rPr>
        <w:t>978-1-98-854133-4</w:t>
      </w:r>
    </w:p>
    <w:p w:rsidR="00F76C7B" w:rsidRDefault="00F76C7B" w:rsidP="00FA44C8">
      <w:pPr>
        <w:pStyle w:val="Heading1"/>
        <w:ind w:right="-46"/>
        <w:rPr>
          <w:lang w:val="en-US"/>
        </w:rPr>
      </w:pPr>
      <w:bookmarkStart w:id="3" w:name="_Toc516161233"/>
      <w:bookmarkStart w:id="4" w:name="_Toc516161703"/>
      <w:r>
        <w:rPr>
          <w:lang w:val="en-US"/>
        </w:rPr>
        <w:lastRenderedPageBreak/>
        <w:t>Contents</w:t>
      </w:r>
      <w:bookmarkEnd w:id="3"/>
      <w:bookmarkEnd w:id="4"/>
      <w:r>
        <w:rPr>
          <w:lang w:val="en-US"/>
        </w:rPr>
        <w:t xml:space="preserve"> </w:t>
      </w:r>
    </w:p>
    <w:bookmarkStart w:id="5" w:name="_Toc386619898"/>
    <w:bookmarkStart w:id="6" w:name="_Toc402433422"/>
    <w:bookmarkEnd w:id="2"/>
    <w:p w:rsidR="008E6AD9" w:rsidRDefault="00F76C7B">
      <w:pPr>
        <w:pStyle w:val="TOC1"/>
        <w:rPr>
          <w:rFonts w:asciiTheme="minorHAnsi" w:eastAsiaTheme="minorEastAsia" w:hAnsiTheme="minorHAnsi" w:cstheme="minorBidi"/>
          <w:b w:val="0"/>
          <w:color w:val="auto"/>
          <w:kern w:val="0"/>
          <w:sz w:val="22"/>
          <w:szCs w:val="22"/>
          <w:lang w:eastAsia="en-NZ"/>
        </w:rPr>
      </w:pPr>
      <w:r>
        <w:rPr>
          <w:sz w:val="40"/>
          <w:szCs w:val="40"/>
        </w:rPr>
        <w:fldChar w:fldCharType="begin"/>
      </w:r>
      <w:r>
        <w:rPr>
          <w:sz w:val="40"/>
          <w:szCs w:val="40"/>
        </w:rPr>
        <w:instrText xml:space="preserve"> TOC \o "1-2" \h \z \u </w:instrText>
      </w:r>
      <w:r>
        <w:rPr>
          <w:sz w:val="40"/>
          <w:szCs w:val="40"/>
        </w:rPr>
        <w:fldChar w:fldCharType="separate"/>
      </w:r>
      <w:hyperlink w:anchor="_Toc516161704" w:history="1">
        <w:r w:rsidR="008E6AD9" w:rsidRPr="0063334B">
          <w:rPr>
            <w:rStyle w:val="Hyperlink"/>
          </w:rPr>
          <w:t>Key terms</w:t>
        </w:r>
        <w:r w:rsidR="008E6AD9">
          <w:rPr>
            <w:webHidden/>
          </w:rPr>
          <w:tab/>
        </w:r>
        <w:r w:rsidR="008E6AD9">
          <w:rPr>
            <w:webHidden/>
          </w:rPr>
          <w:fldChar w:fldCharType="begin"/>
        </w:r>
        <w:r w:rsidR="008E6AD9">
          <w:rPr>
            <w:webHidden/>
          </w:rPr>
          <w:instrText xml:space="preserve"> PAGEREF _Toc516161704 \h </w:instrText>
        </w:r>
        <w:r w:rsidR="008E6AD9">
          <w:rPr>
            <w:webHidden/>
          </w:rPr>
        </w:r>
        <w:r w:rsidR="008E6AD9">
          <w:rPr>
            <w:webHidden/>
          </w:rPr>
          <w:fldChar w:fldCharType="separate"/>
        </w:r>
        <w:r w:rsidR="008B7CE8">
          <w:rPr>
            <w:webHidden/>
          </w:rPr>
          <w:t>4</w:t>
        </w:r>
        <w:r w:rsidR="008E6AD9">
          <w:rPr>
            <w:webHidden/>
          </w:rPr>
          <w:fldChar w:fldCharType="end"/>
        </w:r>
      </w:hyperlink>
    </w:p>
    <w:p w:rsidR="008E6AD9" w:rsidRDefault="00DA427A">
      <w:pPr>
        <w:pStyle w:val="TOC1"/>
        <w:rPr>
          <w:rFonts w:asciiTheme="minorHAnsi" w:eastAsiaTheme="minorEastAsia" w:hAnsiTheme="minorHAnsi" w:cstheme="minorBidi"/>
          <w:b w:val="0"/>
          <w:color w:val="auto"/>
          <w:kern w:val="0"/>
          <w:sz w:val="22"/>
          <w:szCs w:val="22"/>
          <w:lang w:eastAsia="en-NZ"/>
        </w:rPr>
      </w:pPr>
      <w:hyperlink w:anchor="_Toc516161705" w:history="1">
        <w:r w:rsidR="008E6AD9" w:rsidRPr="0063334B">
          <w:rPr>
            <w:rStyle w:val="Hyperlink"/>
          </w:rPr>
          <w:t>Executive summary</w:t>
        </w:r>
        <w:r w:rsidR="008E6AD9">
          <w:rPr>
            <w:webHidden/>
          </w:rPr>
          <w:tab/>
        </w:r>
        <w:r w:rsidR="008E6AD9">
          <w:rPr>
            <w:webHidden/>
          </w:rPr>
          <w:fldChar w:fldCharType="begin"/>
        </w:r>
        <w:r w:rsidR="008E6AD9">
          <w:rPr>
            <w:webHidden/>
          </w:rPr>
          <w:instrText xml:space="preserve"> PAGEREF _Toc516161705 \h </w:instrText>
        </w:r>
        <w:r w:rsidR="008E6AD9">
          <w:rPr>
            <w:webHidden/>
          </w:rPr>
        </w:r>
        <w:r w:rsidR="008E6AD9">
          <w:rPr>
            <w:webHidden/>
          </w:rPr>
          <w:fldChar w:fldCharType="separate"/>
        </w:r>
        <w:r w:rsidR="008B7CE8">
          <w:rPr>
            <w:webHidden/>
          </w:rPr>
          <w:t>5</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06" w:history="1">
        <w:r w:rsidR="008E6AD9" w:rsidRPr="0063334B">
          <w:rPr>
            <w:rStyle w:val="Hyperlink"/>
          </w:rPr>
          <w:t>Purpose</w:t>
        </w:r>
        <w:r w:rsidR="008E6AD9">
          <w:rPr>
            <w:webHidden/>
          </w:rPr>
          <w:tab/>
        </w:r>
        <w:r w:rsidR="008E6AD9">
          <w:rPr>
            <w:webHidden/>
          </w:rPr>
          <w:fldChar w:fldCharType="begin"/>
        </w:r>
        <w:r w:rsidR="008E6AD9">
          <w:rPr>
            <w:webHidden/>
          </w:rPr>
          <w:instrText xml:space="preserve"> PAGEREF _Toc516161706 \h </w:instrText>
        </w:r>
        <w:r w:rsidR="008E6AD9">
          <w:rPr>
            <w:webHidden/>
          </w:rPr>
        </w:r>
        <w:r w:rsidR="008E6AD9">
          <w:rPr>
            <w:webHidden/>
          </w:rPr>
          <w:fldChar w:fldCharType="separate"/>
        </w:r>
        <w:r w:rsidR="008B7CE8">
          <w:rPr>
            <w:webHidden/>
          </w:rPr>
          <w:t>5</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07" w:history="1">
        <w:r w:rsidR="008E6AD9" w:rsidRPr="0063334B">
          <w:rPr>
            <w:rStyle w:val="Hyperlink"/>
          </w:rPr>
          <w:t>Background</w:t>
        </w:r>
        <w:r w:rsidR="008E6AD9">
          <w:rPr>
            <w:webHidden/>
          </w:rPr>
          <w:tab/>
        </w:r>
        <w:r w:rsidR="008E6AD9">
          <w:rPr>
            <w:webHidden/>
          </w:rPr>
          <w:fldChar w:fldCharType="begin"/>
        </w:r>
        <w:r w:rsidR="008E6AD9">
          <w:rPr>
            <w:webHidden/>
          </w:rPr>
          <w:instrText xml:space="preserve"> PAGEREF _Toc516161707 \h </w:instrText>
        </w:r>
        <w:r w:rsidR="008E6AD9">
          <w:rPr>
            <w:webHidden/>
          </w:rPr>
        </w:r>
        <w:r w:rsidR="008E6AD9">
          <w:rPr>
            <w:webHidden/>
          </w:rPr>
          <w:fldChar w:fldCharType="separate"/>
        </w:r>
        <w:r w:rsidR="008B7CE8">
          <w:rPr>
            <w:webHidden/>
          </w:rPr>
          <w:t>5</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08" w:history="1">
        <w:r w:rsidR="008E6AD9" w:rsidRPr="0063334B">
          <w:rPr>
            <w:rStyle w:val="Hyperlink"/>
          </w:rPr>
          <w:t>Research findings</w:t>
        </w:r>
        <w:r w:rsidR="008E6AD9">
          <w:rPr>
            <w:webHidden/>
          </w:rPr>
          <w:tab/>
        </w:r>
        <w:r w:rsidR="008E6AD9">
          <w:rPr>
            <w:webHidden/>
          </w:rPr>
          <w:fldChar w:fldCharType="begin"/>
        </w:r>
        <w:r w:rsidR="008E6AD9">
          <w:rPr>
            <w:webHidden/>
          </w:rPr>
          <w:instrText xml:space="preserve"> PAGEREF _Toc516161708 \h </w:instrText>
        </w:r>
        <w:r w:rsidR="008E6AD9">
          <w:rPr>
            <w:webHidden/>
          </w:rPr>
        </w:r>
        <w:r w:rsidR="008E6AD9">
          <w:rPr>
            <w:webHidden/>
          </w:rPr>
          <w:fldChar w:fldCharType="separate"/>
        </w:r>
        <w:r w:rsidR="008B7CE8">
          <w:rPr>
            <w:webHidden/>
          </w:rPr>
          <w:t>5</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09" w:history="1">
        <w:r w:rsidR="008E6AD9" w:rsidRPr="0063334B">
          <w:rPr>
            <w:rStyle w:val="Hyperlink"/>
          </w:rPr>
          <w:t>Actionable insights</w:t>
        </w:r>
        <w:r w:rsidR="008E6AD9">
          <w:rPr>
            <w:webHidden/>
          </w:rPr>
          <w:tab/>
        </w:r>
        <w:r w:rsidR="008E6AD9">
          <w:rPr>
            <w:webHidden/>
          </w:rPr>
          <w:fldChar w:fldCharType="begin"/>
        </w:r>
        <w:r w:rsidR="008E6AD9">
          <w:rPr>
            <w:webHidden/>
          </w:rPr>
          <w:instrText xml:space="preserve"> PAGEREF _Toc516161709 \h </w:instrText>
        </w:r>
        <w:r w:rsidR="008E6AD9">
          <w:rPr>
            <w:webHidden/>
          </w:rPr>
        </w:r>
        <w:r w:rsidR="008E6AD9">
          <w:rPr>
            <w:webHidden/>
          </w:rPr>
          <w:fldChar w:fldCharType="separate"/>
        </w:r>
        <w:r w:rsidR="008B7CE8">
          <w:rPr>
            <w:webHidden/>
          </w:rPr>
          <w:t>6</w:t>
        </w:r>
        <w:r w:rsidR="008E6AD9">
          <w:rPr>
            <w:webHidden/>
          </w:rPr>
          <w:fldChar w:fldCharType="end"/>
        </w:r>
      </w:hyperlink>
    </w:p>
    <w:p w:rsidR="008E6AD9" w:rsidRDefault="00DA427A">
      <w:pPr>
        <w:pStyle w:val="TOC1"/>
        <w:rPr>
          <w:rFonts w:asciiTheme="minorHAnsi" w:eastAsiaTheme="minorEastAsia" w:hAnsiTheme="minorHAnsi" w:cstheme="minorBidi"/>
          <w:b w:val="0"/>
          <w:color w:val="auto"/>
          <w:kern w:val="0"/>
          <w:sz w:val="22"/>
          <w:szCs w:val="22"/>
          <w:lang w:eastAsia="en-NZ"/>
        </w:rPr>
      </w:pPr>
      <w:hyperlink w:anchor="_Toc516161710" w:history="1">
        <w:r w:rsidR="008E6AD9" w:rsidRPr="0063334B">
          <w:rPr>
            <w:rStyle w:val="Hyperlink"/>
          </w:rPr>
          <w:t>Background</w:t>
        </w:r>
        <w:r w:rsidR="008E6AD9">
          <w:rPr>
            <w:webHidden/>
          </w:rPr>
          <w:tab/>
        </w:r>
        <w:r w:rsidR="008E6AD9">
          <w:rPr>
            <w:webHidden/>
          </w:rPr>
          <w:fldChar w:fldCharType="begin"/>
        </w:r>
        <w:r w:rsidR="008E6AD9">
          <w:rPr>
            <w:webHidden/>
          </w:rPr>
          <w:instrText xml:space="preserve"> PAGEREF _Toc516161710 \h </w:instrText>
        </w:r>
        <w:r w:rsidR="008E6AD9">
          <w:rPr>
            <w:webHidden/>
          </w:rPr>
        </w:r>
        <w:r w:rsidR="008E6AD9">
          <w:rPr>
            <w:webHidden/>
          </w:rPr>
          <w:fldChar w:fldCharType="separate"/>
        </w:r>
        <w:r w:rsidR="008B7CE8">
          <w:rPr>
            <w:webHidden/>
          </w:rPr>
          <w:t>7</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11" w:history="1">
        <w:r w:rsidR="008E6AD9" w:rsidRPr="0063334B">
          <w:rPr>
            <w:rStyle w:val="Hyperlink"/>
          </w:rPr>
          <w:t>Review of HSPs</w:t>
        </w:r>
        <w:r w:rsidR="008E6AD9">
          <w:rPr>
            <w:webHidden/>
          </w:rPr>
          <w:tab/>
        </w:r>
        <w:r w:rsidR="008E6AD9">
          <w:rPr>
            <w:webHidden/>
          </w:rPr>
          <w:fldChar w:fldCharType="begin"/>
        </w:r>
        <w:r w:rsidR="008E6AD9">
          <w:rPr>
            <w:webHidden/>
          </w:rPr>
          <w:instrText xml:space="preserve"> PAGEREF _Toc516161711 \h </w:instrText>
        </w:r>
        <w:r w:rsidR="008E6AD9">
          <w:rPr>
            <w:webHidden/>
          </w:rPr>
        </w:r>
        <w:r w:rsidR="008E6AD9">
          <w:rPr>
            <w:webHidden/>
          </w:rPr>
          <w:fldChar w:fldCharType="separate"/>
        </w:r>
        <w:r w:rsidR="008B7CE8">
          <w:rPr>
            <w:webHidden/>
          </w:rPr>
          <w:t>8</w:t>
        </w:r>
        <w:r w:rsidR="008E6AD9">
          <w:rPr>
            <w:webHidden/>
          </w:rPr>
          <w:fldChar w:fldCharType="end"/>
        </w:r>
      </w:hyperlink>
    </w:p>
    <w:p w:rsidR="008E6AD9" w:rsidRDefault="00DA427A">
      <w:pPr>
        <w:pStyle w:val="TOC1"/>
        <w:rPr>
          <w:rFonts w:asciiTheme="minorHAnsi" w:eastAsiaTheme="minorEastAsia" w:hAnsiTheme="minorHAnsi" w:cstheme="minorBidi"/>
          <w:b w:val="0"/>
          <w:color w:val="auto"/>
          <w:kern w:val="0"/>
          <w:sz w:val="22"/>
          <w:szCs w:val="22"/>
          <w:lang w:eastAsia="en-NZ"/>
        </w:rPr>
      </w:pPr>
      <w:hyperlink w:anchor="_Toc516161712" w:history="1">
        <w:r w:rsidR="008E6AD9" w:rsidRPr="0063334B">
          <w:rPr>
            <w:rStyle w:val="Hyperlink"/>
          </w:rPr>
          <w:t>Research findings</w:t>
        </w:r>
        <w:r w:rsidR="008E6AD9">
          <w:rPr>
            <w:webHidden/>
          </w:rPr>
          <w:tab/>
        </w:r>
        <w:r w:rsidR="008E6AD9">
          <w:rPr>
            <w:webHidden/>
          </w:rPr>
          <w:fldChar w:fldCharType="begin"/>
        </w:r>
        <w:r w:rsidR="008E6AD9">
          <w:rPr>
            <w:webHidden/>
          </w:rPr>
          <w:instrText xml:space="preserve"> PAGEREF _Toc516161712 \h </w:instrText>
        </w:r>
        <w:r w:rsidR="008E6AD9">
          <w:rPr>
            <w:webHidden/>
          </w:rPr>
        </w:r>
        <w:r w:rsidR="008E6AD9">
          <w:rPr>
            <w:webHidden/>
          </w:rPr>
          <w:fldChar w:fldCharType="separate"/>
        </w:r>
        <w:r w:rsidR="008B7CE8">
          <w:rPr>
            <w:webHidden/>
          </w:rPr>
          <w:t>9</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13" w:history="1">
        <w:r w:rsidR="008E6AD9" w:rsidRPr="0063334B">
          <w:rPr>
            <w:rStyle w:val="Hyperlink"/>
          </w:rPr>
          <w:t>HSPs are associated with recipients achieving and maintaining alternative housing</w:t>
        </w:r>
        <w:r w:rsidR="008E6AD9">
          <w:rPr>
            <w:webHidden/>
          </w:rPr>
          <w:tab/>
        </w:r>
        <w:r w:rsidR="008E6AD9">
          <w:rPr>
            <w:webHidden/>
          </w:rPr>
          <w:fldChar w:fldCharType="begin"/>
        </w:r>
        <w:r w:rsidR="008E6AD9">
          <w:rPr>
            <w:webHidden/>
          </w:rPr>
          <w:instrText xml:space="preserve"> PAGEREF _Toc516161713 \h </w:instrText>
        </w:r>
        <w:r w:rsidR="008E6AD9">
          <w:rPr>
            <w:webHidden/>
          </w:rPr>
        </w:r>
        <w:r w:rsidR="008E6AD9">
          <w:rPr>
            <w:webHidden/>
          </w:rPr>
          <w:fldChar w:fldCharType="separate"/>
        </w:r>
        <w:r w:rsidR="008B7CE8">
          <w:rPr>
            <w:webHidden/>
          </w:rPr>
          <w:t>9</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14" w:history="1">
        <w:r w:rsidR="008E6AD9" w:rsidRPr="0063334B">
          <w:rPr>
            <w:rStyle w:val="Hyperlink"/>
          </w:rPr>
          <w:t>Most HSP recipients leave public housing within a month</w:t>
        </w:r>
        <w:r w:rsidR="008E6AD9">
          <w:rPr>
            <w:webHidden/>
          </w:rPr>
          <w:tab/>
        </w:r>
        <w:r w:rsidR="008E6AD9">
          <w:rPr>
            <w:webHidden/>
          </w:rPr>
          <w:fldChar w:fldCharType="begin"/>
        </w:r>
        <w:r w:rsidR="008E6AD9">
          <w:rPr>
            <w:webHidden/>
          </w:rPr>
          <w:instrText xml:space="preserve"> PAGEREF _Toc516161714 \h </w:instrText>
        </w:r>
        <w:r w:rsidR="008E6AD9">
          <w:rPr>
            <w:webHidden/>
          </w:rPr>
        </w:r>
        <w:r w:rsidR="008E6AD9">
          <w:rPr>
            <w:webHidden/>
          </w:rPr>
          <w:fldChar w:fldCharType="separate"/>
        </w:r>
        <w:r w:rsidR="008B7CE8">
          <w:rPr>
            <w:webHidden/>
          </w:rPr>
          <w:t>9</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15" w:history="1">
        <w:r w:rsidR="008E6AD9" w:rsidRPr="0063334B">
          <w:rPr>
            <w:rStyle w:val="Hyperlink"/>
          </w:rPr>
          <w:t>HSP recipients move off the Social Housing Register</w:t>
        </w:r>
        <w:r w:rsidR="008E6AD9">
          <w:rPr>
            <w:webHidden/>
          </w:rPr>
          <w:tab/>
        </w:r>
        <w:r w:rsidR="008E6AD9">
          <w:rPr>
            <w:webHidden/>
          </w:rPr>
          <w:fldChar w:fldCharType="begin"/>
        </w:r>
        <w:r w:rsidR="008E6AD9">
          <w:rPr>
            <w:webHidden/>
          </w:rPr>
          <w:instrText xml:space="preserve"> PAGEREF _Toc516161715 \h </w:instrText>
        </w:r>
        <w:r w:rsidR="008E6AD9">
          <w:rPr>
            <w:webHidden/>
          </w:rPr>
        </w:r>
        <w:r w:rsidR="008E6AD9">
          <w:rPr>
            <w:webHidden/>
          </w:rPr>
          <w:fldChar w:fldCharType="separate"/>
        </w:r>
        <w:r w:rsidR="008B7CE8">
          <w:rPr>
            <w:webHidden/>
          </w:rPr>
          <w:t>10</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16" w:history="1">
        <w:r w:rsidR="008E6AD9" w:rsidRPr="0063334B">
          <w:rPr>
            <w:rStyle w:val="Hyperlink"/>
          </w:rPr>
          <w:t xml:space="preserve">HSPs may help prevent recipients from entering public housing or going on the </w:t>
        </w:r>
        <w:r w:rsidR="008B7CE8">
          <w:rPr>
            <w:rStyle w:val="Hyperlink"/>
          </w:rPr>
          <w:br/>
        </w:r>
        <w:r w:rsidR="008E6AD9" w:rsidRPr="0063334B">
          <w:rPr>
            <w:rStyle w:val="Hyperlink"/>
          </w:rPr>
          <w:t>Social Housing Register</w:t>
        </w:r>
        <w:r w:rsidR="008E6AD9">
          <w:rPr>
            <w:webHidden/>
          </w:rPr>
          <w:tab/>
        </w:r>
        <w:r w:rsidR="008E6AD9">
          <w:rPr>
            <w:webHidden/>
          </w:rPr>
          <w:fldChar w:fldCharType="begin"/>
        </w:r>
        <w:r w:rsidR="008E6AD9">
          <w:rPr>
            <w:webHidden/>
          </w:rPr>
          <w:instrText xml:space="preserve"> PAGEREF _Toc516161716 \h </w:instrText>
        </w:r>
        <w:r w:rsidR="008E6AD9">
          <w:rPr>
            <w:webHidden/>
          </w:rPr>
        </w:r>
        <w:r w:rsidR="008E6AD9">
          <w:rPr>
            <w:webHidden/>
          </w:rPr>
          <w:fldChar w:fldCharType="separate"/>
        </w:r>
        <w:r w:rsidR="008B7CE8">
          <w:rPr>
            <w:webHidden/>
          </w:rPr>
          <w:t>10</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17" w:history="1">
        <w:r w:rsidR="008E6AD9" w:rsidRPr="0063334B">
          <w:rPr>
            <w:rStyle w:val="Hyperlink"/>
          </w:rPr>
          <w:t>The small number of recipients who receive H</w:t>
        </w:r>
        <w:r w:rsidR="008B7CE8">
          <w:rPr>
            <w:rStyle w:val="Hyperlink"/>
          </w:rPr>
          <w:t>SPs multiple times show similar</w:t>
        </w:r>
        <w:r w:rsidR="008B7CE8">
          <w:rPr>
            <w:rStyle w:val="Hyperlink"/>
          </w:rPr>
          <w:br/>
        </w:r>
        <w:r w:rsidR="008E6AD9" w:rsidRPr="0063334B">
          <w:rPr>
            <w:rStyle w:val="Hyperlink"/>
          </w:rPr>
          <w:t>patterns to the overall group</w:t>
        </w:r>
        <w:r w:rsidR="008E6AD9">
          <w:rPr>
            <w:webHidden/>
          </w:rPr>
          <w:tab/>
        </w:r>
        <w:r w:rsidR="008E6AD9">
          <w:rPr>
            <w:webHidden/>
          </w:rPr>
          <w:fldChar w:fldCharType="begin"/>
        </w:r>
        <w:r w:rsidR="008E6AD9">
          <w:rPr>
            <w:webHidden/>
          </w:rPr>
          <w:instrText xml:space="preserve"> PAGEREF _Toc516161717 \h </w:instrText>
        </w:r>
        <w:r w:rsidR="008E6AD9">
          <w:rPr>
            <w:webHidden/>
          </w:rPr>
        </w:r>
        <w:r w:rsidR="008E6AD9">
          <w:rPr>
            <w:webHidden/>
          </w:rPr>
          <w:fldChar w:fldCharType="separate"/>
        </w:r>
        <w:r w:rsidR="008B7CE8">
          <w:rPr>
            <w:webHidden/>
          </w:rPr>
          <w:t>10</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18" w:history="1">
        <w:r w:rsidR="008E6AD9" w:rsidRPr="0063334B">
          <w:rPr>
            <w:rStyle w:val="Hyperlink"/>
          </w:rPr>
          <w:t>A pattern of increasing use further supports the effectiveness of HSPs</w:t>
        </w:r>
        <w:r w:rsidR="008E6AD9">
          <w:rPr>
            <w:webHidden/>
          </w:rPr>
          <w:tab/>
        </w:r>
        <w:r w:rsidR="008E6AD9">
          <w:rPr>
            <w:webHidden/>
          </w:rPr>
          <w:fldChar w:fldCharType="begin"/>
        </w:r>
        <w:r w:rsidR="008E6AD9">
          <w:rPr>
            <w:webHidden/>
          </w:rPr>
          <w:instrText xml:space="preserve"> PAGEREF _Toc516161718 \h </w:instrText>
        </w:r>
        <w:r w:rsidR="008E6AD9">
          <w:rPr>
            <w:webHidden/>
          </w:rPr>
        </w:r>
        <w:r w:rsidR="008E6AD9">
          <w:rPr>
            <w:webHidden/>
          </w:rPr>
          <w:fldChar w:fldCharType="separate"/>
        </w:r>
        <w:r w:rsidR="008B7CE8">
          <w:rPr>
            <w:webHidden/>
          </w:rPr>
          <w:t>11</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19" w:history="1">
        <w:r w:rsidR="008E6AD9" w:rsidRPr="0063334B">
          <w:rPr>
            <w:rStyle w:val="Hyperlink"/>
          </w:rPr>
          <w:t>HSPs make a difference in unique and discretionary situations</w:t>
        </w:r>
        <w:r w:rsidR="008E6AD9">
          <w:rPr>
            <w:webHidden/>
          </w:rPr>
          <w:tab/>
        </w:r>
        <w:r w:rsidR="008E6AD9">
          <w:rPr>
            <w:webHidden/>
          </w:rPr>
          <w:fldChar w:fldCharType="begin"/>
        </w:r>
        <w:r w:rsidR="008E6AD9">
          <w:rPr>
            <w:webHidden/>
          </w:rPr>
          <w:instrText xml:space="preserve"> PAGEREF _Toc516161719 \h </w:instrText>
        </w:r>
        <w:r w:rsidR="008E6AD9">
          <w:rPr>
            <w:webHidden/>
          </w:rPr>
        </w:r>
        <w:r w:rsidR="008E6AD9">
          <w:rPr>
            <w:webHidden/>
          </w:rPr>
          <w:fldChar w:fldCharType="separate"/>
        </w:r>
        <w:r w:rsidR="008B7CE8">
          <w:rPr>
            <w:webHidden/>
          </w:rPr>
          <w:t>11</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20" w:history="1">
        <w:r w:rsidR="008E6AD9" w:rsidRPr="0063334B">
          <w:rPr>
            <w:rStyle w:val="Hyperlink"/>
          </w:rPr>
          <w:t>Some HSPs are very helpful but others are less effective or even detrimental</w:t>
        </w:r>
        <w:r w:rsidR="008E6AD9">
          <w:rPr>
            <w:webHidden/>
          </w:rPr>
          <w:tab/>
        </w:r>
        <w:r w:rsidR="008E6AD9">
          <w:rPr>
            <w:webHidden/>
          </w:rPr>
          <w:fldChar w:fldCharType="begin"/>
        </w:r>
        <w:r w:rsidR="008E6AD9">
          <w:rPr>
            <w:webHidden/>
          </w:rPr>
          <w:instrText xml:space="preserve"> PAGEREF _Toc516161720 \h </w:instrText>
        </w:r>
        <w:r w:rsidR="008E6AD9">
          <w:rPr>
            <w:webHidden/>
          </w:rPr>
        </w:r>
        <w:r w:rsidR="008E6AD9">
          <w:rPr>
            <w:webHidden/>
          </w:rPr>
          <w:fldChar w:fldCharType="separate"/>
        </w:r>
        <w:r w:rsidR="008B7CE8">
          <w:rPr>
            <w:webHidden/>
          </w:rPr>
          <w:t>13</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21" w:history="1">
        <w:r w:rsidR="008E6AD9" w:rsidRPr="0063334B">
          <w:rPr>
            <w:rStyle w:val="Hyperlink"/>
          </w:rPr>
          <w:t>The level of uptake of HSPs is consistent with poli</w:t>
        </w:r>
        <w:r w:rsidR="008B7CE8">
          <w:rPr>
            <w:rStyle w:val="Hyperlink"/>
          </w:rPr>
          <w:t>cy intent, but may also reflect</w:t>
        </w:r>
        <w:r w:rsidR="008B7CE8">
          <w:rPr>
            <w:rStyle w:val="Hyperlink"/>
          </w:rPr>
          <w:br/>
        </w:r>
        <w:r w:rsidR="008E6AD9" w:rsidRPr="0063334B">
          <w:rPr>
            <w:rStyle w:val="Hyperlink"/>
          </w:rPr>
          <w:t>other factors</w:t>
        </w:r>
        <w:r w:rsidR="008E6AD9">
          <w:rPr>
            <w:webHidden/>
          </w:rPr>
          <w:tab/>
        </w:r>
        <w:r w:rsidR="008E6AD9">
          <w:rPr>
            <w:webHidden/>
          </w:rPr>
          <w:fldChar w:fldCharType="begin"/>
        </w:r>
        <w:r w:rsidR="008E6AD9">
          <w:rPr>
            <w:webHidden/>
          </w:rPr>
          <w:instrText xml:space="preserve"> PAGEREF _Toc516161721 \h </w:instrText>
        </w:r>
        <w:r w:rsidR="008E6AD9">
          <w:rPr>
            <w:webHidden/>
          </w:rPr>
        </w:r>
        <w:r w:rsidR="008E6AD9">
          <w:rPr>
            <w:webHidden/>
          </w:rPr>
          <w:fldChar w:fldCharType="separate"/>
        </w:r>
        <w:r w:rsidR="008B7CE8">
          <w:rPr>
            <w:webHidden/>
          </w:rPr>
          <w:t>16</w:t>
        </w:r>
        <w:r w:rsidR="008E6AD9">
          <w:rPr>
            <w:webHidden/>
          </w:rPr>
          <w:fldChar w:fldCharType="end"/>
        </w:r>
      </w:hyperlink>
    </w:p>
    <w:p w:rsidR="008E6AD9" w:rsidRDefault="00DA427A">
      <w:pPr>
        <w:pStyle w:val="TOC1"/>
        <w:rPr>
          <w:rFonts w:asciiTheme="minorHAnsi" w:eastAsiaTheme="minorEastAsia" w:hAnsiTheme="minorHAnsi" w:cstheme="minorBidi"/>
          <w:b w:val="0"/>
          <w:color w:val="auto"/>
          <w:kern w:val="0"/>
          <w:sz w:val="22"/>
          <w:szCs w:val="22"/>
          <w:lang w:eastAsia="en-NZ"/>
        </w:rPr>
      </w:pPr>
      <w:hyperlink w:anchor="_Toc516161722" w:history="1">
        <w:r w:rsidR="008E6AD9" w:rsidRPr="0063334B">
          <w:rPr>
            <w:rStyle w:val="Hyperlink"/>
          </w:rPr>
          <w:t>Actionable insights</w:t>
        </w:r>
        <w:r w:rsidR="008E6AD9">
          <w:rPr>
            <w:webHidden/>
          </w:rPr>
          <w:tab/>
        </w:r>
        <w:r w:rsidR="008E6AD9">
          <w:rPr>
            <w:webHidden/>
          </w:rPr>
          <w:fldChar w:fldCharType="begin"/>
        </w:r>
        <w:r w:rsidR="008E6AD9">
          <w:rPr>
            <w:webHidden/>
          </w:rPr>
          <w:instrText xml:space="preserve"> PAGEREF _Toc516161722 \h </w:instrText>
        </w:r>
        <w:r w:rsidR="008E6AD9">
          <w:rPr>
            <w:webHidden/>
          </w:rPr>
        </w:r>
        <w:r w:rsidR="008E6AD9">
          <w:rPr>
            <w:webHidden/>
          </w:rPr>
          <w:fldChar w:fldCharType="separate"/>
        </w:r>
        <w:r w:rsidR="008B7CE8">
          <w:rPr>
            <w:webHidden/>
          </w:rPr>
          <w:t>17</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23" w:history="1">
        <w:r w:rsidR="008E6AD9" w:rsidRPr="0063334B">
          <w:rPr>
            <w:rStyle w:val="Hyperlink"/>
          </w:rPr>
          <w:t>Strengthen the effectiveness of HSPs</w:t>
        </w:r>
        <w:r w:rsidR="008E6AD9">
          <w:rPr>
            <w:webHidden/>
          </w:rPr>
          <w:tab/>
        </w:r>
        <w:r w:rsidR="008E6AD9">
          <w:rPr>
            <w:webHidden/>
          </w:rPr>
          <w:fldChar w:fldCharType="begin"/>
        </w:r>
        <w:r w:rsidR="008E6AD9">
          <w:rPr>
            <w:webHidden/>
          </w:rPr>
          <w:instrText xml:space="preserve"> PAGEREF _Toc516161723 \h </w:instrText>
        </w:r>
        <w:r w:rsidR="008E6AD9">
          <w:rPr>
            <w:webHidden/>
          </w:rPr>
        </w:r>
        <w:r w:rsidR="008E6AD9">
          <w:rPr>
            <w:webHidden/>
          </w:rPr>
          <w:fldChar w:fldCharType="separate"/>
        </w:r>
        <w:r w:rsidR="008B7CE8">
          <w:rPr>
            <w:webHidden/>
          </w:rPr>
          <w:t>17</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24" w:history="1">
        <w:r w:rsidR="008E6AD9" w:rsidRPr="0063334B">
          <w:rPr>
            <w:rStyle w:val="Hyperlink"/>
          </w:rPr>
          <w:t>Generate more robust data about HSPs</w:t>
        </w:r>
        <w:r w:rsidR="008E6AD9">
          <w:rPr>
            <w:webHidden/>
          </w:rPr>
          <w:tab/>
        </w:r>
        <w:r w:rsidR="008E6AD9">
          <w:rPr>
            <w:webHidden/>
          </w:rPr>
          <w:fldChar w:fldCharType="begin"/>
        </w:r>
        <w:r w:rsidR="008E6AD9">
          <w:rPr>
            <w:webHidden/>
          </w:rPr>
          <w:instrText xml:space="preserve"> PAGEREF _Toc516161724 \h </w:instrText>
        </w:r>
        <w:r w:rsidR="008E6AD9">
          <w:rPr>
            <w:webHidden/>
          </w:rPr>
        </w:r>
        <w:r w:rsidR="008E6AD9">
          <w:rPr>
            <w:webHidden/>
          </w:rPr>
          <w:fldChar w:fldCharType="separate"/>
        </w:r>
        <w:r w:rsidR="008B7CE8">
          <w:rPr>
            <w:webHidden/>
          </w:rPr>
          <w:t>19</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25" w:history="1">
        <w:r w:rsidR="008E6AD9" w:rsidRPr="0063334B">
          <w:rPr>
            <w:rStyle w:val="Hyperlink"/>
          </w:rPr>
          <w:t>Expand this research approach in future work</w:t>
        </w:r>
        <w:r w:rsidR="008E6AD9">
          <w:rPr>
            <w:webHidden/>
          </w:rPr>
          <w:tab/>
        </w:r>
        <w:r w:rsidR="008E6AD9">
          <w:rPr>
            <w:webHidden/>
          </w:rPr>
          <w:fldChar w:fldCharType="begin"/>
        </w:r>
        <w:r w:rsidR="008E6AD9">
          <w:rPr>
            <w:webHidden/>
          </w:rPr>
          <w:instrText xml:space="preserve"> PAGEREF _Toc516161725 \h </w:instrText>
        </w:r>
        <w:r w:rsidR="008E6AD9">
          <w:rPr>
            <w:webHidden/>
          </w:rPr>
        </w:r>
        <w:r w:rsidR="008E6AD9">
          <w:rPr>
            <w:webHidden/>
          </w:rPr>
          <w:fldChar w:fldCharType="separate"/>
        </w:r>
        <w:r w:rsidR="008B7CE8">
          <w:rPr>
            <w:webHidden/>
          </w:rPr>
          <w:t>21</w:t>
        </w:r>
        <w:r w:rsidR="008E6AD9">
          <w:rPr>
            <w:webHidden/>
          </w:rPr>
          <w:fldChar w:fldCharType="end"/>
        </w:r>
      </w:hyperlink>
    </w:p>
    <w:p w:rsidR="008E6AD9" w:rsidRDefault="00DA427A">
      <w:pPr>
        <w:pStyle w:val="TOC1"/>
        <w:rPr>
          <w:rFonts w:asciiTheme="minorHAnsi" w:eastAsiaTheme="minorEastAsia" w:hAnsiTheme="minorHAnsi" w:cstheme="minorBidi"/>
          <w:b w:val="0"/>
          <w:color w:val="auto"/>
          <w:kern w:val="0"/>
          <w:sz w:val="22"/>
          <w:szCs w:val="22"/>
          <w:lang w:eastAsia="en-NZ"/>
        </w:rPr>
      </w:pPr>
      <w:hyperlink w:anchor="_Toc516161726" w:history="1">
        <w:r w:rsidR="008E6AD9" w:rsidRPr="0063334B">
          <w:rPr>
            <w:rStyle w:val="Hyperlink"/>
          </w:rPr>
          <w:t>Appendix: Methodology</w:t>
        </w:r>
        <w:r w:rsidR="008E6AD9">
          <w:rPr>
            <w:webHidden/>
          </w:rPr>
          <w:tab/>
        </w:r>
        <w:r w:rsidR="008E6AD9">
          <w:rPr>
            <w:webHidden/>
          </w:rPr>
          <w:fldChar w:fldCharType="begin"/>
        </w:r>
        <w:r w:rsidR="008E6AD9">
          <w:rPr>
            <w:webHidden/>
          </w:rPr>
          <w:instrText xml:space="preserve"> PAGEREF _Toc516161726 \h </w:instrText>
        </w:r>
        <w:r w:rsidR="008E6AD9">
          <w:rPr>
            <w:webHidden/>
          </w:rPr>
        </w:r>
        <w:r w:rsidR="008E6AD9">
          <w:rPr>
            <w:webHidden/>
          </w:rPr>
          <w:fldChar w:fldCharType="separate"/>
        </w:r>
        <w:r w:rsidR="008B7CE8">
          <w:rPr>
            <w:webHidden/>
          </w:rPr>
          <w:t>22</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27" w:history="1">
        <w:r w:rsidR="008E6AD9" w:rsidRPr="0063334B">
          <w:rPr>
            <w:rStyle w:val="Hyperlink"/>
          </w:rPr>
          <w:t>We extracted quantitative data on HSP ‘occasions’ from the Information Analysis Platform</w:t>
        </w:r>
        <w:r w:rsidR="008E6AD9">
          <w:rPr>
            <w:webHidden/>
          </w:rPr>
          <w:tab/>
        </w:r>
        <w:r w:rsidR="008E6AD9">
          <w:rPr>
            <w:webHidden/>
          </w:rPr>
          <w:fldChar w:fldCharType="begin"/>
        </w:r>
        <w:r w:rsidR="008E6AD9">
          <w:rPr>
            <w:webHidden/>
          </w:rPr>
          <w:instrText xml:space="preserve"> PAGEREF _Toc516161727 \h </w:instrText>
        </w:r>
        <w:r w:rsidR="008E6AD9">
          <w:rPr>
            <w:webHidden/>
          </w:rPr>
        </w:r>
        <w:r w:rsidR="008E6AD9">
          <w:rPr>
            <w:webHidden/>
          </w:rPr>
          <w:fldChar w:fldCharType="separate"/>
        </w:r>
        <w:r w:rsidR="008B7CE8">
          <w:rPr>
            <w:webHidden/>
          </w:rPr>
          <w:t>22</w:t>
        </w:r>
        <w:r w:rsidR="008E6AD9">
          <w:rPr>
            <w:webHidden/>
          </w:rPr>
          <w:fldChar w:fldCharType="end"/>
        </w:r>
      </w:hyperlink>
    </w:p>
    <w:p w:rsidR="008E6AD9" w:rsidRDefault="00DA427A">
      <w:pPr>
        <w:pStyle w:val="TOC2"/>
        <w:rPr>
          <w:rFonts w:asciiTheme="minorHAnsi" w:eastAsiaTheme="minorEastAsia" w:hAnsiTheme="minorHAnsi" w:cstheme="minorBidi"/>
          <w:kern w:val="0"/>
          <w:sz w:val="22"/>
          <w:szCs w:val="22"/>
          <w:lang w:eastAsia="en-NZ"/>
        </w:rPr>
      </w:pPr>
      <w:hyperlink w:anchor="_Toc516161728" w:history="1">
        <w:r w:rsidR="008E6AD9" w:rsidRPr="0063334B">
          <w:rPr>
            <w:rStyle w:val="Hyperlink"/>
          </w:rPr>
          <w:t>We conducted focus groups about HSPs with the Top 20 case managers</w:t>
        </w:r>
        <w:r w:rsidR="008E6AD9">
          <w:rPr>
            <w:webHidden/>
          </w:rPr>
          <w:tab/>
        </w:r>
        <w:r w:rsidR="008E6AD9">
          <w:rPr>
            <w:webHidden/>
          </w:rPr>
          <w:fldChar w:fldCharType="begin"/>
        </w:r>
        <w:r w:rsidR="008E6AD9">
          <w:rPr>
            <w:webHidden/>
          </w:rPr>
          <w:instrText xml:space="preserve"> PAGEREF _Toc516161728 \h </w:instrText>
        </w:r>
        <w:r w:rsidR="008E6AD9">
          <w:rPr>
            <w:webHidden/>
          </w:rPr>
        </w:r>
        <w:r w:rsidR="008E6AD9">
          <w:rPr>
            <w:webHidden/>
          </w:rPr>
          <w:fldChar w:fldCharType="separate"/>
        </w:r>
        <w:r w:rsidR="008B7CE8">
          <w:rPr>
            <w:webHidden/>
          </w:rPr>
          <w:t>22</w:t>
        </w:r>
        <w:r w:rsidR="008E6AD9">
          <w:rPr>
            <w:webHidden/>
          </w:rPr>
          <w:fldChar w:fldCharType="end"/>
        </w:r>
      </w:hyperlink>
    </w:p>
    <w:p w:rsidR="00900EA8" w:rsidRDefault="00F76C7B">
      <w:pPr>
        <w:spacing w:before="0" w:after="0" w:line="240" w:lineRule="auto"/>
        <w:rPr>
          <w:rFonts w:ascii="Georgia" w:eastAsiaTheme="majorEastAsia" w:hAnsi="Georgia"/>
          <w:b/>
          <w:bCs/>
          <w:color w:val="121F6B"/>
          <w:kern w:val="0"/>
          <w:sz w:val="40"/>
          <w:szCs w:val="40"/>
        </w:rPr>
      </w:pPr>
      <w:r>
        <w:rPr>
          <w:sz w:val="40"/>
          <w:szCs w:val="40"/>
        </w:rPr>
        <w:fldChar w:fldCharType="end"/>
      </w:r>
      <w:r w:rsidR="00900EA8">
        <w:rPr>
          <w:sz w:val="40"/>
          <w:szCs w:val="40"/>
        </w:rPr>
        <w:br w:type="page"/>
      </w:r>
    </w:p>
    <w:p w:rsidR="00792BC9" w:rsidRPr="00117003" w:rsidRDefault="00792BC9" w:rsidP="00FA44C8">
      <w:pPr>
        <w:pStyle w:val="Heading1"/>
        <w:ind w:right="-46"/>
        <w:rPr>
          <w:rStyle w:val="Hyperlink"/>
          <w:rFonts w:ascii="Verdana" w:eastAsia="Calibri" w:hAnsi="Verdana"/>
          <w:bCs w:val="0"/>
          <w:noProof/>
          <w:color w:val="121F6B"/>
          <w:kern w:val="28"/>
          <w:sz w:val="20"/>
          <w:szCs w:val="20"/>
          <w:u w:val="none"/>
        </w:rPr>
      </w:pPr>
      <w:bookmarkStart w:id="7" w:name="_Toc516161704"/>
      <w:r w:rsidRPr="00117003">
        <w:rPr>
          <w:rStyle w:val="Hyperlink"/>
          <w:color w:val="121F6B"/>
          <w:u w:val="none"/>
        </w:rPr>
        <w:lastRenderedPageBreak/>
        <w:t xml:space="preserve">Key </w:t>
      </w:r>
      <w:r w:rsidRPr="008A7E90">
        <w:rPr>
          <w:rStyle w:val="Hyperlink"/>
          <w:color w:val="121F6B"/>
          <w:u w:val="none"/>
        </w:rPr>
        <w:t>terms</w:t>
      </w:r>
      <w:bookmarkEnd w:id="7"/>
    </w:p>
    <w:p w:rsidR="00792BC9" w:rsidRPr="00FA44C8" w:rsidRDefault="00792BC9" w:rsidP="00FA44C8">
      <w:pPr>
        <w:pStyle w:val="ListParagraph"/>
        <w:numPr>
          <w:ilvl w:val="0"/>
          <w:numId w:val="40"/>
        </w:numPr>
        <w:spacing w:before="120" w:after="120"/>
        <w:ind w:left="425" w:hanging="425"/>
        <w:contextualSpacing w:val="0"/>
        <w:rPr>
          <w:rStyle w:val="Hyperlink"/>
          <w:rFonts w:ascii="Georgia" w:eastAsiaTheme="majorEastAsia" w:hAnsi="Georgia"/>
          <w:b/>
          <w:bCs/>
          <w:noProof/>
          <w:color w:val="auto"/>
          <w:kern w:val="0"/>
          <w:sz w:val="40"/>
          <w:szCs w:val="36"/>
          <w:u w:val="none"/>
        </w:rPr>
      </w:pPr>
      <w:r w:rsidRPr="00FA44C8">
        <w:rPr>
          <w:rStyle w:val="Hyperlink"/>
          <w:b/>
          <w:noProof/>
          <w:color w:val="auto"/>
          <w:u w:val="none"/>
        </w:rPr>
        <w:t xml:space="preserve">Alternative </w:t>
      </w:r>
      <w:r w:rsidR="007A2362" w:rsidRPr="00FA44C8">
        <w:rPr>
          <w:rStyle w:val="Hyperlink"/>
          <w:b/>
          <w:noProof/>
          <w:color w:val="auto"/>
          <w:u w:val="none"/>
        </w:rPr>
        <w:t>housing</w:t>
      </w:r>
      <w:r w:rsidR="009D1A93" w:rsidRPr="00FA44C8">
        <w:rPr>
          <w:rStyle w:val="Hyperlink"/>
          <w:b/>
          <w:noProof/>
          <w:color w:val="auto"/>
          <w:u w:val="none"/>
        </w:rPr>
        <w:t>:</w:t>
      </w:r>
      <w:r w:rsidRPr="00FA44C8">
        <w:rPr>
          <w:rStyle w:val="Hyperlink"/>
          <w:noProof/>
          <w:color w:val="auto"/>
          <w:u w:val="none"/>
        </w:rPr>
        <w:t xml:space="preserve"> Private housing such as rentals and home ownership</w:t>
      </w:r>
      <w:r w:rsidR="008A553D" w:rsidRPr="00FA44C8">
        <w:rPr>
          <w:rStyle w:val="Hyperlink"/>
          <w:noProof/>
          <w:color w:val="auto"/>
          <w:u w:val="none"/>
        </w:rPr>
        <w:t xml:space="preserve">. A place that is </w:t>
      </w:r>
      <w:r w:rsidRPr="00FA44C8">
        <w:rPr>
          <w:rStyle w:val="Hyperlink"/>
          <w:noProof/>
          <w:color w:val="auto"/>
          <w:u w:val="none"/>
        </w:rPr>
        <w:t xml:space="preserve">not provided by Housing New Zealand (state houses), Community Housing Providers (community housing) or by local territorial authorities (council housing). </w:t>
      </w:r>
    </w:p>
    <w:p w:rsidR="00792BC9" w:rsidRPr="00FA44C8" w:rsidRDefault="00792BC9" w:rsidP="00FA44C8">
      <w:pPr>
        <w:pStyle w:val="ListParagraph"/>
        <w:numPr>
          <w:ilvl w:val="0"/>
          <w:numId w:val="40"/>
        </w:numPr>
        <w:spacing w:before="120" w:after="120"/>
        <w:ind w:left="425" w:hanging="425"/>
        <w:contextualSpacing w:val="0"/>
        <w:rPr>
          <w:rStyle w:val="Hyperlink"/>
          <w:noProof/>
          <w:color w:val="auto"/>
          <w:u w:val="none"/>
        </w:rPr>
      </w:pPr>
      <w:r w:rsidRPr="00FA44C8">
        <w:rPr>
          <w:rStyle w:val="Hyperlink"/>
          <w:b/>
          <w:noProof/>
          <w:color w:val="auto"/>
          <w:u w:val="none"/>
        </w:rPr>
        <w:t xml:space="preserve">Public </w:t>
      </w:r>
      <w:r w:rsidR="007A2362" w:rsidRPr="00FA44C8">
        <w:rPr>
          <w:rStyle w:val="Hyperlink"/>
          <w:b/>
          <w:noProof/>
          <w:color w:val="auto"/>
          <w:u w:val="none"/>
        </w:rPr>
        <w:t>housing</w:t>
      </w:r>
      <w:r w:rsidR="009D1A93" w:rsidRPr="00FA44C8">
        <w:rPr>
          <w:rStyle w:val="Hyperlink"/>
          <w:b/>
          <w:noProof/>
          <w:color w:val="auto"/>
          <w:u w:val="none"/>
        </w:rPr>
        <w:t>:</w:t>
      </w:r>
      <w:r w:rsidRPr="00FA44C8">
        <w:rPr>
          <w:rStyle w:val="Hyperlink"/>
          <w:noProof/>
          <w:color w:val="auto"/>
          <w:u w:val="none"/>
        </w:rPr>
        <w:t xml:space="preserve"> Properties owned or leased by Housing New Zealand and registered Community Housing Providers that can be tenanted by people who are eligible for public housing. </w:t>
      </w:r>
    </w:p>
    <w:p w:rsidR="00792BC9" w:rsidRPr="00FA44C8" w:rsidRDefault="00792BC9" w:rsidP="00FA44C8">
      <w:pPr>
        <w:pStyle w:val="ListParagraph"/>
        <w:numPr>
          <w:ilvl w:val="0"/>
          <w:numId w:val="40"/>
        </w:numPr>
        <w:spacing w:before="120" w:after="120"/>
        <w:ind w:left="425" w:hanging="425"/>
        <w:contextualSpacing w:val="0"/>
        <w:rPr>
          <w:rStyle w:val="Hyperlink"/>
          <w:noProof/>
          <w:color w:val="auto"/>
          <w:u w:val="none"/>
        </w:rPr>
      </w:pPr>
      <w:r w:rsidRPr="00FA44C8">
        <w:rPr>
          <w:rStyle w:val="Hyperlink"/>
          <w:b/>
          <w:noProof/>
          <w:color w:val="auto"/>
          <w:u w:val="none"/>
        </w:rPr>
        <w:t xml:space="preserve">Transitional </w:t>
      </w:r>
      <w:r w:rsidR="007A2362" w:rsidRPr="00FA44C8">
        <w:rPr>
          <w:rStyle w:val="Hyperlink"/>
          <w:b/>
          <w:noProof/>
          <w:color w:val="auto"/>
          <w:u w:val="none"/>
        </w:rPr>
        <w:t>housing</w:t>
      </w:r>
      <w:r w:rsidR="009D1A93" w:rsidRPr="00FA44C8">
        <w:rPr>
          <w:rStyle w:val="Hyperlink"/>
          <w:b/>
          <w:noProof/>
          <w:color w:val="auto"/>
          <w:u w:val="none"/>
        </w:rPr>
        <w:t>:</w:t>
      </w:r>
      <w:r w:rsidRPr="00FA44C8">
        <w:rPr>
          <w:rStyle w:val="Hyperlink"/>
          <w:noProof/>
          <w:color w:val="auto"/>
          <w:u w:val="none"/>
        </w:rPr>
        <w:t xml:space="preserve"> Transitional housing provides short-term housing (12 weeks on average) for people with an immediate housing need while support is put in place to transition them into sustainable housing on a long-term basis.</w:t>
      </w:r>
    </w:p>
    <w:p w:rsidR="00792BC9" w:rsidRPr="00FA44C8" w:rsidRDefault="00792BC9" w:rsidP="00FA44C8">
      <w:pPr>
        <w:pStyle w:val="ListParagraph"/>
        <w:numPr>
          <w:ilvl w:val="0"/>
          <w:numId w:val="40"/>
        </w:numPr>
        <w:spacing w:before="120" w:after="120"/>
        <w:ind w:left="425" w:hanging="425"/>
        <w:contextualSpacing w:val="0"/>
        <w:rPr>
          <w:rStyle w:val="Hyperlink"/>
          <w:noProof/>
          <w:color w:val="auto"/>
          <w:u w:val="none"/>
        </w:rPr>
      </w:pPr>
      <w:r w:rsidRPr="00FA44C8">
        <w:rPr>
          <w:rStyle w:val="Hyperlink"/>
          <w:b/>
          <w:noProof/>
          <w:color w:val="auto"/>
          <w:u w:val="none"/>
        </w:rPr>
        <w:t xml:space="preserve">Emergency </w:t>
      </w:r>
      <w:r w:rsidR="007A2362" w:rsidRPr="00FA44C8">
        <w:rPr>
          <w:rStyle w:val="Hyperlink"/>
          <w:b/>
          <w:noProof/>
          <w:color w:val="auto"/>
          <w:u w:val="none"/>
        </w:rPr>
        <w:t>housing</w:t>
      </w:r>
      <w:r w:rsidR="009D1A93" w:rsidRPr="00FA44C8">
        <w:rPr>
          <w:rStyle w:val="Hyperlink"/>
          <w:b/>
          <w:noProof/>
          <w:color w:val="auto"/>
          <w:u w:val="none"/>
        </w:rPr>
        <w:t>:</w:t>
      </w:r>
      <w:r w:rsidRPr="00FA44C8">
        <w:rPr>
          <w:rStyle w:val="Hyperlink"/>
          <w:noProof/>
          <w:color w:val="auto"/>
          <w:u w:val="none"/>
        </w:rPr>
        <w:t xml:space="preserve"> Where transitional housing places are fully subscribed MSD helps meet the cost of short-term accommodation (motels, boarding houses, camp grounds) through payment of a Emergency Housing Special Needs Grant.</w:t>
      </w:r>
    </w:p>
    <w:p w:rsidR="00792BC9" w:rsidRPr="00FA44C8" w:rsidRDefault="009D1A93" w:rsidP="00FA44C8">
      <w:pPr>
        <w:pStyle w:val="ListParagraph"/>
        <w:numPr>
          <w:ilvl w:val="0"/>
          <w:numId w:val="40"/>
        </w:numPr>
        <w:spacing w:before="120" w:after="120"/>
        <w:ind w:left="425" w:hanging="425"/>
        <w:contextualSpacing w:val="0"/>
        <w:rPr>
          <w:rStyle w:val="Hyperlink"/>
          <w:noProof/>
          <w:color w:val="auto"/>
          <w:u w:val="none"/>
        </w:rPr>
      </w:pPr>
      <w:r w:rsidRPr="00FA44C8">
        <w:rPr>
          <w:rStyle w:val="Hyperlink"/>
          <w:b/>
          <w:noProof/>
          <w:color w:val="auto"/>
          <w:u w:val="none"/>
        </w:rPr>
        <w:t>Social</w:t>
      </w:r>
      <w:r w:rsidR="00792BC9" w:rsidRPr="00FA44C8">
        <w:rPr>
          <w:rStyle w:val="Hyperlink"/>
          <w:b/>
          <w:noProof/>
          <w:color w:val="auto"/>
          <w:u w:val="none"/>
        </w:rPr>
        <w:t xml:space="preserve"> Housing Register</w:t>
      </w:r>
      <w:r w:rsidRPr="00FA44C8">
        <w:rPr>
          <w:rStyle w:val="Hyperlink"/>
          <w:b/>
          <w:noProof/>
          <w:color w:val="auto"/>
          <w:u w:val="none"/>
        </w:rPr>
        <w:t>:</w:t>
      </w:r>
      <w:r w:rsidR="00792BC9" w:rsidRPr="00FA44C8">
        <w:rPr>
          <w:rStyle w:val="Hyperlink"/>
          <w:noProof/>
          <w:color w:val="auto"/>
          <w:u w:val="none"/>
        </w:rPr>
        <w:t xml:space="preserve"> P</w:t>
      </w:r>
      <w:r w:rsidRPr="00FA44C8">
        <w:rPr>
          <w:rStyle w:val="Hyperlink"/>
          <w:noProof/>
          <w:color w:val="auto"/>
          <w:u w:val="none"/>
        </w:rPr>
        <w:t>eople in need of public housing</w:t>
      </w:r>
      <w:r w:rsidR="00792BC9" w:rsidRPr="00FA44C8">
        <w:rPr>
          <w:rStyle w:val="Hyperlink"/>
          <w:noProof/>
          <w:color w:val="auto"/>
          <w:u w:val="none"/>
        </w:rPr>
        <w:t xml:space="preserve"> are recorded on the </w:t>
      </w:r>
      <w:r w:rsidRPr="00FA44C8">
        <w:rPr>
          <w:rStyle w:val="Hyperlink"/>
          <w:noProof/>
          <w:color w:val="auto"/>
          <w:u w:val="none"/>
        </w:rPr>
        <w:t xml:space="preserve">Social </w:t>
      </w:r>
      <w:r w:rsidR="00792BC9" w:rsidRPr="00FA44C8">
        <w:rPr>
          <w:rStyle w:val="Hyperlink"/>
          <w:noProof/>
          <w:color w:val="auto"/>
          <w:u w:val="none"/>
        </w:rPr>
        <w:t>Housing Register, which is comprised of a Housing Register and a Transfer Register</w:t>
      </w:r>
      <w:r w:rsidRPr="00FA44C8">
        <w:rPr>
          <w:rStyle w:val="Hyperlink"/>
          <w:noProof/>
          <w:color w:val="auto"/>
          <w:u w:val="none"/>
        </w:rPr>
        <w:t>.</w:t>
      </w:r>
    </w:p>
    <w:p w:rsidR="007F0412" w:rsidRPr="00FA44C8" w:rsidRDefault="00792BC9" w:rsidP="00FA44C8">
      <w:pPr>
        <w:pStyle w:val="ListParagraph"/>
        <w:numPr>
          <w:ilvl w:val="0"/>
          <w:numId w:val="40"/>
        </w:numPr>
        <w:spacing w:before="120" w:after="120"/>
        <w:ind w:left="425" w:hanging="425"/>
        <w:contextualSpacing w:val="0"/>
        <w:rPr>
          <w:rStyle w:val="Hyperlink"/>
          <w:noProof/>
          <w:color w:val="auto"/>
          <w:sz w:val="24"/>
          <w:szCs w:val="24"/>
          <w:u w:val="none"/>
        </w:rPr>
      </w:pPr>
      <w:r w:rsidRPr="00FA44C8">
        <w:rPr>
          <w:rStyle w:val="Hyperlink"/>
          <w:b/>
          <w:noProof/>
          <w:color w:val="auto"/>
          <w:u w:val="none"/>
        </w:rPr>
        <w:t>Accommodation Supplemen</w:t>
      </w:r>
      <w:r w:rsidR="009D1A93" w:rsidRPr="00FA44C8">
        <w:rPr>
          <w:rStyle w:val="Hyperlink"/>
          <w:b/>
          <w:noProof/>
          <w:color w:val="auto"/>
          <w:u w:val="none"/>
        </w:rPr>
        <w:t>t:</w:t>
      </w:r>
      <w:r w:rsidRPr="00FA44C8">
        <w:rPr>
          <w:rStyle w:val="Hyperlink"/>
          <w:noProof/>
          <w:color w:val="auto"/>
          <w:u w:val="none"/>
        </w:rPr>
        <w:t xml:space="preserve"> </w:t>
      </w:r>
      <w:r w:rsidR="008A553D" w:rsidRPr="00FA44C8">
        <w:rPr>
          <w:rStyle w:val="Hyperlink"/>
          <w:noProof/>
          <w:color w:val="auto"/>
          <w:u w:val="none"/>
        </w:rPr>
        <w:t>A</w:t>
      </w:r>
      <w:r w:rsidRPr="00FA44C8">
        <w:rPr>
          <w:rStyle w:val="Hyperlink"/>
          <w:noProof/>
          <w:color w:val="auto"/>
          <w:u w:val="none"/>
        </w:rPr>
        <w:t xml:space="preserve"> weekly payment to assist people who are not in public housing with their rent, board or the cost of owning a home. A person does not have to be receiving a benefit to qualify for Accommodation Supplement</w:t>
      </w:r>
      <w:r w:rsidR="005964DA" w:rsidRPr="00FA44C8">
        <w:rPr>
          <w:rStyle w:val="Hyperlink"/>
          <w:noProof/>
          <w:color w:val="auto"/>
          <w:u w:val="none"/>
        </w:rPr>
        <w:t>.</w:t>
      </w:r>
    </w:p>
    <w:p w:rsidR="007F0412" w:rsidRPr="00D80DBC" w:rsidRDefault="007F0412" w:rsidP="00FA44C8">
      <w:pPr>
        <w:pStyle w:val="ListParagraph"/>
        <w:numPr>
          <w:ilvl w:val="0"/>
          <w:numId w:val="40"/>
        </w:numPr>
        <w:spacing w:before="120" w:after="120"/>
        <w:ind w:left="425" w:hanging="425"/>
        <w:contextualSpacing w:val="0"/>
      </w:pPr>
      <w:r w:rsidRPr="00FA44C8">
        <w:rPr>
          <w:rStyle w:val="Hyperlink"/>
          <w:b/>
          <w:noProof/>
          <w:color w:val="auto"/>
          <w:u w:val="none"/>
        </w:rPr>
        <w:t>Housing Support Products:</w:t>
      </w:r>
      <w:r w:rsidRPr="00FA44C8">
        <w:rPr>
          <w:rStyle w:val="Hyperlink"/>
          <w:color w:val="121F6B"/>
          <w:u w:val="none"/>
        </w:rPr>
        <w:t xml:space="preserve"> </w:t>
      </w:r>
      <w:r>
        <w:t>A</w:t>
      </w:r>
      <w:r w:rsidRPr="00D80DBC">
        <w:t xml:space="preserve"> set of individual products that aim to address barriers to accessing or retaining housing by meeting needs not covered by other forms of assistance</w:t>
      </w:r>
      <w:r>
        <w:t>.</w:t>
      </w:r>
      <w:r w:rsidRPr="00D80DBC">
        <w:t xml:space="preserve"> </w:t>
      </w:r>
    </w:p>
    <w:p w:rsidR="00792BC9" w:rsidRPr="008A7E90" w:rsidRDefault="00792BC9" w:rsidP="00FA44C8">
      <w:pPr>
        <w:pStyle w:val="ListParagraph"/>
        <w:numPr>
          <w:ilvl w:val="0"/>
          <w:numId w:val="35"/>
        </w:numPr>
        <w:spacing w:before="120" w:after="120"/>
        <w:ind w:left="425" w:hanging="425"/>
        <w:contextualSpacing w:val="0"/>
        <w:rPr>
          <w:rStyle w:val="Hyperlink"/>
          <w:noProof/>
          <w:color w:val="auto"/>
          <w:sz w:val="24"/>
          <w:szCs w:val="24"/>
          <w:u w:val="none"/>
        </w:rPr>
      </w:pPr>
      <w:r w:rsidRPr="008A7E90">
        <w:rPr>
          <w:rStyle w:val="Hyperlink"/>
          <w:color w:val="121F6B"/>
          <w:u w:val="none"/>
        </w:rPr>
        <w:br w:type="page"/>
      </w:r>
    </w:p>
    <w:p w:rsidR="00436A8C" w:rsidRPr="00C71F80" w:rsidRDefault="00DB27E6" w:rsidP="00FA44C8">
      <w:pPr>
        <w:pStyle w:val="Heading1"/>
        <w:ind w:right="-46"/>
      </w:pPr>
      <w:bookmarkStart w:id="8" w:name="_Toc516161705"/>
      <w:r w:rsidRPr="00EE18AD">
        <w:lastRenderedPageBreak/>
        <w:t xml:space="preserve">Executive </w:t>
      </w:r>
      <w:r w:rsidR="00201925">
        <w:t>s</w:t>
      </w:r>
      <w:r w:rsidR="00201925" w:rsidRPr="00EE18AD">
        <w:t>ummary</w:t>
      </w:r>
      <w:bookmarkEnd w:id="8"/>
    </w:p>
    <w:p w:rsidR="00170922" w:rsidRPr="00FA44C8" w:rsidRDefault="000B1E3A" w:rsidP="008A7E90">
      <w:pPr>
        <w:pStyle w:val="Heading2"/>
      </w:pPr>
      <w:bookmarkStart w:id="9" w:name="_Toc516161706"/>
      <w:bookmarkStart w:id="10" w:name="OLE_LINK4"/>
      <w:bookmarkStart w:id="11" w:name="_Toc452647010"/>
      <w:bookmarkEnd w:id="5"/>
      <w:bookmarkEnd w:id="6"/>
      <w:r w:rsidRPr="00FA44C8">
        <w:t>Purpose</w:t>
      </w:r>
      <w:bookmarkEnd w:id="9"/>
    </w:p>
    <w:p w:rsidR="00F47BF5" w:rsidRDefault="000B1E3A" w:rsidP="008A7E90">
      <w:r>
        <w:t>This report outlines how</w:t>
      </w:r>
      <w:r w:rsidR="00F47BF5">
        <w:t xml:space="preserve"> the </w:t>
      </w:r>
      <w:r>
        <w:t>M</w:t>
      </w:r>
      <w:r w:rsidR="00F47BF5">
        <w:t xml:space="preserve">inistry of </w:t>
      </w:r>
      <w:r>
        <w:t>S</w:t>
      </w:r>
      <w:r w:rsidR="00F47BF5">
        <w:t xml:space="preserve">ocial </w:t>
      </w:r>
      <w:r>
        <w:t>D</w:t>
      </w:r>
      <w:r w:rsidR="00F47BF5">
        <w:t>evelopment</w:t>
      </w:r>
      <w:r>
        <w:t>’s</w:t>
      </w:r>
      <w:r w:rsidR="00F47BF5">
        <w:t xml:space="preserve"> (MSD)</w:t>
      </w:r>
      <w:r>
        <w:t xml:space="preserve"> housing support products (HSPs) </w:t>
      </w:r>
      <w:r w:rsidR="00504E28">
        <w:t xml:space="preserve">are </w:t>
      </w:r>
      <w:r>
        <w:t>be</w:t>
      </w:r>
      <w:r w:rsidR="00504E28">
        <w:t xml:space="preserve">ing accessed by clients and reviewed and </w:t>
      </w:r>
      <w:r>
        <w:t>improved</w:t>
      </w:r>
      <w:r w:rsidR="00504E28">
        <w:t xml:space="preserve"> by MSD</w:t>
      </w:r>
      <w:r>
        <w:t xml:space="preserve">. </w:t>
      </w:r>
    </w:p>
    <w:p w:rsidR="00900EA8" w:rsidRDefault="000B1E3A" w:rsidP="008A7E90">
      <w:pPr>
        <w:rPr>
          <w:rStyle w:val="Hyperlink"/>
          <w:noProof/>
          <w:color w:val="auto"/>
          <w:u w:val="none"/>
        </w:rPr>
      </w:pPr>
      <w:r>
        <w:rPr>
          <w:rStyle w:val="Hyperlink"/>
          <w:noProof/>
          <w:color w:val="auto"/>
          <w:u w:val="none"/>
        </w:rPr>
        <w:t xml:space="preserve">The findings </w:t>
      </w:r>
      <w:r w:rsidR="00800EBD">
        <w:rPr>
          <w:rStyle w:val="Hyperlink"/>
          <w:noProof/>
          <w:color w:val="auto"/>
          <w:u w:val="none"/>
        </w:rPr>
        <w:t>of this report</w:t>
      </w:r>
      <w:r>
        <w:rPr>
          <w:rStyle w:val="Hyperlink"/>
          <w:noProof/>
          <w:color w:val="auto"/>
          <w:u w:val="none"/>
        </w:rPr>
        <w:t xml:space="preserve"> contribute to a review of HSPs by </w:t>
      </w:r>
      <w:r w:rsidR="007E6651">
        <w:rPr>
          <w:rStyle w:val="Hyperlink"/>
          <w:noProof/>
          <w:color w:val="auto"/>
          <w:u w:val="none"/>
        </w:rPr>
        <w:t>MSD’s</w:t>
      </w:r>
      <w:r w:rsidR="00F6725F">
        <w:rPr>
          <w:rStyle w:val="Hyperlink"/>
          <w:noProof/>
          <w:color w:val="auto"/>
          <w:u w:val="none"/>
        </w:rPr>
        <w:t xml:space="preserve"> h</w:t>
      </w:r>
      <w:r w:rsidR="00170922">
        <w:rPr>
          <w:rStyle w:val="Hyperlink"/>
          <w:noProof/>
          <w:color w:val="auto"/>
          <w:u w:val="none"/>
        </w:rPr>
        <w:t xml:space="preserve">ousing </w:t>
      </w:r>
      <w:r w:rsidR="00F6725F">
        <w:rPr>
          <w:rStyle w:val="Hyperlink"/>
          <w:noProof/>
          <w:color w:val="auto"/>
          <w:u w:val="none"/>
        </w:rPr>
        <w:t>p</w:t>
      </w:r>
      <w:r w:rsidR="00170922">
        <w:rPr>
          <w:rStyle w:val="Hyperlink"/>
          <w:noProof/>
          <w:color w:val="auto"/>
          <w:u w:val="none"/>
        </w:rPr>
        <w:t xml:space="preserve">olicy team. </w:t>
      </w:r>
      <w:r>
        <w:rPr>
          <w:rStyle w:val="Hyperlink"/>
          <w:noProof/>
          <w:color w:val="auto"/>
          <w:u w:val="none"/>
        </w:rPr>
        <w:t>F</w:t>
      </w:r>
      <w:r w:rsidR="00AA216A">
        <w:rPr>
          <w:rStyle w:val="Hyperlink"/>
          <w:noProof/>
          <w:color w:val="auto"/>
          <w:u w:val="none"/>
        </w:rPr>
        <w:t>indings and recommendations</w:t>
      </w:r>
      <w:r>
        <w:rPr>
          <w:rStyle w:val="Hyperlink"/>
          <w:noProof/>
          <w:color w:val="auto"/>
          <w:u w:val="none"/>
        </w:rPr>
        <w:t xml:space="preserve"> are based on </w:t>
      </w:r>
      <w:r w:rsidR="00AA216A">
        <w:rPr>
          <w:rStyle w:val="Hyperlink"/>
          <w:noProof/>
          <w:color w:val="auto"/>
          <w:u w:val="none"/>
        </w:rPr>
        <w:t xml:space="preserve">research </w:t>
      </w:r>
      <w:r w:rsidR="00F47BF5">
        <w:rPr>
          <w:rStyle w:val="Hyperlink"/>
          <w:noProof/>
          <w:color w:val="auto"/>
          <w:u w:val="none"/>
        </w:rPr>
        <w:t xml:space="preserve">completed </w:t>
      </w:r>
      <w:r>
        <w:rPr>
          <w:rStyle w:val="Hyperlink"/>
          <w:noProof/>
          <w:color w:val="auto"/>
          <w:u w:val="none"/>
        </w:rPr>
        <w:t xml:space="preserve">in August 2017 </w:t>
      </w:r>
      <w:r w:rsidR="00B07AC8">
        <w:rPr>
          <w:rStyle w:val="Hyperlink"/>
          <w:noProof/>
          <w:color w:val="auto"/>
          <w:u w:val="none"/>
        </w:rPr>
        <w:t xml:space="preserve">using </w:t>
      </w:r>
      <w:r w:rsidR="00F47BF5">
        <w:rPr>
          <w:rStyle w:val="Hyperlink"/>
          <w:noProof/>
          <w:color w:val="auto"/>
          <w:u w:val="none"/>
        </w:rPr>
        <w:t>standard</w:t>
      </w:r>
      <w:r w:rsidR="00B07AC8">
        <w:rPr>
          <w:rStyle w:val="Hyperlink"/>
          <w:noProof/>
          <w:color w:val="auto"/>
          <w:u w:val="none"/>
        </w:rPr>
        <w:t xml:space="preserve"> MSD data and </w:t>
      </w:r>
      <w:r w:rsidR="00F47BF5">
        <w:rPr>
          <w:rStyle w:val="Hyperlink"/>
          <w:noProof/>
          <w:color w:val="auto"/>
          <w:u w:val="none"/>
        </w:rPr>
        <w:t xml:space="preserve">internal </w:t>
      </w:r>
      <w:r w:rsidR="00B07AC8">
        <w:rPr>
          <w:rStyle w:val="Hyperlink"/>
          <w:noProof/>
          <w:color w:val="auto"/>
          <w:u w:val="none"/>
        </w:rPr>
        <w:t xml:space="preserve">focus groups with </w:t>
      </w:r>
      <w:r w:rsidR="00117003">
        <w:rPr>
          <w:rStyle w:val="Hyperlink"/>
          <w:noProof/>
          <w:color w:val="auto"/>
          <w:u w:val="none"/>
        </w:rPr>
        <w:t xml:space="preserve">Work and Income case managers who are the </w:t>
      </w:r>
      <w:r w:rsidR="00B07AC8">
        <w:rPr>
          <w:rStyle w:val="Hyperlink"/>
          <w:noProof/>
          <w:color w:val="auto"/>
          <w:u w:val="none"/>
        </w:rPr>
        <w:t>frontline staff</w:t>
      </w:r>
      <w:r w:rsidR="00117003">
        <w:rPr>
          <w:rStyle w:val="Hyperlink"/>
          <w:noProof/>
          <w:color w:val="auto"/>
          <w:u w:val="none"/>
        </w:rPr>
        <w:t>, that</w:t>
      </w:r>
      <w:r w:rsidR="00FA2759">
        <w:rPr>
          <w:rStyle w:val="Hyperlink"/>
          <w:noProof/>
          <w:color w:val="auto"/>
          <w:u w:val="none"/>
        </w:rPr>
        <w:t xml:space="preserve"> use</w:t>
      </w:r>
      <w:r w:rsidR="00117003">
        <w:rPr>
          <w:rStyle w:val="Hyperlink"/>
          <w:noProof/>
          <w:color w:val="auto"/>
          <w:u w:val="none"/>
        </w:rPr>
        <w:t xml:space="preserve"> HSPs</w:t>
      </w:r>
      <w:r w:rsidR="00FA2759">
        <w:rPr>
          <w:rStyle w:val="Hyperlink"/>
          <w:noProof/>
          <w:color w:val="auto"/>
          <w:u w:val="none"/>
        </w:rPr>
        <w:t xml:space="preserve"> to support clients</w:t>
      </w:r>
      <w:r w:rsidR="00170922">
        <w:rPr>
          <w:rStyle w:val="Hyperlink"/>
          <w:noProof/>
          <w:color w:val="auto"/>
          <w:u w:val="none"/>
        </w:rPr>
        <w:t>.</w:t>
      </w:r>
    </w:p>
    <w:p w:rsidR="006E7B7C" w:rsidRPr="00FA44C8" w:rsidRDefault="006E7B7C" w:rsidP="008A7E90">
      <w:pPr>
        <w:pStyle w:val="Heading2"/>
      </w:pPr>
      <w:bookmarkStart w:id="12" w:name="_Toc516161707"/>
      <w:r w:rsidRPr="00FA44C8">
        <w:t>Background</w:t>
      </w:r>
      <w:bookmarkEnd w:id="12"/>
    </w:p>
    <w:p w:rsidR="006E7B7C" w:rsidRPr="00FA44C8" w:rsidRDefault="006E7B7C" w:rsidP="008A7E90">
      <w:r w:rsidRPr="00FA44C8">
        <w:t>HSPs are intended to help recipients meet the costs of moving into housing in the private rental market, or sustainin</w:t>
      </w:r>
      <w:r w:rsidR="006614D0" w:rsidRPr="00FA44C8">
        <w:t>g the tenancy of their existing</w:t>
      </w:r>
      <w:r w:rsidRPr="00FA44C8">
        <w:t xml:space="preserve"> housing. </w:t>
      </w:r>
      <w:r w:rsidR="00253CE8" w:rsidRPr="00FA44C8">
        <w:t>The o</w:t>
      </w:r>
      <w:r w:rsidR="006614D0" w:rsidRPr="00FA44C8">
        <w:t xml:space="preserve">riginal policy intent was that </w:t>
      </w:r>
      <w:r w:rsidR="006A16BE" w:rsidRPr="00FA44C8">
        <w:t>HSPs should only be considered after all other options available to the client to meet their particular needs have been exhausted</w:t>
      </w:r>
      <w:r w:rsidR="006614D0" w:rsidRPr="00FA44C8">
        <w:t>.</w:t>
      </w:r>
    </w:p>
    <w:p w:rsidR="00170922" w:rsidRPr="008A7E90" w:rsidRDefault="005E2B13" w:rsidP="008A7E90">
      <w:pPr>
        <w:pStyle w:val="Heading2"/>
      </w:pPr>
      <w:bookmarkStart w:id="13" w:name="_Toc516161708"/>
      <w:r w:rsidRPr="00FA44C8">
        <w:t xml:space="preserve">Research </w:t>
      </w:r>
      <w:r w:rsidR="00170922" w:rsidRPr="00FA44C8">
        <w:t>findings</w:t>
      </w:r>
      <w:bookmarkEnd w:id="13"/>
    </w:p>
    <w:p w:rsidR="004E6FBF" w:rsidRPr="00FA44C8" w:rsidRDefault="00D90520" w:rsidP="00FA44C8">
      <w:pPr>
        <w:pStyle w:val="ListParagraph"/>
        <w:numPr>
          <w:ilvl w:val="0"/>
          <w:numId w:val="41"/>
        </w:numPr>
        <w:spacing w:before="120" w:after="120"/>
        <w:ind w:left="425" w:hanging="425"/>
        <w:contextualSpacing w:val="0"/>
        <w:rPr>
          <w:rStyle w:val="Hyperlink"/>
          <w:b/>
          <w:noProof/>
          <w:color w:val="auto"/>
          <w:sz w:val="28"/>
          <w:szCs w:val="28"/>
          <w:u w:val="none"/>
        </w:rPr>
      </w:pPr>
      <w:r w:rsidRPr="00FA44C8">
        <w:rPr>
          <w:rStyle w:val="Hyperlink"/>
          <w:b/>
          <w:noProof/>
          <w:color w:val="auto"/>
          <w:u w:val="none"/>
        </w:rPr>
        <w:t xml:space="preserve">HSPs are associated with moving out of </w:t>
      </w:r>
      <w:r w:rsidR="00D1727F" w:rsidRPr="00FA44C8">
        <w:rPr>
          <w:rStyle w:val="Hyperlink"/>
          <w:b/>
          <w:noProof/>
          <w:color w:val="auto"/>
          <w:u w:val="none"/>
        </w:rPr>
        <w:t>public housing</w:t>
      </w:r>
      <w:r w:rsidR="00E01989" w:rsidRPr="00FA44C8">
        <w:rPr>
          <w:rStyle w:val="Hyperlink"/>
          <w:noProof/>
          <w:color w:val="auto"/>
          <w:u w:val="none"/>
        </w:rPr>
        <w:t xml:space="preserve">: 70 percent of HSP </w:t>
      </w:r>
      <w:r w:rsidR="00FD4351" w:rsidRPr="00FA44C8">
        <w:rPr>
          <w:rStyle w:val="Hyperlink"/>
          <w:noProof/>
          <w:color w:val="auto"/>
          <w:u w:val="none"/>
        </w:rPr>
        <w:t>recipients</w:t>
      </w:r>
      <w:r w:rsidR="00E01989" w:rsidRPr="00FA44C8">
        <w:rPr>
          <w:rStyle w:val="Hyperlink"/>
          <w:noProof/>
          <w:color w:val="auto"/>
          <w:u w:val="none"/>
        </w:rPr>
        <w:t xml:space="preserve"> who lived in </w:t>
      </w:r>
      <w:r w:rsidR="00D1727F" w:rsidRPr="00FA44C8">
        <w:rPr>
          <w:rStyle w:val="Hyperlink"/>
          <w:noProof/>
          <w:color w:val="auto"/>
          <w:u w:val="none"/>
        </w:rPr>
        <w:t>public housing</w:t>
      </w:r>
      <w:r w:rsidR="00E01989" w:rsidRPr="00FA44C8">
        <w:rPr>
          <w:rStyle w:val="Hyperlink"/>
          <w:noProof/>
          <w:color w:val="auto"/>
          <w:u w:val="none"/>
        </w:rPr>
        <w:t xml:space="preserve"> left it within one month of receiving HSPs. </w:t>
      </w:r>
    </w:p>
    <w:p w:rsidR="00E01989" w:rsidRPr="00FA44C8" w:rsidRDefault="00292AE0" w:rsidP="00FA44C8">
      <w:pPr>
        <w:pStyle w:val="ListParagraph"/>
        <w:numPr>
          <w:ilvl w:val="0"/>
          <w:numId w:val="41"/>
        </w:numPr>
        <w:spacing w:before="120" w:after="120"/>
        <w:ind w:left="425" w:hanging="425"/>
        <w:contextualSpacing w:val="0"/>
        <w:rPr>
          <w:rStyle w:val="Hyperlink"/>
          <w:b/>
          <w:noProof/>
          <w:color w:val="auto"/>
          <w:sz w:val="28"/>
          <w:szCs w:val="28"/>
          <w:u w:val="none"/>
        </w:rPr>
      </w:pPr>
      <w:r w:rsidRPr="00FA44C8">
        <w:rPr>
          <w:rStyle w:val="Hyperlink"/>
          <w:b/>
          <w:noProof/>
          <w:color w:val="auto"/>
          <w:u w:val="none"/>
        </w:rPr>
        <w:t xml:space="preserve">HSPs </w:t>
      </w:r>
      <w:r w:rsidR="000A50A3" w:rsidRPr="00FA44C8">
        <w:rPr>
          <w:rStyle w:val="Hyperlink"/>
          <w:b/>
          <w:noProof/>
          <w:color w:val="auto"/>
          <w:u w:val="none"/>
        </w:rPr>
        <w:t xml:space="preserve">may also </w:t>
      </w:r>
      <w:r w:rsidR="00D90520" w:rsidRPr="00FA44C8">
        <w:rPr>
          <w:rStyle w:val="Hyperlink"/>
          <w:b/>
          <w:noProof/>
          <w:color w:val="auto"/>
          <w:u w:val="none"/>
        </w:rPr>
        <w:t xml:space="preserve">help prevent </w:t>
      </w:r>
      <w:r w:rsidR="00FD4351" w:rsidRPr="00FA44C8">
        <w:rPr>
          <w:rStyle w:val="Hyperlink"/>
          <w:b/>
          <w:noProof/>
          <w:color w:val="auto"/>
          <w:u w:val="none"/>
        </w:rPr>
        <w:t>recipients</w:t>
      </w:r>
      <w:r w:rsidR="00D90520" w:rsidRPr="00FA44C8">
        <w:rPr>
          <w:rStyle w:val="Hyperlink"/>
          <w:b/>
          <w:noProof/>
          <w:color w:val="auto"/>
          <w:u w:val="none"/>
        </w:rPr>
        <w:t xml:space="preserve"> who are already in alternative housing from moving into </w:t>
      </w:r>
      <w:r w:rsidR="00D1727F" w:rsidRPr="00FA44C8">
        <w:rPr>
          <w:rStyle w:val="Hyperlink"/>
          <w:b/>
          <w:noProof/>
          <w:color w:val="auto"/>
          <w:u w:val="none"/>
        </w:rPr>
        <w:t>public housing</w:t>
      </w:r>
      <w:r w:rsidR="00E01989" w:rsidRPr="00FA44C8">
        <w:rPr>
          <w:rStyle w:val="Hyperlink"/>
          <w:b/>
          <w:noProof/>
          <w:color w:val="auto"/>
          <w:u w:val="none"/>
        </w:rPr>
        <w:t xml:space="preserve"> or onto the </w:t>
      </w:r>
      <w:r w:rsidR="006B3402" w:rsidRPr="00FA44C8">
        <w:rPr>
          <w:rStyle w:val="Hyperlink"/>
          <w:b/>
          <w:noProof/>
          <w:color w:val="auto"/>
          <w:u w:val="none"/>
        </w:rPr>
        <w:t>S</w:t>
      </w:r>
      <w:r w:rsidR="00F47BF5" w:rsidRPr="00FA44C8">
        <w:rPr>
          <w:rStyle w:val="Hyperlink"/>
          <w:b/>
          <w:noProof/>
          <w:color w:val="auto"/>
          <w:u w:val="none"/>
        </w:rPr>
        <w:t xml:space="preserve">ocial </w:t>
      </w:r>
      <w:r w:rsidR="006B3402" w:rsidRPr="00FA44C8">
        <w:rPr>
          <w:rStyle w:val="Hyperlink"/>
          <w:b/>
          <w:noProof/>
          <w:color w:val="auto"/>
          <w:u w:val="none"/>
        </w:rPr>
        <w:t>H</w:t>
      </w:r>
      <w:r w:rsidR="00F47BF5" w:rsidRPr="00FA44C8">
        <w:rPr>
          <w:rStyle w:val="Hyperlink"/>
          <w:b/>
          <w:noProof/>
          <w:color w:val="auto"/>
          <w:u w:val="none"/>
        </w:rPr>
        <w:t xml:space="preserve">ousing </w:t>
      </w:r>
      <w:r w:rsidR="006B3402" w:rsidRPr="00FA44C8">
        <w:rPr>
          <w:rStyle w:val="Hyperlink"/>
          <w:b/>
          <w:noProof/>
          <w:color w:val="auto"/>
          <w:u w:val="none"/>
        </w:rPr>
        <w:t>R</w:t>
      </w:r>
      <w:r w:rsidR="00E01989" w:rsidRPr="00FA44C8">
        <w:rPr>
          <w:rStyle w:val="Hyperlink"/>
          <w:b/>
          <w:noProof/>
          <w:color w:val="auto"/>
          <w:u w:val="none"/>
        </w:rPr>
        <w:t>egister</w:t>
      </w:r>
      <w:r w:rsidR="00E01989" w:rsidRPr="00FA44C8">
        <w:rPr>
          <w:rStyle w:val="Hyperlink"/>
          <w:noProof/>
          <w:color w:val="auto"/>
          <w:u w:val="none"/>
        </w:rPr>
        <w:t xml:space="preserve">: 96 percent of HSP </w:t>
      </w:r>
      <w:r w:rsidR="00FD4351" w:rsidRPr="00FA44C8">
        <w:rPr>
          <w:rStyle w:val="Hyperlink"/>
          <w:noProof/>
          <w:color w:val="auto"/>
          <w:u w:val="none"/>
        </w:rPr>
        <w:t>recipients</w:t>
      </w:r>
      <w:r w:rsidR="00E01989" w:rsidRPr="00FA44C8">
        <w:rPr>
          <w:rStyle w:val="Hyperlink"/>
          <w:noProof/>
          <w:color w:val="auto"/>
          <w:u w:val="none"/>
        </w:rPr>
        <w:t xml:space="preserve"> already living in alternative housing remained out of </w:t>
      </w:r>
      <w:r w:rsidR="00D1727F" w:rsidRPr="00FA44C8">
        <w:rPr>
          <w:rStyle w:val="Hyperlink"/>
          <w:noProof/>
          <w:color w:val="auto"/>
          <w:u w:val="none"/>
        </w:rPr>
        <w:t>public housing</w:t>
      </w:r>
      <w:r w:rsidR="00E01989" w:rsidRPr="00FA44C8">
        <w:rPr>
          <w:rStyle w:val="Hyperlink"/>
          <w:noProof/>
          <w:color w:val="auto"/>
          <w:u w:val="none"/>
        </w:rPr>
        <w:t xml:space="preserve"> one month after receiving HSPs.</w:t>
      </w:r>
      <w:r w:rsidR="003B5CAC" w:rsidRPr="00FA44C8">
        <w:rPr>
          <w:rStyle w:val="Hyperlink"/>
          <w:noProof/>
          <w:color w:val="auto"/>
          <w:u w:val="none"/>
        </w:rPr>
        <w:t xml:space="preserve"> </w:t>
      </w:r>
    </w:p>
    <w:p w:rsidR="003B5CAC" w:rsidRPr="003B5CAC" w:rsidRDefault="004E6FBF" w:rsidP="00FA44C8">
      <w:pPr>
        <w:pStyle w:val="ListParagraph"/>
        <w:numPr>
          <w:ilvl w:val="0"/>
          <w:numId w:val="41"/>
        </w:numPr>
        <w:spacing w:before="120" w:after="120"/>
        <w:ind w:left="425" w:hanging="425"/>
        <w:contextualSpacing w:val="0"/>
        <w:rPr>
          <w:noProof/>
        </w:rPr>
      </w:pPr>
      <w:r w:rsidRPr="00FA44C8">
        <w:rPr>
          <w:rStyle w:val="Hyperlink"/>
          <w:b/>
          <w:noProof/>
          <w:color w:val="auto"/>
          <w:u w:val="none"/>
        </w:rPr>
        <w:t>U</w:t>
      </w:r>
      <w:r w:rsidR="003B5CAC" w:rsidRPr="00FA44C8">
        <w:rPr>
          <w:rStyle w:val="Hyperlink"/>
          <w:b/>
          <w:noProof/>
          <w:color w:val="auto"/>
          <w:u w:val="none"/>
        </w:rPr>
        <w:t>se</w:t>
      </w:r>
      <w:r w:rsidRPr="00FA44C8">
        <w:rPr>
          <w:rStyle w:val="Hyperlink"/>
          <w:b/>
          <w:noProof/>
          <w:color w:val="auto"/>
          <w:u w:val="none"/>
        </w:rPr>
        <w:t xml:space="preserve"> of HSPs</w:t>
      </w:r>
      <w:r w:rsidR="003B5CAC" w:rsidRPr="00FA44C8">
        <w:rPr>
          <w:rStyle w:val="Hyperlink"/>
          <w:b/>
          <w:noProof/>
          <w:color w:val="auto"/>
          <w:u w:val="none"/>
        </w:rPr>
        <w:t xml:space="preserve"> has been increasing</w:t>
      </w:r>
      <w:r w:rsidR="003B5CAC" w:rsidRPr="00FA44C8">
        <w:rPr>
          <w:rStyle w:val="Hyperlink"/>
          <w:noProof/>
          <w:color w:val="auto"/>
          <w:u w:val="none"/>
        </w:rPr>
        <w:t xml:space="preserve"> since their launch in July 2014</w:t>
      </w:r>
      <w:r w:rsidR="00E01989" w:rsidRPr="00FA44C8">
        <w:rPr>
          <w:rStyle w:val="Hyperlink"/>
          <w:noProof/>
          <w:color w:val="auto"/>
          <w:u w:val="none"/>
        </w:rPr>
        <w:t xml:space="preserve">, with </w:t>
      </w:r>
      <w:r w:rsidR="006B3402" w:rsidRPr="00FA44C8">
        <w:rPr>
          <w:rStyle w:val="Hyperlink"/>
          <w:noProof/>
          <w:color w:val="auto"/>
          <w:u w:val="none"/>
        </w:rPr>
        <w:t>66 pe</w:t>
      </w:r>
      <w:r w:rsidR="009A35D4" w:rsidRPr="00FA44C8">
        <w:rPr>
          <w:rStyle w:val="Hyperlink"/>
          <w:noProof/>
          <w:color w:val="auto"/>
          <w:u w:val="none"/>
        </w:rPr>
        <w:t>r</w:t>
      </w:r>
      <w:r w:rsidR="006B3402" w:rsidRPr="00FA44C8">
        <w:rPr>
          <w:rStyle w:val="Hyperlink"/>
          <w:noProof/>
          <w:color w:val="auto"/>
          <w:u w:val="none"/>
        </w:rPr>
        <w:t>cent</w:t>
      </w:r>
      <w:r w:rsidR="00E01989" w:rsidRPr="00FA44C8">
        <w:rPr>
          <w:rStyle w:val="Hyperlink"/>
          <w:noProof/>
          <w:color w:val="auto"/>
          <w:u w:val="none"/>
        </w:rPr>
        <w:t xml:space="preserve"> of all HSPs being used in the 12 months to 30 June 2017.</w:t>
      </w:r>
    </w:p>
    <w:p w:rsidR="00E01989" w:rsidRPr="00FA44C8" w:rsidRDefault="00E01989" w:rsidP="00FA44C8">
      <w:pPr>
        <w:pStyle w:val="ListParagraph"/>
        <w:numPr>
          <w:ilvl w:val="0"/>
          <w:numId w:val="41"/>
        </w:numPr>
        <w:spacing w:before="120" w:after="120"/>
        <w:ind w:left="425" w:right="-188" w:hanging="425"/>
        <w:contextualSpacing w:val="0"/>
        <w:rPr>
          <w:rFonts w:asciiTheme="minorHAnsi" w:eastAsiaTheme="minorEastAsia" w:hAnsiTheme="minorHAnsi" w:cstheme="minorBidi"/>
          <w:noProof/>
          <w:kern w:val="0"/>
          <w:sz w:val="22"/>
          <w:szCs w:val="22"/>
          <w:lang w:eastAsia="en-NZ"/>
        </w:rPr>
      </w:pPr>
      <w:r w:rsidRPr="00FA44C8">
        <w:rPr>
          <w:rStyle w:val="Hyperlink"/>
          <w:b/>
          <w:noProof/>
          <w:color w:val="auto"/>
          <w:u w:val="none"/>
        </w:rPr>
        <w:t xml:space="preserve">HSPs are particularly helpful for some </w:t>
      </w:r>
      <w:r w:rsidR="006B3402" w:rsidRPr="00FA44C8">
        <w:rPr>
          <w:rStyle w:val="Hyperlink"/>
          <w:b/>
          <w:noProof/>
          <w:color w:val="auto"/>
          <w:u w:val="none"/>
        </w:rPr>
        <w:t>people</w:t>
      </w:r>
      <w:r w:rsidRPr="00FA44C8">
        <w:rPr>
          <w:rStyle w:val="Hyperlink"/>
          <w:noProof/>
          <w:color w:val="auto"/>
          <w:u w:val="none"/>
        </w:rPr>
        <w:t>,</w:t>
      </w:r>
      <w:r w:rsidRPr="00FA44C8">
        <w:rPr>
          <w:rFonts w:eastAsiaTheme="minorEastAsia" w:cstheme="minorBidi"/>
          <w:noProof/>
          <w:kern w:val="0"/>
          <w:lang w:eastAsia="en-NZ"/>
        </w:rPr>
        <w:t xml:space="preserve"> such as </w:t>
      </w:r>
      <w:r w:rsidR="00FD4351" w:rsidRPr="00FA44C8">
        <w:rPr>
          <w:rStyle w:val="Hyperlink"/>
          <w:noProof/>
          <w:color w:val="auto"/>
          <w:u w:val="none"/>
        </w:rPr>
        <w:t>recipients</w:t>
      </w:r>
      <w:r w:rsidRPr="00FA44C8">
        <w:rPr>
          <w:rStyle w:val="Hyperlink"/>
          <w:noProof/>
          <w:color w:val="auto"/>
          <w:u w:val="none"/>
        </w:rPr>
        <w:t xml:space="preserve"> who don’t qualify for other forms of assistance. HSP </w:t>
      </w:r>
      <w:r w:rsidR="00FD4351" w:rsidRPr="00FA44C8">
        <w:rPr>
          <w:rStyle w:val="Hyperlink"/>
          <w:noProof/>
          <w:color w:val="auto"/>
          <w:u w:val="none"/>
        </w:rPr>
        <w:t>recipients</w:t>
      </w:r>
      <w:r w:rsidRPr="00FA44C8">
        <w:rPr>
          <w:rStyle w:val="Hyperlink"/>
          <w:noProof/>
          <w:color w:val="auto"/>
          <w:u w:val="none"/>
        </w:rPr>
        <w:t xml:space="preserve"> tend to be female</w:t>
      </w:r>
      <w:r w:rsidR="00C76E11" w:rsidRPr="00FA44C8">
        <w:rPr>
          <w:rStyle w:val="Hyperlink"/>
          <w:noProof/>
          <w:color w:val="auto"/>
          <w:u w:val="none"/>
        </w:rPr>
        <w:t xml:space="preserve"> (77 percent)</w:t>
      </w:r>
      <w:r w:rsidRPr="00FA44C8">
        <w:rPr>
          <w:rStyle w:val="Hyperlink"/>
          <w:noProof/>
          <w:color w:val="auto"/>
          <w:u w:val="none"/>
        </w:rPr>
        <w:t>, Māori</w:t>
      </w:r>
      <w:r w:rsidR="00C76E11" w:rsidRPr="00FA44C8">
        <w:rPr>
          <w:rStyle w:val="Hyperlink"/>
          <w:noProof/>
          <w:color w:val="auto"/>
          <w:u w:val="none"/>
        </w:rPr>
        <w:t xml:space="preserve"> (49 percent)</w:t>
      </w:r>
      <w:r w:rsidRPr="00FA44C8">
        <w:rPr>
          <w:rStyle w:val="Hyperlink"/>
          <w:noProof/>
          <w:color w:val="auto"/>
          <w:u w:val="none"/>
        </w:rPr>
        <w:t xml:space="preserve">, </w:t>
      </w:r>
      <w:r w:rsidR="000A50A3" w:rsidRPr="00FA44C8">
        <w:rPr>
          <w:rStyle w:val="Hyperlink"/>
          <w:noProof/>
          <w:color w:val="auto"/>
          <w:u w:val="none"/>
        </w:rPr>
        <w:t>single (44 percent), with children (44 percent)</w:t>
      </w:r>
      <w:r w:rsidRPr="00FA44C8">
        <w:rPr>
          <w:rStyle w:val="Hyperlink"/>
          <w:noProof/>
          <w:color w:val="auto"/>
          <w:u w:val="none"/>
        </w:rPr>
        <w:t xml:space="preserve">, receiving a </w:t>
      </w:r>
      <w:r w:rsidR="0030446A" w:rsidRPr="00FA44C8">
        <w:rPr>
          <w:rStyle w:val="Hyperlink"/>
          <w:noProof/>
          <w:color w:val="auto"/>
          <w:u w:val="none"/>
        </w:rPr>
        <w:t xml:space="preserve">main </w:t>
      </w:r>
      <w:r w:rsidRPr="00FA44C8">
        <w:rPr>
          <w:rStyle w:val="Hyperlink"/>
          <w:noProof/>
          <w:color w:val="auto"/>
          <w:u w:val="none"/>
        </w:rPr>
        <w:t>benefit</w:t>
      </w:r>
      <w:r w:rsidR="00C76E11" w:rsidRPr="00FA44C8">
        <w:rPr>
          <w:rStyle w:val="Hyperlink"/>
          <w:noProof/>
          <w:color w:val="auto"/>
          <w:u w:val="none"/>
        </w:rPr>
        <w:t xml:space="preserve"> (67 percent)</w:t>
      </w:r>
      <w:r w:rsidRPr="00FA44C8">
        <w:rPr>
          <w:rStyle w:val="Hyperlink"/>
          <w:noProof/>
          <w:color w:val="auto"/>
          <w:u w:val="none"/>
        </w:rPr>
        <w:t xml:space="preserve">, and not </w:t>
      </w:r>
      <w:r w:rsidR="000A50A3" w:rsidRPr="00FA44C8">
        <w:rPr>
          <w:rStyle w:val="Hyperlink"/>
          <w:noProof/>
          <w:color w:val="auto"/>
          <w:u w:val="none"/>
        </w:rPr>
        <w:t>in</w:t>
      </w:r>
      <w:r w:rsidRPr="00FA44C8">
        <w:rPr>
          <w:rStyle w:val="Hyperlink"/>
          <w:noProof/>
          <w:color w:val="auto"/>
          <w:u w:val="none"/>
        </w:rPr>
        <w:t xml:space="preserve"> </w:t>
      </w:r>
      <w:r w:rsidR="00D1727F" w:rsidRPr="00FA44C8">
        <w:rPr>
          <w:rStyle w:val="Hyperlink"/>
          <w:noProof/>
          <w:color w:val="auto"/>
          <w:u w:val="none"/>
        </w:rPr>
        <w:t>public housing</w:t>
      </w:r>
      <w:r w:rsidRPr="00FA44C8">
        <w:rPr>
          <w:rStyle w:val="Hyperlink"/>
          <w:noProof/>
          <w:color w:val="auto"/>
          <w:u w:val="none"/>
        </w:rPr>
        <w:t xml:space="preserve"> system</w:t>
      </w:r>
      <w:r w:rsidR="000A50A3" w:rsidRPr="00FA44C8">
        <w:rPr>
          <w:rStyle w:val="Hyperlink"/>
          <w:noProof/>
          <w:color w:val="auto"/>
          <w:u w:val="none"/>
        </w:rPr>
        <w:t xml:space="preserve"> or on the register (58 percent)</w:t>
      </w:r>
      <w:r w:rsidRPr="00FA44C8">
        <w:rPr>
          <w:rStyle w:val="Hyperlink"/>
          <w:noProof/>
          <w:color w:val="auto"/>
          <w:u w:val="none"/>
        </w:rPr>
        <w:t>.</w:t>
      </w:r>
    </w:p>
    <w:p w:rsidR="004E6FBF" w:rsidRPr="00FA44C8" w:rsidRDefault="00EE18AD" w:rsidP="00FA44C8">
      <w:pPr>
        <w:pStyle w:val="ListParagraph"/>
        <w:numPr>
          <w:ilvl w:val="0"/>
          <w:numId w:val="41"/>
        </w:numPr>
        <w:spacing w:before="120" w:after="120"/>
        <w:ind w:left="425" w:hanging="425"/>
        <w:contextualSpacing w:val="0"/>
        <w:rPr>
          <w:rStyle w:val="Hyperlink"/>
          <w:rFonts w:eastAsiaTheme="minorEastAsia" w:cstheme="minorBidi"/>
          <w:b/>
          <w:noProof/>
          <w:color w:val="auto"/>
          <w:kern w:val="0"/>
          <w:sz w:val="28"/>
          <w:szCs w:val="28"/>
          <w:u w:val="none"/>
          <w:lang w:eastAsia="en-NZ"/>
        </w:rPr>
      </w:pPr>
      <w:r w:rsidRPr="00FA44C8">
        <w:rPr>
          <w:rStyle w:val="Hyperlink"/>
          <w:b/>
          <w:noProof/>
          <w:color w:val="auto"/>
          <w:u w:val="none"/>
        </w:rPr>
        <w:t>Bond Grant, Letting Fees Assistance and Rent in Advance</w:t>
      </w:r>
      <w:r w:rsidRPr="00FA44C8">
        <w:rPr>
          <w:rStyle w:val="Hyperlink"/>
          <w:noProof/>
          <w:color w:val="auto"/>
          <w:u w:val="none"/>
        </w:rPr>
        <w:t xml:space="preserve"> are the most commonly used HSPs, </w:t>
      </w:r>
      <w:r w:rsidR="00292AE0" w:rsidRPr="00FA44C8">
        <w:rPr>
          <w:rStyle w:val="Hyperlink"/>
          <w:noProof/>
          <w:color w:val="auto"/>
          <w:u w:val="none"/>
        </w:rPr>
        <w:t>the</w:t>
      </w:r>
      <w:r w:rsidRPr="00FA44C8">
        <w:rPr>
          <w:rStyle w:val="Hyperlink"/>
          <w:noProof/>
          <w:color w:val="auto"/>
          <w:u w:val="none"/>
        </w:rPr>
        <w:t xml:space="preserve"> least expensive</w:t>
      </w:r>
      <w:r w:rsidR="0077174B" w:rsidRPr="00FA44C8">
        <w:rPr>
          <w:rStyle w:val="Hyperlink"/>
          <w:noProof/>
          <w:color w:val="auto"/>
          <w:u w:val="none"/>
        </w:rPr>
        <w:t xml:space="preserve"> (of those HSPs with monetary costs)</w:t>
      </w:r>
      <w:r w:rsidR="000A50A3" w:rsidRPr="00FA44C8">
        <w:rPr>
          <w:rStyle w:val="Hyperlink"/>
          <w:noProof/>
          <w:color w:val="auto"/>
          <w:u w:val="none"/>
        </w:rPr>
        <w:t>, and commonly administered together as a package</w:t>
      </w:r>
      <w:r w:rsidRPr="00FA44C8">
        <w:rPr>
          <w:rStyle w:val="Hyperlink"/>
          <w:noProof/>
          <w:color w:val="auto"/>
          <w:u w:val="none"/>
        </w:rPr>
        <w:t xml:space="preserve">. </w:t>
      </w:r>
    </w:p>
    <w:p w:rsidR="00EE18AD" w:rsidRPr="00FA44C8" w:rsidRDefault="00EE18AD" w:rsidP="00FA44C8">
      <w:pPr>
        <w:pStyle w:val="ListParagraph"/>
        <w:numPr>
          <w:ilvl w:val="0"/>
          <w:numId w:val="41"/>
        </w:numPr>
        <w:spacing w:before="120" w:after="120"/>
        <w:ind w:left="425" w:hanging="425"/>
        <w:contextualSpacing w:val="0"/>
        <w:rPr>
          <w:rFonts w:eastAsiaTheme="minorEastAsia" w:cstheme="minorBidi"/>
          <w:noProof/>
          <w:kern w:val="0"/>
          <w:lang w:eastAsia="en-NZ"/>
        </w:rPr>
      </w:pPr>
      <w:r w:rsidRPr="00FA44C8">
        <w:rPr>
          <w:rStyle w:val="Hyperlink"/>
          <w:b/>
          <w:noProof/>
          <w:color w:val="auto"/>
          <w:u w:val="none"/>
        </w:rPr>
        <w:t xml:space="preserve">Tenancy Costs Cover </w:t>
      </w:r>
      <w:r w:rsidR="000A50A3" w:rsidRPr="00FA44C8">
        <w:rPr>
          <w:rStyle w:val="Hyperlink"/>
          <w:noProof/>
          <w:color w:val="auto"/>
          <w:u w:val="none"/>
        </w:rPr>
        <w:t xml:space="preserve">is least commonly used and </w:t>
      </w:r>
      <w:r w:rsidR="00514244" w:rsidRPr="00FA44C8">
        <w:rPr>
          <w:rStyle w:val="Hyperlink"/>
          <w:noProof/>
          <w:color w:val="auto"/>
          <w:u w:val="none"/>
        </w:rPr>
        <w:t xml:space="preserve">may </w:t>
      </w:r>
      <w:r w:rsidRPr="00FA44C8">
        <w:rPr>
          <w:rStyle w:val="Hyperlink"/>
          <w:noProof/>
          <w:color w:val="auto"/>
          <w:u w:val="none"/>
        </w:rPr>
        <w:t xml:space="preserve">discourage landlords from letting to MSD </w:t>
      </w:r>
      <w:r w:rsidR="00FD4351" w:rsidRPr="00FA44C8">
        <w:rPr>
          <w:rStyle w:val="Hyperlink"/>
          <w:noProof/>
          <w:color w:val="auto"/>
          <w:u w:val="none"/>
        </w:rPr>
        <w:t>recipients</w:t>
      </w:r>
      <w:r w:rsidRPr="00FA44C8">
        <w:rPr>
          <w:rStyle w:val="Hyperlink"/>
          <w:noProof/>
          <w:color w:val="auto"/>
          <w:u w:val="none"/>
        </w:rPr>
        <w:t xml:space="preserve"> by </w:t>
      </w:r>
      <w:r w:rsidR="006B3402" w:rsidRPr="00FA44C8">
        <w:rPr>
          <w:rStyle w:val="Hyperlink"/>
          <w:noProof/>
          <w:color w:val="auto"/>
          <w:u w:val="none"/>
        </w:rPr>
        <w:t>implying a</w:t>
      </w:r>
      <w:r w:rsidRPr="00FA44C8">
        <w:rPr>
          <w:rStyle w:val="Hyperlink"/>
          <w:noProof/>
          <w:color w:val="auto"/>
          <w:u w:val="none"/>
        </w:rPr>
        <w:t xml:space="preserve"> likelihood of damage to their property.</w:t>
      </w:r>
    </w:p>
    <w:p w:rsidR="00C0707C" w:rsidRPr="00847F57" w:rsidRDefault="00BE1119" w:rsidP="00FA44C8">
      <w:pPr>
        <w:pStyle w:val="ListParagraph"/>
        <w:numPr>
          <w:ilvl w:val="0"/>
          <w:numId w:val="41"/>
        </w:numPr>
        <w:spacing w:before="120" w:after="120"/>
        <w:ind w:left="425" w:hanging="425"/>
        <w:contextualSpacing w:val="0"/>
      </w:pPr>
      <w:r w:rsidRPr="00FA44C8">
        <w:rPr>
          <w:rStyle w:val="Hyperlink"/>
          <w:b/>
          <w:noProof/>
          <w:color w:val="auto"/>
          <w:u w:val="none"/>
        </w:rPr>
        <w:t>L</w:t>
      </w:r>
      <w:r w:rsidR="006A16BE" w:rsidRPr="00FA44C8">
        <w:rPr>
          <w:rStyle w:val="Hyperlink"/>
          <w:b/>
          <w:noProof/>
          <w:color w:val="auto"/>
          <w:u w:val="none"/>
        </w:rPr>
        <w:t>evel of</w:t>
      </w:r>
      <w:r w:rsidRPr="00FA44C8">
        <w:rPr>
          <w:rStyle w:val="Hyperlink"/>
          <w:b/>
          <w:noProof/>
          <w:color w:val="auto"/>
          <w:u w:val="none"/>
        </w:rPr>
        <w:t xml:space="preserve"> uptake of HSPs is consistent with policy intent </w:t>
      </w:r>
      <w:r w:rsidR="00783C53" w:rsidRPr="00FA44C8">
        <w:rPr>
          <w:rStyle w:val="Hyperlink"/>
          <w:b/>
          <w:noProof/>
          <w:color w:val="auto"/>
          <w:u w:val="none"/>
        </w:rPr>
        <w:t>but also reflects</w:t>
      </w:r>
      <w:r w:rsidRPr="00FA44C8">
        <w:rPr>
          <w:rStyle w:val="Hyperlink"/>
          <w:b/>
          <w:noProof/>
          <w:color w:val="auto"/>
          <w:u w:val="none"/>
        </w:rPr>
        <w:t xml:space="preserve"> other factors</w:t>
      </w:r>
      <w:r w:rsidRPr="00FA44C8">
        <w:rPr>
          <w:rStyle w:val="Hyperlink"/>
          <w:noProof/>
          <w:color w:val="auto"/>
          <w:u w:val="none"/>
        </w:rPr>
        <w:t xml:space="preserve">. </w:t>
      </w:r>
      <w:r w:rsidR="00801029" w:rsidRPr="00FA44C8">
        <w:rPr>
          <w:rStyle w:val="Hyperlink"/>
          <w:noProof/>
          <w:color w:val="auto"/>
          <w:u w:val="none"/>
        </w:rPr>
        <w:t>C</w:t>
      </w:r>
      <w:r w:rsidR="00783C53" w:rsidRPr="00FA44C8">
        <w:rPr>
          <w:rStyle w:val="Hyperlink"/>
          <w:noProof/>
          <w:color w:val="auto"/>
          <w:u w:val="none"/>
        </w:rPr>
        <w:t xml:space="preserve">ase managers use HSPs only after exploring other options first, </w:t>
      </w:r>
      <w:r w:rsidR="00801029" w:rsidRPr="00FA44C8">
        <w:rPr>
          <w:rStyle w:val="Hyperlink"/>
          <w:noProof/>
          <w:color w:val="auto"/>
          <w:u w:val="none"/>
        </w:rPr>
        <w:t>however they</w:t>
      </w:r>
      <w:r w:rsidR="00783C53" w:rsidRPr="00FA44C8">
        <w:rPr>
          <w:rStyle w:val="Hyperlink"/>
          <w:noProof/>
          <w:color w:val="auto"/>
          <w:u w:val="none"/>
        </w:rPr>
        <w:t xml:space="preserve"> also identified other </w:t>
      </w:r>
      <w:r w:rsidR="00801029" w:rsidRPr="00FA44C8">
        <w:rPr>
          <w:rStyle w:val="Hyperlink"/>
          <w:noProof/>
          <w:color w:val="auto"/>
          <w:u w:val="none"/>
        </w:rPr>
        <w:t>complications</w:t>
      </w:r>
      <w:r w:rsidR="00783C53" w:rsidRPr="00FA44C8">
        <w:rPr>
          <w:rStyle w:val="Hyperlink"/>
          <w:noProof/>
          <w:color w:val="auto"/>
          <w:u w:val="none"/>
        </w:rPr>
        <w:t xml:space="preserve"> </w:t>
      </w:r>
      <w:r w:rsidR="00801029" w:rsidRPr="00FA44C8">
        <w:rPr>
          <w:rStyle w:val="Hyperlink"/>
          <w:noProof/>
          <w:color w:val="auto"/>
          <w:u w:val="none"/>
        </w:rPr>
        <w:t>they encounter when using</w:t>
      </w:r>
      <w:r w:rsidR="00783C53" w:rsidRPr="00FA44C8">
        <w:rPr>
          <w:rStyle w:val="Hyperlink"/>
          <w:noProof/>
          <w:color w:val="auto"/>
          <w:u w:val="none"/>
        </w:rPr>
        <w:t xml:space="preserve"> HSPs such as </w:t>
      </w:r>
      <w:r w:rsidR="00801029" w:rsidRPr="00FA44C8">
        <w:rPr>
          <w:rStyle w:val="Hyperlink"/>
          <w:noProof/>
          <w:color w:val="auto"/>
          <w:u w:val="none"/>
        </w:rPr>
        <w:t>complex</w:t>
      </w:r>
      <w:r w:rsidR="00914916" w:rsidRPr="00FA44C8">
        <w:rPr>
          <w:rStyle w:val="Hyperlink"/>
          <w:noProof/>
          <w:color w:val="auto"/>
          <w:u w:val="none"/>
        </w:rPr>
        <w:t xml:space="preserve"> </w:t>
      </w:r>
      <w:r w:rsidR="00C0707C" w:rsidRPr="00FA44C8">
        <w:rPr>
          <w:rStyle w:val="Hyperlink"/>
          <w:noProof/>
          <w:color w:val="auto"/>
          <w:u w:val="none"/>
        </w:rPr>
        <w:t xml:space="preserve">eligibility criteria and </w:t>
      </w:r>
      <w:r w:rsidR="0077174B" w:rsidRPr="00FA44C8">
        <w:rPr>
          <w:rStyle w:val="Hyperlink"/>
          <w:noProof/>
          <w:color w:val="auto"/>
          <w:u w:val="none"/>
        </w:rPr>
        <w:t>perceived</w:t>
      </w:r>
      <w:r w:rsidR="0022054B" w:rsidRPr="00FA44C8">
        <w:rPr>
          <w:rStyle w:val="Hyperlink"/>
          <w:noProof/>
          <w:color w:val="auto"/>
          <w:u w:val="none"/>
        </w:rPr>
        <w:t xml:space="preserve"> </w:t>
      </w:r>
      <w:r w:rsidR="00A919F7" w:rsidRPr="00FA44C8">
        <w:rPr>
          <w:rStyle w:val="Hyperlink"/>
          <w:noProof/>
          <w:color w:val="auto"/>
          <w:u w:val="none"/>
        </w:rPr>
        <w:t>administrative barriers.</w:t>
      </w:r>
    </w:p>
    <w:p w:rsidR="007A2362" w:rsidRDefault="007A2362">
      <w:pPr>
        <w:spacing w:before="0" w:after="0" w:line="240" w:lineRule="auto"/>
        <w:rPr>
          <w:rStyle w:val="Hyperlink"/>
          <w:b/>
          <w:color w:val="121F6B"/>
          <w:sz w:val="28"/>
          <w:szCs w:val="28"/>
          <w:u w:val="none"/>
        </w:rPr>
      </w:pPr>
      <w:r>
        <w:rPr>
          <w:rStyle w:val="Hyperlink"/>
          <w:color w:val="121F6B"/>
          <w:u w:val="none"/>
        </w:rPr>
        <w:br w:type="page"/>
      </w:r>
    </w:p>
    <w:p w:rsidR="00170922" w:rsidRPr="00FA44C8" w:rsidRDefault="002517C5" w:rsidP="008A7E90">
      <w:pPr>
        <w:pStyle w:val="Heading2"/>
      </w:pPr>
      <w:bookmarkStart w:id="14" w:name="_Toc516161709"/>
      <w:r w:rsidRPr="00FA44C8">
        <w:lastRenderedPageBreak/>
        <w:t>Actionable insights</w:t>
      </w:r>
      <w:bookmarkEnd w:id="14"/>
    </w:p>
    <w:p w:rsidR="00272BF4" w:rsidRDefault="00272BF4" w:rsidP="008A7E90">
      <w:r>
        <w:t xml:space="preserve">Recommendations are made based on the research </w:t>
      </w:r>
      <w:r w:rsidR="004C57FE">
        <w:t xml:space="preserve">findings. </w:t>
      </w:r>
      <w:r w:rsidR="00E550A3">
        <w:t xml:space="preserve">MSD’s </w:t>
      </w:r>
      <w:r w:rsidR="005E2B13">
        <w:t xml:space="preserve">Policy </w:t>
      </w:r>
      <w:r>
        <w:t>team will consider other factors alongside these suggestions and consequently their own recommendations may differ.</w:t>
      </w:r>
    </w:p>
    <w:p w:rsidR="00EC5B7F" w:rsidRDefault="00EC5B7F" w:rsidP="008A7E90">
      <w:r>
        <w:rPr>
          <w:lang w:val="mi-NZ"/>
        </w:rPr>
        <w:t xml:space="preserve">We recommend </w:t>
      </w:r>
      <w:r w:rsidRPr="009B574F">
        <w:t xml:space="preserve">strengthening the overall </w:t>
      </w:r>
      <w:r>
        <w:t>effectiveness of HSPs in the following ways:</w:t>
      </w:r>
    </w:p>
    <w:p w:rsidR="00EC5B7F" w:rsidRDefault="00EC5B7F" w:rsidP="00FA44C8">
      <w:pPr>
        <w:pStyle w:val="ListParagraph"/>
        <w:numPr>
          <w:ilvl w:val="0"/>
          <w:numId w:val="37"/>
        </w:numPr>
        <w:spacing w:before="120" w:after="120"/>
        <w:ind w:left="425" w:hanging="425"/>
        <w:contextualSpacing w:val="0"/>
      </w:pPr>
      <w:r w:rsidRPr="008A7E90">
        <w:rPr>
          <w:b/>
        </w:rPr>
        <w:t xml:space="preserve">Consolidate the range of HSPs to those products which </w:t>
      </w:r>
      <w:r w:rsidR="00E550A3" w:rsidRPr="008A7E90">
        <w:rPr>
          <w:b/>
        </w:rPr>
        <w:t>evidence indicates</w:t>
      </w:r>
      <w:r w:rsidRPr="008A7E90">
        <w:rPr>
          <w:b/>
        </w:rPr>
        <w:t xml:space="preserve"> are most effective</w:t>
      </w:r>
      <w:r w:rsidRPr="00FA44C8">
        <w:rPr>
          <w:b/>
        </w:rPr>
        <w:t>.</w:t>
      </w:r>
      <w:r>
        <w:t xml:space="preserve"> Bond Grant, Letting Fees Assistance and Rent in Advance are </w:t>
      </w:r>
      <w:r w:rsidR="005E2B13">
        <w:t>most used</w:t>
      </w:r>
      <w:r>
        <w:t>. Transition to Alternative Housing Grant</w:t>
      </w:r>
      <w:r w:rsidR="005E2B13">
        <w:t xml:space="preserve"> </w:t>
      </w:r>
      <w:r>
        <w:t>and Tenancy Costs Cover</w:t>
      </w:r>
      <w:r w:rsidR="005E2B13">
        <w:t xml:space="preserve"> are </w:t>
      </w:r>
      <w:r w:rsidR="00BF432E">
        <w:t xml:space="preserve">among the </w:t>
      </w:r>
      <w:r w:rsidR="005E2B13">
        <w:t>least used</w:t>
      </w:r>
      <w:r>
        <w:t xml:space="preserve">. </w:t>
      </w:r>
      <w:r w:rsidR="0030590A">
        <w:t>Insights MSD</w:t>
      </w:r>
      <w:r>
        <w:t xml:space="preserve"> recommend</w:t>
      </w:r>
      <w:r w:rsidR="00E550A3">
        <w:t>s</w:t>
      </w:r>
      <w:r>
        <w:t xml:space="preserve"> redesigning Statements of Satisfactory Tenancy so that they do not trigger discrimination against recipients.</w:t>
      </w:r>
    </w:p>
    <w:p w:rsidR="00EC5B7F" w:rsidRDefault="00EC5B7F" w:rsidP="00FA44C8">
      <w:pPr>
        <w:pStyle w:val="ListParagraph"/>
        <w:numPr>
          <w:ilvl w:val="0"/>
          <w:numId w:val="37"/>
        </w:numPr>
        <w:spacing w:before="120" w:after="120"/>
        <w:ind w:left="425" w:hanging="425"/>
        <w:contextualSpacing w:val="0"/>
      </w:pPr>
      <w:r w:rsidRPr="008A7E90">
        <w:rPr>
          <w:b/>
        </w:rPr>
        <w:t>Maintain current characteristics of HSPs</w:t>
      </w:r>
      <w:r w:rsidR="005E2B13" w:rsidRPr="008A7E90">
        <w:rPr>
          <w:b/>
        </w:rPr>
        <w:t xml:space="preserve"> that evidence shows help </w:t>
      </w:r>
      <w:r w:rsidR="00BE1119" w:rsidRPr="008A7E90">
        <w:rPr>
          <w:b/>
        </w:rPr>
        <w:t>recipients</w:t>
      </w:r>
      <w:r w:rsidRPr="00FA44C8">
        <w:rPr>
          <w:b/>
        </w:rPr>
        <w:t>.</w:t>
      </w:r>
      <w:r>
        <w:t xml:space="preserve"> For example, the current income limits on HSP recipients mean they are </w:t>
      </w:r>
      <w:r w:rsidR="0022054B">
        <w:t xml:space="preserve">more accessible to </w:t>
      </w:r>
      <w:r>
        <w:t>those who do not qualify for other forms of assistance. Where suitable</w:t>
      </w:r>
      <w:r w:rsidR="00F53925">
        <w:t xml:space="preserve"> and consistent with policy intent</w:t>
      </w:r>
      <w:r>
        <w:t>, HSPs could be offered alongside comparable forms of recoverable assistance.</w:t>
      </w:r>
    </w:p>
    <w:p w:rsidR="00EC5B7F" w:rsidRDefault="00EC5B7F" w:rsidP="00FA44C8">
      <w:pPr>
        <w:pStyle w:val="ListParagraph"/>
        <w:numPr>
          <w:ilvl w:val="0"/>
          <w:numId w:val="37"/>
        </w:numPr>
        <w:spacing w:before="120" w:after="120"/>
        <w:ind w:left="425" w:hanging="425"/>
        <w:contextualSpacing w:val="0"/>
      </w:pPr>
      <w:r w:rsidRPr="008A7E90">
        <w:rPr>
          <w:b/>
        </w:rPr>
        <w:t>Incentivise the use of HSPs</w:t>
      </w:r>
      <w:r w:rsidR="007A2362" w:rsidRPr="00FA44C8">
        <w:rPr>
          <w:b/>
        </w:rPr>
        <w:t>.</w:t>
      </w:r>
      <w:r w:rsidRPr="00FA44C8">
        <w:t xml:space="preserve"> </w:t>
      </w:r>
      <w:r w:rsidR="00103166">
        <w:t>Offer</w:t>
      </w:r>
      <w:r>
        <w:t xml:space="preserve"> pre-approval of HSPs for suitable </w:t>
      </w:r>
      <w:r w:rsidR="005E2B13">
        <w:t>applicants</w:t>
      </w:r>
      <w:r>
        <w:t>. This would enable them to look for alternative housing, safe in the knowledge that when they secure a home, they will be able to afford</w:t>
      </w:r>
      <w:r w:rsidR="00E550A3">
        <w:t xml:space="preserve"> and sustain their tenancy</w:t>
      </w:r>
      <w:r>
        <w:t>.</w:t>
      </w:r>
    </w:p>
    <w:p w:rsidR="000B1E3A" w:rsidRPr="00EC5B7F" w:rsidRDefault="00535D7C" w:rsidP="00FA44C8">
      <w:pPr>
        <w:pStyle w:val="ListParagraph"/>
        <w:numPr>
          <w:ilvl w:val="0"/>
          <w:numId w:val="37"/>
        </w:numPr>
        <w:spacing w:before="120" w:after="120"/>
        <w:ind w:left="425" w:hanging="425"/>
        <w:contextualSpacing w:val="0"/>
      </w:pPr>
      <w:r w:rsidRPr="008A7E90">
        <w:rPr>
          <w:b/>
        </w:rPr>
        <w:t>O</w:t>
      </w:r>
      <w:r w:rsidR="00EC5B7F" w:rsidRPr="008A7E90">
        <w:rPr>
          <w:b/>
        </w:rPr>
        <w:t xml:space="preserve">perational </w:t>
      </w:r>
      <w:r w:rsidR="00253CE8" w:rsidRPr="008A7E90">
        <w:rPr>
          <w:b/>
        </w:rPr>
        <w:t xml:space="preserve">practice </w:t>
      </w:r>
      <w:r w:rsidRPr="008A7E90">
        <w:rPr>
          <w:b/>
        </w:rPr>
        <w:t>could be strengthened</w:t>
      </w:r>
      <w:r>
        <w:t xml:space="preserve"> with</w:t>
      </w:r>
      <w:r w:rsidR="00EC5B7F">
        <w:t xml:space="preserve"> </w:t>
      </w:r>
      <w:r w:rsidR="00103166">
        <w:t>renewed trai</w:t>
      </w:r>
      <w:r>
        <w:t>ning on HSPs for case man</w:t>
      </w:r>
      <w:r w:rsidR="00801029">
        <w:t>agers and addressing complicated</w:t>
      </w:r>
      <w:r>
        <w:t xml:space="preserve"> </w:t>
      </w:r>
      <w:r w:rsidR="00801029">
        <w:t>administrative processes.</w:t>
      </w:r>
      <w:r>
        <w:t xml:space="preserve"> </w:t>
      </w:r>
      <w:r w:rsidR="000B1E3A">
        <w:br w:type="page"/>
      </w:r>
    </w:p>
    <w:p w:rsidR="00A4021D" w:rsidRPr="008A7E90" w:rsidRDefault="00917A9F" w:rsidP="00FA44C8">
      <w:pPr>
        <w:pStyle w:val="Heading1"/>
        <w:ind w:right="-46"/>
      </w:pPr>
      <w:bookmarkStart w:id="15" w:name="_Toc516161710"/>
      <w:r>
        <w:lastRenderedPageBreak/>
        <w:t>Backg</w:t>
      </w:r>
      <w:r w:rsidR="0062005D">
        <w:t>round</w:t>
      </w:r>
      <w:bookmarkEnd w:id="15"/>
    </w:p>
    <w:p w:rsidR="00A4021D" w:rsidRPr="008A7E90" w:rsidRDefault="005F27E2" w:rsidP="00FA44C8">
      <w:r w:rsidRPr="008A7E90">
        <w:t xml:space="preserve">Housing </w:t>
      </w:r>
      <w:r w:rsidR="00103166" w:rsidRPr="008A7E90">
        <w:t xml:space="preserve">Support Products </w:t>
      </w:r>
      <w:r w:rsidR="00AC1FE8" w:rsidRPr="008A7E90">
        <w:t>is a set of individual products that aim to address barriers to accessing or retaining housing by meeting needs not covered by other forms of assistance</w:t>
      </w:r>
      <w:r w:rsidR="008B0A28" w:rsidRPr="008A7E90">
        <w:t xml:space="preserve"> </w:t>
      </w:r>
    </w:p>
    <w:p w:rsidR="005954A9" w:rsidRDefault="005954A9" w:rsidP="00CB00C0">
      <w:r w:rsidRPr="00800EBD">
        <w:t>Housing Support Products (HSPs)</w:t>
      </w:r>
      <w:r w:rsidR="00800EBD" w:rsidRPr="00800EBD">
        <w:rPr>
          <w:rStyle w:val="Hyperlink"/>
          <w:noProof/>
          <w:color w:val="auto"/>
          <w:u w:val="none"/>
        </w:rPr>
        <w:t xml:space="preserve"> were established in 2014 and </w:t>
      </w:r>
      <w:r>
        <w:rPr>
          <w:rStyle w:val="Hyperlink"/>
          <w:noProof/>
          <w:color w:val="auto"/>
          <w:u w:val="none"/>
        </w:rPr>
        <w:t>a</w:t>
      </w:r>
      <w:r w:rsidR="00800EBD" w:rsidRPr="00800EBD">
        <w:rPr>
          <w:rStyle w:val="Hyperlink"/>
          <w:noProof/>
          <w:color w:val="auto"/>
          <w:u w:val="none"/>
        </w:rPr>
        <w:t xml:space="preserve">re designed to help people overcome </w:t>
      </w:r>
      <w:r w:rsidR="00800EBD">
        <w:rPr>
          <w:rStyle w:val="Hyperlink"/>
          <w:noProof/>
          <w:color w:val="auto"/>
          <w:u w:val="none"/>
        </w:rPr>
        <w:t xml:space="preserve">financial and behavioural </w:t>
      </w:r>
      <w:r w:rsidR="00800EBD" w:rsidRPr="00800EBD">
        <w:rPr>
          <w:rStyle w:val="Hyperlink"/>
          <w:noProof/>
          <w:color w:val="auto"/>
          <w:u w:val="none"/>
        </w:rPr>
        <w:t>barriers to alternative housing.</w:t>
      </w:r>
      <w:r w:rsidR="00521668" w:rsidRPr="00521668">
        <w:t xml:space="preserve"> </w:t>
      </w:r>
      <w:r w:rsidR="00521668" w:rsidRPr="00800EBD">
        <w:t xml:space="preserve">HSPs are </w:t>
      </w:r>
      <w:r>
        <w:t>for eligible people</w:t>
      </w:r>
      <w:r w:rsidR="00521668" w:rsidRPr="00800EBD">
        <w:t xml:space="preserve"> who </w:t>
      </w:r>
      <w:r>
        <w:t>can</w:t>
      </w:r>
      <w:r w:rsidR="00521668" w:rsidRPr="00800EBD">
        <w:t xml:space="preserve"> sustain alternative housing but cannot meet the costs associated with either moving to or m</w:t>
      </w:r>
      <w:r w:rsidR="0081254B">
        <w:t>aintaining alternative housing.</w:t>
      </w:r>
      <w:r w:rsidR="006A16BE">
        <w:t xml:space="preserve"> </w:t>
      </w:r>
      <w:r w:rsidR="009B5875">
        <w:t xml:space="preserve">These supports </w:t>
      </w:r>
      <w:r w:rsidR="006A16BE">
        <w:t>are intended to</w:t>
      </w:r>
      <w:r w:rsidR="006A16BE">
        <w:rPr>
          <w:rStyle w:val="Hyperlink"/>
          <w:noProof/>
          <w:color w:val="auto"/>
          <w:u w:val="none"/>
        </w:rPr>
        <w:t xml:space="preserve"> be considered after all other options available to the client to meet their particular needs have been exhausted.</w:t>
      </w:r>
    </w:p>
    <w:p w:rsidR="005954A9" w:rsidRDefault="005954A9" w:rsidP="00CB00C0">
      <w:pPr>
        <w:rPr>
          <w:rStyle w:val="Hyperlink"/>
          <w:noProof/>
          <w:color w:val="auto"/>
          <w:u w:val="none"/>
        </w:rPr>
      </w:pPr>
      <w:r>
        <w:rPr>
          <w:rStyle w:val="Hyperlink"/>
          <w:noProof/>
          <w:color w:val="auto"/>
          <w:u w:val="none"/>
        </w:rPr>
        <w:t>MSD has</w:t>
      </w:r>
      <w:r w:rsidR="00AC1FE8">
        <w:rPr>
          <w:rStyle w:val="Hyperlink"/>
          <w:noProof/>
          <w:color w:val="auto"/>
          <w:u w:val="none"/>
        </w:rPr>
        <w:t xml:space="preserve"> been allocated</w:t>
      </w:r>
      <w:r>
        <w:rPr>
          <w:rStyle w:val="Hyperlink"/>
          <w:noProof/>
          <w:color w:val="auto"/>
          <w:u w:val="none"/>
        </w:rPr>
        <w:t xml:space="preserve"> $2.</w:t>
      </w:r>
      <w:r w:rsidR="009909C6">
        <w:rPr>
          <w:rStyle w:val="Hyperlink"/>
          <w:noProof/>
          <w:color w:val="auto"/>
          <w:u w:val="none"/>
        </w:rPr>
        <w:t>6 million per annum for HSPs.</w:t>
      </w:r>
      <w:r>
        <w:rPr>
          <w:rStyle w:val="Hyperlink"/>
          <w:noProof/>
          <w:color w:val="auto"/>
          <w:u w:val="none"/>
        </w:rPr>
        <w:t xml:space="preserve"> This funding is a limited appropration which requires careful management, which means </w:t>
      </w:r>
      <w:r w:rsidR="00CB00C0" w:rsidRPr="00800EBD">
        <w:rPr>
          <w:rStyle w:val="Hyperlink"/>
          <w:noProof/>
          <w:color w:val="auto"/>
          <w:u w:val="none"/>
        </w:rPr>
        <w:t xml:space="preserve">all forms of </w:t>
      </w:r>
      <w:r w:rsidR="00AC1FE8">
        <w:rPr>
          <w:rStyle w:val="Hyperlink"/>
          <w:noProof/>
          <w:color w:val="auto"/>
          <w:u w:val="none"/>
        </w:rPr>
        <w:t xml:space="preserve">other </w:t>
      </w:r>
      <w:r w:rsidR="00CB00C0" w:rsidRPr="00800EBD">
        <w:rPr>
          <w:rStyle w:val="Hyperlink"/>
          <w:noProof/>
          <w:color w:val="auto"/>
          <w:u w:val="none"/>
        </w:rPr>
        <w:t>assistance which could cover the same</w:t>
      </w:r>
      <w:r>
        <w:rPr>
          <w:rStyle w:val="Hyperlink"/>
          <w:noProof/>
          <w:color w:val="auto"/>
          <w:u w:val="none"/>
        </w:rPr>
        <w:t xml:space="preserve"> housing hardship</w:t>
      </w:r>
      <w:r w:rsidR="00CB00C0" w:rsidRPr="00800EBD">
        <w:rPr>
          <w:rStyle w:val="Hyperlink"/>
          <w:noProof/>
          <w:color w:val="auto"/>
          <w:u w:val="none"/>
        </w:rPr>
        <w:t xml:space="preserve"> issues </w:t>
      </w:r>
      <w:r>
        <w:rPr>
          <w:rStyle w:val="Hyperlink"/>
          <w:noProof/>
          <w:color w:val="auto"/>
          <w:u w:val="none"/>
        </w:rPr>
        <w:t>are</w:t>
      </w:r>
      <w:r w:rsidR="00CB00C0" w:rsidRPr="00800EBD">
        <w:rPr>
          <w:rStyle w:val="Hyperlink"/>
          <w:noProof/>
          <w:color w:val="auto"/>
          <w:u w:val="none"/>
        </w:rPr>
        <w:t xml:space="preserve"> considered before issuing an HSP</w:t>
      </w:r>
      <w:r w:rsidR="008A553D">
        <w:rPr>
          <w:rStyle w:val="Hyperlink"/>
          <w:noProof/>
          <w:color w:val="auto"/>
          <w:u w:val="none"/>
        </w:rPr>
        <w:t xml:space="preserve">. </w:t>
      </w:r>
    </w:p>
    <w:p w:rsidR="00A947EF" w:rsidRDefault="00521668" w:rsidP="00800EBD">
      <w:pPr>
        <w:rPr>
          <w:rStyle w:val="Hyperlink"/>
          <w:noProof/>
          <w:color w:val="auto"/>
          <w:u w:val="none"/>
        </w:rPr>
      </w:pPr>
      <w:r>
        <w:rPr>
          <w:rStyle w:val="Hyperlink"/>
          <w:noProof/>
          <w:color w:val="auto"/>
          <w:u w:val="none"/>
        </w:rPr>
        <w:t>Figure 1</w:t>
      </w:r>
      <w:r w:rsidR="005954A9">
        <w:rPr>
          <w:rStyle w:val="Hyperlink"/>
          <w:noProof/>
          <w:color w:val="auto"/>
          <w:u w:val="none"/>
        </w:rPr>
        <w:t xml:space="preserve"> below</w:t>
      </w:r>
      <w:r>
        <w:rPr>
          <w:rStyle w:val="Hyperlink"/>
          <w:noProof/>
          <w:color w:val="auto"/>
          <w:u w:val="none"/>
        </w:rPr>
        <w:t xml:space="preserve"> shows the housing continuum and </w:t>
      </w:r>
      <w:r w:rsidR="00A947EF">
        <w:rPr>
          <w:rStyle w:val="Hyperlink"/>
          <w:noProof/>
          <w:color w:val="auto"/>
          <w:u w:val="none"/>
        </w:rPr>
        <w:t>how</w:t>
      </w:r>
      <w:r>
        <w:rPr>
          <w:rStyle w:val="Hyperlink"/>
          <w:noProof/>
          <w:color w:val="auto"/>
          <w:u w:val="none"/>
        </w:rPr>
        <w:t xml:space="preserve"> HSPs </w:t>
      </w:r>
      <w:r w:rsidR="005954A9">
        <w:rPr>
          <w:rStyle w:val="Hyperlink"/>
          <w:noProof/>
          <w:color w:val="auto"/>
          <w:u w:val="none"/>
        </w:rPr>
        <w:t>are</w:t>
      </w:r>
      <w:r>
        <w:rPr>
          <w:rStyle w:val="Hyperlink"/>
          <w:noProof/>
          <w:color w:val="auto"/>
          <w:u w:val="none"/>
        </w:rPr>
        <w:t xml:space="preserve"> used</w:t>
      </w:r>
      <w:r w:rsidR="00103166">
        <w:rPr>
          <w:rStyle w:val="Hyperlink"/>
          <w:noProof/>
          <w:color w:val="auto"/>
          <w:u w:val="none"/>
        </w:rPr>
        <w:t xml:space="preserve"> to move people from insecure, transitonal or public housing to </w:t>
      </w:r>
      <w:r w:rsidR="00A947EF">
        <w:rPr>
          <w:rStyle w:val="Hyperlink"/>
          <w:noProof/>
          <w:color w:val="auto"/>
          <w:u w:val="none"/>
        </w:rPr>
        <w:t>private rental</w:t>
      </w:r>
      <w:r w:rsidR="00CB00C0" w:rsidRPr="007C519D">
        <w:rPr>
          <w:rStyle w:val="Hyperlink"/>
          <w:noProof/>
          <w:color w:val="auto"/>
          <w:u w:val="none"/>
        </w:rPr>
        <w:t xml:space="preserve">. </w:t>
      </w:r>
    </w:p>
    <w:p w:rsidR="008E6AD9" w:rsidRDefault="00521668" w:rsidP="00FA44C8">
      <w:pPr>
        <w:pStyle w:val="Heading4"/>
        <w:rPr>
          <w:noProof/>
        </w:rPr>
      </w:pPr>
      <w:r>
        <w:rPr>
          <w:noProof/>
        </w:rPr>
        <w:t>Figure 1:</w:t>
      </w:r>
      <w:r w:rsidR="003B24C2">
        <w:rPr>
          <w:noProof/>
        </w:rPr>
        <w:t xml:space="preserve"> Housing continuu</w:t>
      </w:r>
      <w:r w:rsidR="007F0412">
        <w:rPr>
          <w:noProof/>
        </w:rPr>
        <w:t>m</w:t>
      </w:r>
      <w:r w:rsidR="007F0412">
        <w:rPr>
          <w:rStyle w:val="FootnoteReference"/>
          <w:noProof/>
        </w:rPr>
        <w:footnoteReference w:id="1"/>
      </w:r>
    </w:p>
    <w:p w:rsidR="00521668" w:rsidRDefault="008E6AD9" w:rsidP="008E6AD9">
      <w:pPr>
        <w:pStyle w:val="Heading4"/>
        <w:rPr>
          <w:noProof/>
        </w:rPr>
      </w:pPr>
      <w:r w:rsidRPr="00A947EF">
        <w:rPr>
          <w:noProof/>
          <w:lang w:eastAsia="en-NZ"/>
        </w:rPr>
        <mc:AlternateContent>
          <mc:Choice Requires="wps">
            <w:drawing>
              <wp:anchor distT="0" distB="0" distL="114300" distR="114300" simplePos="0" relativeHeight="251680768" behindDoc="0" locked="0" layoutInCell="1" allowOverlap="1" wp14:anchorId="03FFEC88" wp14:editId="0C21DD19">
                <wp:simplePos x="0" y="0"/>
                <wp:positionH relativeFrom="column">
                  <wp:posOffset>3086100</wp:posOffset>
                </wp:positionH>
                <wp:positionV relativeFrom="paragraph">
                  <wp:posOffset>3175</wp:posOffset>
                </wp:positionV>
                <wp:extent cx="669290" cy="1403985"/>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noFill/>
                        <a:ln w="9525">
                          <a:noFill/>
                          <a:miter lim="800000"/>
                          <a:headEnd/>
                          <a:tailEnd/>
                        </a:ln>
                      </wps:spPr>
                      <wps:txbx>
                        <w:txbxContent>
                          <w:p w:rsidR="004800D3" w:rsidRPr="00A947EF" w:rsidRDefault="004800D3">
                            <w:pPr>
                              <w:rPr>
                                <w:b/>
                              </w:rPr>
                            </w:pPr>
                            <w:r w:rsidRPr="00A947EF">
                              <w:rPr>
                                <w:b/>
                              </w:rPr>
                              <w:t>HSPs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25pt;width:52.7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" filled="f" stroked="f">
                <v:textbox style="mso-fit-shape-to-text:t">
                  <w:txbxContent>
                    <w:p w:rsidR="004800D3" w:rsidRPr="00A947EF" w:rsidRDefault="004800D3">
                      <w:pPr>
                        <w:rPr>
                          <w:b/>
                        </w:rPr>
                      </w:pPr>
                      <w:r w:rsidRPr="00A947EF">
                        <w:rPr>
                          <w:b/>
                        </w:rPr>
                        <w:t>HSPs</w:t>
                      </w:r>
                    </w:p>
                  </w:txbxContent>
                </v:textbox>
              </v:shape>
            </w:pict>
          </mc:Fallback>
        </mc:AlternateContent>
      </w:r>
    </w:p>
    <w:p w:rsidR="00A947EF" w:rsidRPr="00A947EF" w:rsidRDefault="007F0412" w:rsidP="00A947EF">
      <w:r>
        <w:rPr>
          <w:noProof/>
          <w:lang w:eastAsia="en-NZ"/>
        </w:rPr>
        <w:drawing>
          <wp:anchor distT="0" distB="0" distL="114300" distR="114300" simplePos="0" relativeHeight="251695104" behindDoc="1" locked="0" layoutInCell="1" allowOverlap="1" wp14:anchorId="0A2BCAB2" wp14:editId="4D0BD47F">
            <wp:simplePos x="0" y="0"/>
            <wp:positionH relativeFrom="column">
              <wp:posOffset>55245</wp:posOffset>
            </wp:positionH>
            <wp:positionV relativeFrom="paragraph">
              <wp:posOffset>401955</wp:posOffset>
            </wp:positionV>
            <wp:extent cx="5507355" cy="1668780"/>
            <wp:effectExtent l="57150" t="57150" r="55245" b="45720"/>
            <wp:wrapThrough wrapText="bothSides">
              <wp:wrapPolygon edited="0">
                <wp:start x="0" y="-740"/>
                <wp:lineTo x="-224" y="-247"/>
                <wp:lineTo x="-224" y="11589"/>
                <wp:lineTo x="8742" y="11589"/>
                <wp:lineTo x="8742" y="20712"/>
                <wp:lineTo x="8966" y="21945"/>
                <wp:lineTo x="21593" y="21945"/>
                <wp:lineTo x="21742" y="19726"/>
                <wp:lineTo x="21742" y="15534"/>
                <wp:lineTo x="21593" y="11836"/>
                <wp:lineTo x="21593" y="11589"/>
                <wp:lineTo x="21742" y="7890"/>
                <wp:lineTo x="21742" y="0"/>
                <wp:lineTo x="21443" y="-247"/>
                <wp:lineTo x="17110" y="-740"/>
                <wp:lineTo x="0" y="-740"/>
              </wp:wrapPolygon>
            </wp:wrapThrough>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41698A">
        <w:rPr>
          <w:noProof/>
          <w:lang w:eastAsia="en-NZ"/>
        </w:rPr>
        <mc:AlternateContent>
          <mc:Choice Requires="wps">
            <w:drawing>
              <wp:anchor distT="0" distB="0" distL="114300" distR="114300" simplePos="0" relativeHeight="251689984" behindDoc="0" locked="0" layoutInCell="1" allowOverlap="1" wp14:anchorId="59E3F110" wp14:editId="18A3E65B">
                <wp:simplePos x="0" y="0"/>
                <wp:positionH relativeFrom="column">
                  <wp:posOffset>1127051</wp:posOffset>
                </wp:positionH>
                <wp:positionV relativeFrom="paragraph">
                  <wp:posOffset>66616</wp:posOffset>
                </wp:positionV>
                <wp:extent cx="2153462" cy="261620"/>
                <wp:effectExtent l="57150" t="0" r="0" b="62230"/>
                <wp:wrapNone/>
                <wp:docPr id="20" name="Freeform 20"/>
                <wp:cNvGraphicFramePr/>
                <a:graphic xmlns:a="http://schemas.openxmlformats.org/drawingml/2006/main">
                  <a:graphicData uri="http://schemas.microsoft.com/office/word/2010/wordprocessingShape">
                    <wps:wsp>
                      <wps:cNvSpPr/>
                      <wps:spPr>
                        <a:xfrm>
                          <a:off x="0" y="0"/>
                          <a:ext cx="2153462" cy="261620"/>
                        </a:xfrm>
                        <a:custGeom>
                          <a:avLst/>
                          <a:gdLst>
                            <a:gd name="connsiteX0" fmla="*/ 1103555 w 1103555"/>
                            <a:gd name="connsiteY0" fmla="*/ 0 h 244549"/>
                            <a:gd name="connsiteX1" fmla="*/ 146625 w 1103555"/>
                            <a:gd name="connsiteY1" fmla="*/ 74428 h 244549"/>
                            <a:gd name="connsiteX2" fmla="*/ 19034 w 1103555"/>
                            <a:gd name="connsiteY2" fmla="*/ 244549 h 244549"/>
                            <a:gd name="connsiteX0" fmla="*/ 1096195 w 1096195"/>
                            <a:gd name="connsiteY0" fmla="*/ 14906 h 259455"/>
                            <a:gd name="connsiteX1" fmla="*/ 171570 w 1096195"/>
                            <a:gd name="connsiteY1" fmla="*/ 14906 h 259455"/>
                            <a:gd name="connsiteX2" fmla="*/ 11674 w 1096195"/>
                            <a:gd name="connsiteY2" fmla="*/ 259455 h 259455"/>
                            <a:gd name="connsiteX0" fmla="*/ 1090892 w 1090892"/>
                            <a:gd name="connsiteY0" fmla="*/ 18406 h 262955"/>
                            <a:gd name="connsiteX1" fmla="*/ 214725 w 1090892"/>
                            <a:gd name="connsiteY1" fmla="*/ 14174 h 262955"/>
                            <a:gd name="connsiteX2" fmla="*/ 6371 w 1090892"/>
                            <a:gd name="connsiteY2" fmla="*/ 262955 h 262955"/>
                          </a:gdLst>
                          <a:ahLst/>
                          <a:cxnLst>
                            <a:cxn ang="0">
                              <a:pos x="connsiteX0" y="connsiteY0"/>
                            </a:cxn>
                            <a:cxn ang="0">
                              <a:pos x="connsiteX1" y="connsiteY1"/>
                            </a:cxn>
                            <a:cxn ang="0">
                              <a:pos x="connsiteX2" y="connsiteY2"/>
                            </a:cxn>
                          </a:cxnLst>
                          <a:rect l="l" t="t" r="r" b="b"/>
                          <a:pathLst>
                            <a:path w="1090892" h="262955">
                              <a:moveTo>
                                <a:pt x="1090892" y="18406"/>
                              </a:moveTo>
                              <a:cubicBezTo>
                                <a:pt x="702803" y="35241"/>
                                <a:pt x="395478" y="-26584"/>
                                <a:pt x="214725" y="14174"/>
                              </a:cubicBezTo>
                              <a:cubicBezTo>
                                <a:pt x="33972" y="54932"/>
                                <a:pt x="-20210" y="198273"/>
                                <a:pt x="6371" y="262955"/>
                              </a:cubicBezTo>
                            </a:path>
                          </a:pathLst>
                        </a:custGeom>
                        <a:noFill/>
                        <a:ln>
                          <a:solidFill>
                            <a:srgbClr val="00B050"/>
                          </a:solidFill>
                          <a:prstDash val="dash"/>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0" o:spid="_x0000_s1026" style="position:absolute;margin-left:88.75pt;margin-top:5.25pt;width:169.55pt;height:2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0892,26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" path="m1090892,18406c702803,35241,395478,-26584,214725,14174,33972,54932,-20210,198273,6371,262955e" filled="f" strokecolor="#00b050" strokeweight="2pt">
                <v:stroke dashstyle="dash" endarrow="block"/>
                <v:path arrowok="t" o:connecttype="custom" o:connectlocs="2153462,18313;423875,14102;12577,261620" o:connectangles="0,0,0"/>
              </v:shape>
            </w:pict>
          </mc:Fallback>
        </mc:AlternateContent>
      </w:r>
      <w:r w:rsidR="0041698A">
        <w:rPr>
          <w:noProof/>
          <w:lang w:eastAsia="en-NZ"/>
        </w:rPr>
        <mc:AlternateContent>
          <mc:Choice Requires="wps">
            <w:drawing>
              <wp:anchor distT="0" distB="0" distL="114300" distR="114300" simplePos="0" relativeHeight="251685888" behindDoc="0" locked="0" layoutInCell="1" allowOverlap="1" wp14:anchorId="62C8E7FB" wp14:editId="5078677E">
                <wp:simplePos x="0" y="0"/>
                <wp:positionH relativeFrom="column">
                  <wp:posOffset>2225040</wp:posOffset>
                </wp:positionH>
                <wp:positionV relativeFrom="paragraph">
                  <wp:posOffset>76835</wp:posOffset>
                </wp:positionV>
                <wp:extent cx="1089025" cy="244475"/>
                <wp:effectExtent l="57150" t="0" r="15875" b="60325"/>
                <wp:wrapNone/>
                <wp:docPr id="18" name="Freeform 18"/>
                <wp:cNvGraphicFramePr/>
                <a:graphic xmlns:a="http://schemas.openxmlformats.org/drawingml/2006/main">
                  <a:graphicData uri="http://schemas.microsoft.com/office/word/2010/wordprocessingShape">
                    <wps:wsp>
                      <wps:cNvSpPr/>
                      <wps:spPr>
                        <a:xfrm>
                          <a:off x="0" y="0"/>
                          <a:ext cx="1089025" cy="244475"/>
                        </a:xfrm>
                        <a:custGeom>
                          <a:avLst/>
                          <a:gdLst>
                            <a:gd name="connsiteX0" fmla="*/ 1103555 w 1103555"/>
                            <a:gd name="connsiteY0" fmla="*/ 0 h 244549"/>
                            <a:gd name="connsiteX1" fmla="*/ 146625 w 1103555"/>
                            <a:gd name="connsiteY1" fmla="*/ 74428 h 244549"/>
                            <a:gd name="connsiteX2" fmla="*/ 19034 w 1103555"/>
                            <a:gd name="connsiteY2" fmla="*/ 244549 h 244549"/>
                            <a:gd name="connsiteX0" fmla="*/ 1089510 w 1089510"/>
                            <a:gd name="connsiteY0" fmla="*/ 0 h 244549"/>
                            <a:gd name="connsiteX1" fmla="*/ 239033 w 1089510"/>
                            <a:gd name="connsiteY1" fmla="*/ 21272 h 244549"/>
                            <a:gd name="connsiteX2" fmla="*/ 4989 w 1089510"/>
                            <a:gd name="connsiteY2" fmla="*/ 244549 h 244549"/>
                          </a:gdLst>
                          <a:ahLst/>
                          <a:cxnLst>
                            <a:cxn ang="0">
                              <a:pos x="connsiteX0" y="connsiteY0"/>
                            </a:cxn>
                            <a:cxn ang="0">
                              <a:pos x="connsiteX1" y="connsiteY1"/>
                            </a:cxn>
                            <a:cxn ang="0">
                              <a:pos x="connsiteX2" y="connsiteY2"/>
                            </a:cxn>
                          </a:cxnLst>
                          <a:rect l="l" t="t" r="r" b="b"/>
                          <a:pathLst>
                            <a:path w="1089510" h="244549">
                              <a:moveTo>
                                <a:pt x="1089510" y="0"/>
                              </a:moveTo>
                              <a:cubicBezTo>
                                <a:pt x="701421" y="16835"/>
                                <a:pt x="419786" y="-19486"/>
                                <a:pt x="239033" y="21272"/>
                              </a:cubicBezTo>
                              <a:cubicBezTo>
                                <a:pt x="58280" y="62030"/>
                                <a:pt x="-21592" y="179867"/>
                                <a:pt x="4989" y="244549"/>
                              </a:cubicBezTo>
                            </a:path>
                          </a:pathLst>
                        </a:custGeom>
                        <a:noFill/>
                        <a:ln>
                          <a:solidFill>
                            <a:srgbClr val="00B050"/>
                          </a:solidFill>
                          <a:prstDash val="dash"/>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18" o:spid="_x0000_s1026" style="position:absolute;margin-left:175.2pt;margin-top:6.05pt;width:85.75pt;height:19.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89510,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" path="m1089510,c701421,16835,419786,-19486,239033,21272,58280,62030,-21592,179867,4989,244549e" filled="f" strokecolor="#00b050" strokeweight="2pt">
                <v:stroke dashstyle="dash" endarrow="block"/>
                <v:path arrowok="t" o:connecttype="custom" o:connectlocs="1089025,0;238927,21266;4987,244475" o:connectangles="0,0,0"/>
              </v:shape>
            </w:pict>
          </mc:Fallback>
        </mc:AlternateContent>
      </w:r>
      <w:r w:rsidR="00CC4192">
        <w:rPr>
          <w:noProof/>
          <w:lang w:eastAsia="en-NZ"/>
        </w:rPr>
        <mc:AlternateContent>
          <mc:Choice Requires="wps">
            <w:drawing>
              <wp:anchor distT="0" distB="0" distL="114300" distR="114300" simplePos="0" relativeHeight="251687936" behindDoc="0" locked="0" layoutInCell="1" allowOverlap="1" wp14:anchorId="36272869" wp14:editId="1746239B">
                <wp:simplePos x="0" y="0"/>
                <wp:positionH relativeFrom="column">
                  <wp:posOffset>3498112</wp:posOffset>
                </wp:positionH>
                <wp:positionV relativeFrom="paragraph">
                  <wp:posOffset>78823</wp:posOffset>
                </wp:positionV>
                <wp:extent cx="1018401" cy="270075"/>
                <wp:effectExtent l="0" t="0" r="67945" b="53975"/>
                <wp:wrapNone/>
                <wp:docPr id="19" name="Freeform 19"/>
                <wp:cNvGraphicFramePr/>
                <a:graphic xmlns:a="http://schemas.openxmlformats.org/drawingml/2006/main">
                  <a:graphicData uri="http://schemas.microsoft.com/office/word/2010/wordprocessingShape">
                    <wps:wsp>
                      <wps:cNvSpPr/>
                      <wps:spPr>
                        <a:xfrm flipH="1">
                          <a:off x="0" y="0"/>
                          <a:ext cx="1018401" cy="270075"/>
                        </a:xfrm>
                        <a:custGeom>
                          <a:avLst/>
                          <a:gdLst>
                            <a:gd name="connsiteX0" fmla="*/ 1103555 w 1103555"/>
                            <a:gd name="connsiteY0" fmla="*/ 0 h 244549"/>
                            <a:gd name="connsiteX1" fmla="*/ 146625 w 1103555"/>
                            <a:gd name="connsiteY1" fmla="*/ 74428 h 244549"/>
                            <a:gd name="connsiteX2" fmla="*/ 19034 w 1103555"/>
                            <a:gd name="connsiteY2" fmla="*/ 244549 h 244549"/>
                            <a:gd name="connsiteX0" fmla="*/ 1087496 w 1087496"/>
                            <a:gd name="connsiteY0" fmla="*/ 14906 h 259455"/>
                            <a:gd name="connsiteX1" fmla="*/ 312617 w 1087496"/>
                            <a:gd name="connsiteY1" fmla="*/ 14906 h 259455"/>
                            <a:gd name="connsiteX2" fmla="*/ 2975 w 1087496"/>
                            <a:gd name="connsiteY2" fmla="*/ 259455 h 259455"/>
                            <a:gd name="connsiteX0" fmla="*/ 1089691 w 1089691"/>
                            <a:gd name="connsiteY0" fmla="*/ 3686 h 248235"/>
                            <a:gd name="connsiteX1" fmla="*/ 235147 w 1089691"/>
                            <a:gd name="connsiteY1" fmla="*/ 18134 h 248235"/>
                            <a:gd name="connsiteX2" fmla="*/ 5170 w 1089691"/>
                            <a:gd name="connsiteY2" fmla="*/ 248235 h 248235"/>
                          </a:gdLst>
                          <a:ahLst/>
                          <a:cxnLst>
                            <a:cxn ang="0">
                              <a:pos x="connsiteX0" y="connsiteY0"/>
                            </a:cxn>
                            <a:cxn ang="0">
                              <a:pos x="connsiteX1" y="connsiteY1"/>
                            </a:cxn>
                            <a:cxn ang="0">
                              <a:pos x="connsiteX2" y="connsiteY2"/>
                            </a:cxn>
                          </a:cxnLst>
                          <a:rect l="l" t="t" r="r" b="b"/>
                          <a:pathLst>
                            <a:path w="1089691" h="248235">
                              <a:moveTo>
                                <a:pt x="1089691" y="3686"/>
                              </a:moveTo>
                              <a:cubicBezTo>
                                <a:pt x="701602" y="20521"/>
                                <a:pt x="415900" y="-22624"/>
                                <a:pt x="235147" y="18134"/>
                              </a:cubicBezTo>
                              <a:cubicBezTo>
                                <a:pt x="54394" y="58892"/>
                                <a:pt x="-21411" y="183553"/>
                                <a:pt x="5170" y="248235"/>
                              </a:cubicBezTo>
                            </a:path>
                          </a:pathLst>
                        </a:custGeom>
                        <a:noFill/>
                        <a:ln>
                          <a:solidFill>
                            <a:srgbClr val="00B050"/>
                          </a:solidFill>
                          <a:prstDash val="dash"/>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9" o:spid="_x0000_s1026" style="position:absolute;margin-left:275.45pt;margin-top:6.2pt;width:80.2pt;height:21.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9691,24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" path="m1089691,3686c701602,20521,415900,-22624,235147,18134,54394,58892,-21411,183553,5170,248235e" filled="f" strokecolor="#00b050" strokeweight="2pt">
                <v:stroke dashstyle="dash" endarrow="block"/>
                <v:path arrowok="t" o:connecttype="custom" o:connectlocs="1018401,4010;219763,19729;4832,270075" o:connectangles="0,0,0"/>
              </v:shape>
            </w:pict>
          </mc:Fallback>
        </mc:AlternateContent>
      </w:r>
      <w:r w:rsidR="00A947EF">
        <w:rPr>
          <w:noProof/>
          <w:lang w:eastAsia="en-NZ"/>
        </w:rPr>
        <mc:AlternateContent>
          <mc:Choice Requires="wps">
            <w:drawing>
              <wp:anchor distT="0" distB="0" distL="114300" distR="114300" simplePos="0" relativeHeight="251678720" behindDoc="0" locked="0" layoutInCell="1" allowOverlap="1" wp14:anchorId="78D0B484" wp14:editId="79AA2988">
                <wp:simplePos x="0" y="0"/>
                <wp:positionH relativeFrom="column">
                  <wp:posOffset>3284855</wp:posOffset>
                </wp:positionH>
                <wp:positionV relativeFrom="paragraph">
                  <wp:posOffset>95885</wp:posOffset>
                </wp:positionV>
                <wp:extent cx="212090" cy="254000"/>
                <wp:effectExtent l="19050" t="0" r="16510" b="31750"/>
                <wp:wrapNone/>
                <wp:docPr id="8" name="Down Arrow 8"/>
                <wp:cNvGraphicFramePr/>
                <a:graphic xmlns:a="http://schemas.openxmlformats.org/drawingml/2006/main">
                  <a:graphicData uri="http://schemas.microsoft.com/office/word/2010/wordprocessingShape">
                    <wps:wsp>
                      <wps:cNvSpPr/>
                      <wps:spPr>
                        <a:xfrm>
                          <a:off x="0" y="0"/>
                          <a:ext cx="212090" cy="254000"/>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58.65pt;margin-top:7.55pt;width:16.7pt;height:2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" adj="12582" fillcolor="#00b050" strokecolor="#00b050" strokeweight="2pt"/>
            </w:pict>
          </mc:Fallback>
        </mc:AlternateContent>
      </w:r>
    </w:p>
    <w:p w:rsidR="003B24C2" w:rsidRPr="003B24C2" w:rsidRDefault="003B24C2" w:rsidP="003B24C2"/>
    <w:p w:rsidR="007F0412" w:rsidRDefault="007F0412" w:rsidP="00A4021D"/>
    <w:p w:rsidR="007F0412" w:rsidRDefault="007F0412" w:rsidP="00A4021D"/>
    <w:p w:rsidR="007F0412" w:rsidRDefault="007F0412" w:rsidP="00A4021D"/>
    <w:p w:rsidR="007F0412" w:rsidRDefault="007F0412" w:rsidP="00A4021D"/>
    <w:p w:rsidR="007F0412" w:rsidRDefault="007F0412" w:rsidP="00A4021D"/>
    <w:p w:rsidR="0010298E" w:rsidRDefault="0010298E" w:rsidP="008A7E90">
      <w:r>
        <w:t xml:space="preserve">For the purposes of this review, HSPs </w:t>
      </w:r>
      <w:r w:rsidR="002B2C50">
        <w:t>refers to</w:t>
      </w:r>
      <w:r>
        <w:t xml:space="preserve"> the following products:</w:t>
      </w:r>
    </w:p>
    <w:p w:rsidR="00597296" w:rsidRPr="00597296" w:rsidRDefault="0010298E" w:rsidP="00FA44C8">
      <w:pPr>
        <w:pStyle w:val="Bullet1"/>
        <w:tabs>
          <w:tab w:val="clear" w:pos="360"/>
          <w:tab w:val="num" w:pos="-3828"/>
        </w:tabs>
        <w:ind w:left="426" w:hanging="426"/>
      </w:pPr>
      <w:r w:rsidRPr="0041698A">
        <w:rPr>
          <w:b/>
        </w:rPr>
        <w:t>Bond Grant</w:t>
      </w:r>
      <w:r w:rsidR="00597296" w:rsidRPr="0041698A">
        <w:rPr>
          <w:b/>
        </w:rPr>
        <w:t>:</w:t>
      </w:r>
      <w:r w:rsidR="00597296">
        <w:t xml:space="preserve"> </w:t>
      </w:r>
      <w:r w:rsidR="00597296" w:rsidRPr="00597296">
        <w:t xml:space="preserve">A non-recoverable payment </w:t>
      </w:r>
      <w:r w:rsidR="000B7B54">
        <w:t>of up to $2</w:t>
      </w:r>
      <w:r w:rsidR="007F0412">
        <w:t>,</w:t>
      </w:r>
      <w:r w:rsidR="000B7B54">
        <w:t xml:space="preserve">000 </w:t>
      </w:r>
      <w:r w:rsidR="00597296" w:rsidRPr="00597296">
        <w:t xml:space="preserve">to assist </w:t>
      </w:r>
      <w:r w:rsidR="00FD4351">
        <w:t>recipients</w:t>
      </w:r>
      <w:r w:rsidR="00597296" w:rsidRPr="00597296">
        <w:t xml:space="preserve"> moving from </w:t>
      </w:r>
      <w:r w:rsidR="00D1727F">
        <w:t>public housing</w:t>
      </w:r>
      <w:r w:rsidR="00597296" w:rsidRPr="00597296">
        <w:t xml:space="preserve"> into alternative housing, where there is a gap between the client's existing bond using Income Related Rent and bond payable at usual rent amounts.</w:t>
      </w:r>
    </w:p>
    <w:p w:rsidR="00597296" w:rsidRPr="00597296" w:rsidRDefault="0010298E" w:rsidP="00FA44C8">
      <w:pPr>
        <w:pStyle w:val="Bullet1"/>
        <w:tabs>
          <w:tab w:val="clear" w:pos="360"/>
          <w:tab w:val="num" w:pos="-3828"/>
        </w:tabs>
        <w:ind w:left="426" w:hanging="426"/>
      </w:pPr>
      <w:r w:rsidRPr="0041698A">
        <w:rPr>
          <w:b/>
        </w:rPr>
        <w:t>Letting Fees Assistance</w:t>
      </w:r>
      <w:r w:rsidR="00597296" w:rsidRPr="0041698A">
        <w:rPr>
          <w:b/>
        </w:rPr>
        <w:t>:</w:t>
      </w:r>
      <w:r w:rsidR="00597296">
        <w:t xml:space="preserve"> </w:t>
      </w:r>
      <w:r w:rsidR="00597296" w:rsidRPr="00597296">
        <w:t xml:space="preserve">Non-recoverable assistance </w:t>
      </w:r>
      <w:r w:rsidR="000B7B54">
        <w:t xml:space="preserve">(up to the cost of one week’s rent plus GST) </w:t>
      </w:r>
      <w:r w:rsidR="00597296" w:rsidRPr="00597296">
        <w:t>available t</w:t>
      </w:r>
      <w:r w:rsidR="003B5126">
        <w:t xml:space="preserve">o meet the cost of letting fees for </w:t>
      </w:r>
      <w:r w:rsidR="00FD4351">
        <w:t>recipients</w:t>
      </w:r>
      <w:r w:rsidR="003B5126">
        <w:t xml:space="preserve"> moving into alternative housing.</w:t>
      </w:r>
    </w:p>
    <w:p w:rsidR="00597296" w:rsidRPr="00597296" w:rsidRDefault="0010298E" w:rsidP="00FA44C8">
      <w:pPr>
        <w:pStyle w:val="Bullet1"/>
        <w:tabs>
          <w:tab w:val="clear" w:pos="360"/>
          <w:tab w:val="num" w:pos="-3828"/>
        </w:tabs>
        <w:ind w:left="426" w:hanging="426"/>
      </w:pPr>
      <w:r w:rsidRPr="0041698A">
        <w:rPr>
          <w:b/>
        </w:rPr>
        <w:t>Moving Assistance</w:t>
      </w:r>
      <w:r w:rsidR="00597296" w:rsidRPr="0041698A">
        <w:rPr>
          <w:b/>
        </w:rPr>
        <w:t>:</w:t>
      </w:r>
      <w:r w:rsidR="00597296">
        <w:t xml:space="preserve"> </w:t>
      </w:r>
      <w:r w:rsidR="003B5126">
        <w:t xml:space="preserve">A recoverable payment </w:t>
      </w:r>
      <w:r w:rsidR="000B7B54">
        <w:t>of up to $1</w:t>
      </w:r>
      <w:r w:rsidR="007F0412">
        <w:t>,</w:t>
      </w:r>
      <w:r w:rsidR="000B7B54">
        <w:t xml:space="preserve">500 </w:t>
      </w:r>
      <w:r w:rsidR="003B5126">
        <w:t>to h</w:t>
      </w:r>
      <w:r w:rsidR="00597296" w:rsidRPr="00597296">
        <w:t>elp w</w:t>
      </w:r>
      <w:r w:rsidR="003B5126">
        <w:t>ith the physical cost of moving</w:t>
      </w:r>
      <w:r w:rsidR="00597296" w:rsidRPr="00597296">
        <w:t>.</w:t>
      </w:r>
    </w:p>
    <w:p w:rsidR="00597296" w:rsidRPr="00597296" w:rsidRDefault="0010298E" w:rsidP="00FA44C8">
      <w:pPr>
        <w:pStyle w:val="Bullet1"/>
        <w:tabs>
          <w:tab w:val="clear" w:pos="360"/>
          <w:tab w:val="num" w:pos="-3828"/>
        </w:tabs>
        <w:spacing w:before="120" w:after="120"/>
        <w:ind w:left="426" w:hanging="426"/>
      </w:pPr>
      <w:r w:rsidRPr="0041698A">
        <w:rPr>
          <w:b/>
        </w:rPr>
        <w:lastRenderedPageBreak/>
        <w:t>Rent in Advance</w:t>
      </w:r>
      <w:r w:rsidR="00597296" w:rsidRPr="0041698A">
        <w:rPr>
          <w:b/>
        </w:rPr>
        <w:t>:</w:t>
      </w:r>
      <w:r w:rsidR="00597296">
        <w:t xml:space="preserve"> </w:t>
      </w:r>
      <w:r w:rsidR="00597296" w:rsidRPr="00597296">
        <w:t xml:space="preserve">A non-recoverable payment </w:t>
      </w:r>
      <w:r w:rsidR="000B7B54">
        <w:t>(up to the cost of two weeks’ rent or $1</w:t>
      </w:r>
      <w:r w:rsidR="007F0412">
        <w:t>,</w:t>
      </w:r>
      <w:r w:rsidR="000B7B54">
        <w:t xml:space="preserve">000, whichever is less) </w:t>
      </w:r>
      <w:r w:rsidR="003B5126">
        <w:t xml:space="preserve">towards the cost of rent for </w:t>
      </w:r>
      <w:r w:rsidR="00FD4351">
        <w:t>recipients</w:t>
      </w:r>
      <w:r w:rsidR="00597296" w:rsidRPr="00597296">
        <w:t xml:space="preserve"> </w:t>
      </w:r>
      <w:r w:rsidR="003B5126">
        <w:t>considered able to afford and sustain</w:t>
      </w:r>
      <w:r w:rsidR="00597296" w:rsidRPr="00597296">
        <w:t xml:space="preserve"> alternative housing.</w:t>
      </w:r>
    </w:p>
    <w:p w:rsidR="00597296" w:rsidRPr="00597296" w:rsidRDefault="0010298E" w:rsidP="00FA44C8">
      <w:pPr>
        <w:pStyle w:val="Bullet1"/>
        <w:tabs>
          <w:tab w:val="clear" w:pos="360"/>
          <w:tab w:val="num" w:pos="-3828"/>
        </w:tabs>
        <w:spacing w:before="120" w:after="120"/>
        <w:ind w:left="426" w:hanging="426"/>
      </w:pPr>
      <w:r w:rsidRPr="0041698A">
        <w:rPr>
          <w:b/>
        </w:rPr>
        <w:t>Statement of Satisfactory Tenancy</w:t>
      </w:r>
      <w:r w:rsidR="00597296" w:rsidRPr="0041698A">
        <w:rPr>
          <w:b/>
        </w:rPr>
        <w:t>:</w:t>
      </w:r>
      <w:r w:rsidR="00597296">
        <w:t xml:space="preserve"> </w:t>
      </w:r>
      <w:r w:rsidR="00597296" w:rsidRPr="00597296">
        <w:t>A</w:t>
      </w:r>
      <w:r w:rsidR="00EA4619">
        <w:t xml:space="preserve"> detailed written</w:t>
      </w:r>
      <w:r w:rsidR="00597296" w:rsidRPr="00597296">
        <w:t xml:space="preserve"> reference from </w:t>
      </w:r>
      <w:r w:rsidR="00D1727F">
        <w:t>public housing</w:t>
      </w:r>
      <w:r w:rsidR="00597296" w:rsidRPr="00597296">
        <w:t xml:space="preserve"> providers that directly targets landlords' three core concerns </w:t>
      </w:r>
      <w:r w:rsidR="005964DA">
        <w:t xml:space="preserve">when selecting tenants </w:t>
      </w:r>
      <w:r w:rsidR="00597296" w:rsidRPr="00597296">
        <w:t>(rent arrears, damages and behaviours).</w:t>
      </w:r>
    </w:p>
    <w:p w:rsidR="00597296" w:rsidRPr="00597296" w:rsidRDefault="0010298E" w:rsidP="00FA44C8">
      <w:pPr>
        <w:pStyle w:val="Bullet1"/>
        <w:tabs>
          <w:tab w:val="clear" w:pos="360"/>
          <w:tab w:val="num" w:pos="-3828"/>
        </w:tabs>
        <w:spacing w:before="120" w:after="120"/>
        <w:ind w:left="426" w:hanging="426"/>
      </w:pPr>
      <w:r w:rsidRPr="0041698A">
        <w:rPr>
          <w:b/>
        </w:rPr>
        <w:t>Tenancy Costs Cover</w:t>
      </w:r>
      <w:r w:rsidR="00597296" w:rsidRPr="0041698A">
        <w:rPr>
          <w:b/>
        </w:rPr>
        <w:t>:</w:t>
      </w:r>
      <w:r w:rsidR="00597296">
        <w:t xml:space="preserve"> </w:t>
      </w:r>
      <w:r w:rsidR="00EA4619">
        <w:t xml:space="preserve">A conditional grant </w:t>
      </w:r>
      <w:r w:rsidR="00FD4351">
        <w:t>recipients</w:t>
      </w:r>
      <w:r w:rsidR="00EA4619">
        <w:t xml:space="preserve"> can use to give landlords assurance they </w:t>
      </w:r>
      <w:r w:rsidR="005964DA">
        <w:t>can</w:t>
      </w:r>
      <w:r w:rsidR="00EA4619">
        <w:t xml:space="preserve"> meet any tenancy-related costs in excess of the bond if owed at the end of the tenancy.</w:t>
      </w:r>
    </w:p>
    <w:p w:rsidR="00597296" w:rsidRDefault="0010298E" w:rsidP="00FA44C8">
      <w:pPr>
        <w:pStyle w:val="Bullet1"/>
        <w:tabs>
          <w:tab w:val="clear" w:pos="360"/>
          <w:tab w:val="num" w:pos="-3828"/>
        </w:tabs>
        <w:spacing w:before="120" w:after="120"/>
        <w:ind w:left="426" w:hanging="426"/>
      </w:pPr>
      <w:r w:rsidRPr="0041698A">
        <w:rPr>
          <w:b/>
        </w:rPr>
        <w:t>Transition to Alternative Housing Grant</w:t>
      </w:r>
      <w:r w:rsidR="00597296" w:rsidRPr="0041698A">
        <w:rPr>
          <w:b/>
        </w:rPr>
        <w:t>:</w:t>
      </w:r>
      <w:r w:rsidR="00597296">
        <w:t xml:space="preserve"> </w:t>
      </w:r>
      <w:r w:rsidR="00597296" w:rsidRPr="00597296">
        <w:t>A</w:t>
      </w:r>
      <w:r w:rsidR="00EA4619">
        <w:t xml:space="preserve"> non-recoverable</w:t>
      </w:r>
      <w:r w:rsidR="00597296" w:rsidRPr="00597296">
        <w:t xml:space="preserve"> incentive payment</w:t>
      </w:r>
      <w:r w:rsidR="000B7B54">
        <w:t xml:space="preserve"> of $3</w:t>
      </w:r>
      <w:r w:rsidR="007F0412">
        <w:t>,</w:t>
      </w:r>
      <w:r w:rsidR="000B7B54">
        <w:t>000</w:t>
      </w:r>
      <w:r w:rsidR="00597296" w:rsidRPr="00597296">
        <w:t xml:space="preserve"> that may be offered to </w:t>
      </w:r>
      <w:r w:rsidR="0041698A">
        <w:t>support</w:t>
      </w:r>
      <w:r w:rsidR="00EA4619">
        <w:t xml:space="preserve"> </w:t>
      </w:r>
      <w:r w:rsidR="00FD4351">
        <w:t>recipients</w:t>
      </w:r>
      <w:r w:rsidR="00EA4619">
        <w:t xml:space="preserve"> </w:t>
      </w:r>
      <w:r w:rsidR="0041698A">
        <w:t>currently living</w:t>
      </w:r>
      <w:r w:rsidR="00597296" w:rsidRPr="00597296">
        <w:t xml:space="preserve"> in </w:t>
      </w:r>
      <w:r w:rsidR="00D1727F">
        <w:t>public housing</w:t>
      </w:r>
      <w:r w:rsidR="00597296" w:rsidRPr="00597296">
        <w:t xml:space="preserve"> in</w:t>
      </w:r>
      <w:r w:rsidR="00EA4619">
        <w:t xml:space="preserve"> areas with high waiting lists, </w:t>
      </w:r>
      <w:r w:rsidR="0041698A">
        <w:t xml:space="preserve">who volunteer </w:t>
      </w:r>
      <w:r w:rsidR="00EA4619">
        <w:t>to move into alternative housing</w:t>
      </w:r>
      <w:r w:rsidR="00597296" w:rsidRPr="00597296">
        <w:t>.</w:t>
      </w:r>
    </w:p>
    <w:p w:rsidR="00597296" w:rsidRPr="00597296" w:rsidRDefault="0010298E" w:rsidP="00FA44C8">
      <w:pPr>
        <w:pStyle w:val="Bullet1"/>
        <w:tabs>
          <w:tab w:val="clear" w:pos="360"/>
          <w:tab w:val="num" w:pos="-3828"/>
        </w:tabs>
        <w:spacing w:before="120" w:after="120"/>
        <w:ind w:left="426" w:hanging="426"/>
      </w:pPr>
      <w:r w:rsidRPr="0041698A">
        <w:rPr>
          <w:b/>
        </w:rPr>
        <w:t>Relocation from Auckland Assistance</w:t>
      </w:r>
      <w:r w:rsidR="008A7E90">
        <w:rPr>
          <w:rStyle w:val="FootnoteReference"/>
          <w:b/>
        </w:rPr>
        <w:footnoteReference w:id="2"/>
      </w:r>
      <w:r w:rsidRPr="0041698A">
        <w:rPr>
          <w:b/>
        </w:rPr>
        <w:t>:</w:t>
      </w:r>
      <w:r w:rsidR="00597296">
        <w:t xml:space="preserve"> </w:t>
      </w:r>
      <w:r w:rsidR="003B5126">
        <w:t xml:space="preserve">comprises </w:t>
      </w:r>
      <w:r w:rsidR="00597296" w:rsidRPr="00597296">
        <w:rPr>
          <w:shd w:val="clear" w:color="auto" w:fill="FFFFFF"/>
        </w:rPr>
        <w:t>two payments</w:t>
      </w:r>
      <w:r w:rsidR="003B5126">
        <w:rPr>
          <w:shd w:val="clear" w:color="auto" w:fill="FFFFFF"/>
        </w:rPr>
        <w:t xml:space="preserve"> up to a total of $</w:t>
      </w:r>
      <w:r w:rsidR="00D270F1">
        <w:rPr>
          <w:shd w:val="clear" w:color="auto" w:fill="FFFFFF"/>
        </w:rPr>
        <w:t>8</w:t>
      </w:r>
      <w:r w:rsidR="007F0412">
        <w:rPr>
          <w:shd w:val="clear" w:color="auto" w:fill="FFFFFF"/>
        </w:rPr>
        <w:t>,</w:t>
      </w:r>
      <w:r w:rsidR="00D270F1">
        <w:rPr>
          <w:shd w:val="clear" w:color="auto" w:fill="FFFFFF"/>
        </w:rPr>
        <w:t>000</w:t>
      </w:r>
      <w:r w:rsidR="00D270F1" w:rsidRPr="00597296">
        <w:rPr>
          <w:shd w:val="clear" w:color="auto" w:fill="FFFFFF"/>
        </w:rPr>
        <w:t xml:space="preserve"> </w:t>
      </w:r>
      <w:r w:rsidR="00597296" w:rsidRPr="00597296">
        <w:rPr>
          <w:shd w:val="clear" w:color="auto" w:fill="FFFFFF"/>
        </w:rPr>
        <w:t xml:space="preserve">to help eligible </w:t>
      </w:r>
      <w:r w:rsidR="00FD4351">
        <w:rPr>
          <w:shd w:val="clear" w:color="auto" w:fill="FFFFFF"/>
        </w:rPr>
        <w:t>recipients</w:t>
      </w:r>
      <w:r w:rsidR="00597296" w:rsidRPr="00597296">
        <w:rPr>
          <w:shd w:val="clear" w:color="auto" w:fill="FFFFFF"/>
        </w:rPr>
        <w:t xml:space="preserve"> who wish to relocate from the Auckland area:</w:t>
      </w:r>
    </w:p>
    <w:p w:rsidR="0010298E" w:rsidRPr="00647C07" w:rsidRDefault="0010298E" w:rsidP="00FA44C8">
      <w:pPr>
        <w:pStyle w:val="Bullet1"/>
        <w:numPr>
          <w:ilvl w:val="0"/>
          <w:numId w:val="38"/>
        </w:numPr>
        <w:spacing w:before="120" w:after="120"/>
      </w:pPr>
      <w:r w:rsidRPr="00647C07">
        <w:t>Moving Assistance</w:t>
      </w:r>
      <w:r w:rsidR="00597296">
        <w:rPr>
          <w:shd w:val="clear" w:color="auto" w:fill="FFFFFF"/>
        </w:rPr>
        <w:t xml:space="preserve">: </w:t>
      </w:r>
      <w:r w:rsidR="000B7B54">
        <w:rPr>
          <w:shd w:val="clear" w:color="auto" w:fill="FFFFFF"/>
        </w:rPr>
        <w:t>up to $5</w:t>
      </w:r>
      <w:r w:rsidR="009B5875">
        <w:rPr>
          <w:shd w:val="clear" w:color="auto" w:fill="FFFFFF"/>
        </w:rPr>
        <w:t>,</w:t>
      </w:r>
      <w:r w:rsidR="000B7B54">
        <w:rPr>
          <w:shd w:val="clear" w:color="auto" w:fill="FFFFFF"/>
        </w:rPr>
        <w:t xml:space="preserve">000 </w:t>
      </w:r>
      <w:r w:rsidR="003B5126">
        <w:rPr>
          <w:shd w:val="clear" w:color="auto" w:fill="FFFFFF"/>
        </w:rPr>
        <w:t xml:space="preserve">to </w:t>
      </w:r>
      <w:r w:rsidR="00597296">
        <w:rPr>
          <w:shd w:val="clear" w:color="auto" w:fill="FFFFFF"/>
        </w:rPr>
        <w:t>help with actual and reasonable moving costs when moving from the Auckland area</w:t>
      </w:r>
      <w:r w:rsidR="003B5126">
        <w:rPr>
          <w:shd w:val="clear" w:color="auto" w:fill="FFFFFF"/>
        </w:rPr>
        <w:t>.</w:t>
      </w:r>
    </w:p>
    <w:p w:rsidR="00801DE4" w:rsidRPr="00801DE4" w:rsidRDefault="00597296" w:rsidP="00FA44C8">
      <w:pPr>
        <w:pStyle w:val="Bullet1"/>
        <w:numPr>
          <w:ilvl w:val="0"/>
          <w:numId w:val="38"/>
        </w:numPr>
        <w:spacing w:before="120" w:after="120"/>
      </w:pPr>
      <w:r>
        <w:t xml:space="preserve">Establishment Grant: </w:t>
      </w:r>
      <w:r w:rsidR="000B7B54">
        <w:t>up to $3</w:t>
      </w:r>
      <w:r w:rsidR="009B5875">
        <w:t>,</w:t>
      </w:r>
      <w:r w:rsidR="000B7B54">
        <w:t>000 (or $2</w:t>
      </w:r>
      <w:r w:rsidR="009B5875">
        <w:t>,</w:t>
      </w:r>
      <w:r w:rsidR="000B7B54">
        <w:t>000 if moving into public housing)</w:t>
      </w:r>
      <w:r w:rsidR="005964DA">
        <w:t>,</w:t>
      </w:r>
      <w:r w:rsidR="000B7B54">
        <w:t xml:space="preserve"> which </w:t>
      </w:r>
      <w:r w:rsidR="003B5126">
        <w:t xml:space="preserve">supports households </w:t>
      </w:r>
      <w:r>
        <w:rPr>
          <w:shd w:val="clear" w:color="auto" w:fill="FFFFFF"/>
        </w:rPr>
        <w:t>to establish the</w:t>
      </w:r>
      <w:r w:rsidR="003B5126">
        <w:rPr>
          <w:shd w:val="clear" w:color="auto" w:fill="FFFFFF"/>
        </w:rPr>
        <w:t>mselves</w:t>
      </w:r>
      <w:r>
        <w:rPr>
          <w:shd w:val="clear" w:color="auto" w:fill="FFFFFF"/>
        </w:rPr>
        <w:t xml:space="preserve"> in </w:t>
      </w:r>
      <w:r w:rsidR="003B5126">
        <w:rPr>
          <w:shd w:val="clear" w:color="auto" w:fill="FFFFFF"/>
        </w:rPr>
        <w:t>a</w:t>
      </w:r>
      <w:r>
        <w:rPr>
          <w:shd w:val="clear" w:color="auto" w:fill="FFFFFF"/>
        </w:rPr>
        <w:t xml:space="preserve"> new area</w:t>
      </w:r>
      <w:r w:rsidR="003B5126">
        <w:rPr>
          <w:shd w:val="clear" w:color="auto" w:fill="FFFFFF"/>
        </w:rPr>
        <w:t>.</w:t>
      </w:r>
    </w:p>
    <w:p w:rsidR="00D270F1" w:rsidRPr="00647C07" w:rsidRDefault="00D270F1" w:rsidP="00FA44C8">
      <w:pPr>
        <w:pStyle w:val="Bullet1"/>
        <w:numPr>
          <w:ilvl w:val="0"/>
          <w:numId w:val="0"/>
        </w:numPr>
        <w:spacing w:before="120" w:after="120"/>
      </w:pPr>
      <w:r>
        <w:t xml:space="preserve">The </w:t>
      </w:r>
      <w:r w:rsidRPr="00B9530D">
        <w:rPr>
          <w:b/>
        </w:rPr>
        <w:t>Conditional Grant for Housing Assistance Letter</w:t>
      </w:r>
      <w:r>
        <w:t xml:space="preserve"> is also a HSP</w:t>
      </w:r>
      <w:r w:rsidR="00D34B15">
        <w:t xml:space="preserve"> but</w:t>
      </w:r>
      <w:r>
        <w:t xml:space="preserve"> was not included in the</w:t>
      </w:r>
      <w:r w:rsidR="00272BF4">
        <w:t xml:space="preserve"> scope of this</w:t>
      </w:r>
      <w:r>
        <w:t xml:space="preserve"> review. </w:t>
      </w:r>
    </w:p>
    <w:p w:rsidR="002569DB" w:rsidRPr="008A7E90" w:rsidRDefault="006A18B7" w:rsidP="008A7E90">
      <w:pPr>
        <w:pStyle w:val="Heading2"/>
      </w:pPr>
      <w:bookmarkStart w:id="16" w:name="_Toc516161711"/>
      <w:r>
        <w:t>Review of</w:t>
      </w:r>
      <w:r w:rsidR="00272BF4" w:rsidRPr="008A7E90">
        <w:t xml:space="preserve"> HSPs</w:t>
      </w:r>
      <w:bookmarkEnd w:id="16"/>
    </w:p>
    <w:p w:rsidR="00B9530D" w:rsidRDefault="00F22CB6" w:rsidP="008A7E90">
      <w:r>
        <w:t xml:space="preserve">The </w:t>
      </w:r>
      <w:r w:rsidR="006964F7">
        <w:t>HSP</w:t>
      </w:r>
      <w:r w:rsidR="00EC21AF">
        <w:t>s</w:t>
      </w:r>
      <w:r w:rsidR="006964F7">
        <w:t xml:space="preserve"> established in 2014</w:t>
      </w:r>
      <w:r w:rsidR="007D3C13">
        <w:t xml:space="preserve"> (</w:t>
      </w:r>
      <w:r w:rsidR="00EC21AF">
        <w:t>and</w:t>
      </w:r>
      <w:r w:rsidR="007D3C13">
        <w:t xml:space="preserve"> Relocation from Auckland Assistance, established July</w:t>
      </w:r>
      <w:r w:rsidR="005964DA">
        <w:t> </w:t>
      </w:r>
      <w:r w:rsidR="007D3C13">
        <w:t xml:space="preserve">2016) </w:t>
      </w:r>
      <w:r w:rsidR="00292AE0">
        <w:t>ha</w:t>
      </w:r>
      <w:r w:rsidR="00F6725F">
        <w:t>ve</w:t>
      </w:r>
      <w:r w:rsidR="00292AE0">
        <w:t xml:space="preserve"> not been evaluated before</w:t>
      </w:r>
      <w:r w:rsidR="006964F7">
        <w:t>.</w:t>
      </w:r>
    </w:p>
    <w:p w:rsidR="00A15F71" w:rsidRDefault="00E2539E" w:rsidP="008A7E90">
      <w:r>
        <w:t>In August 2017</w:t>
      </w:r>
      <w:r w:rsidR="005964DA">
        <w:t>,</w:t>
      </w:r>
      <w:r>
        <w:t xml:space="preserve"> MSD</w:t>
      </w:r>
      <w:r w:rsidR="006A18B7">
        <w:t>’s Research and Evaluation group</w:t>
      </w:r>
      <w:r>
        <w:t xml:space="preserve"> conducted </w:t>
      </w:r>
      <w:r w:rsidR="006A18B7">
        <w:t xml:space="preserve">an </w:t>
      </w:r>
      <w:r>
        <w:t xml:space="preserve">analysis of </w:t>
      </w:r>
      <w:r w:rsidR="00F6725F">
        <w:t>administrative data</w:t>
      </w:r>
      <w:r>
        <w:t xml:space="preserve"> </w:t>
      </w:r>
      <w:r w:rsidR="002E42B5">
        <w:t xml:space="preserve">(available to </w:t>
      </w:r>
      <w:r w:rsidR="005964DA">
        <w:t>30 </w:t>
      </w:r>
      <w:r w:rsidR="002E42B5">
        <w:t xml:space="preserve">June 2017) </w:t>
      </w:r>
      <w:r>
        <w:t xml:space="preserve">and </w:t>
      </w:r>
      <w:r w:rsidR="006059DE">
        <w:t xml:space="preserve">four </w:t>
      </w:r>
      <w:r>
        <w:t>focus groups with</w:t>
      </w:r>
      <w:r w:rsidR="00F6725F">
        <w:t xml:space="preserve"> case managers</w:t>
      </w:r>
      <w:r>
        <w:t xml:space="preserve"> to provide </w:t>
      </w:r>
      <w:r w:rsidR="000C0DB3">
        <w:t xml:space="preserve">evidence on what amendments, if any, should be made to ensure HSPs are </w:t>
      </w:r>
      <w:r w:rsidR="007D3C13">
        <w:t>effective</w:t>
      </w:r>
      <w:r w:rsidR="00A15F71">
        <w:t>.</w:t>
      </w:r>
    </w:p>
    <w:p w:rsidR="006A18B7" w:rsidRDefault="00801DE4" w:rsidP="008A7E90">
      <w:r>
        <w:t xml:space="preserve">Further information about the methods used </w:t>
      </w:r>
      <w:r w:rsidR="002E42B5">
        <w:t>is</w:t>
      </w:r>
      <w:r>
        <w:t xml:space="preserve"> provided in the Appendix.</w:t>
      </w:r>
      <w:r w:rsidR="00304DB6">
        <w:t xml:space="preserve"> </w:t>
      </w:r>
    </w:p>
    <w:p w:rsidR="000B1E3A" w:rsidRDefault="00304DB6" w:rsidP="008A7E90">
      <w:r>
        <w:t xml:space="preserve">All findings should be interpreted with the limitations of the data and methods in mind; these are discussed in the </w:t>
      </w:r>
      <w:proofErr w:type="gramStart"/>
      <w:r w:rsidRPr="009B5875">
        <w:rPr>
          <w:i/>
        </w:rPr>
        <w:t>Actionable</w:t>
      </w:r>
      <w:proofErr w:type="gramEnd"/>
      <w:r w:rsidRPr="009B5875">
        <w:rPr>
          <w:i/>
        </w:rPr>
        <w:t xml:space="preserve"> </w:t>
      </w:r>
      <w:r w:rsidR="009B5875" w:rsidRPr="009B5875">
        <w:rPr>
          <w:i/>
        </w:rPr>
        <w:t>insights</w:t>
      </w:r>
      <w:r w:rsidR="009B5875">
        <w:t xml:space="preserve"> </w:t>
      </w:r>
      <w:r>
        <w:t>section.</w:t>
      </w:r>
      <w:r w:rsidR="002A4711">
        <w:t xml:space="preserve"> </w:t>
      </w:r>
      <w:r w:rsidR="000C0DB3">
        <w:t>This report presents the</w:t>
      </w:r>
      <w:r w:rsidR="007D3C13">
        <w:t xml:space="preserve"> findings </w:t>
      </w:r>
      <w:r w:rsidR="000C0DB3">
        <w:t xml:space="preserve">of </w:t>
      </w:r>
      <w:r w:rsidR="00E2539E">
        <w:t>this work</w:t>
      </w:r>
      <w:r w:rsidR="00D270F1">
        <w:t xml:space="preserve">, and </w:t>
      </w:r>
      <w:r w:rsidR="00AC1FE8">
        <w:t xml:space="preserve">potential </w:t>
      </w:r>
      <w:r w:rsidR="00D270F1">
        <w:t>areas to consider for improvement</w:t>
      </w:r>
      <w:r w:rsidR="000C0DB3">
        <w:t>.</w:t>
      </w:r>
    </w:p>
    <w:p w:rsidR="00386EAA" w:rsidRDefault="00386EAA">
      <w:pPr>
        <w:spacing w:before="0" w:after="0" w:line="240" w:lineRule="auto"/>
        <w:rPr>
          <w:rFonts w:ascii="Georgia" w:eastAsiaTheme="majorEastAsia" w:hAnsi="Georgia"/>
          <w:b/>
          <w:bCs/>
          <w:color w:val="121F6B"/>
          <w:kern w:val="0"/>
          <w:sz w:val="36"/>
          <w:szCs w:val="36"/>
        </w:rPr>
      </w:pPr>
      <w:bookmarkStart w:id="17" w:name="_Toc495911999"/>
      <w:r>
        <w:br w:type="page"/>
      </w:r>
    </w:p>
    <w:p w:rsidR="0062005D" w:rsidRPr="008A7E90" w:rsidRDefault="0062005D" w:rsidP="00FA44C8">
      <w:pPr>
        <w:pStyle w:val="Heading1"/>
        <w:ind w:right="-46"/>
      </w:pPr>
      <w:bookmarkStart w:id="18" w:name="_Toc516161712"/>
      <w:r>
        <w:lastRenderedPageBreak/>
        <w:t>Research findings</w:t>
      </w:r>
      <w:bookmarkEnd w:id="17"/>
      <w:bookmarkEnd w:id="18"/>
    </w:p>
    <w:p w:rsidR="00D40E91" w:rsidRDefault="00D40E91" w:rsidP="00D40E91">
      <w:r>
        <w:t>Overall, 5</w:t>
      </w:r>
      <w:r w:rsidR="008A7E90">
        <w:t>,</w:t>
      </w:r>
      <w:r>
        <w:t>367 HSPs were granted in 3</w:t>
      </w:r>
      <w:r w:rsidR="008A7E90">
        <w:t>,</w:t>
      </w:r>
      <w:r>
        <w:t>021 occasions, to 2</w:t>
      </w:r>
      <w:r w:rsidR="008A7E90">
        <w:t>,</w:t>
      </w:r>
      <w:r>
        <w:t xml:space="preserve">840 unique recipients </w:t>
      </w:r>
      <w:r w:rsidR="00F05E43">
        <w:t xml:space="preserve">from </w:t>
      </w:r>
      <w:r w:rsidR="008A7E90">
        <w:t>July</w:t>
      </w:r>
      <w:r w:rsidR="00F05E43">
        <w:t xml:space="preserve"> 2014</w:t>
      </w:r>
      <w:r>
        <w:t xml:space="preserve"> </w:t>
      </w:r>
      <w:r w:rsidR="00F05E43">
        <w:t>to 30 June 2017.</w:t>
      </w:r>
    </w:p>
    <w:p w:rsidR="0062005D" w:rsidRPr="008A7E90" w:rsidRDefault="0062005D" w:rsidP="008A7E90">
      <w:pPr>
        <w:pStyle w:val="Heading2"/>
      </w:pPr>
      <w:bookmarkStart w:id="19" w:name="_Toc516161713"/>
      <w:r w:rsidRPr="008A7E90">
        <w:t xml:space="preserve">HSPs are associated with </w:t>
      </w:r>
      <w:r w:rsidR="00FD4351" w:rsidRPr="008A7E90">
        <w:t>recipients</w:t>
      </w:r>
      <w:r w:rsidRPr="008A7E90">
        <w:t xml:space="preserve"> achieving and maintaining alternative housing</w:t>
      </w:r>
      <w:bookmarkEnd w:id="19"/>
    </w:p>
    <w:p w:rsidR="0062005D" w:rsidRDefault="006059DE" w:rsidP="0062005D">
      <w:r>
        <w:t>Administrative data and focus groups both suggest that</w:t>
      </w:r>
      <w:r w:rsidR="00597296">
        <w:t xml:space="preserve"> </w:t>
      </w:r>
      <w:r w:rsidR="009D1A93">
        <w:t xml:space="preserve">as intended, </w:t>
      </w:r>
      <w:r w:rsidR="00597296">
        <w:t>HSPs help</w:t>
      </w:r>
      <w:r w:rsidR="00597296" w:rsidRPr="00597296">
        <w:t xml:space="preserve"> </w:t>
      </w:r>
      <w:r w:rsidR="00FD4351">
        <w:t>recipients</w:t>
      </w:r>
      <w:r w:rsidR="00597296">
        <w:t xml:space="preserve"> move out of </w:t>
      </w:r>
      <w:r w:rsidR="00D1727F">
        <w:t>public housing</w:t>
      </w:r>
      <w:r w:rsidR="00597296">
        <w:t xml:space="preserve"> or off the</w:t>
      </w:r>
      <w:r w:rsidR="00A15F71">
        <w:t xml:space="preserve"> social </w:t>
      </w:r>
      <w:r w:rsidR="00D1727F">
        <w:t>housing</w:t>
      </w:r>
      <w:r w:rsidR="00597296">
        <w:t xml:space="preserve"> register. However</w:t>
      </w:r>
      <w:r w:rsidR="0062005D">
        <w:t xml:space="preserve"> conclusions cannot be made about whether HSPs </w:t>
      </w:r>
      <w:r w:rsidR="008A7E90">
        <w:t>‘</w:t>
      </w:r>
      <w:r w:rsidR="0062005D" w:rsidRPr="00FA44C8">
        <w:t>cause</w:t>
      </w:r>
      <w:r w:rsidR="008A7E90">
        <w:t>’</w:t>
      </w:r>
      <w:r w:rsidR="0062005D">
        <w:t xml:space="preserve"> </w:t>
      </w:r>
      <w:r>
        <w:t xml:space="preserve">these changes, </w:t>
      </w:r>
      <w:r w:rsidR="0062005D">
        <w:t>because HSPs are</w:t>
      </w:r>
      <w:r w:rsidR="00597296">
        <w:t xml:space="preserve"> </w:t>
      </w:r>
      <w:r w:rsidR="0062005D">
        <w:t xml:space="preserve">targeted at </w:t>
      </w:r>
      <w:r w:rsidR="00FD4351">
        <w:t>recipients</w:t>
      </w:r>
      <w:r w:rsidR="0062005D">
        <w:t xml:space="preserve"> who are </w:t>
      </w:r>
      <w:r w:rsidR="00597296">
        <w:t xml:space="preserve">already </w:t>
      </w:r>
      <w:r w:rsidR="0062005D">
        <w:t>likely to be able to sustain alternative housing</w:t>
      </w:r>
      <w:r w:rsidR="003B5CAC">
        <w:t xml:space="preserve">. We also don’t know whether these </w:t>
      </w:r>
      <w:r w:rsidR="00FD4351">
        <w:t>recipients</w:t>
      </w:r>
      <w:r w:rsidR="003B5CAC">
        <w:t xml:space="preserve"> would have left </w:t>
      </w:r>
      <w:r w:rsidR="00D1727F">
        <w:t>public housing</w:t>
      </w:r>
      <w:r w:rsidR="003B5CAC">
        <w:t xml:space="preserve"> anyway (even without HSPs).</w:t>
      </w:r>
    </w:p>
    <w:p w:rsidR="00C95C59" w:rsidRDefault="0096673B" w:rsidP="00FA44C8">
      <w:pPr>
        <w:pStyle w:val="Heading2"/>
      </w:pPr>
      <w:bookmarkStart w:id="20" w:name="_Toc495912001"/>
      <w:bookmarkStart w:id="21" w:name="_Toc499900019"/>
      <w:bookmarkStart w:id="22" w:name="_Toc506453049"/>
      <w:bookmarkStart w:id="23" w:name="_Toc510692737"/>
      <w:bookmarkStart w:id="24" w:name="_Toc516161714"/>
      <w:r>
        <w:t xml:space="preserve">Most </w:t>
      </w:r>
      <w:r w:rsidR="00C95C59">
        <w:t xml:space="preserve">HSP </w:t>
      </w:r>
      <w:r w:rsidR="00FD4351">
        <w:t>recipients</w:t>
      </w:r>
      <w:r w:rsidR="00C95C59">
        <w:t xml:space="preserve"> leav</w:t>
      </w:r>
      <w:r>
        <w:t xml:space="preserve">e </w:t>
      </w:r>
      <w:r w:rsidR="00D1727F">
        <w:t>public housing</w:t>
      </w:r>
      <w:r>
        <w:t xml:space="preserve"> within a month</w:t>
      </w:r>
      <w:bookmarkEnd w:id="20"/>
      <w:bookmarkEnd w:id="21"/>
      <w:bookmarkEnd w:id="22"/>
      <w:bookmarkEnd w:id="23"/>
      <w:bookmarkEnd w:id="24"/>
    </w:p>
    <w:p w:rsidR="00456F2A" w:rsidRDefault="00456F2A" w:rsidP="00456F2A">
      <w:r>
        <w:t>HSPs are associated with recipients moving out of public housing within one month (see Figure 2</w:t>
      </w:r>
      <w:r>
        <w:rPr>
          <w:rStyle w:val="FootnoteReference"/>
        </w:rPr>
        <w:footnoteReference w:id="3"/>
      </w:r>
      <w:r>
        <w:t xml:space="preserve">). </w:t>
      </w:r>
    </w:p>
    <w:p w:rsidR="00456F2A" w:rsidRDefault="00456F2A" w:rsidP="00456F2A">
      <w:r>
        <w:t xml:space="preserve">Of those HSP recipients who were living in public housing when they received HSPs (n=566), 70 percent (n=397) left within one month. </w:t>
      </w:r>
    </w:p>
    <w:p w:rsidR="00456F2A" w:rsidRDefault="00456F2A" w:rsidP="00456F2A">
      <w:r>
        <w:t>At 30 June 2017, 86 percent (n=2</w:t>
      </w:r>
      <w:r w:rsidR="009B5875">
        <w:t>,</w:t>
      </w:r>
      <w:r>
        <w:t xml:space="preserve">138) of all HSP recipients were not living in public housing (eg were living in private rental and/or were on the Social Housing Register). </w:t>
      </w:r>
    </w:p>
    <w:p w:rsidR="003B5CAC" w:rsidRDefault="003B5CAC" w:rsidP="00FA44C8">
      <w:pPr>
        <w:pStyle w:val="Heading4"/>
      </w:pPr>
      <w:r>
        <w:t xml:space="preserve">Figure </w:t>
      </w:r>
      <w:r w:rsidR="001669C4">
        <w:t>2</w:t>
      </w:r>
      <w:r>
        <w:t xml:space="preserve">: Percentage of HSP </w:t>
      </w:r>
      <w:r w:rsidR="00FD4351">
        <w:t>recipients</w:t>
      </w:r>
      <w:r>
        <w:t xml:space="preserve"> in </w:t>
      </w:r>
      <w:r w:rsidR="00D1727F">
        <w:t>public housing</w:t>
      </w:r>
      <w:r>
        <w:t xml:space="preserve"> and on the register</w:t>
      </w:r>
    </w:p>
    <w:p w:rsidR="00D40E91" w:rsidRDefault="00156DBB" w:rsidP="00F05E43">
      <w:pPr>
        <w:pStyle w:val="Heading3"/>
        <w:keepNext w:val="0"/>
      </w:pPr>
      <w:bookmarkStart w:id="25" w:name="_Toc510692738"/>
      <w:bookmarkStart w:id="26" w:name="_Toc495912002"/>
      <w:bookmarkStart w:id="27" w:name="_Toc499900020"/>
      <w:bookmarkStart w:id="28" w:name="_Toc506453050"/>
      <w:r>
        <w:rPr>
          <w:noProof/>
          <w:lang w:eastAsia="en-NZ"/>
        </w:rPr>
        <w:drawing>
          <wp:inline distT="0" distB="0" distL="0" distR="0" wp14:anchorId="100830BC" wp14:editId="2542462F">
            <wp:extent cx="5730949" cy="3094075"/>
            <wp:effectExtent l="0" t="0" r="317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25"/>
    </w:p>
    <w:p w:rsidR="00C95C59" w:rsidRDefault="00C95C59" w:rsidP="00FA44C8">
      <w:pPr>
        <w:pStyle w:val="Heading2"/>
      </w:pPr>
      <w:bookmarkStart w:id="29" w:name="_Toc510692739"/>
      <w:bookmarkStart w:id="30" w:name="_Toc516161715"/>
      <w:r>
        <w:lastRenderedPageBreak/>
        <w:t>HS</w:t>
      </w:r>
      <w:r w:rsidR="0096673B">
        <w:t xml:space="preserve">P </w:t>
      </w:r>
      <w:r w:rsidR="00FD4351">
        <w:t>recipients</w:t>
      </w:r>
      <w:r w:rsidR="0096673B">
        <w:t xml:space="preserve"> move off </w:t>
      </w:r>
      <w:r w:rsidR="00F22CB6">
        <w:t>the Social Housing R</w:t>
      </w:r>
      <w:r w:rsidR="0096673B">
        <w:t>egister</w:t>
      </w:r>
      <w:bookmarkEnd w:id="26"/>
      <w:bookmarkEnd w:id="27"/>
      <w:bookmarkEnd w:id="28"/>
      <w:bookmarkEnd w:id="29"/>
      <w:bookmarkEnd w:id="30"/>
    </w:p>
    <w:p w:rsidR="00AB5260" w:rsidRDefault="00AB5260" w:rsidP="00C95C59">
      <w:r>
        <w:t xml:space="preserve">There has been an overall </w:t>
      </w:r>
      <w:r w:rsidR="000C13F5">
        <w:t xml:space="preserve">decline in the proportion of HSP </w:t>
      </w:r>
      <w:r w:rsidR="00FD4351">
        <w:t>recipients</w:t>
      </w:r>
      <w:r w:rsidR="000C13F5">
        <w:t xml:space="preserve"> </w:t>
      </w:r>
      <w:r w:rsidR="000C13F5" w:rsidRPr="007A2362">
        <w:t xml:space="preserve">on </w:t>
      </w:r>
      <w:r w:rsidR="000C13F5">
        <w:t>the</w:t>
      </w:r>
      <w:r w:rsidR="00F22CB6">
        <w:t xml:space="preserve"> Social</w:t>
      </w:r>
      <w:r w:rsidR="00D1727F">
        <w:t xml:space="preserve"> </w:t>
      </w:r>
      <w:r w:rsidR="00F22CB6">
        <w:t>H</w:t>
      </w:r>
      <w:r w:rsidR="00D1727F">
        <w:t>ousing</w:t>
      </w:r>
      <w:r w:rsidR="000C13F5">
        <w:t xml:space="preserve"> </w:t>
      </w:r>
      <w:r w:rsidR="00F22CB6">
        <w:t>R</w:t>
      </w:r>
      <w:r w:rsidR="000C13F5">
        <w:t>egister: 21 percent</w:t>
      </w:r>
      <w:r w:rsidR="00F22CB6">
        <w:t xml:space="preserve"> (</w:t>
      </w:r>
      <w:r w:rsidR="00E84350">
        <w:t>n=566</w:t>
      </w:r>
      <w:r w:rsidR="00F22CB6">
        <w:t>)</w:t>
      </w:r>
      <w:r w:rsidR="000C13F5">
        <w:t xml:space="preserve"> of HSP </w:t>
      </w:r>
      <w:r w:rsidR="00FD4351">
        <w:t>recipients</w:t>
      </w:r>
      <w:r w:rsidR="000C13F5">
        <w:t xml:space="preserve"> were on the </w:t>
      </w:r>
      <w:r w:rsidR="00F22CB6">
        <w:t>Social Housing Register</w:t>
      </w:r>
      <w:r w:rsidR="000C13F5" w:rsidRPr="000C13F5">
        <w:t xml:space="preserve"> </w:t>
      </w:r>
      <w:r w:rsidR="000C13F5">
        <w:t xml:space="preserve">before receiving HSPs; only </w:t>
      </w:r>
      <w:r w:rsidR="006C2AE5">
        <w:t xml:space="preserve">six </w:t>
      </w:r>
      <w:r w:rsidR="000C13F5">
        <w:t>percent were on the register</w:t>
      </w:r>
      <w:r w:rsidR="000C13F5" w:rsidRPr="000C13F5">
        <w:t xml:space="preserve"> </w:t>
      </w:r>
      <w:r w:rsidR="000C13F5">
        <w:t>at 30 June 2017.</w:t>
      </w:r>
    </w:p>
    <w:p w:rsidR="000509A6" w:rsidRDefault="000C13F5" w:rsidP="00C95C59">
      <w:r>
        <w:t>However,</w:t>
      </w:r>
      <w:r w:rsidR="000509A6">
        <w:t xml:space="preserve"> where moves out of </w:t>
      </w:r>
      <w:r w:rsidR="00D1727F">
        <w:t>public housing</w:t>
      </w:r>
      <w:r w:rsidR="000509A6">
        <w:t xml:space="preserve"> happen within a month of HSP receipt, moves off the register appear to take longer than one month. In the month following HSP receipt, the proportion of HSP </w:t>
      </w:r>
      <w:r w:rsidR="00FD4351">
        <w:t>recipients</w:t>
      </w:r>
      <w:r w:rsidR="000509A6">
        <w:t xml:space="preserve"> on the register </w:t>
      </w:r>
      <w:r w:rsidR="002E42B5">
        <w:t>declined little,</w:t>
      </w:r>
      <w:r w:rsidR="000509A6">
        <w:t xml:space="preserve"> from 21 to 20 percent.</w:t>
      </w:r>
    </w:p>
    <w:p w:rsidR="000C13F5" w:rsidRDefault="00801DE4" w:rsidP="00C95C59">
      <w:r>
        <w:t>Some p</w:t>
      </w:r>
      <w:r w:rsidR="000509A6">
        <w:t>ossible reasons for this delayed decline</w:t>
      </w:r>
      <w:r w:rsidR="00D40E91">
        <w:t xml:space="preserve"> (from 21 to </w:t>
      </w:r>
      <w:r w:rsidR="009C515D">
        <w:t xml:space="preserve">6 </w:t>
      </w:r>
      <w:r w:rsidR="00D40E91">
        <w:t>percent)</w:t>
      </w:r>
      <w:r w:rsidR="000509A6">
        <w:t xml:space="preserve"> are that factors other than HSPs have helped move HSP </w:t>
      </w:r>
      <w:r w:rsidR="00FD4351">
        <w:t>recipients</w:t>
      </w:r>
      <w:r w:rsidR="000509A6">
        <w:t xml:space="preserve"> off the register, or it takes longer for the effect of HSPs to show up on the register than it does to show in </w:t>
      </w:r>
      <w:r w:rsidR="00D1727F">
        <w:t>public housing</w:t>
      </w:r>
      <w:r w:rsidR="000509A6">
        <w:t xml:space="preserve"> tenancies. The latter explanation is consistent with the specific nature of HSPs – they are targeted at immediate costs associated with moving, and are therefore effective at helping </w:t>
      </w:r>
      <w:r w:rsidR="00FD4351">
        <w:t>recipients</w:t>
      </w:r>
      <w:r w:rsidR="000509A6">
        <w:t xml:space="preserve"> out of </w:t>
      </w:r>
      <w:r w:rsidR="00D1727F">
        <w:t>public housing</w:t>
      </w:r>
      <w:r w:rsidR="000509A6">
        <w:t xml:space="preserve"> quickly. Moving off the register depends on factors such as the ability to sustain alternative housing, so it can take longer than one month for this to happen.</w:t>
      </w:r>
    </w:p>
    <w:p w:rsidR="0096673B" w:rsidRDefault="0096673B" w:rsidP="00FA44C8">
      <w:pPr>
        <w:pStyle w:val="Heading2"/>
      </w:pPr>
      <w:bookmarkStart w:id="31" w:name="_Toc495912003"/>
      <w:bookmarkStart w:id="32" w:name="_Toc499900021"/>
      <w:bookmarkStart w:id="33" w:name="_Toc506453051"/>
      <w:bookmarkStart w:id="34" w:name="_Toc510692740"/>
      <w:bookmarkStart w:id="35" w:name="_Toc516161716"/>
      <w:r>
        <w:t xml:space="preserve">HSPs may help prevent </w:t>
      </w:r>
      <w:r w:rsidR="00FD4351">
        <w:t>recipients</w:t>
      </w:r>
      <w:r>
        <w:t xml:space="preserve"> from entering </w:t>
      </w:r>
      <w:r w:rsidR="00D1727F">
        <w:t>public housing</w:t>
      </w:r>
      <w:r>
        <w:t xml:space="preserve"> or </w:t>
      </w:r>
      <w:r w:rsidR="00F22CB6">
        <w:t xml:space="preserve">going on </w:t>
      </w:r>
      <w:r>
        <w:t xml:space="preserve">the </w:t>
      </w:r>
      <w:r w:rsidR="00F22CB6">
        <w:t>Social Housing R</w:t>
      </w:r>
      <w:r>
        <w:t>egister</w:t>
      </w:r>
      <w:bookmarkEnd w:id="31"/>
      <w:bookmarkEnd w:id="32"/>
      <w:bookmarkEnd w:id="33"/>
      <w:bookmarkEnd w:id="34"/>
      <w:bookmarkEnd w:id="35"/>
    </w:p>
    <w:p w:rsidR="00C95C59" w:rsidRDefault="00C95C59" w:rsidP="00C95C59">
      <w:r>
        <w:t>Despite patterns</w:t>
      </w:r>
      <w:r w:rsidR="00A94C8D">
        <w:t xml:space="preserve"> of moving out of </w:t>
      </w:r>
      <w:r w:rsidR="00D1727F">
        <w:t>public housing</w:t>
      </w:r>
      <w:r w:rsidR="00A94C8D">
        <w:t xml:space="preserve"> and off the </w:t>
      </w:r>
      <w:r w:rsidR="000D3A30">
        <w:t>Social Housing R</w:t>
      </w:r>
      <w:r w:rsidR="00A94C8D">
        <w:t>egister</w:t>
      </w:r>
      <w:r>
        <w:t xml:space="preserve">, </w:t>
      </w:r>
      <w:r w:rsidR="00A94C8D">
        <w:t>most</w:t>
      </w:r>
      <w:r>
        <w:t xml:space="preserve"> HSP </w:t>
      </w:r>
      <w:r w:rsidR="00FD4351">
        <w:t>recipients</w:t>
      </w:r>
      <w:r w:rsidRPr="0096673B">
        <w:t xml:space="preserve"> (</w:t>
      </w:r>
      <w:r w:rsidR="0096673B" w:rsidRPr="0096673B">
        <w:t>5</w:t>
      </w:r>
      <w:r w:rsidR="00B770A5">
        <w:t>8</w:t>
      </w:r>
      <w:r w:rsidR="00F6725F">
        <w:t xml:space="preserve"> percent</w:t>
      </w:r>
      <w:r w:rsidR="004A7A69">
        <w:t>, n=1</w:t>
      </w:r>
      <w:r w:rsidR="009B5875">
        <w:t>,</w:t>
      </w:r>
      <w:r w:rsidR="004A7A69">
        <w:t>536</w:t>
      </w:r>
      <w:r w:rsidRPr="0096673B">
        <w:t>)</w:t>
      </w:r>
      <w:r>
        <w:t xml:space="preserve"> are not in </w:t>
      </w:r>
      <w:r w:rsidR="00D1727F">
        <w:t>public housing</w:t>
      </w:r>
      <w:r>
        <w:t xml:space="preserve"> o</w:t>
      </w:r>
      <w:r w:rsidR="00D65D36">
        <w:t>r on the register to begin with</w:t>
      </w:r>
      <w:r w:rsidR="000D3A30">
        <w:t xml:space="preserve">, </w:t>
      </w:r>
      <w:r w:rsidR="00D65D36">
        <w:t xml:space="preserve">and </w:t>
      </w:r>
      <w:r w:rsidR="00B917AD">
        <w:t xml:space="preserve">75 percent were receiving </w:t>
      </w:r>
      <w:r w:rsidR="00F22CB6">
        <w:t xml:space="preserve">the </w:t>
      </w:r>
      <w:r w:rsidR="00B917AD">
        <w:t>Accommodation Supplement. T</w:t>
      </w:r>
      <w:r>
        <w:t xml:space="preserve">hese </w:t>
      </w:r>
      <w:r w:rsidR="00FD4351">
        <w:t>recipients</w:t>
      </w:r>
      <w:r>
        <w:t xml:space="preserve"> are likely to have either</w:t>
      </w:r>
      <w:r w:rsidR="00C12DD8">
        <w:t>:</w:t>
      </w:r>
      <w:r>
        <w:t xml:space="preserve"> contact</w:t>
      </w:r>
      <w:r w:rsidR="00C12DD8">
        <w:t>ed MSD about their housing need;</w:t>
      </w:r>
      <w:r>
        <w:t xml:space="preserve"> be currently ineligible for </w:t>
      </w:r>
      <w:r w:rsidR="00D1727F">
        <w:t>public housing</w:t>
      </w:r>
      <w:r>
        <w:t xml:space="preserve"> but at risk of future eligibility</w:t>
      </w:r>
      <w:r w:rsidR="00C12DD8">
        <w:t xml:space="preserve">; or </w:t>
      </w:r>
      <w:r w:rsidR="00137066">
        <w:t>eligible for public housing but not on the register</w:t>
      </w:r>
      <w:r>
        <w:t xml:space="preserve">. </w:t>
      </w:r>
      <w:r w:rsidR="00A94C8D">
        <w:t xml:space="preserve">Rather than </w:t>
      </w:r>
      <w:proofErr w:type="gramStart"/>
      <w:r w:rsidR="00A94C8D">
        <w:t>an</w:t>
      </w:r>
      <w:proofErr w:type="gramEnd"/>
      <w:r w:rsidR="00A94C8D">
        <w:t xml:space="preserve"> incentive to leave </w:t>
      </w:r>
      <w:r w:rsidR="00D1727F">
        <w:t>public housing</w:t>
      </w:r>
      <w:r w:rsidR="00A94C8D">
        <w:t>,</w:t>
      </w:r>
      <w:r>
        <w:t xml:space="preserve"> th</w:t>
      </w:r>
      <w:r w:rsidR="008E12D0">
        <w:t>is</w:t>
      </w:r>
      <w:r>
        <w:t xml:space="preserve"> use of HSPs may reflect a preventative measure to help t</w:t>
      </w:r>
      <w:r w:rsidR="00A94C8D">
        <w:t>hem stay in alternative housing</w:t>
      </w:r>
      <w:r w:rsidR="00692A79">
        <w:t xml:space="preserve"> (also consistent with</w:t>
      </w:r>
      <w:r w:rsidR="00813BE7">
        <w:t xml:space="preserve"> </w:t>
      </w:r>
      <w:r w:rsidR="00692A79">
        <w:t xml:space="preserve">the original </w:t>
      </w:r>
      <w:r w:rsidR="00813BE7">
        <w:t>policy inten</w:t>
      </w:r>
      <w:r w:rsidR="00692A79">
        <w:t>t)</w:t>
      </w:r>
      <w:r w:rsidR="00A94C8D">
        <w:t xml:space="preserve">. </w:t>
      </w:r>
      <w:r w:rsidR="008E12D0">
        <w:t>Most (</w:t>
      </w:r>
      <w:r w:rsidR="00A94C8D">
        <w:t>96</w:t>
      </w:r>
      <w:r w:rsidR="00F6725F">
        <w:t xml:space="preserve"> percent</w:t>
      </w:r>
      <w:r w:rsidR="004A7A69">
        <w:t>, n=1</w:t>
      </w:r>
      <w:r w:rsidR="009B5875">
        <w:t>,</w:t>
      </w:r>
      <w:r w:rsidR="004A7A69">
        <w:t>472</w:t>
      </w:r>
      <w:r w:rsidR="008E12D0">
        <w:t>)</w:t>
      </w:r>
      <w:r w:rsidR="00A94C8D">
        <w:t xml:space="preserve"> of HSP </w:t>
      </w:r>
      <w:r w:rsidR="00FD4351">
        <w:t>recipients</w:t>
      </w:r>
      <w:r w:rsidR="00A94C8D">
        <w:t xml:space="preserve"> who were not in </w:t>
      </w:r>
      <w:r w:rsidR="00D1727F">
        <w:t>public housing</w:t>
      </w:r>
      <w:r w:rsidR="00A94C8D">
        <w:t xml:space="preserve"> or on the register before they received HSPs</w:t>
      </w:r>
      <w:r w:rsidR="00475575">
        <w:t>,</w:t>
      </w:r>
      <w:r w:rsidR="00A94C8D">
        <w:t xml:space="preserve"> stayed out of </w:t>
      </w:r>
      <w:r w:rsidR="00D1727F">
        <w:t>public housing</w:t>
      </w:r>
      <w:r w:rsidR="00A94C8D">
        <w:t xml:space="preserve"> and off the register over the month following HSP receipt. Further, </w:t>
      </w:r>
      <w:r w:rsidR="007E02D6">
        <w:t>93</w:t>
      </w:r>
      <w:r w:rsidR="00F6725F">
        <w:t xml:space="preserve"> percent</w:t>
      </w:r>
      <w:r w:rsidR="00475575">
        <w:t xml:space="preserve"> </w:t>
      </w:r>
      <w:r w:rsidR="007E02D6">
        <w:t xml:space="preserve">of these </w:t>
      </w:r>
      <w:r w:rsidR="00FD4351">
        <w:t>recipients</w:t>
      </w:r>
      <w:r w:rsidR="007E02D6">
        <w:t xml:space="preserve"> </w:t>
      </w:r>
      <w:r w:rsidR="00475575">
        <w:t>(n=1</w:t>
      </w:r>
      <w:r w:rsidR="009B5875">
        <w:t>,</w:t>
      </w:r>
      <w:r w:rsidR="00475575">
        <w:t xml:space="preserve">375) </w:t>
      </w:r>
      <w:r w:rsidR="007E02D6">
        <w:t xml:space="preserve">were still out of </w:t>
      </w:r>
      <w:r w:rsidR="00D1727F">
        <w:t>public housing</w:t>
      </w:r>
      <w:r w:rsidR="007E02D6">
        <w:t xml:space="preserve"> and off the register at 30 June 2017.</w:t>
      </w:r>
    </w:p>
    <w:p w:rsidR="002107D7" w:rsidRDefault="002107D7" w:rsidP="00FA44C8">
      <w:pPr>
        <w:pStyle w:val="Heading2"/>
      </w:pPr>
      <w:bookmarkStart w:id="36" w:name="_Toc495912004"/>
      <w:bookmarkStart w:id="37" w:name="_Toc499900022"/>
      <w:bookmarkStart w:id="38" w:name="_Toc506453052"/>
      <w:bookmarkStart w:id="39" w:name="_Toc510692741"/>
      <w:bookmarkStart w:id="40" w:name="_Toc516161717"/>
      <w:r>
        <w:t xml:space="preserve">The small number of </w:t>
      </w:r>
      <w:r w:rsidR="00FD4351">
        <w:t>recipients</w:t>
      </w:r>
      <w:r>
        <w:t xml:space="preserve"> who receive HSPs multiple times show similar patterns to the overall group</w:t>
      </w:r>
      <w:bookmarkEnd w:id="36"/>
      <w:bookmarkEnd w:id="37"/>
      <w:bookmarkEnd w:id="38"/>
      <w:bookmarkEnd w:id="39"/>
      <w:bookmarkEnd w:id="40"/>
    </w:p>
    <w:p w:rsidR="00651810" w:rsidRDefault="002107D7" w:rsidP="002107D7">
      <w:r>
        <w:t>A</w:t>
      </w:r>
      <w:r w:rsidR="00800B91">
        <w:t>ccording to the administrative data, a</w:t>
      </w:r>
      <w:r>
        <w:t xml:space="preserve"> small number of </w:t>
      </w:r>
      <w:r w:rsidR="00FD4351">
        <w:t>recipients</w:t>
      </w:r>
      <w:r>
        <w:t xml:space="preserve"> </w:t>
      </w:r>
      <w:r w:rsidR="00095CE3">
        <w:t>receive</w:t>
      </w:r>
      <w:r w:rsidR="00800B91">
        <w:t>d</w:t>
      </w:r>
      <w:r>
        <w:t xml:space="preserve"> HSPs on more than one </w:t>
      </w:r>
      <w:r w:rsidRPr="007D7F6D">
        <w:t>occasion</w:t>
      </w:r>
      <w:r>
        <w:t xml:space="preserve"> (and usually no more than two occasions in total). </w:t>
      </w:r>
      <w:r w:rsidR="00651810">
        <w:t xml:space="preserve">Note however that this group is only </w:t>
      </w:r>
      <w:r w:rsidR="009C515D">
        <w:t xml:space="preserve">6 </w:t>
      </w:r>
      <w:r w:rsidR="00651810">
        <w:t xml:space="preserve">percent </w:t>
      </w:r>
      <w:r w:rsidR="005A1BB6">
        <w:t>(</w:t>
      </w:r>
      <w:r w:rsidR="00800B91">
        <w:t>n=181</w:t>
      </w:r>
      <w:r w:rsidR="005A1BB6">
        <w:t xml:space="preserve">) </w:t>
      </w:r>
      <w:r w:rsidR="00651810">
        <w:t>of all HSP recipients, and is likely an overestimate due to</w:t>
      </w:r>
      <w:r w:rsidR="00333ABD">
        <w:t xml:space="preserve"> how the</w:t>
      </w:r>
      <w:r w:rsidR="00651810">
        <w:t xml:space="preserve"> data </w:t>
      </w:r>
      <w:r w:rsidR="00333ABD">
        <w:t>was classified</w:t>
      </w:r>
      <w:r w:rsidR="00651810">
        <w:t xml:space="preserve"> (described further on page 18).</w:t>
      </w:r>
    </w:p>
    <w:p w:rsidR="002107D7" w:rsidRDefault="002107D7" w:rsidP="002107D7">
      <w:r>
        <w:t xml:space="preserve">This group showed similar patterns of leaving </w:t>
      </w:r>
      <w:r w:rsidR="00D1727F">
        <w:t>public housing</w:t>
      </w:r>
      <w:r>
        <w:t xml:space="preserve"> as the overall group of HSP </w:t>
      </w:r>
      <w:r w:rsidR="00FD4351">
        <w:t>recipients</w:t>
      </w:r>
      <w:r>
        <w:t xml:space="preserve">, despite being more likely than </w:t>
      </w:r>
      <w:r w:rsidR="00E01989">
        <w:t>single-use</w:t>
      </w:r>
      <w:r>
        <w:t xml:space="preserve"> HSP </w:t>
      </w:r>
      <w:r w:rsidR="00FD4351">
        <w:t>recipients</w:t>
      </w:r>
      <w:r>
        <w:t xml:space="preserve"> to have been in </w:t>
      </w:r>
      <w:r w:rsidR="00D1727F">
        <w:t>public housing</w:t>
      </w:r>
      <w:r>
        <w:t xml:space="preserve"> (</w:t>
      </w:r>
      <w:r w:rsidR="00202631">
        <w:t>45</w:t>
      </w:r>
      <w:r>
        <w:t xml:space="preserve"> percent</w:t>
      </w:r>
      <w:r w:rsidR="00EE7623">
        <w:t xml:space="preserve"> compared with 21 percent</w:t>
      </w:r>
      <w:r w:rsidR="00716925">
        <w:t xml:space="preserve"> respectively</w:t>
      </w:r>
      <w:r w:rsidR="00E23AC0">
        <w:t xml:space="preserve">) </w:t>
      </w:r>
      <w:r w:rsidR="00716925">
        <w:t xml:space="preserve">before </w:t>
      </w:r>
      <w:r w:rsidR="00E01989">
        <w:t>their first HSP use.</w:t>
      </w:r>
    </w:p>
    <w:p w:rsidR="002107D7" w:rsidRDefault="002107D7" w:rsidP="002107D7">
      <w:r>
        <w:t xml:space="preserve">Overall, the proportion of repeat HSP </w:t>
      </w:r>
      <w:r w:rsidR="00FD4351">
        <w:t>recipients</w:t>
      </w:r>
      <w:r>
        <w:t xml:space="preserve"> who were in </w:t>
      </w:r>
      <w:r w:rsidR="00D1727F">
        <w:t>public housing</w:t>
      </w:r>
      <w:r>
        <w:t xml:space="preserve"> declined from </w:t>
      </w:r>
      <w:r w:rsidR="00202631">
        <w:t>45</w:t>
      </w:r>
      <w:r>
        <w:t xml:space="preserve"> per</w:t>
      </w:r>
      <w:r w:rsidR="00202631">
        <w:t>cent before their first HSP to 11</w:t>
      </w:r>
      <w:r>
        <w:t xml:space="preserve"> percent a month after their first HSP use; </w:t>
      </w:r>
      <w:r>
        <w:lastRenderedPageBreak/>
        <w:t xml:space="preserve">from 25 percent before their second HSP use to </w:t>
      </w:r>
      <w:r w:rsidR="009C515D">
        <w:t xml:space="preserve">7 </w:t>
      </w:r>
      <w:r>
        <w:t>percent a month later, and remained at 9 percent overall as at 30 June 2017.</w:t>
      </w:r>
    </w:p>
    <w:p w:rsidR="00AB5260" w:rsidRPr="008A7E90" w:rsidRDefault="00AB5260" w:rsidP="008A7E90">
      <w:pPr>
        <w:pStyle w:val="Heading2"/>
      </w:pPr>
      <w:bookmarkStart w:id="41" w:name="_Toc516161718"/>
      <w:r w:rsidRPr="008A7E90">
        <w:t>A pattern of increasing use further supports the effectiveness of HSPs</w:t>
      </w:r>
      <w:bookmarkEnd w:id="41"/>
    </w:p>
    <w:p w:rsidR="00AB5260" w:rsidRDefault="00D65D36" w:rsidP="00AB5260">
      <w:r>
        <w:t xml:space="preserve">The helpfulness of HSPs is also reflected in a pattern of increasing use. </w:t>
      </w:r>
      <w:r w:rsidR="00AB5260">
        <w:t>A total of 5</w:t>
      </w:r>
      <w:r w:rsidR="009B5875">
        <w:t>,</w:t>
      </w:r>
      <w:r w:rsidR="00AB5260">
        <w:t xml:space="preserve">367 HSPs </w:t>
      </w:r>
      <w:r w:rsidR="000D3A30">
        <w:t>were</w:t>
      </w:r>
      <w:r w:rsidR="00AB5260">
        <w:t xml:space="preserve"> used </w:t>
      </w:r>
      <w:r w:rsidR="00800B91">
        <w:t>between</w:t>
      </w:r>
      <w:r w:rsidR="00AB5260">
        <w:t xml:space="preserve"> July 2014</w:t>
      </w:r>
      <w:r w:rsidR="00800B91">
        <w:t xml:space="preserve"> and June 2017</w:t>
      </w:r>
      <w:r w:rsidR="00AB5260">
        <w:t>, on 3</w:t>
      </w:r>
      <w:r w:rsidR="009B5875">
        <w:t>,</w:t>
      </w:r>
      <w:r w:rsidR="00AB5260">
        <w:t>021 occasions by 2</w:t>
      </w:r>
      <w:r w:rsidR="009B5875">
        <w:t>,</w:t>
      </w:r>
      <w:r w:rsidR="00AB5260">
        <w:t xml:space="preserve">840 </w:t>
      </w:r>
      <w:r w:rsidR="00FD4351">
        <w:t>recipients</w:t>
      </w:r>
      <w:r w:rsidR="00AB5260">
        <w:t xml:space="preserve">. Use of HSPs has been increasing throughout this period (see Figure </w:t>
      </w:r>
      <w:r w:rsidR="001669C4">
        <w:t>3</w:t>
      </w:r>
      <w:r w:rsidR="00AB5260">
        <w:t xml:space="preserve">), with </w:t>
      </w:r>
      <w:r w:rsidR="00800B91">
        <w:t>68 percent</w:t>
      </w:r>
      <w:r w:rsidR="00AB5260">
        <w:t xml:space="preserve"> of all HSPs</w:t>
      </w:r>
      <w:r w:rsidR="005A1BB6">
        <w:t xml:space="preserve"> (</w:t>
      </w:r>
      <w:r w:rsidR="00800B91">
        <w:t>3</w:t>
      </w:r>
      <w:r w:rsidR="009B5875">
        <w:t>,</w:t>
      </w:r>
      <w:r w:rsidR="00800B91">
        <w:t>634</w:t>
      </w:r>
      <w:r w:rsidR="005A1BB6">
        <w:t>)</w:t>
      </w:r>
      <w:r w:rsidR="00AB5260">
        <w:t xml:space="preserve"> being used in the 12 months to 30 June 2017. This pattern </w:t>
      </w:r>
      <w:r>
        <w:t>could suggest</w:t>
      </w:r>
      <w:r w:rsidR="00AB5260">
        <w:t xml:space="preserve"> that </w:t>
      </w:r>
      <w:r w:rsidR="00F05E43">
        <w:t>familiarity with the products fosters further use</w:t>
      </w:r>
      <w:r>
        <w:t>,</w:t>
      </w:r>
      <w:r w:rsidR="00F05E43">
        <w:t xml:space="preserve"> or that</w:t>
      </w:r>
      <w:r>
        <w:t xml:space="preserve"> knowledge about HSPs may be spreading among case managers or among </w:t>
      </w:r>
      <w:r w:rsidR="000D3A30">
        <w:t xml:space="preserve">potential </w:t>
      </w:r>
      <w:r w:rsidR="00FD4351">
        <w:t>recipients</w:t>
      </w:r>
      <w:r>
        <w:t>.</w:t>
      </w:r>
    </w:p>
    <w:p w:rsidR="00AB5260" w:rsidRDefault="00AB5260" w:rsidP="00FA44C8">
      <w:pPr>
        <w:pStyle w:val="Heading4"/>
      </w:pPr>
      <w:r>
        <w:t xml:space="preserve">Figure </w:t>
      </w:r>
      <w:r w:rsidR="001669C4">
        <w:t>3</w:t>
      </w:r>
      <w:r>
        <w:t>: Number of HSPs used per month</w:t>
      </w:r>
      <w:r w:rsidR="008A7E90">
        <w:rPr>
          <w:noProof/>
          <w:lang w:eastAsia="en-NZ"/>
        </w:rPr>
        <w:drawing>
          <wp:inline distT="0" distB="0" distL="0" distR="0" wp14:anchorId="7A8B4127" wp14:editId="4B4F6B54">
            <wp:extent cx="6283842" cy="2711302"/>
            <wp:effectExtent l="0" t="0" r="317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F3747" w:rsidRDefault="000F3747" w:rsidP="000F3747"/>
    <w:p w:rsidR="00437BFC" w:rsidRPr="008A7E90" w:rsidRDefault="006743C4" w:rsidP="008A7E90">
      <w:pPr>
        <w:pStyle w:val="Heading2"/>
      </w:pPr>
      <w:bookmarkStart w:id="42" w:name="_Toc516161719"/>
      <w:r w:rsidRPr="008A7E90">
        <w:t xml:space="preserve">HSPs make </w:t>
      </w:r>
      <w:r w:rsidR="003D5C9A" w:rsidRPr="008A7E90">
        <w:t>a</w:t>
      </w:r>
      <w:r w:rsidRPr="008A7E90">
        <w:t xml:space="preserve"> difference </w:t>
      </w:r>
      <w:r w:rsidR="006B70C2" w:rsidRPr="008A7E90">
        <w:t>in</w:t>
      </w:r>
      <w:r w:rsidRPr="008A7E90">
        <w:t xml:space="preserve"> </w:t>
      </w:r>
      <w:r w:rsidR="00F21AD5" w:rsidRPr="008A7E90">
        <w:t xml:space="preserve">unique and </w:t>
      </w:r>
      <w:r w:rsidR="00585401" w:rsidRPr="008A7E90">
        <w:t>discretionary</w:t>
      </w:r>
      <w:r w:rsidRPr="008A7E90">
        <w:t xml:space="preserve"> </w:t>
      </w:r>
      <w:r w:rsidR="006B70C2" w:rsidRPr="008A7E90">
        <w:t>situations</w:t>
      </w:r>
      <w:bookmarkEnd w:id="42"/>
    </w:p>
    <w:p w:rsidR="00E01C80" w:rsidRPr="00E01C80" w:rsidRDefault="008922DC" w:rsidP="008A7E90">
      <w:pPr>
        <w:pStyle w:val="Heading3"/>
      </w:pPr>
      <w:bookmarkStart w:id="43" w:name="_Toc495912007"/>
      <w:bookmarkStart w:id="44" w:name="_Toc499900025"/>
      <w:bookmarkStart w:id="45" w:name="_Toc506453055"/>
      <w:bookmarkStart w:id="46" w:name="_Toc510692744"/>
      <w:r>
        <w:t>HSPs address the final hurdles in obtaining alternative housing</w:t>
      </w:r>
      <w:bookmarkEnd w:id="43"/>
      <w:bookmarkEnd w:id="44"/>
      <w:bookmarkEnd w:id="45"/>
      <w:bookmarkEnd w:id="46"/>
    </w:p>
    <w:p w:rsidR="005A4694" w:rsidRDefault="002C38E8" w:rsidP="00E01C80">
      <w:pPr>
        <w:rPr>
          <w:lang w:eastAsia="en-AU"/>
        </w:rPr>
      </w:pPr>
      <w:r w:rsidRPr="002E1B41">
        <w:rPr>
          <w:noProof/>
          <w:lang w:eastAsia="en-NZ"/>
        </w:rPr>
        <mc:AlternateContent>
          <mc:Choice Requires="wps">
            <w:drawing>
              <wp:anchor distT="0" distB="0" distL="114300" distR="114300" simplePos="0" relativeHeight="251662336" behindDoc="1" locked="0" layoutInCell="1" allowOverlap="1" wp14:anchorId="480E2D2D" wp14:editId="62E7EF03">
                <wp:simplePos x="0" y="0"/>
                <wp:positionH relativeFrom="column">
                  <wp:posOffset>2966720</wp:posOffset>
                </wp:positionH>
                <wp:positionV relativeFrom="paragraph">
                  <wp:posOffset>21590</wp:posOffset>
                </wp:positionV>
                <wp:extent cx="2728595" cy="1998345"/>
                <wp:effectExtent l="0" t="0" r="0" b="1905"/>
                <wp:wrapTight wrapText="bothSides">
                  <wp:wrapPolygon edited="0">
                    <wp:start x="0" y="0"/>
                    <wp:lineTo x="0" y="21415"/>
                    <wp:lineTo x="21414" y="21415"/>
                    <wp:lineTo x="2141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998345"/>
                        </a:xfrm>
                        <a:prstGeom prst="rect">
                          <a:avLst/>
                        </a:prstGeom>
                        <a:solidFill>
                          <a:schemeClr val="accent1">
                            <a:lumMod val="20000"/>
                            <a:lumOff val="80000"/>
                          </a:schemeClr>
                        </a:solidFill>
                        <a:ln w="9525">
                          <a:noFill/>
                          <a:miter lim="800000"/>
                          <a:headEnd/>
                          <a:tailEnd/>
                        </a:ln>
                      </wps:spPr>
                      <wps:txbx>
                        <w:txbxContent>
                          <w:p w:rsidR="004800D3" w:rsidRPr="00EF25A9" w:rsidRDefault="004800D3" w:rsidP="008A7E90">
                            <w:pPr>
                              <w:shd w:val="clear" w:color="auto" w:fill="DBE5F1" w:themeFill="accent1" w:themeFillTint="33"/>
                              <w:spacing w:before="0"/>
                              <w:rPr>
                                <w:sz w:val="19"/>
                                <w:szCs w:val="19"/>
                                <w:lang w:eastAsia="en-AU"/>
                              </w:rPr>
                            </w:pPr>
                            <w:r w:rsidRPr="00EF25A9">
                              <w:rPr>
                                <w:sz w:val="19"/>
                                <w:szCs w:val="19"/>
                                <w:lang w:eastAsia="en-AU"/>
                              </w:rPr>
                              <w:t>“</w:t>
                            </w:r>
                            <w:r w:rsidRPr="00EF25A9">
                              <w:rPr>
                                <w:i/>
                                <w:sz w:val="19"/>
                                <w:szCs w:val="19"/>
                                <w:lang w:eastAsia="en-AU"/>
                              </w:rPr>
                              <w:t xml:space="preserve">I don’t think in the current housing situation we would be able to support our </w:t>
                            </w:r>
                            <w:r>
                              <w:rPr>
                                <w:i/>
                                <w:sz w:val="19"/>
                                <w:szCs w:val="19"/>
                                <w:lang w:eastAsia="en-AU"/>
                              </w:rPr>
                              <w:t>recipients</w:t>
                            </w:r>
                            <w:r w:rsidRPr="00EF25A9">
                              <w:rPr>
                                <w:i/>
                                <w:sz w:val="19"/>
                                <w:szCs w:val="19"/>
                                <w:lang w:eastAsia="en-AU"/>
                              </w:rPr>
                              <w:t xml:space="preserve"> without them</w:t>
                            </w:r>
                            <w:r w:rsidRPr="00EF25A9">
                              <w:rPr>
                                <w:sz w:val="19"/>
                                <w:szCs w:val="19"/>
                                <w:lang w:eastAsia="en-AU"/>
                              </w:rPr>
                              <w:t>.”</w:t>
                            </w:r>
                          </w:p>
                          <w:p w:rsidR="004800D3" w:rsidRPr="00EF25A9" w:rsidRDefault="004800D3" w:rsidP="008A7E90">
                            <w:pPr>
                              <w:shd w:val="clear" w:color="auto" w:fill="DBE5F1" w:themeFill="accent1" w:themeFillTint="33"/>
                              <w:rPr>
                                <w:sz w:val="19"/>
                                <w:szCs w:val="19"/>
                                <w:lang w:eastAsia="en-AU"/>
                              </w:rPr>
                            </w:pPr>
                            <w:r w:rsidRPr="00EF25A9">
                              <w:rPr>
                                <w:i/>
                                <w:sz w:val="19"/>
                                <w:szCs w:val="19"/>
                                <w:lang w:eastAsia="en-AU"/>
                              </w:rPr>
                              <w:t>“She was able to get a private rental that she might not have been able to access before</w:t>
                            </w:r>
                            <w:r w:rsidRPr="0031306A">
                              <w:rPr>
                                <w:i/>
                                <w:sz w:val="19"/>
                                <w:szCs w:val="19"/>
                                <w:lang w:eastAsia="en-AU"/>
                              </w:rPr>
                              <w:t>.</w:t>
                            </w:r>
                            <w:r w:rsidRPr="0031306A">
                              <w:rPr>
                                <w:sz w:val="19"/>
                                <w:szCs w:val="19"/>
                                <w:lang w:eastAsia="en-AU"/>
                              </w:rPr>
                              <w:t>”</w:t>
                            </w:r>
                            <w:r w:rsidRPr="00EF25A9">
                              <w:rPr>
                                <w:sz w:val="19"/>
                                <w:szCs w:val="19"/>
                                <w:lang w:eastAsia="en-AU"/>
                              </w:rPr>
                              <w:t xml:space="preserve"> </w:t>
                            </w:r>
                          </w:p>
                          <w:p w:rsidR="004800D3" w:rsidRDefault="004800D3" w:rsidP="008A7E90">
                            <w:pPr>
                              <w:shd w:val="clear" w:color="auto" w:fill="DBE5F1" w:themeFill="accent1" w:themeFillTint="33"/>
                              <w:rPr>
                                <w:sz w:val="19"/>
                                <w:szCs w:val="19"/>
                                <w:lang w:eastAsia="en-AU"/>
                              </w:rPr>
                            </w:pPr>
                            <w:r w:rsidRPr="00EF25A9">
                              <w:rPr>
                                <w:sz w:val="19"/>
                                <w:szCs w:val="19"/>
                                <w:lang w:eastAsia="en-AU"/>
                              </w:rPr>
                              <w:t>“</w:t>
                            </w:r>
                            <w:r w:rsidRPr="00EF25A9">
                              <w:rPr>
                                <w:i/>
                                <w:sz w:val="19"/>
                                <w:szCs w:val="19"/>
                                <w:lang w:eastAsia="en-AU"/>
                              </w:rPr>
                              <w:t>We’ve got the products there, but we have not got the stock to put them there, there’s nowhere to put them.</w:t>
                            </w:r>
                            <w:r w:rsidRPr="00EF25A9">
                              <w:rPr>
                                <w:sz w:val="19"/>
                                <w:szCs w:val="19"/>
                                <w:lang w:eastAsia="en-AU"/>
                              </w:rPr>
                              <w:t>”</w:t>
                            </w:r>
                          </w:p>
                          <w:p w:rsidR="004800D3" w:rsidRPr="00EF25A9" w:rsidRDefault="004800D3" w:rsidP="008A7E90">
                            <w:pPr>
                              <w:shd w:val="clear" w:color="auto" w:fill="DBE5F1" w:themeFill="accent1" w:themeFillTint="33"/>
                              <w:rPr>
                                <w:sz w:val="19"/>
                                <w:szCs w:val="19"/>
                                <w:lang w:eastAsia="en-AU"/>
                              </w:rPr>
                            </w:pPr>
                            <w:r>
                              <w:rPr>
                                <w:sz w:val="19"/>
                                <w:szCs w:val="19"/>
                                <w:lang w:eastAsia="en-AU"/>
                              </w:rPr>
                              <w:t>- Case managers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3.6pt;margin-top:1.7pt;width:214.85pt;height:15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" fillcolor="#dbe5f1 [660]" stroked="f">
                <v:textbox>
                  <w:txbxContent>
                    <w:p w:rsidR="004800D3" w:rsidRPr="00EF25A9" w:rsidRDefault="004800D3" w:rsidP="008A7E90">
                      <w:pPr>
                        <w:shd w:val="clear" w:color="auto" w:fill="DBE5F1" w:themeFill="accent1" w:themeFillTint="33"/>
                        <w:spacing w:before="0"/>
                        <w:rPr>
                          <w:sz w:val="19"/>
                          <w:szCs w:val="19"/>
                          <w:lang w:eastAsia="en-AU"/>
                        </w:rPr>
                      </w:pPr>
                      <w:r w:rsidRPr="00EF25A9">
                        <w:rPr>
                          <w:sz w:val="19"/>
                          <w:szCs w:val="19"/>
                          <w:lang w:eastAsia="en-AU"/>
                        </w:rPr>
                        <w:t>“</w:t>
                      </w:r>
                      <w:r w:rsidRPr="00EF25A9">
                        <w:rPr>
                          <w:i/>
                          <w:sz w:val="19"/>
                          <w:szCs w:val="19"/>
                          <w:lang w:eastAsia="en-AU"/>
                        </w:rPr>
                        <w:t xml:space="preserve">I don’t think in the current housing situation we would be able to support our </w:t>
                      </w:r>
                      <w:r>
                        <w:rPr>
                          <w:i/>
                          <w:sz w:val="19"/>
                          <w:szCs w:val="19"/>
                          <w:lang w:eastAsia="en-AU"/>
                        </w:rPr>
                        <w:t>recipients</w:t>
                      </w:r>
                      <w:r w:rsidRPr="00EF25A9">
                        <w:rPr>
                          <w:i/>
                          <w:sz w:val="19"/>
                          <w:szCs w:val="19"/>
                          <w:lang w:eastAsia="en-AU"/>
                        </w:rPr>
                        <w:t xml:space="preserve"> without them</w:t>
                      </w:r>
                      <w:r w:rsidRPr="00EF25A9">
                        <w:rPr>
                          <w:sz w:val="19"/>
                          <w:szCs w:val="19"/>
                          <w:lang w:eastAsia="en-AU"/>
                        </w:rPr>
                        <w:t>.”</w:t>
                      </w:r>
                    </w:p>
                    <w:p w:rsidR="004800D3" w:rsidRPr="00EF25A9" w:rsidRDefault="004800D3" w:rsidP="008A7E90">
                      <w:pPr>
                        <w:shd w:val="clear" w:color="auto" w:fill="DBE5F1" w:themeFill="accent1" w:themeFillTint="33"/>
                        <w:rPr>
                          <w:sz w:val="19"/>
                          <w:szCs w:val="19"/>
                          <w:lang w:eastAsia="en-AU"/>
                        </w:rPr>
                      </w:pPr>
                      <w:r w:rsidRPr="00EF25A9">
                        <w:rPr>
                          <w:i/>
                          <w:sz w:val="19"/>
                          <w:szCs w:val="19"/>
                          <w:lang w:eastAsia="en-AU"/>
                        </w:rPr>
                        <w:t>“She was able to get a private rental that she might not have been able to access before</w:t>
                      </w:r>
                      <w:r w:rsidRPr="0031306A">
                        <w:rPr>
                          <w:i/>
                          <w:sz w:val="19"/>
                          <w:szCs w:val="19"/>
                          <w:lang w:eastAsia="en-AU"/>
                        </w:rPr>
                        <w:t>.</w:t>
                      </w:r>
                      <w:r w:rsidRPr="0031306A">
                        <w:rPr>
                          <w:sz w:val="19"/>
                          <w:szCs w:val="19"/>
                          <w:lang w:eastAsia="en-AU"/>
                        </w:rPr>
                        <w:t>”</w:t>
                      </w:r>
                      <w:r w:rsidRPr="00EF25A9">
                        <w:rPr>
                          <w:sz w:val="19"/>
                          <w:szCs w:val="19"/>
                          <w:lang w:eastAsia="en-AU"/>
                        </w:rPr>
                        <w:t xml:space="preserve"> </w:t>
                      </w:r>
                    </w:p>
                    <w:p w:rsidR="004800D3" w:rsidRDefault="004800D3" w:rsidP="008A7E90">
                      <w:pPr>
                        <w:shd w:val="clear" w:color="auto" w:fill="DBE5F1" w:themeFill="accent1" w:themeFillTint="33"/>
                        <w:rPr>
                          <w:sz w:val="19"/>
                          <w:szCs w:val="19"/>
                          <w:lang w:eastAsia="en-AU"/>
                        </w:rPr>
                      </w:pPr>
                      <w:r w:rsidRPr="00EF25A9">
                        <w:rPr>
                          <w:sz w:val="19"/>
                          <w:szCs w:val="19"/>
                          <w:lang w:eastAsia="en-AU"/>
                        </w:rPr>
                        <w:t>“</w:t>
                      </w:r>
                      <w:r w:rsidRPr="00EF25A9">
                        <w:rPr>
                          <w:i/>
                          <w:sz w:val="19"/>
                          <w:szCs w:val="19"/>
                          <w:lang w:eastAsia="en-AU"/>
                        </w:rPr>
                        <w:t>We’ve got the products there, but we have not got the stock to put them there, there’s nowhere to put them.</w:t>
                      </w:r>
                      <w:r w:rsidRPr="00EF25A9">
                        <w:rPr>
                          <w:sz w:val="19"/>
                          <w:szCs w:val="19"/>
                          <w:lang w:eastAsia="en-AU"/>
                        </w:rPr>
                        <w:t>”</w:t>
                      </w:r>
                    </w:p>
                    <w:p w:rsidR="004800D3" w:rsidRPr="00EF25A9" w:rsidRDefault="004800D3" w:rsidP="008A7E90">
                      <w:pPr>
                        <w:shd w:val="clear" w:color="auto" w:fill="DBE5F1" w:themeFill="accent1" w:themeFillTint="33"/>
                        <w:rPr>
                          <w:sz w:val="19"/>
                          <w:szCs w:val="19"/>
                          <w:lang w:eastAsia="en-AU"/>
                        </w:rPr>
                      </w:pPr>
                      <w:r>
                        <w:rPr>
                          <w:sz w:val="19"/>
                          <w:szCs w:val="19"/>
                          <w:lang w:eastAsia="en-AU"/>
                        </w:rPr>
                        <w:t>- Case managers</w:t>
                      </w:r>
                    </w:p>
                  </w:txbxContent>
                </v:textbox>
                <w10:wrap type="tight"/>
              </v:shape>
            </w:pict>
          </mc:Fallback>
        </mc:AlternateContent>
      </w:r>
      <w:r w:rsidR="00E01C80">
        <w:rPr>
          <w:lang w:eastAsia="en-AU"/>
        </w:rPr>
        <w:t>Case managers agreed that HSPs were very helpfu</w:t>
      </w:r>
      <w:r w:rsidR="005A4694">
        <w:rPr>
          <w:lang w:eastAsia="en-AU"/>
        </w:rPr>
        <w:t xml:space="preserve">l for </w:t>
      </w:r>
      <w:r w:rsidR="00FD4351">
        <w:rPr>
          <w:lang w:eastAsia="en-AU"/>
        </w:rPr>
        <w:t>recipients</w:t>
      </w:r>
      <w:r w:rsidR="005A4694">
        <w:rPr>
          <w:lang w:eastAsia="en-AU"/>
        </w:rPr>
        <w:t>.</w:t>
      </w:r>
      <w:r w:rsidR="00EF25A9">
        <w:rPr>
          <w:lang w:eastAsia="en-AU"/>
        </w:rPr>
        <w:t xml:space="preserve"> </w:t>
      </w:r>
      <w:r w:rsidR="00E01C80">
        <w:rPr>
          <w:lang w:eastAsia="en-AU"/>
        </w:rPr>
        <w:t xml:space="preserve">HSPs were most useful to support </w:t>
      </w:r>
      <w:r w:rsidR="00FD4351">
        <w:rPr>
          <w:lang w:eastAsia="en-AU"/>
        </w:rPr>
        <w:t>recipients</w:t>
      </w:r>
      <w:r w:rsidR="00E01C80">
        <w:rPr>
          <w:lang w:eastAsia="en-AU"/>
        </w:rPr>
        <w:t xml:space="preserve"> over the last hurdle into </w:t>
      </w:r>
      <w:r w:rsidR="00EF25A9">
        <w:rPr>
          <w:lang w:eastAsia="en-AU"/>
        </w:rPr>
        <w:t>alternative housing</w:t>
      </w:r>
      <w:r w:rsidR="00E01C80">
        <w:rPr>
          <w:lang w:eastAsia="en-AU"/>
        </w:rPr>
        <w:t xml:space="preserve"> </w:t>
      </w:r>
      <w:r w:rsidR="00EF25A9">
        <w:rPr>
          <w:lang w:eastAsia="en-AU"/>
        </w:rPr>
        <w:t>(</w:t>
      </w:r>
      <w:r w:rsidR="00E01C80">
        <w:rPr>
          <w:lang w:eastAsia="en-AU"/>
        </w:rPr>
        <w:t xml:space="preserve">where the </w:t>
      </w:r>
      <w:r w:rsidR="00FD4351">
        <w:rPr>
          <w:lang w:eastAsia="en-AU"/>
        </w:rPr>
        <w:t>recipients</w:t>
      </w:r>
      <w:r w:rsidR="00E01C80">
        <w:rPr>
          <w:lang w:eastAsia="en-AU"/>
        </w:rPr>
        <w:t xml:space="preserve"> were otherwise </w:t>
      </w:r>
      <w:r w:rsidR="00FC4ABC">
        <w:rPr>
          <w:lang w:eastAsia="en-AU"/>
        </w:rPr>
        <w:t>un</w:t>
      </w:r>
      <w:r w:rsidR="00E01C80">
        <w:rPr>
          <w:lang w:eastAsia="en-AU"/>
        </w:rPr>
        <w:t xml:space="preserve">likely to sustain </w:t>
      </w:r>
      <w:r w:rsidR="00FC4ABC">
        <w:rPr>
          <w:lang w:eastAsia="en-AU"/>
        </w:rPr>
        <w:t>their tenancy</w:t>
      </w:r>
      <w:r w:rsidR="00EF25A9">
        <w:rPr>
          <w:lang w:eastAsia="en-AU"/>
        </w:rPr>
        <w:t>)</w:t>
      </w:r>
      <w:r w:rsidR="005A4694">
        <w:rPr>
          <w:lang w:eastAsia="en-AU"/>
        </w:rPr>
        <w:t>.</w:t>
      </w:r>
    </w:p>
    <w:p w:rsidR="005A4694" w:rsidRDefault="00EF25A9" w:rsidP="00E01C80">
      <w:pPr>
        <w:rPr>
          <w:lang w:eastAsia="en-AU"/>
        </w:rPr>
      </w:pPr>
      <w:r>
        <w:rPr>
          <w:lang w:eastAsia="en-AU"/>
        </w:rPr>
        <w:t>However, HSPs do</w:t>
      </w:r>
      <w:r w:rsidR="00E01C80">
        <w:rPr>
          <w:lang w:eastAsia="en-AU"/>
        </w:rPr>
        <w:t xml:space="preserve"> not address the wider problems (ie lack of </w:t>
      </w:r>
      <w:r w:rsidR="006059DE">
        <w:rPr>
          <w:lang w:eastAsia="en-AU"/>
        </w:rPr>
        <w:t xml:space="preserve">affordable </w:t>
      </w:r>
      <w:r w:rsidR="00E01C80">
        <w:rPr>
          <w:lang w:eastAsia="en-AU"/>
        </w:rPr>
        <w:t xml:space="preserve">supply) which prevent </w:t>
      </w:r>
      <w:r w:rsidR="00FD4351">
        <w:rPr>
          <w:lang w:eastAsia="en-AU"/>
        </w:rPr>
        <w:t>recipients</w:t>
      </w:r>
      <w:r w:rsidR="005A4694">
        <w:rPr>
          <w:lang w:eastAsia="en-AU"/>
        </w:rPr>
        <w:t xml:space="preserve"> from leaving </w:t>
      </w:r>
      <w:r w:rsidR="00D1727F">
        <w:rPr>
          <w:lang w:eastAsia="en-AU"/>
        </w:rPr>
        <w:t>public housing</w:t>
      </w:r>
      <w:r>
        <w:rPr>
          <w:lang w:eastAsia="en-AU"/>
        </w:rPr>
        <w:t xml:space="preserve"> and therefore</w:t>
      </w:r>
      <w:r w:rsidR="00CD1A37">
        <w:rPr>
          <w:lang w:eastAsia="en-AU"/>
        </w:rPr>
        <w:t xml:space="preserve"> </w:t>
      </w:r>
      <w:r w:rsidR="008E05A5">
        <w:rPr>
          <w:lang w:eastAsia="en-AU"/>
        </w:rPr>
        <w:t>limit</w:t>
      </w:r>
      <w:r w:rsidR="00CD1A37">
        <w:rPr>
          <w:lang w:eastAsia="en-AU"/>
        </w:rPr>
        <w:t xml:space="preserve"> the extent</w:t>
      </w:r>
      <w:r w:rsidR="005A4694">
        <w:rPr>
          <w:lang w:eastAsia="en-AU"/>
        </w:rPr>
        <w:t xml:space="preserve"> to which HSPs can be helpful</w:t>
      </w:r>
      <w:r>
        <w:rPr>
          <w:lang w:eastAsia="en-AU"/>
        </w:rPr>
        <w:t>.</w:t>
      </w:r>
    </w:p>
    <w:p w:rsidR="00E01C80" w:rsidRPr="008A7E90" w:rsidRDefault="00E01C80" w:rsidP="008A7E90">
      <w:pPr>
        <w:pStyle w:val="Heading3"/>
      </w:pPr>
      <w:bookmarkStart w:id="47" w:name="_Toc495912008"/>
      <w:bookmarkStart w:id="48" w:name="_Toc499900026"/>
      <w:bookmarkStart w:id="49" w:name="_Toc506453056"/>
      <w:bookmarkStart w:id="50" w:name="_Toc510692745"/>
      <w:r w:rsidRPr="008A7E90">
        <w:lastRenderedPageBreak/>
        <w:t xml:space="preserve">HSPs are </w:t>
      </w:r>
      <w:r w:rsidR="003B5F20" w:rsidRPr="008A7E90">
        <w:t>helpful</w:t>
      </w:r>
      <w:r w:rsidRPr="008A7E90">
        <w:t xml:space="preserve"> for particular </w:t>
      </w:r>
      <w:r w:rsidR="00FD4351" w:rsidRPr="008A7E90">
        <w:t>recipients</w:t>
      </w:r>
      <w:bookmarkEnd w:id="47"/>
      <w:bookmarkEnd w:id="48"/>
      <w:bookmarkEnd w:id="49"/>
      <w:bookmarkEnd w:id="50"/>
    </w:p>
    <w:p w:rsidR="000E4EA5" w:rsidRDefault="000E4EA5" w:rsidP="006743C4">
      <w:pPr>
        <w:sectPr w:rsidR="000E4EA5" w:rsidSect="00084CCE">
          <w:footerReference w:type="even" r:id="rId18"/>
          <w:footerReference w:type="default" r:id="rId19"/>
          <w:pgSz w:w="11906" w:h="16838"/>
          <w:pgMar w:top="1134" w:right="1440" w:bottom="1440" w:left="1440" w:header="708" w:footer="357" w:gutter="0"/>
          <w:cols w:space="708"/>
          <w:titlePg/>
          <w:docGrid w:linePitch="360"/>
        </w:sectPr>
      </w:pPr>
    </w:p>
    <w:p w:rsidR="008414EE" w:rsidRDefault="006743C4" w:rsidP="00B035FC">
      <w:pPr>
        <w:rPr>
          <w:b/>
          <w:bCs/>
          <w:color w:val="1F497D" w:themeColor="text2"/>
        </w:rPr>
      </w:pPr>
      <w:r>
        <w:lastRenderedPageBreak/>
        <w:t>HSP</w:t>
      </w:r>
      <w:r w:rsidR="00C36525">
        <w:t xml:space="preserve"> </w:t>
      </w:r>
      <w:r w:rsidR="00FD4351">
        <w:t>recipients</w:t>
      </w:r>
      <w:r w:rsidR="003E14F1">
        <w:t xml:space="preserve"> tend to be female (</w:t>
      </w:r>
      <w:r w:rsidR="0040347C">
        <w:t>2</w:t>
      </w:r>
      <w:r w:rsidR="009B5875">
        <w:t>,</w:t>
      </w:r>
      <w:r w:rsidR="0040347C">
        <w:t xml:space="preserve">147 or </w:t>
      </w:r>
      <w:r w:rsidR="003E14F1">
        <w:t>76</w:t>
      </w:r>
      <w:r w:rsidR="00F6725F">
        <w:t xml:space="preserve"> percent</w:t>
      </w:r>
      <w:r w:rsidR="0040347C">
        <w:t xml:space="preserve"> of recipients</w:t>
      </w:r>
      <w:r w:rsidR="003E14F1">
        <w:t>), Māori (</w:t>
      </w:r>
      <w:r w:rsidR="0040347C">
        <w:t>1</w:t>
      </w:r>
      <w:r w:rsidR="009B5875">
        <w:t>,</w:t>
      </w:r>
      <w:r w:rsidR="0040347C">
        <w:t xml:space="preserve">379 or </w:t>
      </w:r>
      <w:r w:rsidR="003E14F1">
        <w:t>4</w:t>
      </w:r>
      <w:r w:rsidR="00855033">
        <w:t>9</w:t>
      </w:r>
      <w:r w:rsidR="00F6725F">
        <w:t xml:space="preserve"> percent</w:t>
      </w:r>
      <w:r w:rsidR="0040347C">
        <w:t xml:space="preserve"> of recipients</w:t>
      </w:r>
      <w:r>
        <w:t xml:space="preserve">; see </w:t>
      </w:r>
      <w:r w:rsidR="00345CAB">
        <w:t>Table 1</w:t>
      </w:r>
      <w:r>
        <w:t xml:space="preserve">), and according to their benefit </w:t>
      </w:r>
      <w:r w:rsidR="007B5FD7">
        <w:t>information</w:t>
      </w:r>
      <w:r w:rsidR="00C36525">
        <w:t xml:space="preserve"> a</w:t>
      </w:r>
      <w:r>
        <w:t xml:space="preserve">re </w:t>
      </w:r>
      <w:r w:rsidR="00651810">
        <w:t>un-partnered</w:t>
      </w:r>
      <w:r w:rsidR="0030446A">
        <w:t xml:space="preserve"> (</w:t>
      </w:r>
      <w:r w:rsidR="0040347C">
        <w:t>1</w:t>
      </w:r>
      <w:r w:rsidR="009B5875">
        <w:t>,</w:t>
      </w:r>
      <w:r w:rsidR="0040347C">
        <w:t xml:space="preserve">624 or </w:t>
      </w:r>
      <w:r w:rsidR="00A04FB4">
        <w:t>57</w:t>
      </w:r>
      <w:r w:rsidR="00F6725F">
        <w:t xml:space="preserve"> percent</w:t>
      </w:r>
      <w:r w:rsidR="00A04FB4">
        <w:t>; note that 28 percent were partnered and 15</w:t>
      </w:r>
      <w:r w:rsidR="00EE04D4">
        <w:t xml:space="preserve"> percent unknown</w:t>
      </w:r>
      <w:r>
        <w:t>)</w:t>
      </w:r>
      <w:r w:rsidR="00EE04D4">
        <w:t>, and</w:t>
      </w:r>
      <w:r>
        <w:t xml:space="preserve"> with</w:t>
      </w:r>
      <w:r w:rsidR="007B5FD7">
        <w:t xml:space="preserve"> dependent</w:t>
      </w:r>
      <w:r>
        <w:t xml:space="preserve"> children (</w:t>
      </w:r>
      <w:r w:rsidR="0040347C">
        <w:t>1</w:t>
      </w:r>
      <w:r w:rsidR="009B5875">
        <w:t>,</w:t>
      </w:r>
      <w:r w:rsidR="0040347C">
        <w:t xml:space="preserve">245 or </w:t>
      </w:r>
      <w:r>
        <w:t>44</w:t>
      </w:r>
      <w:r w:rsidR="00F6725F">
        <w:t xml:space="preserve"> percent</w:t>
      </w:r>
      <w:r w:rsidR="00B035FC">
        <w:t xml:space="preserve">; note that </w:t>
      </w:r>
      <w:r w:rsidR="009C515D">
        <w:t xml:space="preserve">3 </w:t>
      </w:r>
      <w:r w:rsidR="00B035FC">
        <w:t>percent had benefit rates that specified no children, 26 percent had benefit rates that did not specify whether the client has children</w:t>
      </w:r>
      <w:r w:rsidR="00FF0EB1">
        <w:t>, and 27</w:t>
      </w:r>
      <w:r w:rsidR="00B035FC">
        <w:t xml:space="preserve"> percent were unknown</w:t>
      </w:r>
      <w:r>
        <w:t>). Most were receiving either Sole Parent Support (30</w:t>
      </w:r>
      <w:r w:rsidR="00F6725F">
        <w:t xml:space="preserve"> percent</w:t>
      </w:r>
      <w:r>
        <w:t>) or Jobseeker Support (23</w:t>
      </w:r>
      <w:r w:rsidR="00F6725F">
        <w:t xml:space="preserve"> percent</w:t>
      </w:r>
      <w:r>
        <w:t>) benefits</w:t>
      </w:r>
      <w:r w:rsidR="00004C3F">
        <w:t>, while 2</w:t>
      </w:r>
      <w:r w:rsidR="00FF0EB1">
        <w:t>7</w:t>
      </w:r>
      <w:r w:rsidR="00004C3F">
        <w:t xml:space="preserve"> percent were not on a main benefit </w:t>
      </w:r>
      <w:r w:rsidR="00C36525">
        <w:t>at the time of HSP receipt</w:t>
      </w:r>
      <w:r w:rsidR="002107D7">
        <w:t xml:space="preserve"> </w:t>
      </w:r>
      <w:r w:rsidR="00C36525">
        <w:t xml:space="preserve">(see </w:t>
      </w:r>
      <w:r w:rsidR="002E1B41">
        <w:t>Table</w:t>
      </w:r>
      <w:r w:rsidR="00C36525">
        <w:t xml:space="preserve"> </w:t>
      </w:r>
      <w:r w:rsidR="002E1B41">
        <w:t>2</w:t>
      </w:r>
      <w:r>
        <w:t>)</w:t>
      </w:r>
      <w:r w:rsidR="00D65D36">
        <w:t>.</w:t>
      </w:r>
    </w:p>
    <w:p w:rsidR="00CE4FCA" w:rsidRDefault="00CE4FCA" w:rsidP="00FA44C8">
      <w:pPr>
        <w:pStyle w:val="Heading4"/>
      </w:pPr>
      <w:r>
        <w:t xml:space="preserve">Table 1: HSP </w:t>
      </w:r>
      <w:r w:rsidR="00FD4351">
        <w:t>recipients</w:t>
      </w:r>
      <w:r>
        <w:t>’ ethnicities</w:t>
      </w:r>
    </w:p>
    <w:tbl>
      <w:tblPr>
        <w:tblStyle w:val="LightList-Accent1"/>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20"/>
        <w:gridCol w:w="4111"/>
      </w:tblGrid>
      <w:tr w:rsidR="00084CCE" w:rsidRPr="00084CCE" w:rsidTr="0008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shd w:val="clear" w:color="auto" w:fill="121F6B"/>
          </w:tcPr>
          <w:p w:rsidR="00CE4FCA" w:rsidRPr="00084CCE" w:rsidRDefault="00CE4FCA" w:rsidP="008115DE">
            <w:pPr>
              <w:spacing w:after="0"/>
              <w:rPr>
                <w:sz w:val="20"/>
              </w:rPr>
            </w:pPr>
            <w:r w:rsidRPr="00084CCE">
              <w:rPr>
                <w:sz w:val="20"/>
              </w:rPr>
              <w:t>Ethnicity</w:t>
            </w:r>
          </w:p>
        </w:tc>
        <w:tc>
          <w:tcPr>
            <w:tcW w:w="4111" w:type="dxa"/>
            <w:shd w:val="clear" w:color="auto" w:fill="121F6B"/>
          </w:tcPr>
          <w:p w:rsidR="00CE4FCA" w:rsidRPr="00084CCE" w:rsidRDefault="00CE4FCA" w:rsidP="008115DE">
            <w:pPr>
              <w:spacing w:after="0"/>
              <w:cnfStyle w:val="100000000000" w:firstRow="1" w:lastRow="0" w:firstColumn="0" w:lastColumn="0" w:oddVBand="0" w:evenVBand="0" w:oddHBand="0" w:evenHBand="0" w:firstRowFirstColumn="0" w:firstRowLastColumn="0" w:lastRowFirstColumn="0" w:lastRowLastColumn="0"/>
              <w:rPr>
                <w:sz w:val="20"/>
              </w:rPr>
            </w:pPr>
            <w:r w:rsidRPr="00084CCE">
              <w:rPr>
                <w:sz w:val="20"/>
              </w:rPr>
              <w:t xml:space="preserve">Percentage of HSP </w:t>
            </w:r>
            <w:r w:rsidR="00FD4351" w:rsidRPr="00084CCE">
              <w:rPr>
                <w:sz w:val="20"/>
              </w:rPr>
              <w:t>recipients</w:t>
            </w:r>
          </w:p>
        </w:tc>
      </w:tr>
      <w:tr w:rsidR="00CE4FCA" w:rsidTr="00FA4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tcPr>
          <w:p w:rsidR="00CE4FCA" w:rsidRPr="008E6AD9" w:rsidRDefault="00CE4FCA" w:rsidP="008115DE">
            <w:pPr>
              <w:spacing w:after="0"/>
              <w:rPr>
                <w:b w:val="0"/>
                <w:sz w:val="20"/>
              </w:rPr>
            </w:pPr>
            <w:r w:rsidRPr="008E6AD9">
              <w:rPr>
                <w:b w:val="0"/>
                <w:sz w:val="20"/>
              </w:rPr>
              <w:t>Māori</w:t>
            </w:r>
          </w:p>
        </w:tc>
        <w:tc>
          <w:tcPr>
            <w:tcW w:w="4111" w:type="dxa"/>
            <w:tcBorders>
              <w:top w:val="none" w:sz="0" w:space="0" w:color="auto"/>
              <w:bottom w:val="none" w:sz="0" w:space="0" w:color="auto"/>
              <w:right w:val="none" w:sz="0" w:space="0" w:color="auto"/>
            </w:tcBorders>
          </w:tcPr>
          <w:p w:rsidR="00CE4FCA" w:rsidRPr="008E6AD9" w:rsidRDefault="003E14F1" w:rsidP="008115DE">
            <w:pPr>
              <w:spacing w:after="0"/>
              <w:cnfStyle w:val="000000100000" w:firstRow="0" w:lastRow="0" w:firstColumn="0" w:lastColumn="0" w:oddVBand="0" w:evenVBand="0" w:oddHBand="1" w:evenHBand="0" w:firstRowFirstColumn="0" w:firstRowLastColumn="0" w:lastRowFirstColumn="0" w:lastRowLastColumn="0"/>
              <w:rPr>
                <w:sz w:val="20"/>
              </w:rPr>
            </w:pPr>
            <w:r w:rsidRPr="008E6AD9">
              <w:rPr>
                <w:sz w:val="20"/>
              </w:rPr>
              <w:t>48.6</w:t>
            </w:r>
          </w:p>
        </w:tc>
      </w:tr>
      <w:tr w:rsidR="00CE4FCA" w:rsidTr="00FA44C8">
        <w:tc>
          <w:tcPr>
            <w:cnfStyle w:val="001000000000" w:firstRow="0" w:lastRow="0" w:firstColumn="1" w:lastColumn="0" w:oddVBand="0" w:evenVBand="0" w:oddHBand="0" w:evenHBand="0" w:firstRowFirstColumn="0" w:firstRowLastColumn="0" w:lastRowFirstColumn="0" w:lastRowLastColumn="0"/>
            <w:tcW w:w="4820" w:type="dxa"/>
          </w:tcPr>
          <w:p w:rsidR="00CE4FCA" w:rsidRPr="008E6AD9" w:rsidRDefault="00CE4FCA" w:rsidP="008115DE">
            <w:pPr>
              <w:spacing w:after="0"/>
              <w:rPr>
                <w:b w:val="0"/>
                <w:sz w:val="20"/>
              </w:rPr>
            </w:pPr>
            <w:r w:rsidRPr="008E6AD9">
              <w:rPr>
                <w:b w:val="0"/>
                <w:sz w:val="20"/>
              </w:rPr>
              <w:t>New Zealand European</w:t>
            </w:r>
          </w:p>
        </w:tc>
        <w:tc>
          <w:tcPr>
            <w:tcW w:w="4111" w:type="dxa"/>
          </w:tcPr>
          <w:p w:rsidR="00CE4FCA" w:rsidRPr="008E6AD9" w:rsidRDefault="00855033" w:rsidP="008115DE">
            <w:pPr>
              <w:spacing w:after="0"/>
              <w:cnfStyle w:val="000000000000" w:firstRow="0" w:lastRow="0" w:firstColumn="0" w:lastColumn="0" w:oddVBand="0" w:evenVBand="0" w:oddHBand="0" w:evenHBand="0" w:firstRowFirstColumn="0" w:firstRowLastColumn="0" w:lastRowFirstColumn="0" w:lastRowLastColumn="0"/>
              <w:rPr>
                <w:sz w:val="20"/>
              </w:rPr>
            </w:pPr>
            <w:r w:rsidRPr="008E6AD9">
              <w:rPr>
                <w:sz w:val="20"/>
              </w:rPr>
              <w:t>23.8</w:t>
            </w:r>
          </w:p>
        </w:tc>
      </w:tr>
      <w:tr w:rsidR="00CE4FCA" w:rsidTr="00FA4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tcPr>
          <w:p w:rsidR="00CE4FCA" w:rsidRPr="008E6AD9" w:rsidRDefault="00CE4FCA" w:rsidP="008115DE">
            <w:pPr>
              <w:spacing w:after="0"/>
              <w:rPr>
                <w:b w:val="0"/>
                <w:sz w:val="20"/>
              </w:rPr>
            </w:pPr>
            <w:r w:rsidRPr="008E6AD9">
              <w:rPr>
                <w:b w:val="0"/>
                <w:sz w:val="20"/>
              </w:rPr>
              <w:t>Pacific Island</w:t>
            </w:r>
          </w:p>
        </w:tc>
        <w:tc>
          <w:tcPr>
            <w:tcW w:w="4111" w:type="dxa"/>
            <w:tcBorders>
              <w:top w:val="none" w:sz="0" w:space="0" w:color="auto"/>
              <w:bottom w:val="none" w:sz="0" w:space="0" w:color="auto"/>
              <w:right w:val="none" w:sz="0" w:space="0" w:color="auto"/>
            </w:tcBorders>
          </w:tcPr>
          <w:p w:rsidR="00CE4FCA" w:rsidRPr="008E6AD9" w:rsidRDefault="00855033" w:rsidP="008115DE">
            <w:pPr>
              <w:spacing w:after="0"/>
              <w:cnfStyle w:val="000000100000" w:firstRow="0" w:lastRow="0" w:firstColumn="0" w:lastColumn="0" w:oddVBand="0" w:evenVBand="0" w:oddHBand="1" w:evenHBand="0" w:firstRowFirstColumn="0" w:firstRowLastColumn="0" w:lastRowFirstColumn="0" w:lastRowLastColumn="0"/>
              <w:rPr>
                <w:sz w:val="20"/>
              </w:rPr>
            </w:pPr>
            <w:r w:rsidRPr="008E6AD9">
              <w:rPr>
                <w:sz w:val="20"/>
              </w:rPr>
              <w:t>17</w:t>
            </w:r>
            <w:r w:rsidR="00CE4FCA" w:rsidRPr="008E6AD9">
              <w:rPr>
                <w:sz w:val="20"/>
              </w:rPr>
              <w:t>.6</w:t>
            </w:r>
          </w:p>
        </w:tc>
      </w:tr>
      <w:tr w:rsidR="00CE4FCA" w:rsidTr="00FA44C8">
        <w:tc>
          <w:tcPr>
            <w:cnfStyle w:val="001000000000" w:firstRow="0" w:lastRow="0" w:firstColumn="1" w:lastColumn="0" w:oddVBand="0" w:evenVBand="0" w:oddHBand="0" w:evenHBand="0" w:firstRowFirstColumn="0" w:firstRowLastColumn="0" w:lastRowFirstColumn="0" w:lastRowLastColumn="0"/>
            <w:tcW w:w="4820" w:type="dxa"/>
          </w:tcPr>
          <w:p w:rsidR="00CE4FCA" w:rsidRPr="008E6AD9" w:rsidRDefault="00CE4FCA" w:rsidP="008115DE">
            <w:pPr>
              <w:spacing w:after="0"/>
              <w:rPr>
                <w:b w:val="0"/>
                <w:sz w:val="20"/>
              </w:rPr>
            </w:pPr>
            <w:r w:rsidRPr="008E6AD9">
              <w:rPr>
                <w:b w:val="0"/>
                <w:sz w:val="20"/>
              </w:rPr>
              <w:t>Other</w:t>
            </w:r>
          </w:p>
        </w:tc>
        <w:tc>
          <w:tcPr>
            <w:tcW w:w="4111" w:type="dxa"/>
          </w:tcPr>
          <w:p w:rsidR="00CE4FCA" w:rsidRPr="008E6AD9" w:rsidRDefault="00CE4FCA" w:rsidP="008115DE">
            <w:pPr>
              <w:spacing w:after="0"/>
              <w:cnfStyle w:val="000000000000" w:firstRow="0" w:lastRow="0" w:firstColumn="0" w:lastColumn="0" w:oddVBand="0" w:evenVBand="0" w:oddHBand="0" w:evenHBand="0" w:firstRowFirstColumn="0" w:firstRowLastColumn="0" w:lastRowFirstColumn="0" w:lastRowLastColumn="0"/>
              <w:rPr>
                <w:sz w:val="20"/>
              </w:rPr>
            </w:pPr>
            <w:r w:rsidRPr="008E6AD9">
              <w:rPr>
                <w:sz w:val="20"/>
              </w:rPr>
              <w:t>7.0</w:t>
            </w:r>
          </w:p>
        </w:tc>
      </w:tr>
      <w:tr w:rsidR="00CE4FCA" w:rsidTr="00FA4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tcPr>
          <w:p w:rsidR="00CE4FCA" w:rsidRPr="008E6AD9" w:rsidRDefault="00CE4FCA" w:rsidP="008115DE">
            <w:pPr>
              <w:spacing w:after="0"/>
              <w:rPr>
                <w:b w:val="0"/>
                <w:sz w:val="20"/>
              </w:rPr>
            </w:pPr>
            <w:r w:rsidRPr="008E6AD9">
              <w:rPr>
                <w:b w:val="0"/>
                <w:sz w:val="20"/>
              </w:rPr>
              <w:t>Unspecified</w:t>
            </w:r>
          </w:p>
        </w:tc>
        <w:tc>
          <w:tcPr>
            <w:tcW w:w="4111" w:type="dxa"/>
            <w:tcBorders>
              <w:top w:val="none" w:sz="0" w:space="0" w:color="auto"/>
              <w:bottom w:val="none" w:sz="0" w:space="0" w:color="auto"/>
              <w:right w:val="none" w:sz="0" w:space="0" w:color="auto"/>
            </w:tcBorders>
          </w:tcPr>
          <w:p w:rsidR="00CE4FCA" w:rsidRPr="008E6AD9" w:rsidRDefault="00855033" w:rsidP="008115DE">
            <w:pPr>
              <w:spacing w:after="0"/>
              <w:cnfStyle w:val="000000100000" w:firstRow="0" w:lastRow="0" w:firstColumn="0" w:lastColumn="0" w:oddVBand="0" w:evenVBand="0" w:oddHBand="1" w:evenHBand="0" w:firstRowFirstColumn="0" w:firstRowLastColumn="0" w:lastRowFirstColumn="0" w:lastRowLastColumn="0"/>
              <w:rPr>
                <w:sz w:val="20"/>
              </w:rPr>
            </w:pPr>
            <w:r w:rsidRPr="008E6AD9">
              <w:rPr>
                <w:sz w:val="20"/>
              </w:rPr>
              <w:t>3.0</w:t>
            </w:r>
          </w:p>
        </w:tc>
      </w:tr>
    </w:tbl>
    <w:p w:rsidR="00095CE3" w:rsidRDefault="00095CE3" w:rsidP="00FA44C8">
      <w:pPr>
        <w:pStyle w:val="Heading4"/>
      </w:pPr>
      <w:r>
        <w:t xml:space="preserve">Table 2: HSP </w:t>
      </w:r>
      <w:r w:rsidR="00FD4351">
        <w:t>recipients</w:t>
      </w:r>
      <w:r>
        <w:t xml:space="preserve">’ </w:t>
      </w:r>
      <w:r w:rsidR="0030446A">
        <w:t xml:space="preserve">main </w:t>
      </w:r>
      <w:r>
        <w:t>benefit types</w:t>
      </w:r>
    </w:p>
    <w:tbl>
      <w:tblPr>
        <w:tblStyle w:val="LightList-Accent1"/>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20"/>
        <w:gridCol w:w="4111"/>
      </w:tblGrid>
      <w:tr w:rsidR="00084CCE" w:rsidRPr="00084CCE" w:rsidTr="0008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shd w:val="clear" w:color="auto" w:fill="121F6B"/>
          </w:tcPr>
          <w:p w:rsidR="00095CE3" w:rsidRPr="00084CCE" w:rsidRDefault="0030446A" w:rsidP="008115DE">
            <w:pPr>
              <w:spacing w:after="0"/>
              <w:rPr>
                <w:sz w:val="20"/>
              </w:rPr>
            </w:pPr>
            <w:r w:rsidRPr="00084CCE">
              <w:rPr>
                <w:sz w:val="20"/>
              </w:rPr>
              <w:t>Main b</w:t>
            </w:r>
            <w:r w:rsidR="00095CE3" w:rsidRPr="00084CCE">
              <w:rPr>
                <w:sz w:val="20"/>
              </w:rPr>
              <w:t>enefit type</w:t>
            </w:r>
          </w:p>
        </w:tc>
        <w:tc>
          <w:tcPr>
            <w:tcW w:w="4111" w:type="dxa"/>
            <w:shd w:val="clear" w:color="auto" w:fill="121F6B"/>
          </w:tcPr>
          <w:p w:rsidR="00095CE3" w:rsidRPr="00084CCE" w:rsidRDefault="00095CE3" w:rsidP="008115DE">
            <w:pPr>
              <w:spacing w:after="0"/>
              <w:cnfStyle w:val="100000000000" w:firstRow="1" w:lastRow="0" w:firstColumn="0" w:lastColumn="0" w:oddVBand="0" w:evenVBand="0" w:oddHBand="0" w:evenHBand="0" w:firstRowFirstColumn="0" w:firstRowLastColumn="0" w:lastRowFirstColumn="0" w:lastRowLastColumn="0"/>
              <w:rPr>
                <w:sz w:val="20"/>
              </w:rPr>
            </w:pPr>
            <w:r w:rsidRPr="00084CCE">
              <w:rPr>
                <w:sz w:val="20"/>
              </w:rPr>
              <w:t xml:space="preserve">Percentage of HSP </w:t>
            </w:r>
            <w:r w:rsidR="00FD4351" w:rsidRPr="00084CCE">
              <w:rPr>
                <w:sz w:val="20"/>
              </w:rPr>
              <w:t>recipients</w:t>
            </w:r>
          </w:p>
        </w:tc>
      </w:tr>
      <w:tr w:rsidR="00095CE3" w:rsidTr="00FA4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tcPr>
          <w:p w:rsidR="00095CE3" w:rsidRPr="008E6AD9" w:rsidRDefault="00095CE3" w:rsidP="008115DE">
            <w:pPr>
              <w:spacing w:after="0"/>
              <w:rPr>
                <w:b w:val="0"/>
                <w:sz w:val="20"/>
              </w:rPr>
            </w:pPr>
            <w:r w:rsidRPr="008E6AD9">
              <w:rPr>
                <w:b w:val="0"/>
                <w:sz w:val="20"/>
              </w:rPr>
              <w:t>Sole Parent Support</w:t>
            </w:r>
          </w:p>
        </w:tc>
        <w:tc>
          <w:tcPr>
            <w:tcW w:w="4111" w:type="dxa"/>
            <w:tcBorders>
              <w:top w:val="none" w:sz="0" w:space="0" w:color="auto"/>
              <w:bottom w:val="none" w:sz="0" w:space="0" w:color="auto"/>
              <w:right w:val="none" w:sz="0" w:space="0" w:color="auto"/>
            </w:tcBorders>
          </w:tcPr>
          <w:p w:rsidR="00095CE3" w:rsidRPr="008E6AD9" w:rsidRDefault="00095CE3" w:rsidP="008115DE">
            <w:pPr>
              <w:spacing w:after="0"/>
              <w:cnfStyle w:val="000000100000" w:firstRow="0" w:lastRow="0" w:firstColumn="0" w:lastColumn="0" w:oddVBand="0" w:evenVBand="0" w:oddHBand="1" w:evenHBand="0" w:firstRowFirstColumn="0" w:firstRowLastColumn="0" w:lastRowFirstColumn="0" w:lastRowLastColumn="0"/>
              <w:rPr>
                <w:sz w:val="20"/>
              </w:rPr>
            </w:pPr>
            <w:r w:rsidRPr="008E6AD9">
              <w:rPr>
                <w:sz w:val="20"/>
              </w:rPr>
              <w:t>29.5</w:t>
            </w:r>
          </w:p>
        </w:tc>
      </w:tr>
      <w:tr w:rsidR="00095CE3" w:rsidTr="00FA44C8">
        <w:tc>
          <w:tcPr>
            <w:cnfStyle w:val="001000000000" w:firstRow="0" w:lastRow="0" w:firstColumn="1" w:lastColumn="0" w:oddVBand="0" w:evenVBand="0" w:oddHBand="0" w:evenHBand="0" w:firstRowFirstColumn="0" w:firstRowLastColumn="0" w:lastRowFirstColumn="0" w:lastRowLastColumn="0"/>
            <w:tcW w:w="4820" w:type="dxa"/>
          </w:tcPr>
          <w:p w:rsidR="00095CE3" w:rsidRPr="008E6AD9" w:rsidRDefault="00095CE3" w:rsidP="008115DE">
            <w:pPr>
              <w:spacing w:after="0"/>
              <w:rPr>
                <w:b w:val="0"/>
                <w:sz w:val="20"/>
              </w:rPr>
            </w:pPr>
            <w:r w:rsidRPr="008E6AD9">
              <w:rPr>
                <w:b w:val="0"/>
                <w:sz w:val="20"/>
              </w:rPr>
              <w:t>Not on any main benefit</w:t>
            </w:r>
          </w:p>
        </w:tc>
        <w:tc>
          <w:tcPr>
            <w:tcW w:w="4111" w:type="dxa"/>
          </w:tcPr>
          <w:p w:rsidR="00095CE3" w:rsidRPr="008E6AD9" w:rsidRDefault="00095CE3" w:rsidP="008115DE">
            <w:pPr>
              <w:spacing w:after="0"/>
              <w:cnfStyle w:val="000000000000" w:firstRow="0" w:lastRow="0" w:firstColumn="0" w:lastColumn="0" w:oddVBand="0" w:evenVBand="0" w:oddHBand="0" w:evenHBand="0" w:firstRowFirstColumn="0" w:firstRowLastColumn="0" w:lastRowFirstColumn="0" w:lastRowLastColumn="0"/>
              <w:rPr>
                <w:sz w:val="20"/>
              </w:rPr>
            </w:pPr>
            <w:r w:rsidRPr="008E6AD9">
              <w:rPr>
                <w:sz w:val="20"/>
              </w:rPr>
              <w:t>26.8</w:t>
            </w:r>
          </w:p>
        </w:tc>
      </w:tr>
      <w:tr w:rsidR="00095CE3" w:rsidTr="00FA4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tcPr>
          <w:p w:rsidR="00095CE3" w:rsidRPr="008E6AD9" w:rsidRDefault="00095CE3" w:rsidP="008115DE">
            <w:pPr>
              <w:spacing w:after="0"/>
              <w:rPr>
                <w:b w:val="0"/>
                <w:sz w:val="20"/>
              </w:rPr>
            </w:pPr>
            <w:r w:rsidRPr="008E6AD9">
              <w:rPr>
                <w:b w:val="0"/>
                <w:sz w:val="20"/>
              </w:rPr>
              <w:t>Jobseeker</w:t>
            </w:r>
          </w:p>
        </w:tc>
        <w:tc>
          <w:tcPr>
            <w:tcW w:w="4111" w:type="dxa"/>
            <w:tcBorders>
              <w:top w:val="none" w:sz="0" w:space="0" w:color="auto"/>
              <w:bottom w:val="none" w:sz="0" w:space="0" w:color="auto"/>
              <w:right w:val="none" w:sz="0" w:space="0" w:color="auto"/>
            </w:tcBorders>
          </w:tcPr>
          <w:p w:rsidR="00095CE3" w:rsidRPr="008E6AD9" w:rsidRDefault="00095CE3" w:rsidP="008115DE">
            <w:pPr>
              <w:spacing w:after="0"/>
              <w:cnfStyle w:val="000000100000" w:firstRow="0" w:lastRow="0" w:firstColumn="0" w:lastColumn="0" w:oddVBand="0" w:evenVBand="0" w:oddHBand="1" w:evenHBand="0" w:firstRowFirstColumn="0" w:firstRowLastColumn="0" w:lastRowFirstColumn="0" w:lastRowLastColumn="0"/>
              <w:rPr>
                <w:sz w:val="20"/>
              </w:rPr>
            </w:pPr>
            <w:r w:rsidRPr="008E6AD9">
              <w:rPr>
                <w:sz w:val="20"/>
              </w:rPr>
              <w:t>23.2</w:t>
            </w:r>
          </w:p>
        </w:tc>
      </w:tr>
      <w:tr w:rsidR="00095CE3" w:rsidTr="00FA44C8">
        <w:tc>
          <w:tcPr>
            <w:cnfStyle w:val="001000000000" w:firstRow="0" w:lastRow="0" w:firstColumn="1" w:lastColumn="0" w:oddVBand="0" w:evenVBand="0" w:oddHBand="0" w:evenHBand="0" w:firstRowFirstColumn="0" w:firstRowLastColumn="0" w:lastRowFirstColumn="0" w:lastRowLastColumn="0"/>
            <w:tcW w:w="4820" w:type="dxa"/>
          </w:tcPr>
          <w:p w:rsidR="00095CE3" w:rsidRPr="008E6AD9" w:rsidRDefault="00095CE3" w:rsidP="008115DE">
            <w:pPr>
              <w:spacing w:after="0"/>
              <w:rPr>
                <w:b w:val="0"/>
                <w:sz w:val="20"/>
              </w:rPr>
            </w:pPr>
            <w:r w:rsidRPr="008E6AD9">
              <w:rPr>
                <w:b w:val="0"/>
                <w:sz w:val="20"/>
              </w:rPr>
              <w:t>Supported Living Payment</w:t>
            </w:r>
          </w:p>
        </w:tc>
        <w:tc>
          <w:tcPr>
            <w:tcW w:w="4111" w:type="dxa"/>
          </w:tcPr>
          <w:p w:rsidR="00095CE3" w:rsidRPr="008E6AD9" w:rsidRDefault="00095CE3" w:rsidP="008115DE">
            <w:pPr>
              <w:spacing w:after="0"/>
              <w:cnfStyle w:val="000000000000" w:firstRow="0" w:lastRow="0" w:firstColumn="0" w:lastColumn="0" w:oddVBand="0" w:evenVBand="0" w:oddHBand="0" w:evenHBand="0" w:firstRowFirstColumn="0" w:firstRowLastColumn="0" w:lastRowFirstColumn="0" w:lastRowLastColumn="0"/>
              <w:rPr>
                <w:sz w:val="20"/>
              </w:rPr>
            </w:pPr>
            <w:r w:rsidRPr="008E6AD9">
              <w:rPr>
                <w:sz w:val="20"/>
              </w:rPr>
              <w:t>9.7</w:t>
            </w:r>
          </w:p>
        </w:tc>
      </w:tr>
      <w:tr w:rsidR="00095CE3" w:rsidTr="00FA4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tcPr>
          <w:p w:rsidR="00095CE3" w:rsidRPr="008E6AD9" w:rsidRDefault="00095CE3" w:rsidP="008115DE">
            <w:pPr>
              <w:spacing w:after="0"/>
              <w:rPr>
                <w:b w:val="0"/>
                <w:sz w:val="20"/>
              </w:rPr>
            </w:pPr>
            <w:r w:rsidRPr="008E6AD9">
              <w:rPr>
                <w:b w:val="0"/>
                <w:sz w:val="20"/>
              </w:rPr>
              <w:t>Non-benefit support</w:t>
            </w:r>
          </w:p>
        </w:tc>
        <w:tc>
          <w:tcPr>
            <w:tcW w:w="4111" w:type="dxa"/>
            <w:tcBorders>
              <w:top w:val="none" w:sz="0" w:space="0" w:color="auto"/>
              <w:bottom w:val="none" w:sz="0" w:space="0" w:color="auto"/>
              <w:right w:val="none" w:sz="0" w:space="0" w:color="auto"/>
            </w:tcBorders>
          </w:tcPr>
          <w:p w:rsidR="00095CE3" w:rsidRPr="008E6AD9" w:rsidRDefault="00095CE3" w:rsidP="008115DE">
            <w:pPr>
              <w:spacing w:after="0"/>
              <w:cnfStyle w:val="000000100000" w:firstRow="0" w:lastRow="0" w:firstColumn="0" w:lastColumn="0" w:oddVBand="0" w:evenVBand="0" w:oddHBand="1" w:evenHBand="0" w:firstRowFirstColumn="0" w:firstRowLastColumn="0" w:lastRowFirstColumn="0" w:lastRowLastColumn="0"/>
              <w:rPr>
                <w:sz w:val="20"/>
              </w:rPr>
            </w:pPr>
            <w:r w:rsidRPr="008E6AD9">
              <w:rPr>
                <w:sz w:val="20"/>
              </w:rPr>
              <w:t>6.5</w:t>
            </w:r>
          </w:p>
        </w:tc>
      </w:tr>
      <w:tr w:rsidR="00095CE3" w:rsidTr="00FA44C8">
        <w:tc>
          <w:tcPr>
            <w:cnfStyle w:val="001000000000" w:firstRow="0" w:lastRow="0" w:firstColumn="1" w:lastColumn="0" w:oddVBand="0" w:evenVBand="0" w:oddHBand="0" w:evenHBand="0" w:firstRowFirstColumn="0" w:firstRowLastColumn="0" w:lastRowFirstColumn="0" w:lastRowLastColumn="0"/>
            <w:tcW w:w="4820" w:type="dxa"/>
          </w:tcPr>
          <w:p w:rsidR="00095CE3" w:rsidRPr="008E6AD9" w:rsidRDefault="00095CE3" w:rsidP="008115DE">
            <w:pPr>
              <w:spacing w:after="0"/>
              <w:rPr>
                <w:b w:val="0"/>
                <w:sz w:val="20"/>
              </w:rPr>
            </w:pPr>
            <w:r w:rsidRPr="008E6AD9">
              <w:rPr>
                <w:b w:val="0"/>
                <w:sz w:val="20"/>
              </w:rPr>
              <w:t>NZ Superannuation</w:t>
            </w:r>
          </w:p>
        </w:tc>
        <w:tc>
          <w:tcPr>
            <w:tcW w:w="4111" w:type="dxa"/>
          </w:tcPr>
          <w:p w:rsidR="00095CE3" w:rsidRPr="008E6AD9" w:rsidRDefault="00095CE3" w:rsidP="008115DE">
            <w:pPr>
              <w:spacing w:after="0"/>
              <w:cnfStyle w:val="000000000000" w:firstRow="0" w:lastRow="0" w:firstColumn="0" w:lastColumn="0" w:oddVBand="0" w:evenVBand="0" w:oddHBand="0" w:evenHBand="0" w:firstRowFirstColumn="0" w:firstRowLastColumn="0" w:lastRowFirstColumn="0" w:lastRowLastColumn="0"/>
              <w:rPr>
                <w:sz w:val="20"/>
              </w:rPr>
            </w:pPr>
            <w:r w:rsidRPr="008E6AD9">
              <w:rPr>
                <w:sz w:val="20"/>
              </w:rPr>
              <w:t>3.3</w:t>
            </w:r>
          </w:p>
        </w:tc>
      </w:tr>
      <w:tr w:rsidR="00095CE3" w:rsidTr="00FA4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tcBorders>
          </w:tcPr>
          <w:p w:rsidR="00095CE3" w:rsidRPr="008E6AD9" w:rsidRDefault="00756166" w:rsidP="008E6AD9">
            <w:pPr>
              <w:spacing w:after="0"/>
              <w:rPr>
                <w:b w:val="0"/>
                <w:sz w:val="20"/>
              </w:rPr>
            </w:pPr>
            <w:r w:rsidRPr="008E6AD9">
              <w:rPr>
                <w:b w:val="0"/>
                <w:sz w:val="20"/>
              </w:rPr>
              <w:t>Others</w:t>
            </w:r>
            <w:r w:rsidR="008E6AD9">
              <w:rPr>
                <w:b w:val="0"/>
                <w:sz w:val="20"/>
              </w:rPr>
              <w:t xml:space="preserve"> </w:t>
            </w:r>
            <w:r w:rsidR="00723CE0" w:rsidRPr="008E6AD9">
              <w:rPr>
                <w:b w:val="0"/>
                <w:sz w:val="20"/>
              </w:rPr>
              <w:t xml:space="preserve">(includes </w:t>
            </w:r>
            <w:r w:rsidR="00095CE3" w:rsidRPr="008E6AD9">
              <w:rPr>
                <w:b w:val="0"/>
                <w:sz w:val="20"/>
              </w:rPr>
              <w:t>Emergency Maintenance Allowance</w:t>
            </w:r>
            <w:r w:rsidR="00723CE0" w:rsidRPr="008E6AD9">
              <w:rPr>
                <w:b w:val="0"/>
                <w:sz w:val="20"/>
              </w:rPr>
              <w:t>, Emergency Benefit, Jobseeker Student Hardship, Veteran’s Pension)</w:t>
            </w:r>
          </w:p>
        </w:tc>
        <w:tc>
          <w:tcPr>
            <w:tcW w:w="4111" w:type="dxa"/>
            <w:tcBorders>
              <w:top w:val="none" w:sz="0" w:space="0" w:color="auto"/>
              <w:bottom w:val="none" w:sz="0" w:space="0" w:color="auto"/>
              <w:right w:val="none" w:sz="0" w:space="0" w:color="auto"/>
            </w:tcBorders>
          </w:tcPr>
          <w:p w:rsidR="00095CE3" w:rsidRPr="008E6AD9" w:rsidRDefault="00723CE0" w:rsidP="00723CE0">
            <w:pPr>
              <w:spacing w:after="0"/>
              <w:cnfStyle w:val="000000100000" w:firstRow="0" w:lastRow="0" w:firstColumn="0" w:lastColumn="0" w:oddVBand="0" w:evenVBand="0" w:oddHBand="1" w:evenHBand="0" w:firstRowFirstColumn="0" w:firstRowLastColumn="0" w:lastRowFirstColumn="0" w:lastRowLastColumn="0"/>
              <w:rPr>
                <w:sz w:val="20"/>
              </w:rPr>
            </w:pPr>
            <w:r w:rsidRPr="008E6AD9">
              <w:rPr>
                <w:sz w:val="20"/>
              </w:rPr>
              <w:t>1.0</w:t>
            </w:r>
          </w:p>
        </w:tc>
      </w:tr>
    </w:tbl>
    <w:p w:rsidR="00FE0195" w:rsidRDefault="00CE4FCA" w:rsidP="002E1B41">
      <w:pPr>
        <w:spacing w:before="240"/>
        <w:rPr>
          <w:lang w:eastAsia="en-AU"/>
        </w:rPr>
      </w:pPr>
      <w:r>
        <w:rPr>
          <w:noProof/>
          <w:lang w:eastAsia="en-NZ"/>
        </w:rPr>
        <mc:AlternateContent>
          <mc:Choice Requires="wps">
            <w:drawing>
              <wp:anchor distT="0" distB="0" distL="114300" distR="114300" simplePos="0" relativeHeight="251666432" behindDoc="1" locked="0" layoutInCell="1" allowOverlap="1" wp14:anchorId="76C933DB" wp14:editId="1FD75CBC">
                <wp:simplePos x="0" y="0"/>
                <wp:positionH relativeFrom="column">
                  <wp:posOffset>4411980</wp:posOffset>
                </wp:positionH>
                <wp:positionV relativeFrom="paragraph">
                  <wp:posOffset>215900</wp:posOffset>
                </wp:positionV>
                <wp:extent cx="1405890" cy="1105535"/>
                <wp:effectExtent l="0" t="0" r="3810" b="0"/>
                <wp:wrapTight wrapText="bothSides">
                  <wp:wrapPolygon edited="0">
                    <wp:start x="0" y="0"/>
                    <wp:lineTo x="0" y="21215"/>
                    <wp:lineTo x="21366" y="21215"/>
                    <wp:lineTo x="21366"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105535"/>
                        </a:xfrm>
                        <a:prstGeom prst="rect">
                          <a:avLst/>
                        </a:prstGeom>
                        <a:solidFill>
                          <a:schemeClr val="accent1">
                            <a:lumMod val="20000"/>
                            <a:lumOff val="80000"/>
                          </a:schemeClr>
                        </a:solidFill>
                        <a:ln w="9525">
                          <a:noFill/>
                          <a:miter lim="800000"/>
                          <a:headEnd/>
                          <a:tailEnd/>
                        </a:ln>
                      </wps:spPr>
                      <wps:txbx>
                        <w:txbxContent>
                          <w:p w:rsidR="004800D3" w:rsidRDefault="004800D3" w:rsidP="008A7E90">
                            <w:pPr>
                              <w:shd w:val="clear" w:color="auto" w:fill="DBE5F1" w:themeFill="accent1" w:themeFillTint="33"/>
                              <w:rPr>
                                <w:sz w:val="19"/>
                                <w:szCs w:val="19"/>
                                <w:lang w:eastAsia="en-AU"/>
                              </w:rPr>
                            </w:pPr>
                            <w:r w:rsidRPr="00CE4FCA">
                              <w:rPr>
                                <w:sz w:val="19"/>
                                <w:szCs w:val="19"/>
                                <w:lang w:eastAsia="en-AU"/>
                              </w:rPr>
                              <w:t>“</w:t>
                            </w:r>
                            <w:r w:rsidRPr="00CE4FCA">
                              <w:rPr>
                                <w:i/>
                                <w:sz w:val="19"/>
                                <w:szCs w:val="19"/>
                                <w:lang w:eastAsia="en-AU"/>
                              </w:rPr>
                              <w:t>I know it made the difference</w:t>
                            </w:r>
                            <w:r>
                              <w:rPr>
                                <w:i/>
                                <w:sz w:val="19"/>
                                <w:szCs w:val="19"/>
                                <w:lang w:eastAsia="en-AU"/>
                              </w:rPr>
                              <w:t>…</w:t>
                            </w:r>
                            <w:r w:rsidRPr="00CE4FCA">
                              <w:rPr>
                                <w:i/>
                                <w:sz w:val="19"/>
                                <w:szCs w:val="19"/>
                                <w:lang w:eastAsia="en-AU"/>
                              </w:rPr>
                              <w:t xml:space="preserve"> he was going to be living in his car.</w:t>
                            </w:r>
                            <w:r w:rsidRPr="00CE4FCA">
                              <w:rPr>
                                <w:sz w:val="19"/>
                                <w:szCs w:val="19"/>
                                <w:lang w:eastAsia="en-AU"/>
                              </w:rPr>
                              <w:t>”</w:t>
                            </w:r>
                          </w:p>
                          <w:p w:rsidR="004800D3" w:rsidRPr="00CE4FCA" w:rsidRDefault="004800D3">
                            <w:pPr>
                              <w:rPr>
                                <w:sz w:val="19"/>
                                <w:szCs w:val="19"/>
                              </w:rPr>
                            </w:pPr>
                            <w:r>
                              <w:rPr>
                                <w:sz w:val="19"/>
                                <w:szCs w:val="19"/>
                              </w:rPr>
                              <w:t>- Case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7.4pt;margin-top:17pt;width:110.7pt;height:8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" fillcolor="#dbe5f1 [660]" stroked="f">
                <v:textbox>
                  <w:txbxContent>
                    <w:p w:rsidR="004800D3" w:rsidRDefault="004800D3" w:rsidP="008A7E90">
                      <w:pPr>
                        <w:shd w:val="clear" w:color="auto" w:fill="DBE5F1" w:themeFill="accent1" w:themeFillTint="33"/>
                        <w:rPr>
                          <w:sz w:val="19"/>
                          <w:szCs w:val="19"/>
                          <w:lang w:eastAsia="en-AU"/>
                        </w:rPr>
                      </w:pPr>
                      <w:r w:rsidRPr="00CE4FCA">
                        <w:rPr>
                          <w:sz w:val="19"/>
                          <w:szCs w:val="19"/>
                          <w:lang w:eastAsia="en-AU"/>
                        </w:rPr>
                        <w:t>“</w:t>
                      </w:r>
                      <w:r w:rsidRPr="00CE4FCA">
                        <w:rPr>
                          <w:i/>
                          <w:sz w:val="19"/>
                          <w:szCs w:val="19"/>
                          <w:lang w:eastAsia="en-AU"/>
                        </w:rPr>
                        <w:t>I know it made the difference</w:t>
                      </w:r>
                      <w:r>
                        <w:rPr>
                          <w:i/>
                          <w:sz w:val="19"/>
                          <w:szCs w:val="19"/>
                          <w:lang w:eastAsia="en-AU"/>
                        </w:rPr>
                        <w:t>…</w:t>
                      </w:r>
                      <w:r w:rsidRPr="00CE4FCA">
                        <w:rPr>
                          <w:i/>
                          <w:sz w:val="19"/>
                          <w:szCs w:val="19"/>
                          <w:lang w:eastAsia="en-AU"/>
                        </w:rPr>
                        <w:t xml:space="preserve"> he was going to be living in his car.</w:t>
                      </w:r>
                      <w:r w:rsidRPr="00CE4FCA">
                        <w:rPr>
                          <w:sz w:val="19"/>
                          <w:szCs w:val="19"/>
                          <w:lang w:eastAsia="en-AU"/>
                        </w:rPr>
                        <w:t>”</w:t>
                      </w:r>
                    </w:p>
                    <w:p w:rsidR="004800D3" w:rsidRPr="00CE4FCA" w:rsidRDefault="004800D3">
                      <w:pPr>
                        <w:rPr>
                          <w:sz w:val="19"/>
                          <w:szCs w:val="19"/>
                        </w:rPr>
                      </w:pPr>
                      <w:r>
                        <w:rPr>
                          <w:sz w:val="19"/>
                          <w:szCs w:val="19"/>
                        </w:rPr>
                        <w:t>- Case manager</w:t>
                      </w:r>
                    </w:p>
                  </w:txbxContent>
                </v:textbox>
                <w10:wrap type="tight"/>
              </v:shape>
            </w:pict>
          </mc:Fallback>
        </mc:AlternateContent>
      </w:r>
      <w:r w:rsidR="006743C4">
        <w:t xml:space="preserve">HSPs tend to be </w:t>
      </w:r>
      <w:r w:rsidR="003B5F20">
        <w:t>used</w:t>
      </w:r>
      <w:r w:rsidR="006743C4">
        <w:t xml:space="preserve"> </w:t>
      </w:r>
      <w:r w:rsidR="00756166">
        <w:t xml:space="preserve">by </w:t>
      </w:r>
      <w:r w:rsidR="006743C4">
        <w:t xml:space="preserve">particular groups of </w:t>
      </w:r>
      <w:r w:rsidR="00FD4351">
        <w:t>recipients</w:t>
      </w:r>
      <w:r w:rsidR="006743C4">
        <w:t>. For example, a</w:t>
      </w:r>
      <w:r w:rsidR="007B5FD7">
        <w:t>round a quarter</w:t>
      </w:r>
      <w:r w:rsidR="00C36525">
        <w:t xml:space="preserve"> </w:t>
      </w:r>
      <w:r w:rsidR="006743C4">
        <w:t>(27</w:t>
      </w:r>
      <w:r w:rsidR="00F6725F">
        <w:t xml:space="preserve"> percent</w:t>
      </w:r>
      <w:r w:rsidR="006743C4">
        <w:t xml:space="preserve">) of all HSP </w:t>
      </w:r>
      <w:r w:rsidR="00FD4351">
        <w:t>recipients</w:t>
      </w:r>
      <w:r w:rsidR="006743C4">
        <w:t xml:space="preserve"> were not </w:t>
      </w:r>
      <w:r w:rsidR="00C36525">
        <w:t>receiving a main</w:t>
      </w:r>
      <w:r w:rsidR="006743C4">
        <w:t xml:space="preserve"> benefit, and case managers </w:t>
      </w:r>
      <w:r w:rsidR="006743C4">
        <w:rPr>
          <w:lang w:eastAsia="en-AU"/>
        </w:rPr>
        <w:t>reported HSPs were useful</w:t>
      </w:r>
      <w:r w:rsidR="000E38F6">
        <w:rPr>
          <w:lang w:eastAsia="en-AU"/>
        </w:rPr>
        <w:t xml:space="preserve"> for </w:t>
      </w:r>
      <w:r w:rsidR="006743C4" w:rsidRPr="00FA44C8">
        <w:rPr>
          <w:lang w:eastAsia="en-AU"/>
        </w:rPr>
        <w:t>people</w:t>
      </w:r>
      <w:r w:rsidR="004800D3">
        <w:rPr>
          <w:lang w:eastAsia="en-AU"/>
        </w:rPr>
        <w:t xml:space="preserve"> not on a benefit</w:t>
      </w:r>
      <w:r w:rsidR="008A7E90">
        <w:rPr>
          <w:lang w:eastAsia="en-AU"/>
        </w:rPr>
        <w:t xml:space="preserve"> </w:t>
      </w:r>
      <w:r w:rsidR="006743C4">
        <w:rPr>
          <w:lang w:eastAsia="en-AU"/>
        </w:rPr>
        <w:t xml:space="preserve">because these </w:t>
      </w:r>
      <w:r w:rsidR="00FD4351">
        <w:rPr>
          <w:lang w:eastAsia="en-AU"/>
        </w:rPr>
        <w:t>recipients</w:t>
      </w:r>
      <w:r w:rsidR="006743C4">
        <w:rPr>
          <w:lang w:eastAsia="en-AU"/>
        </w:rPr>
        <w:t xml:space="preserve"> do not meet criteria for other forms of housing assistance but do qualify for HSPs because they have a higher income limit </w:t>
      </w:r>
      <w:r w:rsidR="00FE0195">
        <w:rPr>
          <w:lang w:eastAsia="en-AU"/>
        </w:rPr>
        <w:t>than other forms of assistance</w:t>
      </w:r>
      <w:r w:rsidR="003D5C9A">
        <w:rPr>
          <w:lang w:eastAsia="en-AU"/>
        </w:rPr>
        <w:t>.</w:t>
      </w:r>
    </w:p>
    <w:p w:rsidR="004B3EB5" w:rsidRDefault="004B3EB5" w:rsidP="005A4694">
      <w:pPr>
        <w:pStyle w:val="Heading3"/>
        <w:sectPr w:rsidR="004B3EB5" w:rsidSect="004B3EB5">
          <w:footnotePr>
            <w:numFmt w:val="chicago"/>
          </w:footnotePr>
          <w:type w:val="continuous"/>
          <w:pgSz w:w="11906" w:h="16838"/>
          <w:pgMar w:top="1134" w:right="1440" w:bottom="1440" w:left="1440" w:header="708" w:footer="708" w:gutter="0"/>
          <w:cols w:space="708"/>
          <w:docGrid w:linePitch="360"/>
        </w:sectPr>
      </w:pPr>
    </w:p>
    <w:p w:rsidR="005A4694" w:rsidRDefault="005A4694" w:rsidP="005A4694">
      <w:pPr>
        <w:pStyle w:val="Heading3"/>
      </w:pPr>
      <w:bookmarkStart w:id="51" w:name="_Toc495912009"/>
      <w:bookmarkStart w:id="52" w:name="_Toc499900027"/>
      <w:bookmarkStart w:id="53" w:name="_Toc506453057"/>
      <w:bookmarkStart w:id="54" w:name="_Toc510692746"/>
      <w:r>
        <w:lastRenderedPageBreak/>
        <w:t>Regional patterns of HSP use differ from original intentions</w:t>
      </w:r>
      <w:bookmarkEnd w:id="51"/>
      <w:bookmarkEnd w:id="52"/>
      <w:bookmarkEnd w:id="53"/>
      <w:bookmarkEnd w:id="54"/>
    </w:p>
    <w:p w:rsidR="00FC4ABC" w:rsidRDefault="006359FB" w:rsidP="00FE0195">
      <w:r>
        <w:t xml:space="preserve">Originally, HSPs were intended to be used primarily in Auckland, Wellington and Canterbury, because these regions had high volumes of </w:t>
      </w:r>
      <w:r w:rsidR="00D1727F">
        <w:t>public housing</w:t>
      </w:r>
      <w:r>
        <w:t xml:space="preserve"> applications. </w:t>
      </w:r>
    </w:p>
    <w:p w:rsidR="00FC0A3D" w:rsidRDefault="006359FB" w:rsidP="008A7E90">
      <w:pPr>
        <w:ind w:right="-188"/>
      </w:pPr>
      <w:r>
        <w:t xml:space="preserve">Instead, actual patterns of HSP use show that </w:t>
      </w:r>
      <w:r w:rsidR="00FE0195">
        <w:t xml:space="preserve">HSPs are being used primarily in </w:t>
      </w:r>
      <w:r w:rsidR="008922DC">
        <w:t>Auckland (</w:t>
      </w:r>
      <w:r w:rsidR="000C6219">
        <w:t>49</w:t>
      </w:r>
      <w:r w:rsidR="00F6725F">
        <w:t xml:space="preserve"> percent</w:t>
      </w:r>
      <w:r w:rsidR="008922DC">
        <w:t xml:space="preserve"> of all HSPs</w:t>
      </w:r>
      <w:r w:rsidR="002D5EF8">
        <w:t xml:space="preserve">; see Figure </w:t>
      </w:r>
      <w:r w:rsidR="001669C4">
        <w:t>4</w:t>
      </w:r>
      <w:r w:rsidR="008922DC">
        <w:t xml:space="preserve">) and </w:t>
      </w:r>
      <w:r w:rsidR="00FE0195">
        <w:t>Northland (2</w:t>
      </w:r>
      <w:r w:rsidR="000C6219">
        <w:t>2</w:t>
      </w:r>
      <w:r w:rsidR="00F6725F">
        <w:t xml:space="preserve"> percent</w:t>
      </w:r>
      <w:r>
        <w:t>). This</w:t>
      </w:r>
      <w:r w:rsidR="00FE0195">
        <w:t xml:space="preserve"> suggest</w:t>
      </w:r>
      <w:r>
        <w:t>s</w:t>
      </w:r>
      <w:r w:rsidR="00FE0195">
        <w:t xml:space="preserve"> that HSP use is not driven by </w:t>
      </w:r>
      <w:r>
        <w:t xml:space="preserve">the same </w:t>
      </w:r>
      <w:r w:rsidR="005A4694">
        <w:t xml:space="preserve">factors </w:t>
      </w:r>
      <w:r w:rsidR="00723CE0">
        <w:t xml:space="preserve">which </w:t>
      </w:r>
      <w:r w:rsidR="005A4694">
        <w:t>original expectations</w:t>
      </w:r>
      <w:r w:rsidR="00723CE0">
        <w:t xml:space="preserve"> were based on</w:t>
      </w:r>
      <w:r w:rsidR="008E6AD9">
        <w:t xml:space="preserve">, </w:t>
      </w:r>
      <w:r w:rsidR="00723CE0">
        <w:t>perhaps due to changing housing markets or barriers to HSP use detailed on pages 14</w:t>
      </w:r>
      <w:r w:rsidR="008A7E90">
        <w:t>-</w:t>
      </w:r>
      <w:r w:rsidR="00723CE0">
        <w:t>15.</w:t>
      </w:r>
    </w:p>
    <w:p w:rsidR="00FC0A3D" w:rsidRPr="004A663B" w:rsidRDefault="00FC0A3D" w:rsidP="008A7E90">
      <w:pPr>
        <w:pStyle w:val="Heading4"/>
      </w:pPr>
      <w:r>
        <w:lastRenderedPageBreak/>
        <w:t>Figure 4: Regional locations of HSP recipients</w:t>
      </w:r>
    </w:p>
    <w:p w:rsidR="00FE0195" w:rsidRDefault="00FC0A3D" w:rsidP="00FC0A3D">
      <w:pPr>
        <w:spacing w:after="120"/>
      </w:pPr>
      <w:r>
        <w:rPr>
          <w:noProof/>
          <w:lang w:eastAsia="en-NZ"/>
        </w:rPr>
        <mc:AlternateContent>
          <mc:Choice Requires="wps">
            <w:drawing>
              <wp:anchor distT="0" distB="0" distL="114300" distR="114300" simplePos="0" relativeHeight="251692032" behindDoc="0" locked="0" layoutInCell="1" allowOverlap="1" wp14:anchorId="240D5BA9" wp14:editId="2F822130">
                <wp:simplePos x="0" y="0"/>
                <wp:positionH relativeFrom="column">
                  <wp:posOffset>3729355</wp:posOffset>
                </wp:positionH>
                <wp:positionV relativeFrom="paragraph">
                  <wp:posOffset>5023205</wp:posOffset>
                </wp:positionV>
                <wp:extent cx="1276350" cy="876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276350" cy="876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93.65pt;margin-top:395.55pt;width:100.5pt;height:6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" fillcolor="white [3212]" strokecolor="white [3212]" strokeweight="2pt"/>
            </w:pict>
          </mc:Fallback>
        </mc:AlternateContent>
      </w:r>
      <w:r>
        <w:rPr>
          <w:noProof/>
          <w:lang w:eastAsia="en-NZ"/>
        </w:rPr>
        <w:drawing>
          <wp:inline distT="0" distB="0" distL="0" distR="0" wp14:anchorId="2E3FEA28" wp14:editId="6506D174">
            <wp:extent cx="4603898" cy="5741582"/>
            <wp:effectExtent l="0" t="0" r="6350" b="0"/>
            <wp:docPr id="22" name="Picture 22" descr="Housing_Support_Products_RE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using_Support_Products_REG4"/>
                    <pic:cNvPicPr>
                      <a:picLocks noChangeAspect="1" noChangeArrowheads="1"/>
                    </pic:cNvPicPr>
                  </pic:nvPicPr>
                  <pic:blipFill>
                    <a:blip r:embed="rId20" cstate="print">
                      <a:extLst>
                        <a:ext uri="{28A0092B-C50C-407E-A947-70E740481C1C}">
                          <a14:useLocalDpi xmlns:a14="http://schemas.microsoft.com/office/drawing/2010/main" val="0"/>
                        </a:ext>
                      </a:extLst>
                    </a:blip>
                    <a:srcRect t="3548" b="3156"/>
                    <a:stretch>
                      <a:fillRect/>
                    </a:stretch>
                  </pic:blipFill>
                  <pic:spPr bwMode="auto">
                    <a:xfrm>
                      <a:off x="0" y="0"/>
                      <a:ext cx="4600575" cy="5737438"/>
                    </a:xfrm>
                    <a:prstGeom prst="rect">
                      <a:avLst/>
                    </a:prstGeom>
                    <a:noFill/>
                    <a:ln>
                      <a:noFill/>
                    </a:ln>
                  </pic:spPr>
                </pic:pic>
              </a:graphicData>
            </a:graphic>
          </wp:inline>
        </w:drawing>
      </w:r>
    </w:p>
    <w:p w:rsidR="00ED347B" w:rsidRPr="008A7E90" w:rsidRDefault="00ED347B" w:rsidP="008A7E90">
      <w:pPr>
        <w:pStyle w:val="Heading2"/>
      </w:pPr>
      <w:bookmarkStart w:id="55" w:name="_Toc516161720"/>
      <w:r w:rsidRPr="008A7E90">
        <w:t xml:space="preserve">Some HSPs are very </w:t>
      </w:r>
      <w:r w:rsidR="003B5F20" w:rsidRPr="008A7E90">
        <w:t>helpful</w:t>
      </w:r>
      <w:r w:rsidRPr="008A7E90">
        <w:t xml:space="preserve"> but others are </w:t>
      </w:r>
      <w:r w:rsidR="00FC4ABC" w:rsidRPr="008A7E90">
        <w:t xml:space="preserve">less </w:t>
      </w:r>
      <w:r w:rsidRPr="008A7E90">
        <w:t>effective or even detrimental</w:t>
      </w:r>
      <w:bookmarkEnd w:id="55"/>
    </w:p>
    <w:p w:rsidR="00ED347B" w:rsidRDefault="00ED347B" w:rsidP="008A7E90">
      <w:pPr>
        <w:pStyle w:val="Heading3"/>
        <w:ind w:right="-188"/>
      </w:pPr>
      <w:bookmarkStart w:id="56" w:name="_Toc495912011"/>
      <w:bookmarkStart w:id="57" w:name="_Toc499900029"/>
      <w:bookmarkStart w:id="58" w:name="_Toc506453059"/>
      <w:bookmarkStart w:id="59" w:name="_Toc510692748"/>
      <w:r>
        <w:t>Bond Grant, Letting Fees Assistance, and Rent in Advance</w:t>
      </w:r>
      <w:bookmarkEnd w:id="56"/>
      <w:bookmarkEnd w:id="57"/>
      <w:bookmarkEnd w:id="58"/>
      <w:r w:rsidR="006A706B">
        <w:t xml:space="preserve"> are the</w:t>
      </w:r>
      <w:r w:rsidR="001B2CE6">
        <w:t xml:space="preserve"> </w:t>
      </w:r>
      <w:r w:rsidR="006A706B">
        <w:t>most</w:t>
      </w:r>
      <w:r w:rsidR="001B2CE6">
        <w:t xml:space="preserve"> commonly used HSPs and cost less than other monetary HSPs</w:t>
      </w:r>
      <w:bookmarkEnd w:id="59"/>
    </w:p>
    <w:p w:rsidR="003B61CC" w:rsidRPr="006554DA" w:rsidRDefault="008A7E90" w:rsidP="003B61CC">
      <w:r w:rsidRPr="002E1B41">
        <w:rPr>
          <w:noProof/>
          <w:lang w:eastAsia="en-NZ"/>
        </w:rPr>
        <mc:AlternateContent>
          <mc:Choice Requires="wps">
            <w:drawing>
              <wp:anchor distT="0" distB="0" distL="114300" distR="114300" simplePos="0" relativeHeight="251676672" behindDoc="1" locked="0" layoutInCell="1" allowOverlap="1" wp14:anchorId="519E2F93" wp14:editId="3C93EB7A">
                <wp:simplePos x="0" y="0"/>
                <wp:positionH relativeFrom="column">
                  <wp:posOffset>3803015</wp:posOffset>
                </wp:positionH>
                <wp:positionV relativeFrom="paragraph">
                  <wp:posOffset>53975</wp:posOffset>
                </wp:positionV>
                <wp:extent cx="1981200" cy="1163320"/>
                <wp:effectExtent l="0" t="0" r="0" b="0"/>
                <wp:wrapTight wrapText="bothSides">
                  <wp:wrapPolygon edited="0">
                    <wp:start x="0" y="0"/>
                    <wp:lineTo x="0" y="21223"/>
                    <wp:lineTo x="21392" y="21223"/>
                    <wp:lineTo x="2139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163320"/>
                        </a:xfrm>
                        <a:prstGeom prst="rect">
                          <a:avLst/>
                        </a:prstGeom>
                        <a:solidFill>
                          <a:schemeClr val="accent1">
                            <a:lumMod val="20000"/>
                            <a:lumOff val="80000"/>
                          </a:schemeClr>
                        </a:solidFill>
                        <a:ln w="9525">
                          <a:noFill/>
                          <a:miter lim="800000"/>
                          <a:headEnd/>
                          <a:tailEnd/>
                        </a:ln>
                      </wps:spPr>
                      <wps:txbx>
                        <w:txbxContent>
                          <w:p w:rsidR="004800D3" w:rsidRDefault="004800D3" w:rsidP="00ED347B">
                            <w:pPr>
                              <w:spacing w:before="0"/>
                              <w:rPr>
                                <w:i/>
                                <w:noProof/>
                                <w:sz w:val="19"/>
                                <w:szCs w:val="19"/>
                                <w:lang w:eastAsia="en-NZ"/>
                              </w:rPr>
                            </w:pPr>
                            <w:r w:rsidRPr="00EF25A9">
                              <w:rPr>
                                <w:i/>
                                <w:sz w:val="19"/>
                                <w:szCs w:val="19"/>
                                <w:lang w:eastAsia="en-AU"/>
                              </w:rPr>
                              <w:t>“</w:t>
                            </w:r>
                            <w:r>
                              <w:rPr>
                                <w:i/>
                                <w:sz w:val="19"/>
                                <w:szCs w:val="19"/>
                                <w:lang w:eastAsia="en-AU"/>
                              </w:rPr>
                              <w:t>N</w:t>
                            </w:r>
                            <w:r w:rsidRPr="00EF25A9">
                              <w:rPr>
                                <w:i/>
                                <w:sz w:val="19"/>
                                <w:szCs w:val="19"/>
                                <w:lang w:eastAsia="en-AU"/>
                              </w:rPr>
                              <w:t>inety-nine times out of a hundred those</w:t>
                            </w:r>
                            <w:r>
                              <w:rPr>
                                <w:i/>
                                <w:sz w:val="19"/>
                                <w:szCs w:val="19"/>
                                <w:lang w:eastAsia="en-AU"/>
                              </w:rPr>
                              <w:t xml:space="preserve"> [Bond Grant, Letting Fees Assistance and Rent in Advance]</w:t>
                            </w:r>
                            <w:r w:rsidRPr="00EF25A9">
                              <w:rPr>
                                <w:i/>
                                <w:sz w:val="19"/>
                                <w:szCs w:val="19"/>
                                <w:lang w:eastAsia="en-AU"/>
                              </w:rPr>
                              <w:t xml:space="preserve"> would be the three that we pay</w:t>
                            </w:r>
                            <w:r>
                              <w:rPr>
                                <w:i/>
                                <w:sz w:val="19"/>
                                <w:szCs w:val="19"/>
                                <w:lang w:eastAsia="en-AU"/>
                              </w:rPr>
                              <w:t>.</w:t>
                            </w:r>
                            <w:r w:rsidRPr="00EF25A9">
                              <w:rPr>
                                <w:i/>
                                <w:sz w:val="19"/>
                                <w:szCs w:val="19"/>
                                <w:lang w:eastAsia="en-AU"/>
                              </w:rPr>
                              <w:t>”</w:t>
                            </w:r>
                          </w:p>
                          <w:p w:rsidR="004800D3" w:rsidRPr="002C38E8" w:rsidRDefault="004800D3" w:rsidP="00ED347B">
                            <w:pPr>
                              <w:spacing w:before="0"/>
                              <w:rPr>
                                <w:sz w:val="19"/>
                                <w:szCs w:val="19"/>
                              </w:rPr>
                            </w:pPr>
                            <w:r>
                              <w:rPr>
                                <w:sz w:val="19"/>
                                <w:szCs w:val="19"/>
                              </w:rPr>
                              <w:t>- Case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9.45pt;margin-top:4.25pt;width:156pt;height:9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" fillcolor="#dbe5f1 [660]" stroked="f">
                <v:textbox>
                  <w:txbxContent>
                    <w:p w:rsidR="004800D3" w:rsidRDefault="004800D3" w:rsidP="00ED347B">
                      <w:pPr>
                        <w:spacing w:before="0"/>
                        <w:rPr>
                          <w:i/>
                          <w:noProof/>
                          <w:sz w:val="19"/>
                          <w:szCs w:val="19"/>
                          <w:lang w:eastAsia="en-NZ"/>
                        </w:rPr>
                      </w:pPr>
                      <w:r w:rsidRPr="00EF25A9">
                        <w:rPr>
                          <w:i/>
                          <w:sz w:val="19"/>
                          <w:szCs w:val="19"/>
                          <w:lang w:eastAsia="en-AU"/>
                        </w:rPr>
                        <w:t>“</w:t>
                      </w:r>
                      <w:r>
                        <w:rPr>
                          <w:i/>
                          <w:sz w:val="19"/>
                          <w:szCs w:val="19"/>
                          <w:lang w:eastAsia="en-AU"/>
                        </w:rPr>
                        <w:t>N</w:t>
                      </w:r>
                      <w:r w:rsidRPr="00EF25A9">
                        <w:rPr>
                          <w:i/>
                          <w:sz w:val="19"/>
                          <w:szCs w:val="19"/>
                          <w:lang w:eastAsia="en-AU"/>
                        </w:rPr>
                        <w:t>inety-nine times out of a hundred those</w:t>
                      </w:r>
                      <w:r>
                        <w:rPr>
                          <w:i/>
                          <w:sz w:val="19"/>
                          <w:szCs w:val="19"/>
                          <w:lang w:eastAsia="en-AU"/>
                        </w:rPr>
                        <w:t xml:space="preserve"> [Bond Grant, Letting Fees Assistance and Rent in Advance]</w:t>
                      </w:r>
                      <w:r w:rsidRPr="00EF25A9">
                        <w:rPr>
                          <w:i/>
                          <w:sz w:val="19"/>
                          <w:szCs w:val="19"/>
                          <w:lang w:eastAsia="en-AU"/>
                        </w:rPr>
                        <w:t xml:space="preserve"> would be the three that we pay</w:t>
                      </w:r>
                      <w:r>
                        <w:rPr>
                          <w:i/>
                          <w:sz w:val="19"/>
                          <w:szCs w:val="19"/>
                          <w:lang w:eastAsia="en-AU"/>
                        </w:rPr>
                        <w:t>.</w:t>
                      </w:r>
                      <w:r w:rsidRPr="00EF25A9">
                        <w:rPr>
                          <w:i/>
                          <w:sz w:val="19"/>
                          <w:szCs w:val="19"/>
                          <w:lang w:eastAsia="en-AU"/>
                        </w:rPr>
                        <w:t>”</w:t>
                      </w:r>
                    </w:p>
                    <w:p w:rsidR="004800D3" w:rsidRPr="002C38E8" w:rsidRDefault="004800D3" w:rsidP="00ED347B">
                      <w:pPr>
                        <w:spacing w:before="0"/>
                        <w:rPr>
                          <w:sz w:val="19"/>
                          <w:szCs w:val="19"/>
                        </w:rPr>
                      </w:pPr>
                      <w:r>
                        <w:rPr>
                          <w:sz w:val="19"/>
                          <w:szCs w:val="19"/>
                        </w:rPr>
                        <w:t>- Case manager</w:t>
                      </w:r>
                    </w:p>
                  </w:txbxContent>
                </v:textbox>
                <w10:wrap type="tight"/>
              </v:shape>
            </w:pict>
          </mc:Fallback>
        </mc:AlternateContent>
      </w:r>
      <w:r w:rsidR="00ED347B">
        <w:t>The most</w:t>
      </w:r>
      <w:r w:rsidR="001669C4">
        <w:t xml:space="preserve"> commonly used HSP (see Figure 5</w:t>
      </w:r>
      <w:r w:rsidR="00ED347B">
        <w:t>) was Bond Grant (37 percent of all HSPs</w:t>
      </w:r>
      <w:r w:rsidR="000F4763">
        <w:t>, n=1</w:t>
      </w:r>
      <w:r w:rsidR="009B5875">
        <w:t>,</w:t>
      </w:r>
      <w:r w:rsidR="000F4763">
        <w:t>966</w:t>
      </w:r>
      <w:r w:rsidR="00ED347B">
        <w:t>), followed by Rent in Advance (15 percent</w:t>
      </w:r>
      <w:r w:rsidR="000F4763">
        <w:t>, n=791</w:t>
      </w:r>
      <w:r w:rsidR="00ED347B">
        <w:t>) and Letting Fees Assistance (13 percent</w:t>
      </w:r>
      <w:r w:rsidR="000F4763">
        <w:t>, n=661</w:t>
      </w:r>
      <w:r w:rsidR="00ED347B">
        <w:t>). These three HSPs were likely to be used together on the same occasion – for example, 37</w:t>
      </w:r>
      <w:r w:rsidR="003B61CC" w:rsidRPr="003B61CC">
        <w:t xml:space="preserve"> </w:t>
      </w:r>
      <w:r w:rsidR="003B61CC">
        <w:t>percent (n=731) of all Bond Grants were used in combination with Rent in Advance; 31 percent (n=</w:t>
      </w:r>
      <w:r w:rsidR="000F4763">
        <w:t>608)</w:t>
      </w:r>
      <w:r w:rsidR="003B61CC">
        <w:t xml:space="preserve"> were used with Letting Fees Assistance. Conversely, 92 percent (</w:t>
      </w:r>
      <w:r w:rsidR="000F4763">
        <w:t>n=608</w:t>
      </w:r>
      <w:r w:rsidR="003B61CC">
        <w:t xml:space="preserve">) of all Letting Fees Assistance and 92 percent </w:t>
      </w:r>
      <w:r w:rsidR="000F4763">
        <w:t xml:space="preserve">(n=731) </w:t>
      </w:r>
      <w:r w:rsidR="003B61CC">
        <w:t xml:space="preserve">of all Rent in Advance were used with </w:t>
      </w:r>
      <w:r w:rsidR="003B61CC">
        <w:lastRenderedPageBreak/>
        <w:t>Bond Grants.</w:t>
      </w:r>
      <w:r w:rsidR="003B61CC" w:rsidRPr="00723CE0">
        <w:t xml:space="preserve"> </w:t>
      </w:r>
      <w:r w:rsidR="003B61CC">
        <w:t>C</w:t>
      </w:r>
      <w:r w:rsidR="003B61CC">
        <w:rPr>
          <w:lang w:eastAsia="en-AU"/>
        </w:rPr>
        <w:t>ase managers agreed that the primary HSPs they used were Bond Grant, Letting Fees Assistance and Rent In Advance.</w:t>
      </w:r>
      <w:r w:rsidR="003B61CC" w:rsidRPr="0038722A">
        <w:rPr>
          <w:noProof/>
          <w:lang w:eastAsia="en-NZ"/>
        </w:rPr>
        <w:t xml:space="preserve"> </w:t>
      </w:r>
    </w:p>
    <w:p w:rsidR="006E137E" w:rsidRDefault="009F7EBB" w:rsidP="006A18B7">
      <w:pPr>
        <w:pStyle w:val="Heading4"/>
      </w:pPr>
      <w:r>
        <w:t xml:space="preserve">Figure </w:t>
      </w:r>
      <w:r w:rsidR="001669C4">
        <w:t>5</w:t>
      </w:r>
      <w:r w:rsidR="008B5D8B">
        <w:t>: Number of different HSPs used</w:t>
      </w:r>
    </w:p>
    <w:p w:rsidR="008B5D8B" w:rsidRDefault="006E137E" w:rsidP="008B5D8B">
      <w:pPr>
        <w:pStyle w:val="Caption"/>
      </w:pPr>
      <w:r>
        <w:rPr>
          <w:noProof/>
          <w:lang w:eastAsia="en-NZ"/>
        </w:rPr>
        <w:drawing>
          <wp:inline distT="0" distB="0" distL="0" distR="0" wp14:anchorId="11BD6F54" wp14:editId="2B64B259">
            <wp:extent cx="5730949" cy="4242391"/>
            <wp:effectExtent l="0" t="0" r="3175"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561DD" w:rsidRDefault="002561DD" w:rsidP="002561DD">
      <w:bookmarkStart w:id="60" w:name="_Toc495912012"/>
      <w:bookmarkStart w:id="61" w:name="_Toc499900030"/>
      <w:r>
        <w:t>Bond Grants, Letting Fees Assistance, Rent in Advance</w:t>
      </w:r>
      <w:r w:rsidRPr="00D81EA3">
        <w:t xml:space="preserve"> </w:t>
      </w:r>
      <w:r>
        <w:t>and Moving Assistance were on occasion administered more than once to the same client in the same event. In these cases, the maximum total amount of these HSPs was $4</w:t>
      </w:r>
      <w:r w:rsidR="009B5875">
        <w:t>,</w:t>
      </w:r>
      <w:r>
        <w:t>000.00, $1</w:t>
      </w:r>
      <w:r w:rsidR="009B5875">
        <w:t>,</w:t>
      </w:r>
      <w:r>
        <w:t>817.00, $1</w:t>
      </w:r>
      <w:r w:rsidR="009B5875">
        <w:t>,</w:t>
      </w:r>
      <w:r>
        <w:t>588.00 and $2</w:t>
      </w:r>
      <w:r w:rsidR="009B5875">
        <w:t>,</w:t>
      </w:r>
      <w:r>
        <w:t>650.00 respectively. These amounts may indicate that the actual cost of these services exceeds the cap on these products. Further evidence of this is that grant amounts show some clustering near their caps – Figure 6 shows a peak in the number of capped grants (Bond Grants and Moving Assistance) offered at their cap amount ($2</w:t>
      </w:r>
      <w:r w:rsidR="009B5875">
        <w:t>,</w:t>
      </w:r>
      <w:r>
        <w:t>000 and $1</w:t>
      </w:r>
      <w:r w:rsidR="009B5875">
        <w:t>,</w:t>
      </w:r>
      <w:r>
        <w:t>500 respectively).</w:t>
      </w:r>
      <w:r w:rsidR="00F054E6">
        <w:t xml:space="preserve"> However, peaks are also present at lower amounts for both products</w:t>
      </w:r>
      <w:r w:rsidR="006A706B">
        <w:t xml:space="preserve"> (eg at $1</w:t>
      </w:r>
      <w:r w:rsidR="009B5875">
        <w:t>,</w:t>
      </w:r>
      <w:r w:rsidR="006A706B">
        <w:t>400 for Bond Grants and at $500 for Moving Assistance)</w:t>
      </w:r>
      <w:r w:rsidR="00F054E6">
        <w:t xml:space="preserve">. Further evidence (eg market analysis of bond and moving costs) could be helpful in </w:t>
      </w:r>
      <w:r w:rsidR="004A05AB">
        <w:t>understanding how well the caps on these products reflect actual costs.</w:t>
      </w:r>
    </w:p>
    <w:p w:rsidR="002561DD" w:rsidRDefault="002561DD" w:rsidP="002561DD">
      <w:r>
        <w:t>Despite some repeat use, Bond Grant, Letting Fees Assistance and Rent in Advance cost less on average than other</w:t>
      </w:r>
      <w:r w:rsidR="006A706B">
        <w:t xml:space="preserve"> monetary</w:t>
      </w:r>
      <w:r>
        <w:t xml:space="preserve"> HSPs ($1</w:t>
      </w:r>
      <w:r w:rsidR="009B5875">
        <w:t>,</w:t>
      </w:r>
      <w:r>
        <w:t>251.45, $429.22,</w:t>
      </w:r>
      <w:r w:rsidRPr="00F94711">
        <w:t xml:space="preserve"> </w:t>
      </w:r>
      <w:r>
        <w:t>and $474.26 respectively)</w:t>
      </w:r>
      <w:r w:rsidR="00E40749">
        <w:t xml:space="preserve">. However, they do not represent the lowest cost HSPs, as some (eg Statement of Satisfactory Tenancy) </w:t>
      </w:r>
      <w:r w:rsidR="00E81746">
        <w:t xml:space="preserve">have </w:t>
      </w:r>
      <w:r w:rsidR="00E40749">
        <w:t>no monetary value</w:t>
      </w:r>
      <w:r>
        <w:t>. Conversely,</w:t>
      </w:r>
      <w:r w:rsidRPr="008B5D8B">
        <w:t xml:space="preserve"> </w:t>
      </w:r>
      <w:r>
        <w:t>the most expensive HSPs were Transition to Alternative Housing Grant (mean cost = $2</w:t>
      </w:r>
      <w:r w:rsidR="009B5875">
        <w:t>,</w:t>
      </w:r>
      <w:r>
        <w:t>821.57) and Relocation from Auckland Assistance (overall mean = $4</w:t>
      </w:r>
      <w:r w:rsidR="009B5875">
        <w:t>,</w:t>
      </w:r>
      <w:r>
        <w:t>451.12).</w:t>
      </w:r>
    </w:p>
    <w:p w:rsidR="006A706B" w:rsidRDefault="006A706B" w:rsidP="006A18B7">
      <w:pPr>
        <w:pStyle w:val="Heading4"/>
      </w:pPr>
      <w:bookmarkStart w:id="62" w:name="_Toc506453060"/>
      <w:r>
        <w:lastRenderedPageBreak/>
        <w:t>Figure 6: Frequency distribution of Bond Grants and Moving Assistance</w:t>
      </w:r>
    </w:p>
    <w:p w:rsidR="006A706B" w:rsidRDefault="006A706B" w:rsidP="006A706B">
      <w:r>
        <w:rPr>
          <w:noProof/>
          <w:lang w:eastAsia="en-NZ"/>
        </w:rPr>
        <w:drawing>
          <wp:inline distT="0" distB="0" distL="0" distR="0" wp14:anchorId="511AC916" wp14:editId="0BA13925">
            <wp:extent cx="5730949" cy="3094075"/>
            <wp:effectExtent l="0" t="0" r="317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561DD" w:rsidRPr="006A18B7" w:rsidRDefault="002561DD" w:rsidP="006A18B7">
      <w:pPr>
        <w:pStyle w:val="Heading3"/>
      </w:pPr>
      <w:bookmarkStart w:id="63" w:name="_Toc510692749"/>
      <w:r w:rsidRPr="006A18B7">
        <w:t xml:space="preserve">Transition to Alternative Housing Grant may be </w:t>
      </w:r>
      <w:r w:rsidR="00BE166F" w:rsidRPr="006A18B7">
        <w:t xml:space="preserve">less </w:t>
      </w:r>
      <w:r w:rsidRPr="006A18B7">
        <w:t xml:space="preserve">effective, and Tenancy Costs Cover </w:t>
      </w:r>
      <w:r w:rsidR="00B248EC" w:rsidRPr="006A18B7">
        <w:t>potentially</w:t>
      </w:r>
      <w:r w:rsidRPr="006A18B7">
        <w:t xml:space="preserve"> counter-productive</w:t>
      </w:r>
      <w:bookmarkEnd w:id="62"/>
      <w:bookmarkEnd w:id="63"/>
    </w:p>
    <w:p w:rsidR="00585401" w:rsidRDefault="00E40749" w:rsidP="00BE166F">
      <w:r>
        <w:rPr>
          <w:noProof/>
          <w:lang w:eastAsia="en-NZ"/>
        </w:rPr>
        <mc:AlternateContent>
          <mc:Choice Requires="wps">
            <w:drawing>
              <wp:anchor distT="0" distB="0" distL="114300" distR="114300" simplePos="0" relativeHeight="251684864" behindDoc="1" locked="0" layoutInCell="1" allowOverlap="1" wp14:anchorId="431A065A" wp14:editId="5872703A">
                <wp:simplePos x="0" y="0"/>
                <wp:positionH relativeFrom="column">
                  <wp:posOffset>4453890</wp:posOffset>
                </wp:positionH>
                <wp:positionV relativeFrom="paragraph">
                  <wp:posOffset>43180</wp:posOffset>
                </wp:positionV>
                <wp:extent cx="1343660" cy="1267460"/>
                <wp:effectExtent l="0" t="0" r="8890" b="8890"/>
                <wp:wrapTight wrapText="bothSides">
                  <wp:wrapPolygon edited="0">
                    <wp:start x="0" y="0"/>
                    <wp:lineTo x="0" y="21427"/>
                    <wp:lineTo x="21437" y="21427"/>
                    <wp:lineTo x="2143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67460"/>
                        </a:xfrm>
                        <a:prstGeom prst="rect">
                          <a:avLst/>
                        </a:prstGeom>
                        <a:solidFill>
                          <a:schemeClr val="accent1">
                            <a:lumMod val="20000"/>
                            <a:lumOff val="80000"/>
                          </a:schemeClr>
                        </a:solidFill>
                        <a:ln w="9525">
                          <a:noFill/>
                          <a:miter lim="800000"/>
                          <a:headEnd/>
                          <a:tailEnd/>
                        </a:ln>
                      </wps:spPr>
                      <wps:txbx>
                        <w:txbxContent>
                          <w:p w:rsidR="004800D3" w:rsidRDefault="004800D3" w:rsidP="00BE166F">
                            <w:pPr>
                              <w:rPr>
                                <w:sz w:val="19"/>
                                <w:szCs w:val="19"/>
                                <w:lang w:eastAsia="en-AU"/>
                              </w:rPr>
                            </w:pPr>
                            <w:r w:rsidRPr="001F222A">
                              <w:rPr>
                                <w:sz w:val="19"/>
                                <w:szCs w:val="19"/>
                                <w:lang w:eastAsia="en-AU"/>
                              </w:rPr>
                              <w:t>“</w:t>
                            </w:r>
                            <w:r w:rsidRPr="001F222A">
                              <w:rPr>
                                <w:i/>
                                <w:sz w:val="19"/>
                                <w:szCs w:val="19"/>
                                <w:lang w:eastAsia="en-AU"/>
                              </w:rPr>
                              <w:t>In Auckland you hardly find anyone who wants to give up their housing anyway.</w:t>
                            </w:r>
                            <w:r w:rsidRPr="001F222A">
                              <w:rPr>
                                <w:sz w:val="19"/>
                                <w:szCs w:val="19"/>
                                <w:lang w:eastAsia="en-AU"/>
                              </w:rPr>
                              <w:t>”</w:t>
                            </w:r>
                          </w:p>
                          <w:p w:rsidR="004800D3" w:rsidRPr="001F222A" w:rsidRDefault="004800D3" w:rsidP="00BE166F">
                            <w:pPr>
                              <w:rPr>
                                <w:sz w:val="19"/>
                                <w:szCs w:val="19"/>
                                <w:lang w:eastAsia="en-AU"/>
                              </w:rPr>
                            </w:pPr>
                            <w:r>
                              <w:rPr>
                                <w:sz w:val="19"/>
                                <w:szCs w:val="19"/>
                                <w:lang w:eastAsia="en-AU"/>
                              </w:rPr>
                              <w:t>- Case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0.7pt;margin-top:3.4pt;width:105.8pt;height:99.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" fillcolor="#dbe5f1 [660]" stroked="f">
                <v:textbox>
                  <w:txbxContent>
                    <w:p w:rsidR="004800D3" w:rsidRDefault="004800D3" w:rsidP="00BE166F">
                      <w:pPr>
                        <w:rPr>
                          <w:sz w:val="19"/>
                          <w:szCs w:val="19"/>
                          <w:lang w:eastAsia="en-AU"/>
                        </w:rPr>
                      </w:pPr>
                      <w:r w:rsidRPr="001F222A">
                        <w:rPr>
                          <w:sz w:val="19"/>
                          <w:szCs w:val="19"/>
                          <w:lang w:eastAsia="en-AU"/>
                        </w:rPr>
                        <w:t>“</w:t>
                      </w:r>
                      <w:r w:rsidRPr="001F222A">
                        <w:rPr>
                          <w:i/>
                          <w:sz w:val="19"/>
                          <w:szCs w:val="19"/>
                          <w:lang w:eastAsia="en-AU"/>
                        </w:rPr>
                        <w:t>In Auckland you hardly find anyone who wants to give up their housing anyway.</w:t>
                      </w:r>
                      <w:r w:rsidRPr="001F222A">
                        <w:rPr>
                          <w:sz w:val="19"/>
                          <w:szCs w:val="19"/>
                          <w:lang w:eastAsia="en-AU"/>
                        </w:rPr>
                        <w:t>”</w:t>
                      </w:r>
                    </w:p>
                    <w:p w:rsidR="004800D3" w:rsidRPr="001F222A" w:rsidRDefault="004800D3" w:rsidP="00BE166F">
                      <w:pPr>
                        <w:rPr>
                          <w:sz w:val="19"/>
                          <w:szCs w:val="19"/>
                          <w:lang w:eastAsia="en-AU"/>
                        </w:rPr>
                      </w:pPr>
                      <w:r>
                        <w:rPr>
                          <w:sz w:val="19"/>
                          <w:szCs w:val="19"/>
                          <w:lang w:eastAsia="en-AU"/>
                        </w:rPr>
                        <w:t>- Case manager</w:t>
                      </w:r>
                    </w:p>
                  </w:txbxContent>
                </v:textbox>
                <w10:wrap type="tight"/>
              </v:shape>
            </w:pict>
          </mc:Fallback>
        </mc:AlternateContent>
      </w:r>
      <w:r w:rsidR="002561DD">
        <w:t>Transition to Alternative Housing is a flat rate of $3</w:t>
      </w:r>
      <w:r w:rsidR="006A18B7">
        <w:t>,</w:t>
      </w:r>
      <w:r w:rsidR="002561DD">
        <w:t>000</w:t>
      </w:r>
      <w:r w:rsidR="001D4A5F">
        <w:t xml:space="preserve"> and</w:t>
      </w:r>
      <w:r w:rsidR="002561DD">
        <w:t xml:space="preserve"> </w:t>
      </w:r>
      <w:r w:rsidR="001D4A5F">
        <w:t>is intended to support public housing tenants who voluntarily move to private housing.</w:t>
      </w:r>
      <w:r w:rsidR="002561DD">
        <w:t xml:space="preserve"> </w:t>
      </w:r>
      <w:r w:rsidR="001D4A5F">
        <w:t>It</w:t>
      </w:r>
      <w:r w:rsidR="002561DD">
        <w:t xml:space="preserve"> has a low rate of</w:t>
      </w:r>
      <w:r w:rsidR="001D4A5F">
        <w:t xml:space="preserve"> uptake relative to other HSPs, which </w:t>
      </w:r>
      <w:r w:rsidR="002561DD">
        <w:t xml:space="preserve">could be due to </w:t>
      </w:r>
      <w:r w:rsidR="00457126">
        <w:t xml:space="preserve">the different </w:t>
      </w:r>
      <w:r w:rsidR="002561DD">
        <w:t xml:space="preserve">eligibility criteria (eg being exclusively used during tenancy reviews). </w:t>
      </w:r>
      <w:r w:rsidR="00585401">
        <w:t>N</w:t>
      </w:r>
      <w:r w:rsidR="00585401">
        <w:rPr>
          <w:lang w:eastAsia="en-AU"/>
        </w:rPr>
        <w:t>o case managers mentioned using Transition to Alternative Housing Grant, and t</w:t>
      </w:r>
      <w:r w:rsidR="00585401">
        <w:t>hey suggested that such incentives (regardless of amount) are not effective at encouraging tenants to leave public housing</w:t>
      </w:r>
      <w:r w:rsidR="00E81746">
        <w:t xml:space="preserve"> when there are</w:t>
      </w:r>
      <w:r w:rsidR="00585401">
        <w:t xml:space="preserve"> housing supply</w:t>
      </w:r>
      <w:r w:rsidR="00E81746">
        <w:t xml:space="preserve"> issues</w:t>
      </w:r>
      <w:r w:rsidR="00585401">
        <w:t>.</w:t>
      </w:r>
    </w:p>
    <w:bookmarkEnd w:id="60"/>
    <w:bookmarkEnd w:id="61"/>
    <w:p w:rsidR="00122330" w:rsidRDefault="00457126" w:rsidP="0062005D">
      <w:r>
        <w:t>S</w:t>
      </w:r>
      <w:r w:rsidR="0062005D">
        <w:t xml:space="preserve">ome HSPs may discourage landlords from letting to </w:t>
      </w:r>
      <w:r w:rsidR="00FD4351">
        <w:t>recipients</w:t>
      </w:r>
      <w:r w:rsidR="0062005D">
        <w:t xml:space="preserve">. </w:t>
      </w:r>
      <w:r w:rsidR="00355200">
        <w:t>For example</w:t>
      </w:r>
      <w:r w:rsidR="0062005D">
        <w:t xml:space="preserve">, case managers suggested Tenancy Costs Cover </w:t>
      </w:r>
      <w:r w:rsidR="009E0B3F">
        <w:t xml:space="preserve">is detrimental to </w:t>
      </w:r>
      <w:r w:rsidR="00FD4351">
        <w:t>recipients</w:t>
      </w:r>
      <w:r w:rsidR="009E0B3F">
        <w:t xml:space="preserve"> </w:t>
      </w:r>
      <w:r w:rsidR="0062005D">
        <w:t xml:space="preserve">because it signals tenants </w:t>
      </w:r>
      <w:r w:rsidR="00E81746">
        <w:t xml:space="preserve">may </w:t>
      </w:r>
      <w:r w:rsidR="0062005D">
        <w:t>damage the pr</w:t>
      </w:r>
      <w:r w:rsidR="00122330">
        <w:t>operty</w:t>
      </w:r>
      <w:r w:rsidR="002109FC">
        <w:t>. According to case managers, t</w:t>
      </w:r>
      <w:r w:rsidR="009E0B3F">
        <w:t xml:space="preserve">hese HSPs </w:t>
      </w:r>
      <w:r w:rsidR="006A18B7">
        <w:t xml:space="preserve">can </w:t>
      </w:r>
      <w:r w:rsidR="00122330" w:rsidRPr="00FA44C8">
        <w:rPr>
          <w:i/>
          <w:lang w:eastAsia="en-AU"/>
        </w:rPr>
        <w:t>“</w:t>
      </w:r>
      <w:r w:rsidR="00122330" w:rsidRPr="004800D3">
        <w:rPr>
          <w:i/>
          <w:lang w:eastAsia="en-AU"/>
        </w:rPr>
        <w:t>paint a bad picture for everyone</w:t>
      </w:r>
      <w:r w:rsidR="00122330" w:rsidRPr="00FA44C8">
        <w:rPr>
          <w:i/>
          <w:lang w:eastAsia="en-AU"/>
        </w:rPr>
        <w:t>”</w:t>
      </w:r>
      <w:r w:rsidR="00122330">
        <w:rPr>
          <w:lang w:eastAsia="en-AU"/>
        </w:rPr>
        <w:t>.</w:t>
      </w:r>
    </w:p>
    <w:p w:rsidR="0062005D" w:rsidRDefault="00122330" w:rsidP="0062005D">
      <w:r>
        <w:t>Similarly,</w:t>
      </w:r>
      <w:r w:rsidR="002109FC">
        <w:t xml:space="preserve"> case managers stated that</w:t>
      </w:r>
      <w:r>
        <w:t xml:space="preserve"> </w:t>
      </w:r>
      <w:r w:rsidR="0062005D">
        <w:t>Statements of Satisfactory Tenancy also signalled landlords to be somewhat wary because they implicitly highlight a client’s vulnerable (income) status.</w:t>
      </w:r>
      <w:r w:rsidRPr="00122330">
        <w:t xml:space="preserve"> </w:t>
      </w:r>
      <w:r>
        <w:t xml:space="preserve">Statements of Satisfactory Tenancy were </w:t>
      </w:r>
      <w:r w:rsidR="00D81EA3">
        <w:t>often</w:t>
      </w:r>
      <w:r>
        <w:t xml:space="preserve"> (83</w:t>
      </w:r>
      <w:r w:rsidR="00F6725F">
        <w:t xml:space="preserve"> percent</w:t>
      </w:r>
      <w:r w:rsidR="002109FC">
        <w:t>; n=60</w:t>
      </w:r>
      <w:r>
        <w:t>) used with Transition to Alternative Housing Grants</w:t>
      </w:r>
      <w:r w:rsidR="00BA1378">
        <w:t>,</w:t>
      </w:r>
      <w:r>
        <w:t xml:space="preserve"> </w:t>
      </w:r>
      <w:r w:rsidR="00BA1378">
        <w:t>which may suggest they are used in a limited range of contexts similar to those where Transition to Alternative Housing Grants apply (ie during tenancy reviews).</w:t>
      </w:r>
    </w:p>
    <w:p w:rsidR="00585401" w:rsidRDefault="00585401">
      <w:pPr>
        <w:spacing w:before="0" w:after="0" w:line="240" w:lineRule="auto"/>
        <w:rPr>
          <w:b/>
          <w:color w:val="121F6B"/>
          <w:sz w:val="28"/>
          <w:szCs w:val="28"/>
        </w:rPr>
      </w:pPr>
      <w:r>
        <w:br w:type="page"/>
      </w:r>
    </w:p>
    <w:p w:rsidR="00642645" w:rsidRPr="006A18B7" w:rsidRDefault="006A16BE" w:rsidP="006A18B7">
      <w:pPr>
        <w:pStyle w:val="Heading2"/>
      </w:pPr>
      <w:bookmarkStart w:id="64" w:name="_Toc516161721"/>
      <w:r w:rsidRPr="006A18B7">
        <w:lastRenderedPageBreak/>
        <w:t>The level of</w:t>
      </w:r>
      <w:r w:rsidR="00903458" w:rsidRPr="006A18B7">
        <w:t xml:space="preserve"> uptake of </w:t>
      </w:r>
      <w:r w:rsidR="00E01C80" w:rsidRPr="006A18B7">
        <w:t xml:space="preserve">HSPs </w:t>
      </w:r>
      <w:r w:rsidR="00903458" w:rsidRPr="006A18B7">
        <w:t>is consistent with policy intent, but may also reflect other factors</w:t>
      </w:r>
      <w:bookmarkEnd w:id="64"/>
    </w:p>
    <w:p w:rsidR="00903458" w:rsidRDefault="00903458" w:rsidP="00903458">
      <w:bookmarkStart w:id="65" w:name="_Toc495912014"/>
      <w:bookmarkStart w:id="66" w:name="_Toc499900032"/>
      <w:bookmarkStart w:id="67" w:name="_Toc506453062"/>
      <w:r>
        <w:t xml:space="preserve">Even though the policy intent for HSPs was that they be </w:t>
      </w:r>
      <w:r w:rsidR="006A16BE">
        <w:rPr>
          <w:rStyle w:val="Hyperlink"/>
          <w:noProof/>
          <w:color w:val="auto"/>
          <w:u w:val="none"/>
        </w:rPr>
        <w:t>considered after all other options have been exhausted</w:t>
      </w:r>
      <w:r>
        <w:t xml:space="preserve">, </w:t>
      </w:r>
      <w:r w:rsidR="0081254B">
        <w:t xml:space="preserve">case managers also mentioned other factors that may </w:t>
      </w:r>
      <w:r w:rsidR="00E55991">
        <w:t xml:space="preserve">impact </w:t>
      </w:r>
      <w:r w:rsidR="008762CC">
        <w:t xml:space="preserve">their </w:t>
      </w:r>
      <w:r w:rsidR="00ED77A6">
        <w:t>level of uptake</w:t>
      </w:r>
      <w:r w:rsidR="008762CC">
        <w:t>.</w:t>
      </w:r>
    </w:p>
    <w:p w:rsidR="006A244E" w:rsidRPr="006A18B7" w:rsidRDefault="006A244E" w:rsidP="006A18B7">
      <w:pPr>
        <w:pStyle w:val="Heading3"/>
      </w:pPr>
      <w:bookmarkStart w:id="68" w:name="_Toc495912016"/>
      <w:bookmarkStart w:id="69" w:name="_Toc499900034"/>
      <w:bookmarkStart w:id="70" w:name="_Toc506453064"/>
      <w:bookmarkStart w:id="71" w:name="_Toc510692751"/>
      <w:r w:rsidRPr="006A18B7">
        <w:t xml:space="preserve">Case managers use other products </w:t>
      </w:r>
      <w:bookmarkEnd w:id="68"/>
      <w:bookmarkEnd w:id="69"/>
      <w:r w:rsidRPr="006A18B7">
        <w:t>before HSPs</w:t>
      </w:r>
      <w:bookmarkEnd w:id="70"/>
      <w:bookmarkEnd w:id="71"/>
      <w:r w:rsidRPr="006A18B7">
        <w:t xml:space="preserve"> </w:t>
      </w:r>
    </w:p>
    <w:p w:rsidR="0091458C" w:rsidRDefault="0091458C" w:rsidP="006A244E">
      <w:pPr>
        <w:keepNext/>
        <w:rPr>
          <w:lang w:eastAsia="en-AU"/>
        </w:rPr>
      </w:pPr>
      <w:r>
        <w:rPr>
          <w:noProof/>
          <w:lang w:eastAsia="en-NZ"/>
        </w:rPr>
        <mc:AlternateContent>
          <mc:Choice Requires="wps">
            <w:drawing>
              <wp:anchor distT="0" distB="0" distL="114300" distR="114300" simplePos="0" relativeHeight="251694080" behindDoc="1" locked="0" layoutInCell="1" allowOverlap="1" wp14:anchorId="3948507D" wp14:editId="2644A913">
                <wp:simplePos x="0" y="0"/>
                <wp:positionH relativeFrom="column">
                  <wp:posOffset>3667760</wp:posOffset>
                </wp:positionH>
                <wp:positionV relativeFrom="paragraph">
                  <wp:posOffset>8255</wp:posOffset>
                </wp:positionV>
                <wp:extent cx="2069465" cy="1807210"/>
                <wp:effectExtent l="0" t="0" r="6985" b="2540"/>
                <wp:wrapTight wrapText="bothSides">
                  <wp:wrapPolygon edited="0">
                    <wp:start x="0" y="0"/>
                    <wp:lineTo x="0" y="21403"/>
                    <wp:lineTo x="21474" y="21403"/>
                    <wp:lineTo x="21474"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807210"/>
                        </a:xfrm>
                        <a:prstGeom prst="rect">
                          <a:avLst/>
                        </a:prstGeom>
                        <a:solidFill>
                          <a:schemeClr val="accent1">
                            <a:lumMod val="20000"/>
                            <a:lumOff val="80000"/>
                          </a:schemeClr>
                        </a:solidFill>
                        <a:ln w="9525">
                          <a:noFill/>
                          <a:miter lim="800000"/>
                          <a:headEnd/>
                          <a:tailEnd/>
                        </a:ln>
                      </wps:spPr>
                      <wps:txbx>
                        <w:txbxContent>
                          <w:p w:rsidR="004800D3" w:rsidRDefault="004800D3" w:rsidP="006A244E">
                            <w:pPr>
                              <w:rPr>
                                <w:i/>
                                <w:sz w:val="19"/>
                                <w:szCs w:val="19"/>
                                <w:lang w:eastAsia="en-AU"/>
                              </w:rPr>
                            </w:pPr>
                            <w:r w:rsidRPr="00183E4B">
                              <w:rPr>
                                <w:i/>
                                <w:sz w:val="19"/>
                                <w:szCs w:val="19"/>
                                <w:lang w:eastAsia="en-AU"/>
                              </w:rPr>
                              <w:t>“We use the advances instead of these but we go over the limit… We don’t go [to HSPs] because that’s last</w:t>
                            </w:r>
                            <w:r>
                              <w:rPr>
                                <w:i/>
                                <w:sz w:val="19"/>
                                <w:szCs w:val="19"/>
                                <w:lang w:eastAsia="en-AU"/>
                              </w:rPr>
                              <w:t>.</w:t>
                            </w:r>
                            <w:r w:rsidRPr="00183E4B">
                              <w:rPr>
                                <w:i/>
                                <w:sz w:val="19"/>
                                <w:szCs w:val="19"/>
                                <w:lang w:eastAsia="en-AU"/>
                              </w:rPr>
                              <w:t>”</w:t>
                            </w:r>
                          </w:p>
                          <w:p w:rsidR="004800D3" w:rsidRDefault="004800D3" w:rsidP="0091458C">
                            <w:pPr>
                              <w:rPr>
                                <w:sz w:val="19"/>
                                <w:szCs w:val="19"/>
                                <w:lang w:eastAsia="en-AU"/>
                              </w:rPr>
                            </w:pPr>
                            <w:r w:rsidRPr="001F222A">
                              <w:rPr>
                                <w:sz w:val="19"/>
                                <w:szCs w:val="19"/>
                                <w:lang w:eastAsia="en-AU"/>
                              </w:rPr>
                              <w:t>“</w:t>
                            </w:r>
                            <w:r w:rsidRPr="001F222A">
                              <w:rPr>
                                <w:i/>
                                <w:sz w:val="19"/>
                                <w:szCs w:val="19"/>
                                <w:lang w:eastAsia="en-AU"/>
                              </w:rPr>
                              <w:t>We’re only pulling it out of the recesses of our mind when we’re maybe in a situation with a client and we’re stuck.</w:t>
                            </w:r>
                            <w:r w:rsidRPr="001F222A">
                              <w:rPr>
                                <w:sz w:val="19"/>
                                <w:szCs w:val="19"/>
                                <w:lang w:eastAsia="en-AU"/>
                              </w:rPr>
                              <w:t>”</w:t>
                            </w:r>
                          </w:p>
                          <w:p w:rsidR="004800D3" w:rsidRPr="00903458" w:rsidRDefault="004800D3" w:rsidP="006A244E">
                            <w:pPr>
                              <w:rPr>
                                <w:sz w:val="19"/>
                                <w:szCs w:val="19"/>
                                <w:lang w:eastAsia="en-AU"/>
                              </w:rPr>
                            </w:pPr>
                            <w:r>
                              <w:rPr>
                                <w:sz w:val="19"/>
                                <w:szCs w:val="19"/>
                                <w:lang w:eastAsia="en-AU"/>
                              </w:rPr>
                              <w:t>- Case managers</w:t>
                            </w:r>
                          </w:p>
                          <w:p w:rsidR="004800D3" w:rsidRPr="00183E4B" w:rsidRDefault="004800D3" w:rsidP="006A244E">
                            <w:pPr>
                              <w:rPr>
                                <w:i/>
                                <w:sz w:val="19"/>
                                <w:szCs w:val="19"/>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8.8pt;margin-top:.65pt;width:162.95pt;height:142.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" fillcolor="#dbe5f1 [660]" stroked="f">
                <v:textbox>
                  <w:txbxContent>
                    <w:p w:rsidR="004800D3" w:rsidRDefault="004800D3" w:rsidP="006A244E">
                      <w:pPr>
                        <w:rPr>
                          <w:i/>
                          <w:sz w:val="19"/>
                          <w:szCs w:val="19"/>
                          <w:lang w:eastAsia="en-AU"/>
                        </w:rPr>
                      </w:pPr>
                      <w:r w:rsidRPr="00183E4B">
                        <w:rPr>
                          <w:i/>
                          <w:sz w:val="19"/>
                          <w:szCs w:val="19"/>
                          <w:lang w:eastAsia="en-AU"/>
                        </w:rPr>
                        <w:t>“We use the advances instead of these but we go over the limit… We don’t go [to HSPs] because that’s last</w:t>
                      </w:r>
                      <w:r>
                        <w:rPr>
                          <w:i/>
                          <w:sz w:val="19"/>
                          <w:szCs w:val="19"/>
                          <w:lang w:eastAsia="en-AU"/>
                        </w:rPr>
                        <w:t>.</w:t>
                      </w:r>
                      <w:r w:rsidRPr="00183E4B">
                        <w:rPr>
                          <w:i/>
                          <w:sz w:val="19"/>
                          <w:szCs w:val="19"/>
                          <w:lang w:eastAsia="en-AU"/>
                        </w:rPr>
                        <w:t>”</w:t>
                      </w:r>
                    </w:p>
                    <w:p w:rsidR="004800D3" w:rsidRDefault="004800D3" w:rsidP="0091458C">
                      <w:pPr>
                        <w:rPr>
                          <w:sz w:val="19"/>
                          <w:szCs w:val="19"/>
                          <w:lang w:eastAsia="en-AU"/>
                        </w:rPr>
                      </w:pPr>
                      <w:r w:rsidRPr="001F222A">
                        <w:rPr>
                          <w:sz w:val="19"/>
                          <w:szCs w:val="19"/>
                          <w:lang w:eastAsia="en-AU"/>
                        </w:rPr>
                        <w:t>“</w:t>
                      </w:r>
                      <w:r w:rsidRPr="001F222A">
                        <w:rPr>
                          <w:i/>
                          <w:sz w:val="19"/>
                          <w:szCs w:val="19"/>
                          <w:lang w:eastAsia="en-AU"/>
                        </w:rPr>
                        <w:t>We’re only pulling it out of the recesses of our mind when we’re maybe in a situation with a client and we’re stuck.</w:t>
                      </w:r>
                      <w:r w:rsidRPr="001F222A">
                        <w:rPr>
                          <w:sz w:val="19"/>
                          <w:szCs w:val="19"/>
                          <w:lang w:eastAsia="en-AU"/>
                        </w:rPr>
                        <w:t>”</w:t>
                      </w:r>
                    </w:p>
                    <w:p w:rsidR="004800D3" w:rsidRPr="00903458" w:rsidRDefault="004800D3" w:rsidP="006A244E">
                      <w:pPr>
                        <w:rPr>
                          <w:sz w:val="19"/>
                          <w:szCs w:val="19"/>
                          <w:lang w:eastAsia="en-AU"/>
                        </w:rPr>
                      </w:pPr>
                      <w:r>
                        <w:rPr>
                          <w:sz w:val="19"/>
                          <w:szCs w:val="19"/>
                          <w:lang w:eastAsia="en-AU"/>
                        </w:rPr>
                        <w:t>- Case managers</w:t>
                      </w:r>
                    </w:p>
                    <w:p w:rsidR="004800D3" w:rsidRPr="00183E4B" w:rsidRDefault="004800D3" w:rsidP="006A244E">
                      <w:pPr>
                        <w:rPr>
                          <w:i/>
                          <w:sz w:val="19"/>
                          <w:szCs w:val="19"/>
                          <w:lang w:eastAsia="en-AU"/>
                        </w:rPr>
                      </w:pPr>
                    </w:p>
                  </w:txbxContent>
                </v:textbox>
                <w10:wrap type="tight"/>
              </v:shape>
            </w:pict>
          </mc:Fallback>
        </mc:AlternateContent>
      </w:r>
      <w:r w:rsidR="006A244E">
        <w:rPr>
          <w:lang w:eastAsia="en-AU"/>
        </w:rPr>
        <w:t>Consistent with the policy intent, case manager</w:t>
      </w:r>
      <w:r w:rsidR="006A244E" w:rsidRPr="000412EA">
        <w:rPr>
          <w:lang w:eastAsia="en-AU"/>
        </w:rPr>
        <w:t>s</w:t>
      </w:r>
      <w:r w:rsidR="006A244E">
        <w:rPr>
          <w:lang w:eastAsia="en-AU"/>
        </w:rPr>
        <w:t xml:space="preserve"> did not actively promote HSPs and only used them when all other options had been explored first. </w:t>
      </w:r>
      <w:r>
        <w:rPr>
          <w:lang w:eastAsia="en-AU"/>
        </w:rPr>
        <w:t>Case managers stated that they only think of HSPs when faced with a client who does not qualify for other forms of support.</w:t>
      </w:r>
    </w:p>
    <w:p w:rsidR="0091458C" w:rsidRDefault="006A244E" w:rsidP="0091458C">
      <w:pPr>
        <w:rPr>
          <w:lang w:eastAsia="en-AU"/>
        </w:rPr>
      </w:pPr>
      <w:r w:rsidRPr="009A546E">
        <w:rPr>
          <w:lang w:eastAsia="en-AU"/>
        </w:rPr>
        <w:t xml:space="preserve">Accordingly, case managers reported using a number of alternative products </w:t>
      </w:r>
      <w:r w:rsidR="0091458C" w:rsidRPr="009A546E">
        <w:rPr>
          <w:lang w:eastAsia="en-AU"/>
        </w:rPr>
        <w:t>before turning to HSPs</w:t>
      </w:r>
      <w:r w:rsidR="009A546E" w:rsidRPr="009A546E">
        <w:rPr>
          <w:lang w:eastAsia="en-AU"/>
        </w:rPr>
        <w:t xml:space="preserve"> such as</w:t>
      </w:r>
      <w:r w:rsidRPr="009A546E">
        <w:rPr>
          <w:lang w:eastAsia="en-AU"/>
        </w:rPr>
        <w:t xml:space="preserve"> advances on a benefit (and extending these beyond the usual limit)</w:t>
      </w:r>
      <w:proofErr w:type="gramStart"/>
      <w:r w:rsidRPr="009A546E">
        <w:rPr>
          <w:lang w:eastAsia="en-AU"/>
        </w:rPr>
        <w:t>,</w:t>
      </w:r>
      <w:proofErr w:type="gramEnd"/>
      <w:r w:rsidRPr="009A546E">
        <w:rPr>
          <w:lang w:eastAsia="en-AU"/>
        </w:rPr>
        <w:t xml:space="preserve"> Emergency Housing </w:t>
      </w:r>
      <w:r w:rsidR="009A546E" w:rsidRPr="009A546E">
        <w:rPr>
          <w:lang w:eastAsia="en-AU"/>
        </w:rPr>
        <w:t xml:space="preserve">Special Needs </w:t>
      </w:r>
      <w:r w:rsidRPr="009A546E">
        <w:rPr>
          <w:lang w:eastAsia="en-AU"/>
        </w:rPr>
        <w:t>Grants</w:t>
      </w:r>
      <w:r w:rsidR="009A546E" w:rsidRPr="009A546E">
        <w:rPr>
          <w:lang w:eastAsia="en-AU"/>
        </w:rPr>
        <w:t xml:space="preserve"> and other</w:t>
      </w:r>
      <w:r w:rsidRPr="009A546E">
        <w:rPr>
          <w:lang w:eastAsia="en-AU"/>
        </w:rPr>
        <w:t xml:space="preserve"> Special Needs Grants.</w:t>
      </w:r>
    </w:p>
    <w:p w:rsidR="0091458C" w:rsidRDefault="0091458C" w:rsidP="0091458C">
      <w:pPr>
        <w:rPr>
          <w:lang w:eastAsia="en-AU"/>
        </w:rPr>
      </w:pPr>
      <w:r>
        <w:rPr>
          <w:lang w:eastAsia="en-AU"/>
        </w:rPr>
        <w:t>Case manager</w:t>
      </w:r>
      <w:r w:rsidR="009C515D">
        <w:rPr>
          <w:lang w:eastAsia="en-AU"/>
        </w:rPr>
        <w:t>s</w:t>
      </w:r>
      <w:r>
        <w:rPr>
          <w:lang w:eastAsia="en-AU"/>
        </w:rPr>
        <w:t xml:space="preserve"> also commented that use of HSPs was highly limited by their relative invisibility in the large amount of information they need to remember and maintain awareness of on a day-to-day basis (despite</w:t>
      </w:r>
      <w:r w:rsidRPr="0018783F">
        <w:rPr>
          <w:lang w:eastAsia="en-AU"/>
        </w:rPr>
        <w:t xml:space="preserve"> </w:t>
      </w:r>
      <w:r>
        <w:rPr>
          <w:lang w:eastAsia="en-AU"/>
        </w:rPr>
        <w:t xml:space="preserve">HSPs being promoted to case managers through regular communication channels). </w:t>
      </w:r>
      <w:r w:rsidRPr="007A11A0">
        <w:rPr>
          <w:lang w:eastAsia="en-AU"/>
        </w:rPr>
        <w:t>Previous work has also demonstrated low visibility of HSPs among clients</w:t>
      </w:r>
      <w:r w:rsidR="00FA44C8">
        <w:rPr>
          <w:rStyle w:val="FootnoteReference"/>
        </w:rPr>
        <w:footnoteReference w:id="4"/>
      </w:r>
      <w:r w:rsidR="00FA44C8">
        <w:rPr>
          <w:lang w:eastAsia="en-AU"/>
        </w:rPr>
        <w:t xml:space="preserve"> </w:t>
      </w:r>
      <w:r w:rsidRPr="007A11A0">
        <w:rPr>
          <w:lang w:eastAsia="en-AU"/>
        </w:rPr>
        <w:t>and housing providers</w:t>
      </w:r>
      <w:r w:rsidRPr="007A11A0">
        <w:rPr>
          <w:rStyle w:val="FootnoteReference"/>
        </w:rPr>
        <w:footnoteReference w:id="5"/>
      </w:r>
      <w:r w:rsidRPr="007A11A0">
        <w:rPr>
          <w:lang w:eastAsia="en-AU"/>
        </w:rPr>
        <w:t>.</w:t>
      </w:r>
    </w:p>
    <w:p w:rsidR="002337E2" w:rsidRDefault="002337E2" w:rsidP="002337E2">
      <w:pPr>
        <w:pStyle w:val="Heading3"/>
      </w:pPr>
      <w:bookmarkStart w:id="72" w:name="_Toc495912015"/>
      <w:bookmarkStart w:id="73" w:name="_Toc499900033"/>
      <w:bookmarkStart w:id="74" w:name="_Toc506453063"/>
      <w:bookmarkStart w:id="75" w:name="_Toc510692752"/>
      <w:bookmarkEnd w:id="65"/>
      <w:bookmarkEnd w:id="66"/>
      <w:bookmarkEnd w:id="67"/>
      <w:r>
        <w:t xml:space="preserve">HSPs are difficult </w:t>
      </w:r>
      <w:r w:rsidR="003B5F20">
        <w:t xml:space="preserve">for case managers </w:t>
      </w:r>
      <w:r>
        <w:t>to administer</w:t>
      </w:r>
      <w:bookmarkEnd w:id="72"/>
      <w:bookmarkEnd w:id="73"/>
      <w:bookmarkEnd w:id="74"/>
      <w:bookmarkEnd w:id="75"/>
    </w:p>
    <w:p w:rsidR="00CE5F5A" w:rsidRDefault="001F222A" w:rsidP="00CE5F5A">
      <w:r>
        <w:rPr>
          <w:noProof/>
          <w:lang w:eastAsia="en-NZ"/>
        </w:rPr>
        <mc:AlternateContent>
          <mc:Choice Requires="wps">
            <w:drawing>
              <wp:anchor distT="0" distB="0" distL="114300" distR="114300" simplePos="0" relativeHeight="251672576" behindDoc="1" locked="0" layoutInCell="1" allowOverlap="1" wp14:anchorId="3316F354" wp14:editId="1281A48D">
                <wp:simplePos x="0" y="0"/>
                <wp:positionH relativeFrom="column">
                  <wp:posOffset>3678555</wp:posOffset>
                </wp:positionH>
                <wp:positionV relativeFrom="paragraph">
                  <wp:posOffset>6350</wp:posOffset>
                </wp:positionV>
                <wp:extent cx="2069465" cy="1988185"/>
                <wp:effectExtent l="0" t="0" r="6985" b="0"/>
                <wp:wrapTight wrapText="bothSides">
                  <wp:wrapPolygon edited="0">
                    <wp:start x="0" y="0"/>
                    <wp:lineTo x="0" y="21317"/>
                    <wp:lineTo x="21474" y="21317"/>
                    <wp:lineTo x="21474"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988185"/>
                        </a:xfrm>
                        <a:prstGeom prst="rect">
                          <a:avLst/>
                        </a:prstGeom>
                        <a:solidFill>
                          <a:schemeClr val="accent1">
                            <a:lumMod val="20000"/>
                            <a:lumOff val="80000"/>
                          </a:schemeClr>
                        </a:solidFill>
                        <a:ln w="9525">
                          <a:noFill/>
                          <a:miter lim="800000"/>
                          <a:headEnd/>
                          <a:tailEnd/>
                        </a:ln>
                      </wps:spPr>
                      <wps:txbx>
                        <w:txbxContent>
                          <w:p w:rsidR="004800D3" w:rsidRPr="001F222A" w:rsidRDefault="004800D3" w:rsidP="000A6AE1">
                            <w:pPr>
                              <w:rPr>
                                <w:sz w:val="19"/>
                                <w:szCs w:val="19"/>
                                <w:lang w:eastAsia="en-AU"/>
                              </w:rPr>
                            </w:pPr>
                            <w:r w:rsidRPr="001F222A">
                              <w:rPr>
                                <w:sz w:val="19"/>
                                <w:szCs w:val="19"/>
                                <w:lang w:eastAsia="en-AU"/>
                              </w:rPr>
                              <w:t>“</w:t>
                            </w:r>
                            <w:r w:rsidRPr="001F222A">
                              <w:rPr>
                                <w:i/>
                                <w:sz w:val="19"/>
                                <w:szCs w:val="19"/>
                                <w:lang w:eastAsia="en-AU"/>
                              </w:rPr>
                              <w:t>One of these you have to grant in SWIFTT</w:t>
                            </w:r>
                            <w:r>
                              <w:rPr>
                                <w:i/>
                                <w:sz w:val="19"/>
                                <w:szCs w:val="19"/>
                                <w:lang w:eastAsia="en-AU"/>
                              </w:rPr>
                              <w:t>…</w:t>
                            </w:r>
                            <w:r w:rsidRPr="001F222A">
                              <w:rPr>
                                <w:i/>
                                <w:sz w:val="19"/>
                                <w:szCs w:val="19"/>
                                <w:lang w:eastAsia="en-AU"/>
                              </w:rPr>
                              <w:t xml:space="preserve"> it’s a pain.</w:t>
                            </w:r>
                            <w:r w:rsidRPr="001F222A">
                              <w:rPr>
                                <w:sz w:val="19"/>
                                <w:szCs w:val="19"/>
                                <w:lang w:eastAsia="en-AU"/>
                              </w:rPr>
                              <w:t>”</w:t>
                            </w:r>
                          </w:p>
                          <w:p w:rsidR="004800D3" w:rsidRPr="001F222A" w:rsidRDefault="004800D3" w:rsidP="000A6AE1">
                            <w:pPr>
                              <w:rPr>
                                <w:i/>
                                <w:sz w:val="19"/>
                                <w:szCs w:val="19"/>
                                <w:lang w:eastAsia="en-AU"/>
                              </w:rPr>
                            </w:pPr>
                            <w:r w:rsidRPr="001F222A">
                              <w:rPr>
                                <w:sz w:val="19"/>
                                <w:szCs w:val="19"/>
                                <w:lang w:eastAsia="en-AU"/>
                              </w:rPr>
                              <w:t>“</w:t>
                            </w:r>
                            <w:r w:rsidRPr="001F222A">
                              <w:rPr>
                                <w:i/>
                                <w:sz w:val="19"/>
                                <w:szCs w:val="19"/>
                                <w:lang w:eastAsia="en-AU"/>
                              </w:rPr>
                              <w:t>It took two of us to work through [the eligibility criteria]</w:t>
                            </w:r>
                            <w:r>
                              <w:rPr>
                                <w:i/>
                                <w:sz w:val="19"/>
                                <w:szCs w:val="19"/>
                                <w:lang w:eastAsia="en-AU"/>
                              </w:rPr>
                              <w:t>.</w:t>
                            </w:r>
                            <w:r w:rsidRPr="001F222A">
                              <w:rPr>
                                <w:i/>
                                <w:sz w:val="19"/>
                                <w:szCs w:val="19"/>
                                <w:lang w:eastAsia="en-AU"/>
                              </w:rPr>
                              <w:t>”</w:t>
                            </w:r>
                          </w:p>
                          <w:p w:rsidR="004800D3" w:rsidRDefault="004800D3" w:rsidP="000A6AE1">
                            <w:pPr>
                              <w:rPr>
                                <w:sz w:val="19"/>
                                <w:szCs w:val="19"/>
                              </w:rPr>
                            </w:pPr>
                            <w:r w:rsidRPr="001F222A">
                              <w:rPr>
                                <w:i/>
                                <w:sz w:val="19"/>
                                <w:szCs w:val="19"/>
                              </w:rPr>
                              <w:t xml:space="preserve">“We thought they were so good for our </w:t>
                            </w:r>
                            <w:r>
                              <w:rPr>
                                <w:i/>
                                <w:sz w:val="19"/>
                                <w:szCs w:val="19"/>
                              </w:rPr>
                              <w:t>recipients</w:t>
                            </w:r>
                            <w:r w:rsidRPr="001F222A">
                              <w:rPr>
                                <w:i/>
                                <w:sz w:val="19"/>
                                <w:szCs w:val="19"/>
                              </w:rPr>
                              <w:t>… we had to jump so many barriers</w:t>
                            </w:r>
                            <w:r>
                              <w:rPr>
                                <w:i/>
                                <w:sz w:val="19"/>
                                <w:szCs w:val="19"/>
                              </w:rPr>
                              <w:t>..</w:t>
                            </w:r>
                            <w:r w:rsidRPr="001F222A">
                              <w:rPr>
                                <w:i/>
                                <w:sz w:val="19"/>
                                <w:szCs w:val="19"/>
                              </w:rPr>
                              <w:t>.</w:t>
                            </w:r>
                            <w:r w:rsidRPr="001F222A">
                              <w:rPr>
                                <w:sz w:val="19"/>
                                <w:szCs w:val="19"/>
                              </w:rPr>
                              <w:t>”</w:t>
                            </w:r>
                          </w:p>
                          <w:p w:rsidR="004800D3" w:rsidRPr="001F222A" w:rsidRDefault="004800D3" w:rsidP="000A6AE1">
                            <w:pPr>
                              <w:rPr>
                                <w:sz w:val="19"/>
                                <w:szCs w:val="19"/>
                                <w:lang w:eastAsia="en-AU"/>
                              </w:rPr>
                            </w:pPr>
                            <w:r>
                              <w:rPr>
                                <w:sz w:val="19"/>
                                <w:szCs w:val="19"/>
                              </w:rPr>
                              <w:t>- Case managers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9.65pt;margin-top:.5pt;width:162.95pt;height:156.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" fillcolor="#dbe5f1 [660]" stroked="f">
                <v:textbox>
                  <w:txbxContent>
                    <w:p w:rsidR="004800D3" w:rsidRPr="001F222A" w:rsidRDefault="004800D3" w:rsidP="000A6AE1">
                      <w:pPr>
                        <w:rPr>
                          <w:sz w:val="19"/>
                          <w:szCs w:val="19"/>
                          <w:lang w:eastAsia="en-AU"/>
                        </w:rPr>
                      </w:pPr>
                      <w:r w:rsidRPr="001F222A">
                        <w:rPr>
                          <w:sz w:val="19"/>
                          <w:szCs w:val="19"/>
                          <w:lang w:eastAsia="en-AU"/>
                        </w:rPr>
                        <w:t>“</w:t>
                      </w:r>
                      <w:r w:rsidRPr="001F222A">
                        <w:rPr>
                          <w:i/>
                          <w:sz w:val="19"/>
                          <w:szCs w:val="19"/>
                          <w:lang w:eastAsia="en-AU"/>
                        </w:rPr>
                        <w:t>One of these you have to grant in SWIFTT</w:t>
                      </w:r>
                      <w:r>
                        <w:rPr>
                          <w:i/>
                          <w:sz w:val="19"/>
                          <w:szCs w:val="19"/>
                          <w:lang w:eastAsia="en-AU"/>
                        </w:rPr>
                        <w:t>…</w:t>
                      </w:r>
                      <w:r w:rsidRPr="001F222A">
                        <w:rPr>
                          <w:i/>
                          <w:sz w:val="19"/>
                          <w:szCs w:val="19"/>
                          <w:lang w:eastAsia="en-AU"/>
                        </w:rPr>
                        <w:t xml:space="preserve"> it’s a pain.</w:t>
                      </w:r>
                      <w:r w:rsidRPr="001F222A">
                        <w:rPr>
                          <w:sz w:val="19"/>
                          <w:szCs w:val="19"/>
                          <w:lang w:eastAsia="en-AU"/>
                        </w:rPr>
                        <w:t>”</w:t>
                      </w:r>
                    </w:p>
                    <w:p w:rsidR="004800D3" w:rsidRPr="001F222A" w:rsidRDefault="004800D3" w:rsidP="000A6AE1">
                      <w:pPr>
                        <w:rPr>
                          <w:i/>
                          <w:sz w:val="19"/>
                          <w:szCs w:val="19"/>
                          <w:lang w:eastAsia="en-AU"/>
                        </w:rPr>
                      </w:pPr>
                      <w:r w:rsidRPr="001F222A">
                        <w:rPr>
                          <w:sz w:val="19"/>
                          <w:szCs w:val="19"/>
                          <w:lang w:eastAsia="en-AU"/>
                        </w:rPr>
                        <w:t>“</w:t>
                      </w:r>
                      <w:r w:rsidRPr="001F222A">
                        <w:rPr>
                          <w:i/>
                          <w:sz w:val="19"/>
                          <w:szCs w:val="19"/>
                          <w:lang w:eastAsia="en-AU"/>
                        </w:rPr>
                        <w:t>It took two of us to work through [the eligibility criteria]</w:t>
                      </w:r>
                      <w:r>
                        <w:rPr>
                          <w:i/>
                          <w:sz w:val="19"/>
                          <w:szCs w:val="19"/>
                          <w:lang w:eastAsia="en-AU"/>
                        </w:rPr>
                        <w:t>.</w:t>
                      </w:r>
                      <w:r w:rsidRPr="001F222A">
                        <w:rPr>
                          <w:i/>
                          <w:sz w:val="19"/>
                          <w:szCs w:val="19"/>
                          <w:lang w:eastAsia="en-AU"/>
                        </w:rPr>
                        <w:t>”</w:t>
                      </w:r>
                    </w:p>
                    <w:p w:rsidR="004800D3" w:rsidRDefault="004800D3" w:rsidP="000A6AE1">
                      <w:pPr>
                        <w:rPr>
                          <w:sz w:val="19"/>
                          <w:szCs w:val="19"/>
                        </w:rPr>
                      </w:pPr>
                      <w:r w:rsidRPr="001F222A">
                        <w:rPr>
                          <w:i/>
                          <w:sz w:val="19"/>
                          <w:szCs w:val="19"/>
                        </w:rPr>
                        <w:t xml:space="preserve">“We thought they were so good for our </w:t>
                      </w:r>
                      <w:r>
                        <w:rPr>
                          <w:i/>
                          <w:sz w:val="19"/>
                          <w:szCs w:val="19"/>
                        </w:rPr>
                        <w:t>recipients</w:t>
                      </w:r>
                      <w:r w:rsidRPr="001F222A">
                        <w:rPr>
                          <w:i/>
                          <w:sz w:val="19"/>
                          <w:szCs w:val="19"/>
                        </w:rPr>
                        <w:t>… we had to jump so many barriers</w:t>
                      </w:r>
                      <w:r>
                        <w:rPr>
                          <w:i/>
                          <w:sz w:val="19"/>
                          <w:szCs w:val="19"/>
                        </w:rPr>
                        <w:t>..</w:t>
                      </w:r>
                      <w:r w:rsidRPr="001F222A">
                        <w:rPr>
                          <w:i/>
                          <w:sz w:val="19"/>
                          <w:szCs w:val="19"/>
                        </w:rPr>
                        <w:t>.</w:t>
                      </w:r>
                      <w:r w:rsidRPr="001F222A">
                        <w:rPr>
                          <w:sz w:val="19"/>
                          <w:szCs w:val="19"/>
                        </w:rPr>
                        <w:t>”</w:t>
                      </w:r>
                    </w:p>
                    <w:p w:rsidR="004800D3" w:rsidRPr="001F222A" w:rsidRDefault="004800D3" w:rsidP="000A6AE1">
                      <w:pPr>
                        <w:rPr>
                          <w:sz w:val="19"/>
                          <w:szCs w:val="19"/>
                          <w:lang w:eastAsia="en-AU"/>
                        </w:rPr>
                      </w:pPr>
                      <w:r>
                        <w:rPr>
                          <w:sz w:val="19"/>
                          <w:szCs w:val="19"/>
                        </w:rPr>
                        <w:t>- Case managers</w:t>
                      </w:r>
                    </w:p>
                  </w:txbxContent>
                </v:textbox>
                <w10:wrap type="tight"/>
              </v:shape>
            </w:pict>
          </mc:Fallback>
        </mc:AlternateContent>
      </w:r>
      <w:r w:rsidR="00FE0195">
        <w:rPr>
          <w:lang w:eastAsia="en-AU"/>
        </w:rPr>
        <w:t>C</w:t>
      </w:r>
      <w:r w:rsidR="00825C48">
        <w:rPr>
          <w:lang w:eastAsia="en-AU"/>
        </w:rPr>
        <w:t>ase managers</w:t>
      </w:r>
      <w:r w:rsidR="00FE0195">
        <w:rPr>
          <w:lang w:eastAsia="en-AU"/>
        </w:rPr>
        <w:t xml:space="preserve"> also</w:t>
      </w:r>
      <w:r w:rsidR="00825C48">
        <w:rPr>
          <w:lang w:eastAsia="en-AU"/>
        </w:rPr>
        <w:t xml:space="preserve"> agreed that HSPs are difficult to administer and that this is a major barrier to their </w:t>
      </w:r>
      <w:r w:rsidR="00E55991">
        <w:rPr>
          <w:lang w:eastAsia="en-AU"/>
        </w:rPr>
        <w:t>use</w:t>
      </w:r>
      <w:r w:rsidR="00825C48">
        <w:rPr>
          <w:lang w:eastAsia="en-AU"/>
        </w:rPr>
        <w:t>.</w:t>
      </w:r>
      <w:r w:rsidR="00FE0195" w:rsidRPr="00FE0195">
        <w:t xml:space="preserve"> </w:t>
      </w:r>
      <w:r w:rsidR="00FE0195">
        <w:t>They are difficult to find information about</w:t>
      </w:r>
      <w:r w:rsidR="000A6AE1">
        <w:t>,</w:t>
      </w:r>
      <w:r w:rsidR="00FE0195">
        <w:t xml:space="preserve"> </w:t>
      </w:r>
      <w:r w:rsidR="002337E2">
        <w:rPr>
          <w:lang w:eastAsia="en-AU"/>
        </w:rPr>
        <w:t xml:space="preserve">are not administered in the same </w:t>
      </w:r>
      <w:r w:rsidR="00AD4E4C">
        <w:rPr>
          <w:lang w:eastAsia="en-AU"/>
        </w:rPr>
        <w:t xml:space="preserve">IT </w:t>
      </w:r>
      <w:r w:rsidR="002337E2">
        <w:rPr>
          <w:lang w:eastAsia="en-AU"/>
        </w:rPr>
        <w:t>systems</w:t>
      </w:r>
      <w:r w:rsidR="000A6AE1">
        <w:rPr>
          <w:lang w:eastAsia="en-AU"/>
        </w:rPr>
        <w:t>,</w:t>
      </w:r>
      <w:r w:rsidR="002337E2">
        <w:rPr>
          <w:lang w:eastAsia="en-AU"/>
        </w:rPr>
        <w:t xml:space="preserve"> and the eligibility criteria is more complicated than other forms of assistance.</w:t>
      </w:r>
      <w:r w:rsidR="00FE0195">
        <w:rPr>
          <w:lang w:eastAsia="en-AU"/>
        </w:rPr>
        <w:t xml:space="preserve"> Further, g</w:t>
      </w:r>
      <w:r w:rsidR="00FE0195">
        <w:t xml:space="preserve">uidelines about the use of HSPs have been </w:t>
      </w:r>
      <w:r w:rsidR="00CE5F5A">
        <w:t xml:space="preserve">unclear. For example, there was confusion among case managers about whether </w:t>
      </w:r>
      <w:r w:rsidR="00FE0195">
        <w:t>HSPs</w:t>
      </w:r>
      <w:r w:rsidR="00CE5F5A">
        <w:t xml:space="preserve"> can be used for </w:t>
      </w:r>
      <w:r w:rsidR="00FD4351">
        <w:t>recipients</w:t>
      </w:r>
      <w:r w:rsidR="00CE5F5A">
        <w:t xml:space="preserve"> not in </w:t>
      </w:r>
      <w:r w:rsidR="00D1727F">
        <w:t>public housing</w:t>
      </w:r>
      <w:r w:rsidR="00CE5F5A">
        <w:t xml:space="preserve">, which </w:t>
      </w:r>
      <w:r w:rsidR="009E0B3F">
        <w:t>is consistent with patterns of</w:t>
      </w:r>
      <w:r w:rsidR="00CE5F5A">
        <w:t xml:space="preserve"> limit</w:t>
      </w:r>
      <w:r w:rsidR="009E0B3F">
        <w:t>ed</w:t>
      </w:r>
      <w:r w:rsidR="00CE5F5A">
        <w:t xml:space="preserve"> use in regions with low volumes of </w:t>
      </w:r>
      <w:r w:rsidR="00D1727F">
        <w:t>public housing</w:t>
      </w:r>
      <w:r w:rsidR="009E0B3F">
        <w:t xml:space="preserve"> (eg Wairarapa)</w:t>
      </w:r>
      <w:r w:rsidR="00CE5F5A">
        <w:t xml:space="preserve">. </w:t>
      </w:r>
      <w:r w:rsidR="0091458C">
        <w:t>Some mentioned that they understood the HSP fund to be capped and so assumed it had already been exhausted (this perception was incorrect).</w:t>
      </w:r>
    </w:p>
    <w:p w:rsidR="00CA6001" w:rsidRDefault="00CA6001" w:rsidP="00CE5F5A">
      <w:r>
        <w:rPr>
          <w:lang w:eastAsia="en-AU"/>
        </w:rPr>
        <w:t xml:space="preserve">Case managers also commented on the ease of use of other products relative to HSPs. For example, they found it easier to use </w:t>
      </w:r>
      <w:r w:rsidRPr="00FA44C8">
        <w:rPr>
          <w:lang w:eastAsia="en-AU"/>
        </w:rPr>
        <w:t>business as usual</w:t>
      </w:r>
      <w:r>
        <w:rPr>
          <w:lang w:eastAsia="en-AU"/>
        </w:rPr>
        <w:t xml:space="preserve"> products than the less familiar HSPs.</w:t>
      </w:r>
    </w:p>
    <w:p w:rsidR="00386EAA" w:rsidRDefault="00386EAA" w:rsidP="00386EAA">
      <w:pPr>
        <w:rPr>
          <w:lang w:eastAsia="en-AU"/>
        </w:rPr>
      </w:pPr>
      <w:r>
        <w:rPr>
          <w:lang w:eastAsia="en-AU"/>
        </w:rPr>
        <w:br w:type="page"/>
      </w:r>
    </w:p>
    <w:p w:rsidR="003B2E7A" w:rsidRPr="008A7E90" w:rsidRDefault="002517C5" w:rsidP="00FA44C8">
      <w:pPr>
        <w:pStyle w:val="Heading1"/>
        <w:ind w:right="-46"/>
      </w:pPr>
      <w:bookmarkStart w:id="76" w:name="_Toc516161722"/>
      <w:r>
        <w:lastRenderedPageBreak/>
        <w:t xml:space="preserve">Actionable </w:t>
      </w:r>
      <w:r w:rsidR="00417A5A">
        <w:t>insights</w:t>
      </w:r>
      <w:bookmarkEnd w:id="76"/>
    </w:p>
    <w:p w:rsidR="0058689B" w:rsidRDefault="002E0939" w:rsidP="002E0939">
      <w:r>
        <w:t xml:space="preserve">In this section we </w:t>
      </w:r>
      <w:r w:rsidR="00DC23BA">
        <w:t xml:space="preserve">make recommendations based on the </w:t>
      </w:r>
      <w:r w:rsidR="00045C0E">
        <w:t>research findings</w:t>
      </w:r>
      <w:r w:rsidR="00F3116D">
        <w:t>,</w:t>
      </w:r>
      <w:r w:rsidR="00045C0E">
        <w:t xml:space="preserve"> </w:t>
      </w:r>
      <w:r w:rsidR="00DC23BA">
        <w:t xml:space="preserve">to </w:t>
      </w:r>
      <w:r w:rsidR="00045C0E">
        <w:t>be considered</w:t>
      </w:r>
      <w:r w:rsidR="00DC23BA">
        <w:t xml:space="preserve"> by MSD</w:t>
      </w:r>
      <w:r w:rsidR="00F3116D">
        <w:t xml:space="preserve"> </w:t>
      </w:r>
      <w:r w:rsidR="00045C0E">
        <w:t>to</w:t>
      </w:r>
      <w:r w:rsidR="00F3116D">
        <w:t xml:space="preserve"> review and</w:t>
      </w:r>
      <w:r w:rsidR="00045C0E">
        <w:t xml:space="preserve"> improve HSPs.</w:t>
      </w:r>
      <w:r w:rsidR="00DC23BA" w:rsidRPr="00045C0E">
        <w:t xml:space="preserve"> </w:t>
      </w:r>
      <w:r w:rsidR="00DC23BA">
        <w:t>Any</w:t>
      </w:r>
      <w:r w:rsidR="00045C0E">
        <w:t xml:space="preserve"> implementation of these suggestions requires consider</w:t>
      </w:r>
      <w:r w:rsidR="001F27CA">
        <w:t>ation</w:t>
      </w:r>
      <w:r w:rsidR="00045C0E">
        <w:t xml:space="preserve"> alongside other factors such as cost, competing priorities, and wider issues.</w:t>
      </w:r>
      <w:r w:rsidR="000B1801">
        <w:t xml:space="preserve"> HSPs constitute a range of </w:t>
      </w:r>
      <w:r w:rsidR="00F3116D">
        <w:t xml:space="preserve">relatively </w:t>
      </w:r>
      <w:r w:rsidR="000B1801">
        <w:t xml:space="preserve">low-value products spread across the </w:t>
      </w:r>
      <w:r w:rsidR="00F3116D">
        <w:t xml:space="preserve">welfare and housing </w:t>
      </w:r>
      <w:r w:rsidR="000B1801">
        <w:t>system</w:t>
      </w:r>
      <w:r w:rsidR="00F3116D">
        <w:t>s</w:t>
      </w:r>
      <w:r w:rsidR="000B1801">
        <w:t xml:space="preserve">, and thus consolidating </w:t>
      </w:r>
      <w:r w:rsidR="00C56538">
        <w:t xml:space="preserve">HSPs </w:t>
      </w:r>
      <w:r w:rsidR="00F3116D">
        <w:t xml:space="preserve">may </w:t>
      </w:r>
      <w:r w:rsidR="000B1801">
        <w:t>be considered.</w:t>
      </w:r>
    </w:p>
    <w:p w:rsidR="00611478" w:rsidRDefault="00611478" w:rsidP="00611478">
      <w:pPr>
        <w:pStyle w:val="Heading2"/>
      </w:pPr>
      <w:bookmarkStart w:id="77" w:name="_Toc516161723"/>
      <w:r>
        <w:t>Strengthen the effectiveness of HSPs</w:t>
      </w:r>
      <w:bookmarkEnd w:id="77"/>
    </w:p>
    <w:p w:rsidR="003B2E7A" w:rsidRDefault="003B2E7A" w:rsidP="003B2E7A">
      <w:pPr>
        <w:pStyle w:val="Heading3"/>
      </w:pPr>
      <w:bookmarkStart w:id="78" w:name="_Toc495912019"/>
      <w:bookmarkStart w:id="79" w:name="_Toc499900037"/>
      <w:bookmarkStart w:id="80" w:name="_Toc506453067"/>
      <w:bookmarkStart w:id="81" w:name="_Toc510692755"/>
      <w:r>
        <w:t xml:space="preserve">Streamline the range of products – </w:t>
      </w:r>
      <w:r w:rsidR="00D96474">
        <w:t>consider review of</w:t>
      </w:r>
      <w:r>
        <w:t xml:space="preserve"> Transition to Alternative Housing</w:t>
      </w:r>
      <w:r w:rsidR="00AC0988">
        <w:t xml:space="preserve"> Grant</w:t>
      </w:r>
      <w:r>
        <w:t xml:space="preserve"> and Tenancy Costs Cover</w:t>
      </w:r>
      <w:bookmarkEnd w:id="78"/>
      <w:bookmarkEnd w:id="79"/>
      <w:bookmarkEnd w:id="80"/>
      <w:bookmarkEnd w:id="81"/>
    </w:p>
    <w:p w:rsidR="004A05AB" w:rsidRDefault="00272BF4" w:rsidP="003B2E7A">
      <w:r>
        <w:t>Research findings suggest that</w:t>
      </w:r>
      <w:r w:rsidR="007A711B">
        <w:t xml:space="preserve"> </w:t>
      </w:r>
      <w:r>
        <w:t>re-considering</w:t>
      </w:r>
      <w:r w:rsidR="007A711B">
        <w:t xml:space="preserve"> the offering of HSPs </w:t>
      </w:r>
      <w:r>
        <w:t>may be beneficial; in particular consolidating the offering</w:t>
      </w:r>
      <w:r w:rsidR="007A711B">
        <w:t xml:space="preserve"> those products which are most helpful. For example, Bond Grant, Letting Fees Assistance and Rent in A</w:t>
      </w:r>
      <w:r w:rsidR="004B3B27">
        <w:t>dvance</w:t>
      </w:r>
      <w:r w:rsidR="007A711B">
        <w:t xml:space="preserve"> are the most important to maintain. </w:t>
      </w:r>
      <w:r w:rsidR="00CD1F0D">
        <w:t xml:space="preserve">Repeat use of these products </w:t>
      </w:r>
      <w:r w:rsidR="00C90E25">
        <w:t xml:space="preserve">and clustered amounts being granted at their caps </w:t>
      </w:r>
      <w:r w:rsidR="00570FB1">
        <w:t xml:space="preserve">may </w:t>
      </w:r>
      <w:r w:rsidR="00CD1F0D">
        <w:t xml:space="preserve">also suggest they do not always meet the actual cost of these services, and </w:t>
      </w:r>
      <w:r w:rsidR="004A05AB">
        <w:t>further evidence is needed to understand how well the caps on these products reflect actual costs.</w:t>
      </w:r>
    </w:p>
    <w:p w:rsidR="002517C5" w:rsidRDefault="007A711B" w:rsidP="003B2E7A">
      <w:r>
        <w:t xml:space="preserve">In contrast, </w:t>
      </w:r>
      <w:r w:rsidR="003B2E7A">
        <w:t xml:space="preserve">the Transition to Alternative Housing Grant is not being well used and is </w:t>
      </w:r>
      <w:r w:rsidR="004B3B27">
        <w:t>more costly</w:t>
      </w:r>
      <w:r w:rsidR="003B2E7A">
        <w:t xml:space="preserve"> </w:t>
      </w:r>
      <w:r w:rsidR="004B3B27">
        <w:t>than other more common HSPs</w:t>
      </w:r>
      <w:r w:rsidR="003B2E7A">
        <w:t xml:space="preserve">. </w:t>
      </w:r>
      <w:r w:rsidR="002517C5">
        <w:t>Consequently, its value and potential impact should be reconsidered</w:t>
      </w:r>
      <w:r w:rsidR="00D96474">
        <w:t xml:space="preserve"> or investigated further</w:t>
      </w:r>
      <w:r w:rsidR="002517C5">
        <w:t>.</w:t>
      </w:r>
    </w:p>
    <w:p w:rsidR="002517C5" w:rsidRDefault="002517C5" w:rsidP="003B2E7A">
      <w:r>
        <w:t xml:space="preserve">Similarly, we recommend discontinuing </w:t>
      </w:r>
      <w:r w:rsidR="003B2E7A">
        <w:t xml:space="preserve">Tenancy Costs Cover </w:t>
      </w:r>
      <w:r>
        <w:t xml:space="preserve">for </w:t>
      </w:r>
      <w:r w:rsidR="00A919F7">
        <w:t>three</w:t>
      </w:r>
      <w:r>
        <w:t xml:space="preserve"> reasons</w:t>
      </w:r>
      <w:r w:rsidR="009C515D">
        <w:t>.</w:t>
      </w:r>
    </w:p>
    <w:p w:rsidR="00EE622B" w:rsidRDefault="000F3747" w:rsidP="00FA44C8">
      <w:pPr>
        <w:pStyle w:val="Numbering"/>
        <w:spacing w:before="120" w:after="120"/>
        <w:ind w:left="425" w:hanging="425"/>
      </w:pPr>
      <w:r>
        <w:t>I</w:t>
      </w:r>
      <w:r w:rsidR="00EE622B">
        <w:t xml:space="preserve">t is </w:t>
      </w:r>
      <w:r>
        <w:t xml:space="preserve">used less than any other HSP </w:t>
      </w:r>
      <w:r w:rsidR="00EE622B">
        <w:t>–</w:t>
      </w:r>
      <w:r w:rsidR="00400749">
        <w:t xml:space="preserve"> only granted 71</w:t>
      </w:r>
      <w:r w:rsidR="00EE622B">
        <w:t xml:space="preserve"> </w:t>
      </w:r>
      <w:r>
        <w:t>times.</w:t>
      </w:r>
    </w:p>
    <w:p w:rsidR="000F3747" w:rsidRDefault="00D96474" w:rsidP="00FA44C8">
      <w:pPr>
        <w:pStyle w:val="Numbering"/>
        <w:spacing w:before="120" w:after="120"/>
        <w:ind w:left="425" w:hanging="425"/>
      </w:pPr>
      <w:r>
        <w:t>Case managers stated that i</w:t>
      </w:r>
      <w:r w:rsidR="003B2E7A">
        <w:t xml:space="preserve">t is likely to actually </w:t>
      </w:r>
      <w:r w:rsidR="003B2E7A" w:rsidRPr="00EE622B">
        <w:rPr>
          <w:i/>
        </w:rPr>
        <w:t>decrease</w:t>
      </w:r>
      <w:r w:rsidR="003B2E7A">
        <w:t xml:space="preserve"> the chances of </w:t>
      </w:r>
      <w:r w:rsidR="00FD4351">
        <w:t>recipients</w:t>
      </w:r>
      <w:r w:rsidR="003B2E7A">
        <w:t xml:space="preserve"> obtaining alternative housing, by alerting landlords to the likelihood that </w:t>
      </w:r>
      <w:r w:rsidR="00FD4351">
        <w:t>recipients</w:t>
      </w:r>
      <w:r w:rsidR="000F3747">
        <w:t xml:space="preserve"> will damage the property.</w:t>
      </w:r>
    </w:p>
    <w:p w:rsidR="000F3747" w:rsidRDefault="000F3747" w:rsidP="00FA44C8">
      <w:pPr>
        <w:pStyle w:val="Numbering"/>
        <w:spacing w:before="120" w:after="120"/>
        <w:ind w:left="425" w:hanging="425"/>
      </w:pPr>
      <w:r>
        <w:t>I</w:t>
      </w:r>
      <w:r w:rsidR="004B3B27">
        <w:t xml:space="preserve">ts aim runs counter to the intention of Housing Support Products broadly – </w:t>
      </w:r>
      <w:r w:rsidR="00FD4351">
        <w:t>recipients</w:t>
      </w:r>
      <w:r w:rsidR="004B3B27">
        <w:t xml:space="preserve"> who require assurance</w:t>
      </w:r>
      <w:r w:rsidR="00B44716">
        <w:t xml:space="preserve"> for future landlords</w:t>
      </w:r>
      <w:r w:rsidR="004B3B27">
        <w:t xml:space="preserve"> to cover costs beyond a normal bond amount </w:t>
      </w:r>
      <w:r w:rsidR="00D96474">
        <w:t>may</w:t>
      </w:r>
      <w:r w:rsidR="004B3B27">
        <w:t xml:space="preserve"> not be </w:t>
      </w:r>
      <w:r w:rsidR="00D96474">
        <w:t>likely</w:t>
      </w:r>
      <w:r w:rsidR="004B3B27">
        <w:t xml:space="preserve"> to sustain alternative housing.</w:t>
      </w:r>
    </w:p>
    <w:p w:rsidR="003B2E7A" w:rsidRDefault="003B2E7A" w:rsidP="000F3747">
      <w:r>
        <w:t xml:space="preserve">Similarly, </w:t>
      </w:r>
      <w:r w:rsidR="00CC15CB">
        <w:t xml:space="preserve">redesigning </w:t>
      </w:r>
      <w:r>
        <w:t xml:space="preserve">Statements of Satisfactory Tenancy should be </w:t>
      </w:r>
      <w:r w:rsidR="00B44716">
        <w:t>considered</w:t>
      </w:r>
      <w:r w:rsidR="00861B0E">
        <w:t xml:space="preserve"> (in collaboration with housing providers, who issue the Statements)</w:t>
      </w:r>
      <w:r>
        <w:t xml:space="preserve"> so that they provide a reference for tenants without igniting landlords’ potential stigma about </w:t>
      </w:r>
      <w:r w:rsidR="00FD4351">
        <w:t>recipients</w:t>
      </w:r>
      <w:r>
        <w:t xml:space="preserve"> in </w:t>
      </w:r>
      <w:r w:rsidR="00D1727F">
        <w:t>public housing</w:t>
      </w:r>
      <w:r>
        <w:t xml:space="preserve">. </w:t>
      </w:r>
    </w:p>
    <w:p w:rsidR="003B2E7A" w:rsidRDefault="003B2E7A" w:rsidP="003B2E7A">
      <w:pPr>
        <w:pStyle w:val="Heading3"/>
      </w:pPr>
      <w:bookmarkStart w:id="82" w:name="_Toc495912020"/>
      <w:bookmarkStart w:id="83" w:name="_Toc499900038"/>
      <w:bookmarkStart w:id="84" w:name="_Toc506453068"/>
      <w:bookmarkStart w:id="85" w:name="_Toc510692756"/>
      <w:r>
        <w:t xml:space="preserve">Maintain focus on particular client groups and use pre-approval </w:t>
      </w:r>
      <w:r w:rsidR="00CB2863">
        <w:br/>
      </w:r>
      <w:r>
        <w:t>as an incentive</w:t>
      </w:r>
      <w:bookmarkEnd w:id="82"/>
      <w:bookmarkEnd w:id="83"/>
      <w:bookmarkEnd w:id="84"/>
      <w:bookmarkEnd w:id="85"/>
    </w:p>
    <w:p w:rsidR="003B2E7A" w:rsidRDefault="003B2E7A" w:rsidP="003B2E7A">
      <w:r>
        <w:t xml:space="preserve">It is particularly important to maintain the unique qualities of HSPs that make them useful for </w:t>
      </w:r>
      <w:r w:rsidR="00FD4351">
        <w:t>recipients</w:t>
      </w:r>
      <w:r>
        <w:t xml:space="preserve">. We recommend maintaining the current income limits for HSPs as they enable </w:t>
      </w:r>
      <w:r w:rsidR="00FD4351">
        <w:t>recipients</w:t>
      </w:r>
      <w:r>
        <w:t xml:space="preserve"> who cannot get other forms of support to access HSPs instead. </w:t>
      </w:r>
    </w:p>
    <w:p w:rsidR="003B2E7A" w:rsidRDefault="003B2E7A" w:rsidP="003B2E7A">
      <w:r>
        <w:t xml:space="preserve">We also recommend maintaining a focus on </w:t>
      </w:r>
      <w:r w:rsidR="004745D2">
        <w:t xml:space="preserve">the </w:t>
      </w:r>
      <w:r>
        <w:t xml:space="preserve">likelihood of sustaining alternative housing as a key criterion for HSP eligibility. </w:t>
      </w:r>
      <w:r w:rsidR="003C7811">
        <w:t xml:space="preserve">With this focus, </w:t>
      </w:r>
      <w:r>
        <w:t xml:space="preserve">HSPs </w:t>
      </w:r>
      <w:r w:rsidR="003C7811">
        <w:t>could</w:t>
      </w:r>
      <w:r>
        <w:t xml:space="preserve"> be offered alongside recoverable alternatives </w:t>
      </w:r>
      <w:r w:rsidR="00800EBD">
        <w:t>(</w:t>
      </w:r>
      <w:r w:rsidR="003C7811">
        <w:t>b</w:t>
      </w:r>
      <w:r w:rsidR="00800EBD">
        <w:t>ecause</w:t>
      </w:r>
      <w:r w:rsidR="003C7811">
        <w:t xml:space="preserve"> </w:t>
      </w:r>
      <w:r>
        <w:t>the risk of overuse</w:t>
      </w:r>
      <w:r w:rsidR="00800EBD">
        <w:t xml:space="preserve"> is minimised)</w:t>
      </w:r>
      <w:r>
        <w:t xml:space="preserve">. In </w:t>
      </w:r>
      <w:r>
        <w:lastRenderedPageBreak/>
        <w:t>addition, a stand-down period could be applied</w:t>
      </w:r>
      <w:r w:rsidR="007A711B">
        <w:t xml:space="preserve"> after receiving an HSP package to prevent over-use.</w:t>
      </w:r>
    </w:p>
    <w:p w:rsidR="003B2E7A" w:rsidRDefault="00B44716" w:rsidP="003B2E7A">
      <w:r>
        <w:t xml:space="preserve">If future policy intent of HSPs is focused on </w:t>
      </w:r>
      <w:r w:rsidR="003B2E7A" w:rsidRPr="003F0324">
        <w:t xml:space="preserve">an incentive </w:t>
      </w:r>
      <w:r>
        <w:t xml:space="preserve">for recipients </w:t>
      </w:r>
      <w:r w:rsidR="003B2E7A" w:rsidRPr="003F0324">
        <w:t xml:space="preserve">to leave </w:t>
      </w:r>
      <w:r w:rsidR="00D1727F">
        <w:t>public housing</w:t>
      </w:r>
      <w:r>
        <w:t xml:space="preserve"> (as for the Transition to Alternative Housing Grant)</w:t>
      </w:r>
      <w:r w:rsidR="003B2E7A" w:rsidRPr="003F0324">
        <w:t>,</w:t>
      </w:r>
      <w:r w:rsidR="003B2E7A">
        <w:t xml:space="preserve"> we suggest a pre-approval process whereby </w:t>
      </w:r>
      <w:r w:rsidR="00FD4351">
        <w:t>recipients</w:t>
      </w:r>
      <w:r w:rsidR="003B2E7A">
        <w:t xml:space="preserve"> who are likely to sustain alternative housing but need help meeting the costs of moving are granted pre-approval for HSPs (eg Bond Grant, Rent in Advance, Letting Fees, and a redesigned Statement of Satisfactory Tenancy). </w:t>
      </w:r>
      <w:r w:rsidR="007A711B">
        <w:t xml:space="preserve">Under current HSP settings, </w:t>
      </w:r>
      <w:r w:rsidR="00FD4351">
        <w:t>recipients</w:t>
      </w:r>
      <w:r w:rsidR="007A711B">
        <w:t xml:space="preserve"> are discouraged from even looking for alternative housing, because any efforts to secure a tenancy offer will be wasted if they cannot pay the up-front costs. By contrast, pre-approval for these costs</w:t>
      </w:r>
      <w:r w:rsidR="003B2E7A">
        <w:t xml:space="preserve"> would enable </w:t>
      </w:r>
      <w:r w:rsidR="00FD4351">
        <w:t>recipients</w:t>
      </w:r>
      <w:r w:rsidR="003B2E7A">
        <w:t xml:space="preserve"> to search for alternative housing, safe in the knowledge that they will be able to pay for it when they secure a place. </w:t>
      </w:r>
    </w:p>
    <w:p w:rsidR="003B2E7A" w:rsidRPr="006554DA" w:rsidRDefault="003E7982" w:rsidP="003B2E7A">
      <w:pPr>
        <w:pStyle w:val="Heading3"/>
      </w:pPr>
      <w:bookmarkStart w:id="86" w:name="_Toc495912021"/>
      <w:bookmarkStart w:id="87" w:name="_Toc499900039"/>
      <w:bookmarkStart w:id="88" w:name="_Toc506453069"/>
      <w:bookmarkStart w:id="89" w:name="_Toc510692757"/>
      <w:r>
        <w:t>Simplify</w:t>
      </w:r>
      <w:r w:rsidR="004745D2">
        <w:t xml:space="preserve"> </w:t>
      </w:r>
      <w:r w:rsidR="003B2E7A">
        <w:t xml:space="preserve">administrative </w:t>
      </w:r>
      <w:r>
        <w:t xml:space="preserve">processes and </w:t>
      </w:r>
      <w:r w:rsidR="007113CA">
        <w:t>refresh</w:t>
      </w:r>
      <w:r>
        <w:t xml:space="preserve"> </w:t>
      </w:r>
      <w:r w:rsidR="007113CA">
        <w:t>information</w:t>
      </w:r>
      <w:r w:rsidR="00D0701F">
        <w:t xml:space="preserve"> </w:t>
      </w:r>
      <w:r w:rsidR="00CB2863">
        <w:br/>
      </w:r>
      <w:r w:rsidR="00D0701F">
        <w:t>for case managers</w:t>
      </w:r>
      <w:bookmarkEnd w:id="86"/>
      <w:bookmarkEnd w:id="87"/>
      <w:bookmarkEnd w:id="88"/>
      <w:bookmarkEnd w:id="89"/>
    </w:p>
    <w:p w:rsidR="00CB2863" w:rsidRDefault="00CA6001" w:rsidP="003B2E7A">
      <w:r>
        <w:t>Even though</w:t>
      </w:r>
      <w:r w:rsidR="0073507E">
        <w:t xml:space="preserve"> the policy intent of HSPs </w:t>
      </w:r>
      <w:r>
        <w:t>that they should only be used in</w:t>
      </w:r>
      <w:r w:rsidR="0073507E">
        <w:t xml:space="preserve"> situations </w:t>
      </w:r>
      <w:r w:rsidR="0018783F">
        <w:t>where</w:t>
      </w:r>
      <w:r w:rsidR="006A16BE">
        <w:rPr>
          <w:rStyle w:val="Hyperlink"/>
          <w:noProof/>
          <w:color w:val="auto"/>
          <w:u w:val="none"/>
        </w:rPr>
        <w:t xml:space="preserve"> all other options have been exhausted</w:t>
      </w:r>
      <w:r w:rsidR="0073507E">
        <w:t xml:space="preserve">, case managers </w:t>
      </w:r>
      <w:r>
        <w:t xml:space="preserve">also </w:t>
      </w:r>
      <w:r w:rsidR="0073507E">
        <w:t>identified</w:t>
      </w:r>
      <w:r>
        <w:t xml:space="preserve"> opportunities where the process of using HSPs (in intended situations) could be simplified.</w:t>
      </w:r>
      <w:r w:rsidR="0073507E">
        <w:t xml:space="preserve"> </w:t>
      </w:r>
      <w:r w:rsidR="00EF095C">
        <w:t>Specifically, w</w:t>
      </w:r>
      <w:r w:rsidR="003B2E7A" w:rsidRPr="00F9089F">
        <w:t>e recommend renewed training and/or information about HSPs be given to case managers</w:t>
      </w:r>
      <w:r>
        <w:t xml:space="preserve"> to address incorrect perceptions about when they should be used and current availability</w:t>
      </w:r>
      <w:r w:rsidR="003B2E7A" w:rsidRPr="00F9089F">
        <w:t>.</w:t>
      </w:r>
    </w:p>
    <w:p w:rsidR="003B2E7A" w:rsidRPr="001F43DC" w:rsidRDefault="003B2E7A" w:rsidP="003B2E7A">
      <w:r w:rsidRPr="00F9089F">
        <w:t xml:space="preserve">Patterns of increasing </w:t>
      </w:r>
      <w:r w:rsidR="007A711B">
        <w:t xml:space="preserve">HSP </w:t>
      </w:r>
      <w:r w:rsidRPr="00F9089F">
        <w:t xml:space="preserve">use across time suggest that re-training case managers about HSPs would lead to consistent use across various client situations. </w:t>
      </w:r>
      <w:r w:rsidR="003E7982">
        <w:t xml:space="preserve">Removing the influence of administrative barriers would also strengthen the quality of HSP data </w:t>
      </w:r>
      <w:r w:rsidR="003E7982" w:rsidRPr="00F9089F">
        <w:t>and</w:t>
      </w:r>
      <w:r w:rsidR="003E7982">
        <w:t xml:space="preserve"> thus</w:t>
      </w:r>
      <w:r w:rsidR="003E7982" w:rsidRPr="00F9089F">
        <w:t xml:space="preserve"> </w:t>
      </w:r>
      <w:r w:rsidR="003E7982">
        <w:t>benefit future evaluations</w:t>
      </w:r>
      <w:r w:rsidR="003E7982" w:rsidRPr="00F9089F">
        <w:t>.</w:t>
      </w:r>
    </w:p>
    <w:p w:rsidR="00CD1F0D" w:rsidRDefault="003B2E7A" w:rsidP="003B2E7A">
      <w:r w:rsidRPr="00F9089F">
        <w:t xml:space="preserve">Other </w:t>
      </w:r>
      <w:r>
        <w:t xml:space="preserve">operational barriers </w:t>
      </w:r>
      <w:r w:rsidR="00417A5A">
        <w:t xml:space="preserve">could </w:t>
      </w:r>
      <w:r>
        <w:t>also be reduced and may represent simple solutions</w:t>
      </w:r>
      <w:r w:rsidR="00CB2863">
        <w:t>, for example</w:t>
      </w:r>
      <w:r w:rsidR="00CD1F0D">
        <w:t>:</w:t>
      </w:r>
    </w:p>
    <w:p w:rsidR="00CD1F0D" w:rsidRDefault="003B2E7A" w:rsidP="006A18B7">
      <w:pPr>
        <w:pStyle w:val="ListParagraph"/>
        <w:numPr>
          <w:ilvl w:val="0"/>
          <w:numId w:val="25"/>
        </w:numPr>
        <w:spacing w:before="120" w:after="120"/>
        <w:ind w:left="425" w:hanging="425"/>
        <w:contextualSpacing w:val="0"/>
      </w:pPr>
      <w:r>
        <w:t>locat</w:t>
      </w:r>
      <w:r w:rsidR="005C199B">
        <w:t>ing</w:t>
      </w:r>
      <w:r>
        <w:t xml:space="preserve"> all</w:t>
      </w:r>
      <w:r w:rsidR="00CD1F0D">
        <w:t xml:space="preserve"> HSPs in the same IT system</w:t>
      </w:r>
      <w:r w:rsidR="003C1095">
        <w:t xml:space="preserve"> (this was not done when the policy was introduced due to time constraints)</w:t>
      </w:r>
    </w:p>
    <w:p w:rsidR="00CD1F0D" w:rsidRDefault="003B2E7A" w:rsidP="006A18B7">
      <w:pPr>
        <w:pStyle w:val="ListParagraph"/>
        <w:numPr>
          <w:ilvl w:val="0"/>
          <w:numId w:val="25"/>
        </w:numPr>
        <w:spacing w:before="120" w:after="120"/>
        <w:ind w:left="425" w:hanging="425"/>
        <w:contextualSpacing w:val="0"/>
      </w:pPr>
      <w:r>
        <w:t>increas</w:t>
      </w:r>
      <w:r w:rsidR="005C199B">
        <w:t>ing</w:t>
      </w:r>
      <w:r w:rsidR="00CD1F0D">
        <w:t xml:space="preserve"> the</w:t>
      </w:r>
      <w:r>
        <w:t xml:space="preserve"> visibility</w:t>
      </w:r>
      <w:r w:rsidR="00CD1F0D">
        <w:t xml:space="preserve"> of HSPs</w:t>
      </w:r>
      <w:r>
        <w:t xml:space="preserve"> on </w:t>
      </w:r>
      <w:r w:rsidR="00417A5A">
        <w:t xml:space="preserve">MAP </w:t>
      </w:r>
      <w:r w:rsidR="003A5391">
        <w:t>(</w:t>
      </w:r>
      <w:hyperlink r:id="rId23" w:history="1">
        <w:r w:rsidR="003A5391" w:rsidRPr="00AD2F69">
          <w:rPr>
            <w:rStyle w:val="Hyperlink"/>
          </w:rPr>
          <w:t>MSD’s Guide to Social Development Policy</w:t>
        </w:r>
      </w:hyperlink>
      <w:r w:rsidR="003A5391">
        <w:t xml:space="preserve">) </w:t>
      </w:r>
      <w:r w:rsidR="00AD2F69">
        <w:t>by</w:t>
      </w:r>
      <w:r>
        <w:t xml:space="preserve"> structur</w:t>
      </w:r>
      <w:r w:rsidR="00AD2F69">
        <w:t>ing</w:t>
      </w:r>
      <w:r w:rsidR="00CD1F0D">
        <w:t xml:space="preserve"> their location intuitively</w:t>
      </w:r>
    </w:p>
    <w:p w:rsidR="003B2E7A" w:rsidRDefault="00CD1F0D" w:rsidP="006A18B7">
      <w:pPr>
        <w:pStyle w:val="ListParagraph"/>
        <w:numPr>
          <w:ilvl w:val="0"/>
          <w:numId w:val="25"/>
        </w:numPr>
        <w:spacing w:before="120" w:after="120"/>
        <w:ind w:left="425" w:hanging="425"/>
        <w:contextualSpacing w:val="0"/>
      </w:pPr>
      <w:proofErr w:type="gramStart"/>
      <w:r>
        <w:t>s</w:t>
      </w:r>
      <w:r w:rsidR="00A919F7">
        <w:t>implif</w:t>
      </w:r>
      <w:r w:rsidR="00D0701F">
        <w:t>ying</w:t>
      </w:r>
      <w:proofErr w:type="gramEnd"/>
      <w:r w:rsidR="003B2E7A">
        <w:t xml:space="preserve"> eligibility crit</w:t>
      </w:r>
      <w:r w:rsidR="00D0701F">
        <w:t>eria</w:t>
      </w:r>
      <w:r w:rsidR="003E7982">
        <w:t>.</w:t>
      </w:r>
    </w:p>
    <w:p w:rsidR="00FD2124" w:rsidRDefault="00FD2124" w:rsidP="00FD2124">
      <w:pPr>
        <w:pStyle w:val="Heading3"/>
      </w:pPr>
      <w:bookmarkStart w:id="90" w:name="_Toc499900040"/>
      <w:bookmarkStart w:id="91" w:name="_Toc506453070"/>
      <w:bookmarkStart w:id="92" w:name="_Toc510692758"/>
      <w:r>
        <w:t>Addressing wider issues such as lack of</w:t>
      </w:r>
      <w:r w:rsidR="00C1674E">
        <w:t xml:space="preserve"> affordable ho</w:t>
      </w:r>
      <w:r w:rsidR="005B7E05">
        <w:t>u</w:t>
      </w:r>
      <w:r w:rsidR="00C1674E">
        <w:t xml:space="preserve">sing </w:t>
      </w:r>
      <w:r>
        <w:t>supply will ensure housing support products are relevant</w:t>
      </w:r>
      <w:bookmarkEnd w:id="90"/>
      <w:bookmarkEnd w:id="91"/>
      <w:bookmarkEnd w:id="92"/>
    </w:p>
    <w:p w:rsidR="00FD2124" w:rsidRPr="00A36C6C" w:rsidRDefault="00FD2124" w:rsidP="00FD2124">
      <w:pPr>
        <w:rPr>
          <w:lang w:eastAsia="en-AU"/>
        </w:rPr>
      </w:pPr>
      <w:r>
        <w:rPr>
          <w:lang w:eastAsia="en-AU"/>
        </w:rPr>
        <w:t xml:space="preserve">Focus group participants raised the point that HSPs can only be of use when </w:t>
      </w:r>
      <w:r w:rsidR="00FD4351">
        <w:rPr>
          <w:lang w:eastAsia="en-AU"/>
        </w:rPr>
        <w:t>recipients</w:t>
      </w:r>
      <w:r>
        <w:rPr>
          <w:lang w:eastAsia="en-AU"/>
        </w:rPr>
        <w:t xml:space="preserve"> have somewhere to move to in the first place. Consequently, addressing wider issues such as adequate affordable housing supply is of primary importance for ensuring HSPs are effective. Without suitable properties to move to, </w:t>
      </w:r>
      <w:r w:rsidR="00FD4351">
        <w:rPr>
          <w:lang w:eastAsia="en-AU"/>
        </w:rPr>
        <w:t>recipients</w:t>
      </w:r>
      <w:r>
        <w:rPr>
          <w:lang w:eastAsia="en-AU"/>
        </w:rPr>
        <w:t xml:space="preserve"> are not in a position to </w:t>
      </w:r>
      <w:r w:rsidR="004745D2">
        <w:rPr>
          <w:lang w:eastAsia="en-AU"/>
        </w:rPr>
        <w:t xml:space="preserve">use </w:t>
      </w:r>
      <w:r>
        <w:rPr>
          <w:lang w:eastAsia="en-AU"/>
        </w:rPr>
        <w:t>housing support products</w:t>
      </w:r>
      <w:r w:rsidR="004745D2">
        <w:rPr>
          <w:lang w:eastAsia="en-AU"/>
        </w:rPr>
        <w:t>.</w:t>
      </w:r>
    </w:p>
    <w:p w:rsidR="00611478" w:rsidRDefault="00611478" w:rsidP="00611478">
      <w:pPr>
        <w:pStyle w:val="Heading2"/>
      </w:pPr>
      <w:bookmarkStart w:id="93" w:name="_Toc516161724"/>
      <w:r>
        <w:lastRenderedPageBreak/>
        <w:t>Generate more robust data about HSPs</w:t>
      </w:r>
      <w:bookmarkEnd w:id="93"/>
    </w:p>
    <w:p w:rsidR="00082BF4" w:rsidRDefault="0067329A" w:rsidP="00A13141">
      <w:pPr>
        <w:pStyle w:val="Heading3"/>
      </w:pPr>
      <w:bookmarkStart w:id="94" w:name="_Toc495912023"/>
      <w:bookmarkStart w:id="95" w:name="_Toc499900042"/>
      <w:bookmarkStart w:id="96" w:name="_Toc506453072"/>
      <w:bookmarkStart w:id="97" w:name="_Toc510692760"/>
      <w:r>
        <w:t xml:space="preserve">Consider </w:t>
      </w:r>
      <w:r w:rsidR="002665F2">
        <w:t>whether</w:t>
      </w:r>
      <w:r w:rsidR="00082BF4">
        <w:t xml:space="preserve"> counterfactual evidence</w:t>
      </w:r>
      <w:r w:rsidR="002665F2">
        <w:t xml:space="preserve"> </w:t>
      </w:r>
      <w:r w:rsidR="001D092E">
        <w:t>is</w:t>
      </w:r>
      <w:r w:rsidR="002665F2">
        <w:t xml:space="preserve"> helpful</w:t>
      </w:r>
      <w:r w:rsidR="001D092E">
        <w:t xml:space="preserve"> and can be gathered;</w:t>
      </w:r>
      <w:r w:rsidR="002665F2">
        <w:t xml:space="preserve"> balance its potential value against practical limitations</w:t>
      </w:r>
      <w:bookmarkEnd w:id="94"/>
      <w:bookmarkEnd w:id="95"/>
      <w:bookmarkEnd w:id="96"/>
      <w:bookmarkEnd w:id="97"/>
      <w:r w:rsidR="00082BF4">
        <w:t xml:space="preserve"> </w:t>
      </w:r>
    </w:p>
    <w:p w:rsidR="005C199B" w:rsidRDefault="005C199B" w:rsidP="005C199B">
      <w:r>
        <w:t xml:space="preserve">The </w:t>
      </w:r>
      <w:r w:rsidR="00E043FB">
        <w:t>data</w:t>
      </w:r>
      <w:r>
        <w:t xml:space="preserve"> used for this review consisted of information about HSPs, HSP </w:t>
      </w:r>
      <w:r w:rsidR="00FD4351">
        <w:t>recipients</w:t>
      </w:r>
      <w:r>
        <w:t xml:space="preserve"> and their outcomes. While this type of </w:t>
      </w:r>
      <w:r w:rsidR="00BD665B">
        <w:t>statistical</w:t>
      </w:r>
      <w:r>
        <w:t xml:space="preserve"> evidence is valuable in showing the outcomes associated with HSP use, it is vulnerable to alternative explanations. For example, we saw that HSP </w:t>
      </w:r>
      <w:r w:rsidR="00FD4351">
        <w:t>recipients</w:t>
      </w:r>
      <w:r>
        <w:t xml:space="preserve"> are likely to leave (and stay out of) </w:t>
      </w:r>
      <w:r w:rsidR="00D1727F">
        <w:t>public housing</w:t>
      </w:r>
      <w:r>
        <w:t xml:space="preserve"> within a month of receiving HSPs. However, we cannot say whether this is </w:t>
      </w:r>
      <w:r w:rsidRPr="00BF432E">
        <w:t>because</w:t>
      </w:r>
      <w:r>
        <w:t xml:space="preserve"> they received HSPs or because of some other factor(s). </w:t>
      </w:r>
      <w:r w:rsidR="00E043FB">
        <w:t xml:space="preserve">For example, </w:t>
      </w:r>
      <w:r>
        <w:t xml:space="preserve">HSP </w:t>
      </w:r>
      <w:r w:rsidR="00FD4351">
        <w:t>recipients</w:t>
      </w:r>
      <w:r>
        <w:t xml:space="preserve"> may have successfully maintained alternative housing even </w:t>
      </w:r>
      <w:r w:rsidRPr="00BF432E">
        <w:t>without</w:t>
      </w:r>
      <w:r>
        <w:t xml:space="preserve"> HSPs because they were already in a stable financial position and ready to move.</w:t>
      </w:r>
      <w:r w:rsidR="00EF095C">
        <w:t xml:space="preserve"> Similarly, we also cannot tell whether initial moves to alternative housing are maintained</w:t>
      </w:r>
      <w:r w:rsidR="00E043FB">
        <w:t xml:space="preserve"> and whether they represent qualitatively positive outcome</w:t>
      </w:r>
      <w:r w:rsidR="008115DE">
        <w:t xml:space="preserve">s – just because a client is not in </w:t>
      </w:r>
      <w:r w:rsidR="00D1727F">
        <w:t>public housing</w:t>
      </w:r>
      <w:r w:rsidR="008115DE">
        <w:t xml:space="preserve"> does not necessarily mean they are better off</w:t>
      </w:r>
      <w:r w:rsidR="00EF095C">
        <w:t>.</w:t>
      </w:r>
      <w:r w:rsidR="008115DE" w:rsidRPr="008115DE">
        <w:t xml:space="preserve"> </w:t>
      </w:r>
      <w:r w:rsidR="008115DE">
        <w:t>Options such as systematic follow-up from case managers</w:t>
      </w:r>
      <w:r w:rsidR="008115DE" w:rsidRPr="008115DE">
        <w:t xml:space="preserve"> </w:t>
      </w:r>
      <w:r w:rsidR="008115DE">
        <w:t xml:space="preserve">with HSP </w:t>
      </w:r>
      <w:r w:rsidR="00FD4351">
        <w:t>recipients</w:t>
      </w:r>
      <w:r w:rsidR="008115DE">
        <w:t xml:space="preserve"> might be considered as a way to address these questions.</w:t>
      </w:r>
    </w:p>
    <w:p w:rsidR="006110BC" w:rsidRPr="006110BC" w:rsidRDefault="00CB2863" w:rsidP="005C199B">
      <w:r>
        <w:t>To</w:t>
      </w:r>
      <w:r w:rsidR="005C199B">
        <w:t xml:space="preserve"> attribute the outcomes of HSP </w:t>
      </w:r>
      <w:r w:rsidR="00FD4351">
        <w:t>recipients</w:t>
      </w:r>
      <w:r w:rsidR="005C199B">
        <w:t xml:space="preserve"> to HSPs </w:t>
      </w:r>
      <w:r w:rsidR="006110BC">
        <w:t xml:space="preserve">specifically, it is necessary to generate comparable evidence for the outcomes of </w:t>
      </w:r>
      <w:r w:rsidR="00FD4351">
        <w:t>recipients</w:t>
      </w:r>
      <w:r w:rsidR="006110BC">
        <w:t xml:space="preserve"> who are similar to HSP </w:t>
      </w:r>
      <w:r w:rsidR="00FD4351">
        <w:t>recipients</w:t>
      </w:r>
      <w:r w:rsidR="006110BC">
        <w:t xml:space="preserve"> in as many ways as possible but do </w:t>
      </w:r>
      <w:r w:rsidR="006110BC" w:rsidRPr="00BF432E">
        <w:t>not</w:t>
      </w:r>
      <w:r w:rsidR="002665F2">
        <w:t xml:space="preserve"> receive</w:t>
      </w:r>
      <w:r w:rsidR="006110BC">
        <w:t xml:space="preserve"> HSPs. This evidence then enables comparisons to be drawn between the two groups and any differences in outcomes can be attributed to HSPs.</w:t>
      </w:r>
      <w:r w:rsidR="00EF095C">
        <w:t xml:space="preserve"> However, </w:t>
      </w:r>
      <w:r w:rsidR="006110BC">
        <w:t>such counterfactual evidence can also be problematic for practical reasons (eg it could be very difficult to find or obtain data about a group that obtains and maintains alternative housing without receiving HSPs or a similar support</w:t>
      </w:r>
      <w:r w:rsidR="008115DE">
        <w:t xml:space="preserve">; we also don’t know how many people try to move but can’t and so they remain in </w:t>
      </w:r>
      <w:r w:rsidR="00D1727F">
        <w:t>public housing</w:t>
      </w:r>
      <w:r w:rsidR="006110BC">
        <w:t>). Consequently, the potential value of counterfactual evidence needs to be balanced with operational limitations, and conclusions considered in this context.</w:t>
      </w:r>
      <w:r w:rsidR="008115DE">
        <w:t xml:space="preserve"> </w:t>
      </w:r>
    </w:p>
    <w:p w:rsidR="00A13141" w:rsidRDefault="00082BF4" w:rsidP="00A13141">
      <w:pPr>
        <w:pStyle w:val="Heading3"/>
      </w:pPr>
      <w:bookmarkStart w:id="98" w:name="_Toc495912024"/>
      <w:bookmarkStart w:id="99" w:name="_Toc499900043"/>
      <w:bookmarkStart w:id="100" w:name="_Toc506453073"/>
      <w:bookmarkStart w:id="101" w:name="_Toc510692761"/>
      <w:r>
        <w:t>Address limitations of quantitative data with improved a</w:t>
      </w:r>
      <w:r w:rsidR="00A13141">
        <w:t>dministrative processes</w:t>
      </w:r>
      <w:bookmarkEnd w:id="98"/>
      <w:bookmarkEnd w:id="99"/>
      <w:bookmarkEnd w:id="100"/>
      <w:bookmarkEnd w:id="101"/>
    </w:p>
    <w:p w:rsidR="00A13141" w:rsidRDefault="00A13141" w:rsidP="006A18B7">
      <w:pPr>
        <w:rPr>
          <w:lang w:eastAsia="en-AU"/>
        </w:rPr>
      </w:pPr>
      <w:r w:rsidRPr="00A867AE">
        <w:rPr>
          <w:lang w:eastAsia="en-AU"/>
        </w:rPr>
        <w:t>A num</w:t>
      </w:r>
      <w:r>
        <w:rPr>
          <w:lang w:eastAsia="en-AU"/>
        </w:rPr>
        <w:t xml:space="preserve">ber of factors potentially limit the value of the quantitative data </w:t>
      </w:r>
      <w:r w:rsidR="00A40D5E">
        <w:rPr>
          <w:lang w:eastAsia="en-AU"/>
        </w:rPr>
        <w:t xml:space="preserve">gathered on HSPs, and addressing these will strengthen the value of future reviews. </w:t>
      </w:r>
      <w:r>
        <w:rPr>
          <w:lang w:eastAsia="en-AU"/>
        </w:rPr>
        <w:t>Firstly, not all HSPs are administered in the same IT system: Bond Grant, Letting Fees Assistance and Moving Assistance are administered in CURAM</w:t>
      </w:r>
      <w:r w:rsidR="00654D4B">
        <w:rPr>
          <w:lang w:eastAsia="en-AU"/>
        </w:rPr>
        <w:t xml:space="preserve"> (MSD’s client management system or CMS)</w:t>
      </w:r>
      <w:r>
        <w:rPr>
          <w:lang w:eastAsia="en-AU"/>
        </w:rPr>
        <w:t>, whereas Rent in Advance is administered in SWIFT</w:t>
      </w:r>
      <w:r w:rsidR="00654D4B">
        <w:rPr>
          <w:lang w:eastAsia="en-AU"/>
        </w:rPr>
        <w:t>T (Social Welfare Information for Tomorrow Today)</w:t>
      </w:r>
      <w:r>
        <w:rPr>
          <w:lang w:eastAsia="en-AU"/>
        </w:rPr>
        <w:t xml:space="preserve">. This complicates </w:t>
      </w:r>
      <w:r w:rsidR="00CB2863">
        <w:rPr>
          <w:lang w:eastAsia="en-AU"/>
        </w:rPr>
        <w:t xml:space="preserve">how the HSPs </w:t>
      </w:r>
      <w:r w:rsidR="009B5875">
        <w:rPr>
          <w:lang w:eastAsia="en-AU"/>
        </w:rPr>
        <w:t>are administered</w:t>
      </w:r>
      <w:r w:rsidR="00CB2863">
        <w:rPr>
          <w:lang w:eastAsia="en-AU"/>
        </w:rPr>
        <w:t xml:space="preserve"> </w:t>
      </w:r>
      <w:r>
        <w:rPr>
          <w:lang w:eastAsia="en-AU"/>
        </w:rPr>
        <w:t>and raises the possibility that other similar products (eg</w:t>
      </w:r>
      <w:r w:rsidR="00654D4B">
        <w:rPr>
          <w:lang w:eastAsia="en-AU"/>
        </w:rPr>
        <w:t>,</w:t>
      </w:r>
      <w:r>
        <w:rPr>
          <w:lang w:eastAsia="en-AU"/>
        </w:rPr>
        <w:t xml:space="preserve"> recoverable forms of Bond Assistance) are used instead to deliver products from the same administrative system.</w:t>
      </w:r>
      <w:r w:rsidR="00A40D5E">
        <w:rPr>
          <w:lang w:eastAsia="en-AU"/>
        </w:rPr>
        <w:t xml:space="preserve"> We recommend co-locating all HSP</w:t>
      </w:r>
      <w:r w:rsidR="00654D4B">
        <w:rPr>
          <w:lang w:eastAsia="en-AU"/>
        </w:rPr>
        <w:t>s</w:t>
      </w:r>
      <w:r w:rsidR="00D0701F">
        <w:rPr>
          <w:lang w:eastAsia="en-AU"/>
        </w:rPr>
        <w:t xml:space="preserve"> in the same system so that data about HSPs is a consistent and accurate reflection of their demand and use.</w:t>
      </w:r>
    </w:p>
    <w:p w:rsidR="00A13141" w:rsidRDefault="00A13141" w:rsidP="006A18B7">
      <w:pPr>
        <w:rPr>
          <w:lang w:eastAsia="en-AU"/>
        </w:rPr>
      </w:pPr>
      <w:r>
        <w:rPr>
          <w:lang w:eastAsia="en-AU"/>
        </w:rPr>
        <w:t>Secondly, HSPs overlap with many other more commonly administered products (eg</w:t>
      </w:r>
      <w:r w:rsidR="00654D4B">
        <w:rPr>
          <w:lang w:eastAsia="en-AU"/>
        </w:rPr>
        <w:t>,</w:t>
      </w:r>
      <w:r>
        <w:rPr>
          <w:lang w:eastAsia="en-AU"/>
        </w:rPr>
        <w:t xml:space="preserve"> the recoverable Bond Assistance mentioned above). </w:t>
      </w:r>
      <w:r w:rsidR="00256138">
        <w:rPr>
          <w:lang w:eastAsia="en-AU"/>
        </w:rPr>
        <w:t xml:space="preserve">The </w:t>
      </w:r>
      <w:r>
        <w:rPr>
          <w:lang w:eastAsia="en-AU"/>
        </w:rPr>
        <w:t xml:space="preserve">data </w:t>
      </w:r>
      <w:r w:rsidR="00256138">
        <w:rPr>
          <w:lang w:eastAsia="en-AU"/>
        </w:rPr>
        <w:t xml:space="preserve">used </w:t>
      </w:r>
      <w:r w:rsidR="001456C3">
        <w:rPr>
          <w:lang w:eastAsia="en-AU"/>
        </w:rPr>
        <w:t>for this review</w:t>
      </w:r>
      <w:r w:rsidR="00256138">
        <w:rPr>
          <w:lang w:eastAsia="en-AU"/>
        </w:rPr>
        <w:t xml:space="preserve"> did</w:t>
      </w:r>
      <w:r>
        <w:rPr>
          <w:lang w:eastAsia="en-AU"/>
        </w:rPr>
        <w:t xml:space="preserve"> not </w:t>
      </w:r>
      <w:r w:rsidR="00256138">
        <w:rPr>
          <w:lang w:eastAsia="en-AU"/>
        </w:rPr>
        <w:t>include</w:t>
      </w:r>
      <w:r>
        <w:rPr>
          <w:lang w:eastAsia="en-AU"/>
        </w:rPr>
        <w:t xml:space="preserve"> these alternatives and so we cannot assess their potential influence.</w:t>
      </w:r>
      <w:r w:rsidR="00A40D5E">
        <w:rPr>
          <w:lang w:eastAsia="en-AU"/>
        </w:rPr>
        <w:t xml:space="preserve"> If this comparison is of value to understanding the use of HSPs, we recommend research on this in future reviews.</w:t>
      </w:r>
    </w:p>
    <w:p w:rsidR="00A13141" w:rsidRDefault="00A13141" w:rsidP="006A18B7">
      <w:pPr>
        <w:rPr>
          <w:lang w:eastAsia="en-AU"/>
        </w:rPr>
      </w:pPr>
      <w:r>
        <w:rPr>
          <w:lang w:eastAsia="en-AU"/>
        </w:rPr>
        <w:t xml:space="preserve">Third, Letting Fees Assistance is labelled in </w:t>
      </w:r>
      <w:r w:rsidR="00256138">
        <w:rPr>
          <w:lang w:eastAsia="en-AU"/>
        </w:rPr>
        <w:t>administrative systems</w:t>
      </w:r>
      <w:r>
        <w:rPr>
          <w:lang w:eastAsia="en-AU"/>
        </w:rPr>
        <w:t xml:space="preserve"> as “Letting Fees Non-beneficiaries”, which implies that it is not appropriate for </w:t>
      </w:r>
      <w:r w:rsidR="00FD4351">
        <w:rPr>
          <w:lang w:eastAsia="en-AU"/>
        </w:rPr>
        <w:t>recipients</w:t>
      </w:r>
      <w:r>
        <w:rPr>
          <w:lang w:eastAsia="en-AU"/>
        </w:rPr>
        <w:t xml:space="preserve"> receiving a</w:t>
      </w:r>
      <w:r w:rsidR="0030446A">
        <w:rPr>
          <w:lang w:eastAsia="en-AU"/>
        </w:rPr>
        <w:t xml:space="preserve"> main</w:t>
      </w:r>
      <w:r>
        <w:rPr>
          <w:lang w:eastAsia="en-AU"/>
        </w:rPr>
        <w:t xml:space="preserve"> </w:t>
      </w:r>
      <w:r>
        <w:rPr>
          <w:lang w:eastAsia="en-AU"/>
        </w:rPr>
        <w:lastRenderedPageBreak/>
        <w:t xml:space="preserve">benefit. This </w:t>
      </w:r>
      <w:r w:rsidR="00CB2863">
        <w:rPr>
          <w:lang w:eastAsia="en-AU"/>
        </w:rPr>
        <w:t xml:space="preserve">labelling </w:t>
      </w:r>
      <w:r>
        <w:rPr>
          <w:lang w:eastAsia="en-AU"/>
        </w:rPr>
        <w:t xml:space="preserve">could be expected to discourage its use by case managers for </w:t>
      </w:r>
      <w:r w:rsidR="00FD4351">
        <w:rPr>
          <w:lang w:eastAsia="en-AU"/>
        </w:rPr>
        <w:t>recipients</w:t>
      </w:r>
      <w:r>
        <w:rPr>
          <w:lang w:eastAsia="en-AU"/>
        </w:rPr>
        <w:t xml:space="preserve"> receiving a</w:t>
      </w:r>
      <w:r w:rsidR="0030446A">
        <w:rPr>
          <w:lang w:eastAsia="en-AU"/>
        </w:rPr>
        <w:t xml:space="preserve"> main</w:t>
      </w:r>
      <w:r>
        <w:rPr>
          <w:lang w:eastAsia="en-AU"/>
        </w:rPr>
        <w:t xml:space="preserve"> benefit, even though this product is for both beneficiaries and non-beneficiaries.</w:t>
      </w:r>
      <w:r w:rsidR="00A40D5E">
        <w:rPr>
          <w:lang w:eastAsia="en-AU"/>
        </w:rPr>
        <w:t xml:space="preserve"> We recommend re-labelling it more accurately (eg Letting Fees Assistance).</w:t>
      </w:r>
    </w:p>
    <w:p w:rsidR="00A40D5E" w:rsidRDefault="00A40D5E" w:rsidP="00A40D5E">
      <w:pPr>
        <w:pStyle w:val="Heading3"/>
      </w:pPr>
      <w:bookmarkStart w:id="102" w:name="_Toc495912025"/>
      <w:bookmarkStart w:id="103" w:name="_Toc499900044"/>
      <w:bookmarkStart w:id="104" w:name="_Toc506453074"/>
      <w:bookmarkStart w:id="105" w:name="_Toc510692762"/>
      <w:r>
        <w:t xml:space="preserve">Consider how </w:t>
      </w:r>
      <w:r w:rsidR="004F14DA">
        <w:t xml:space="preserve">quantitative </w:t>
      </w:r>
      <w:r>
        <w:t>data treatments may impact conclusions</w:t>
      </w:r>
      <w:bookmarkEnd w:id="102"/>
      <w:bookmarkEnd w:id="103"/>
      <w:bookmarkEnd w:id="104"/>
      <w:bookmarkEnd w:id="105"/>
    </w:p>
    <w:p w:rsidR="00A13141" w:rsidRDefault="00A13141" w:rsidP="00A13141">
      <w:pPr>
        <w:rPr>
          <w:lang w:eastAsia="en-AU"/>
        </w:rPr>
      </w:pPr>
      <w:bookmarkStart w:id="106" w:name="DataGroupingLimitation"/>
      <w:r>
        <w:rPr>
          <w:lang w:eastAsia="en-AU"/>
        </w:rPr>
        <w:t>Finally</w:t>
      </w:r>
      <w:bookmarkEnd w:id="106"/>
      <w:r>
        <w:rPr>
          <w:lang w:eastAsia="en-AU"/>
        </w:rPr>
        <w:t xml:space="preserve">, limitations may have been introduced into the data by the method of grouping HSPs. </w:t>
      </w:r>
      <w:r w:rsidR="00CB2863">
        <w:rPr>
          <w:lang w:eastAsia="en-AU"/>
        </w:rPr>
        <w:t>To</w:t>
      </w:r>
      <w:r>
        <w:rPr>
          <w:lang w:eastAsia="en-AU"/>
        </w:rPr>
        <w:t xml:space="preserve"> understand the actual </w:t>
      </w:r>
      <w:r w:rsidR="00BD665B">
        <w:rPr>
          <w:lang w:eastAsia="en-AU"/>
        </w:rPr>
        <w:t>associations</w:t>
      </w:r>
      <w:r>
        <w:rPr>
          <w:lang w:eastAsia="en-AU"/>
        </w:rPr>
        <w:t xml:space="preserve"> of HSPs </w:t>
      </w:r>
      <w:r w:rsidR="00BD665B">
        <w:rPr>
          <w:lang w:eastAsia="en-AU"/>
        </w:rPr>
        <w:t>with</w:t>
      </w:r>
      <w:r>
        <w:rPr>
          <w:lang w:eastAsia="en-AU"/>
        </w:rPr>
        <w:t xml:space="preserve"> </w:t>
      </w:r>
      <w:r w:rsidR="00BD665B">
        <w:rPr>
          <w:lang w:eastAsia="en-AU"/>
        </w:rPr>
        <w:t>recipient</w:t>
      </w:r>
      <w:r>
        <w:rPr>
          <w:lang w:eastAsia="en-AU"/>
        </w:rPr>
        <w:t xml:space="preserve"> outcomes, it was necessary to group them as ‘occasions’ (which </w:t>
      </w:r>
      <w:r w:rsidR="00A40D5E">
        <w:rPr>
          <w:lang w:eastAsia="en-AU"/>
        </w:rPr>
        <w:t xml:space="preserve">may comprise multiple HSPs </w:t>
      </w:r>
      <w:r>
        <w:rPr>
          <w:lang w:eastAsia="en-AU"/>
        </w:rPr>
        <w:t>administered on different day</w:t>
      </w:r>
      <w:r w:rsidR="00A40D5E">
        <w:rPr>
          <w:lang w:eastAsia="en-AU"/>
        </w:rPr>
        <w:t>s</w:t>
      </w:r>
      <w:r>
        <w:rPr>
          <w:lang w:eastAsia="en-AU"/>
        </w:rPr>
        <w:t xml:space="preserve">, but all aimed at the same life event for a given client) rather than in isolation. Consequently, we elected to group HSP ‘occasions’ according to calendar months, whereby an HSP occasion was defined as a month where a client received one or more HSPs. The main effect of this process is that cases where HSPs were delivered over adjacent calendar months will manifest as two separate occasions when in reality they represent the same life event. </w:t>
      </w:r>
      <w:r w:rsidR="00A40D5E">
        <w:rPr>
          <w:lang w:eastAsia="en-AU"/>
        </w:rPr>
        <w:t xml:space="preserve">This is relevant to the conclusions concerning the </w:t>
      </w:r>
      <w:r>
        <w:rPr>
          <w:lang w:eastAsia="en-AU"/>
        </w:rPr>
        <w:t xml:space="preserve">179 </w:t>
      </w:r>
      <w:r w:rsidR="00FD4351">
        <w:rPr>
          <w:lang w:eastAsia="en-AU"/>
        </w:rPr>
        <w:t>recipients</w:t>
      </w:r>
      <w:r>
        <w:rPr>
          <w:lang w:eastAsia="en-AU"/>
        </w:rPr>
        <w:t xml:space="preserve"> who appeared to be receiving HSPs on two separate occasions</w:t>
      </w:r>
      <w:r w:rsidR="00A40D5E">
        <w:rPr>
          <w:lang w:eastAsia="en-AU"/>
        </w:rPr>
        <w:t>.</w:t>
      </w:r>
      <w:r>
        <w:rPr>
          <w:lang w:eastAsia="en-AU"/>
        </w:rPr>
        <w:t xml:space="preserve"> </w:t>
      </w:r>
      <w:r w:rsidR="004F14DA">
        <w:rPr>
          <w:lang w:eastAsia="en-AU"/>
        </w:rPr>
        <w:t>Two thirds</w:t>
      </w:r>
      <w:r>
        <w:rPr>
          <w:lang w:eastAsia="en-AU"/>
        </w:rPr>
        <w:t xml:space="preserve"> of the</w:t>
      </w:r>
      <w:r w:rsidR="00A40D5E">
        <w:rPr>
          <w:lang w:eastAsia="en-AU"/>
        </w:rPr>
        <w:t xml:space="preserve">se </w:t>
      </w:r>
      <w:r w:rsidR="00FD4351">
        <w:rPr>
          <w:lang w:eastAsia="en-AU"/>
        </w:rPr>
        <w:t>recipients</w:t>
      </w:r>
      <w:r>
        <w:rPr>
          <w:lang w:eastAsia="en-AU"/>
        </w:rPr>
        <w:t xml:space="preserve"> received the two occasions in adjacent calendar months, and so the actual number of </w:t>
      </w:r>
      <w:r w:rsidR="00FD4351">
        <w:rPr>
          <w:lang w:eastAsia="en-AU"/>
        </w:rPr>
        <w:t>recipients</w:t>
      </w:r>
      <w:r>
        <w:rPr>
          <w:lang w:eastAsia="en-AU"/>
        </w:rPr>
        <w:t xml:space="preserve"> who received HSPs on two truly separate occasions </w:t>
      </w:r>
      <w:r w:rsidR="008261CF">
        <w:rPr>
          <w:lang w:eastAsia="en-AU"/>
        </w:rPr>
        <w:t>is likely to</w:t>
      </w:r>
      <w:r>
        <w:rPr>
          <w:lang w:eastAsia="en-AU"/>
        </w:rPr>
        <w:t xml:space="preserve"> be only 60 or fewer. </w:t>
      </w:r>
    </w:p>
    <w:p w:rsidR="00D173CD" w:rsidRDefault="00D173CD" w:rsidP="00A13141">
      <w:pPr>
        <w:rPr>
          <w:lang w:eastAsia="en-AU"/>
        </w:rPr>
      </w:pPr>
      <w:r>
        <w:rPr>
          <w:lang w:eastAsia="en-AU"/>
        </w:rPr>
        <w:t xml:space="preserve">A second data treatment that limits the conclusions is that data on HSP </w:t>
      </w:r>
      <w:r w:rsidR="00FD4351">
        <w:rPr>
          <w:lang w:eastAsia="en-AU"/>
        </w:rPr>
        <w:t>recipients</w:t>
      </w:r>
      <w:r>
        <w:rPr>
          <w:lang w:eastAsia="en-AU"/>
        </w:rPr>
        <w:t xml:space="preserve">’ status (eg whether they were in </w:t>
      </w:r>
      <w:r w:rsidR="00D1727F">
        <w:rPr>
          <w:lang w:eastAsia="en-AU"/>
        </w:rPr>
        <w:t>public housing</w:t>
      </w:r>
      <w:r>
        <w:rPr>
          <w:lang w:eastAsia="en-AU"/>
        </w:rPr>
        <w:t xml:space="preserve"> or on the register) was only obtained as snapshots at three points in time: immediately prior to receiving their first HSP, one month afterwards, and at 30 June 2017. Instead, more detailed information </w:t>
      </w:r>
      <w:r w:rsidR="003E5E8D">
        <w:rPr>
          <w:lang w:eastAsia="en-AU"/>
        </w:rPr>
        <w:t xml:space="preserve">(eg date client left </w:t>
      </w:r>
      <w:r w:rsidR="00D1727F">
        <w:rPr>
          <w:lang w:eastAsia="en-AU"/>
        </w:rPr>
        <w:t>public housing</w:t>
      </w:r>
      <w:r w:rsidR="003E5E8D">
        <w:rPr>
          <w:lang w:eastAsia="en-AU"/>
        </w:rPr>
        <w:t xml:space="preserve">) would enable </w:t>
      </w:r>
      <w:r w:rsidR="00730492">
        <w:rPr>
          <w:lang w:eastAsia="en-AU"/>
        </w:rPr>
        <w:t xml:space="preserve">even more informative </w:t>
      </w:r>
      <w:r w:rsidR="003E5E8D">
        <w:rPr>
          <w:lang w:eastAsia="en-AU"/>
        </w:rPr>
        <w:t>analyses</w:t>
      </w:r>
      <w:r w:rsidR="00730492">
        <w:rPr>
          <w:lang w:eastAsia="en-AU"/>
        </w:rPr>
        <w:t>,</w:t>
      </w:r>
      <w:r w:rsidR="003E5E8D">
        <w:rPr>
          <w:lang w:eastAsia="en-AU"/>
        </w:rPr>
        <w:t xml:space="preserve"> such as length of time spent out of </w:t>
      </w:r>
      <w:r w:rsidR="00D1727F">
        <w:rPr>
          <w:lang w:eastAsia="en-AU"/>
        </w:rPr>
        <w:t>public housing</w:t>
      </w:r>
      <w:r w:rsidR="00730492">
        <w:rPr>
          <w:lang w:eastAsia="en-AU"/>
        </w:rPr>
        <w:t xml:space="preserve"> after receiving HSPs.</w:t>
      </w:r>
    </w:p>
    <w:p w:rsidR="004F14DA" w:rsidRPr="00A867AE" w:rsidRDefault="004F14DA" w:rsidP="004F14DA">
      <w:pPr>
        <w:pStyle w:val="Heading3"/>
      </w:pPr>
      <w:bookmarkStart w:id="107" w:name="_Toc495912026"/>
      <w:bookmarkStart w:id="108" w:name="_Toc499900045"/>
      <w:bookmarkStart w:id="109" w:name="_Toc506453075"/>
      <w:bookmarkStart w:id="110" w:name="_Toc510692763"/>
      <w:r>
        <w:t>Consider how selection of research participants may impact conclusions</w:t>
      </w:r>
      <w:bookmarkEnd w:id="107"/>
      <w:bookmarkEnd w:id="108"/>
      <w:bookmarkEnd w:id="109"/>
      <w:bookmarkEnd w:id="110"/>
    </w:p>
    <w:p w:rsidR="00417A5A" w:rsidRDefault="00A13141" w:rsidP="00A13141">
      <w:pPr>
        <w:rPr>
          <w:lang w:eastAsia="en-AU"/>
        </w:rPr>
      </w:pPr>
      <w:r>
        <w:rPr>
          <w:lang w:eastAsia="en-AU"/>
        </w:rPr>
        <w:t xml:space="preserve">Qualitative research was conducted with the aim of supplementing the quantitative data with insights about aspects of HSPs which would not otherwise </w:t>
      </w:r>
      <w:r w:rsidR="00DD61DB">
        <w:rPr>
          <w:lang w:eastAsia="en-AU"/>
        </w:rPr>
        <w:t xml:space="preserve">be clear. </w:t>
      </w:r>
      <w:r w:rsidR="00417A5A">
        <w:rPr>
          <w:lang w:eastAsia="en-AU"/>
        </w:rPr>
        <w:t>An advantage of this method is that case managers have unique insights based on their direct experience with clients.</w:t>
      </w:r>
    </w:p>
    <w:p w:rsidR="00A13141" w:rsidRDefault="00DD61DB" w:rsidP="00A13141">
      <w:r>
        <w:rPr>
          <w:lang w:eastAsia="en-AU"/>
        </w:rPr>
        <w:t xml:space="preserve">Focus groups with </w:t>
      </w:r>
      <w:r w:rsidR="00417A5A">
        <w:rPr>
          <w:lang w:eastAsia="en-AU"/>
        </w:rPr>
        <w:t xml:space="preserve">the Top 20 MSD </w:t>
      </w:r>
      <w:r w:rsidR="00A13141">
        <w:rPr>
          <w:lang w:eastAsia="en-AU"/>
        </w:rPr>
        <w:t xml:space="preserve">case managers were conducted as a practical option within the timeframe of the project. </w:t>
      </w:r>
      <w:r w:rsidR="00F425A3">
        <w:t xml:space="preserve">However, there </w:t>
      </w:r>
      <w:proofErr w:type="gramStart"/>
      <w:r w:rsidR="00CB2863">
        <w:t>were</w:t>
      </w:r>
      <w:proofErr w:type="gramEnd"/>
      <w:r w:rsidR="00CB2863">
        <w:t xml:space="preserve"> </w:t>
      </w:r>
      <w:r w:rsidR="00F425A3">
        <w:t xml:space="preserve">no housing case managers included in this group. </w:t>
      </w:r>
      <w:r w:rsidR="00417A5A">
        <w:rPr>
          <w:lang w:eastAsia="en-AU"/>
        </w:rPr>
        <w:t>They</w:t>
      </w:r>
      <w:r w:rsidR="00A13141">
        <w:t xml:space="preserve"> are a unique group of work-focused case managers who perform exceptionally well at helping their </w:t>
      </w:r>
      <w:r w:rsidR="00FD4351">
        <w:t>recipients</w:t>
      </w:r>
      <w:r w:rsidR="00A13141">
        <w:t xml:space="preserve"> move off a benefit. Existing work from the Investment Approach team shows that the </w:t>
      </w:r>
      <w:r w:rsidR="00BF432E">
        <w:t>T</w:t>
      </w:r>
      <w:r w:rsidR="00A13141">
        <w:t xml:space="preserve">op 20 case managers </w:t>
      </w:r>
      <w:r w:rsidR="004F14DA">
        <w:t>have a</w:t>
      </w:r>
      <w:r w:rsidR="00A13141">
        <w:t xml:space="preserve"> holistic and in-depth understanding of their </w:t>
      </w:r>
      <w:r w:rsidR="00FD4351">
        <w:t>recipients</w:t>
      </w:r>
      <w:r w:rsidR="00A13141">
        <w:t xml:space="preserve">, </w:t>
      </w:r>
      <w:r w:rsidR="004F14DA">
        <w:t>and an</w:t>
      </w:r>
      <w:r w:rsidR="00A13141">
        <w:t xml:space="preserve"> ability to ‘make things work’ by optimising the use of different supports to meet their </w:t>
      </w:r>
      <w:r w:rsidR="00FD4351">
        <w:t>recipients</w:t>
      </w:r>
      <w:r w:rsidR="00A13141">
        <w:t>’ needs. These characteristics could mean that this group differ from other case managers in ways that a</w:t>
      </w:r>
      <w:r w:rsidR="00AF1E90">
        <w:t>lso impact on their use of HSPs</w:t>
      </w:r>
      <w:r w:rsidR="00A13141">
        <w:t>.</w:t>
      </w:r>
    </w:p>
    <w:p w:rsidR="004F14DA" w:rsidRDefault="004F14DA" w:rsidP="004F14DA">
      <w:pPr>
        <w:pStyle w:val="Heading2"/>
      </w:pPr>
      <w:bookmarkStart w:id="111" w:name="_Toc516161725"/>
      <w:r>
        <w:lastRenderedPageBreak/>
        <w:t>Expand this research approach in future work</w:t>
      </w:r>
      <w:bookmarkEnd w:id="111"/>
    </w:p>
    <w:p w:rsidR="004F14DA" w:rsidRDefault="004F14DA" w:rsidP="004F14DA">
      <w:pPr>
        <w:pStyle w:val="Heading3"/>
      </w:pPr>
      <w:bookmarkStart w:id="112" w:name="_Toc495912028"/>
      <w:bookmarkStart w:id="113" w:name="_Toc499900047"/>
      <w:bookmarkStart w:id="114" w:name="_Toc506453077"/>
      <w:bookmarkStart w:id="115" w:name="_Toc510692765"/>
      <w:r>
        <w:t>Extend qualitative research in subsequent HSP reviews</w:t>
      </w:r>
      <w:bookmarkEnd w:id="112"/>
      <w:bookmarkEnd w:id="113"/>
      <w:bookmarkEnd w:id="114"/>
      <w:bookmarkEnd w:id="115"/>
      <w:r>
        <w:t xml:space="preserve"> </w:t>
      </w:r>
    </w:p>
    <w:p w:rsidR="00DE4343" w:rsidRDefault="007A2362" w:rsidP="00A13141">
      <w:r>
        <w:t xml:space="preserve">We </w:t>
      </w:r>
      <w:r w:rsidR="00DE4343">
        <w:t xml:space="preserve">conducted focus groups with the </w:t>
      </w:r>
      <w:r w:rsidR="00BF432E">
        <w:t>T</w:t>
      </w:r>
      <w:r w:rsidR="00DE4343">
        <w:t xml:space="preserve">op 20 work-focused </w:t>
      </w:r>
      <w:r w:rsidR="00A13141">
        <w:t>case managers</w:t>
      </w:r>
      <w:r w:rsidR="00DE4343">
        <w:t>,</w:t>
      </w:r>
      <w:r w:rsidR="00A13141">
        <w:t xml:space="preserve"> </w:t>
      </w:r>
      <w:r w:rsidR="00DE4343">
        <w:t>who</w:t>
      </w:r>
      <w:r w:rsidR="00A13141">
        <w:t xml:space="preserve"> are likely to have less frequent experience with HSPs than housing case managers.</w:t>
      </w:r>
      <w:r w:rsidR="00DE4343">
        <w:t xml:space="preserve"> In future work, we recommend incorporating the views of housing case managers</w:t>
      </w:r>
      <w:r w:rsidR="00D35358">
        <w:t>, whose greater knowledge of housing need and supports will likely result in more detailed information.</w:t>
      </w:r>
    </w:p>
    <w:p w:rsidR="00A13141" w:rsidRDefault="00F425A3" w:rsidP="00A13141">
      <w:r>
        <w:t xml:space="preserve">Understanding </w:t>
      </w:r>
      <w:r w:rsidR="00DE4343">
        <w:t xml:space="preserve">work-focused case managers potentially </w:t>
      </w:r>
      <w:r>
        <w:t xml:space="preserve">had more </w:t>
      </w:r>
      <w:r w:rsidR="00DE4343">
        <w:t>limited experience with HSPs</w:t>
      </w:r>
      <w:r w:rsidR="00A13141">
        <w:t xml:space="preserve">, we tested the awareness of HSPs with members of the Investment Approach team, including one of the </w:t>
      </w:r>
      <w:r w:rsidR="00CB2863">
        <w:t>T</w:t>
      </w:r>
      <w:r w:rsidR="00A13141">
        <w:t>op 20 case managers</w:t>
      </w:r>
      <w:r>
        <w:t>,</w:t>
      </w:r>
      <w:r w:rsidR="00A13141">
        <w:t xml:space="preserve"> and found that awareness was likely to be high enough to warrant conducting the research.</w:t>
      </w:r>
    </w:p>
    <w:p w:rsidR="00A13141" w:rsidRDefault="00A13141" w:rsidP="00A13141">
      <w:r>
        <w:t xml:space="preserve">Work-focused case managers also offer a valuable perspective on HSPs that takes into account the whole of a client’s situation, whereas housing case managers were less likely to have a holistic view of </w:t>
      </w:r>
      <w:r w:rsidR="00FD4351">
        <w:t>recipients</w:t>
      </w:r>
      <w:r>
        <w:t>’ circumstances.</w:t>
      </w:r>
    </w:p>
    <w:p w:rsidR="0066152C" w:rsidRDefault="00F425A3" w:rsidP="00A13141">
      <w:r>
        <w:t>W</w:t>
      </w:r>
      <w:r w:rsidR="0066152C">
        <w:t>e also recommend future evaluations of HSPs include recipients</w:t>
      </w:r>
      <w:r>
        <w:t xml:space="preserve"> of HSPs</w:t>
      </w:r>
      <w:r w:rsidR="0066152C">
        <w:t xml:space="preserve">. Only recipients (and potential recipients) can provide insights about </w:t>
      </w:r>
      <w:r w:rsidR="005F00F2">
        <w:t>the effect</w:t>
      </w:r>
      <w:r w:rsidR="0066152C">
        <w:t xml:space="preserve">s of HSPs </w:t>
      </w:r>
      <w:r>
        <w:t xml:space="preserve">on </w:t>
      </w:r>
      <w:r w:rsidR="005F00F2">
        <w:t>their lives. While not gathered during this work due to time constraints, recipient perspectives offer unique value and are of key importance when reviewing all forms of public assistance.</w:t>
      </w:r>
    </w:p>
    <w:p w:rsidR="00A13141" w:rsidRDefault="00082BF4" w:rsidP="00A13141">
      <w:pPr>
        <w:pStyle w:val="Heading3"/>
      </w:pPr>
      <w:bookmarkStart w:id="116" w:name="_Toc495912029"/>
      <w:bookmarkStart w:id="117" w:name="_Toc499900048"/>
      <w:bookmarkStart w:id="118" w:name="_Toc506453078"/>
      <w:bookmarkStart w:id="119" w:name="_Toc510692766"/>
      <w:r>
        <w:t xml:space="preserve">Consider </w:t>
      </w:r>
      <w:r w:rsidR="00B059DB">
        <w:t>brief descriptive</w:t>
      </w:r>
      <w:r w:rsidR="00A13141">
        <w:t xml:space="preserve"> </w:t>
      </w:r>
      <w:r>
        <w:t>approach</w:t>
      </w:r>
      <w:r w:rsidR="00B059DB">
        <w:t>es</w:t>
      </w:r>
      <w:r w:rsidR="00A13141">
        <w:t xml:space="preserve"> in future work</w:t>
      </w:r>
      <w:bookmarkEnd w:id="116"/>
      <w:r w:rsidR="00B059DB">
        <w:t xml:space="preserve"> with similar constraints</w:t>
      </w:r>
      <w:bookmarkEnd w:id="117"/>
      <w:bookmarkEnd w:id="118"/>
      <w:bookmarkEnd w:id="119"/>
    </w:p>
    <w:p w:rsidR="00A13141" w:rsidRDefault="00A13141" w:rsidP="00A13141">
      <w:r>
        <w:t xml:space="preserve">This project has also highlighted important points about the approach used for this project that will be valuable in future work for MSD’s Research </w:t>
      </w:r>
      <w:r w:rsidR="0075360D">
        <w:t xml:space="preserve">and </w:t>
      </w:r>
      <w:r>
        <w:t xml:space="preserve">Evaluation team. </w:t>
      </w:r>
      <w:r w:rsidR="00974AE3">
        <w:t>The use of a brief descriptive</w:t>
      </w:r>
      <w:r>
        <w:t xml:space="preserve"> approach was necessary given the time constraints of the project; however </w:t>
      </w:r>
      <w:r w:rsidR="00974AE3">
        <w:t>the combination of practical information from case managers and descriptive statistics from administrative data</w:t>
      </w:r>
      <w:r>
        <w:t xml:space="preserve"> yielded invaluable </w:t>
      </w:r>
      <w:r w:rsidR="00974AE3">
        <w:t>insights</w:t>
      </w:r>
      <w:r>
        <w:t xml:space="preserve"> about HSPs. We recommend </w:t>
      </w:r>
      <w:r w:rsidR="0075360D">
        <w:t>considering</w:t>
      </w:r>
      <w:r>
        <w:t xml:space="preserve"> similar approaches for future Research </w:t>
      </w:r>
      <w:r w:rsidR="0075360D">
        <w:t xml:space="preserve">and </w:t>
      </w:r>
      <w:r>
        <w:t xml:space="preserve">Evaluation work </w:t>
      </w:r>
      <w:r w:rsidR="00B166A7">
        <w:t>where</w:t>
      </w:r>
      <w:r>
        <w:t xml:space="preserve"> in-depth understanding of nuanced topics</w:t>
      </w:r>
      <w:r w:rsidR="00B166A7">
        <w:t xml:space="preserve"> is required</w:t>
      </w:r>
      <w:r>
        <w:t xml:space="preserve"> but </w:t>
      </w:r>
      <w:r w:rsidR="00B166A7">
        <w:t xml:space="preserve">work </w:t>
      </w:r>
      <w:r>
        <w:t>is limited by practical constraints.</w:t>
      </w:r>
    </w:p>
    <w:p w:rsidR="00A13141" w:rsidRPr="005F00F2" w:rsidRDefault="00A13141" w:rsidP="00ED0BC2">
      <w:r>
        <w:t xml:space="preserve">While there are limitations to </w:t>
      </w:r>
      <w:r w:rsidR="00974AE3">
        <w:t>this</w:t>
      </w:r>
      <w:r>
        <w:t xml:space="preserve"> approach, even limited data can still offer significant value to the conclusions drawn. For example, here the quantitative data showed that non-beneficiaries receive over a third of all HSPs, which considered in isolation may suggest HSPs are being used incorrectly. </w:t>
      </w:r>
      <w:proofErr w:type="gramStart"/>
      <w:r>
        <w:t>However</w:t>
      </w:r>
      <w:r w:rsidR="0075360D">
        <w:t>,</w:t>
      </w:r>
      <w:r>
        <w:t xml:space="preserve"> considering this alongside the qualitative data shows that HSPs are particularly useful for this very group of </w:t>
      </w:r>
      <w:r w:rsidR="00FD4351">
        <w:t>recipients</w:t>
      </w:r>
      <w:r w:rsidR="00FA44C8">
        <w:t xml:space="preserve"> </w:t>
      </w:r>
      <w:r w:rsidRPr="00FA44C8">
        <w:t>because</w:t>
      </w:r>
      <w:r>
        <w:t xml:space="preserve"> they do not meet criteria for other forms of assistance – which is exactly what HSPs were originally intended to do.</w:t>
      </w:r>
      <w:proofErr w:type="gramEnd"/>
      <w:r>
        <w:br w:type="page"/>
      </w:r>
    </w:p>
    <w:p w:rsidR="002569DB" w:rsidRPr="008A7E90" w:rsidRDefault="00A13141" w:rsidP="008A7E90">
      <w:pPr>
        <w:pStyle w:val="Heading1"/>
      </w:pPr>
      <w:bookmarkStart w:id="120" w:name="_Toc516161726"/>
      <w:r>
        <w:lastRenderedPageBreak/>
        <w:t xml:space="preserve">Appendix: </w:t>
      </w:r>
      <w:r w:rsidR="003B2E7A">
        <w:t>Method</w:t>
      </w:r>
      <w:r w:rsidR="006A18B7">
        <w:t>ology</w:t>
      </w:r>
      <w:bookmarkEnd w:id="120"/>
    </w:p>
    <w:p w:rsidR="000206E4" w:rsidRDefault="008B0A28" w:rsidP="000206E4">
      <w:pPr>
        <w:pStyle w:val="Heading2"/>
      </w:pPr>
      <w:bookmarkStart w:id="121" w:name="_Toc516161727"/>
      <w:r>
        <w:t>We extracted quantitative data on HSP ‘occasions’ from the Information Analysis Platform</w:t>
      </w:r>
      <w:bookmarkEnd w:id="121"/>
    </w:p>
    <w:p w:rsidR="007D5EAB" w:rsidRDefault="007D5EAB" w:rsidP="00CF7DF9">
      <w:r>
        <w:t>Raw data for</w:t>
      </w:r>
      <w:r w:rsidR="00547D47">
        <w:t xml:space="preserve"> use of</w:t>
      </w:r>
      <w:r>
        <w:t xml:space="preserve"> each HSP product (except Relocation from Auckland Assistance) </w:t>
      </w:r>
      <w:r w:rsidR="00547D47">
        <w:t xml:space="preserve">to 30 June 2017 </w:t>
      </w:r>
      <w:r>
        <w:t>was extracted from MSD’s Information Analys</w:t>
      </w:r>
      <w:r w:rsidR="00CF7DF9">
        <w:t xml:space="preserve">is Platform. Variables included </w:t>
      </w:r>
      <w:r>
        <w:t>client demographics</w:t>
      </w:r>
      <w:r w:rsidR="00CF7DF9">
        <w:t xml:space="preserve">, </w:t>
      </w:r>
      <w:r>
        <w:t>HSP cost</w:t>
      </w:r>
      <w:r w:rsidR="00CF7DF9">
        <w:t xml:space="preserve">, </w:t>
      </w:r>
      <w:r>
        <w:t>client benefit status</w:t>
      </w:r>
      <w:r w:rsidR="00CF7DF9">
        <w:t>,</w:t>
      </w:r>
      <w:r>
        <w:t xml:space="preserve"> and housing status</w:t>
      </w:r>
      <w:r w:rsidR="00CF7DF9">
        <w:t xml:space="preserve"> </w:t>
      </w:r>
      <w:r>
        <w:t>before and after HSP payment</w:t>
      </w:r>
      <w:r w:rsidR="00CF7DF9">
        <w:t>.</w:t>
      </w:r>
    </w:p>
    <w:p w:rsidR="007D5EAB" w:rsidRDefault="007D5EAB" w:rsidP="007D5EAB">
      <w:r>
        <w:t xml:space="preserve">Data on Relocation from Auckland Assistance products was </w:t>
      </w:r>
      <w:r w:rsidR="00C564F9">
        <w:t>gathered from records held by the Housing Service Delivery team.</w:t>
      </w:r>
    </w:p>
    <w:p w:rsidR="00C564F9" w:rsidRPr="007D5EAB" w:rsidRDefault="00C564F9" w:rsidP="007D5EAB">
      <w:r>
        <w:t>All data was grouped by HSP ‘</w:t>
      </w:r>
      <w:r w:rsidR="008B0A28">
        <w:t>occasion’</w:t>
      </w:r>
      <w:r>
        <w:t>, defined as the co-occurrence of one or more HSP payments to the same client within a calendar month.</w:t>
      </w:r>
      <w:r w:rsidR="001456C3">
        <w:t xml:space="preserve"> Data for </w:t>
      </w:r>
      <w:r w:rsidR="00FD4351">
        <w:t>recipients</w:t>
      </w:r>
      <w:r w:rsidR="001456C3">
        <w:t xml:space="preserve">’ status regarding </w:t>
      </w:r>
      <w:r w:rsidR="00D1727F">
        <w:t>public housing</w:t>
      </w:r>
      <w:r w:rsidR="001456C3">
        <w:t xml:space="preserve"> and register was obtained at three time points: </w:t>
      </w:r>
      <w:r w:rsidR="001456C3">
        <w:rPr>
          <w:lang w:eastAsia="en-AU"/>
        </w:rPr>
        <w:t>immediately prior to receiving their first HSP, one month afterwards, and at 30 June 2017.</w:t>
      </w:r>
    </w:p>
    <w:p w:rsidR="000206E4" w:rsidRDefault="008B0A28" w:rsidP="002569DB">
      <w:pPr>
        <w:pStyle w:val="Heading2"/>
      </w:pPr>
      <w:bookmarkStart w:id="122" w:name="_Toc516161728"/>
      <w:r>
        <w:t>We conducted fo</w:t>
      </w:r>
      <w:r w:rsidR="001F43DC">
        <w:t xml:space="preserve">cus groups about HSPs with the </w:t>
      </w:r>
      <w:r w:rsidR="0075360D">
        <w:t>T</w:t>
      </w:r>
      <w:r>
        <w:t xml:space="preserve">op 20 </w:t>
      </w:r>
      <w:r w:rsidR="001F43DC">
        <w:t>c</w:t>
      </w:r>
      <w:r>
        <w:t xml:space="preserve">ase </w:t>
      </w:r>
      <w:r w:rsidR="001F43DC">
        <w:t>m</w:t>
      </w:r>
      <w:r>
        <w:t>anagers</w:t>
      </w:r>
      <w:bookmarkEnd w:id="122"/>
    </w:p>
    <w:p w:rsidR="00647C07" w:rsidRPr="00647C07" w:rsidRDefault="00756DE4" w:rsidP="00756DE4">
      <w:r w:rsidRPr="00756DE4">
        <w:t>Supplementing the quantitative data with a qualitative understanding of HSPs was recommended, in order to gain potential insights into the comparative value of HSPs for different client groups and in different situations</w:t>
      </w:r>
      <w:r w:rsidR="00647C07" w:rsidRPr="00756DE4">
        <w:t>.</w:t>
      </w:r>
    </w:p>
    <w:p w:rsidR="002300EA" w:rsidRDefault="000206E4" w:rsidP="000206E4">
      <w:r>
        <w:t xml:space="preserve">Given the short timeframe of the </w:t>
      </w:r>
      <w:r w:rsidR="008C2438">
        <w:t xml:space="preserve">information requirements, </w:t>
      </w:r>
      <w:r w:rsidR="00CF7DF9">
        <w:t>we</w:t>
      </w:r>
      <w:r w:rsidR="008C2438">
        <w:t xml:space="preserve"> agreed </w:t>
      </w:r>
      <w:r w:rsidR="00CF7DF9">
        <w:t xml:space="preserve">the best approach was </w:t>
      </w:r>
      <w:r w:rsidR="008C2438">
        <w:t xml:space="preserve">to conduct focus groups with the </w:t>
      </w:r>
      <w:r w:rsidR="0075360D">
        <w:t>T</w:t>
      </w:r>
      <w:r w:rsidR="001F43DC">
        <w:t>op</w:t>
      </w:r>
      <w:r w:rsidR="00DD2FF7">
        <w:t xml:space="preserve"> 20 c</w:t>
      </w:r>
      <w:r w:rsidR="008C2438">
        <w:t xml:space="preserve">ase </w:t>
      </w:r>
      <w:r w:rsidR="00DD2FF7">
        <w:t>m</w:t>
      </w:r>
      <w:r w:rsidR="008C2438">
        <w:t xml:space="preserve">anagers. </w:t>
      </w:r>
      <w:r w:rsidR="00DD2FF7">
        <w:t>C</w:t>
      </w:r>
      <w:r w:rsidR="001F43DC">
        <w:t>ase manager</w:t>
      </w:r>
      <w:r w:rsidR="008C2438">
        <w:t xml:space="preserve">s are uniquely placed to be able to comment on the administrative requirements of HSPs and how </w:t>
      </w:r>
      <w:r w:rsidR="001456C3">
        <w:t xml:space="preserve">these might influence their use. They are also aware of the wider context around their </w:t>
      </w:r>
      <w:r w:rsidR="00FD4351">
        <w:t>recipients</w:t>
      </w:r>
      <w:r w:rsidR="001456C3">
        <w:t xml:space="preserve"> and thus can</w:t>
      </w:r>
      <w:r w:rsidR="008C2438">
        <w:t xml:space="preserve"> provide insights into the impact of HSPs for </w:t>
      </w:r>
      <w:r w:rsidR="00FD4351">
        <w:t>recipients</w:t>
      </w:r>
      <w:r w:rsidR="008C2438">
        <w:t xml:space="preserve"> who used them </w:t>
      </w:r>
      <w:r w:rsidR="007D5EAB">
        <w:t>compared to those who do</w:t>
      </w:r>
      <w:r w:rsidR="008C2438">
        <w:t xml:space="preserve"> not</w:t>
      </w:r>
      <w:r w:rsidR="0050389B">
        <w:t>.</w:t>
      </w:r>
      <w:r w:rsidR="008115DE">
        <w:t xml:space="preserve"> However, we do acknowledge that as with all participants, case managers can have biased perspectives too – for example, being passionate about seeing their </w:t>
      </w:r>
      <w:r w:rsidR="00FD4351">
        <w:t>recipients</w:t>
      </w:r>
      <w:r w:rsidR="008115DE">
        <w:t xml:space="preserve"> do well, general human cognitive biases such as better memory for positive and recent events.</w:t>
      </w:r>
    </w:p>
    <w:p w:rsidR="00B33660" w:rsidRPr="000206E4" w:rsidRDefault="00B33660" w:rsidP="00B33660">
      <w:r>
        <w:t>A focus group approach was chosen as it was the most efficient use of limited time in which to gather meaningful and rich data, while also offering the opportunity to explore topics in more depth depending on what participants discussed.</w:t>
      </w:r>
    </w:p>
    <w:p w:rsidR="002569DB" w:rsidRDefault="00F1290B" w:rsidP="002569DB">
      <w:r>
        <w:t xml:space="preserve">A session with the </w:t>
      </w:r>
      <w:r w:rsidR="0075360D">
        <w:t>T</w:t>
      </w:r>
      <w:r w:rsidR="001F43DC">
        <w:t>op</w:t>
      </w:r>
      <w:r>
        <w:t xml:space="preserve"> 20 Case Managers was conducted on 8 August 2017 with four </w:t>
      </w:r>
      <w:r w:rsidR="00DD2FF7">
        <w:t>Insights MSD Research</w:t>
      </w:r>
      <w:r w:rsidR="0075360D">
        <w:t xml:space="preserve"> and</w:t>
      </w:r>
      <w:r w:rsidR="00DD2FF7">
        <w:t xml:space="preserve"> Evaluation</w:t>
      </w:r>
      <w:r>
        <w:t xml:space="preserve"> staff and the Housing Policy project team members.</w:t>
      </w:r>
      <w:r w:rsidR="00647C07">
        <w:t xml:space="preserve"> The session consisted of a whole-group</w:t>
      </w:r>
      <w:r w:rsidR="00D654FA">
        <w:t xml:space="preserve"> introduction to the research </w:t>
      </w:r>
      <w:r w:rsidR="00704C01">
        <w:t xml:space="preserve">and general questions about </w:t>
      </w:r>
      <w:r w:rsidR="00D654FA">
        <w:t>aware</w:t>
      </w:r>
      <w:r w:rsidR="00704C01">
        <w:t>ness and use</w:t>
      </w:r>
      <w:r w:rsidR="00D654FA">
        <w:t xml:space="preserve"> of HSPs. This was followed by </w:t>
      </w:r>
      <w:r w:rsidR="00DD2FF7">
        <w:t>four smaller focus groups (3</w:t>
      </w:r>
      <w:r w:rsidR="0075360D">
        <w:t xml:space="preserve"> to </w:t>
      </w:r>
      <w:r w:rsidR="00DD2FF7">
        <w:t>5 c</w:t>
      </w:r>
      <w:r w:rsidR="00D654FA">
        <w:t xml:space="preserve">ase </w:t>
      </w:r>
      <w:r w:rsidR="00DD2FF7">
        <w:t>m</w:t>
      </w:r>
      <w:r w:rsidR="00D654FA">
        <w:t xml:space="preserve">anagers each) </w:t>
      </w:r>
      <w:r w:rsidR="00647C07">
        <w:t>addressing</w:t>
      </w:r>
      <w:r w:rsidR="00D654FA">
        <w:t xml:space="preserve"> the questions in Table </w:t>
      </w:r>
      <w:r w:rsidR="00345CAB">
        <w:t>3</w:t>
      </w:r>
      <w:r w:rsidR="00D654FA">
        <w:t>.</w:t>
      </w:r>
      <w:r w:rsidR="002A4711">
        <w:t xml:space="preserve"> The session took approximately 45 minutes in total. Audio from each group was digitally recorded and transcribed by </w:t>
      </w:r>
      <w:r w:rsidR="004800D3">
        <w:t xml:space="preserve">MSD’s </w:t>
      </w:r>
      <w:r w:rsidR="00DD2FF7">
        <w:t xml:space="preserve">Research </w:t>
      </w:r>
      <w:r w:rsidR="0075360D">
        <w:t xml:space="preserve">and </w:t>
      </w:r>
      <w:r w:rsidR="00DD2FF7">
        <w:t>Evaluation</w:t>
      </w:r>
      <w:r w:rsidR="002A4711">
        <w:t xml:space="preserve"> team, </w:t>
      </w:r>
      <w:r w:rsidR="004800D3">
        <w:t xml:space="preserve">and </w:t>
      </w:r>
      <w:r w:rsidR="002A4711">
        <w:t>the overall themes of the data</w:t>
      </w:r>
      <w:r w:rsidR="004800D3">
        <w:t xml:space="preserve"> were collated and synthesised</w:t>
      </w:r>
      <w:r w:rsidR="002A4711">
        <w:t>.</w:t>
      </w:r>
    </w:p>
    <w:p w:rsidR="00B059DB" w:rsidRDefault="00B059DB">
      <w:pPr>
        <w:spacing w:before="0" w:after="0" w:line="240" w:lineRule="auto"/>
        <w:rPr>
          <w:b/>
          <w:bCs/>
          <w:color w:val="1F497D" w:themeColor="text2"/>
        </w:rPr>
      </w:pPr>
      <w:r>
        <w:br w:type="page"/>
      </w:r>
    </w:p>
    <w:p w:rsidR="00D654FA" w:rsidRPr="00B54307" w:rsidRDefault="00D654FA" w:rsidP="006A18B7">
      <w:pPr>
        <w:pStyle w:val="Heading4"/>
      </w:pPr>
      <w:r w:rsidRPr="00B54307">
        <w:lastRenderedPageBreak/>
        <w:t xml:space="preserve">Table </w:t>
      </w:r>
      <w:r w:rsidR="00345CAB">
        <w:t>3</w:t>
      </w:r>
      <w:r w:rsidRPr="00B54307">
        <w:t>: Focus group questions</w:t>
      </w:r>
    </w:p>
    <w:tbl>
      <w:tblPr>
        <w:tblStyle w:val="LightList-Accent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639"/>
        <w:gridCol w:w="2597"/>
        <w:gridCol w:w="5006"/>
      </w:tblGrid>
      <w:tr w:rsidR="00084CCE" w:rsidRPr="00084CCE" w:rsidTr="0008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121F6B"/>
          </w:tcPr>
          <w:p w:rsidR="00D654FA" w:rsidRPr="00084CCE" w:rsidRDefault="00704C01" w:rsidP="00D654FA">
            <w:pPr>
              <w:rPr>
                <w:sz w:val="20"/>
              </w:rPr>
            </w:pPr>
            <w:r w:rsidRPr="00084CCE">
              <w:rPr>
                <w:sz w:val="20"/>
              </w:rPr>
              <w:t>T</w:t>
            </w:r>
            <w:r w:rsidR="001F43DC" w:rsidRPr="00084CCE">
              <w:rPr>
                <w:sz w:val="20"/>
              </w:rPr>
              <w:t>op</w:t>
            </w:r>
            <w:r w:rsidR="00D654FA" w:rsidRPr="00084CCE">
              <w:rPr>
                <w:sz w:val="20"/>
              </w:rPr>
              <w:t>ic Focus</w:t>
            </w:r>
          </w:p>
        </w:tc>
        <w:tc>
          <w:tcPr>
            <w:tcW w:w="0" w:type="auto"/>
            <w:shd w:val="clear" w:color="auto" w:fill="121F6B"/>
          </w:tcPr>
          <w:p w:rsidR="00D654FA" w:rsidRPr="00084CCE" w:rsidRDefault="00D654FA" w:rsidP="00D654FA">
            <w:pPr>
              <w:cnfStyle w:val="100000000000" w:firstRow="1" w:lastRow="0" w:firstColumn="0" w:lastColumn="0" w:oddVBand="0" w:evenVBand="0" w:oddHBand="0" w:evenHBand="0" w:firstRowFirstColumn="0" w:firstRowLastColumn="0" w:lastRowFirstColumn="0" w:lastRowLastColumn="0"/>
              <w:rPr>
                <w:sz w:val="20"/>
              </w:rPr>
            </w:pPr>
            <w:r w:rsidRPr="00084CCE">
              <w:rPr>
                <w:sz w:val="20"/>
              </w:rPr>
              <w:t>Main question</w:t>
            </w:r>
          </w:p>
        </w:tc>
        <w:tc>
          <w:tcPr>
            <w:tcW w:w="0" w:type="auto"/>
            <w:shd w:val="clear" w:color="auto" w:fill="121F6B"/>
          </w:tcPr>
          <w:p w:rsidR="00D654FA" w:rsidRPr="00084CCE" w:rsidRDefault="00D654FA" w:rsidP="00D654FA">
            <w:pPr>
              <w:cnfStyle w:val="100000000000" w:firstRow="1" w:lastRow="0" w:firstColumn="0" w:lastColumn="0" w:oddVBand="0" w:evenVBand="0" w:oddHBand="0" w:evenHBand="0" w:firstRowFirstColumn="0" w:firstRowLastColumn="0" w:lastRowFirstColumn="0" w:lastRowLastColumn="0"/>
              <w:rPr>
                <w:sz w:val="20"/>
              </w:rPr>
            </w:pPr>
            <w:r w:rsidRPr="00084CCE">
              <w:rPr>
                <w:sz w:val="20"/>
              </w:rPr>
              <w:t>Optional probes</w:t>
            </w:r>
          </w:p>
        </w:tc>
      </w:tr>
      <w:tr w:rsidR="006A18B7" w:rsidRPr="006A18B7" w:rsidTr="006A1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654FA" w:rsidRPr="006A18B7" w:rsidRDefault="00D654FA" w:rsidP="002A4711">
            <w:pPr>
              <w:pStyle w:val="TableText"/>
              <w:rPr>
                <w:color w:val="000000" w:themeColor="text1"/>
                <w:sz w:val="20"/>
                <w:szCs w:val="20"/>
              </w:rPr>
            </w:pPr>
            <w:r w:rsidRPr="006A18B7">
              <w:rPr>
                <w:color w:val="000000" w:themeColor="text1"/>
                <w:sz w:val="20"/>
                <w:szCs w:val="20"/>
              </w:rPr>
              <w:t>Who and what</w:t>
            </w:r>
          </w:p>
        </w:tc>
        <w:tc>
          <w:tcPr>
            <w:tcW w:w="0" w:type="auto"/>
          </w:tcPr>
          <w:p w:rsidR="00D654FA" w:rsidRPr="006A18B7" w:rsidRDefault="00D654FA" w:rsidP="002A4711">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A18B7">
              <w:rPr>
                <w:color w:val="000000" w:themeColor="text1"/>
                <w:sz w:val="20"/>
                <w:szCs w:val="20"/>
              </w:rPr>
              <w:t>When do you use HSPs?</w:t>
            </w:r>
          </w:p>
        </w:tc>
        <w:tc>
          <w:tcPr>
            <w:tcW w:w="0" w:type="auto"/>
          </w:tcPr>
          <w:p w:rsidR="00D654FA" w:rsidRPr="006A18B7" w:rsidRDefault="00D654FA" w:rsidP="002A4711">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A18B7">
              <w:rPr>
                <w:color w:val="000000" w:themeColor="text1"/>
                <w:sz w:val="20"/>
                <w:szCs w:val="20"/>
              </w:rPr>
              <w:t>Do you actively promote them?</w:t>
            </w:r>
          </w:p>
          <w:p w:rsidR="00D654FA" w:rsidRPr="006A18B7" w:rsidRDefault="00D654FA" w:rsidP="002A4711">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A18B7">
              <w:rPr>
                <w:color w:val="000000" w:themeColor="text1"/>
                <w:sz w:val="20"/>
                <w:szCs w:val="20"/>
              </w:rPr>
              <w:t xml:space="preserve">Which </w:t>
            </w:r>
            <w:r w:rsidR="00FD4351" w:rsidRPr="006A18B7">
              <w:rPr>
                <w:color w:val="000000" w:themeColor="text1"/>
                <w:sz w:val="20"/>
                <w:szCs w:val="20"/>
              </w:rPr>
              <w:t>recipients</w:t>
            </w:r>
            <w:r w:rsidRPr="006A18B7">
              <w:rPr>
                <w:color w:val="000000" w:themeColor="text1"/>
                <w:sz w:val="20"/>
                <w:szCs w:val="20"/>
              </w:rPr>
              <w:t xml:space="preserve"> are HSPs most useful for? (Do you use them for </w:t>
            </w:r>
            <w:r w:rsidR="00D1727F" w:rsidRPr="006A18B7">
              <w:rPr>
                <w:color w:val="000000" w:themeColor="text1"/>
                <w:sz w:val="20"/>
                <w:szCs w:val="20"/>
              </w:rPr>
              <w:t>public housing</w:t>
            </w:r>
            <w:r w:rsidRPr="006A18B7">
              <w:rPr>
                <w:color w:val="000000" w:themeColor="text1"/>
                <w:sz w:val="20"/>
                <w:szCs w:val="20"/>
              </w:rPr>
              <w:t xml:space="preserve"> </w:t>
            </w:r>
            <w:r w:rsidR="00FD4351" w:rsidRPr="006A18B7">
              <w:rPr>
                <w:color w:val="000000" w:themeColor="text1"/>
                <w:sz w:val="20"/>
                <w:szCs w:val="20"/>
              </w:rPr>
              <w:t>recipients</w:t>
            </w:r>
            <w:r w:rsidRPr="006A18B7">
              <w:rPr>
                <w:color w:val="000000" w:themeColor="text1"/>
                <w:sz w:val="20"/>
                <w:szCs w:val="20"/>
              </w:rPr>
              <w:t>, those moving into rentals, private housing, or from homeless into housing?)</w:t>
            </w:r>
          </w:p>
          <w:p w:rsidR="00D654FA" w:rsidRPr="006A18B7" w:rsidRDefault="00D654FA" w:rsidP="002A4711">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A18B7">
              <w:rPr>
                <w:color w:val="000000" w:themeColor="text1"/>
                <w:sz w:val="20"/>
                <w:szCs w:val="20"/>
              </w:rPr>
              <w:t>Which HSPs do you use the most?</w:t>
            </w:r>
          </w:p>
          <w:p w:rsidR="00D654FA" w:rsidRPr="006A18B7" w:rsidRDefault="00D654FA" w:rsidP="002A4711">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A18B7">
              <w:rPr>
                <w:color w:val="000000" w:themeColor="text1"/>
                <w:sz w:val="20"/>
                <w:szCs w:val="20"/>
              </w:rPr>
              <w:t xml:space="preserve">Do you use different types of HSPs along with others, or alone? (Which others? When?) </w:t>
            </w:r>
          </w:p>
          <w:p w:rsidR="00D654FA" w:rsidRPr="006A18B7" w:rsidRDefault="00D654FA" w:rsidP="002A4711">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A18B7">
              <w:rPr>
                <w:color w:val="000000" w:themeColor="text1"/>
                <w:sz w:val="20"/>
                <w:szCs w:val="20"/>
              </w:rPr>
              <w:t>Are there particular HSPs that you do not use? Why?</w:t>
            </w:r>
          </w:p>
        </w:tc>
      </w:tr>
      <w:tr w:rsidR="006A18B7" w:rsidRPr="006A18B7" w:rsidTr="006A18B7">
        <w:tc>
          <w:tcPr>
            <w:cnfStyle w:val="001000000000" w:firstRow="0" w:lastRow="0" w:firstColumn="1" w:lastColumn="0" w:oddVBand="0" w:evenVBand="0" w:oddHBand="0" w:evenHBand="0" w:firstRowFirstColumn="0" w:firstRowLastColumn="0" w:lastRowFirstColumn="0" w:lastRowLastColumn="0"/>
            <w:tcW w:w="0" w:type="auto"/>
          </w:tcPr>
          <w:p w:rsidR="00D654FA" w:rsidRPr="006A18B7" w:rsidRDefault="00D654FA" w:rsidP="002A4711">
            <w:pPr>
              <w:pStyle w:val="TableText"/>
              <w:rPr>
                <w:color w:val="000000" w:themeColor="text1"/>
                <w:sz w:val="20"/>
                <w:szCs w:val="20"/>
              </w:rPr>
            </w:pPr>
            <w:r w:rsidRPr="006A18B7">
              <w:rPr>
                <w:color w:val="000000" w:themeColor="text1"/>
                <w:sz w:val="20"/>
                <w:szCs w:val="20"/>
              </w:rPr>
              <w:t>Impact</w:t>
            </w:r>
          </w:p>
        </w:tc>
        <w:tc>
          <w:tcPr>
            <w:tcW w:w="0" w:type="auto"/>
          </w:tcPr>
          <w:p w:rsidR="00D654FA" w:rsidRPr="006A18B7" w:rsidRDefault="00D654FA" w:rsidP="002A4711">
            <w:pPr>
              <w:pStyle w:val="TableTex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A18B7">
              <w:rPr>
                <w:color w:val="000000" w:themeColor="text1"/>
                <w:sz w:val="20"/>
                <w:szCs w:val="20"/>
              </w:rPr>
              <w:t xml:space="preserve">What difference do HSPs make for </w:t>
            </w:r>
            <w:r w:rsidR="00FD4351" w:rsidRPr="006A18B7">
              <w:rPr>
                <w:color w:val="000000" w:themeColor="text1"/>
                <w:sz w:val="20"/>
                <w:szCs w:val="20"/>
              </w:rPr>
              <w:t>recipients</w:t>
            </w:r>
            <w:r w:rsidRPr="006A18B7">
              <w:rPr>
                <w:color w:val="000000" w:themeColor="text1"/>
                <w:sz w:val="20"/>
                <w:szCs w:val="20"/>
              </w:rPr>
              <w:t>?</w:t>
            </w:r>
          </w:p>
        </w:tc>
        <w:tc>
          <w:tcPr>
            <w:tcW w:w="0" w:type="auto"/>
          </w:tcPr>
          <w:p w:rsidR="00D654FA" w:rsidRPr="006A18B7" w:rsidRDefault="00D654FA" w:rsidP="002A4711">
            <w:pPr>
              <w:pStyle w:val="TableTex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A18B7">
              <w:rPr>
                <w:color w:val="000000" w:themeColor="text1"/>
                <w:sz w:val="20"/>
                <w:szCs w:val="20"/>
              </w:rPr>
              <w:t xml:space="preserve">Do these </w:t>
            </w:r>
            <w:r w:rsidR="00FD4351" w:rsidRPr="006A18B7">
              <w:rPr>
                <w:color w:val="000000" w:themeColor="text1"/>
                <w:sz w:val="20"/>
                <w:szCs w:val="20"/>
              </w:rPr>
              <w:t>recipients</w:t>
            </w:r>
            <w:r w:rsidRPr="006A18B7">
              <w:rPr>
                <w:color w:val="000000" w:themeColor="text1"/>
                <w:sz w:val="20"/>
                <w:szCs w:val="20"/>
              </w:rPr>
              <w:t xml:space="preserve"> sustain alternative housing?</w:t>
            </w:r>
          </w:p>
          <w:p w:rsidR="00D654FA" w:rsidRPr="006A18B7" w:rsidRDefault="00D654FA" w:rsidP="002A4711">
            <w:pPr>
              <w:pStyle w:val="TableTex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A18B7">
              <w:rPr>
                <w:color w:val="000000" w:themeColor="text1"/>
                <w:sz w:val="20"/>
                <w:szCs w:val="20"/>
              </w:rPr>
              <w:t>To what degree is client success attributable to HSPs?</w:t>
            </w:r>
          </w:p>
          <w:p w:rsidR="00D654FA" w:rsidRPr="006A18B7" w:rsidRDefault="00D654FA" w:rsidP="002A4711">
            <w:pPr>
              <w:pStyle w:val="TableTex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A18B7">
              <w:rPr>
                <w:color w:val="000000" w:themeColor="text1"/>
                <w:sz w:val="20"/>
                <w:szCs w:val="20"/>
              </w:rPr>
              <w:t>Which HSPs make the most difference?</w:t>
            </w:r>
          </w:p>
          <w:p w:rsidR="00D654FA" w:rsidRPr="006A18B7" w:rsidRDefault="00D654FA" w:rsidP="002A4711">
            <w:pPr>
              <w:pStyle w:val="TableTex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A18B7">
              <w:rPr>
                <w:color w:val="000000" w:themeColor="text1"/>
                <w:sz w:val="20"/>
                <w:szCs w:val="20"/>
              </w:rPr>
              <w:t xml:space="preserve">Are HSPs </w:t>
            </w:r>
            <w:r w:rsidRPr="006A18B7">
              <w:rPr>
                <w:i/>
                <w:color w:val="000000" w:themeColor="text1"/>
                <w:sz w:val="20"/>
                <w:szCs w:val="20"/>
              </w:rPr>
              <w:t>necessary</w:t>
            </w:r>
            <w:r w:rsidRPr="006A18B7">
              <w:rPr>
                <w:color w:val="000000" w:themeColor="text1"/>
                <w:sz w:val="20"/>
                <w:szCs w:val="20"/>
              </w:rPr>
              <w:t xml:space="preserve"> for </w:t>
            </w:r>
            <w:r w:rsidR="00FD4351" w:rsidRPr="006A18B7">
              <w:rPr>
                <w:color w:val="000000" w:themeColor="text1"/>
                <w:sz w:val="20"/>
                <w:szCs w:val="20"/>
              </w:rPr>
              <w:t>recipients</w:t>
            </w:r>
            <w:r w:rsidRPr="006A18B7">
              <w:rPr>
                <w:color w:val="000000" w:themeColor="text1"/>
                <w:sz w:val="20"/>
                <w:szCs w:val="20"/>
              </w:rPr>
              <w:t xml:space="preserve"> to sustain alternative housing, and are they </w:t>
            </w:r>
            <w:r w:rsidRPr="006A18B7">
              <w:rPr>
                <w:i/>
                <w:color w:val="000000" w:themeColor="text1"/>
                <w:sz w:val="20"/>
                <w:szCs w:val="20"/>
              </w:rPr>
              <w:t xml:space="preserve">sufficient </w:t>
            </w:r>
            <w:r w:rsidRPr="006A18B7">
              <w:rPr>
                <w:color w:val="000000" w:themeColor="text1"/>
                <w:sz w:val="20"/>
                <w:szCs w:val="20"/>
              </w:rPr>
              <w:t>for them to sustain alternative housing (or are other supports also needed)?</w:t>
            </w:r>
          </w:p>
          <w:p w:rsidR="00D654FA" w:rsidRPr="006A18B7" w:rsidRDefault="00D654FA" w:rsidP="002A4711">
            <w:pPr>
              <w:pStyle w:val="TableTex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A18B7">
              <w:rPr>
                <w:color w:val="000000" w:themeColor="text1"/>
                <w:sz w:val="20"/>
                <w:szCs w:val="20"/>
              </w:rPr>
              <w:t>Why are other forms of assistance (not HSPs) not enough?</w:t>
            </w:r>
          </w:p>
        </w:tc>
      </w:tr>
      <w:tr w:rsidR="006A18B7" w:rsidRPr="006A18B7" w:rsidTr="006A1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654FA" w:rsidRPr="006A18B7" w:rsidRDefault="00D654FA" w:rsidP="002A4711">
            <w:pPr>
              <w:pStyle w:val="TableText"/>
              <w:rPr>
                <w:color w:val="000000" w:themeColor="text1"/>
                <w:sz w:val="20"/>
                <w:szCs w:val="20"/>
              </w:rPr>
            </w:pPr>
            <w:r w:rsidRPr="006A18B7">
              <w:rPr>
                <w:color w:val="000000" w:themeColor="text1"/>
                <w:sz w:val="20"/>
                <w:szCs w:val="20"/>
              </w:rPr>
              <w:t>Alternatives</w:t>
            </w:r>
          </w:p>
        </w:tc>
        <w:tc>
          <w:tcPr>
            <w:tcW w:w="0" w:type="auto"/>
          </w:tcPr>
          <w:p w:rsidR="00D654FA" w:rsidRPr="006A18B7" w:rsidRDefault="00D654FA" w:rsidP="002A4711">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A18B7">
              <w:rPr>
                <w:color w:val="000000" w:themeColor="text1"/>
                <w:sz w:val="20"/>
                <w:szCs w:val="20"/>
              </w:rPr>
              <w:t>What alternatives to HSPs do you consider?</w:t>
            </w:r>
          </w:p>
        </w:tc>
        <w:tc>
          <w:tcPr>
            <w:tcW w:w="0" w:type="auto"/>
          </w:tcPr>
          <w:p w:rsidR="00D654FA" w:rsidRPr="006A18B7" w:rsidRDefault="00D654FA" w:rsidP="002A4711">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A18B7">
              <w:rPr>
                <w:color w:val="000000" w:themeColor="text1"/>
                <w:sz w:val="20"/>
                <w:szCs w:val="20"/>
              </w:rPr>
              <w:t>Why?</w:t>
            </w:r>
          </w:p>
          <w:p w:rsidR="00D654FA" w:rsidRPr="006A18B7" w:rsidRDefault="00D654FA" w:rsidP="002A4711">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A18B7">
              <w:rPr>
                <w:color w:val="000000" w:themeColor="text1"/>
                <w:sz w:val="20"/>
                <w:szCs w:val="20"/>
              </w:rPr>
              <w:t>When would you choose one of these over an HSP?</w:t>
            </w:r>
          </w:p>
          <w:p w:rsidR="00D654FA" w:rsidRPr="006A18B7" w:rsidRDefault="00D654FA" w:rsidP="002A4711">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A18B7">
              <w:rPr>
                <w:color w:val="000000" w:themeColor="text1"/>
                <w:sz w:val="20"/>
                <w:szCs w:val="20"/>
              </w:rPr>
              <w:t xml:space="preserve">Are there other things that are more helpful for </w:t>
            </w:r>
            <w:r w:rsidR="00FD4351" w:rsidRPr="006A18B7">
              <w:rPr>
                <w:color w:val="000000" w:themeColor="text1"/>
                <w:sz w:val="20"/>
                <w:szCs w:val="20"/>
              </w:rPr>
              <w:t>recipients</w:t>
            </w:r>
            <w:r w:rsidRPr="006A18B7">
              <w:rPr>
                <w:color w:val="000000" w:themeColor="text1"/>
                <w:sz w:val="20"/>
                <w:szCs w:val="20"/>
              </w:rPr>
              <w:t>?</w:t>
            </w:r>
          </w:p>
          <w:p w:rsidR="00D654FA" w:rsidRPr="006A18B7" w:rsidRDefault="00D654FA" w:rsidP="002A4711">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A18B7">
              <w:rPr>
                <w:color w:val="000000" w:themeColor="text1"/>
                <w:sz w:val="20"/>
                <w:szCs w:val="20"/>
              </w:rPr>
              <w:t xml:space="preserve">What are the gaps that HSPs do </w:t>
            </w:r>
            <w:r w:rsidRPr="006A18B7">
              <w:rPr>
                <w:i/>
                <w:color w:val="000000" w:themeColor="text1"/>
                <w:sz w:val="20"/>
                <w:szCs w:val="20"/>
              </w:rPr>
              <w:t xml:space="preserve">not </w:t>
            </w:r>
            <w:r w:rsidRPr="006A18B7">
              <w:rPr>
                <w:color w:val="000000" w:themeColor="text1"/>
                <w:sz w:val="20"/>
                <w:szCs w:val="20"/>
              </w:rPr>
              <w:t>address?</w:t>
            </w:r>
          </w:p>
        </w:tc>
      </w:tr>
      <w:tr w:rsidR="006A18B7" w:rsidRPr="006A18B7" w:rsidTr="006A18B7">
        <w:tc>
          <w:tcPr>
            <w:cnfStyle w:val="001000000000" w:firstRow="0" w:lastRow="0" w:firstColumn="1" w:lastColumn="0" w:oddVBand="0" w:evenVBand="0" w:oddHBand="0" w:evenHBand="0" w:firstRowFirstColumn="0" w:firstRowLastColumn="0" w:lastRowFirstColumn="0" w:lastRowLastColumn="0"/>
            <w:tcW w:w="0" w:type="auto"/>
          </w:tcPr>
          <w:p w:rsidR="00D654FA" w:rsidRPr="006A18B7" w:rsidRDefault="00D654FA" w:rsidP="002A4711">
            <w:pPr>
              <w:pStyle w:val="TableText"/>
              <w:rPr>
                <w:color w:val="000000" w:themeColor="text1"/>
                <w:sz w:val="20"/>
                <w:szCs w:val="20"/>
              </w:rPr>
            </w:pPr>
            <w:r w:rsidRPr="006A18B7">
              <w:rPr>
                <w:color w:val="000000" w:themeColor="text1"/>
                <w:sz w:val="20"/>
                <w:szCs w:val="20"/>
              </w:rPr>
              <w:t>Process</w:t>
            </w:r>
          </w:p>
        </w:tc>
        <w:tc>
          <w:tcPr>
            <w:tcW w:w="0" w:type="auto"/>
          </w:tcPr>
          <w:p w:rsidR="00D654FA" w:rsidRPr="006A18B7" w:rsidRDefault="00D654FA" w:rsidP="002A4711">
            <w:pPr>
              <w:pStyle w:val="TableTex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A18B7">
              <w:rPr>
                <w:color w:val="000000" w:themeColor="text1"/>
                <w:sz w:val="20"/>
                <w:szCs w:val="20"/>
              </w:rPr>
              <w:t>What could be changed about HSPs to make them work better?</w:t>
            </w:r>
          </w:p>
        </w:tc>
        <w:tc>
          <w:tcPr>
            <w:tcW w:w="0" w:type="auto"/>
          </w:tcPr>
          <w:p w:rsidR="00D654FA" w:rsidRPr="006A18B7" w:rsidRDefault="00D654FA" w:rsidP="002A4711">
            <w:pPr>
              <w:pStyle w:val="TableTex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A18B7">
              <w:rPr>
                <w:color w:val="000000" w:themeColor="text1"/>
                <w:sz w:val="20"/>
                <w:szCs w:val="20"/>
              </w:rPr>
              <w:t xml:space="preserve">How easy are they to use with </w:t>
            </w:r>
            <w:r w:rsidR="00FD4351" w:rsidRPr="006A18B7">
              <w:rPr>
                <w:color w:val="000000" w:themeColor="text1"/>
                <w:sz w:val="20"/>
                <w:szCs w:val="20"/>
              </w:rPr>
              <w:t>recipients</w:t>
            </w:r>
            <w:r w:rsidRPr="006A18B7">
              <w:rPr>
                <w:color w:val="000000" w:themeColor="text1"/>
                <w:sz w:val="20"/>
                <w:szCs w:val="20"/>
              </w:rPr>
              <w:t>?</w:t>
            </w:r>
          </w:p>
          <w:p w:rsidR="00D654FA" w:rsidRPr="006A18B7" w:rsidRDefault="00D654FA" w:rsidP="002A4711">
            <w:pPr>
              <w:pStyle w:val="TableTex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A18B7">
              <w:rPr>
                <w:color w:val="000000" w:themeColor="text1"/>
                <w:sz w:val="20"/>
                <w:szCs w:val="20"/>
              </w:rPr>
              <w:t>What would make them easier to use?</w:t>
            </w:r>
          </w:p>
        </w:tc>
      </w:tr>
      <w:bookmarkEnd w:id="10"/>
      <w:bookmarkEnd w:id="11"/>
    </w:tbl>
    <w:p w:rsidR="004B3B27" w:rsidRDefault="004B3B27" w:rsidP="00130E95">
      <w:pPr>
        <w:spacing w:before="0" w:after="0" w:line="240" w:lineRule="auto"/>
        <w:rPr>
          <w:rFonts w:ascii="Georgia" w:eastAsiaTheme="majorEastAsia" w:hAnsi="Georgia"/>
          <w:b/>
          <w:bCs/>
          <w:color w:val="121F6B"/>
          <w:kern w:val="0"/>
          <w:sz w:val="36"/>
          <w:szCs w:val="36"/>
        </w:rPr>
      </w:pPr>
    </w:p>
    <w:sectPr w:rsidR="004B3B27" w:rsidSect="000E4EA5">
      <w:type w:val="continuous"/>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E3" w:rsidRDefault="00BB5BE3" w:rsidP="00B16505">
      <w:pPr>
        <w:spacing w:after="0" w:line="240" w:lineRule="auto"/>
      </w:pPr>
      <w:r>
        <w:separator/>
      </w:r>
    </w:p>
  </w:endnote>
  <w:endnote w:type="continuationSeparator" w:id="0">
    <w:p w:rsidR="00BB5BE3" w:rsidRDefault="00BB5BE3" w:rsidP="00B1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Mercury Text G1 Bold">
    <w:altName w:val="Mercury Text G1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8148"/>
      <w:docPartObj>
        <w:docPartGallery w:val="Page Numbers (Bottom of Page)"/>
        <w:docPartUnique/>
      </w:docPartObj>
    </w:sdtPr>
    <w:sdtEndPr>
      <w:rPr>
        <w:noProof/>
      </w:rPr>
    </w:sdtEndPr>
    <w:sdtContent>
      <w:p w:rsidR="0003079B" w:rsidRDefault="0003079B">
        <w:pPr>
          <w:pStyle w:val="Footer"/>
        </w:pPr>
        <w:r>
          <w:fldChar w:fldCharType="begin"/>
        </w:r>
        <w:r>
          <w:instrText xml:space="preserve"> PAGE   \* MERGEFORMAT </w:instrText>
        </w:r>
        <w:r>
          <w:fldChar w:fldCharType="separate"/>
        </w:r>
        <w:r w:rsidR="00DA427A">
          <w:rPr>
            <w:noProof/>
          </w:rPr>
          <w:t>4</w:t>
        </w:r>
        <w:r>
          <w:rPr>
            <w:noProof/>
          </w:rPr>
          <w:fldChar w:fldCharType="end"/>
        </w:r>
      </w:p>
    </w:sdtContent>
  </w:sdt>
  <w:p w:rsidR="0003079B" w:rsidRDefault="00030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15944"/>
      <w:docPartObj>
        <w:docPartGallery w:val="Page Numbers (Bottom of Page)"/>
        <w:docPartUnique/>
      </w:docPartObj>
    </w:sdtPr>
    <w:sdtEndPr>
      <w:rPr>
        <w:noProof/>
      </w:rPr>
    </w:sdtEndPr>
    <w:sdtContent>
      <w:p w:rsidR="004800D3" w:rsidRDefault="004800D3">
        <w:pPr>
          <w:pStyle w:val="Footer"/>
          <w:jc w:val="right"/>
        </w:pPr>
        <w:r>
          <w:fldChar w:fldCharType="begin"/>
        </w:r>
        <w:r>
          <w:instrText xml:space="preserve"> PAGE   \* MERGEFORMAT </w:instrText>
        </w:r>
        <w:r>
          <w:fldChar w:fldCharType="separate"/>
        </w:r>
        <w:r w:rsidR="00DA427A">
          <w:rPr>
            <w:noProof/>
          </w:rPr>
          <w:t>3</w:t>
        </w:r>
        <w:r>
          <w:rPr>
            <w:noProof/>
          </w:rPr>
          <w:fldChar w:fldCharType="end"/>
        </w:r>
      </w:p>
    </w:sdtContent>
  </w:sdt>
  <w:p w:rsidR="004800D3" w:rsidRDefault="00480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E3" w:rsidRDefault="00BB5BE3" w:rsidP="00B16505">
      <w:pPr>
        <w:spacing w:after="0" w:line="240" w:lineRule="auto"/>
      </w:pPr>
      <w:r>
        <w:separator/>
      </w:r>
    </w:p>
  </w:footnote>
  <w:footnote w:type="continuationSeparator" w:id="0">
    <w:p w:rsidR="00BB5BE3" w:rsidRDefault="00BB5BE3" w:rsidP="00B16505">
      <w:pPr>
        <w:spacing w:after="0" w:line="240" w:lineRule="auto"/>
      </w:pPr>
      <w:r>
        <w:continuationSeparator/>
      </w:r>
    </w:p>
  </w:footnote>
  <w:footnote w:id="1">
    <w:p w:rsidR="007F0412" w:rsidRPr="00FA44C8" w:rsidRDefault="007F0412" w:rsidP="007F0412">
      <w:pPr>
        <w:pStyle w:val="FootnoteText"/>
        <w:rPr>
          <w:sz w:val="18"/>
          <w:szCs w:val="18"/>
          <w:lang w:val="mi-NZ"/>
        </w:rPr>
      </w:pPr>
      <w:r>
        <w:rPr>
          <w:rStyle w:val="FootnoteReference"/>
        </w:rPr>
        <w:footnoteRef/>
      </w:r>
      <w:r>
        <w:t xml:space="preserve"> </w:t>
      </w:r>
      <w:r w:rsidRPr="00FA44C8">
        <w:rPr>
          <w:sz w:val="18"/>
          <w:szCs w:val="18"/>
          <w:lang w:val="mi-NZ"/>
        </w:rPr>
        <w:t xml:space="preserve">Ministry of Social Development (2017), </w:t>
      </w:r>
      <w:r w:rsidRPr="00FA44C8">
        <w:rPr>
          <w:i/>
          <w:sz w:val="18"/>
          <w:szCs w:val="18"/>
          <w:lang w:val="mi-NZ"/>
        </w:rPr>
        <w:t>2017/18 Social Housing Investment Strategy</w:t>
      </w:r>
      <w:r w:rsidRPr="00FA44C8">
        <w:rPr>
          <w:sz w:val="18"/>
          <w:szCs w:val="18"/>
          <w:lang w:val="mi-NZ"/>
        </w:rPr>
        <w:t>.</w:t>
      </w:r>
    </w:p>
    <w:p w:rsidR="007F0412" w:rsidRDefault="007F0412">
      <w:pPr>
        <w:pStyle w:val="FootnoteText"/>
      </w:pPr>
    </w:p>
  </w:footnote>
  <w:footnote w:id="2">
    <w:p w:rsidR="008A7E90" w:rsidRPr="00FA44C8" w:rsidRDefault="008A7E90">
      <w:pPr>
        <w:pStyle w:val="FootnoteText"/>
        <w:rPr>
          <w:sz w:val="18"/>
          <w:szCs w:val="18"/>
          <w:lang w:val="mi-NZ"/>
        </w:rPr>
      </w:pPr>
      <w:r>
        <w:rPr>
          <w:rStyle w:val="FootnoteReference"/>
        </w:rPr>
        <w:footnoteRef/>
      </w:r>
      <w:r>
        <w:t xml:space="preserve"> </w:t>
      </w:r>
      <w:r w:rsidRPr="008A7E90">
        <w:rPr>
          <w:sz w:val="18"/>
          <w:szCs w:val="18"/>
          <w:lang w:val="mi-NZ"/>
        </w:rPr>
        <w:t>Note</w:t>
      </w:r>
      <w:r>
        <w:rPr>
          <w:sz w:val="18"/>
          <w:szCs w:val="18"/>
          <w:lang w:val="mi-NZ"/>
        </w:rPr>
        <w:t xml:space="preserve">: </w:t>
      </w:r>
      <w:r w:rsidRPr="00FA44C8">
        <w:rPr>
          <w:sz w:val="18"/>
          <w:szCs w:val="18"/>
          <w:lang w:val="mi-NZ"/>
        </w:rPr>
        <w:t>Relocation from Auckland Assistance was discontinued in January 2018, after the time of writing.</w:t>
      </w:r>
    </w:p>
  </w:footnote>
  <w:footnote w:id="3">
    <w:p w:rsidR="004800D3" w:rsidRPr="00FA44C8" w:rsidRDefault="004800D3" w:rsidP="00456F2A">
      <w:pPr>
        <w:pStyle w:val="FootnoteText"/>
        <w:rPr>
          <w:sz w:val="18"/>
          <w:szCs w:val="18"/>
          <w:lang w:val="mi-NZ"/>
        </w:rPr>
      </w:pPr>
      <w:r w:rsidRPr="0068549E">
        <w:rPr>
          <w:rStyle w:val="FootnoteReference"/>
        </w:rPr>
        <w:footnoteRef/>
      </w:r>
      <w:r w:rsidRPr="0068549E">
        <w:t xml:space="preserve"> </w:t>
      </w:r>
      <w:r w:rsidRPr="00FA44C8">
        <w:rPr>
          <w:sz w:val="18"/>
          <w:szCs w:val="18"/>
          <w:lang w:val="mi-NZ"/>
        </w:rPr>
        <w:t>Note that recipients who received HSPs during June 2017 were not included in this analysis because information about their status one month later fell outside of the timeframe covered by the research. Consequently, numbers provided reflect a total of 2</w:t>
      </w:r>
      <w:r w:rsidR="008A7E90">
        <w:rPr>
          <w:sz w:val="18"/>
          <w:szCs w:val="18"/>
          <w:lang w:val="mi-NZ"/>
        </w:rPr>
        <w:t>,</w:t>
      </w:r>
      <w:r w:rsidRPr="00FA44C8">
        <w:rPr>
          <w:sz w:val="18"/>
          <w:szCs w:val="18"/>
          <w:lang w:val="mi-NZ"/>
        </w:rPr>
        <w:t>668 recipients rather than the overall total of 2</w:t>
      </w:r>
      <w:r w:rsidR="008A7E90">
        <w:rPr>
          <w:sz w:val="18"/>
          <w:szCs w:val="18"/>
          <w:lang w:val="mi-NZ"/>
        </w:rPr>
        <w:t>,</w:t>
      </w:r>
      <w:r w:rsidRPr="00FA44C8">
        <w:rPr>
          <w:sz w:val="18"/>
          <w:szCs w:val="18"/>
          <w:lang w:val="mi-NZ"/>
        </w:rPr>
        <w:t>840 mentioned on page 11.</w:t>
      </w:r>
    </w:p>
  </w:footnote>
  <w:footnote w:id="4">
    <w:p w:rsidR="00FA44C8" w:rsidRPr="00FA44C8" w:rsidRDefault="00FA44C8">
      <w:pPr>
        <w:pStyle w:val="FootnoteText"/>
        <w:rPr>
          <w:sz w:val="18"/>
          <w:szCs w:val="18"/>
        </w:rPr>
      </w:pPr>
      <w:r>
        <w:rPr>
          <w:rStyle w:val="FootnoteReference"/>
        </w:rPr>
        <w:footnoteRef/>
      </w:r>
      <w:r>
        <w:t xml:space="preserve"> </w:t>
      </w:r>
      <w:proofErr w:type="spellStart"/>
      <w:r w:rsidRPr="00FA44C8">
        <w:rPr>
          <w:sz w:val="18"/>
          <w:szCs w:val="18"/>
        </w:rPr>
        <w:t>Paulin</w:t>
      </w:r>
      <w:proofErr w:type="spellEnd"/>
      <w:r w:rsidRPr="00FA44C8">
        <w:rPr>
          <w:sz w:val="18"/>
          <w:szCs w:val="18"/>
        </w:rPr>
        <w:t xml:space="preserve">, J., </w:t>
      </w:r>
      <w:proofErr w:type="spellStart"/>
      <w:r w:rsidRPr="00FA44C8">
        <w:rPr>
          <w:sz w:val="18"/>
          <w:szCs w:val="18"/>
        </w:rPr>
        <w:t>Carswell</w:t>
      </w:r>
      <w:proofErr w:type="spellEnd"/>
      <w:r w:rsidRPr="00FA44C8">
        <w:rPr>
          <w:sz w:val="18"/>
          <w:szCs w:val="18"/>
        </w:rPr>
        <w:t xml:space="preserve">, S., &amp; </w:t>
      </w:r>
      <w:proofErr w:type="spellStart"/>
      <w:r w:rsidRPr="00FA44C8">
        <w:rPr>
          <w:sz w:val="18"/>
          <w:szCs w:val="18"/>
        </w:rPr>
        <w:t>Lennan</w:t>
      </w:r>
      <w:proofErr w:type="spellEnd"/>
      <w:r w:rsidRPr="00FA44C8">
        <w:rPr>
          <w:sz w:val="18"/>
          <w:szCs w:val="18"/>
        </w:rPr>
        <w:t xml:space="preserve">, M. (2017) </w:t>
      </w:r>
      <w:proofErr w:type="gramStart"/>
      <w:r w:rsidRPr="00FA44C8">
        <w:rPr>
          <w:i/>
          <w:sz w:val="18"/>
          <w:szCs w:val="18"/>
        </w:rPr>
        <w:t>Towards</w:t>
      </w:r>
      <w:proofErr w:type="gramEnd"/>
      <w:r w:rsidRPr="00FA44C8">
        <w:rPr>
          <w:i/>
          <w:sz w:val="18"/>
          <w:szCs w:val="18"/>
        </w:rPr>
        <w:t xml:space="preserve"> benefit and social housing independence</w:t>
      </w:r>
      <w:r w:rsidRPr="00FA44C8">
        <w:rPr>
          <w:sz w:val="18"/>
          <w:szCs w:val="18"/>
        </w:rPr>
        <w:t xml:space="preserve">. </w:t>
      </w:r>
      <w:proofErr w:type="gramStart"/>
      <w:r w:rsidRPr="00FA44C8">
        <w:rPr>
          <w:sz w:val="18"/>
          <w:szCs w:val="18"/>
        </w:rPr>
        <w:t>Ministry of Social Development.</w:t>
      </w:r>
      <w:proofErr w:type="gramEnd"/>
    </w:p>
  </w:footnote>
  <w:footnote w:id="5">
    <w:p w:rsidR="004800D3" w:rsidRPr="00FA44C8" w:rsidRDefault="004800D3" w:rsidP="0091458C">
      <w:pPr>
        <w:pStyle w:val="FootnoteText"/>
        <w:rPr>
          <w:sz w:val="18"/>
          <w:szCs w:val="18"/>
          <w:lang w:val="mi-NZ"/>
        </w:rPr>
      </w:pPr>
      <w:r w:rsidRPr="00FA44C8">
        <w:rPr>
          <w:rStyle w:val="FootnoteReference"/>
          <w:rFonts w:ascii="Verdana" w:hAnsi="Verdana"/>
          <w:szCs w:val="18"/>
        </w:rPr>
        <w:footnoteRef/>
      </w:r>
      <w:r w:rsidRPr="00FA44C8">
        <w:rPr>
          <w:sz w:val="18"/>
          <w:szCs w:val="18"/>
        </w:rPr>
        <w:t xml:space="preserve"> </w:t>
      </w:r>
      <w:r w:rsidRPr="00FA44C8">
        <w:rPr>
          <w:sz w:val="18"/>
          <w:szCs w:val="18"/>
          <w:lang w:val="mi-NZ"/>
        </w:rPr>
        <w:t xml:space="preserve">Laing, P. (2017, June 8). </w:t>
      </w:r>
      <w:r w:rsidRPr="00FA44C8">
        <w:rPr>
          <w:i/>
          <w:sz w:val="18"/>
          <w:szCs w:val="18"/>
          <w:lang w:val="mi-NZ"/>
        </w:rPr>
        <w:t>Research and evaluation of social housing initiatives</w:t>
      </w:r>
      <w:r w:rsidRPr="00FA44C8">
        <w:rPr>
          <w:sz w:val="18"/>
          <w:szCs w:val="18"/>
          <w:lang w:val="mi-NZ"/>
        </w:rPr>
        <w:t>. Presentation at the Community Housing Aotearoa conference, Wellington, NZ.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9C0C188"/>
    <w:lvl w:ilvl="0">
      <w:start w:val="1"/>
      <w:numFmt w:val="bullet"/>
      <w:pStyle w:val="Bullet1"/>
      <w:lvlText w:val=""/>
      <w:lvlJc w:val="left"/>
      <w:pPr>
        <w:tabs>
          <w:tab w:val="num" w:pos="360"/>
        </w:tabs>
        <w:ind w:left="360" w:hanging="360"/>
      </w:pPr>
      <w:rPr>
        <w:rFonts w:ascii="Symbol" w:hAnsi="Symbol" w:hint="default"/>
      </w:rPr>
    </w:lvl>
  </w:abstractNum>
  <w:abstractNum w:abstractNumId="3">
    <w:nsid w:val="00C2453E"/>
    <w:multiLevelType w:val="multilevel"/>
    <w:tmpl w:val="922037D0"/>
    <w:styleLink w:val="RecList"/>
    <w:lvl w:ilvl="0">
      <w:start w:val="1"/>
      <w:numFmt w:val="decimal"/>
      <w:pStyle w:val="RecNumber"/>
      <w:lvlText w:val="%1"/>
      <w:lvlJc w:val="left"/>
      <w:pPr>
        <w:tabs>
          <w:tab w:val="num" w:pos="493"/>
        </w:tabs>
        <w:ind w:left="493" w:hanging="493"/>
      </w:pPr>
      <w:rPr>
        <w:rFonts w:hint="default"/>
      </w:rPr>
    </w:lvl>
    <w:lvl w:ilvl="1">
      <w:start w:val="1"/>
      <w:numFmt w:val="decimal"/>
      <w:pStyle w:val="RecLevel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nsid w:val="030632EA"/>
    <w:multiLevelType w:val="hybridMultilevel"/>
    <w:tmpl w:val="E39C9A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4544C0D"/>
    <w:multiLevelType w:val="hybridMultilevel"/>
    <w:tmpl w:val="8DA8FFD6"/>
    <w:lvl w:ilvl="0" w:tplc="CEA08E1E">
      <w:start w:val="2"/>
      <w:numFmt w:val="bullet"/>
      <w:lvlText w:val="–"/>
      <w:lvlJc w:val="left"/>
      <w:pPr>
        <w:ind w:left="786" w:hanging="360"/>
      </w:pPr>
      <w:rPr>
        <w:rFonts w:ascii="Verdana" w:eastAsiaTheme="minorHAnsi" w:hAnsi="Verdana" w:cs="Verdana"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nsid w:val="0981433C"/>
    <w:multiLevelType w:val="hybridMultilevel"/>
    <w:tmpl w:val="179AE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9F47832"/>
    <w:multiLevelType w:val="hybridMultilevel"/>
    <w:tmpl w:val="C3040A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7B75BF"/>
    <w:multiLevelType w:val="hybridMultilevel"/>
    <w:tmpl w:val="8AF07D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0D60A34"/>
    <w:multiLevelType w:val="hybridMultilevel"/>
    <w:tmpl w:val="99EC7C22"/>
    <w:lvl w:ilvl="0" w:tplc="FEAEEA96">
      <w:start w:val="1"/>
      <w:numFmt w:val="bullet"/>
      <w:pStyle w:val="Bullet2"/>
      <w:lvlText w:val=""/>
      <w:lvlJc w:val="left"/>
      <w:pPr>
        <w:tabs>
          <w:tab w:val="num" w:pos="797"/>
        </w:tabs>
        <w:ind w:left="79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EE076D"/>
    <w:multiLevelType w:val="multilevel"/>
    <w:tmpl w:val="44E8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2">
    <w:nsid w:val="1A17120C"/>
    <w:multiLevelType w:val="hybridMultilevel"/>
    <w:tmpl w:val="0B24E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CC14586"/>
    <w:multiLevelType w:val="multilevel"/>
    <w:tmpl w:val="ACF4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AA441E"/>
    <w:multiLevelType w:val="multilevel"/>
    <w:tmpl w:val="FA82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0C1B12"/>
    <w:multiLevelType w:val="multilevel"/>
    <w:tmpl w:val="881C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7019EC"/>
    <w:multiLevelType w:val="hybridMultilevel"/>
    <w:tmpl w:val="03260288"/>
    <w:lvl w:ilvl="0" w:tplc="B350801A">
      <w:start w:val="1"/>
      <w:numFmt w:val="decimal"/>
      <w:pStyle w:val="Numbering"/>
      <w:lvlText w:val="%1."/>
      <w:lvlJc w:val="left"/>
      <w:pPr>
        <w:ind w:left="720" w:hanging="360"/>
      </w:pPr>
      <w:rPr>
        <w:rFonts w:ascii="Verdana" w:hAnsi="Verdana" w:hint="default"/>
        <w:b w:val="0"/>
        <w:i w:val="0"/>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B480052"/>
    <w:multiLevelType w:val="hybridMultilevel"/>
    <w:tmpl w:val="1DAA6E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CDC7811"/>
    <w:multiLevelType w:val="hybridMultilevel"/>
    <w:tmpl w:val="9900092C"/>
    <w:lvl w:ilvl="0" w:tplc="7A4E81BC">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E0175D5"/>
    <w:multiLevelType w:val="hybridMultilevel"/>
    <w:tmpl w:val="9D101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EBD12BF"/>
    <w:multiLevelType w:val="hybridMultilevel"/>
    <w:tmpl w:val="B85C23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4FF36AA"/>
    <w:multiLevelType w:val="hybridMultilevel"/>
    <w:tmpl w:val="C0BA382C"/>
    <w:lvl w:ilvl="0" w:tplc="93E405D2">
      <w:start w:val="1"/>
      <w:numFmt w:val="bullet"/>
      <w:lvlText w:val=""/>
      <w:lvlJc w:val="left"/>
      <w:pPr>
        <w:ind w:left="720" w:hanging="360"/>
      </w:pPr>
      <w:rPr>
        <w:rFonts w:ascii="Symbol" w:hAnsi="Symbol" w:hint="default"/>
        <w:b w:val="0"/>
        <w:i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AEB4D47"/>
    <w:multiLevelType w:val="hybridMultilevel"/>
    <w:tmpl w:val="A626B036"/>
    <w:lvl w:ilvl="0" w:tplc="93E405D2">
      <w:start w:val="1"/>
      <w:numFmt w:val="bullet"/>
      <w:lvlText w:val=""/>
      <w:lvlJc w:val="left"/>
      <w:pPr>
        <w:ind w:left="720" w:hanging="360"/>
      </w:pPr>
      <w:rPr>
        <w:rFonts w:ascii="Symbol" w:hAnsi="Symbol" w:hint="default"/>
        <w:b w:val="0"/>
        <w:i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E554B40"/>
    <w:multiLevelType w:val="hybridMultilevel"/>
    <w:tmpl w:val="37843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2612702"/>
    <w:multiLevelType w:val="multilevel"/>
    <w:tmpl w:val="99167DBA"/>
    <w:lvl w:ilvl="0">
      <w:start w:val="1"/>
      <w:numFmt w:val="decimal"/>
      <w:pStyle w:val="ReportBody"/>
      <w:lvlText w:val="%1"/>
      <w:lvlJc w:val="left"/>
      <w:pPr>
        <w:tabs>
          <w:tab w:val="num" w:pos="2666"/>
        </w:tabs>
        <w:ind w:left="2666" w:hanging="397"/>
      </w:pPr>
      <w:rPr>
        <w:rFonts w:hint="default"/>
        <w:b w:val="0"/>
        <w:i w:val="0"/>
        <w:color w:val="auto"/>
        <w:sz w:val="22"/>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6">
    <w:nsid w:val="554875BB"/>
    <w:multiLevelType w:val="multilevel"/>
    <w:tmpl w:val="98C6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F71A38"/>
    <w:multiLevelType w:val="multilevel"/>
    <w:tmpl w:val="103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1C767B"/>
    <w:multiLevelType w:val="hybridMultilevel"/>
    <w:tmpl w:val="587AC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DE738A6"/>
    <w:multiLevelType w:val="hybridMultilevel"/>
    <w:tmpl w:val="E9C829CC"/>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30">
    <w:nsid w:val="61BB1E60"/>
    <w:multiLevelType w:val="hybridMultilevel"/>
    <w:tmpl w:val="193462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2BC20A9"/>
    <w:multiLevelType w:val="hybridMultilevel"/>
    <w:tmpl w:val="5A780D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63644DA1"/>
    <w:multiLevelType w:val="hybridMultilevel"/>
    <w:tmpl w:val="DCECD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60F1F4F"/>
    <w:multiLevelType w:val="hybridMultilevel"/>
    <w:tmpl w:val="8028F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C85701D"/>
    <w:multiLevelType w:val="multilevel"/>
    <w:tmpl w:val="9B9A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5177C0"/>
    <w:multiLevelType w:val="hybridMultilevel"/>
    <w:tmpl w:val="42169B42"/>
    <w:lvl w:ilvl="0" w:tplc="ADC25A22">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FE025EB"/>
    <w:multiLevelType w:val="multilevel"/>
    <w:tmpl w:val="A212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1E4A85"/>
    <w:multiLevelType w:val="hybridMultilevel"/>
    <w:tmpl w:val="4FB8B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C657033"/>
    <w:multiLevelType w:val="hybridMultilevel"/>
    <w:tmpl w:val="B66AA5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7FBA5BDD"/>
    <w:multiLevelType w:val="hybridMultilevel"/>
    <w:tmpl w:val="5DCE1F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31"/>
  </w:num>
  <w:num w:numId="4">
    <w:abstractNumId w:val="2"/>
  </w:num>
  <w:num w:numId="5">
    <w:abstractNumId w:val="9"/>
  </w:num>
  <w:num w:numId="6">
    <w:abstractNumId w:val="11"/>
  </w:num>
  <w:num w:numId="7">
    <w:abstractNumId w:val="0"/>
  </w:num>
  <w:num w:numId="8">
    <w:abstractNumId w:val="16"/>
  </w:num>
  <w:num w:numId="9">
    <w:abstractNumId w:val="3"/>
  </w:num>
  <w:num w:numId="10">
    <w:abstractNumId w:val="25"/>
  </w:num>
  <w:num w:numId="11">
    <w:abstractNumId w:val="33"/>
  </w:num>
  <w:num w:numId="12">
    <w:abstractNumId w:val="23"/>
  </w:num>
  <w:num w:numId="13">
    <w:abstractNumId w:val="6"/>
  </w:num>
  <w:num w:numId="14">
    <w:abstractNumId w:val="24"/>
  </w:num>
  <w:num w:numId="15">
    <w:abstractNumId w:val="18"/>
  </w:num>
  <w:num w:numId="16">
    <w:abstractNumId w:val="35"/>
  </w:num>
  <w:num w:numId="17">
    <w:abstractNumId w:val="15"/>
  </w:num>
  <w:num w:numId="18">
    <w:abstractNumId w:val="14"/>
  </w:num>
  <w:num w:numId="19">
    <w:abstractNumId w:val="27"/>
  </w:num>
  <w:num w:numId="20">
    <w:abstractNumId w:val="10"/>
  </w:num>
  <w:num w:numId="21">
    <w:abstractNumId w:val="36"/>
  </w:num>
  <w:num w:numId="22">
    <w:abstractNumId w:val="13"/>
  </w:num>
  <w:num w:numId="23">
    <w:abstractNumId w:val="26"/>
  </w:num>
  <w:num w:numId="24">
    <w:abstractNumId w:val="34"/>
  </w:num>
  <w:num w:numId="25">
    <w:abstractNumId w:val="29"/>
  </w:num>
  <w:num w:numId="26">
    <w:abstractNumId w:val="4"/>
  </w:num>
  <w:num w:numId="27">
    <w:abstractNumId w:val="19"/>
  </w:num>
  <w:num w:numId="28">
    <w:abstractNumId w:val="8"/>
  </w:num>
  <w:num w:numId="29">
    <w:abstractNumId w:val="20"/>
  </w:num>
  <w:num w:numId="30">
    <w:abstractNumId w:val="17"/>
  </w:num>
  <w:num w:numId="31">
    <w:abstractNumId w:val="12"/>
  </w:num>
  <w:num w:numId="32">
    <w:abstractNumId w:val="7"/>
  </w:num>
  <w:num w:numId="33">
    <w:abstractNumId w:val="30"/>
  </w:num>
  <w:num w:numId="34">
    <w:abstractNumId w:val="39"/>
  </w:num>
  <w:num w:numId="35">
    <w:abstractNumId w:val="38"/>
  </w:num>
  <w:num w:numId="36">
    <w:abstractNumId w:val="37"/>
  </w:num>
  <w:num w:numId="37">
    <w:abstractNumId w:val="32"/>
  </w:num>
  <w:num w:numId="38">
    <w:abstractNumId w:val="5"/>
  </w:num>
  <w:num w:numId="39">
    <w:abstractNumId w:val="28"/>
  </w:num>
  <w:num w:numId="40">
    <w:abstractNumId w:val="22"/>
  </w:num>
  <w:num w:numId="41">
    <w:abstractNumId w:val="2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 de Boer">
    <w15:presenceInfo w15:providerId="Windows Live" w15:userId="1336fe2e0d8d24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1NLawNDYxNLQwMTZS0lEKTi0uzszPAykwrAUAlBGNlSwAAAA="/>
  </w:docVars>
  <w:rsids>
    <w:rsidRoot w:val="00227E47"/>
    <w:rsid w:val="00000B4C"/>
    <w:rsid w:val="00001B66"/>
    <w:rsid w:val="00003A43"/>
    <w:rsid w:val="00004404"/>
    <w:rsid w:val="00004C3F"/>
    <w:rsid w:val="00005666"/>
    <w:rsid w:val="00005BBE"/>
    <w:rsid w:val="0000718D"/>
    <w:rsid w:val="000106D0"/>
    <w:rsid w:val="00010F3A"/>
    <w:rsid w:val="00012AE9"/>
    <w:rsid w:val="00020272"/>
    <w:rsid w:val="000206E4"/>
    <w:rsid w:val="00020D06"/>
    <w:rsid w:val="00020E65"/>
    <w:rsid w:val="00027FFE"/>
    <w:rsid w:val="000303E4"/>
    <w:rsid w:val="0003079B"/>
    <w:rsid w:val="00034336"/>
    <w:rsid w:val="00034C8F"/>
    <w:rsid w:val="00034F37"/>
    <w:rsid w:val="00035F9D"/>
    <w:rsid w:val="000360FE"/>
    <w:rsid w:val="00037CB0"/>
    <w:rsid w:val="00037DAA"/>
    <w:rsid w:val="00037E2D"/>
    <w:rsid w:val="0004085E"/>
    <w:rsid w:val="000412EA"/>
    <w:rsid w:val="00042BE8"/>
    <w:rsid w:val="00042D4A"/>
    <w:rsid w:val="00044BD8"/>
    <w:rsid w:val="0004596D"/>
    <w:rsid w:val="00045C0E"/>
    <w:rsid w:val="00045C50"/>
    <w:rsid w:val="000502FF"/>
    <w:rsid w:val="000509A6"/>
    <w:rsid w:val="00055AAB"/>
    <w:rsid w:val="00055D1A"/>
    <w:rsid w:val="000578B8"/>
    <w:rsid w:val="0006082A"/>
    <w:rsid w:val="00062ACC"/>
    <w:rsid w:val="00071100"/>
    <w:rsid w:val="000719E9"/>
    <w:rsid w:val="000746A0"/>
    <w:rsid w:val="00076266"/>
    <w:rsid w:val="00081010"/>
    <w:rsid w:val="0008114F"/>
    <w:rsid w:val="00081B2E"/>
    <w:rsid w:val="00082BF4"/>
    <w:rsid w:val="000840E6"/>
    <w:rsid w:val="00084CCE"/>
    <w:rsid w:val="00085713"/>
    <w:rsid w:val="00086AEF"/>
    <w:rsid w:val="00090850"/>
    <w:rsid w:val="000929E3"/>
    <w:rsid w:val="000935CF"/>
    <w:rsid w:val="00094551"/>
    <w:rsid w:val="00095A56"/>
    <w:rsid w:val="00095CE3"/>
    <w:rsid w:val="00097D9B"/>
    <w:rsid w:val="000A182E"/>
    <w:rsid w:val="000A3BCA"/>
    <w:rsid w:val="000A50A3"/>
    <w:rsid w:val="000A576B"/>
    <w:rsid w:val="000A64C0"/>
    <w:rsid w:val="000A6AE1"/>
    <w:rsid w:val="000B053F"/>
    <w:rsid w:val="000B1801"/>
    <w:rsid w:val="000B1E3A"/>
    <w:rsid w:val="000B5ABD"/>
    <w:rsid w:val="000B5FDC"/>
    <w:rsid w:val="000B7B54"/>
    <w:rsid w:val="000B7BF0"/>
    <w:rsid w:val="000C0DAA"/>
    <w:rsid w:val="000C0DB3"/>
    <w:rsid w:val="000C13F5"/>
    <w:rsid w:val="000C1413"/>
    <w:rsid w:val="000C299A"/>
    <w:rsid w:val="000C6219"/>
    <w:rsid w:val="000C7E59"/>
    <w:rsid w:val="000D2BA4"/>
    <w:rsid w:val="000D3A30"/>
    <w:rsid w:val="000D5F2C"/>
    <w:rsid w:val="000D6424"/>
    <w:rsid w:val="000E1BDD"/>
    <w:rsid w:val="000E2D6C"/>
    <w:rsid w:val="000E38F6"/>
    <w:rsid w:val="000E3972"/>
    <w:rsid w:val="000E3BB9"/>
    <w:rsid w:val="000E4EA5"/>
    <w:rsid w:val="000E51B0"/>
    <w:rsid w:val="000E6205"/>
    <w:rsid w:val="000F349E"/>
    <w:rsid w:val="000F3747"/>
    <w:rsid w:val="000F4763"/>
    <w:rsid w:val="000F669F"/>
    <w:rsid w:val="000F76C2"/>
    <w:rsid w:val="0010216B"/>
    <w:rsid w:val="0010298E"/>
    <w:rsid w:val="00103166"/>
    <w:rsid w:val="00104141"/>
    <w:rsid w:val="00106AED"/>
    <w:rsid w:val="00107D74"/>
    <w:rsid w:val="0011131C"/>
    <w:rsid w:val="00112099"/>
    <w:rsid w:val="00112329"/>
    <w:rsid w:val="00114AAA"/>
    <w:rsid w:val="00115B80"/>
    <w:rsid w:val="00116276"/>
    <w:rsid w:val="00116C8C"/>
    <w:rsid w:val="00117003"/>
    <w:rsid w:val="00122279"/>
    <w:rsid w:val="00122330"/>
    <w:rsid w:val="0012335C"/>
    <w:rsid w:val="00123514"/>
    <w:rsid w:val="00123FF9"/>
    <w:rsid w:val="001248D2"/>
    <w:rsid w:val="00124C62"/>
    <w:rsid w:val="001259CA"/>
    <w:rsid w:val="00126AE4"/>
    <w:rsid w:val="00127473"/>
    <w:rsid w:val="001277F0"/>
    <w:rsid w:val="00130E95"/>
    <w:rsid w:val="00131A08"/>
    <w:rsid w:val="0013417C"/>
    <w:rsid w:val="0013595B"/>
    <w:rsid w:val="00137066"/>
    <w:rsid w:val="0013732E"/>
    <w:rsid w:val="001433CA"/>
    <w:rsid w:val="001456C3"/>
    <w:rsid w:val="00146A99"/>
    <w:rsid w:val="0015033D"/>
    <w:rsid w:val="00150E85"/>
    <w:rsid w:val="001513FC"/>
    <w:rsid w:val="00154257"/>
    <w:rsid w:val="001562AD"/>
    <w:rsid w:val="001568F6"/>
    <w:rsid w:val="00156DBB"/>
    <w:rsid w:val="001603CE"/>
    <w:rsid w:val="00160EBD"/>
    <w:rsid w:val="001616B9"/>
    <w:rsid w:val="001631F3"/>
    <w:rsid w:val="001669C4"/>
    <w:rsid w:val="00166DE3"/>
    <w:rsid w:val="00170897"/>
    <w:rsid w:val="00170922"/>
    <w:rsid w:val="001752E6"/>
    <w:rsid w:val="001805BC"/>
    <w:rsid w:val="0018263B"/>
    <w:rsid w:val="00183986"/>
    <w:rsid w:val="00183E4B"/>
    <w:rsid w:val="001843A5"/>
    <w:rsid w:val="001859B3"/>
    <w:rsid w:val="0018783F"/>
    <w:rsid w:val="00190F8D"/>
    <w:rsid w:val="001A02F3"/>
    <w:rsid w:val="001A1C95"/>
    <w:rsid w:val="001A523D"/>
    <w:rsid w:val="001A58EA"/>
    <w:rsid w:val="001A59B0"/>
    <w:rsid w:val="001A7FC8"/>
    <w:rsid w:val="001B030F"/>
    <w:rsid w:val="001B292F"/>
    <w:rsid w:val="001B2CE6"/>
    <w:rsid w:val="001B3630"/>
    <w:rsid w:val="001B553D"/>
    <w:rsid w:val="001B5C49"/>
    <w:rsid w:val="001C4AF5"/>
    <w:rsid w:val="001C6045"/>
    <w:rsid w:val="001C6420"/>
    <w:rsid w:val="001C6651"/>
    <w:rsid w:val="001D092E"/>
    <w:rsid w:val="001D2470"/>
    <w:rsid w:val="001D3744"/>
    <w:rsid w:val="001D41CA"/>
    <w:rsid w:val="001D4A5F"/>
    <w:rsid w:val="001D4DB3"/>
    <w:rsid w:val="001D50CA"/>
    <w:rsid w:val="001E090E"/>
    <w:rsid w:val="001E14D2"/>
    <w:rsid w:val="001E4BA8"/>
    <w:rsid w:val="001E69CF"/>
    <w:rsid w:val="001E7BE3"/>
    <w:rsid w:val="001F222A"/>
    <w:rsid w:val="001F27CA"/>
    <w:rsid w:val="001F43DC"/>
    <w:rsid w:val="001F4C13"/>
    <w:rsid w:val="001F5D68"/>
    <w:rsid w:val="0020001A"/>
    <w:rsid w:val="00200761"/>
    <w:rsid w:val="00200D9E"/>
    <w:rsid w:val="00201925"/>
    <w:rsid w:val="00202631"/>
    <w:rsid w:val="00202CFB"/>
    <w:rsid w:val="00203F34"/>
    <w:rsid w:val="00204E46"/>
    <w:rsid w:val="00207412"/>
    <w:rsid w:val="002102F1"/>
    <w:rsid w:val="002107D7"/>
    <w:rsid w:val="002109FC"/>
    <w:rsid w:val="002111E3"/>
    <w:rsid w:val="002117DB"/>
    <w:rsid w:val="00213DA6"/>
    <w:rsid w:val="00216302"/>
    <w:rsid w:val="0021725A"/>
    <w:rsid w:val="0021799D"/>
    <w:rsid w:val="00217DE4"/>
    <w:rsid w:val="0022054B"/>
    <w:rsid w:val="002206D7"/>
    <w:rsid w:val="0022337A"/>
    <w:rsid w:val="00223835"/>
    <w:rsid w:val="00223ACF"/>
    <w:rsid w:val="00223FF3"/>
    <w:rsid w:val="00224454"/>
    <w:rsid w:val="00224BFD"/>
    <w:rsid w:val="00226138"/>
    <w:rsid w:val="00226278"/>
    <w:rsid w:val="002266CE"/>
    <w:rsid w:val="00227E47"/>
    <w:rsid w:val="002300EA"/>
    <w:rsid w:val="00230569"/>
    <w:rsid w:val="002330D5"/>
    <w:rsid w:val="0023315B"/>
    <w:rsid w:val="002337E2"/>
    <w:rsid w:val="00236D2D"/>
    <w:rsid w:val="002449D0"/>
    <w:rsid w:val="00245A2B"/>
    <w:rsid w:val="00247BD3"/>
    <w:rsid w:val="002500E7"/>
    <w:rsid w:val="002517C5"/>
    <w:rsid w:val="00253671"/>
    <w:rsid w:val="00253CE8"/>
    <w:rsid w:val="00256138"/>
    <w:rsid w:val="002561DD"/>
    <w:rsid w:val="00256315"/>
    <w:rsid w:val="002569DB"/>
    <w:rsid w:val="002634C5"/>
    <w:rsid w:val="00263F85"/>
    <w:rsid w:val="00265B6F"/>
    <w:rsid w:val="00266230"/>
    <w:rsid w:val="002665F2"/>
    <w:rsid w:val="00266E54"/>
    <w:rsid w:val="00272BF4"/>
    <w:rsid w:val="002808C4"/>
    <w:rsid w:val="002809A3"/>
    <w:rsid w:val="00282D4A"/>
    <w:rsid w:val="00283817"/>
    <w:rsid w:val="002857B4"/>
    <w:rsid w:val="002857C4"/>
    <w:rsid w:val="00290D1A"/>
    <w:rsid w:val="00292AE0"/>
    <w:rsid w:val="00297411"/>
    <w:rsid w:val="002A00AA"/>
    <w:rsid w:val="002A288C"/>
    <w:rsid w:val="002A35FF"/>
    <w:rsid w:val="002A4711"/>
    <w:rsid w:val="002A4ED6"/>
    <w:rsid w:val="002A5F86"/>
    <w:rsid w:val="002A69C5"/>
    <w:rsid w:val="002B1E54"/>
    <w:rsid w:val="002B2C50"/>
    <w:rsid w:val="002B502B"/>
    <w:rsid w:val="002B5B13"/>
    <w:rsid w:val="002B75AD"/>
    <w:rsid w:val="002C08A2"/>
    <w:rsid w:val="002C2B25"/>
    <w:rsid w:val="002C38E8"/>
    <w:rsid w:val="002C44BC"/>
    <w:rsid w:val="002C5101"/>
    <w:rsid w:val="002D0FC9"/>
    <w:rsid w:val="002D1C62"/>
    <w:rsid w:val="002D299A"/>
    <w:rsid w:val="002D367B"/>
    <w:rsid w:val="002D580B"/>
    <w:rsid w:val="002D5EF8"/>
    <w:rsid w:val="002D6D62"/>
    <w:rsid w:val="002D7D99"/>
    <w:rsid w:val="002E0939"/>
    <w:rsid w:val="002E118D"/>
    <w:rsid w:val="002E1B41"/>
    <w:rsid w:val="002E1EFC"/>
    <w:rsid w:val="002E4074"/>
    <w:rsid w:val="002E42B5"/>
    <w:rsid w:val="002E7D4C"/>
    <w:rsid w:val="002F1799"/>
    <w:rsid w:val="002F3AFF"/>
    <w:rsid w:val="002F3B76"/>
    <w:rsid w:val="002F4EEC"/>
    <w:rsid w:val="002F54D3"/>
    <w:rsid w:val="00303389"/>
    <w:rsid w:val="0030446A"/>
    <w:rsid w:val="00304DB6"/>
    <w:rsid w:val="00305634"/>
    <w:rsid w:val="00305774"/>
    <w:rsid w:val="0030590A"/>
    <w:rsid w:val="00305D7E"/>
    <w:rsid w:val="00307589"/>
    <w:rsid w:val="0031306A"/>
    <w:rsid w:val="0031551F"/>
    <w:rsid w:val="0031688D"/>
    <w:rsid w:val="00321324"/>
    <w:rsid w:val="00321502"/>
    <w:rsid w:val="00321B4A"/>
    <w:rsid w:val="003238D4"/>
    <w:rsid w:val="003276AA"/>
    <w:rsid w:val="003322DE"/>
    <w:rsid w:val="00332F27"/>
    <w:rsid w:val="00333971"/>
    <w:rsid w:val="00333ABD"/>
    <w:rsid w:val="0033688E"/>
    <w:rsid w:val="00336C51"/>
    <w:rsid w:val="00337376"/>
    <w:rsid w:val="00341096"/>
    <w:rsid w:val="003410CA"/>
    <w:rsid w:val="00342EB5"/>
    <w:rsid w:val="003440E1"/>
    <w:rsid w:val="00345C87"/>
    <w:rsid w:val="00345CAB"/>
    <w:rsid w:val="00346B9B"/>
    <w:rsid w:val="00351277"/>
    <w:rsid w:val="00352585"/>
    <w:rsid w:val="00353B9B"/>
    <w:rsid w:val="00354EC2"/>
    <w:rsid w:val="00355200"/>
    <w:rsid w:val="00355F37"/>
    <w:rsid w:val="0035680B"/>
    <w:rsid w:val="00360C4E"/>
    <w:rsid w:val="0036235C"/>
    <w:rsid w:val="003638E2"/>
    <w:rsid w:val="00363F9B"/>
    <w:rsid w:val="00364BD0"/>
    <w:rsid w:val="00365334"/>
    <w:rsid w:val="00366596"/>
    <w:rsid w:val="003669B7"/>
    <w:rsid w:val="0037001F"/>
    <w:rsid w:val="00372459"/>
    <w:rsid w:val="00372B59"/>
    <w:rsid w:val="00373CE2"/>
    <w:rsid w:val="0037536D"/>
    <w:rsid w:val="00376740"/>
    <w:rsid w:val="00381A4D"/>
    <w:rsid w:val="0038228D"/>
    <w:rsid w:val="00384157"/>
    <w:rsid w:val="00385F4C"/>
    <w:rsid w:val="00386EAA"/>
    <w:rsid w:val="00386FAE"/>
    <w:rsid w:val="0038722A"/>
    <w:rsid w:val="00387822"/>
    <w:rsid w:val="00387B1C"/>
    <w:rsid w:val="0039083F"/>
    <w:rsid w:val="00392095"/>
    <w:rsid w:val="00396ACE"/>
    <w:rsid w:val="00397220"/>
    <w:rsid w:val="003A02A2"/>
    <w:rsid w:val="003A071F"/>
    <w:rsid w:val="003A3B1E"/>
    <w:rsid w:val="003A5391"/>
    <w:rsid w:val="003A60E6"/>
    <w:rsid w:val="003A680F"/>
    <w:rsid w:val="003A6E70"/>
    <w:rsid w:val="003B0A38"/>
    <w:rsid w:val="003B24C2"/>
    <w:rsid w:val="003B2E7A"/>
    <w:rsid w:val="003B2F29"/>
    <w:rsid w:val="003B3086"/>
    <w:rsid w:val="003B5126"/>
    <w:rsid w:val="003B55FE"/>
    <w:rsid w:val="003B5CAC"/>
    <w:rsid w:val="003B5F20"/>
    <w:rsid w:val="003B61CC"/>
    <w:rsid w:val="003C00F1"/>
    <w:rsid w:val="003C1095"/>
    <w:rsid w:val="003C14D8"/>
    <w:rsid w:val="003C299B"/>
    <w:rsid w:val="003C2D33"/>
    <w:rsid w:val="003C3409"/>
    <w:rsid w:val="003C358E"/>
    <w:rsid w:val="003C68A6"/>
    <w:rsid w:val="003C6B2C"/>
    <w:rsid w:val="003C7811"/>
    <w:rsid w:val="003D05A3"/>
    <w:rsid w:val="003D08BC"/>
    <w:rsid w:val="003D32E9"/>
    <w:rsid w:val="003D3A0D"/>
    <w:rsid w:val="003D5C9A"/>
    <w:rsid w:val="003D6838"/>
    <w:rsid w:val="003D6E10"/>
    <w:rsid w:val="003D7821"/>
    <w:rsid w:val="003E03E8"/>
    <w:rsid w:val="003E0CB0"/>
    <w:rsid w:val="003E14F1"/>
    <w:rsid w:val="003E3313"/>
    <w:rsid w:val="003E3722"/>
    <w:rsid w:val="003E4056"/>
    <w:rsid w:val="003E570C"/>
    <w:rsid w:val="003E5E8D"/>
    <w:rsid w:val="003E6557"/>
    <w:rsid w:val="003E7982"/>
    <w:rsid w:val="003F0324"/>
    <w:rsid w:val="003F0C66"/>
    <w:rsid w:val="003F3ABF"/>
    <w:rsid w:val="003F5F52"/>
    <w:rsid w:val="003F6461"/>
    <w:rsid w:val="003F7048"/>
    <w:rsid w:val="00400749"/>
    <w:rsid w:val="00400C15"/>
    <w:rsid w:val="00400DD3"/>
    <w:rsid w:val="0040347C"/>
    <w:rsid w:val="00403CA5"/>
    <w:rsid w:val="0040538B"/>
    <w:rsid w:val="004064E6"/>
    <w:rsid w:val="00407236"/>
    <w:rsid w:val="0041102D"/>
    <w:rsid w:val="0041173A"/>
    <w:rsid w:val="004122EE"/>
    <w:rsid w:val="00412DF1"/>
    <w:rsid w:val="00413096"/>
    <w:rsid w:val="00414FED"/>
    <w:rsid w:val="004159ED"/>
    <w:rsid w:val="0041698A"/>
    <w:rsid w:val="00417530"/>
    <w:rsid w:val="00417A5A"/>
    <w:rsid w:val="004217F8"/>
    <w:rsid w:val="004227ED"/>
    <w:rsid w:val="00424103"/>
    <w:rsid w:val="004255CE"/>
    <w:rsid w:val="004347D9"/>
    <w:rsid w:val="004362D2"/>
    <w:rsid w:val="0043659E"/>
    <w:rsid w:val="00436A8C"/>
    <w:rsid w:val="00437BFC"/>
    <w:rsid w:val="00440E42"/>
    <w:rsid w:val="004425A7"/>
    <w:rsid w:val="004439AA"/>
    <w:rsid w:val="00444A6D"/>
    <w:rsid w:val="0044547D"/>
    <w:rsid w:val="00445BCE"/>
    <w:rsid w:val="0044701F"/>
    <w:rsid w:val="00447161"/>
    <w:rsid w:val="00453D15"/>
    <w:rsid w:val="00454739"/>
    <w:rsid w:val="00454B81"/>
    <w:rsid w:val="00454F25"/>
    <w:rsid w:val="004559A0"/>
    <w:rsid w:val="00456F2A"/>
    <w:rsid w:val="00457126"/>
    <w:rsid w:val="00457481"/>
    <w:rsid w:val="0045785D"/>
    <w:rsid w:val="004578F2"/>
    <w:rsid w:val="00460EDE"/>
    <w:rsid w:val="00462D18"/>
    <w:rsid w:val="004639E9"/>
    <w:rsid w:val="00464790"/>
    <w:rsid w:val="00465D5D"/>
    <w:rsid w:val="00466B8C"/>
    <w:rsid w:val="004710B8"/>
    <w:rsid w:val="004745D2"/>
    <w:rsid w:val="00475254"/>
    <w:rsid w:val="00475575"/>
    <w:rsid w:val="00475706"/>
    <w:rsid w:val="00475DDC"/>
    <w:rsid w:val="004800D3"/>
    <w:rsid w:val="0048027C"/>
    <w:rsid w:val="004807C1"/>
    <w:rsid w:val="00482796"/>
    <w:rsid w:val="004827F1"/>
    <w:rsid w:val="00482BB3"/>
    <w:rsid w:val="00485E4E"/>
    <w:rsid w:val="004866E1"/>
    <w:rsid w:val="00487BED"/>
    <w:rsid w:val="0049031F"/>
    <w:rsid w:val="00490F5B"/>
    <w:rsid w:val="00491F1E"/>
    <w:rsid w:val="00492838"/>
    <w:rsid w:val="00497FEC"/>
    <w:rsid w:val="004A05AB"/>
    <w:rsid w:val="004A663B"/>
    <w:rsid w:val="004A7A69"/>
    <w:rsid w:val="004B0BC9"/>
    <w:rsid w:val="004B0C37"/>
    <w:rsid w:val="004B17FA"/>
    <w:rsid w:val="004B1FF1"/>
    <w:rsid w:val="004B2C89"/>
    <w:rsid w:val="004B3B27"/>
    <w:rsid w:val="004B3C0D"/>
    <w:rsid w:val="004B3EB5"/>
    <w:rsid w:val="004C24BF"/>
    <w:rsid w:val="004C3225"/>
    <w:rsid w:val="004C4697"/>
    <w:rsid w:val="004C4EA4"/>
    <w:rsid w:val="004C57FE"/>
    <w:rsid w:val="004C78DC"/>
    <w:rsid w:val="004D0CB0"/>
    <w:rsid w:val="004D1D7C"/>
    <w:rsid w:val="004D27F8"/>
    <w:rsid w:val="004D33FB"/>
    <w:rsid w:val="004D35A5"/>
    <w:rsid w:val="004D3764"/>
    <w:rsid w:val="004D3D68"/>
    <w:rsid w:val="004D5CD3"/>
    <w:rsid w:val="004D7EA9"/>
    <w:rsid w:val="004E520E"/>
    <w:rsid w:val="004E6FBF"/>
    <w:rsid w:val="004E7C1B"/>
    <w:rsid w:val="004F14DA"/>
    <w:rsid w:val="004F21B4"/>
    <w:rsid w:val="004F249C"/>
    <w:rsid w:val="004F4649"/>
    <w:rsid w:val="004F4B03"/>
    <w:rsid w:val="004F4B54"/>
    <w:rsid w:val="004F553D"/>
    <w:rsid w:val="004F615A"/>
    <w:rsid w:val="004F6C93"/>
    <w:rsid w:val="004F6E24"/>
    <w:rsid w:val="005015A5"/>
    <w:rsid w:val="00501A3D"/>
    <w:rsid w:val="00501EBA"/>
    <w:rsid w:val="00502F3A"/>
    <w:rsid w:val="00503073"/>
    <w:rsid w:val="005036C5"/>
    <w:rsid w:val="00503729"/>
    <w:rsid w:val="0050389B"/>
    <w:rsid w:val="00504E28"/>
    <w:rsid w:val="0050554E"/>
    <w:rsid w:val="00510130"/>
    <w:rsid w:val="00513777"/>
    <w:rsid w:val="005139C9"/>
    <w:rsid w:val="00514244"/>
    <w:rsid w:val="005143ED"/>
    <w:rsid w:val="005162B5"/>
    <w:rsid w:val="00517740"/>
    <w:rsid w:val="0052138B"/>
    <w:rsid w:val="00521668"/>
    <w:rsid w:val="005223B0"/>
    <w:rsid w:val="00526436"/>
    <w:rsid w:val="00526866"/>
    <w:rsid w:val="005269D6"/>
    <w:rsid w:val="00526BC7"/>
    <w:rsid w:val="0053000E"/>
    <w:rsid w:val="00530C56"/>
    <w:rsid w:val="00532B1B"/>
    <w:rsid w:val="005332EB"/>
    <w:rsid w:val="00533E65"/>
    <w:rsid w:val="005345DB"/>
    <w:rsid w:val="00535D7C"/>
    <w:rsid w:val="005365C8"/>
    <w:rsid w:val="0053797D"/>
    <w:rsid w:val="00537BA3"/>
    <w:rsid w:val="005425E3"/>
    <w:rsid w:val="005441EF"/>
    <w:rsid w:val="005458D7"/>
    <w:rsid w:val="00545D97"/>
    <w:rsid w:val="00547907"/>
    <w:rsid w:val="00547D47"/>
    <w:rsid w:val="00550B15"/>
    <w:rsid w:val="00551CA3"/>
    <w:rsid w:val="00552099"/>
    <w:rsid w:val="00552C18"/>
    <w:rsid w:val="00555DE3"/>
    <w:rsid w:val="00555F88"/>
    <w:rsid w:val="005568FB"/>
    <w:rsid w:val="005573F7"/>
    <w:rsid w:val="0056044C"/>
    <w:rsid w:val="00562A21"/>
    <w:rsid w:val="005667B9"/>
    <w:rsid w:val="0056681E"/>
    <w:rsid w:val="0056735B"/>
    <w:rsid w:val="00567EE5"/>
    <w:rsid w:val="00567FBF"/>
    <w:rsid w:val="00570FB1"/>
    <w:rsid w:val="00571238"/>
    <w:rsid w:val="00572AA9"/>
    <w:rsid w:val="0057393D"/>
    <w:rsid w:val="00573D21"/>
    <w:rsid w:val="00573E8B"/>
    <w:rsid w:val="005754E9"/>
    <w:rsid w:val="00576186"/>
    <w:rsid w:val="00580410"/>
    <w:rsid w:val="00580B62"/>
    <w:rsid w:val="005816C6"/>
    <w:rsid w:val="00582BEA"/>
    <w:rsid w:val="0058322B"/>
    <w:rsid w:val="00585401"/>
    <w:rsid w:val="00585EC9"/>
    <w:rsid w:val="0058689B"/>
    <w:rsid w:val="005869F1"/>
    <w:rsid w:val="00586D16"/>
    <w:rsid w:val="00586F6B"/>
    <w:rsid w:val="00590853"/>
    <w:rsid w:val="0059087D"/>
    <w:rsid w:val="005911A3"/>
    <w:rsid w:val="005954A9"/>
    <w:rsid w:val="00595906"/>
    <w:rsid w:val="005964DA"/>
    <w:rsid w:val="00597296"/>
    <w:rsid w:val="005A136D"/>
    <w:rsid w:val="005A1BB6"/>
    <w:rsid w:val="005A42A4"/>
    <w:rsid w:val="005A4694"/>
    <w:rsid w:val="005B0DC3"/>
    <w:rsid w:val="005B11F9"/>
    <w:rsid w:val="005B3FCB"/>
    <w:rsid w:val="005B4501"/>
    <w:rsid w:val="005B6D20"/>
    <w:rsid w:val="005B7584"/>
    <w:rsid w:val="005B7E05"/>
    <w:rsid w:val="005C0668"/>
    <w:rsid w:val="005C199B"/>
    <w:rsid w:val="005C25B2"/>
    <w:rsid w:val="005C2A43"/>
    <w:rsid w:val="005C2F4A"/>
    <w:rsid w:val="005C4024"/>
    <w:rsid w:val="005C408B"/>
    <w:rsid w:val="005C4BF4"/>
    <w:rsid w:val="005C720B"/>
    <w:rsid w:val="005D01D1"/>
    <w:rsid w:val="005D148B"/>
    <w:rsid w:val="005D229A"/>
    <w:rsid w:val="005D4091"/>
    <w:rsid w:val="005D7C0F"/>
    <w:rsid w:val="005E03F4"/>
    <w:rsid w:val="005E1F5E"/>
    <w:rsid w:val="005E2B13"/>
    <w:rsid w:val="005E5340"/>
    <w:rsid w:val="005E7104"/>
    <w:rsid w:val="005F00F2"/>
    <w:rsid w:val="005F1534"/>
    <w:rsid w:val="005F16C2"/>
    <w:rsid w:val="005F27E2"/>
    <w:rsid w:val="005F2F15"/>
    <w:rsid w:val="005F48EF"/>
    <w:rsid w:val="005F5259"/>
    <w:rsid w:val="005F6B13"/>
    <w:rsid w:val="00600085"/>
    <w:rsid w:val="00600BFB"/>
    <w:rsid w:val="006017A5"/>
    <w:rsid w:val="006045A0"/>
    <w:rsid w:val="00605539"/>
    <w:rsid w:val="006059DE"/>
    <w:rsid w:val="00606A05"/>
    <w:rsid w:val="00607AE5"/>
    <w:rsid w:val="00610164"/>
    <w:rsid w:val="0061042C"/>
    <w:rsid w:val="0061087C"/>
    <w:rsid w:val="006110BC"/>
    <w:rsid w:val="00611478"/>
    <w:rsid w:val="00611805"/>
    <w:rsid w:val="006118B2"/>
    <w:rsid w:val="00611A51"/>
    <w:rsid w:val="00616DB7"/>
    <w:rsid w:val="00617561"/>
    <w:rsid w:val="00617882"/>
    <w:rsid w:val="0062005D"/>
    <w:rsid w:val="006225B8"/>
    <w:rsid w:val="0062360C"/>
    <w:rsid w:val="0062496E"/>
    <w:rsid w:val="00631D73"/>
    <w:rsid w:val="00631DEB"/>
    <w:rsid w:val="00633AB3"/>
    <w:rsid w:val="00635696"/>
    <w:rsid w:val="006359FB"/>
    <w:rsid w:val="00635E37"/>
    <w:rsid w:val="006372AE"/>
    <w:rsid w:val="006373C8"/>
    <w:rsid w:val="0063776A"/>
    <w:rsid w:val="00642645"/>
    <w:rsid w:val="00642F52"/>
    <w:rsid w:val="00644FC7"/>
    <w:rsid w:val="0064645C"/>
    <w:rsid w:val="00646B04"/>
    <w:rsid w:val="0064795E"/>
    <w:rsid w:val="00647C07"/>
    <w:rsid w:val="00651810"/>
    <w:rsid w:val="00652F23"/>
    <w:rsid w:val="006544C6"/>
    <w:rsid w:val="006548ED"/>
    <w:rsid w:val="00654D4B"/>
    <w:rsid w:val="006554DA"/>
    <w:rsid w:val="006557AF"/>
    <w:rsid w:val="006614D0"/>
    <w:rsid w:val="0066152C"/>
    <w:rsid w:val="0066320F"/>
    <w:rsid w:val="00663B54"/>
    <w:rsid w:val="00664CC0"/>
    <w:rsid w:val="00670358"/>
    <w:rsid w:val="00671C6D"/>
    <w:rsid w:val="00672EC2"/>
    <w:rsid w:val="0067329A"/>
    <w:rsid w:val="00673A43"/>
    <w:rsid w:val="006743C4"/>
    <w:rsid w:val="00680CC1"/>
    <w:rsid w:val="0068549E"/>
    <w:rsid w:val="00686781"/>
    <w:rsid w:val="00687B69"/>
    <w:rsid w:val="00692A79"/>
    <w:rsid w:val="00693BB3"/>
    <w:rsid w:val="00696312"/>
    <w:rsid w:val="006964F7"/>
    <w:rsid w:val="006A16BE"/>
    <w:rsid w:val="006A18B7"/>
    <w:rsid w:val="006A244E"/>
    <w:rsid w:val="006A2982"/>
    <w:rsid w:val="006A2DF0"/>
    <w:rsid w:val="006A3925"/>
    <w:rsid w:val="006A5C0E"/>
    <w:rsid w:val="006A66C2"/>
    <w:rsid w:val="006A706B"/>
    <w:rsid w:val="006A7B56"/>
    <w:rsid w:val="006B0A90"/>
    <w:rsid w:val="006B0EDC"/>
    <w:rsid w:val="006B19BD"/>
    <w:rsid w:val="006B3402"/>
    <w:rsid w:val="006B4D9E"/>
    <w:rsid w:val="006B540C"/>
    <w:rsid w:val="006B70C2"/>
    <w:rsid w:val="006C1BF4"/>
    <w:rsid w:val="006C20CB"/>
    <w:rsid w:val="006C2AE5"/>
    <w:rsid w:val="006C3C11"/>
    <w:rsid w:val="006C412F"/>
    <w:rsid w:val="006C42DC"/>
    <w:rsid w:val="006C5250"/>
    <w:rsid w:val="006C5467"/>
    <w:rsid w:val="006C5496"/>
    <w:rsid w:val="006C5782"/>
    <w:rsid w:val="006C7978"/>
    <w:rsid w:val="006D06B1"/>
    <w:rsid w:val="006D0FDB"/>
    <w:rsid w:val="006D3A82"/>
    <w:rsid w:val="006D4798"/>
    <w:rsid w:val="006D4C6E"/>
    <w:rsid w:val="006D527F"/>
    <w:rsid w:val="006E137E"/>
    <w:rsid w:val="006E15B9"/>
    <w:rsid w:val="006E1AC5"/>
    <w:rsid w:val="006E3089"/>
    <w:rsid w:val="006E5504"/>
    <w:rsid w:val="006E7406"/>
    <w:rsid w:val="006E7B7C"/>
    <w:rsid w:val="006F044B"/>
    <w:rsid w:val="006F41C9"/>
    <w:rsid w:val="006F7E3F"/>
    <w:rsid w:val="0070070A"/>
    <w:rsid w:val="00700C86"/>
    <w:rsid w:val="00703D5F"/>
    <w:rsid w:val="00704C01"/>
    <w:rsid w:val="007074BB"/>
    <w:rsid w:val="007113CA"/>
    <w:rsid w:val="00711D4F"/>
    <w:rsid w:val="007164DD"/>
    <w:rsid w:val="00716925"/>
    <w:rsid w:val="00720768"/>
    <w:rsid w:val="00720D30"/>
    <w:rsid w:val="00721984"/>
    <w:rsid w:val="00721DA3"/>
    <w:rsid w:val="007223FB"/>
    <w:rsid w:val="00723140"/>
    <w:rsid w:val="00723CE0"/>
    <w:rsid w:val="0072526A"/>
    <w:rsid w:val="007253C8"/>
    <w:rsid w:val="00730492"/>
    <w:rsid w:val="00730BAC"/>
    <w:rsid w:val="007311D1"/>
    <w:rsid w:val="00734DB4"/>
    <w:rsid w:val="0073507E"/>
    <w:rsid w:val="00740400"/>
    <w:rsid w:val="0074073B"/>
    <w:rsid w:val="00740872"/>
    <w:rsid w:val="00740DD2"/>
    <w:rsid w:val="00741126"/>
    <w:rsid w:val="0074273A"/>
    <w:rsid w:val="00745485"/>
    <w:rsid w:val="00745F70"/>
    <w:rsid w:val="00746EC6"/>
    <w:rsid w:val="00747EE8"/>
    <w:rsid w:val="00750A92"/>
    <w:rsid w:val="00751D51"/>
    <w:rsid w:val="007535C1"/>
    <w:rsid w:val="0075360D"/>
    <w:rsid w:val="007555BF"/>
    <w:rsid w:val="00756166"/>
    <w:rsid w:val="00756DE4"/>
    <w:rsid w:val="00757DF2"/>
    <w:rsid w:val="00771624"/>
    <w:rsid w:val="0077174B"/>
    <w:rsid w:val="0077578A"/>
    <w:rsid w:val="00775EBB"/>
    <w:rsid w:val="007762B0"/>
    <w:rsid w:val="00783C53"/>
    <w:rsid w:val="00787743"/>
    <w:rsid w:val="0078789F"/>
    <w:rsid w:val="00787C64"/>
    <w:rsid w:val="00791ECF"/>
    <w:rsid w:val="00792BC9"/>
    <w:rsid w:val="00792E2C"/>
    <w:rsid w:val="00793A6B"/>
    <w:rsid w:val="00793BB4"/>
    <w:rsid w:val="007948F8"/>
    <w:rsid w:val="0079569A"/>
    <w:rsid w:val="00797DEE"/>
    <w:rsid w:val="007A11A0"/>
    <w:rsid w:val="007A2362"/>
    <w:rsid w:val="007A289D"/>
    <w:rsid w:val="007A4013"/>
    <w:rsid w:val="007A496A"/>
    <w:rsid w:val="007A556D"/>
    <w:rsid w:val="007A704F"/>
    <w:rsid w:val="007A711B"/>
    <w:rsid w:val="007A7CC5"/>
    <w:rsid w:val="007B0A74"/>
    <w:rsid w:val="007B10B3"/>
    <w:rsid w:val="007B201A"/>
    <w:rsid w:val="007B5FD7"/>
    <w:rsid w:val="007B6DF0"/>
    <w:rsid w:val="007B72CA"/>
    <w:rsid w:val="007C0B8F"/>
    <w:rsid w:val="007C2143"/>
    <w:rsid w:val="007C345B"/>
    <w:rsid w:val="007C4B9C"/>
    <w:rsid w:val="007C519D"/>
    <w:rsid w:val="007C64DE"/>
    <w:rsid w:val="007D057B"/>
    <w:rsid w:val="007D152F"/>
    <w:rsid w:val="007D1C77"/>
    <w:rsid w:val="007D234E"/>
    <w:rsid w:val="007D3C13"/>
    <w:rsid w:val="007D4931"/>
    <w:rsid w:val="007D5EAB"/>
    <w:rsid w:val="007D6FB1"/>
    <w:rsid w:val="007D7F6D"/>
    <w:rsid w:val="007E02D6"/>
    <w:rsid w:val="007E1FE9"/>
    <w:rsid w:val="007E3B36"/>
    <w:rsid w:val="007E450A"/>
    <w:rsid w:val="007E4E32"/>
    <w:rsid w:val="007E6651"/>
    <w:rsid w:val="007E6CAC"/>
    <w:rsid w:val="007E72E2"/>
    <w:rsid w:val="007F00EB"/>
    <w:rsid w:val="007F0412"/>
    <w:rsid w:val="007F1F90"/>
    <w:rsid w:val="007F2000"/>
    <w:rsid w:val="007F3ACD"/>
    <w:rsid w:val="007F7EAA"/>
    <w:rsid w:val="00800B91"/>
    <w:rsid w:val="00800EBD"/>
    <w:rsid w:val="00801029"/>
    <w:rsid w:val="0080133F"/>
    <w:rsid w:val="00801540"/>
    <w:rsid w:val="00801DE4"/>
    <w:rsid w:val="00802D1A"/>
    <w:rsid w:val="0080458E"/>
    <w:rsid w:val="0080498F"/>
    <w:rsid w:val="00806F4C"/>
    <w:rsid w:val="0081133E"/>
    <w:rsid w:val="008115DE"/>
    <w:rsid w:val="0081254B"/>
    <w:rsid w:val="00812F7E"/>
    <w:rsid w:val="00813BE7"/>
    <w:rsid w:val="00815824"/>
    <w:rsid w:val="00815899"/>
    <w:rsid w:val="0081636F"/>
    <w:rsid w:val="0081667C"/>
    <w:rsid w:val="00816F02"/>
    <w:rsid w:val="008172FD"/>
    <w:rsid w:val="008211BD"/>
    <w:rsid w:val="00823440"/>
    <w:rsid w:val="008239C9"/>
    <w:rsid w:val="00823B7D"/>
    <w:rsid w:val="00823E12"/>
    <w:rsid w:val="0082562A"/>
    <w:rsid w:val="00825B7D"/>
    <w:rsid w:val="00825C48"/>
    <w:rsid w:val="008261CF"/>
    <w:rsid w:val="008300A3"/>
    <w:rsid w:val="008308E8"/>
    <w:rsid w:val="00833A7B"/>
    <w:rsid w:val="00835EA9"/>
    <w:rsid w:val="0084072C"/>
    <w:rsid w:val="008414EE"/>
    <w:rsid w:val="008443E0"/>
    <w:rsid w:val="0084527E"/>
    <w:rsid w:val="008463A2"/>
    <w:rsid w:val="00847F57"/>
    <w:rsid w:val="00850570"/>
    <w:rsid w:val="00850F5F"/>
    <w:rsid w:val="00850FFB"/>
    <w:rsid w:val="00855033"/>
    <w:rsid w:val="00855C56"/>
    <w:rsid w:val="00856C36"/>
    <w:rsid w:val="00856F45"/>
    <w:rsid w:val="00860654"/>
    <w:rsid w:val="008608E3"/>
    <w:rsid w:val="00861B0E"/>
    <w:rsid w:val="0086252E"/>
    <w:rsid w:val="00862C79"/>
    <w:rsid w:val="0086343D"/>
    <w:rsid w:val="0086499D"/>
    <w:rsid w:val="008653BD"/>
    <w:rsid w:val="00866235"/>
    <w:rsid w:val="008704D8"/>
    <w:rsid w:val="008733E3"/>
    <w:rsid w:val="008762CC"/>
    <w:rsid w:val="008771D8"/>
    <w:rsid w:val="00881240"/>
    <w:rsid w:val="00882839"/>
    <w:rsid w:val="00883F08"/>
    <w:rsid w:val="008843C2"/>
    <w:rsid w:val="0088471F"/>
    <w:rsid w:val="008859C5"/>
    <w:rsid w:val="00887974"/>
    <w:rsid w:val="00887A31"/>
    <w:rsid w:val="00890214"/>
    <w:rsid w:val="008905B0"/>
    <w:rsid w:val="008922DC"/>
    <w:rsid w:val="008937AD"/>
    <w:rsid w:val="008A0AAA"/>
    <w:rsid w:val="008A298F"/>
    <w:rsid w:val="008A3229"/>
    <w:rsid w:val="008A333D"/>
    <w:rsid w:val="008A3836"/>
    <w:rsid w:val="008A553D"/>
    <w:rsid w:val="008A5BB9"/>
    <w:rsid w:val="008A6720"/>
    <w:rsid w:val="008A74B7"/>
    <w:rsid w:val="008A7E90"/>
    <w:rsid w:val="008B0A28"/>
    <w:rsid w:val="008B0D4E"/>
    <w:rsid w:val="008B1C78"/>
    <w:rsid w:val="008B5077"/>
    <w:rsid w:val="008B5D8B"/>
    <w:rsid w:val="008B691E"/>
    <w:rsid w:val="008B7143"/>
    <w:rsid w:val="008B7CE8"/>
    <w:rsid w:val="008C152D"/>
    <w:rsid w:val="008C1A70"/>
    <w:rsid w:val="008C2438"/>
    <w:rsid w:val="008D179A"/>
    <w:rsid w:val="008D4793"/>
    <w:rsid w:val="008D4C20"/>
    <w:rsid w:val="008D7D62"/>
    <w:rsid w:val="008E03F6"/>
    <w:rsid w:val="008E05A5"/>
    <w:rsid w:val="008E0CD3"/>
    <w:rsid w:val="008E12B7"/>
    <w:rsid w:val="008E12D0"/>
    <w:rsid w:val="008E135A"/>
    <w:rsid w:val="008E43D3"/>
    <w:rsid w:val="008E4AFF"/>
    <w:rsid w:val="008E5129"/>
    <w:rsid w:val="008E5F1D"/>
    <w:rsid w:val="008E63AC"/>
    <w:rsid w:val="008E6AD9"/>
    <w:rsid w:val="008F20B5"/>
    <w:rsid w:val="008F4390"/>
    <w:rsid w:val="008F5A3A"/>
    <w:rsid w:val="00900EA8"/>
    <w:rsid w:val="00902CB4"/>
    <w:rsid w:val="00903458"/>
    <w:rsid w:val="00903467"/>
    <w:rsid w:val="009037DC"/>
    <w:rsid w:val="00906BE8"/>
    <w:rsid w:val="00906EAA"/>
    <w:rsid w:val="009104CF"/>
    <w:rsid w:val="0091458C"/>
    <w:rsid w:val="00914916"/>
    <w:rsid w:val="00917134"/>
    <w:rsid w:val="009171EE"/>
    <w:rsid w:val="00917A9F"/>
    <w:rsid w:val="00920466"/>
    <w:rsid w:val="009225EC"/>
    <w:rsid w:val="00924A18"/>
    <w:rsid w:val="009265B0"/>
    <w:rsid w:val="0092760D"/>
    <w:rsid w:val="00930A26"/>
    <w:rsid w:val="009311A2"/>
    <w:rsid w:val="00931CE3"/>
    <w:rsid w:val="00932666"/>
    <w:rsid w:val="00933224"/>
    <w:rsid w:val="00935770"/>
    <w:rsid w:val="00937D87"/>
    <w:rsid w:val="0094542B"/>
    <w:rsid w:val="009472D7"/>
    <w:rsid w:val="00951565"/>
    <w:rsid w:val="00951E5D"/>
    <w:rsid w:val="00953079"/>
    <w:rsid w:val="00957D9F"/>
    <w:rsid w:val="00961A6D"/>
    <w:rsid w:val="0096673B"/>
    <w:rsid w:val="00970DD2"/>
    <w:rsid w:val="00971117"/>
    <w:rsid w:val="009722B1"/>
    <w:rsid w:val="00974419"/>
    <w:rsid w:val="00974AE3"/>
    <w:rsid w:val="00986D75"/>
    <w:rsid w:val="009909C6"/>
    <w:rsid w:val="00991005"/>
    <w:rsid w:val="009A03B1"/>
    <w:rsid w:val="009A22E2"/>
    <w:rsid w:val="009A35D4"/>
    <w:rsid w:val="009A546E"/>
    <w:rsid w:val="009A57CB"/>
    <w:rsid w:val="009B0484"/>
    <w:rsid w:val="009B04DC"/>
    <w:rsid w:val="009B09D0"/>
    <w:rsid w:val="009B1AFA"/>
    <w:rsid w:val="009B27B8"/>
    <w:rsid w:val="009B37BA"/>
    <w:rsid w:val="009B41BB"/>
    <w:rsid w:val="009B5875"/>
    <w:rsid w:val="009B5CAC"/>
    <w:rsid w:val="009C0754"/>
    <w:rsid w:val="009C2AAB"/>
    <w:rsid w:val="009C2F39"/>
    <w:rsid w:val="009C4504"/>
    <w:rsid w:val="009C515D"/>
    <w:rsid w:val="009C6DF5"/>
    <w:rsid w:val="009C7BB2"/>
    <w:rsid w:val="009D006D"/>
    <w:rsid w:val="009D15F1"/>
    <w:rsid w:val="009D17E0"/>
    <w:rsid w:val="009D1A93"/>
    <w:rsid w:val="009D2599"/>
    <w:rsid w:val="009D27F3"/>
    <w:rsid w:val="009D2B10"/>
    <w:rsid w:val="009E0B3F"/>
    <w:rsid w:val="009E2458"/>
    <w:rsid w:val="009E269A"/>
    <w:rsid w:val="009E50B8"/>
    <w:rsid w:val="009E6205"/>
    <w:rsid w:val="009E6F5A"/>
    <w:rsid w:val="009F7EBB"/>
    <w:rsid w:val="00A013DC"/>
    <w:rsid w:val="00A01E8E"/>
    <w:rsid w:val="00A044E0"/>
    <w:rsid w:val="00A04B5C"/>
    <w:rsid w:val="00A04FB4"/>
    <w:rsid w:val="00A078DE"/>
    <w:rsid w:val="00A13141"/>
    <w:rsid w:val="00A15F71"/>
    <w:rsid w:val="00A16D1D"/>
    <w:rsid w:val="00A17842"/>
    <w:rsid w:val="00A20B7B"/>
    <w:rsid w:val="00A2199C"/>
    <w:rsid w:val="00A2484B"/>
    <w:rsid w:val="00A26F94"/>
    <w:rsid w:val="00A303BD"/>
    <w:rsid w:val="00A30F21"/>
    <w:rsid w:val="00A37789"/>
    <w:rsid w:val="00A4005F"/>
    <w:rsid w:val="00A4021D"/>
    <w:rsid w:val="00A40D5E"/>
    <w:rsid w:val="00A43896"/>
    <w:rsid w:val="00A43A1F"/>
    <w:rsid w:val="00A44ED7"/>
    <w:rsid w:val="00A45757"/>
    <w:rsid w:val="00A457DD"/>
    <w:rsid w:val="00A50619"/>
    <w:rsid w:val="00A508C3"/>
    <w:rsid w:val="00A511C7"/>
    <w:rsid w:val="00A529E0"/>
    <w:rsid w:val="00A52E53"/>
    <w:rsid w:val="00A57AEB"/>
    <w:rsid w:val="00A617CD"/>
    <w:rsid w:val="00A6244E"/>
    <w:rsid w:val="00A63327"/>
    <w:rsid w:val="00A65556"/>
    <w:rsid w:val="00A65B01"/>
    <w:rsid w:val="00A66126"/>
    <w:rsid w:val="00A675C2"/>
    <w:rsid w:val="00A70D3B"/>
    <w:rsid w:val="00A73B4D"/>
    <w:rsid w:val="00A742D8"/>
    <w:rsid w:val="00A74E5F"/>
    <w:rsid w:val="00A77D9F"/>
    <w:rsid w:val="00A83146"/>
    <w:rsid w:val="00A83861"/>
    <w:rsid w:val="00A85974"/>
    <w:rsid w:val="00A85B8E"/>
    <w:rsid w:val="00A865AA"/>
    <w:rsid w:val="00A867AE"/>
    <w:rsid w:val="00A919F7"/>
    <w:rsid w:val="00A927EF"/>
    <w:rsid w:val="00A947EF"/>
    <w:rsid w:val="00A94C8D"/>
    <w:rsid w:val="00A958F1"/>
    <w:rsid w:val="00A96327"/>
    <w:rsid w:val="00A974E8"/>
    <w:rsid w:val="00AA0CF0"/>
    <w:rsid w:val="00AA1C92"/>
    <w:rsid w:val="00AA216A"/>
    <w:rsid w:val="00AA462E"/>
    <w:rsid w:val="00AA558C"/>
    <w:rsid w:val="00AA6408"/>
    <w:rsid w:val="00AA643D"/>
    <w:rsid w:val="00AA688B"/>
    <w:rsid w:val="00AB0D58"/>
    <w:rsid w:val="00AB1CA0"/>
    <w:rsid w:val="00AB1F53"/>
    <w:rsid w:val="00AB2F10"/>
    <w:rsid w:val="00AB47A5"/>
    <w:rsid w:val="00AB5260"/>
    <w:rsid w:val="00AB65DB"/>
    <w:rsid w:val="00AC0988"/>
    <w:rsid w:val="00AC1CC9"/>
    <w:rsid w:val="00AC1FE8"/>
    <w:rsid w:val="00AD2C95"/>
    <w:rsid w:val="00AD2F69"/>
    <w:rsid w:val="00AD448E"/>
    <w:rsid w:val="00AD4E4C"/>
    <w:rsid w:val="00AD53B1"/>
    <w:rsid w:val="00AD545B"/>
    <w:rsid w:val="00AD54F5"/>
    <w:rsid w:val="00AD67EB"/>
    <w:rsid w:val="00AD7469"/>
    <w:rsid w:val="00AE0524"/>
    <w:rsid w:val="00AE05C3"/>
    <w:rsid w:val="00AE0A37"/>
    <w:rsid w:val="00AE1A56"/>
    <w:rsid w:val="00AE261B"/>
    <w:rsid w:val="00AE3ADD"/>
    <w:rsid w:val="00AE3DCF"/>
    <w:rsid w:val="00AE4A48"/>
    <w:rsid w:val="00AE5A74"/>
    <w:rsid w:val="00AE7F57"/>
    <w:rsid w:val="00AF1E90"/>
    <w:rsid w:val="00AF361D"/>
    <w:rsid w:val="00AF3645"/>
    <w:rsid w:val="00AF57CB"/>
    <w:rsid w:val="00AF71EA"/>
    <w:rsid w:val="00B010A3"/>
    <w:rsid w:val="00B02CED"/>
    <w:rsid w:val="00B035FC"/>
    <w:rsid w:val="00B03FB9"/>
    <w:rsid w:val="00B04FD0"/>
    <w:rsid w:val="00B059DB"/>
    <w:rsid w:val="00B07AC8"/>
    <w:rsid w:val="00B10396"/>
    <w:rsid w:val="00B10B66"/>
    <w:rsid w:val="00B1206C"/>
    <w:rsid w:val="00B12CB4"/>
    <w:rsid w:val="00B1411E"/>
    <w:rsid w:val="00B14FC2"/>
    <w:rsid w:val="00B155A6"/>
    <w:rsid w:val="00B16505"/>
    <w:rsid w:val="00B166A7"/>
    <w:rsid w:val="00B16846"/>
    <w:rsid w:val="00B16D4E"/>
    <w:rsid w:val="00B20AC9"/>
    <w:rsid w:val="00B22B71"/>
    <w:rsid w:val="00B237AB"/>
    <w:rsid w:val="00B23D28"/>
    <w:rsid w:val="00B24785"/>
    <w:rsid w:val="00B248EC"/>
    <w:rsid w:val="00B25E6A"/>
    <w:rsid w:val="00B278AE"/>
    <w:rsid w:val="00B3083C"/>
    <w:rsid w:val="00B33660"/>
    <w:rsid w:val="00B33A4F"/>
    <w:rsid w:val="00B352A0"/>
    <w:rsid w:val="00B35F16"/>
    <w:rsid w:val="00B40B2C"/>
    <w:rsid w:val="00B40BE6"/>
    <w:rsid w:val="00B41635"/>
    <w:rsid w:val="00B4171C"/>
    <w:rsid w:val="00B417AD"/>
    <w:rsid w:val="00B4251D"/>
    <w:rsid w:val="00B43041"/>
    <w:rsid w:val="00B44716"/>
    <w:rsid w:val="00B45181"/>
    <w:rsid w:val="00B47028"/>
    <w:rsid w:val="00B513DF"/>
    <w:rsid w:val="00B51A1A"/>
    <w:rsid w:val="00B5357A"/>
    <w:rsid w:val="00B54307"/>
    <w:rsid w:val="00B54B99"/>
    <w:rsid w:val="00B55F52"/>
    <w:rsid w:val="00B5687F"/>
    <w:rsid w:val="00B6378B"/>
    <w:rsid w:val="00B647ED"/>
    <w:rsid w:val="00B65345"/>
    <w:rsid w:val="00B65553"/>
    <w:rsid w:val="00B65ECF"/>
    <w:rsid w:val="00B707F5"/>
    <w:rsid w:val="00B70840"/>
    <w:rsid w:val="00B70BDD"/>
    <w:rsid w:val="00B7187A"/>
    <w:rsid w:val="00B72A9C"/>
    <w:rsid w:val="00B72D91"/>
    <w:rsid w:val="00B75AC2"/>
    <w:rsid w:val="00B75B08"/>
    <w:rsid w:val="00B76FC6"/>
    <w:rsid w:val="00B770A5"/>
    <w:rsid w:val="00B77BD5"/>
    <w:rsid w:val="00B820A4"/>
    <w:rsid w:val="00B84B6E"/>
    <w:rsid w:val="00B85E5E"/>
    <w:rsid w:val="00B865E5"/>
    <w:rsid w:val="00B875D8"/>
    <w:rsid w:val="00B90391"/>
    <w:rsid w:val="00B917AD"/>
    <w:rsid w:val="00B9530D"/>
    <w:rsid w:val="00B95482"/>
    <w:rsid w:val="00B97959"/>
    <w:rsid w:val="00BA1378"/>
    <w:rsid w:val="00BA15F6"/>
    <w:rsid w:val="00BA37A3"/>
    <w:rsid w:val="00BA525E"/>
    <w:rsid w:val="00BA5261"/>
    <w:rsid w:val="00BB25B4"/>
    <w:rsid w:val="00BB5BE3"/>
    <w:rsid w:val="00BB6888"/>
    <w:rsid w:val="00BB7586"/>
    <w:rsid w:val="00BB7C20"/>
    <w:rsid w:val="00BC1484"/>
    <w:rsid w:val="00BC435B"/>
    <w:rsid w:val="00BC453D"/>
    <w:rsid w:val="00BC7E76"/>
    <w:rsid w:val="00BD434A"/>
    <w:rsid w:val="00BD665B"/>
    <w:rsid w:val="00BD74C3"/>
    <w:rsid w:val="00BD7B5D"/>
    <w:rsid w:val="00BE1119"/>
    <w:rsid w:val="00BE166F"/>
    <w:rsid w:val="00BE2FE7"/>
    <w:rsid w:val="00BE3223"/>
    <w:rsid w:val="00BE4061"/>
    <w:rsid w:val="00BE7427"/>
    <w:rsid w:val="00BF149F"/>
    <w:rsid w:val="00BF2992"/>
    <w:rsid w:val="00BF2C11"/>
    <w:rsid w:val="00BF432E"/>
    <w:rsid w:val="00BF477D"/>
    <w:rsid w:val="00BF6C0F"/>
    <w:rsid w:val="00BF70E7"/>
    <w:rsid w:val="00BF7186"/>
    <w:rsid w:val="00C02E5C"/>
    <w:rsid w:val="00C064DB"/>
    <w:rsid w:val="00C0707C"/>
    <w:rsid w:val="00C07758"/>
    <w:rsid w:val="00C1000A"/>
    <w:rsid w:val="00C10B56"/>
    <w:rsid w:val="00C11152"/>
    <w:rsid w:val="00C11F2F"/>
    <w:rsid w:val="00C12DD8"/>
    <w:rsid w:val="00C13AB3"/>
    <w:rsid w:val="00C1492C"/>
    <w:rsid w:val="00C1674E"/>
    <w:rsid w:val="00C206CD"/>
    <w:rsid w:val="00C207FD"/>
    <w:rsid w:val="00C20D4C"/>
    <w:rsid w:val="00C22AE9"/>
    <w:rsid w:val="00C23801"/>
    <w:rsid w:val="00C25149"/>
    <w:rsid w:val="00C26797"/>
    <w:rsid w:val="00C30ACE"/>
    <w:rsid w:val="00C30D5F"/>
    <w:rsid w:val="00C31957"/>
    <w:rsid w:val="00C31AB1"/>
    <w:rsid w:val="00C32D29"/>
    <w:rsid w:val="00C34516"/>
    <w:rsid w:val="00C36525"/>
    <w:rsid w:val="00C40A63"/>
    <w:rsid w:val="00C435F3"/>
    <w:rsid w:val="00C503A7"/>
    <w:rsid w:val="00C505CD"/>
    <w:rsid w:val="00C5215F"/>
    <w:rsid w:val="00C53BCD"/>
    <w:rsid w:val="00C53E75"/>
    <w:rsid w:val="00C54939"/>
    <w:rsid w:val="00C564F9"/>
    <w:rsid w:val="00C56538"/>
    <w:rsid w:val="00C5672C"/>
    <w:rsid w:val="00C60343"/>
    <w:rsid w:val="00C607F4"/>
    <w:rsid w:val="00C63982"/>
    <w:rsid w:val="00C65EF2"/>
    <w:rsid w:val="00C668A6"/>
    <w:rsid w:val="00C66A74"/>
    <w:rsid w:val="00C67A39"/>
    <w:rsid w:val="00C70225"/>
    <w:rsid w:val="00C712B9"/>
    <w:rsid w:val="00C7139D"/>
    <w:rsid w:val="00C71F80"/>
    <w:rsid w:val="00C73B33"/>
    <w:rsid w:val="00C74DC4"/>
    <w:rsid w:val="00C76E11"/>
    <w:rsid w:val="00C76F24"/>
    <w:rsid w:val="00C84766"/>
    <w:rsid w:val="00C84C9E"/>
    <w:rsid w:val="00C86118"/>
    <w:rsid w:val="00C90042"/>
    <w:rsid w:val="00C90E25"/>
    <w:rsid w:val="00C9222F"/>
    <w:rsid w:val="00C94917"/>
    <w:rsid w:val="00C94B53"/>
    <w:rsid w:val="00C95C59"/>
    <w:rsid w:val="00CA01EC"/>
    <w:rsid w:val="00CA0D8F"/>
    <w:rsid w:val="00CA1F21"/>
    <w:rsid w:val="00CA2ECF"/>
    <w:rsid w:val="00CA4585"/>
    <w:rsid w:val="00CA4933"/>
    <w:rsid w:val="00CA6001"/>
    <w:rsid w:val="00CA65B3"/>
    <w:rsid w:val="00CA763F"/>
    <w:rsid w:val="00CB00C0"/>
    <w:rsid w:val="00CB1C44"/>
    <w:rsid w:val="00CB2863"/>
    <w:rsid w:val="00CB4700"/>
    <w:rsid w:val="00CB4A28"/>
    <w:rsid w:val="00CB520A"/>
    <w:rsid w:val="00CB5548"/>
    <w:rsid w:val="00CB7928"/>
    <w:rsid w:val="00CC15CB"/>
    <w:rsid w:val="00CC1833"/>
    <w:rsid w:val="00CC223F"/>
    <w:rsid w:val="00CC3239"/>
    <w:rsid w:val="00CC3297"/>
    <w:rsid w:val="00CC4192"/>
    <w:rsid w:val="00CC5B6A"/>
    <w:rsid w:val="00CC7B7B"/>
    <w:rsid w:val="00CC7F24"/>
    <w:rsid w:val="00CD1A37"/>
    <w:rsid w:val="00CD1C4E"/>
    <w:rsid w:val="00CD1F0D"/>
    <w:rsid w:val="00CD26B9"/>
    <w:rsid w:val="00CD3B2F"/>
    <w:rsid w:val="00CD4083"/>
    <w:rsid w:val="00CD706C"/>
    <w:rsid w:val="00CE1023"/>
    <w:rsid w:val="00CE1530"/>
    <w:rsid w:val="00CE1926"/>
    <w:rsid w:val="00CE2E53"/>
    <w:rsid w:val="00CE3A39"/>
    <w:rsid w:val="00CE41F6"/>
    <w:rsid w:val="00CE4FCA"/>
    <w:rsid w:val="00CE5F5A"/>
    <w:rsid w:val="00CE6C7E"/>
    <w:rsid w:val="00CF2F87"/>
    <w:rsid w:val="00CF7DF9"/>
    <w:rsid w:val="00D01C9B"/>
    <w:rsid w:val="00D020F1"/>
    <w:rsid w:val="00D03131"/>
    <w:rsid w:val="00D03810"/>
    <w:rsid w:val="00D03942"/>
    <w:rsid w:val="00D064A7"/>
    <w:rsid w:val="00D069ED"/>
    <w:rsid w:val="00D0701F"/>
    <w:rsid w:val="00D111F5"/>
    <w:rsid w:val="00D11883"/>
    <w:rsid w:val="00D146EF"/>
    <w:rsid w:val="00D15B8B"/>
    <w:rsid w:val="00D1727F"/>
    <w:rsid w:val="00D173CD"/>
    <w:rsid w:val="00D17CC8"/>
    <w:rsid w:val="00D23C57"/>
    <w:rsid w:val="00D25EB2"/>
    <w:rsid w:val="00D26FA0"/>
    <w:rsid w:val="00D270F1"/>
    <w:rsid w:val="00D3089A"/>
    <w:rsid w:val="00D30C74"/>
    <w:rsid w:val="00D30D59"/>
    <w:rsid w:val="00D312AA"/>
    <w:rsid w:val="00D34B15"/>
    <w:rsid w:val="00D34EA0"/>
    <w:rsid w:val="00D35358"/>
    <w:rsid w:val="00D36F85"/>
    <w:rsid w:val="00D40E91"/>
    <w:rsid w:val="00D40EB6"/>
    <w:rsid w:val="00D43B83"/>
    <w:rsid w:val="00D443D7"/>
    <w:rsid w:val="00D466C9"/>
    <w:rsid w:val="00D51C3A"/>
    <w:rsid w:val="00D5560D"/>
    <w:rsid w:val="00D56032"/>
    <w:rsid w:val="00D57479"/>
    <w:rsid w:val="00D60F26"/>
    <w:rsid w:val="00D620B1"/>
    <w:rsid w:val="00D6222E"/>
    <w:rsid w:val="00D63C73"/>
    <w:rsid w:val="00D64980"/>
    <w:rsid w:val="00D654FA"/>
    <w:rsid w:val="00D658DC"/>
    <w:rsid w:val="00D65D36"/>
    <w:rsid w:val="00D65EE3"/>
    <w:rsid w:val="00D66C1F"/>
    <w:rsid w:val="00D676F4"/>
    <w:rsid w:val="00D700A2"/>
    <w:rsid w:val="00D71203"/>
    <w:rsid w:val="00D731F3"/>
    <w:rsid w:val="00D7752E"/>
    <w:rsid w:val="00D77D5E"/>
    <w:rsid w:val="00D81582"/>
    <w:rsid w:val="00D816DD"/>
    <w:rsid w:val="00D81EA3"/>
    <w:rsid w:val="00D81F6E"/>
    <w:rsid w:val="00D84C20"/>
    <w:rsid w:val="00D859EE"/>
    <w:rsid w:val="00D85DBE"/>
    <w:rsid w:val="00D869CE"/>
    <w:rsid w:val="00D875AA"/>
    <w:rsid w:val="00D90520"/>
    <w:rsid w:val="00D924C7"/>
    <w:rsid w:val="00D96474"/>
    <w:rsid w:val="00DA2C62"/>
    <w:rsid w:val="00DA3824"/>
    <w:rsid w:val="00DA427A"/>
    <w:rsid w:val="00DA5D8D"/>
    <w:rsid w:val="00DA657E"/>
    <w:rsid w:val="00DB02F6"/>
    <w:rsid w:val="00DB1219"/>
    <w:rsid w:val="00DB27E6"/>
    <w:rsid w:val="00DB31E4"/>
    <w:rsid w:val="00DB757D"/>
    <w:rsid w:val="00DB7E94"/>
    <w:rsid w:val="00DC23BA"/>
    <w:rsid w:val="00DC54D4"/>
    <w:rsid w:val="00DC606B"/>
    <w:rsid w:val="00DC62DA"/>
    <w:rsid w:val="00DC6E0B"/>
    <w:rsid w:val="00DD0ED3"/>
    <w:rsid w:val="00DD1993"/>
    <w:rsid w:val="00DD2FF7"/>
    <w:rsid w:val="00DD381F"/>
    <w:rsid w:val="00DD4599"/>
    <w:rsid w:val="00DD61DB"/>
    <w:rsid w:val="00DD64EB"/>
    <w:rsid w:val="00DD688A"/>
    <w:rsid w:val="00DD6907"/>
    <w:rsid w:val="00DD7526"/>
    <w:rsid w:val="00DD79FE"/>
    <w:rsid w:val="00DE29DA"/>
    <w:rsid w:val="00DE4343"/>
    <w:rsid w:val="00DE46C7"/>
    <w:rsid w:val="00DE6054"/>
    <w:rsid w:val="00DF008C"/>
    <w:rsid w:val="00DF0260"/>
    <w:rsid w:val="00DF1343"/>
    <w:rsid w:val="00DF1B3B"/>
    <w:rsid w:val="00DF3A39"/>
    <w:rsid w:val="00E01989"/>
    <w:rsid w:val="00E01C80"/>
    <w:rsid w:val="00E02FA1"/>
    <w:rsid w:val="00E043FB"/>
    <w:rsid w:val="00E04916"/>
    <w:rsid w:val="00E05C32"/>
    <w:rsid w:val="00E10B3B"/>
    <w:rsid w:val="00E10BEB"/>
    <w:rsid w:val="00E11465"/>
    <w:rsid w:val="00E1224E"/>
    <w:rsid w:val="00E13CD2"/>
    <w:rsid w:val="00E167B4"/>
    <w:rsid w:val="00E17150"/>
    <w:rsid w:val="00E174D1"/>
    <w:rsid w:val="00E20180"/>
    <w:rsid w:val="00E211D1"/>
    <w:rsid w:val="00E21EA9"/>
    <w:rsid w:val="00E22FF9"/>
    <w:rsid w:val="00E2310A"/>
    <w:rsid w:val="00E23AC0"/>
    <w:rsid w:val="00E246C7"/>
    <w:rsid w:val="00E2539E"/>
    <w:rsid w:val="00E354EE"/>
    <w:rsid w:val="00E3581D"/>
    <w:rsid w:val="00E40749"/>
    <w:rsid w:val="00E40A4A"/>
    <w:rsid w:val="00E42707"/>
    <w:rsid w:val="00E4330C"/>
    <w:rsid w:val="00E43FFC"/>
    <w:rsid w:val="00E46B22"/>
    <w:rsid w:val="00E50D1A"/>
    <w:rsid w:val="00E51CFD"/>
    <w:rsid w:val="00E521BA"/>
    <w:rsid w:val="00E54C42"/>
    <w:rsid w:val="00E550A3"/>
    <w:rsid w:val="00E5539C"/>
    <w:rsid w:val="00E55991"/>
    <w:rsid w:val="00E55FD9"/>
    <w:rsid w:val="00E56FDC"/>
    <w:rsid w:val="00E57088"/>
    <w:rsid w:val="00E572F3"/>
    <w:rsid w:val="00E60793"/>
    <w:rsid w:val="00E61E7A"/>
    <w:rsid w:val="00E64836"/>
    <w:rsid w:val="00E6656D"/>
    <w:rsid w:val="00E66B09"/>
    <w:rsid w:val="00E671C3"/>
    <w:rsid w:val="00E67784"/>
    <w:rsid w:val="00E67CC0"/>
    <w:rsid w:val="00E762CA"/>
    <w:rsid w:val="00E76B15"/>
    <w:rsid w:val="00E81746"/>
    <w:rsid w:val="00E8408C"/>
    <w:rsid w:val="00E841DF"/>
    <w:rsid w:val="00E84350"/>
    <w:rsid w:val="00E84A3C"/>
    <w:rsid w:val="00E90142"/>
    <w:rsid w:val="00E90900"/>
    <w:rsid w:val="00E9269E"/>
    <w:rsid w:val="00E9403D"/>
    <w:rsid w:val="00E9436F"/>
    <w:rsid w:val="00E94556"/>
    <w:rsid w:val="00EA06DA"/>
    <w:rsid w:val="00EA44ED"/>
    <w:rsid w:val="00EA4619"/>
    <w:rsid w:val="00EA518E"/>
    <w:rsid w:val="00EA7498"/>
    <w:rsid w:val="00EB0492"/>
    <w:rsid w:val="00EB23D8"/>
    <w:rsid w:val="00EB2721"/>
    <w:rsid w:val="00EB47AF"/>
    <w:rsid w:val="00EB4EDD"/>
    <w:rsid w:val="00EB5147"/>
    <w:rsid w:val="00EB6A5B"/>
    <w:rsid w:val="00EC04B1"/>
    <w:rsid w:val="00EC21AF"/>
    <w:rsid w:val="00EC35B4"/>
    <w:rsid w:val="00EC3F9D"/>
    <w:rsid w:val="00EC586A"/>
    <w:rsid w:val="00EC5B7F"/>
    <w:rsid w:val="00EC6CA1"/>
    <w:rsid w:val="00EC7718"/>
    <w:rsid w:val="00EC776D"/>
    <w:rsid w:val="00ED0BC2"/>
    <w:rsid w:val="00ED347B"/>
    <w:rsid w:val="00ED48B2"/>
    <w:rsid w:val="00ED77A6"/>
    <w:rsid w:val="00EE04D4"/>
    <w:rsid w:val="00EE18AD"/>
    <w:rsid w:val="00EE1A11"/>
    <w:rsid w:val="00EE2037"/>
    <w:rsid w:val="00EE265F"/>
    <w:rsid w:val="00EE5042"/>
    <w:rsid w:val="00EE5363"/>
    <w:rsid w:val="00EE5AF4"/>
    <w:rsid w:val="00EE60F7"/>
    <w:rsid w:val="00EE622B"/>
    <w:rsid w:val="00EE7623"/>
    <w:rsid w:val="00EE7E12"/>
    <w:rsid w:val="00EF095C"/>
    <w:rsid w:val="00EF2073"/>
    <w:rsid w:val="00EF25A9"/>
    <w:rsid w:val="00EF4903"/>
    <w:rsid w:val="00EF536D"/>
    <w:rsid w:val="00F02371"/>
    <w:rsid w:val="00F034A3"/>
    <w:rsid w:val="00F054E6"/>
    <w:rsid w:val="00F05E43"/>
    <w:rsid w:val="00F05FC7"/>
    <w:rsid w:val="00F068DE"/>
    <w:rsid w:val="00F0692C"/>
    <w:rsid w:val="00F06EE8"/>
    <w:rsid w:val="00F07349"/>
    <w:rsid w:val="00F113EF"/>
    <w:rsid w:val="00F124D4"/>
    <w:rsid w:val="00F126F3"/>
    <w:rsid w:val="00F1290B"/>
    <w:rsid w:val="00F145B3"/>
    <w:rsid w:val="00F1468A"/>
    <w:rsid w:val="00F14EE0"/>
    <w:rsid w:val="00F15A44"/>
    <w:rsid w:val="00F21AD5"/>
    <w:rsid w:val="00F22AE5"/>
    <w:rsid w:val="00F22CB6"/>
    <w:rsid w:val="00F2414E"/>
    <w:rsid w:val="00F26A09"/>
    <w:rsid w:val="00F275C0"/>
    <w:rsid w:val="00F309B9"/>
    <w:rsid w:val="00F30A78"/>
    <w:rsid w:val="00F3116D"/>
    <w:rsid w:val="00F31697"/>
    <w:rsid w:val="00F321B5"/>
    <w:rsid w:val="00F334BC"/>
    <w:rsid w:val="00F33E29"/>
    <w:rsid w:val="00F350FF"/>
    <w:rsid w:val="00F36FA6"/>
    <w:rsid w:val="00F37653"/>
    <w:rsid w:val="00F37715"/>
    <w:rsid w:val="00F424E7"/>
    <w:rsid w:val="00F425A3"/>
    <w:rsid w:val="00F42FBF"/>
    <w:rsid w:val="00F4580A"/>
    <w:rsid w:val="00F467A6"/>
    <w:rsid w:val="00F46861"/>
    <w:rsid w:val="00F47BF5"/>
    <w:rsid w:val="00F5089F"/>
    <w:rsid w:val="00F52ABE"/>
    <w:rsid w:val="00F53925"/>
    <w:rsid w:val="00F53F73"/>
    <w:rsid w:val="00F54821"/>
    <w:rsid w:val="00F5543B"/>
    <w:rsid w:val="00F57B4C"/>
    <w:rsid w:val="00F60DBB"/>
    <w:rsid w:val="00F615F6"/>
    <w:rsid w:val="00F638A0"/>
    <w:rsid w:val="00F63B9A"/>
    <w:rsid w:val="00F64436"/>
    <w:rsid w:val="00F6725F"/>
    <w:rsid w:val="00F70242"/>
    <w:rsid w:val="00F71356"/>
    <w:rsid w:val="00F71A7B"/>
    <w:rsid w:val="00F71BE2"/>
    <w:rsid w:val="00F72EDA"/>
    <w:rsid w:val="00F737C4"/>
    <w:rsid w:val="00F76C7B"/>
    <w:rsid w:val="00F829C0"/>
    <w:rsid w:val="00F829F6"/>
    <w:rsid w:val="00F833BF"/>
    <w:rsid w:val="00F8344F"/>
    <w:rsid w:val="00F87AD5"/>
    <w:rsid w:val="00F9089F"/>
    <w:rsid w:val="00F92D84"/>
    <w:rsid w:val="00F93525"/>
    <w:rsid w:val="00F946A1"/>
    <w:rsid w:val="00F94711"/>
    <w:rsid w:val="00F95A4C"/>
    <w:rsid w:val="00F96C71"/>
    <w:rsid w:val="00F96E62"/>
    <w:rsid w:val="00F96F2A"/>
    <w:rsid w:val="00FA010E"/>
    <w:rsid w:val="00FA1991"/>
    <w:rsid w:val="00FA2759"/>
    <w:rsid w:val="00FA44C8"/>
    <w:rsid w:val="00FA4B09"/>
    <w:rsid w:val="00FA646A"/>
    <w:rsid w:val="00FA77D9"/>
    <w:rsid w:val="00FB3CE4"/>
    <w:rsid w:val="00FB667B"/>
    <w:rsid w:val="00FB68D9"/>
    <w:rsid w:val="00FC0A3D"/>
    <w:rsid w:val="00FC1D1C"/>
    <w:rsid w:val="00FC4ABC"/>
    <w:rsid w:val="00FC58E8"/>
    <w:rsid w:val="00FC5C42"/>
    <w:rsid w:val="00FC70E9"/>
    <w:rsid w:val="00FC776E"/>
    <w:rsid w:val="00FC79CE"/>
    <w:rsid w:val="00FD2124"/>
    <w:rsid w:val="00FD4351"/>
    <w:rsid w:val="00FD57BE"/>
    <w:rsid w:val="00FD57C1"/>
    <w:rsid w:val="00FD5DFE"/>
    <w:rsid w:val="00FD6E3A"/>
    <w:rsid w:val="00FE00DD"/>
    <w:rsid w:val="00FE0195"/>
    <w:rsid w:val="00FE0F10"/>
    <w:rsid w:val="00FE1630"/>
    <w:rsid w:val="00FE1D18"/>
    <w:rsid w:val="00FE2246"/>
    <w:rsid w:val="00FE2340"/>
    <w:rsid w:val="00FE3ED0"/>
    <w:rsid w:val="00FF0EB1"/>
    <w:rsid w:val="00FF1816"/>
    <w:rsid w:val="00FF4B14"/>
    <w:rsid w:val="00FF7AD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semiHidden="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oa heading" w:unhideWhenUsed="0"/>
    <w:lsdException w:name="List" w:semiHidden="0"/>
    <w:lsdException w:name="List Bullet" w:semiHidden="0"/>
    <w:lsdException w:name="List Number" w:unhideWhenUsed="0"/>
    <w:lsdException w:name="List 2" w:semiHidden="0" w:unhideWhenUsed="0"/>
    <w:lsdException w:name="List 3" w:semiHidden="0"/>
    <w:lsdException w:name="List Bullet 2" w:semiHidden="0"/>
    <w:lsdException w:name="List Bullet 5" w:uiPriority="0"/>
    <w:lsdException w:name="Title" w:semiHidden="0" w:unhideWhenUsed="0"/>
    <w:lsdException w:name="Default Paragraph Font" w:uiPriority="1"/>
    <w:lsdException w:name="List Continue 4" w:unhideWhenUsed="0"/>
    <w:lsdException w:name="List Continue 5" w:unhideWhenUsed="0"/>
    <w:lsdException w:name="Message Header" w:unhideWhenUsed="0"/>
    <w:lsdException w:name="Subtitle" w:semiHidden="0" w:unhideWhenUsed="0" w:qFormat="1"/>
    <w:lsdException w:name="Strong" w:semiHidden="0" w:uiPriority="22" w:unhideWhenUsed="0"/>
    <w:lsdException w:name="Emphasis" w:semiHidden="0" w:uiPriority="20" w:unhideWhenUsed="0"/>
    <w:lsdException w:name="Balloon Text" w:unhideWhenUsed="0"/>
    <w:lsdException w:name="Table Grid" w:uiPriority="39" w:unhideWhenUsed="0"/>
    <w:lsdException w:name="Table Theme"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436A8C"/>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7F0412"/>
    <w:pPr>
      <w:keepNext/>
      <w:keepLines/>
      <w:pBdr>
        <w:bottom w:val="single" w:sz="4" w:space="1" w:color="121F6B"/>
      </w:pBdr>
      <w:spacing w:before="360" w:after="240"/>
      <w:ind w:right="-1440"/>
      <w:outlineLvl w:val="0"/>
    </w:pPr>
    <w:rPr>
      <w:rFonts w:ascii="Georgia" w:eastAsiaTheme="majorEastAsia" w:hAnsi="Georgia"/>
      <w:b/>
      <w:bCs/>
      <w:color w:val="121F6B"/>
      <w:kern w:val="0"/>
      <w:sz w:val="40"/>
      <w:szCs w:val="36"/>
    </w:rPr>
  </w:style>
  <w:style w:type="paragraph" w:styleId="Heading2">
    <w:name w:val="heading 2"/>
    <w:basedOn w:val="Normal"/>
    <w:next w:val="Normal"/>
    <w:link w:val="Heading2Char"/>
    <w:uiPriority w:val="99"/>
    <w:qFormat/>
    <w:rsid w:val="007F0412"/>
    <w:pPr>
      <w:keepNext/>
      <w:spacing w:before="320"/>
      <w:outlineLvl w:val="1"/>
    </w:pPr>
    <w:rPr>
      <w:b/>
      <w:color w:val="121F6B"/>
      <w:sz w:val="28"/>
      <w:szCs w:val="28"/>
    </w:rPr>
  </w:style>
  <w:style w:type="paragraph" w:styleId="Heading3">
    <w:name w:val="heading 3"/>
    <w:basedOn w:val="Normal"/>
    <w:next w:val="Normal"/>
    <w:link w:val="Heading3Char"/>
    <w:uiPriority w:val="99"/>
    <w:qFormat/>
    <w:rsid w:val="004800D3"/>
    <w:pPr>
      <w:keepNext/>
      <w:keepLines/>
      <w:widowControl w:val="0"/>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7F0412"/>
    <w:pPr>
      <w:keepNext/>
      <w:keepLines/>
      <w:spacing w:before="160" w:line="240" w:lineRule="auto"/>
      <w:outlineLvl w:val="3"/>
    </w:pPr>
    <w:rPr>
      <w:rFonts w:eastAsiaTheme="majorEastAsia" w:cs="Times New Roman"/>
      <w:b/>
      <w:bCs/>
      <w:i/>
      <w:iCs/>
      <w:color w:val="000000" w:themeColor="text1"/>
      <w:kern w:val="0"/>
      <w:sz w:val="22"/>
    </w:rPr>
  </w:style>
  <w:style w:type="paragraph" w:styleId="Heading5">
    <w:name w:val="heading 5"/>
    <w:basedOn w:val="Normal"/>
    <w:next w:val="Normal"/>
    <w:link w:val="Heading5Char"/>
    <w:uiPriority w:val="9"/>
    <w:semiHidden/>
    <w:unhideWhenUsed/>
    <w:rsid w:val="00436A8C"/>
    <w:pPr>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0412"/>
    <w:rPr>
      <w:rFonts w:ascii="Georgia" w:eastAsiaTheme="majorEastAsia" w:hAnsi="Georgia" w:cs="Arial"/>
      <w:b/>
      <w:bCs/>
      <w:color w:val="121F6B"/>
      <w:sz w:val="40"/>
      <w:szCs w:val="36"/>
    </w:rPr>
  </w:style>
  <w:style w:type="character" w:customStyle="1" w:styleId="Heading2Char">
    <w:name w:val="Heading 2 Char"/>
    <w:basedOn w:val="DefaultParagraphFont"/>
    <w:link w:val="Heading2"/>
    <w:uiPriority w:val="99"/>
    <w:rsid w:val="007F0412"/>
    <w:rPr>
      <w:rFonts w:ascii="Verdana" w:hAnsi="Verdana" w:cs="Arial"/>
      <w:b/>
      <w:color w:val="121F6B"/>
      <w:kern w:val="28"/>
      <w:sz w:val="28"/>
      <w:szCs w:val="28"/>
    </w:rPr>
  </w:style>
  <w:style w:type="character" w:customStyle="1" w:styleId="Heading3Char">
    <w:name w:val="Heading 3 Char"/>
    <w:basedOn w:val="DefaultParagraphFont"/>
    <w:link w:val="Heading3"/>
    <w:uiPriority w:val="99"/>
    <w:rsid w:val="004800D3"/>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7F0412"/>
    <w:rPr>
      <w:rFonts w:ascii="Verdana" w:eastAsiaTheme="majorEastAsia" w:hAnsi="Verdana"/>
      <w:b/>
      <w:bCs/>
      <w:i/>
      <w:iCs/>
      <w:color w:val="000000" w:themeColor="text1"/>
      <w:sz w:val="22"/>
    </w:rPr>
  </w:style>
  <w:style w:type="paragraph" w:styleId="ListParagraph">
    <w:name w:val="List Paragraph"/>
    <w:basedOn w:val="Normal"/>
    <w:uiPriority w:val="34"/>
    <w:rsid w:val="00436A8C"/>
    <w:pPr>
      <w:ind w:left="720"/>
      <w:contextualSpacing/>
    </w:pPr>
  </w:style>
  <w:style w:type="paragraph" w:styleId="List5">
    <w:name w:val="List 5"/>
    <w:basedOn w:val="Normal"/>
    <w:uiPriority w:val="99"/>
    <w:semiHidden/>
    <w:rsid w:val="00436A8C"/>
    <w:pPr>
      <w:numPr>
        <w:ilvl w:val="4"/>
        <w:numId w:val="6"/>
      </w:numPr>
      <w:contextualSpacing/>
    </w:pPr>
  </w:style>
  <w:style w:type="paragraph" w:styleId="List">
    <w:name w:val="List"/>
    <w:basedOn w:val="Normal"/>
    <w:uiPriority w:val="99"/>
    <w:rsid w:val="00436A8C"/>
    <w:pPr>
      <w:numPr>
        <w:numId w:val="6"/>
      </w:numPr>
    </w:pPr>
  </w:style>
  <w:style w:type="paragraph" w:styleId="List2">
    <w:name w:val="List 2"/>
    <w:basedOn w:val="Normal"/>
    <w:uiPriority w:val="99"/>
    <w:rsid w:val="00436A8C"/>
    <w:pPr>
      <w:numPr>
        <w:ilvl w:val="1"/>
        <w:numId w:val="6"/>
      </w:numPr>
    </w:pPr>
  </w:style>
  <w:style w:type="table" w:styleId="TableGrid">
    <w:name w:val="Table Grid"/>
    <w:basedOn w:val="TableNormal"/>
    <w:uiPriority w:val="39"/>
    <w:rsid w:val="00436A8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436A8C"/>
    <w:pPr>
      <w:pBdr>
        <w:bottom w:val="none" w:sz="0" w:space="0" w:color="auto"/>
      </w:pBdr>
    </w:pPr>
    <w:rPr>
      <w:color w:val="FFFFFF" w:themeColor="background1"/>
    </w:rPr>
  </w:style>
  <w:style w:type="character" w:customStyle="1" w:styleId="TitleChar">
    <w:name w:val="Title Char"/>
    <w:basedOn w:val="DefaultParagraphFont"/>
    <w:link w:val="Title"/>
    <w:uiPriority w:val="99"/>
    <w:rsid w:val="00436A8C"/>
    <w:rPr>
      <w:rFonts w:ascii="Georgia" w:eastAsiaTheme="majorEastAsia" w:hAnsi="Georgia" w:cs="Arial"/>
      <w:b/>
      <w:bCs/>
      <w:color w:val="FFFFFF" w:themeColor="background1"/>
      <w:sz w:val="36"/>
      <w:szCs w:val="36"/>
    </w:rPr>
  </w:style>
  <w:style w:type="paragraph" w:styleId="Subtitle">
    <w:name w:val="Subtitle"/>
    <w:basedOn w:val="Normal"/>
    <w:next w:val="Normal"/>
    <w:link w:val="SubtitleChar"/>
    <w:uiPriority w:val="99"/>
    <w:qFormat/>
    <w:rsid w:val="00436A8C"/>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436A8C"/>
    <w:rPr>
      <w:rFonts w:ascii="Arial" w:eastAsiaTheme="majorEastAsia" w:hAnsi="Arial"/>
      <w:i/>
      <w:iCs/>
      <w:spacing w:val="15"/>
      <w:sz w:val="24"/>
      <w:szCs w:val="24"/>
    </w:rPr>
  </w:style>
  <w:style w:type="character" w:styleId="SubtleEmphasis">
    <w:name w:val="Subtle Emphasis"/>
    <w:basedOn w:val="DefaultParagraphFont"/>
    <w:uiPriority w:val="99"/>
    <w:rsid w:val="00436A8C"/>
    <w:rPr>
      <w:rFonts w:ascii="Arial" w:hAnsi="Arial" w:cs="Times New Roman"/>
      <w:i/>
      <w:iCs/>
      <w:color w:val="auto"/>
      <w:sz w:val="20"/>
    </w:rPr>
  </w:style>
  <w:style w:type="paragraph" w:customStyle="1" w:styleId="Bullet1">
    <w:name w:val="Bullet1"/>
    <w:basedOn w:val="Normal"/>
    <w:qFormat/>
    <w:rsid w:val="00436A8C"/>
    <w:pPr>
      <w:numPr>
        <w:numId w:val="1"/>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647C07"/>
    <w:pPr>
      <w:numPr>
        <w:numId w:val="5"/>
      </w:numPr>
      <w:spacing w:before="120"/>
    </w:pPr>
    <w:rPr>
      <w:rFonts w:ascii="Verdana" w:eastAsia="Times New Roman" w:hAnsi="Verdana"/>
      <w:lang w:eastAsia="en-AU"/>
    </w:rPr>
  </w:style>
  <w:style w:type="character" w:customStyle="1" w:styleId="Heading5Char">
    <w:name w:val="Heading 5 Char"/>
    <w:basedOn w:val="DefaultParagraphFont"/>
    <w:link w:val="Heading5"/>
    <w:uiPriority w:val="9"/>
    <w:semiHidden/>
    <w:rsid w:val="00436A8C"/>
    <w:rPr>
      <w:rFonts w:asciiTheme="majorHAnsi" w:eastAsiaTheme="majorEastAsia" w:hAnsiTheme="majorHAnsi" w:cstheme="majorBidi"/>
      <w:color w:val="243F60" w:themeColor="accent1" w:themeShade="7F"/>
      <w:kern w:val="28"/>
    </w:rPr>
  </w:style>
  <w:style w:type="character" w:styleId="Strong">
    <w:name w:val="Strong"/>
    <w:basedOn w:val="DefaultParagraphFont"/>
    <w:uiPriority w:val="22"/>
    <w:rsid w:val="00436A8C"/>
    <w:rPr>
      <w:b/>
      <w:bCs/>
    </w:rPr>
  </w:style>
  <w:style w:type="paragraph" w:styleId="TOCHeading">
    <w:name w:val="TOC Heading"/>
    <w:basedOn w:val="Heading1"/>
    <w:next w:val="Normal"/>
    <w:uiPriority w:val="39"/>
    <w:unhideWhenUsed/>
    <w:qFormat/>
    <w:rsid w:val="00436A8C"/>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NoSpacing">
    <w:name w:val="No Spacing"/>
    <w:uiPriority w:val="1"/>
    <w:rsid w:val="00436A8C"/>
    <w:rPr>
      <w:rFonts w:ascii="Verdana" w:hAnsi="Verdana" w:cs="Arial"/>
      <w:kern w:val="28"/>
      <w:sz w:val="22"/>
    </w:rPr>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2"/>
      </w:numPr>
      <w:tabs>
        <w:tab w:val="clear" w:pos="643"/>
      </w:tabs>
      <w:contextualSpacing/>
    </w:pPr>
  </w:style>
  <w:style w:type="paragraph" w:styleId="ListBullet">
    <w:name w:val="List Bullet"/>
    <w:basedOn w:val="Normal"/>
    <w:uiPriority w:val="99"/>
    <w:rsid w:val="003B0A38"/>
    <w:p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unhideWhenUsed/>
    <w:rsid w:val="00436A8C"/>
    <w:rPr>
      <w:vertAlign w:val="superscript"/>
    </w:rPr>
  </w:style>
  <w:style w:type="paragraph" w:styleId="BodyText">
    <w:name w:val="Body Text"/>
    <w:basedOn w:val="Normal"/>
    <w:link w:val="BodyTextChar"/>
    <w:uiPriority w:val="99"/>
    <w:semiHidden/>
    <w:rsid w:val="00436A8C"/>
  </w:style>
  <w:style w:type="character" w:customStyle="1" w:styleId="BodyTextChar">
    <w:name w:val="Body Text Char"/>
    <w:basedOn w:val="DefaultParagraphFont"/>
    <w:link w:val="BodyText"/>
    <w:uiPriority w:val="99"/>
    <w:semiHidden/>
    <w:rsid w:val="00436A8C"/>
    <w:rPr>
      <w:rFonts w:ascii="Verdana" w:hAnsi="Verdana" w:cs="Arial"/>
      <w:kern w:val="28"/>
    </w:rPr>
  </w:style>
  <w:style w:type="character" w:styleId="CommentReference">
    <w:name w:val="annotation reference"/>
    <w:basedOn w:val="DefaultParagraphFont"/>
    <w:uiPriority w:val="99"/>
    <w:semiHidden/>
    <w:unhideWhenUsed/>
    <w:rsid w:val="00436A8C"/>
    <w:rPr>
      <w:sz w:val="16"/>
      <w:szCs w:val="16"/>
    </w:rPr>
  </w:style>
  <w:style w:type="paragraph" w:styleId="CommentText">
    <w:name w:val="annotation text"/>
    <w:basedOn w:val="Normal"/>
    <w:link w:val="CommentTextChar"/>
    <w:uiPriority w:val="99"/>
    <w:unhideWhenUsed/>
    <w:rsid w:val="00436A8C"/>
    <w:pPr>
      <w:spacing w:line="240" w:lineRule="auto"/>
    </w:pPr>
  </w:style>
  <w:style w:type="character" w:customStyle="1" w:styleId="CommentTextChar">
    <w:name w:val="Comment Text Char"/>
    <w:basedOn w:val="DefaultParagraphFont"/>
    <w:link w:val="CommentText"/>
    <w:uiPriority w:val="99"/>
    <w:rsid w:val="00436A8C"/>
    <w:rPr>
      <w:rFonts w:ascii="Verdana" w:hAnsi="Verdana" w:cs="Arial"/>
      <w:kern w:val="28"/>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qFormat/>
    <w:rsid w:val="00F76C7B"/>
    <w:pPr>
      <w:tabs>
        <w:tab w:val="right" w:pos="9016"/>
      </w:tabs>
      <w:spacing w:after="100"/>
    </w:pPr>
    <w:rPr>
      <w:b/>
      <w:noProof/>
      <w:color w:val="000000" w:themeColor="text1"/>
    </w:rPr>
  </w:style>
  <w:style w:type="paragraph" w:styleId="TOC2">
    <w:name w:val="toc 2"/>
    <w:basedOn w:val="Normal"/>
    <w:next w:val="Normal"/>
    <w:autoRedefine/>
    <w:uiPriority w:val="39"/>
    <w:qFormat/>
    <w:rsid w:val="006A18B7"/>
    <w:pPr>
      <w:tabs>
        <w:tab w:val="right" w:pos="9016"/>
      </w:tabs>
      <w:spacing w:after="100"/>
      <w:ind w:left="220"/>
    </w:pPr>
    <w:rPr>
      <w:noProof/>
    </w:rPr>
  </w:style>
  <w:style w:type="paragraph" w:styleId="TOC3">
    <w:name w:val="toc 3"/>
    <w:basedOn w:val="Normal"/>
    <w:next w:val="Normal"/>
    <w:autoRedefine/>
    <w:uiPriority w:val="39"/>
    <w:qFormat/>
    <w:rsid w:val="00F350FF"/>
    <w:pPr>
      <w:tabs>
        <w:tab w:val="right" w:pos="9016"/>
      </w:tabs>
      <w:spacing w:after="100"/>
      <w:ind w:left="440"/>
    </w:pPr>
    <w:rPr>
      <w:noProof/>
    </w:rPr>
  </w:style>
  <w:style w:type="paragraph" w:styleId="TOC4">
    <w:name w:val="toc 4"/>
    <w:basedOn w:val="Normal"/>
    <w:next w:val="Normal"/>
    <w:autoRedefine/>
    <w:uiPriority w:val="39"/>
    <w:unhideWhenUsed/>
    <w:rsid w:val="00436A8C"/>
    <w:pPr>
      <w:spacing w:before="0" w:after="100" w:line="276" w:lineRule="auto"/>
      <w:ind w:left="660"/>
    </w:pPr>
    <w:rPr>
      <w:rFonts w:asciiTheme="minorHAnsi" w:eastAsiaTheme="minorEastAsia" w:hAnsiTheme="minorHAnsi" w:cstheme="minorBidi"/>
      <w:kern w:val="0"/>
      <w:szCs w:val="22"/>
      <w:lang w:eastAsia="en-NZ"/>
    </w:rPr>
  </w:style>
  <w:style w:type="paragraph" w:styleId="TOC5">
    <w:name w:val="toc 5"/>
    <w:basedOn w:val="Normal"/>
    <w:next w:val="Normal"/>
    <w:autoRedefine/>
    <w:uiPriority w:val="39"/>
    <w:unhideWhenUsed/>
    <w:rsid w:val="00436A8C"/>
    <w:pPr>
      <w:spacing w:before="0" w:after="100" w:line="276" w:lineRule="auto"/>
      <w:ind w:left="880"/>
    </w:pPr>
    <w:rPr>
      <w:rFonts w:asciiTheme="minorHAnsi" w:eastAsiaTheme="minorEastAsia" w:hAnsiTheme="minorHAnsi" w:cstheme="minorBidi"/>
      <w:kern w:val="0"/>
      <w:szCs w:val="22"/>
      <w:lang w:eastAsia="en-NZ"/>
    </w:rPr>
  </w:style>
  <w:style w:type="paragraph" w:styleId="TOC6">
    <w:name w:val="toc 6"/>
    <w:basedOn w:val="Normal"/>
    <w:next w:val="Normal"/>
    <w:autoRedefine/>
    <w:uiPriority w:val="39"/>
    <w:unhideWhenUsed/>
    <w:rsid w:val="00436A8C"/>
    <w:pPr>
      <w:spacing w:before="0" w:after="100" w:line="276" w:lineRule="auto"/>
      <w:ind w:left="1100"/>
    </w:pPr>
    <w:rPr>
      <w:rFonts w:asciiTheme="minorHAnsi" w:eastAsiaTheme="minorEastAsia" w:hAnsiTheme="minorHAnsi" w:cstheme="minorBidi"/>
      <w:kern w:val="0"/>
      <w:szCs w:val="22"/>
      <w:lang w:eastAsia="en-NZ"/>
    </w:rPr>
  </w:style>
  <w:style w:type="paragraph" w:styleId="TOC7">
    <w:name w:val="toc 7"/>
    <w:basedOn w:val="Normal"/>
    <w:next w:val="Normal"/>
    <w:autoRedefine/>
    <w:uiPriority w:val="39"/>
    <w:unhideWhenUsed/>
    <w:rsid w:val="00436A8C"/>
    <w:pPr>
      <w:spacing w:before="0" w:after="100" w:line="276" w:lineRule="auto"/>
      <w:ind w:left="1320"/>
    </w:pPr>
    <w:rPr>
      <w:rFonts w:asciiTheme="minorHAnsi" w:eastAsiaTheme="minorEastAsia" w:hAnsiTheme="minorHAnsi" w:cstheme="minorBidi"/>
      <w:kern w:val="0"/>
      <w:szCs w:val="22"/>
      <w:lang w:eastAsia="en-NZ"/>
    </w:rPr>
  </w:style>
  <w:style w:type="paragraph" w:styleId="TOC8">
    <w:name w:val="toc 8"/>
    <w:basedOn w:val="Normal"/>
    <w:next w:val="Normal"/>
    <w:autoRedefine/>
    <w:uiPriority w:val="39"/>
    <w:unhideWhenUsed/>
    <w:rsid w:val="00436A8C"/>
    <w:pPr>
      <w:spacing w:before="0" w:after="100" w:line="276" w:lineRule="auto"/>
      <w:ind w:left="1540"/>
    </w:pPr>
    <w:rPr>
      <w:rFonts w:asciiTheme="minorHAnsi" w:eastAsiaTheme="minorEastAsia" w:hAnsiTheme="minorHAnsi" w:cstheme="minorBidi"/>
      <w:kern w:val="0"/>
      <w:szCs w:val="22"/>
      <w:lang w:eastAsia="en-NZ"/>
    </w:rPr>
  </w:style>
  <w:style w:type="paragraph" w:styleId="TOC9">
    <w:name w:val="toc 9"/>
    <w:basedOn w:val="Normal"/>
    <w:next w:val="Normal"/>
    <w:autoRedefine/>
    <w:uiPriority w:val="39"/>
    <w:unhideWhenUsed/>
    <w:rsid w:val="00436A8C"/>
    <w:pPr>
      <w:spacing w:before="0" w:after="100" w:line="276" w:lineRule="auto"/>
      <w:ind w:left="1760"/>
    </w:pPr>
    <w:rPr>
      <w:rFonts w:asciiTheme="minorHAnsi" w:eastAsiaTheme="minorEastAsia" w:hAnsiTheme="minorHAnsi" w:cstheme="minorBidi"/>
      <w:kern w:val="0"/>
      <w:szCs w:val="22"/>
      <w:lang w:eastAsia="en-NZ"/>
    </w:rPr>
  </w:style>
  <w:style w:type="paragraph" w:styleId="BalloonText">
    <w:name w:val="Balloon Text"/>
    <w:basedOn w:val="Normal"/>
    <w:link w:val="BalloonTextChar"/>
    <w:uiPriority w:val="99"/>
    <w:semiHidden/>
    <w:rsid w:val="0043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8C"/>
    <w:rPr>
      <w:rFonts w:ascii="Tahoma" w:hAnsi="Tahoma" w:cs="Tahoma"/>
      <w:kern w:val="28"/>
      <w:sz w:val="16"/>
      <w:szCs w:val="16"/>
    </w:rPr>
  </w:style>
  <w:style w:type="table" w:styleId="LightShading">
    <w:name w:val="Light Shading"/>
    <w:basedOn w:val="TableNormal"/>
    <w:uiPriority w:val="60"/>
    <w:rsid w:val="00436A8C"/>
    <w:rPr>
      <w:rFonts w:ascii="Times New Roman" w:eastAsia="Times New Roman" w:hAnsi="Times New Roman"/>
      <w:color w:val="000000" w:themeColor="text1" w:themeShade="BF"/>
      <w:lang w:eastAsia="en-N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36A8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36A8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rsid w:val="0043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A8C"/>
    <w:rPr>
      <w:rFonts w:ascii="Verdana" w:hAnsi="Verdana" w:cs="Arial"/>
      <w:kern w:val="28"/>
    </w:rPr>
  </w:style>
  <w:style w:type="paragraph" w:styleId="FootnoteText">
    <w:name w:val="footnote text"/>
    <w:basedOn w:val="Normal"/>
    <w:link w:val="FootnoteTextChar"/>
    <w:rsid w:val="00436A8C"/>
    <w:pPr>
      <w:spacing w:after="0" w:line="240" w:lineRule="auto"/>
    </w:pPr>
    <w:rPr>
      <w:sz w:val="16"/>
    </w:rPr>
  </w:style>
  <w:style w:type="character" w:customStyle="1" w:styleId="FootnoteTextChar">
    <w:name w:val="Footnote Text Char"/>
    <w:basedOn w:val="DefaultParagraphFont"/>
    <w:link w:val="FootnoteText"/>
    <w:rsid w:val="00436A8C"/>
    <w:rPr>
      <w:rFonts w:ascii="Verdana" w:hAnsi="Verdana" w:cs="Arial"/>
      <w:kern w:val="28"/>
      <w:sz w:val="16"/>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unhideWhenUsed/>
    <w:rsid w:val="00436A8C"/>
    <w:pPr>
      <w:spacing w:before="100" w:beforeAutospacing="1" w:after="100" w:afterAutospacing="1" w:line="240" w:lineRule="auto"/>
    </w:pPr>
    <w:rPr>
      <w:rFonts w:ascii="Times New Roman" w:eastAsiaTheme="minorEastAsia" w:hAnsi="Times New Roman" w:cs="Times New Roman"/>
      <w:kern w:val="0"/>
      <w:sz w:val="24"/>
      <w:szCs w:val="24"/>
      <w:lang w:eastAsia="en-NZ"/>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TableText">
    <w:name w:val="Table Text"/>
    <w:basedOn w:val="BodyText"/>
    <w:qFormat/>
    <w:rsid w:val="008B0D4E"/>
    <w:pPr>
      <w:widowControl w:val="0"/>
      <w:suppressAutoHyphens/>
      <w:autoSpaceDE w:val="0"/>
      <w:autoSpaceDN w:val="0"/>
      <w:adjustRightInd w:val="0"/>
      <w:spacing w:before="40" w:after="40" w:line="220" w:lineRule="atLeast"/>
      <w:textAlignment w:val="center"/>
    </w:pPr>
    <w:rPr>
      <w:rFonts w:eastAsiaTheme="minorHAnsi"/>
      <w:color w:val="1F497D" w:themeColor="text2"/>
      <w:kern w:val="0"/>
      <w:sz w:val="18"/>
      <w:szCs w:val="16"/>
      <w:lang w:eastAsia="en-NZ"/>
    </w:rPr>
  </w:style>
  <w:style w:type="paragraph" w:customStyle="1" w:styleId="ImpactBoxTxt">
    <w:name w:val="ImpactBoxTxt"/>
    <w:basedOn w:val="Normal"/>
    <w:qFormat/>
    <w:rsid w:val="00436A8C"/>
    <w:pPr>
      <w:spacing w:before="0" w:after="0" w:line="240" w:lineRule="auto"/>
      <w:jc w:val="center"/>
    </w:pPr>
    <w:rPr>
      <w:color w:val="17365D" w:themeColor="text2" w:themeShade="BF"/>
      <w:sz w:val="16"/>
    </w:rPr>
  </w:style>
  <w:style w:type="paragraph" w:customStyle="1" w:styleId="TechnicalNotesText">
    <w:name w:val="TechnicalNotesText"/>
    <w:basedOn w:val="Normal"/>
    <w:qFormat/>
    <w:rsid w:val="00436A8C"/>
    <w:pPr>
      <w:spacing w:line="240" w:lineRule="auto"/>
    </w:pPr>
    <w:rPr>
      <w:color w:val="4A442A" w:themeColor="background2" w:themeShade="40"/>
      <w:sz w:val="16"/>
    </w:rPr>
  </w:style>
  <w:style w:type="paragraph" w:customStyle="1" w:styleId="EAIntTitle">
    <w:name w:val="EAIntTitle"/>
    <w:basedOn w:val="Heading2"/>
    <w:qFormat/>
    <w:rsid w:val="00227E47"/>
    <w:pPr>
      <w:pBdr>
        <w:bottom w:val="single" w:sz="4" w:space="1" w:color="1F497D" w:themeColor="text2"/>
      </w:pBdr>
      <w:spacing w:before="600"/>
      <w:jc w:val="center"/>
    </w:pPr>
    <w:rPr>
      <w:rFonts w:eastAsia="Times New Roman"/>
      <w:noProof/>
      <w:sz w:val="36"/>
    </w:rPr>
  </w:style>
  <w:style w:type="paragraph" w:customStyle="1" w:styleId="Report">
    <w:name w:val="Report"/>
    <w:qFormat/>
    <w:rsid w:val="004800D3"/>
    <w:pPr>
      <w:pBdr>
        <w:bottom w:val="single" w:sz="24" w:space="9" w:color="121F6B"/>
      </w:pBdr>
      <w:spacing w:before="5640" w:line="960" w:lineRule="exact"/>
      <w:ind w:right="-1440"/>
    </w:pPr>
    <w:rPr>
      <w:rFonts w:ascii="Georgia" w:hAnsi="Georgia" w:cs="Arial"/>
      <w:b/>
      <w:noProof/>
      <w:color w:val="121F6B"/>
      <w:kern w:val="28"/>
      <w:sz w:val="56"/>
      <w:lang w:eastAsia="en-NZ"/>
    </w:rPr>
  </w:style>
  <w:style w:type="paragraph" w:customStyle="1" w:styleId="Report2">
    <w:name w:val="Report2"/>
    <w:qFormat/>
    <w:rsid w:val="00436A8C"/>
    <w:pPr>
      <w:spacing w:before="240"/>
    </w:pPr>
    <w:rPr>
      <w:rFonts w:ascii="Georgia" w:hAnsi="Georgia" w:cs="Arial"/>
      <w:b/>
      <w:color w:val="121F6B"/>
      <w:kern w:val="28"/>
      <w:sz w:val="40"/>
      <w:szCs w:val="40"/>
      <w:lang w:val="en-US"/>
    </w:rPr>
  </w:style>
  <w:style w:type="paragraph" w:styleId="CommentSubject">
    <w:name w:val="annotation subject"/>
    <w:basedOn w:val="CommentText"/>
    <w:next w:val="CommentText"/>
    <w:link w:val="CommentSubjectChar"/>
    <w:uiPriority w:val="99"/>
    <w:semiHidden/>
    <w:unhideWhenUsed/>
    <w:rsid w:val="00436A8C"/>
    <w:rPr>
      <w:b/>
      <w:bCs/>
    </w:rPr>
  </w:style>
  <w:style w:type="character" w:customStyle="1" w:styleId="CommentSubjectChar">
    <w:name w:val="Comment Subject Char"/>
    <w:basedOn w:val="CommentTextChar"/>
    <w:link w:val="CommentSubject"/>
    <w:uiPriority w:val="99"/>
    <w:semiHidden/>
    <w:rsid w:val="00436A8C"/>
    <w:rPr>
      <w:rFonts w:ascii="Verdana" w:hAnsi="Verdana" w:cs="Arial"/>
      <w:b/>
      <w:bCs/>
      <w:kern w:val="28"/>
    </w:rPr>
  </w:style>
  <w:style w:type="character" w:styleId="FootnoteReference">
    <w:name w:val="footnote reference"/>
    <w:basedOn w:val="DefaultParagraphFont"/>
    <w:uiPriority w:val="99"/>
    <w:rsid w:val="00436A8C"/>
    <w:rPr>
      <w:rFonts w:ascii="Arial" w:hAnsi="Arial"/>
      <w:sz w:val="18"/>
      <w:szCs w:val="16"/>
      <w:vertAlign w:val="superscript"/>
      <w:lang w:val="en-US" w:eastAsia="x-none" w:bidi="ar-SA"/>
    </w:rPr>
  </w:style>
  <w:style w:type="paragraph" w:styleId="Header">
    <w:name w:val="header"/>
    <w:basedOn w:val="Normal"/>
    <w:link w:val="HeaderChar"/>
    <w:uiPriority w:val="99"/>
    <w:semiHidden/>
    <w:rsid w:val="00436A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6A8C"/>
    <w:rPr>
      <w:rFonts w:ascii="Verdana" w:hAnsi="Verdana" w:cs="Arial"/>
      <w:kern w:val="28"/>
    </w:rPr>
  </w:style>
  <w:style w:type="paragraph" w:styleId="EndnoteText">
    <w:name w:val="endnote text"/>
    <w:basedOn w:val="Normal"/>
    <w:link w:val="EndnoteTextChar"/>
    <w:uiPriority w:val="99"/>
    <w:semiHidden/>
    <w:unhideWhenUsed/>
    <w:rsid w:val="00436A8C"/>
    <w:pPr>
      <w:spacing w:before="0" w:after="0" w:line="240" w:lineRule="auto"/>
    </w:pPr>
  </w:style>
  <w:style w:type="character" w:customStyle="1" w:styleId="EndnoteTextChar">
    <w:name w:val="Endnote Text Char"/>
    <w:basedOn w:val="DefaultParagraphFont"/>
    <w:link w:val="EndnoteText"/>
    <w:uiPriority w:val="99"/>
    <w:semiHidden/>
    <w:rsid w:val="00436A8C"/>
    <w:rPr>
      <w:rFonts w:ascii="Verdana" w:hAnsi="Verdana" w:cs="Arial"/>
      <w:kern w:val="28"/>
    </w:rPr>
  </w:style>
  <w:style w:type="paragraph" w:styleId="Caption">
    <w:name w:val="caption"/>
    <w:basedOn w:val="Normal"/>
    <w:next w:val="Normal"/>
    <w:unhideWhenUsed/>
    <w:qFormat/>
    <w:rsid w:val="00B54307"/>
    <w:pPr>
      <w:keepNext/>
      <w:spacing w:before="240" w:after="120" w:line="276" w:lineRule="auto"/>
    </w:pPr>
    <w:rPr>
      <w:b/>
      <w:bCs/>
      <w:color w:val="1F497D" w:themeColor="text2"/>
    </w:rPr>
  </w:style>
  <w:style w:type="character" w:styleId="Hyperlink">
    <w:name w:val="Hyperlink"/>
    <w:basedOn w:val="DefaultParagraphFont"/>
    <w:uiPriority w:val="99"/>
    <w:unhideWhenUsed/>
    <w:rsid w:val="00436A8C"/>
    <w:rPr>
      <w:color w:val="0000FF" w:themeColor="hyperlink"/>
      <w:u w:val="single"/>
    </w:rPr>
  </w:style>
  <w:style w:type="paragraph" w:styleId="TableofFigures">
    <w:name w:val="table of figures"/>
    <w:basedOn w:val="Normal"/>
    <w:next w:val="Normal"/>
    <w:uiPriority w:val="99"/>
    <w:rsid w:val="00436A8C"/>
    <w:pPr>
      <w:spacing w:after="0"/>
    </w:pPr>
  </w:style>
  <w:style w:type="paragraph" w:customStyle="1" w:styleId="ReportBody">
    <w:name w:val="Report Body"/>
    <w:basedOn w:val="Normal"/>
    <w:link w:val="ReportBodyChar"/>
    <w:rsid w:val="00436A8C"/>
    <w:pPr>
      <w:numPr>
        <w:numId w:val="10"/>
      </w:numPr>
      <w:spacing w:line="259" w:lineRule="auto"/>
    </w:pPr>
    <w:rPr>
      <w:rFonts w:eastAsia="Times New Roman" w:cs="Times New Roman"/>
      <w:color w:val="000000"/>
      <w:kern w:val="22"/>
      <w:szCs w:val="22"/>
    </w:rPr>
  </w:style>
  <w:style w:type="paragraph" w:customStyle="1" w:styleId="ReportBody2">
    <w:name w:val="Report Body 2"/>
    <w:basedOn w:val="ReportBody"/>
    <w:qFormat/>
    <w:rsid w:val="00436A8C"/>
    <w:pPr>
      <w:numPr>
        <w:ilvl w:val="1"/>
      </w:numPr>
    </w:pPr>
  </w:style>
  <w:style w:type="character" w:customStyle="1" w:styleId="ReportBodyChar">
    <w:name w:val="Report Body Char"/>
    <w:basedOn w:val="DefaultParagraphFont"/>
    <w:link w:val="ReportBody"/>
    <w:locked/>
    <w:rsid w:val="00436A8C"/>
    <w:rPr>
      <w:rFonts w:ascii="Verdana" w:eastAsia="Times New Roman" w:hAnsi="Verdana"/>
      <w:color w:val="000000"/>
      <w:kern w:val="22"/>
      <w:szCs w:val="22"/>
    </w:rPr>
  </w:style>
  <w:style w:type="numbering" w:customStyle="1" w:styleId="RecList">
    <w:name w:val="Rec List"/>
    <w:basedOn w:val="NoList"/>
    <w:rsid w:val="00436A8C"/>
    <w:pPr>
      <w:numPr>
        <w:numId w:val="9"/>
      </w:numPr>
    </w:pPr>
  </w:style>
  <w:style w:type="paragraph" w:customStyle="1" w:styleId="RecNumber">
    <w:name w:val="Rec Number"/>
    <w:basedOn w:val="Normal"/>
    <w:rsid w:val="00436A8C"/>
    <w:pPr>
      <w:numPr>
        <w:numId w:val="9"/>
      </w:numPr>
      <w:spacing w:before="240" w:after="0" w:line="260" w:lineRule="exact"/>
      <w:jc w:val="both"/>
    </w:pPr>
    <w:rPr>
      <w:rFonts w:ascii="Arial Mäori" w:eastAsia="Times New Roman" w:hAnsi="Arial Mäori" w:cs="Times New Roman"/>
      <w:kern w:val="22"/>
      <w:szCs w:val="22"/>
    </w:rPr>
  </w:style>
  <w:style w:type="paragraph" w:customStyle="1" w:styleId="RecLevel2">
    <w:name w:val="Rec Level2"/>
    <w:basedOn w:val="RecNumber"/>
    <w:qFormat/>
    <w:rsid w:val="00436A8C"/>
    <w:pPr>
      <w:numPr>
        <w:ilvl w:val="1"/>
      </w:numPr>
    </w:pPr>
  </w:style>
  <w:style w:type="character" w:customStyle="1" w:styleId="FootnoteTextChar1">
    <w:name w:val="Footnote Text Char1"/>
    <w:basedOn w:val="DefaultParagraphFont"/>
    <w:uiPriority w:val="99"/>
    <w:semiHidden/>
    <w:rsid w:val="00436A8C"/>
    <w:rPr>
      <w:rFonts w:ascii="Verdana" w:hAnsi="Verdana" w:cs="Arial"/>
      <w:kern w:val="28"/>
    </w:rPr>
  </w:style>
  <w:style w:type="paragraph" w:customStyle="1" w:styleId="ReportBodyNoNum">
    <w:name w:val="Report Body No Num"/>
    <w:basedOn w:val="ReportBody"/>
    <w:qFormat/>
    <w:rsid w:val="00436A8C"/>
    <w:pPr>
      <w:numPr>
        <w:numId w:val="0"/>
      </w:numPr>
      <w:spacing w:before="80" w:after="80"/>
      <w:ind w:left="397"/>
    </w:pPr>
  </w:style>
  <w:style w:type="paragraph" w:styleId="ListBullet5">
    <w:name w:val="List Bullet 5"/>
    <w:basedOn w:val="Normal"/>
    <w:semiHidden/>
    <w:rsid w:val="00436A8C"/>
    <w:pPr>
      <w:numPr>
        <w:numId w:val="7"/>
      </w:numPr>
      <w:suppressAutoHyphens/>
      <w:autoSpaceDE w:val="0"/>
      <w:autoSpaceDN w:val="0"/>
      <w:adjustRightInd w:val="0"/>
      <w:spacing w:before="0" w:after="170" w:line="280" w:lineRule="atLeast"/>
      <w:textAlignment w:val="center"/>
    </w:pPr>
    <w:rPr>
      <w:rFonts w:ascii="Arial" w:eastAsia="Times New Roman" w:hAnsi="Arial"/>
      <w:color w:val="54534C"/>
      <w:kern w:val="0"/>
      <w:szCs w:val="22"/>
      <w:lang w:eastAsia="en-NZ"/>
    </w:rPr>
  </w:style>
  <w:style w:type="table" w:customStyle="1" w:styleId="TableGridLight1">
    <w:name w:val="Table Grid Light1"/>
    <w:basedOn w:val="TableNormal"/>
    <w:uiPriority w:val="40"/>
    <w:rsid w:val="00436A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436A8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436A8C"/>
    <w:rPr>
      <w:color w:val="800080"/>
      <w:u w:val="single"/>
    </w:rPr>
  </w:style>
  <w:style w:type="paragraph" w:customStyle="1" w:styleId="Numbering">
    <w:name w:val="Numbering"/>
    <w:basedOn w:val="Normal"/>
    <w:qFormat/>
    <w:rsid w:val="00436A8C"/>
    <w:pPr>
      <w:numPr>
        <w:numId w:val="8"/>
      </w:numPr>
    </w:pPr>
  </w:style>
  <w:style w:type="table" w:customStyle="1" w:styleId="ListTable1LightAccent1">
    <w:name w:val="List Table 1 Light Accent 1"/>
    <w:basedOn w:val="TableNormal"/>
    <w:uiPriority w:val="46"/>
    <w:rsid w:val="008B0D4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Notes">
    <w:name w:val="TableNotes"/>
    <w:basedOn w:val="TableText"/>
    <w:qFormat/>
    <w:rsid w:val="008B0D4E"/>
    <w:rPr>
      <w:sz w:val="16"/>
    </w:rPr>
  </w:style>
  <w:style w:type="paragraph" w:styleId="Revision">
    <w:name w:val="Revision"/>
    <w:hidden/>
    <w:uiPriority w:val="99"/>
    <w:semiHidden/>
    <w:rsid w:val="00475706"/>
    <w:rPr>
      <w:rFonts w:ascii="Verdana" w:hAnsi="Verdana" w:cs="Arial"/>
      <w:kern w:val="28"/>
    </w:rPr>
  </w:style>
  <w:style w:type="paragraph" w:customStyle="1" w:styleId="Pa3">
    <w:name w:val="Pa3"/>
    <w:basedOn w:val="Normal"/>
    <w:next w:val="Normal"/>
    <w:uiPriority w:val="99"/>
    <w:rsid w:val="00117003"/>
    <w:pPr>
      <w:autoSpaceDE w:val="0"/>
      <w:autoSpaceDN w:val="0"/>
      <w:adjustRightInd w:val="0"/>
      <w:spacing w:before="0" w:after="0" w:line="201" w:lineRule="atLeast"/>
    </w:pPr>
    <w:rPr>
      <w:rFonts w:ascii="Mercury Text G1 Bold" w:eastAsiaTheme="minorHAnsi" w:hAnsi="Mercury Text G1 Bold" w:cstheme="minorBid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semiHidden="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oa heading" w:unhideWhenUsed="0"/>
    <w:lsdException w:name="List" w:semiHidden="0"/>
    <w:lsdException w:name="List Bullet" w:semiHidden="0"/>
    <w:lsdException w:name="List Number" w:unhideWhenUsed="0"/>
    <w:lsdException w:name="List 2" w:semiHidden="0" w:unhideWhenUsed="0"/>
    <w:lsdException w:name="List 3" w:semiHidden="0"/>
    <w:lsdException w:name="List Bullet 2" w:semiHidden="0"/>
    <w:lsdException w:name="List Bullet 5" w:uiPriority="0"/>
    <w:lsdException w:name="Title" w:semiHidden="0" w:unhideWhenUsed="0"/>
    <w:lsdException w:name="Default Paragraph Font" w:uiPriority="1"/>
    <w:lsdException w:name="List Continue 4" w:unhideWhenUsed="0"/>
    <w:lsdException w:name="List Continue 5" w:unhideWhenUsed="0"/>
    <w:lsdException w:name="Message Header" w:unhideWhenUsed="0"/>
    <w:lsdException w:name="Subtitle" w:semiHidden="0" w:unhideWhenUsed="0" w:qFormat="1"/>
    <w:lsdException w:name="Strong" w:semiHidden="0" w:uiPriority="22" w:unhideWhenUsed="0"/>
    <w:lsdException w:name="Emphasis" w:semiHidden="0" w:uiPriority="20" w:unhideWhenUsed="0"/>
    <w:lsdException w:name="Balloon Text" w:unhideWhenUsed="0"/>
    <w:lsdException w:name="Table Grid" w:uiPriority="39" w:unhideWhenUsed="0"/>
    <w:lsdException w:name="Table Theme"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436A8C"/>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7F0412"/>
    <w:pPr>
      <w:keepNext/>
      <w:keepLines/>
      <w:pBdr>
        <w:bottom w:val="single" w:sz="4" w:space="1" w:color="121F6B"/>
      </w:pBdr>
      <w:spacing w:before="360" w:after="240"/>
      <w:ind w:right="-1440"/>
      <w:outlineLvl w:val="0"/>
    </w:pPr>
    <w:rPr>
      <w:rFonts w:ascii="Georgia" w:eastAsiaTheme="majorEastAsia" w:hAnsi="Georgia"/>
      <w:b/>
      <w:bCs/>
      <w:color w:val="121F6B"/>
      <w:kern w:val="0"/>
      <w:sz w:val="40"/>
      <w:szCs w:val="36"/>
    </w:rPr>
  </w:style>
  <w:style w:type="paragraph" w:styleId="Heading2">
    <w:name w:val="heading 2"/>
    <w:basedOn w:val="Normal"/>
    <w:next w:val="Normal"/>
    <w:link w:val="Heading2Char"/>
    <w:uiPriority w:val="99"/>
    <w:qFormat/>
    <w:rsid w:val="007F0412"/>
    <w:pPr>
      <w:keepNext/>
      <w:spacing w:before="320"/>
      <w:outlineLvl w:val="1"/>
    </w:pPr>
    <w:rPr>
      <w:b/>
      <w:color w:val="121F6B"/>
      <w:sz w:val="28"/>
      <w:szCs w:val="28"/>
    </w:rPr>
  </w:style>
  <w:style w:type="paragraph" w:styleId="Heading3">
    <w:name w:val="heading 3"/>
    <w:basedOn w:val="Normal"/>
    <w:next w:val="Normal"/>
    <w:link w:val="Heading3Char"/>
    <w:uiPriority w:val="99"/>
    <w:qFormat/>
    <w:rsid w:val="004800D3"/>
    <w:pPr>
      <w:keepNext/>
      <w:keepLines/>
      <w:widowControl w:val="0"/>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7F0412"/>
    <w:pPr>
      <w:keepNext/>
      <w:keepLines/>
      <w:spacing w:before="160" w:line="240" w:lineRule="auto"/>
      <w:outlineLvl w:val="3"/>
    </w:pPr>
    <w:rPr>
      <w:rFonts w:eastAsiaTheme="majorEastAsia" w:cs="Times New Roman"/>
      <w:b/>
      <w:bCs/>
      <w:i/>
      <w:iCs/>
      <w:color w:val="000000" w:themeColor="text1"/>
      <w:kern w:val="0"/>
      <w:sz w:val="22"/>
    </w:rPr>
  </w:style>
  <w:style w:type="paragraph" w:styleId="Heading5">
    <w:name w:val="heading 5"/>
    <w:basedOn w:val="Normal"/>
    <w:next w:val="Normal"/>
    <w:link w:val="Heading5Char"/>
    <w:uiPriority w:val="9"/>
    <w:semiHidden/>
    <w:unhideWhenUsed/>
    <w:rsid w:val="00436A8C"/>
    <w:pPr>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0412"/>
    <w:rPr>
      <w:rFonts w:ascii="Georgia" w:eastAsiaTheme="majorEastAsia" w:hAnsi="Georgia" w:cs="Arial"/>
      <w:b/>
      <w:bCs/>
      <w:color w:val="121F6B"/>
      <w:sz w:val="40"/>
      <w:szCs w:val="36"/>
    </w:rPr>
  </w:style>
  <w:style w:type="character" w:customStyle="1" w:styleId="Heading2Char">
    <w:name w:val="Heading 2 Char"/>
    <w:basedOn w:val="DefaultParagraphFont"/>
    <w:link w:val="Heading2"/>
    <w:uiPriority w:val="99"/>
    <w:rsid w:val="007F0412"/>
    <w:rPr>
      <w:rFonts w:ascii="Verdana" w:hAnsi="Verdana" w:cs="Arial"/>
      <w:b/>
      <w:color w:val="121F6B"/>
      <w:kern w:val="28"/>
      <w:sz w:val="28"/>
      <w:szCs w:val="28"/>
    </w:rPr>
  </w:style>
  <w:style w:type="character" w:customStyle="1" w:styleId="Heading3Char">
    <w:name w:val="Heading 3 Char"/>
    <w:basedOn w:val="DefaultParagraphFont"/>
    <w:link w:val="Heading3"/>
    <w:uiPriority w:val="99"/>
    <w:rsid w:val="004800D3"/>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7F0412"/>
    <w:rPr>
      <w:rFonts w:ascii="Verdana" w:eastAsiaTheme="majorEastAsia" w:hAnsi="Verdana"/>
      <w:b/>
      <w:bCs/>
      <w:i/>
      <w:iCs/>
      <w:color w:val="000000" w:themeColor="text1"/>
      <w:sz w:val="22"/>
    </w:rPr>
  </w:style>
  <w:style w:type="paragraph" w:styleId="ListParagraph">
    <w:name w:val="List Paragraph"/>
    <w:basedOn w:val="Normal"/>
    <w:uiPriority w:val="34"/>
    <w:rsid w:val="00436A8C"/>
    <w:pPr>
      <w:ind w:left="720"/>
      <w:contextualSpacing/>
    </w:pPr>
  </w:style>
  <w:style w:type="paragraph" w:styleId="List5">
    <w:name w:val="List 5"/>
    <w:basedOn w:val="Normal"/>
    <w:uiPriority w:val="99"/>
    <w:semiHidden/>
    <w:rsid w:val="00436A8C"/>
    <w:pPr>
      <w:numPr>
        <w:ilvl w:val="4"/>
        <w:numId w:val="6"/>
      </w:numPr>
      <w:contextualSpacing/>
    </w:pPr>
  </w:style>
  <w:style w:type="paragraph" w:styleId="List">
    <w:name w:val="List"/>
    <w:basedOn w:val="Normal"/>
    <w:uiPriority w:val="99"/>
    <w:rsid w:val="00436A8C"/>
    <w:pPr>
      <w:numPr>
        <w:numId w:val="6"/>
      </w:numPr>
    </w:pPr>
  </w:style>
  <w:style w:type="paragraph" w:styleId="List2">
    <w:name w:val="List 2"/>
    <w:basedOn w:val="Normal"/>
    <w:uiPriority w:val="99"/>
    <w:rsid w:val="00436A8C"/>
    <w:pPr>
      <w:numPr>
        <w:ilvl w:val="1"/>
        <w:numId w:val="6"/>
      </w:numPr>
    </w:pPr>
  </w:style>
  <w:style w:type="table" w:styleId="TableGrid">
    <w:name w:val="Table Grid"/>
    <w:basedOn w:val="TableNormal"/>
    <w:uiPriority w:val="39"/>
    <w:rsid w:val="00436A8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436A8C"/>
    <w:pPr>
      <w:pBdr>
        <w:bottom w:val="none" w:sz="0" w:space="0" w:color="auto"/>
      </w:pBdr>
    </w:pPr>
    <w:rPr>
      <w:color w:val="FFFFFF" w:themeColor="background1"/>
    </w:rPr>
  </w:style>
  <w:style w:type="character" w:customStyle="1" w:styleId="TitleChar">
    <w:name w:val="Title Char"/>
    <w:basedOn w:val="DefaultParagraphFont"/>
    <w:link w:val="Title"/>
    <w:uiPriority w:val="99"/>
    <w:rsid w:val="00436A8C"/>
    <w:rPr>
      <w:rFonts w:ascii="Georgia" w:eastAsiaTheme="majorEastAsia" w:hAnsi="Georgia" w:cs="Arial"/>
      <w:b/>
      <w:bCs/>
      <w:color w:val="FFFFFF" w:themeColor="background1"/>
      <w:sz w:val="36"/>
      <w:szCs w:val="36"/>
    </w:rPr>
  </w:style>
  <w:style w:type="paragraph" w:styleId="Subtitle">
    <w:name w:val="Subtitle"/>
    <w:basedOn w:val="Normal"/>
    <w:next w:val="Normal"/>
    <w:link w:val="SubtitleChar"/>
    <w:uiPriority w:val="99"/>
    <w:qFormat/>
    <w:rsid w:val="00436A8C"/>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436A8C"/>
    <w:rPr>
      <w:rFonts w:ascii="Arial" w:eastAsiaTheme="majorEastAsia" w:hAnsi="Arial"/>
      <w:i/>
      <w:iCs/>
      <w:spacing w:val="15"/>
      <w:sz w:val="24"/>
      <w:szCs w:val="24"/>
    </w:rPr>
  </w:style>
  <w:style w:type="character" w:styleId="SubtleEmphasis">
    <w:name w:val="Subtle Emphasis"/>
    <w:basedOn w:val="DefaultParagraphFont"/>
    <w:uiPriority w:val="99"/>
    <w:rsid w:val="00436A8C"/>
    <w:rPr>
      <w:rFonts w:ascii="Arial" w:hAnsi="Arial" w:cs="Times New Roman"/>
      <w:i/>
      <w:iCs/>
      <w:color w:val="auto"/>
      <w:sz w:val="20"/>
    </w:rPr>
  </w:style>
  <w:style w:type="paragraph" w:customStyle="1" w:styleId="Bullet1">
    <w:name w:val="Bullet1"/>
    <w:basedOn w:val="Normal"/>
    <w:qFormat/>
    <w:rsid w:val="00436A8C"/>
    <w:pPr>
      <w:numPr>
        <w:numId w:val="1"/>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647C07"/>
    <w:pPr>
      <w:numPr>
        <w:numId w:val="5"/>
      </w:numPr>
      <w:spacing w:before="120"/>
    </w:pPr>
    <w:rPr>
      <w:rFonts w:ascii="Verdana" w:eastAsia="Times New Roman" w:hAnsi="Verdana"/>
      <w:lang w:eastAsia="en-AU"/>
    </w:rPr>
  </w:style>
  <w:style w:type="character" w:customStyle="1" w:styleId="Heading5Char">
    <w:name w:val="Heading 5 Char"/>
    <w:basedOn w:val="DefaultParagraphFont"/>
    <w:link w:val="Heading5"/>
    <w:uiPriority w:val="9"/>
    <w:semiHidden/>
    <w:rsid w:val="00436A8C"/>
    <w:rPr>
      <w:rFonts w:asciiTheme="majorHAnsi" w:eastAsiaTheme="majorEastAsia" w:hAnsiTheme="majorHAnsi" w:cstheme="majorBidi"/>
      <w:color w:val="243F60" w:themeColor="accent1" w:themeShade="7F"/>
      <w:kern w:val="28"/>
    </w:rPr>
  </w:style>
  <w:style w:type="character" w:styleId="Strong">
    <w:name w:val="Strong"/>
    <w:basedOn w:val="DefaultParagraphFont"/>
    <w:uiPriority w:val="22"/>
    <w:rsid w:val="00436A8C"/>
    <w:rPr>
      <w:b/>
      <w:bCs/>
    </w:rPr>
  </w:style>
  <w:style w:type="paragraph" w:styleId="TOCHeading">
    <w:name w:val="TOC Heading"/>
    <w:basedOn w:val="Heading1"/>
    <w:next w:val="Normal"/>
    <w:uiPriority w:val="39"/>
    <w:unhideWhenUsed/>
    <w:qFormat/>
    <w:rsid w:val="00436A8C"/>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NoSpacing">
    <w:name w:val="No Spacing"/>
    <w:uiPriority w:val="1"/>
    <w:rsid w:val="00436A8C"/>
    <w:rPr>
      <w:rFonts w:ascii="Verdana" w:hAnsi="Verdana" w:cs="Arial"/>
      <w:kern w:val="28"/>
      <w:sz w:val="22"/>
    </w:rPr>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2"/>
      </w:numPr>
      <w:tabs>
        <w:tab w:val="clear" w:pos="643"/>
      </w:tabs>
      <w:contextualSpacing/>
    </w:pPr>
  </w:style>
  <w:style w:type="paragraph" w:styleId="ListBullet">
    <w:name w:val="List Bullet"/>
    <w:basedOn w:val="Normal"/>
    <w:uiPriority w:val="99"/>
    <w:rsid w:val="003B0A38"/>
    <w:p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unhideWhenUsed/>
    <w:rsid w:val="00436A8C"/>
    <w:rPr>
      <w:vertAlign w:val="superscript"/>
    </w:rPr>
  </w:style>
  <w:style w:type="paragraph" w:styleId="BodyText">
    <w:name w:val="Body Text"/>
    <w:basedOn w:val="Normal"/>
    <w:link w:val="BodyTextChar"/>
    <w:uiPriority w:val="99"/>
    <w:semiHidden/>
    <w:rsid w:val="00436A8C"/>
  </w:style>
  <w:style w:type="character" w:customStyle="1" w:styleId="BodyTextChar">
    <w:name w:val="Body Text Char"/>
    <w:basedOn w:val="DefaultParagraphFont"/>
    <w:link w:val="BodyText"/>
    <w:uiPriority w:val="99"/>
    <w:semiHidden/>
    <w:rsid w:val="00436A8C"/>
    <w:rPr>
      <w:rFonts w:ascii="Verdana" w:hAnsi="Verdana" w:cs="Arial"/>
      <w:kern w:val="28"/>
    </w:rPr>
  </w:style>
  <w:style w:type="character" w:styleId="CommentReference">
    <w:name w:val="annotation reference"/>
    <w:basedOn w:val="DefaultParagraphFont"/>
    <w:uiPriority w:val="99"/>
    <w:semiHidden/>
    <w:unhideWhenUsed/>
    <w:rsid w:val="00436A8C"/>
    <w:rPr>
      <w:sz w:val="16"/>
      <w:szCs w:val="16"/>
    </w:rPr>
  </w:style>
  <w:style w:type="paragraph" w:styleId="CommentText">
    <w:name w:val="annotation text"/>
    <w:basedOn w:val="Normal"/>
    <w:link w:val="CommentTextChar"/>
    <w:uiPriority w:val="99"/>
    <w:unhideWhenUsed/>
    <w:rsid w:val="00436A8C"/>
    <w:pPr>
      <w:spacing w:line="240" w:lineRule="auto"/>
    </w:pPr>
  </w:style>
  <w:style w:type="character" w:customStyle="1" w:styleId="CommentTextChar">
    <w:name w:val="Comment Text Char"/>
    <w:basedOn w:val="DefaultParagraphFont"/>
    <w:link w:val="CommentText"/>
    <w:uiPriority w:val="99"/>
    <w:rsid w:val="00436A8C"/>
    <w:rPr>
      <w:rFonts w:ascii="Verdana" w:hAnsi="Verdana" w:cs="Arial"/>
      <w:kern w:val="28"/>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qFormat/>
    <w:rsid w:val="00F76C7B"/>
    <w:pPr>
      <w:tabs>
        <w:tab w:val="right" w:pos="9016"/>
      </w:tabs>
      <w:spacing w:after="100"/>
    </w:pPr>
    <w:rPr>
      <w:b/>
      <w:noProof/>
      <w:color w:val="000000" w:themeColor="text1"/>
    </w:rPr>
  </w:style>
  <w:style w:type="paragraph" w:styleId="TOC2">
    <w:name w:val="toc 2"/>
    <w:basedOn w:val="Normal"/>
    <w:next w:val="Normal"/>
    <w:autoRedefine/>
    <w:uiPriority w:val="39"/>
    <w:qFormat/>
    <w:rsid w:val="006A18B7"/>
    <w:pPr>
      <w:tabs>
        <w:tab w:val="right" w:pos="9016"/>
      </w:tabs>
      <w:spacing w:after="100"/>
      <w:ind w:left="220"/>
    </w:pPr>
    <w:rPr>
      <w:noProof/>
    </w:rPr>
  </w:style>
  <w:style w:type="paragraph" w:styleId="TOC3">
    <w:name w:val="toc 3"/>
    <w:basedOn w:val="Normal"/>
    <w:next w:val="Normal"/>
    <w:autoRedefine/>
    <w:uiPriority w:val="39"/>
    <w:qFormat/>
    <w:rsid w:val="00F350FF"/>
    <w:pPr>
      <w:tabs>
        <w:tab w:val="right" w:pos="9016"/>
      </w:tabs>
      <w:spacing w:after="100"/>
      <w:ind w:left="440"/>
    </w:pPr>
    <w:rPr>
      <w:noProof/>
    </w:rPr>
  </w:style>
  <w:style w:type="paragraph" w:styleId="TOC4">
    <w:name w:val="toc 4"/>
    <w:basedOn w:val="Normal"/>
    <w:next w:val="Normal"/>
    <w:autoRedefine/>
    <w:uiPriority w:val="39"/>
    <w:unhideWhenUsed/>
    <w:rsid w:val="00436A8C"/>
    <w:pPr>
      <w:spacing w:before="0" w:after="100" w:line="276" w:lineRule="auto"/>
      <w:ind w:left="660"/>
    </w:pPr>
    <w:rPr>
      <w:rFonts w:asciiTheme="minorHAnsi" w:eastAsiaTheme="minorEastAsia" w:hAnsiTheme="minorHAnsi" w:cstheme="minorBidi"/>
      <w:kern w:val="0"/>
      <w:szCs w:val="22"/>
      <w:lang w:eastAsia="en-NZ"/>
    </w:rPr>
  </w:style>
  <w:style w:type="paragraph" w:styleId="TOC5">
    <w:name w:val="toc 5"/>
    <w:basedOn w:val="Normal"/>
    <w:next w:val="Normal"/>
    <w:autoRedefine/>
    <w:uiPriority w:val="39"/>
    <w:unhideWhenUsed/>
    <w:rsid w:val="00436A8C"/>
    <w:pPr>
      <w:spacing w:before="0" w:after="100" w:line="276" w:lineRule="auto"/>
      <w:ind w:left="880"/>
    </w:pPr>
    <w:rPr>
      <w:rFonts w:asciiTheme="minorHAnsi" w:eastAsiaTheme="minorEastAsia" w:hAnsiTheme="minorHAnsi" w:cstheme="minorBidi"/>
      <w:kern w:val="0"/>
      <w:szCs w:val="22"/>
      <w:lang w:eastAsia="en-NZ"/>
    </w:rPr>
  </w:style>
  <w:style w:type="paragraph" w:styleId="TOC6">
    <w:name w:val="toc 6"/>
    <w:basedOn w:val="Normal"/>
    <w:next w:val="Normal"/>
    <w:autoRedefine/>
    <w:uiPriority w:val="39"/>
    <w:unhideWhenUsed/>
    <w:rsid w:val="00436A8C"/>
    <w:pPr>
      <w:spacing w:before="0" w:after="100" w:line="276" w:lineRule="auto"/>
      <w:ind w:left="1100"/>
    </w:pPr>
    <w:rPr>
      <w:rFonts w:asciiTheme="minorHAnsi" w:eastAsiaTheme="minorEastAsia" w:hAnsiTheme="minorHAnsi" w:cstheme="minorBidi"/>
      <w:kern w:val="0"/>
      <w:szCs w:val="22"/>
      <w:lang w:eastAsia="en-NZ"/>
    </w:rPr>
  </w:style>
  <w:style w:type="paragraph" w:styleId="TOC7">
    <w:name w:val="toc 7"/>
    <w:basedOn w:val="Normal"/>
    <w:next w:val="Normal"/>
    <w:autoRedefine/>
    <w:uiPriority w:val="39"/>
    <w:unhideWhenUsed/>
    <w:rsid w:val="00436A8C"/>
    <w:pPr>
      <w:spacing w:before="0" w:after="100" w:line="276" w:lineRule="auto"/>
      <w:ind w:left="1320"/>
    </w:pPr>
    <w:rPr>
      <w:rFonts w:asciiTheme="minorHAnsi" w:eastAsiaTheme="minorEastAsia" w:hAnsiTheme="minorHAnsi" w:cstheme="minorBidi"/>
      <w:kern w:val="0"/>
      <w:szCs w:val="22"/>
      <w:lang w:eastAsia="en-NZ"/>
    </w:rPr>
  </w:style>
  <w:style w:type="paragraph" w:styleId="TOC8">
    <w:name w:val="toc 8"/>
    <w:basedOn w:val="Normal"/>
    <w:next w:val="Normal"/>
    <w:autoRedefine/>
    <w:uiPriority w:val="39"/>
    <w:unhideWhenUsed/>
    <w:rsid w:val="00436A8C"/>
    <w:pPr>
      <w:spacing w:before="0" w:after="100" w:line="276" w:lineRule="auto"/>
      <w:ind w:left="1540"/>
    </w:pPr>
    <w:rPr>
      <w:rFonts w:asciiTheme="minorHAnsi" w:eastAsiaTheme="minorEastAsia" w:hAnsiTheme="minorHAnsi" w:cstheme="minorBidi"/>
      <w:kern w:val="0"/>
      <w:szCs w:val="22"/>
      <w:lang w:eastAsia="en-NZ"/>
    </w:rPr>
  </w:style>
  <w:style w:type="paragraph" w:styleId="TOC9">
    <w:name w:val="toc 9"/>
    <w:basedOn w:val="Normal"/>
    <w:next w:val="Normal"/>
    <w:autoRedefine/>
    <w:uiPriority w:val="39"/>
    <w:unhideWhenUsed/>
    <w:rsid w:val="00436A8C"/>
    <w:pPr>
      <w:spacing w:before="0" w:after="100" w:line="276" w:lineRule="auto"/>
      <w:ind w:left="1760"/>
    </w:pPr>
    <w:rPr>
      <w:rFonts w:asciiTheme="minorHAnsi" w:eastAsiaTheme="minorEastAsia" w:hAnsiTheme="minorHAnsi" w:cstheme="minorBidi"/>
      <w:kern w:val="0"/>
      <w:szCs w:val="22"/>
      <w:lang w:eastAsia="en-NZ"/>
    </w:rPr>
  </w:style>
  <w:style w:type="paragraph" w:styleId="BalloonText">
    <w:name w:val="Balloon Text"/>
    <w:basedOn w:val="Normal"/>
    <w:link w:val="BalloonTextChar"/>
    <w:uiPriority w:val="99"/>
    <w:semiHidden/>
    <w:rsid w:val="0043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8C"/>
    <w:rPr>
      <w:rFonts w:ascii="Tahoma" w:hAnsi="Tahoma" w:cs="Tahoma"/>
      <w:kern w:val="28"/>
      <w:sz w:val="16"/>
      <w:szCs w:val="16"/>
    </w:rPr>
  </w:style>
  <w:style w:type="table" w:styleId="LightShading">
    <w:name w:val="Light Shading"/>
    <w:basedOn w:val="TableNormal"/>
    <w:uiPriority w:val="60"/>
    <w:rsid w:val="00436A8C"/>
    <w:rPr>
      <w:rFonts w:ascii="Times New Roman" w:eastAsia="Times New Roman" w:hAnsi="Times New Roman"/>
      <w:color w:val="000000" w:themeColor="text1" w:themeShade="BF"/>
      <w:lang w:eastAsia="en-N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36A8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36A8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rsid w:val="0043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A8C"/>
    <w:rPr>
      <w:rFonts w:ascii="Verdana" w:hAnsi="Verdana" w:cs="Arial"/>
      <w:kern w:val="28"/>
    </w:rPr>
  </w:style>
  <w:style w:type="paragraph" w:styleId="FootnoteText">
    <w:name w:val="footnote text"/>
    <w:basedOn w:val="Normal"/>
    <w:link w:val="FootnoteTextChar"/>
    <w:rsid w:val="00436A8C"/>
    <w:pPr>
      <w:spacing w:after="0" w:line="240" w:lineRule="auto"/>
    </w:pPr>
    <w:rPr>
      <w:sz w:val="16"/>
    </w:rPr>
  </w:style>
  <w:style w:type="character" w:customStyle="1" w:styleId="FootnoteTextChar">
    <w:name w:val="Footnote Text Char"/>
    <w:basedOn w:val="DefaultParagraphFont"/>
    <w:link w:val="FootnoteText"/>
    <w:rsid w:val="00436A8C"/>
    <w:rPr>
      <w:rFonts w:ascii="Verdana" w:hAnsi="Verdana" w:cs="Arial"/>
      <w:kern w:val="28"/>
      <w:sz w:val="16"/>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unhideWhenUsed/>
    <w:rsid w:val="00436A8C"/>
    <w:pPr>
      <w:spacing w:before="100" w:beforeAutospacing="1" w:after="100" w:afterAutospacing="1" w:line="240" w:lineRule="auto"/>
    </w:pPr>
    <w:rPr>
      <w:rFonts w:ascii="Times New Roman" w:eastAsiaTheme="minorEastAsia" w:hAnsi="Times New Roman" w:cs="Times New Roman"/>
      <w:kern w:val="0"/>
      <w:sz w:val="24"/>
      <w:szCs w:val="24"/>
      <w:lang w:eastAsia="en-NZ"/>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TableText">
    <w:name w:val="Table Text"/>
    <w:basedOn w:val="BodyText"/>
    <w:qFormat/>
    <w:rsid w:val="008B0D4E"/>
    <w:pPr>
      <w:widowControl w:val="0"/>
      <w:suppressAutoHyphens/>
      <w:autoSpaceDE w:val="0"/>
      <w:autoSpaceDN w:val="0"/>
      <w:adjustRightInd w:val="0"/>
      <w:spacing w:before="40" w:after="40" w:line="220" w:lineRule="atLeast"/>
      <w:textAlignment w:val="center"/>
    </w:pPr>
    <w:rPr>
      <w:rFonts w:eastAsiaTheme="minorHAnsi"/>
      <w:color w:val="1F497D" w:themeColor="text2"/>
      <w:kern w:val="0"/>
      <w:sz w:val="18"/>
      <w:szCs w:val="16"/>
      <w:lang w:eastAsia="en-NZ"/>
    </w:rPr>
  </w:style>
  <w:style w:type="paragraph" w:customStyle="1" w:styleId="ImpactBoxTxt">
    <w:name w:val="ImpactBoxTxt"/>
    <w:basedOn w:val="Normal"/>
    <w:qFormat/>
    <w:rsid w:val="00436A8C"/>
    <w:pPr>
      <w:spacing w:before="0" w:after="0" w:line="240" w:lineRule="auto"/>
      <w:jc w:val="center"/>
    </w:pPr>
    <w:rPr>
      <w:color w:val="17365D" w:themeColor="text2" w:themeShade="BF"/>
      <w:sz w:val="16"/>
    </w:rPr>
  </w:style>
  <w:style w:type="paragraph" w:customStyle="1" w:styleId="TechnicalNotesText">
    <w:name w:val="TechnicalNotesText"/>
    <w:basedOn w:val="Normal"/>
    <w:qFormat/>
    <w:rsid w:val="00436A8C"/>
    <w:pPr>
      <w:spacing w:line="240" w:lineRule="auto"/>
    </w:pPr>
    <w:rPr>
      <w:color w:val="4A442A" w:themeColor="background2" w:themeShade="40"/>
      <w:sz w:val="16"/>
    </w:rPr>
  </w:style>
  <w:style w:type="paragraph" w:customStyle="1" w:styleId="EAIntTitle">
    <w:name w:val="EAIntTitle"/>
    <w:basedOn w:val="Heading2"/>
    <w:qFormat/>
    <w:rsid w:val="00227E47"/>
    <w:pPr>
      <w:pBdr>
        <w:bottom w:val="single" w:sz="4" w:space="1" w:color="1F497D" w:themeColor="text2"/>
      </w:pBdr>
      <w:spacing w:before="600"/>
      <w:jc w:val="center"/>
    </w:pPr>
    <w:rPr>
      <w:rFonts w:eastAsia="Times New Roman"/>
      <w:noProof/>
      <w:sz w:val="36"/>
    </w:rPr>
  </w:style>
  <w:style w:type="paragraph" w:customStyle="1" w:styleId="Report">
    <w:name w:val="Report"/>
    <w:qFormat/>
    <w:rsid w:val="004800D3"/>
    <w:pPr>
      <w:pBdr>
        <w:bottom w:val="single" w:sz="24" w:space="9" w:color="121F6B"/>
      </w:pBdr>
      <w:spacing w:before="5640" w:line="960" w:lineRule="exact"/>
      <w:ind w:right="-1440"/>
    </w:pPr>
    <w:rPr>
      <w:rFonts w:ascii="Georgia" w:hAnsi="Georgia" w:cs="Arial"/>
      <w:b/>
      <w:noProof/>
      <w:color w:val="121F6B"/>
      <w:kern w:val="28"/>
      <w:sz w:val="56"/>
      <w:lang w:eastAsia="en-NZ"/>
    </w:rPr>
  </w:style>
  <w:style w:type="paragraph" w:customStyle="1" w:styleId="Report2">
    <w:name w:val="Report2"/>
    <w:qFormat/>
    <w:rsid w:val="00436A8C"/>
    <w:pPr>
      <w:spacing w:before="240"/>
    </w:pPr>
    <w:rPr>
      <w:rFonts w:ascii="Georgia" w:hAnsi="Georgia" w:cs="Arial"/>
      <w:b/>
      <w:color w:val="121F6B"/>
      <w:kern w:val="28"/>
      <w:sz w:val="40"/>
      <w:szCs w:val="40"/>
      <w:lang w:val="en-US"/>
    </w:rPr>
  </w:style>
  <w:style w:type="paragraph" w:styleId="CommentSubject">
    <w:name w:val="annotation subject"/>
    <w:basedOn w:val="CommentText"/>
    <w:next w:val="CommentText"/>
    <w:link w:val="CommentSubjectChar"/>
    <w:uiPriority w:val="99"/>
    <w:semiHidden/>
    <w:unhideWhenUsed/>
    <w:rsid w:val="00436A8C"/>
    <w:rPr>
      <w:b/>
      <w:bCs/>
    </w:rPr>
  </w:style>
  <w:style w:type="character" w:customStyle="1" w:styleId="CommentSubjectChar">
    <w:name w:val="Comment Subject Char"/>
    <w:basedOn w:val="CommentTextChar"/>
    <w:link w:val="CommentSubject"/>
    <w:uiPriority w:val="99"/>
    <w:semiHidden/>
    <w:rsid w:val="00436A8C"/>
    <w:rPr>
      <w:rFonts w:ascii="Verdana" w:hAnsi="Verdana" w:cs="Arial"/>
      <w:b/>
      <w:bCs/>
      <w:kern w:val="28"/>
    </w:rPr>
  </w:style>
  <w:style w:type="character" w:styleId="FootnoteReference">
    <w:name w:val="footnote reference"/>
    <w:basedOn w:val="DefaultParagraphFont"/>
    <w:uiPriority w:val="99"/>
    <w:rsid w:val="00436A8C"/>
    <w:rPr>
      <w:rFonts w:ascii="Arial" w:hAnsi="Arial"/>
      <w:sz w:val="18"/>
      <w:szCs w:val="16"/>
      <w:vertAlign w:val="superscript"/>
      <w:lang w:val="en-US" w:eastAsia="x-none" w:bidi="ar-SA"/>
    </w:rPr>
  </w:style>
  <w:style w:type="paragraph" w:styleId="Header">
    <w:name w:val="header"/>
    <w:basedOn w:val="Normal"/>
    <w:link w:val="HeaderChar"/>
    <w:uiPriority w:val="99"/>
    <w:semiHidden/>
    <w:rsid w:val="00436A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6A8C"/>
    <w:rPr>
      <w:rFonts w:ascii="Verdana" w:hAnsi="Verdana" w:cs="Arial"/>
      <w:kern w:val="28"/>
    </w:rPr>
  </w:style>
  <w:style w:type="paragraph" w:styleId="EndnoteText">
    <w:name w:val="endnote text"/>
    <w:basedOn w:val="Normal"/>
    <w:link w:val="EndnoteTextChar"/>
    <w:uiPriority w:val="99"/>
    <w:semiHidden/>
    <w:unhideWhenUsed/>
    <w:rsid w:val="00436A8C"/>
    <w:pPr>
      <w:spacing w:before="0" w:after="0" w:line="240" w:lineRule="auto"/>
    </w:pPr>
  </w:style>
  <w:style w:type="character" w:customStyle="1" w:styleId="EndnoteTextChar">
    <w:name w:val="Endnote Text Char"/>
    <w:basedOn w:val="DefaultParagraphFont"/>
    <w:link w:val="EndnoteText"/>
    <w:uiPriority w:val="99"/>
    <w:semiHidden/>
    <w:rsid w:val="00436A8C"/>
    <w:rPr>
      <w:rFonts w:ascii="Verdana" w:hAnsi="Verdana" w:cs="Arial"/>
      <w:kern w:val="28"/>
    </w:rPr>
  </w:style>
  <w:style w:type="paragraph" w:styleId="Caption">
    <w:name w:val="caption"/>
    <w:basedOn w:val="Normal"/>
    <w:next w:val="Normal"/>
    <w:unhideWhenUsed/>
    <w:qFormat/>
    <w:rsid w:val="00B54307"/>
    <w:pPr>
      <w:keepNext/>
      <w:spacing w:before="240" w:after="120" w:line="276" w:lineRule="auto"/>
    </w:pPr>
    <w:rPr>
      <w:b/>
      <w:bCs/>
      <w:color w:val="1F497D" w:themeColor="text2"/>
    </w:rPr>
  </w:style>
  <w:style w:type="character" w:styleId="Hyperlink">
    <w:name w:val="Hyperlink"/>
    <w:basedOn w:val="DefaultParagraphFont"/>
    <w:uiPriority w:val="99"/>
    <w:unhideWhenUsed/>
    <w:rsid w:val="00436A8C"/>
    <w:rPr>
      <w:color w:val="0000FF" w:themeColor="hyperlink"/>
      <w:u w:val="single"/>
    </w:rPr>
  </w:style>
  <w:style w:type="paragraph" w:styleId="TableofFigures">
    <w:name w:val="table of figures"/>
    <w:basedOn w:val="Normal"/>
    <w:next w:val="Normal"/>
    <w:uiPriority w:val="99"/>
    <w:rsid w:val="00436A8C"/>
    <w:pPr>
      <w:spacing w:after="0"/>
    </w:pPr>
  </w:style>
  <w:style w:type="paragraph" w:customStyle="1" w:styleId="ReportBody">
    <w:name w:val="Report Body"/>
    <w:basedOn w:val="Normal"/>
    <w:link w:val="ReportBodyChar"/>
    <w:rsid w:val="00436A8C"/>
    <w:pPr>
      <w:numPr>
        <w:numId w:val="10"/>
      </w:numPr>
      <w:spacing w:line="259" w:lineRule="auto"/>
    </w:pPr>
    <w:rPr>
      <w:rFonts w:eastAsia="Times New Roman" w:cs="Times New Roman"/>
      <w:color w:val="000000"/>
      <w:kern w:val="22"/>
      <w:szCs w:val="22"/>
    </w:rPr>
  </w:style>
  <w:style w:type="paragraph" w:customStyle="1" w:styleId="ReportBody2">
    <w:name w:val="Report Body 2"/>
    <w:basedOn w:val="ReportBody"/>
    <w:qFormat/>
    <w:rsid w:val="00436A8C"/>
    <w:pPr>
      <w:numPr>
        <w:ilvl w:val="1"/>
      </w:numPr>
    </w:pPr>
  </w:style>
  <w:style w:type="character" w:customStyle="1" w:styleId="ReportBodyChar">
    <w:name w:val="Report Body Char"/>
    <w:basedOn w:val="DefaultParagraphFont"/>
    <w:link w:val="ReportBody"/>
    <w:locked/>
    <w:rsid w:val="00436A8C"/>
    <w:rPr>
      <w:rFonts w:ascii="Verdana" w:eastAsia="Times New Roman" w:hAnsi="Verdana"/>
      <w:color w:val="000000"/>
      <w:kern w:val="22"/>
      <w:szCs w:val="22"/>
    </w:rPr>
  </w:style>
  <w:style w:type="numbering" w:customStyle="1" w:styleId="RecList">
    <w:name w:val="Rec List"/>
    <w:basedOn w:val="NoList"/>
    <w:rsid w:val="00436A8C"/>
    <w:pPr>
      <w:numPr>
        <w:numId w:val="9"/>
      </w:numPr>
    </w:pPr>
  </w:style>
  <w:style w:type="paragraph" w:customStyle="1" w:styleId="RecNumber">
    <w:name w:val="Rec Number"/>
    <w:basedOn w:val="Normal"/>
    <w:rsid w:val="00436A8C"/>
    <w:pPr>
      <w:numPr>
        <w:numId w:val="9"/>
      </w:numPr>
      <w:spacing w:before="240" w:after="0" w:line="260" w:lineRule="exact"/>
      <w:jc w:val="both"/>
    </w:pPr>
    <w:rPr>
      <w:rFonts w:ascii="Arial Mäori" w:eastAsia="Times New Roman" w:hAnsi="Arial Mäori" w:cs="Times New Roman"/>
      <w:kern w:val="22"/>
      <w:szCs w:val="22"/>
    </w:rPr>
  </w:style>
  <w:style w:type="paragraph" w:customStyle="1" w:styleId="RecLevel2">
    <w:name w:val="Rec Level2"/>
    <w:basedOn w:val="RecNumber"/>
    <w:qFormat/>
    <w:rsid w:val="00436A8C"/>
    <w:pPr>
      <w:numPr>
        <w:ilvl w:val="1"/>
      </w:numPr>
    </w:pPr>
  </w:style>
  <w:style w:type="character" w:customStyle="1" w:styleId="FootnoteTextChar1">
    <w:name w:val="Footnote Text Char1"/>
    <w:basedOn w:val="DefaultParagraphFont"/>
    <w:uiPriority w:val="99"/>
    <w:semiHidden/>
    <w:rsid w:val="00436A8C"/>
    <w:rPr>
      <w:rFonts w:ascii="Verdana" w:hAnsi="Verdana" w:cs="Arial"/>
      <w:kern w:val="28"/>
    </w:rPr>
  </w:style>
  <w:style w:type="paragraph" w:customStyle="1" w:styleId="ReportBodyNoNum">
    <w:name w:val="Report Body No Num"/>
    <w:basedOn w:val="ReportBody"/>
    <w:qFormat/>
    <w:rsid w:val="00436A8C"/>
    <w:pPr>
      <w:numPr>
        <w:numId w:val="0"/>
      </w:numPr>
      <w:spacing w:before="80" w:after="80"/>
      <w:ind w:left="397"/>
    </w:pPr>
  </w:style>
  <w:style w:type="paragraph" w:styleId="ListBullet5">
    <w:name w:val="List Bullet 5"/>
    <w:basedOn w:val="Normal"/>
    <w:semiHidden/>
    <w:rsid w:val="00436A8C"/>
    <w:pPr>
      <w:numPr>
        <w:numId w:val="7"/>
      </w:numPr>
      <w:suppressAutoHyphens/>
      <w:autoSpaceDE w:val="0"/>
      <w:autoSpaceDN w:val="0"/>
      <w:adjustRightInd w:val="0"/>
      <w:spacing w:before="0" w:after="170" w:line="280" w:lineRule="atLeast"/>
      <w:textAlignment w:val="center"/>
    </w:pPr>
    <w:rPr>
      <w:rFonts w:ascii="Arial" w:eastAsia="Times New Roman" w:hAnsi="Arial"/>
      <w:color w:val="54534C"/>
      <w:kern w:val="0"/>
      <w:szCs w:val="22"/>
      <w:lang w:eastAsia="en-NZ"/>
    </w:rPr>
  </w:style>
  <w:style w:type="table" w:customStyle="1" w:styleId="TableGridLight1">
    <w:name w:val="Table Grid Light1"/>
    <w:basedOn w:val="TableNormal"/>
    <w:uiPriority w:val="40"/>
    <w:rsid w:val="00436A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436A8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436A8C"/>
    <w:rPr>
      <w:color w:val="800080"/>
      <w:u w:val="single"/>
    </w:rPr>
  </w:style>
  <w:style w:type="paragraph" w:customStyle="1" w:styleId="Numbering">
    <w:name w:val="Numbering"/>
    <w:basedOn w:val="Normal"/>
    <w:qFormat/>
    <w:rsid w:val="00436A8C"/>
    <w:pPr>
      <w:numPr>
        <w:numId w:val="8"/>
      </w:numPr>
    </w:pPr>
  </w:style>
  <w:style w:type="table" w:customStyle="1" w:styleId="ListTable1LightAccent1">
    <w:name w:val="List Table 1 Light Accent 1"/>
    <w:basedOn w:val="TableNormal"/>
    <w:uiPriority w:val="46"/>
    <w:rsid w:val="008B0D4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Notes">
    <w:name w:val="TableNotes"/>
    <w:basedOn w:val="TableText"/>
    <w:qFormat/>
    <w:rsid w:val="008B0D4E"/>
    <w:rPr>
      <w:sz w:val="16"/>
    </w:rPr>
  </w:style>
  <w:style w:type="paragraph" w:styleId="Revision">
    <w:name w:val="Revision"/>
    <w:hidden/>
    <w:uiPriority w:val="99"/>
    <w:semiHidden/>
    <w:rsid w:val="00475706"/>
    <w:rPr>
      <w:rFonts w:ascii="Verdana" w:hAnsi="Verdana" w:cs="Arial"/>
      <w:kern w:val="28"/>
    </w:rPr>
  </w:style>
  <w:style w:type="paragraph" w:customStyle="1" w:styleId="Pa3">
    <w:name w:val="Pa3"/>
    <w:basedOn w:val="Normal"/>
    <w:next w:val="Normal"/>
    <w:uiPriority w:val="99"/>
    <w:rsid w:val="00117003"/>
    <w:pPr>
      <w:autoSpaceDE w:val="0"/>
      <w:autoSpaceDN w:val="0"/>
      <w:adjustRightInd w:val="0"/>
      <w:spacing w:before="0" w:after="0" w:line="201" w:lineRule="atLeast"/>
    </w:pPr>
    <w:rPr>
      <w:rFonts w:ascii="Mercury Text G1 Bold" w:eastAsiaTheme="minorHAnsi" w:hAnsi="Mercury Text G1 Bold" w:cstheme="min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679">
      <w:bodyDiv w:val="1"/>
      <w:marLeft w:val="0"/>
      <w:marRight w:val="0"/>
      <w:marTop w:val="0"/>
      <w:marBottom w:val="0"/>
      <w:divBdr>
        <w:top w:val="none" w:sz="0" w:space="0" w:color="auto"/>
        <w:left w:val="none" w:sz="0" w:space="0" w:color="auto"/>
        <w:bottom w:val="none" w:sz="0" w:space="0" w:color="auto"/>
        <w:right w:val="none" w:sz="0" w:space="0" w:color="auto"/>
      </w:divBdr>
    </w:div>
    <w:div w:id="87971609">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sChild>
        <w:div w:id="737702543">
          <w:marLeft w:val="0"/>
          <w:marRight w:val="0"/>
          <w:marTop w:val="0"/>
          <w:marBottom w:val="0"/>
          <w:divBdr>
            <w:top w:val="none" w:sz="0" w:space="0" w:color="auto"/>
            <w:left w:val="none" w:sz="0" w:space="0" w:color="auto"/>
            <w:bottom w:val="none" w:sz="0" w:space="0" w:color="auto"/>
            <w:right w:val="none" w:sz="0" w:space="0" w:color="auto"/>
          </w:divBdr>
          <w:divsChild>
            <w:div w:id="1810053378">
              <w:marLeft w:val="4005"/>
              <w:marRight w:val="2430"/>
              <w:marTop w:val="0"/>
              <w:marBottom w:val="0"/>
              <w:divBdr>
                <w:top w:val="none" w:sz="0" w:space="0" w:color="auto"/>
                <w:left w:val="none" w:sz="0" w:space="0" w:color="auto"/>
                <w:bottom w:val="none" w:sz="0" w:space="0" w:color="auto"/>
                <w:right w:val="single" w:sz="6" w:space="0" w:color="F3C7C4"/>
              </w:divBdr>
              <w:divsChild>
                <w:div w:id="1043947353">
                  <w:marLeft w:val="0"/>
                  <w:marRight w:val="0"/>
                  <w:marTop w:val="0"/>
                  <w:marBottom w:val="0"/>
                  <w:divBdr>
                    <w:top w:val="none" w:sz="0" w:space="0" w:color="auto"/>
                    <w:left w:val="none" w:sz="0" w:space="0" w:color="auto"/>
                    <w:bottom w:val="none" w:sz="0" w:space="0" w:color="auto"/>
                    <w:right w:val="none" w:sz="0" w:space="0" w:color="auto"/>
                  </w:divBdr>
                  <w:divsChild>
                    <w:div w:id="3495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0809">
      <w:bodyDiv w:val="1"/>
      <w:marLeft w:val="0"/>
      <w:marRight w:val="0"/>
      <w:marTop w:val="0"/>
      <w:marBottom w:val="0"/>
      <w:divBdr>
        <w:top w:val="none" w:sz="0" w:space="0" w:color="auto"/>
        <w:left w:val="none" w:sz="0" w:space="0" w:color="auto"/>
        <w:bottom w:val="none" w:sz="0" w:space="0" w:color="auto"/>
        <w:right w:val="none" w:sz="0" w:space="0" w:color="auto"/>
      </w:divBdr>
    </w:div>
    <w:div w:id="287856223">
      <w:bodyDiv w:val="1"/>
      <w:marLeft w:val="0"/>
      <w:marRight w:val="0"/>
      <w:marTop w:val="0"/>
      <w:marBottom w:val="0"/>
      <w:divBdr>
        <w:top w:val="none" w:sz="0" w:space="0" w:color="auto"/>
        <w:left w:val="none" w:sz="0" w:space="0" w:color="auto"/>
        <w:bottom w:val="none" w:sz="0" w:space="0" w:color="auto"/>
        <w:right w:val="none" w:sz="0" w:space="0" w:color="auto"/>
      </w:divBdr>
    </w:div>
    <w:div w:id="589587181">
      <w:bodyDiv w:val="1"/>
      <w:marLeft w:val="0"/>
      <w:marRight w:val="0"/>
      <w:marTop w:val="0"/>
      <w:marBottom w:val="0"/>
      <w:divBdr>
        <w:top w:val="none" w:sz="0" w:space="0" w:color="auto"/>
        <w:left w:val="none" w:sz="0" w:space="0" w:color="auto"/>
        <w:bottom w:val="none" w:sz="0" w:space="0" w:color="auto"/>
        <w:right w:val="none" w:sz="0" w:space="0" w:color="auto"/>
      </w:divBdr>
      <w:divsChild>
        <w:div w:id="1620262373">
          <w:marLeft w:val="0"/>
          <w:marRight w:val="0"/>
          <w:marTop w:val="0"/>
          <w:marBottom w:val="0"/>
          <w:divBdr>
            <w:top w:val="none" w:sz="0" w:space="0" w:color="auto"/>
            <w:left w:val="none" w:sz="0" w:space="0" w:color="auto"/>
            <w:bottom w:val="none" w:sz="0" w:space="0" w:color="auto"/>
            <w:right w:val="none" w:sz="0" w:space="0" w:color="auto"/>
          </w:divBdr>
          <w:divsChild>
            <w:div w:id="1272320344">
              <w:marLeft w:val="0"/>
              <w:marRight w:val="0"/>
              <w:marTop w:val="0"/>
              <w:marBottom w:val="0"/>
              <w:divBdr>
                <w:top w:val="none" w:sz="0" w:space="0" w:color="auto"/>
                <w:left w:val="none" w:sz="0" w:space="0" w:color="auto"/>
                <w:bottom w:val="none" w:sz="0" w:space="0" w:color="auto"/>
                <w:right w:val="none" w:sz="0" w:space="0" w:color="auto"/>
              </w:divBdr>
              <w:divsChild>
                <w:div w:id="1280990884">
                  <w:marLeft w:val="0"/>
                  <w:marRight w:val="0"/>
                  <w:marTop w:val="0"/>
                  <w:marBottom w:val="0"/>
                  <w:divBdr>
                    <w:top w:val="none" w:sz="0" w:space="0" w:color="auto"/>
                    <w:left w:val="none" w:sz="0" w:space="0" w:color="auto"/>
                    <w:bottom w:val="none" w:sz="0" w:space="0" w:color="auto"/>
                    <w:right w:val="none" w:sz="0" w:space="0" w:color="auto"/>
                  </w:divBdr>
                  <w:divsChild>
                    <w:div w:id="1866939251">
                      <w:marLeft w:val="0"/>
                      <w:marRight w:val="0"/>
                      <w:marTop w:val="0"/>
                      <w:marBottom w:val="0"/>
                      <w:divBdr>
                        <w:top w:val="none" w:sz="0" w:space="0" w:color="auto"/>
                        <w:left w:val="none" w:sz="0" w:space="0" w:color="auto"/>
                        <w:bottom w:val="none" w:sz="0" w:space="0" w:color="auto"/>
                        <w:right w:val="none" w:sz="0" w:space="0" w:color="auto"/>
                      </w:divBdr>
                      <w:divsChild>
                        <w:div w:id="2046438676">
                          <w:marLeft w:val="0"/>
                          <w:marRight w:val="0"/>
                          <w:marTop w:val="0"/>
                          <w:marBottom w:val="0"/>
                          <w:divBdr>
                            <w:top w:val="none" w:sz="0" w:space="0" w:color="auto"/>
                            <w:left w:val="none" w:sz="0" w:space="0" w:color="auto"/>
                            <w:bottom w:val="none" w:sz="0" w:space="0" w:color="auto"/>
                            <w:right w:val="none" w:sz="0" w:space="0" w:color="auto"/>
                          </w:divBdr>
                          <w:divsChild>
                            <w:div w:id="1319263055">
                              <w:marLeft w:val="0"/>
                              <w:marRight w:val="0"/>
                              <w:marTop w:val="0"/>
                              <w:marBottom w:val="0"/>
                              <w:divBdr>
                                <w:top w:val="none" w:sz="0" w:space="0" w:color="auto"/>
                                <w:left w:val="none" w:sz="0" w:space="0" w:color="auto"/>
                                <w:bottom w:val="none" w:sz="0" w:space="0" w:color="auto"/>
                                <w:right w:val="none" w:sz="0" w:space="0" w:color="auto"/>
                              </w:divBdr>
                              <w:divsChild>
                                <w:div w:id="699430158">
                                  <w:marLeft w:val="0"/>
                                  <w:marRight w:val="0"/>
                                  <w:marTop w:val="0"/>
                                  <w:marBottom w:val="0"/>
                                  <w:divBdr>
                                    <w:top w:val="none" w:sz="0" w:space="0" w:color="auto"/>
                                    <w:left w:val="none" w:sz="0" w:space="0" w:color="auto"/>
                                    <w:bottom w:val="none" w:sz="0" w:space="0" w:color="auto"/>
                                    <w:right w:val="none" w:sz="0" w:space="0" w:color="auto"/>
                                  </w:divBdr>
                                  <w:divsChild>
                                    <w:div w:id="2984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857783">
      <w:bodyDiv w:val="1"/>
      <w:marLeft w:val="0"/>
      <w:marRight w:val="0"/>
      <w:marTop w:val="0"/>
      <w:marBottom w:val="0"/>
      <w:divBdr>
        <w:top w:val="none" w:sz="0" w:space="0" w:color="auto"/>
        <w:left w:val="none" w:sz="0" w:space="0" w:color="auto"/>
        <w:bottom w:val="none" w:sz="0" w:space="0" w:color="auto"/>
        <w:right w:val="none" w:sz="0" w:space="0" w:color="auto"/>
      </w:divBdr>
    </w:div>
    <w:div w:id="766002366">
      <w:bodyDiv w:val="1"/>
      <w:marLeft w:val="0"/>
      <w:marRight w:val="0"/>
      <w:marTop w:val="0"/>
      <w:marBottom w:val="0"/>
      <w:divBdr>
        <w:top w:val="none" w:sz="0" w:space="0" w:color="auto"/>
        <w:left w:val="none" w:sz="0" w:space="0" w:color="auto"/>
        <w:bottom w:val="none" w:sz="0" w:space="0" w:color="auto"/>
        <w:right w:val="none" w:sz="0" w:space="0" w:color="auto"/>
      </w:divBdr>
    </w:div>
    <w:div w:id="777145333">
      <w:bodyDiv w:val="1"/>
      <w:marLeft w:val="0"/>
      <w:marRight w:val="0"/>
      <w:marTop w:val="0"/>
      <w:marBottom w:val="0"/>
      <w:divBdr>
        <w:top w:val="none" w:sz="0" w:space="0" w:color="auto"/>
        <w:left w:val="none" w:sz="0" w:space="0" w:color="auto"/>
        <w:bottom w:val="none" w:sz="0" w:space="0" w:color="auto"/>
        <w:right w:val="none" w:sz="0" w:space="0" w:color="auto"/>
      </w:divBdr>
    </w:div>
    <w:div w:id="975792513">
      <w:bodyDiv w:val="1"/>
      <w:marLeft w:val="0"/>
      <w:marRight w:val="0"/>
      <w:marTop w:val="0"/>
      <w:marBottom w:val="0"/>
      <w:divBdr>
        <w:top w:val="none" w:sz="0" w:space="0" w:color="auto"/>
        <w:left w:val="none" w:sz="0" w:space="0" w:color="auto"/>
        <w:bottom w:val="none" w:sz="0" w:space="0" w:color="auto"/>
        <w:right w:val="none" w:sz="0" w:space="0" w:color="auto"/>
      </w:divBdr>
    </w:div>
    <w:div w:id="1099301616">
      <w:bodyDiv w:val="1"/>
      <w:marLeft w:val="0"/>
      <w:marRight w:val="0"/>
      <w:marTop w:val="0"/>
      <w:marBottom w:val="0"/>
      <w:divBdr>
        <w:top w:val="none" w:sz="0" w:space="0" w:color="auto"/>
        <w:left w:val="none" w:sz="0" w:space="0" w:color="auto"/>
        <w:bottom w:val="none" w:sz="0" w:space="0" w:color="auto"/>
        <w:right w:val="none" w:sz="0" w:space="0" w:color="auto"/>
      </w:divBdr>
    </w:div>
    <w:div w:id="1275789540">
      <w:bodyDiv w:val="1"/>
      <w:marLeft w:val="0"/>
      <w:marRight w:val="0"/>
      <w:marTop w:val="0"/>
      <w:marBottom w:val="0"/>
      <w:divBdr>
        <w:top w:val="none" w:sz="0" w:space="0" w:color="auto"/>
        <w:left w:val="none" w:sz="0" w:space="0" w:color="auto"/>
        <w:bottom w:val="none" w:sz="0" w:space="0" w:color="auto"/>
        <w:right w:val="none" w:sz="0" w:space="0" w:color="auto"/>
      </w:divBdr>
    </w:div>
    <w:div w:id="1308628742">
      <w:bodyDiv w:val="1"/>
      <w:marLeft w:val="0"/>
      <w:marRight w:val="0"/>
      <w:marTop w:val="0"/>
      <w:marBottom w:val="0"/>
      <w:divBdr>
        <w:top w:val="none" w:sz="0" w:space="0" w:color="auto"/>
        <w:left w:val="none" w:sz="0" w:space="0" w:color="auto"/>
        <w:bottom w:val="none" w:sz="0" w:space="0" w:color="auto"/>
        <w:right w:val="none" w:sz="0" w:space="0" w:color="auto"/>
      </w:divBdr>
    </w:div>
    <w:div w:id="1408722220">
      <w:bodyDiv w:val="1"/>
      <w:marLeft w:val="0"/>
      <w:marRight w:val="0"/>
      <w:marTop w:val="0"/>
      <w:marBottom w:val="0"/>
      <w:divBdr>
        <w:top w:val="none" w:sz="0" w:space="0" w:color="auto"/>
        <w:left w:val="none" w:sz="0" w:space="0" w:color="auto"/>
        <w:bottom w:val="none" w:sz="0" w:space="0" w:color="auto"/>
        <w:right w:val="none" w:sz="0" w:space="0" w:color="auto"/>
      </w:divBdr>
    </w:div>
    <w:div w:id="1417550656">
      <w:bodyDiv w:val="1"/>
      <w:marLeft w:val="0"/>
      <w:marRight w:val="0"/>
      <w:marTop w:val="0"/>
      <w:marBottom w:val="0"/>
      <w:divBdr>
        <w:top w:val="none" w:sz="0" w:space="0" w:color="auto"/>
        <w:left w:val="none" w:sz="0" w:space="0" w:color="auto"/>
        <w:bottom w:val="none" w:sz="0" w:space="0" w:color="auto"/>
        <w:right w:val="none" w:sz="0" w:space="0" w:color="auto"/>
      </w:divBdr>
    </w:div>
    <w:div w:id="1420324924">
      <w:bodyDiv w:val="1"/>
      <w:marLeft w:val="0"/>
      <w:marRight w:val="0"/>
      <w:marTop w:val="0"/>
      <w:marBottom w:val="0"/>
      <w:divBdr>
        <w:top w:val="none" w:sz="0" w:space="0" w:color="auto"/>
        <w:left w:val="none" w:sz="0" w:space="0" w:color="auto"/>
        <w:bottom w:val="none" w:sz="0" w:space="0" w:color="auto"/>
        <w:right w:val="none" w:sz="0" w:space="0" w:color="auto"/>
      </w:divBdr>
    </w:div>
    <w:div w:id="1429933634">
      <w:bodyDiv w:val="1"/>
      <w:marLeft w:val="0"/>
      <w:marRight w:val="0"/>
      <w:marTop w:val="0"/>
      <w:marBottom w:val="0"/>
      <w:divBdr>
        <w:top w:val="none" w:sz="0" w:space="0" w:color="auto"/>
        <w:left w:val="none" w:sz="0" w:space="0" w:color="auto"/>
        <w:bottom w:val="none" w:sz="0" w:space="0" w:color="auto"/>
        <w:right w:val="none" w:sz="0" w:space="0" w:color="auto"/>
      </w:divBdr>
    </w:div>
    <w:div w:id="1519586830">
      <w:bodyDiv w:val="1"/>
      <w:marLeft w:val="0"/>
      <w:marRight w:val="0"/>
      <w:marTop w:val="0"/>
      <w:marBottom w:val="0"/>
      <w:divBdr>
        <w:top w:val="none" w:sz="0" w:space="0" w:color="auto"/>
        <w:left w:val="none" w:sz="0" w:space="0" w:color="auto"/>
        <w:bottom w:val="none" w:sz="0" w:space="0" w:color="auto"/>
        <w:right w:val="none" w:sz="0" w:space="0" w:color="auto"/>
      </w:divBdr>
    </w:div>
    <w:div w:id="1591963991">
      <w:bodyDiv w:val="1"/>
      <w:marLeft w:val="0"/>
      <w:marRight w:val="0"/>
      <w:marTop w:val="0"/>
      <w:marBottom w:val="0"/>
      <w:divBdr>
        <w:top w:val="none" w:sz="0" w:space="0" w:color="auto"/>
        <w:left w:val="none" w:sz="0" w:space="0" w:color="auto"/>
        <w:bottom w:val="none" w:sz="0" w:space="0" w:color="auto"/>
        <w:right w:val="none" w:sz="0" w:space="0" w:color="auto"/>
      </w:divBdr>
    </w:div>
    <w:div w:id="1639997576">
      <w:bodyDiv w:val="1"/>
      <w:marLeft w:val="0"/>
      <w:marRight w:val="0"/>
      <w:marTop w:val="0"/>
      <w:marBottom w:val="0"/>
      <w:divBdr>
        <w:top w:val="none" w:sz="0" w:space="0" w:color="auto"/>
        <w:left w:val="none" w:sz="0" w:space="0" w:color="auto"/>
        <w:bottom w:val="none" w:sz="0" w:space="0" w:color="auto"/>
        <w:right w:val="none" w:sz="0" w:space="0" w:color="auto"/>
      </w:divBdr>
    </w:div>
    <w:div w:id="1772430546">
      <w:bodyDiv w:val="1"/>
      <w:marLeft w:val="0"/>
      <w:marRight w:val="0"/>
      <w:marTop w:val="0"/>
      <w:marBottom w:val="0"/>
      <w:divBdr>
        <w:top w:val="none" w:sz="0" w:space="0" w:color="auto"/>
        <w:left w:val="none" w:sz="0" w:space="0" w:color="auto"/>
        <w:bottom w:val="none" w:sz="0" w:space="0" w:color="auto"/>
        <w:right w:val="none" w:sz="0" w:space="0" w:color="auto"/>
      </w:divBdr>
    </w:div>
    <w:div w:id="1837068115">
      <w:bodyDiv w:val="1"/>
      <w:marLeft w:val="0"/>
      <w:marRight w:val="0"/>
      <w:marTop w:val="0"/>
      <w:marBottom w:val="0"/>
      <w:divBdr>
        <w:top w:val="none" w:sz="0" w:space="0" w:color="auto"/>
        <w:left w:val="none" w:sz="0" w:space="0" w:color="auto"/>
        <w:bottom w:val="none" w:sz="0" w:space="0" w:color="auto"/>
        <w:right w:val="none" w:sz="0" w:space="0" w:color="auto"/>
      </w:divBdr>
    </w:div>
    <w:div w:id="1856189269">
      <w:bodyDiv w:val="1"/>
      <w:marLeft w:val="0"/>
      <w:marRight w:val="0"/>
      <w:marTop w:val="0"/>
      <w:marBottom w:val="0"/>
      <w:divBdr>
        <w:top w:val="none" w:sz="0" w:space="0" w:color="auto"/>
        <w:left w:val="none" w:sz="0" w:space="0" w:color="auto"/>
        <w:bottom w:val="none" w:sz="0" w:space="0" w:color="auto"/>
        <w:right w:val="none" w:sz="0" w:space="0" w:color="auto"/>
      </w:divBdr>
    </w:div>
    <w:div w:id="1868787329">
      <w:bodyDiv w:val="1"/>
      <w:marLeft w:val="0"/>
      <w:marRight w:val="0"/>
      <w:marTop w:val="0"/>
      <w:marBottom w:val="0"/>
      <w:divBdr>
        <w:top w:val="none" w:sz="0" w:space="0" w:color="auto"/>
        <w:left w:val="none" w:sz="0" w:space="0" w:color="auto"/>
        <w:bottom w:val="none" w:sz="0" w:space="0" w:color="auto"/>
        <w:right w:val="none" w:sz="0" w:space="0" w:color="auto"/>
      </w:divBdr>
    </w:div>
    <w:div w:id="1880782344">
      <w:bodyDiv w:val="1"/>
      <w:marLeft w:val="0"/>
      <w:marRight w:val="0"/>
      <w:marTop w:val="0"/>
      <w:marBottom w:val="0"/>
      <w:divBdr>
        <w:top w:val="none" w:sz="0" w:space="0" w:color="auto"/>
        <w:left w:val="none" w:sz="0" w:space="0" w:color="auto"/>
        <w:bottom w:val="none" w:sz="0" w:space="0" w:color="auto"/>
        <w:right w:val="none" w:sz="0" w:space="0" w:color="auto"/>
      </w:divBdr>
    </w:div>
    <w:div w:id="1961767522">
      <w:bodyDiv w:val="1"/>
      <w:marLeft w:val="0"/>
      <w:marRight w:val="0"/>
      <w:marTop w:val="0"/>
      <w:marBottom w:val="0"/>
      <w:divBdr>
        <w:top w:val="none" w:sz="0" w:space="0" w:color="auto"/>
        <w:left w:val="none" w:sz="0" w:space="0" w:color="auto"/>
        <w:bottom w:val="none" w:sz="0" w:space="0" w:color="auto"/>
        <w:right w:val="none" w:sz="0" w:space="0" w:color="auto"/>
      </w:divBdr>
    </w:div>
    <w:div w:id="213663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www.workandincome.govt.nz/map/index.html" TargetMode="Externa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burm002\Objective\objective.ssi.govt.nz-8000-bburm002\Objects\Addended%20final%20data%2020171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burm002\Objective\objective.ssi.govt.nz-8000-bburm002\Objects\Final%20data%20(QAed)%203008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burm002\Objective\objective.ssi.govt.nz-8000-bburm002\Objects\Addended%20final%20data%2020171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burm002\Objective\objective.ssi.govt.nz-8000-bburm002\Objects\Addended%20final%20data%2020171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0955299147163392"/>
          <c:y val="4.686584924035192E-2"/>
          <c:w val="0.43716895753216439"/>
          <c:h val="0.65483625437491488"/>
        </c:manualLayout>
      </c:layout>
      <c:barChart>
        <c:barDir val="col"/>
        <c:grouping val="stacked"/>
        <c:varyColors val="0"/>
        <c:ser>
          <c:idx val="0"/>
          <c:order val="0"/>
          <c:tx>
            <c:strRef>
              <c:f>Dashboard!$J$363</c:f>
              <c:strCache>
                <c:ptCount val="1"/>
                <c:pt idx="0">
                  <c:v>In public housing</c:v>
                </c:pt>
              </c:strCache>
            </c:strRef>
          </c:tx>
          <c:spPr>
            <a:solidFill>
              <a:srgbClr val="2B6D1A"/>
            </a:solidFill>
          </c:spPr>
          <c:invertIfNegative val="0"/>
          <c:cat>
            <c:strRef>
              <c:f>Dashboard!$K$362:$M$362</c:f>
              <c:strCache>
                <c:ptCount val="3"/>
                <c:pt idx="0">
                  <c:v>Before first HSP occasion</c:v>
                </c:pt>
                <c:pt idx="1">
                  <c:v>1 month after first HSP occasion</c:v>
                </c:pt>
                <c:pt idx="2">
                  <c:v>At 30 June 2017</c:v>
                </c:pt>
              </c:strCache>
            </c:strRef>
          </c:cat>
          <c:val>
            <c:numRef>
              <c:f>Dashboard!$K$363:$M$363</c:f>
              <c:numCache>
                <c:formatCode>General</c:formatCode>
                <c:ptCount val="3"/>
                <c:pt idx="0">
                  <c:v>21.21</c:v>
                </c:pt>
                <c:pt idx="1">
                  <c:v>11.39</c:v>
                </c:pt>
                <c:pt idx="2">
                  <c:v>13.53</c:v>
                </c:pt>
              </c:numCache>
            </c:numRef>
          </c:val>
        </c:ser>
        <c:ser>
          <c:idx val="1"/>
          <c:order val="1"/>
          <c:tx>
            <c:strRef>
              <c:f>Dashboard!$J$364</c:f>
              <c:strCache>
                <c:ptCount val="1"/>
                <c:pt idx="0">
                  <c:v>On social housing register</c:v>
                </c:pt>
              </c:strCache>
            </c:strRef>
          </c:tx>
          <c:spPr>
            <a:solidFill>
              <a:srgbClr val="6BC033"/>
            </a:solidFill>
          </c:spPr>
          <c:invertIfNegative val="0"/>
          <c:cat>
            <c:strRef>
              <c:f>Dashboard!$K$362:$M$362</c:f>
              <c:strCache>
                <c:ptCount val="3"/>
                <c:pt idx="0">
                  <c:v>Before first HSP occasion</c:v>
                </c:pt>
                <c:pt idx="1">
                  <c:v>1 month after first HSP occasion</c:v>
                </c:pt>
                <c:pt idx="2">
                  <c:v>At 30 June 2017</c:v>
                </c:pt>
              </c:strCache>
            </c:strRef>
          </c:cat>
          <c:val>
            <c:numRef>
              <c:f>Dashboard!$K$364:$M$364</c:f>
              <c:numCache>
                <c:formatCode>General</c:formatCode>
                <c:ptCount val="3"/>
                <c:pt idx="0">
                  <c:v>21.21</c:v>
                </c:pt>
                <c:pt idx="1">
                  <c:v>19.72</c:v>
                </c:pt>
                <c:pt idx="2">
                  <c:v>6.33</c:v>
                </c:pt>
              </c:numCache>
            </c:numRef>
          </c:val>
        </c:ser>
        <c:ser>
          <c:idx val="2"/>
          <c:order val="2"/>
          <c:tx>
            <c:strRef>
              <c:f>Dashboard!$J$365</c:f>
              <c:strCache>
                <c:ptCount val="1"/>
                <c:pt idx="0">
                  <c:v>Not in public housing or on social housing register</c:v>
                </c:pt>
              </c:strCache>
            </c:strRef>
          </c:tx>
          <c:spPr>
            <a:solidFill>
              <a:srgbClr val="B9E27D"/>
            </a:solidFill>
          </c:spPr>
          <c:invertIfNegative val="0"/>
          <c:cat>
            <c:strRef>
              <c:f>Dashboard!$K$362:$M$362</c:f>
              <c:strCache>
                <c:ptCount val="3"/>
                <c:pt idx="0">
                  <c:v>Before first HSP occasion</c:v>
                </c:pt>
                <c:pt idx="1">
                  <c:v>1 month after first HSP occasion</c:v>
                </c:pt>
                <c:pt idx="2">
                  <c:v>At 30 June 2017</c:v>
                </c:pt>
              </c:strCache>
            </c:strRef>
          </c:cat>
          <c:val>
            <c:numRef>
              <c:f>Dashboard!$K$365:$M$365</c:f>
              <c:numCache>
                <c:formatCode>General</c:formatCode>
                <c:ptCount val="3"/>
                <c:pt idx="0">
                  <c:v>57.58</c:v>
                </c:pt>
                <c:pt idx="1">
                  <c:v>68.89</c:v>
                </c:pt>
                <c:pt idx="2">
                  <c:v>80.14</c:v>
                </c:pt>
              </c:numCache>
            </c:numRef>
          </c:val>
        </c:ser>
        <c:dLbls>
          <c:showLegendKey val="0"/>
          <c:showVal val="0"/>
          <c:showCatName val="0"/>
          <c:showSerName val="0"/>
          <c:showPercent val="0"/>
          <c:showBubbleSize val="0"/>
        </c:dLbls>
        <c:gapWidth val="150"/>
        <c:overlap val="100"/>
        <c:axId val="151330176"/>
        <c:axId val="151387520"/>
      </c:barChart>
      <c:catAx>
        <c:axId val="151330176"/>
        <c:scaling>
          <c:orientation val="minMax"/>
        </c:scaling>
        <c:delete val="0"/>
        <c:axPos val="b"/>
        <c:title>
          <c:tx>
            <c:rich>
              <a:bodyPr/>
              <a:lstStyle/>
              <a:p>
                <a:pPr>
                  <a:defRPr/>
                </a:pPr>
                <a:r>
                  <a:rPr lang="en-US"/>
                  <a:t>Snapshot time period</a:t>
                </a:r>
              </a:p>
            </c:rich>
          </c:tx>
          <c:overlay val="0"/>
        </c:title>
        <c:majorTickMark val="out"/>
        <c:minorTickMark val="none"/>
        <c:tickLblPos val="nextTo"/>
        <c:crossAx val="151387520"/>
        <c:crosses val="autoZero"/>
        <c:auto val="1"/>
        <c:lblAlgn val="ctr"/>
        <c:lblOffset val="100"/>
        <c:noMultiLvlLbl val="0"/>
      </c:catAx>
      <c:valAx>
        <c:axId val="151387520"/>
        <c:scaling>
          <c:orientation val="minMax"/>
          <c:max val="100"/>
        </c:scaling>
        <c:delete val="0"/>
        <c:axPos val="l"/>
        <c:title>
          <c:tx>
            <c:rich>
              <a:bodyPr rot="0" vert="horz"/>
              <a:lstStyle/>
              <a:p>
                <a:pPr>
                  <a:defRPr/>
                </a:pPr>
                <a:r>
                  <a:rPr lang="en-US"/>
                  <a:t>Percentage of all HSP clients</a:t>
                </a:r>
              </a:p>
            </c:rich>
          </c:tx>
          <c:overlay val="0"/>
        </c:title>
        <c:numFmt formatCode="#,##0" sourceLinked="0"/>
        <c:majorTickMark val="out"/>
        <c:minorTickMark val="none"/>
        <c:tickLblPos val="nextTo"/>
        <c:crossAx val="151330176"/>
        <c:crosses val="autoZero"/>
        <c:crossBetween val="between"/>
      </c:valAx>
    </c:plotArea>
    <c:legend>
      <c:legendPos val="r"/>
      <c:overlay val="0"/>
    </c:legend>
    <c:plotVisOnly val="1"/>
    <c:dispBlanksAs val="zero"/>
    <c:showDLblsOverMax val="0"/>
  </c:chart>
  <c:spPr>
    <a:ln>
      <a:noFill/>
    </a:ln>
  </c:spPr>
  <c:txPr>
    <a:bodyPr/>
    <a:lstStyle/>
    <a:p>
      <a:pPr>
        <a:defRPr b="1"/>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pivotSource>
    <c:name>[Final data (QAed) 30082017.xlsx]Graphs for report!PivotTable2</c:name>
    <c:fmtId val="-1"/>
  </c:pivotSource>
  <c:chart>
    <c:autoTitleDeleted val="1"/>
    <c:pivotFmts>
      <c:pivotFmt>
        <c:idx val="0"/>
        <c:marker>
          <c:symbol val="none"/>
        </c:marker>
      </c:pivotFmt>
      <c:pivotFmt>
        <c:idx val="1"/>
        <c:dLbl>
          <c:idx val="0"/>
          <c:delete val="1"/>
        </c:dLbl>
      </c:pivotFmt>
      <c:pivotFmt>
        <c:idx val="2"/>
      </c:pivotFmt>
      <c:pivotFmt>
        <c:idx val="3"/>
        <c:marker>
          <c:symbol val="none"/>
        </c:marker>
      </c:pivotFmt>
      <c:pivotFmt>
        <c:idx val="4"/>
        <c:marker>
          <c:symbol val="none"/>
        </c:marker>
      </c:pivotFmt>
      <c:pivotFmt>
        <c:idx val="5"/>
        <c:marker>
          <c:symbol val="none"/>
        </c:marker>
      </c:pivotFmt>
      <c:pivotFmt>
        <c:idx val="6"/>
        <c:marker>
          <c:symbol val="none"/>
        </c:marker>
      </c:pivotFmt>
    </c:pivotFmts>
    <c:plotArea>
      <c:layout/>
      <c:barChart>
        <c:barDir val="col"/>
        <c:grouping val="stacked"/>
        <c:varyColors val="0"/>
        <c:ser>
          <c:idx val="0"/>
          <c:order val="0"/>
          <c:tx>
            <c:strRef>
              <c:f>'Graphs for report'!$B$28:$B$30</c:f>
              <c:strCache>
                <c:ptCount val="1"/>
                <c:pt idx="0">
                  <c:v>HSPs launched in 2014</c:v>
                </c:pt>
              </c:strCache>
            </c:strRef>
          </c:tx>
          <c:spPr>
            <a:solidFill>
              <a:schemeClr val="tx2">
                <a:lumMod val="40000"/>
                <a:lumOff val="60000"/>
              </a:schemeClr>
            </a:solidFill>
          </c:spPr>
          <c:invertIfNegative val="0"/>
          <c:dLbls>
            <c:delete val="1"/>
          </c:dLbls>
          <c:cat>
            <c:multiLvlStrRef>
              <c:f>'Graphs for report'!$A$31:$A$71</c:f>
              <c:multiLvlStrCache>
                <c:ptCount val="36"/>
                <c:lvl>
                  <c:pt idx="0">
                    <c:v>Jul</c:v>
                  </c:pt>
                  <c:pt idx="1">
                    <c:v>Aug</c:v>
                  </c:pt>
                  <c:pt idx="2">
                    <c:v>Sep</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c:v>
                  </c:pt>
                  <c:pt idx="24">
                    <c:v>Jul</c:v>
                  </c:pt>
                  <c:pt idx="25">
                    <c:v>Aug</c:v>
                  </c:pt>
                  <c:pt idx="26">
                    <c:v>Sep</c:v>
                  </c:pt>
                  <c:pt idx="27">
                    <c:v>Oct</c:v>
                  </c:pt>
                  <c:pt idx="28">
                    <c:v>Nov</c:v>
                  </c:pt>
                  <c:pt idx="29">
                    <c:v>Dec</c:v>
                  </c:pt>
                  <c:pt idx="30">
                    <c:v>Jan</c:v>
                  </c:pt>
                  <c:pt idx="31">
                    <c:v>Feb</c:v>
                  </c:pt>
                  <c:pt idx="32">
                    <c:v>Mar</c:v>
                  </c:pt>
                  <c:pt idx="33">
                    <c:v>Apr</c:v>
                  </c:pt>
                  <c:pt idx="34">
                    <c:v>May</c:v>
                  </c:pt>
                  <c:pt idx="35">
                    <c:v>Jun</c:v>
                  </c:pt>
                </c:lvl>
                <c:lvl>
                  <c:pt idx="0">
                    <c:v>2014</c:v>
                  </c:pt>
                  <c:pt idx="6">
                    <c:v>2015</c:v>
                  </c:pt>
                  <c:pt idx="18">
                    <c:v>2016</c:v>
                  </c:pt>
                  <c:pt idx="30">
                    <c:v>2017</c:v>
                  </c:pt>
                </c:lvl>
              </c:multiLvlStrCache>
            </c:multiLvlStrRef>
          </c:cat>
          <c:val>
            <c:numRef>
              <c:f>'Graphs for report'!$B$31:$B$71</c:f>
              <c:numCache>
                <c:formatCode>General</c:formatCode>
                <c:ptCount val="36"/>
                <c:pt idx="0">
                  <c:v>3</c:v>
                </c:pt>
                <c:pt idx="1">
                  <c:v>22</c:v>
                </c:pt>
                <c:pt idx="2">
                  <c:v>26</c:v>
                </c:pt>
                <c:pt idx="3">
                  <c:v>21</c:v>
                </c:pt>
                <c:pt idx="4">
                  <c:v>16</c:v>
                </c:pt>
                <c:pt idx="5">
                  <c:v>16</c:v>
                </c:pt>
                <c:pt idx="6">
                  <c:v>10</c:v>
                </c:pt>
                <c:pt idx="7">
                  <c:v>8</c:v>
                </c:pt>
                <c:pt idx="8">
                  <c:v>19</c:v>
                </c:pt>
                <c:pt idx="9">
                  <c:v>17</c:v>
                </c:pt>
                <c:pt idx="10">
                  <c:v>33</c:v>
                </c:pt>
                <c:pt idx="11">
                  <c:v>41</c:v>
                </c:pt>
                <c:pt idx="12">
                  <c:v>69</c:v>
                </c:pt>
                <c:pt idx="13">
                  <c:v>85</c:v>
                </c:pt>
                <c:pt idx="14">
                  <c:v>104</c:v>
                </c:pt>
                <c:pt idx="15">
                  <c:v>115</c:v>
                </c:pt>
                <c:pt idx="16">
                  <c:v>139</c:v>
                </c:pt>
                <c:pt idx="17">
                  <c:v>143</c:v>
                </c:pt>
                <c:pt idx="18">
                  <c:v>90</c:v>
                </c:pt>
                <c:pt idx="19">
                  <c:v>82</c:v>
                </c:pt>
                <c:pt idx="20">
                  <c:v>103</c:v>
                </c:pt>
                <c:pt idx="21">
                  <c:v>130</c:v>
                </c:pt>
                <c:pt idx="22">
                  <c:v>143</c:v>
                </c:pt>
                <c:pt idx="23">
                  <c:v>178</c:v>
                </c:pt>
                <c:pt idx="24">
                  <c:v>204</c:v>
                </c:pt>
                <c:pt idx="25">
                  <c:v>214</c:v>
                </c:pt>
                <c:pt idx="26">
                  <c:v>272</c:v>
                </c:pt>
                <c:pt idx="27">
                  <c:v>270</c:v>
                </c:pt>
                <c:pt idx="28">
                  <c:v>239</c:v>
                </c:pt>
                <c:pt idx="29">
                  <c:v>251</c:v>
                </c:pt>
                <c:pt idx="30">
                  <c:v>192</c:v>
                </c:pt>
                <c:pt idx="31">
                  <c:v>223</c:v>
                </c:pt>
                <c:pt idx="32">
                  <c:v>289</c:v>
                </c:pt>
                <c:pt idx="33">
                  <c:v>175</c:v>
                </c:pt>
                <c:pt idx="34">
                  <c:v>247</c:v>
                </c:pt>
                <c:pt idx="35">
                  <c:v>259</c:v>
                </c:pt>
              </c:numCache>
            </c:numRef>
          </c:val>
        </c:ser>
        <c:ser>
          <c:idx val="1"/>
          <c:order val="1"/>
          <c:tx>
            <c:strRef>
              <c:f>'Graphs for report'!$C$28:$C$30</c:f>
              <c:strCache>
                <c:ptCount val="1"/>
                <c:pt idx="0">
                  <c:v>Relocation from Auckland</c:v>
                </c:pt>
              </c:strCache>
            </c:strRef>
          </c:tx>
          <c:spPr>
            <a:solidFill>
              <a:srgbClr val="0070C0"/>
            </a:solidFill>
          </c:spPr>
          <c:invertIfNegative val="0"/>
          <c:dLbls>
            <c:delete val="1"/>
          </c:dLbls>
          <c:cat>
            <c:multiLvlStrRef>
              <c:f>'Graphs for report'!$A$31:$A$71</c:f>
              <c:multiLvlStrCache>
                <c:ptCount val="36"/>
                <c:lvl>
                  <c:pt idx="0">
                    <c:v>Jul</c:v>
                  </c:pt>
                  <c:pt idx="1">
                    <c:v>Aug</c:v>
                  </c:pt>
                  <c:pt idx="2">
                    <c:v>Sep</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c:v>
                  </c:pt>
                  <c:pt idx="24">
                    <c:v>Jul</c:v>
                  </c:pt>
                  <c:pt idx="25">
                    <c:v>Aug</c:v>
                  </c:pt>
                  <c:pt idx="26">
                    <c:v>Sep</c:v>
                  </c:pt>
                  <c:pt idx="27">
                    <c:v>Oct</c:v>
                  </c:pt>
                  <c:pt idx="28">
                    <c:v>Nov</c:v>
                  </c:pt>
                  <c:pt idx="29">
                    <c:v>Dec</c:v>
                  </c:pt>
                  <c:pt idx="30">
                    <c:v>Jan</c:v>
                  </c:pt>
                  <c:pt idx="31">
                    <c:v>Feb</c:v>
                  </c:pt>
                  <c:pt idx="32">
                    <c:v>Mar</c:v>
                  </c:pt>
                  <c:pt idx="33">
                    <c:v>Apr</c:v>
                  </c:pt>
                  <c:pt idx="34">
                    <c:v>May</c:v>
                  </c:pt>
                  <c:pt idx="35">
                    <c:v>Jun</c:v>
                  </c:pt>
                </c:lvl>
                <c:lvl>
                  <c:pt idx="0">
                    <c:v>2014</c:v>
                  </c:pt>
                  <c:pt idx="6">
                    <c:v>2015</c:v>
                  </c:pt>
                  <c:pt idx="18">
                    <c:v>2016</c:v>
                  </c:pt>
                  <c:pt idx="30">
                    <c:v>2017</c:v>
                  </c:pt>
                </c:lvl>
              </c:multiLvlStrCache>
            </c:multiLvlStrRef>
          </c:cat>
          <c:val>
            <c:numRef>
              <c:f>'Graphs for report'!$C$31:$C$71</c:f>
              <c:numCache>
                <c:formatCode>General</c:formatCode>
                <c:ptCount val="36"/>
                <c:pt idx="24">
                  <c:v>58</c:v>
                </c:pt>
                <c:pt idx="25">
                  <c:v>62</c:v>
                </c:pt>
                <c:pt idx="26">
                  <c:v>66</c:v>
                </c:pt>
                <c:pt idx="27">
                  <c:v>70</c:v>
                </c:pt>
                <c:pt idx="28">
                  <c:v>48</c:v>
                </c:pt>
                <c:pt idx="29">
                  <c:v>72</c:v>
                </c:pt>
                <c:pt idx="30">
                  <c:v>62</c:v>
                </c:pt>
                <c:pt idx="31">
                  <c:v>75</c:v>
                </c:pt>
                <c:pt idx="32">
                  <c:v>72</c:v>
                </c:pt>
                <c:pt idx="33">
                  <c:v>54</c:v>
                </c:pt>
                <c:pt idx="34">
                  <c:v>86</c:v>
                </c:pt>
                <c:pt idx="35">
                  <c:v>74</c:v>
                </c:pt>
              </c:numCache>
            </c:numRef>
          </c:val>
        </c:ser>
        <c:dLbls>
          <c:showLegendKey val="0"/>
          <c:showVal val="1"/>
          <c:showCatName val="0"/>
          <c:showSerName val="0"/>
          <c:showPercent val="0"/>
          <c:showBubbleSize val="0"/>
        </c:dLbls>
        <c:gapWidth val="150"/>
        <c:overlap val="100"/>
        <c:axId val="115176960"/>
        <c:axId val="115178496"/>
      </c:barChart>
      <c:catAx>
        <c:axId val="115176960"/>
        <c:scaling>
          <c:orientation val="minMax"/>
        </c:scaling>
        <c:delete val="0"/>
        <c:axPos val="b"/>
        <c:majorTickMark val="out"/>
        <c:minorTickMark val="none"/>
        <c:tickLblPos val="nextTo"/>
        <c:crossAx val="115178496"/>
        <c:crosses val="autoZero"/>
        <c:auto val="1"/>
        <c:lblAlgn val="ctr"/>
        <c:lblOffset val="100"/>
        <c:noMultiLvlLbl val="0"/>
      </c:catAx>
      <c:valAx>
        <c:axId val="115178496"/>
        <c:scaling>
          <c:orientation val="minMax"/>
        </c:scaling>
        <c:delete val="0"/>
        <c:axPos val="l"/>
        <c:numFmt formatCode="General" sourceLinked="1"/>
        <c:majorTickMark val="out"/>
        <c:minorTickMark val="none"/>
        <c:tickLblPos val="nextTo"/>
        <c:crossAx val="115176960"/>
        <c:crosses val="autoZero"/>
        <c:crossBetween val="between"/>
      </c:valAx>
      <c:spPr>
        <a:ln>
          <a:noFill/>
        </a:ln>
      </c:spPr>
    </c:plotArea>
    <c:legend>
      <c:legendPos val="l"/>
      <c:layout>
        <c:manualLayout>
          <c:xMode val="edge"/>
          <c:yMode val="edge"/>
          <c:x val="0.16824491022342022"/>
          <c:y val="3.7302701663740105E-2"/>
          <c:w val="0.29082286371768445"/>
          <c:h val="0.1446343900208604"/>
        </c:manualLayout>
      </c:layout>
      <c:overlay val="1"/>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5864095796889653"/>
          <c:y val="3.2934131736526949E-2"/>
          <c:w val="0.5055917290117129"/>
          <c:h val="0.82857277570842569"/>
        </c:manualLayout>
      </c:layout>
      <c:barChart>
        <c:barDir val="bar"/>
        <c:grouping val="stacked"/>
        <c:varyColors val="0"/>
        <c:ser>
          <c:idx val="0"/>
          <c:order val="0"/>
          <c:tx>
            <c:strRef>
              <c:f>'Graphs for report'!$K$24</c:f>
              <c:strCache>
                <c:ptCount val="1"/>
                <c:pt idx="0">
                  <c:v>Given on new occasion</c:v>
                </c:pt>
              </c:strCache>
            </c:strRef>
          </c:tx>
          <c:spPr>
            <a:solidFill>
              <a:schemeClr val="accent1">
                <a:lumMod val="40000"/>
                <a:lumOff val="60000"/>
              </a:schemeClr>
            </a:solidFill>
          </c:spPr>
          <c:invertIfNegative val="0"/>
          <c:dLbls>
            <c:dLbl>
              <c:idx val="0"/>
              <c:layout>
                <c:manualLayout>
                  <c:x val="3.0987712506253328E-2"/>
                  <c:y val="-2.0050249965172941E-2"/>
                </c:manualLayout>
              </c:layout>
              <c:dLblPos val="ctr"/>
              <c:showLegendKey val="0"/>
              <c:showVal val="1"/>
              <c:showCatName val="0"/>
              <c:showSerName val="0"/>
              <c:showPercent val="0"/>
              <c:showBubbleSize val="0"/>
            </c:dLbl>
            <c:dLbl>
              <c:idx val="1"/>
              <c:layout>
                <c:manualLayout>
                  <c:x val="2.8808492275886593E-2"/>
                  <c:y val="0"/>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'Graphs for report'!$J$25:$J$33</c:f>
              <c:strCache>
                <c:ptCount val="9"/>
                <c:pt idx="0">
                  <c:v>Tenancy Costs Cover</c:v>
                </c:pt>
                <c:pt idx="1">
                  <c:v>Statement of Satisfactory Tenancy</c:v>
                </c:pt>
                <c:pt idx="2">
                  <c:v>Relocation from Auckland (Moving Costs)</c:v>
                </c:pt>
                <c:pt idx="3">
                  <c:v>Relocation from Auckland (Establishment Grant)</c:v>
                </c:pt>
                <c:pt idx="4">
                  <c:v>Moving Assistance</c:v>
                </c:pt>
                <c:pt idx="5">
                  <c:v>Transition to Alternative Housing Grant</c:v>
                </c:pt>
                <c:pt idx="6">
                  <c:v>Letting Fees Assistance</c:v>
                </c:pt>
                <c:pt idx="7">
                  <c:v>Rent in Advance</c:v>
                </c:pt>
                <c:pt idx="8">
                  <c:v>Bond Grant</c:v>
                </c:pt>
              </c:strCache>
            </c:strRef>
          </c:cat>
          <c:val>
            <c:numRef>
              <c:f>'Graphs for report'!$K$25:$K$33</c:f>
              <c:numCache>
                <c:formatCode>General</c:formatCode>
                <c:ptCount val="9"/>
                <c:pt idx="0">
                  <c:v>69</c:v>
                </c:pt>
                <c:pt idx="1">
                  <c:v>72</c:v>
                </c:pt>
                <c:pt idx="2">
                  <c:v>400</c:v>
                </c:pt>
                <c:pt idx="3">
                  <c:v>400</c:v>
                </c:pt>
                <c:pt idx="4">
                  <c:v>413</c:v>
                </c:pt>
                <c:pt idx="5">
                  <c:v>477</c:v>
                </c:pt>
                <c:pt idx="6">
                  <c:v>661</c:v>
                </c:pt>
                <c:pt idx="7">
                  <c:v>791</c:v>
                </c:pt>
                <c:pt idx="8">
                  <c:v>1966</c:v>
                </c:pt>
              </c:numCache>
            </c:numRef>
          </c:val>
        </c:ser>
        <c:ser>
          <c:idx val="1"/>
          <c:order val="1"/>
          <c:tx>
            <c:strRef>
              <c:f>'Graphs for report'!$L$24</c:f>
              <c:strCache>
                <c:ptCount val="1"/>
                <c:pt idx="0">
                  <c:v>Second or further to same client on same occasion</c:v>
                </c:pt>
              </c:strCache>
            </c:strRef>
          </c:tx>
          <c:spPr>
            <a:solidFill>
              <a:schemeClr val="accent1"/>
            </a:solidFill>
          </c:spPr>
          <c:invertIfNegative val="0"/>
          <c:dLbls>
            <c:dLbl>
              <c:idx val="0"/>
              <c:layout>
                <c:manualLayout>
                  <c:x val="2.1409368675240348E-2"/>
                  <c:y val="1.1974379542102554E-2"/>
                </c:manualLayout>
              </c:layout>
              <c:spPr/>
              <c:txPr>
                <a:bodyPr/>
                <a:lstStyle/>
                <a:p>
                  <a:pPr>
                    <a:defRPr i="1">
                      <a:solidFill>
                        <a:sysClr val="windowText" lastClr="000000"/>
                      </a:solidFill>
                    </a:defRPr>
                  </a:pPr>
                  <a:endParaRPr lang="en-US"/>
                </a:p>
              </c:txPr>
              <c:dLblPos val="ctr"/>
              <c:showLegendKey val="0"/>
              <c:showVal val="1"/>
              <c:showCatName val="0"/>
              <c:showSerName val="0"/>
              <c:showPercent val="0"/>
              <c:showBubbleSize val="0"/>
            </c:dLbl>
            <c:dLbl>
              <c:idx val="1"/>
              <c:delete val="1"/>
            </c:dLbl>
            <c:dLbl>
              <c:idx val="2"/>
              <c:delete val="1"/>
            </c:dLbl>
            <c:dLbl>
              <c:idx val="3"/>
              <c:delete val="1"/>
            </c:dLbl>
            <c:dLbl>
              <c:idx val="4"/>
              <c:layout>
                <c:manualLayout>
                  <c:x val="2.6079624857942376E-2"/>
                  <c:y val="0"/>
                </c:manualLayout>
              </c:layout>
              <c:spPr/>
              <c:txPr>
                <a:bodyPr/>
                <a:lstStyle/>
                <a:p>
                  <a:pPr>
                    <a:defRPr i="1">
                      <a:solidFill>
                        <a:sysClr val="windowText" lastClr="000000"/>
                      </a:solidFill>
                    </a:defRPr>
                  </a:pPr>
                  <a:endParaRPr lang="en-US"/>
                </a:p>
              </c:txPr>
              <c:dLblPos val="ctr"/>
              <c:showLegendKey val="0"/>
              <c:showVal val="1"/>
              <c:showCatName val="0"/>
              <c:showSerName val="0"/>
              <c:showPercent val="0"/>
              <c:showBubbleSize val="0"/>
            </c:dLbl>
            <c:dLbl>
              <c:idx val="5"/>
              <c:layout>
                <c:manualLayout>
                  <c:x val="2.0420352719942195E-2"/>
                  <c:y val="0"/>
                </c:manualLayout>
              </c:layout>
              <c:spPr/>
              <c:txPr>
                <a:bodyPr/>
                <a:lstStyle/>
                <a:p>
                  <a:pPr>
                    <a:defRPr i="1">
                      <a:solidFill>
                        <a:sysClr val="windowText" lastClr="000000"/>
                      </a:solidFill>
                    </a:defRPr>
                  </a:pPr>
                  <a:endParaRPr lang="en-US"/>
                </a:p>
              </c:txPr>
              <c:dLblPos val="ctr"/>
              <c:showLegendKey val="0"/>
              <c:showVal val="1"/>
              <c:showCatName val="0"/>
              <c:showSerName val="0"/>
              <c:showPercent val="0"/>
              <c:showBubbleSize val="0"/>
            </c:dLbl>
            <c:dLbl>
              <c:idx val="6"/>
              <c:layout>
                <c:manualLayout>
                  <c:x val="1.9926019233463859E-2"/>
                  <c:y val="2.7440969450230971E-17"/>
                </c:manualLayout>
              </c:layout>
              <c:spPr/>
              <c:txPr>
                <a:bodyPr/>
                <a:lstStyle/>
                <a:p>
                  <a:pPr>
                    <a:defRPr i="1">
                      <a:solidFill>
                        <a:sysClr val="windowText" lastClr="000000"/>
                      </a:solidFill>
                    </a:defRPr>
                  </a:pPr>
                  <a:endParaRPr lang="en-US"/>
                </a:p>
              </c:txPr>
              <c:dLblPos val="ctr"/>
              <c:showLegendKey val="0"/>
              <c:showVal val="1"/>
              <c:showCatName val="0"/>
              <c:showSerName val="0"/>
              <c:showPercent val="0"/>
              <c:showBubbleSize val="0"/>
            </c:dLbl>
            <c:dLbl>
              <c:idx val="7"/>
              <c:layout>
                <c:manualLayout>
                  <c:x val="2.485242845469398E-2"/>
                  <c:y val="0"/>
                </c:manualLayout>
              </c:layout>
              <c:spPr/>
              <c:txPr>
                <a:bodyPr/>
                <a:lstStyle/>
                <a:p>
                  <a:pPr>
                    <a:defRPr i="1">
                      <a:solidFill>
                        <a:sysClr val="windowText" lastClr="000000"/>
                      </a:solidFill>
                    </a:defRPr>
                  </a:pPr>
                  <a:endParaRPr lang="en-US"/>
                </a:p>
              </c:txPr>
              <c:dLblPos val="ctr"/>
              <c:showLegendKey val="0"/>
              <c:showVal val="1"/>
              <c:showCatName val="0"/>
              <c:showSerName val="0"/>
              <c:showPercent val="0"/>
              <c:showBubbleSize val="0"/>
            </c:dLbl>
            <c:dLbl>
              <c:idx val="8"/>
              <c:layout>
                <c:manualLayout>
                  <c:x val="2.2636390587318086E-2"/>
                  <c:y val="6.8602423625577428E-18"/>
                </c:manualLayout>
              </c:layout>
              <c:spPr/>
              <c:txPr>
                <a:bodyPr/>
                <a:lstStyle/>
                <a:p>
                  <a:pPr>
                    <a:defRPr i="1">
                      <a:solidFill>
                        <a:sysClr val="windowText" lastClr="000000"/>
                      </a:solidFill>
                    </a:defRPr>
                  </a:pPr>
                  <a:endParaRPr lang="en-US"/>
                </a:p>
              </c:txPr>
              <c:dLblPos val="ctr"/>
              <c:showLegendKey val="0"/>
              <c:showVal val="1"/>
              <c:showCatName val="0"/>
              <c:showSerName val="0"/>
              <c:showPercent val="0"/>
              <c:showBubbleSize val="0"/>
            </c:dLbl>
            <c:txPr>
              <a:bodyPr/>
              <a:lstStyle/>
              <a:p>
                <a:pPr>
                  <a:defRPr>
                    <a:solidFill>
                      <a:sysClr val="windowText" lastClr="000000"/>
                    </a:solidFill>
                  </a:defRPr>
                </a:pPr>
                <a:endParaRPr lang="en-US"/>
              </a:p>
            </c:txPr>
            <c:dLblPos val="ctr"/>
            <c:showLegendKey val="0"/>
            <c:showVal val="1"/>
            <c:showCatName val="0"/>
            <c:showSerName val="0"/>
            <c:showPercent val="0"/>
            <c:showBubbleSize val="0"/>
            <c:showLeaderLines val="0"/>
          </c:dLbls>
          <c:cat>
            <c:strRef>
              <c:f>'Graphs for report'!$J$25:$J$33</c:f>
              <c:strCache>
                <c:ptCount val="9"/>
                <c:pt idx="0">
                  <c:v>Tenancy Costs Cover</c:v>
                </c:pt>
                <c:pt idx="1">
                  <c:v>Statement of Satisfactory Tenancy</c:v>
                </c:pt>
                <c:pt idx="2">
                  <c:v>Relocation from Auckland (Moving Costs)</c:v>
                </c:pt>
                <c:pt idx="3">
                  <c:v>Relocation from Auckland (Establishment Grant)</c:v>
                </c:pt>
                <c:pt idx="4">
                  <c:v>Moving Assistance</c:v>
                </c:pt>
                <c:pt idx="5">
                  <c:v>Transition to Alternative Housing Grant</c:v>
                </c:pt>
                <c:pt idx="6">
                  <c:v>Letting Fees Assistance</c:v>
                </c:pt>
                <c:pt idx="7">
                  <c:v>Rent in Advance</c:v>
                </c:pt>
                <c:pt idx="8">
                  <c:v>Bond Grant</c:v>
                </c:pt>
              </c:strCache>
            </c:strRef>
          </c:cat>
          <c:val>
            <c:numRef>
              <c:f>'Graphs for report'!$L$25:$L$33</c:f>
              <c:numCache>
                <c:formatCode>General</c:formatCode>
                <c:ptCount val="9"/>
                <c:pt idx="0">
                  <c:v>2</c:v>
                </c:pt>
                <c:pt idx="1">
                  <c:v>0</c:v>
                </c:pt>
                <c:pt idx="2">
                  <c:v>0</c:v>
                </c:pt>
                <c:pt idx="3">
                  <c:v>0</c:v>
                </c:pt>
                <c:pt idx="4">
                  <c:v>51</c:v>
                </c:pt>
                <c:pt idx="5">
                  <c:v>5</c:v>
                </c:pt>
                <c:pt idx="6">
                  <c:v>15</c:v>
                </c:pt>
                <c:pt idx="7">
                  <c:v>24</c:v>
                </c:pt>
                <c:pt idx="8">
                  <c:v>21</c:v>
                </c:pt>
              </c:numCache>
            </c:numRef>
          </c:val>
        </c:ser>
        <c:dLbls>
          <c:dLblPos val="ctr"/>
          <c:showLegendKey val="0"/>
          <c:showVal val="1"/>
          <c:showCatName val="0"/>
          <c:showSerName val="0"/>
          <c:showPercent val="0"/>
          <c:showBubbleSize val="0"/>
        </c:dLbls>
        <c:gapWidth val="150"/>
        <c:overlap val="100"/>
        <c:axId val="118256384"/>
        <c:axId val="118258304"/>
      </c:barChart>
      <c:catAx>
        <c:axId val="118256384"/>
        <c:scaling>
          <c:orientation val="minMax"/>
        </c:scaling>
        <c:delete val="0"/>
        <c:axPos val="l"/>
        <c:title>
          <c:tx>
            <c:rich>
              <a:bodyPr rot="0" vert="horz"/>
              <a:lstStyle/>
              <a:p>
                <a:pPr>
                  <a:defRPr/>
                </a:pPr>
                <a:r>
                  <a:rPr lang="en-US"/>
                  <a:t>HSP type</a:t>
                </a:r>
              </a:p>
            </c:rich>
          </c:tx>
          <c:layout>
            <c:manualLayout>
              <c:xMode val="edge"/>
              <c:yMode val="edge"/>
              <c:x val="3.1628269593744429E-2"/>
              <c:y val="4.9769673251921345E-2"/>
            </c:manualLayout>
          </c:layout>
          <c:overlay val="0"/>
        </c:title>
        <c:majorTickMark val="out"/>
        <c:minorTickMark val="none"/>
        <c:tickLblPos val="nextTo"/>
        <c:crossAx val="118258304"/>
        <c:crosses val="autoZero"/>
        <c:auto val="1"/>
        <c:lblAlgn val="ctr"/>
        <c:lblOffset val="100"/>
        <c:noMultiLvlLbl val="0"/>
      </c:catAx>
      <c:valAx>
        <c:axId val="118258304"/>
        <c:scaling>
          <c:orientation val="minMax"/>
          <c:max val="2000"/>
        </c:scaling>
        <c:delete val="0"/>
        <c:axPos val="b"/>
        <c:title>
          <c:tx>
            <c:rich>
              <a:bodyPr/>
              <a:lstStyle/>
              <a:p>
                <a:pPr>
                  <a:defRPr/>
                </a:pPr>
                <a:r>
                  <a:rPr lang="en-US"/>
                  <a:t>Number of HSPs granted</a:t>
                </a:r>
              </a:p>
            </c:rich>
          </c:tx>
          <c:overlay val="0"/>
        </c:title>
        <c:numFmt formatCode="General" sourceLinked="1"/>
        <c:majorTickMark val="out"/>
        <c:minorTickMark val="none"/>
        <c:tickLblPos val="nextTo"/>
        <c:crossAx val="118256384"/>
        <c:crosses val="autoZero"/>
        <c:crossBetween val="between"/>
      </c:valAx>
    </c:plotArea>
    <c:legend>
      <c:legendPos val="r"/>
      <c:legendEntry>
        <c:idx val="1"/>
        <c:txPr>
          <a:bodyPr/>
          <a:lstStyle/>
          <a:p>
            <a:pPr>
              <a:defRPr i="1"/>
            </a:pPr>
            <a:endParaRPr lang="en-US"/>
          </a:p>
        </c:txPr>
      </c:legendEntry>
      <c:layout>
        <c:manualLayout>
          <c:xMode val="edge"/>
          <c:yMode val="edge"/>
          <c:x val="0.64222295469738089"/>
          <c:y val="0.64288910368239893"/>
          <c:w val="0.32286040243862152"/>
          <c:h val="0.15007501136574675"/>
        </c:manualLayout>
      </c:layout>
      <c:overlay val="1"/>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01105296871428"/>
          <c:y val="7.8933775519439392E-2"/>
          <c:w val="0.83880296265068843"/>
          <c:h val="0.63182010706761893"/>
        </c:manualLayout>
      </c:layout>
      <c:barChart>
        <c:barDir val="col"/>
        <c:grouping val="clustered"/>
        <c:varyColors val="0"/>
        <c:ser>
          <c:idx val="0"/>
          <c:order val="0"/>
          <c:tx>
            <c:strRef>
              <c:f>'Bond distn'!$O$3</c:f>
              <c:strCache>
                <c:ptCount val="1"/>
                <c:pt idx="0">
                  <c:v>Bond Grant</c:v>
                </c:pt>
              </c:strCache>
            </c:strRef>
          </c:tx>
          <c:invertIfNegative val="0"/>
          <c:cat>
            <c:strRef>
              <c:f>'Bond distn'!$N$4:$N$24</c:f>
              <c:strCache>
                <c:ptCount val="21"/>
                <c:pt idx="0">
                  <c:v>1-100</c:v>
                </c:pt>
                <c:pt idx="1">
                  <c:v>101-200</c:v>
                </c:pt>
                <c:pt idx="2">
                  <c:v>201-300</c:v>
                </c:pt>
                <c:pt idx="3">
                  <c:v>301-400</c:v>
                </c:pt>
                <c:pt idx="4">
                  <c:v>401-500</c:v>
                </c:pt>
                <c:pt idx="5">
                  <c:v>501-600</c:v>
                </c:pt>
                <c:pt idx="6">
                  <c:v>601-700</c:v>
                </c:pt>
                <c:pt idx="7">
                  <c:v>701-800</c:v>
                </c:pt>
                <c:pt idx="8">
                  <c:v>801-900</c:v>
                </c:pt>
                <c:pt idx="9">
                  <c:v>901-1000</c:v>
                </c:pt>
                <c:pt idx="10">
                  <c:v>1001-1100</c:v>
                </c:pt>
                <c:pt idx="11">
                  <c:v>1101-1200</c:v>
                </c:pt>
                <c:pt idx="12">
                  <c:v>1201-1300</c:v>
                </c:pt>
                <c:pt idx="13">
                  <c:v>1301-1400</c:v>
                </c:pt>
                <c:pt idx="14">
                  <c:v>1401-1500</c:v>
                </c:pt>
                <c:pt idx="15">
                  <c:v>1501-1600</c:v>
                </c:pt>
                <c:pt idx="16">
                  <c:v>1601-1700</c:v>
                </c:pt>
                <c:pt idx="17">
                  <c:v>1701-1800</c:v>
                </c:pt>
                <c:pt idx="18">
                  <c:v>1801-1900</c:v>
                </c:pt>
                <c:pt idx="19">
                  <c:v>1901-2000</c:v>
                </c:pt>
                <c:pt idx="20">
                  <c:v>&gt;2000</c:v>
                </c:pt>
              </c:strCache>
            </c:strRef>
          </c:cat>
          <c:val>
            <c:numRef>
              <c:f>'Bond distn'!$O$4:$O$24</c:f>
              <c:numCache>
                <c:formatCode>General</c:formatCode>
                <c:ptCount val="21"/>
                <c:pt idx="0">
                  <c:v>9</c:v>
                </c:pt>
                <c:pt idx="1">
                  <c:v>21</c:v>
                </c:pt>
                <c:pt idx="2">
                  <c:v>36</c:v>
                </c:pt>
                <c:pt idx="3">
                  <c:v>39</c:v>
                </c:pt>
                <c:pt idx="4">
                  <c:v>55</c:v>
                </c:pt>
                <c:pt idx="5">
                  <c:v>71</c:v>
                </c:pt>
                <c:pt idx="6">
                  <c:v>71</c:v>
                </c:pt>
                <c:pt idx="7">
                  <c:v>102</c:v>
                </c:pt>
                <c:pt idx="8">
                  <c:v>114</c:v>
                </c:pt>
                <c:pt idx="9">
                  <c:v>135</c:v>
                </c:pt>
                <c:pt idx="10">
                  <c:v>136</c:v>
                </c:pt>
                <c:pt idx="11">
                  <c:v>162</c:v>
                </c:pt>
                <c:pt idx="12">
                  <c:v>119</c:v>
                </c:pt>
                <c:pt idx="13">
                  <c:v>170</c:v>
                </c:pt>
                <c:pt idx="14">
                  <c:v>95</c:v>
                </c:pt>
                <c:pt idx="15">
                  <c:v>130</c:v>
                </c:pt>
                <c:pt idx="16">
                  <c:v>71</c:v>
                </c:pt>
                <c:pt idx="17">
                  <c:v>100</c:v>
                </c:pt>
                <c:pt idx="18">
                  <c:v>50</c:v>
                </c:pt>
                <c:pt idx="19">
                  <c:v>263</c:v>
                </c:pt>
                <c:pt idx="20">
                  <c:v>17</c:v>
                </c:pt>
              </c:numCache>
            </c:numRef>
          </c:val>
        </c:ser>
        <c:ser>
          <c:idx val="1"/>
          <c:order val="1"/>
          <c:tx>
            <c:strRef>
              <c:f>'Bond distn'!$P$3</c:f>
              <c:strCache>
                <c:ptCount val="1"/>
                <c:pt idx="0">
                  <c:v>Moving Assistance</c:v>
                </c:pt>
              </c:strCache>
            </c:strRef>
          </c:tx>
          <c:invertIfNegative val="0"/>
          <c:cat>
            <c:strRef>
              <c:f>'Bond distn'!$N$4:$N$24</c:f>
              <c:strCache>
                <c:ptCount val="21"/>
                <c:pt idx="0">
                  <c:v>1-100</c:v>
                </c:pt>
                <c:pt idx="1">
                  <c:v>101-200</c:v>
                </c:pt>
                <c:pt idx="2">
                  <c:v>201-300</c:v>
                </c:pt>
                <c:pt idx="3">
                  <c:v>301-400</c:v>
                </c:pt>
                <c:pt idx="4">
                  <c:v>401-500</c:v>
                </c:pt>
                <c:pt idx="5">
                  <c:v>501-600</c:v>
                </c:pt>
                <c:pt idx="6">
                  <c:v>601-700</c:v>
                </c:pt>
                <c:pt idx="7">
                  <c:v>701-800</c:v>
                </c:pt>
                <c:pt idx="8">
                  <c:v>801-900</c:v>
                </c:pt>
                <c:pt idx="9">
                  <c:v>901-1000</c:v>
                </c:pt>
                <c:pt idx="10">
                  <c:v>1001-1100</c:v>
                </c:pt>
                <c:pt idx="11">
                  <c:v>1101-1200</c:v>
                </c:pt>
                <c:pt idx="12">
                  <c:v>1201-1300</c:v>
                </c:pt>
                <c:pt idx="13">
                  <c:v>1301-1400</c:v>
                </c:pt>
                <c:pt idx="14">
                  <c:v>1401-1500</c:v>
                </c:pt>
                <c:pt idx="15">
                  <c:v>1501-1600</c:v>
                </c:pt>
                <c:pt idx="16">
                  <c:v>1601-1700</c:v>
                </c:pt>
                <c:pt idx="17">
                  <c:v>1701-1800</c:v>
                </c:pt>
                <c:pt idx="18">
                  <c:v>1801-1900</c:v>
                </c:pt>
                <c:pt idx="19">
                  <c:v>1901-2000</c:v>
                </c:pt>
                <c:pt idx="20">
                  <c:v>&gt;2000</c:v>
                </c:pt>
              </c:strCache>
            </c:strRef>
          </c:cat>
          <c:val>
            <c:numRef>
              <c:f>'Bond distn'!$P$4:$P$24</c:f>
              <c:numCache>
                <c:formatCode>General</c:formatCode>
                <c:ptCount val="21"/>
                <c:pt idx="0">
                  <c:v>30</c:v>
                </c:pt>
                <c:pt idx="1">
                  <c:v>39</c:v>
                </c:pt>
                <c:pt idx="2">
                  <c:v>29</c:v>
                </c:pt>
                <c:pt idx="3">
                  <c:v>44</c:v>
                </c:pt>
                <c:pt idx="4">
                  <c:v>50</c:v>
                </c:pt>
                <c:pt idx="5">
                  <c:v>38</c:v>
                </c:pt>
                <c:pt idx="6">
                  <c:v>27</c:v>
                </c:pt>
                <c:pt idx="7">
                  <c:v>23</c:v>
                </c:pt>
                <c:pt idx="8">
                  <c:v>19</c:v>
                </c:pt>
                <c:pt idx="9">
                  <c:v>22</c:v>
                </c:pt>
                <c:pt idx="10">
                  <c:v>10</c:v>
                </c:pt>
                <c:pt idx="11">
                  <c:v>15</c:v>
                </c:pt>
                <c:pt idx="12">
                  <c:v>13</c:v>
                </c:pt>
                <c:pt idx="13">
                  <c:v>12</c:v>
                </c:pt>
                <c:pt idx="14">
                  <c:v>37</c:v>
                </c:pt>
                <c:pt idx="15">
                  <c:v>2</c:v>
                </c:pt>
                <c:pt idx="16">
                  <c:v>1</c:v>
                </c:pt>
                <c:pt idx="17">
                  <c:v>1</c:v>
                </c:pt>
                <c:pt idx="18">
                  <c:v>1</c:v>
                </c:pt>
              </c:numCache>
            </c:numRef>
          </c:val>
        </c:ser>
        <c:dLbls>
          <c:showLegendKey val="0"/>
          <c:showVal val="0"/>
          <c:showCatName val="0"/>
          <c:showSerName val="0"/>
          <c:showPercent val="0"/>
          <c:showBubbleSize val="0"/>
        </c:dLbls>
        <c:gapWidth val="150"/>
        <c:axId val="118657792"/>
        <c:axId val="118659712"/>
      </c:barChart>
      <c:catAx>
        <c:axId val="118657792"/>
        <c:scaling>
          <c:orientation val="minMax"/>
        </c:scaling>
        <c:delete val="0"/>
        <c:axPos val="b"/>
        <c:title>
          <c:tx>
            <c:rich>
              <a:bodyPr/>
              <a:lstStyle/>
              <a:p>
                <a:pPr>
                  <a:defRPr/>
                </a:pPr>
                <a:r>
                  <a:rPr lang="en-US"/>
                  <a:t>Amount granted ($)</a:t>
                </a:r>
              </a:p>
            </c:rich>
          </c:tx>
          <c:overlay val="0"/>
        </c:title>
        <c:majorTickMark val="out"/>
        <c:minorTickMark val="none"/>
        <c:tickLblPos val="nextTo"/>
        <c:crossAx val="118659712"/>
        <c:crosses val="autoZero"/>
        <c:auto val="1"/>
        <c:lblAlgn val="ctr"/>
        <c:lblOffset val="100"/>
        <c:noMultiLvlLbl val="0"/>
      </c:catAx>
      <c:valAx>
        <c:axId val="118659712"/>
        <c:scaling>
          <c:orientation val="minMax"/>
        </c:scaling>
        <c:delete val="0"/>
        <c:axPos val="l"/>
        <c:title>
          <c:tx>
            <c:rich>
              <a:bodyPr rot="0" vert="horz"/>
              <a:lstStyle/>
              <a:p>
                <a:pPr>
                  <a:defRPr/>
                </a:pPr>
                <a:r>
                  <a:rPr lang="en-NZ"/>
                  <a:t>Number</a:t>
                </a:r>
              </a:p>
              <a:p>
                <a:pPr>
                  <a:defRPr/>
                </a:pPr>
                <a:r>
                  <a:rPr lang="en-NZ"/>
                  <a:t>granted</a:t>
                </a:r>
              </a:p>
            </c:rich>
          </c:tx>
          <c:layout>
            <c:manualLayout>
              <c:xMode val="edge"/>
              <c:yMode val="edge"/>
              <c:x val="5.3184908817021401E-4"/>
              <c:y val="0.33909500536570858"/>
            </c:manualLayout>
          </c:layout>
          <c:overlay val="0"/>
        </c:title>
        <c:numFmt formatCode="General" sourceLinked="1"/>
        <c:majorTickMark val="out"/>
        <c:minorTickMark val="none"/>
        <c:tickLblPos val="nextTo"/>
        <c:crossAx val="118657792"/>
        <c:crosses val="autoZero"/>
        <c:crossBetween val="between"/>
      </c:valAx>
    </c:plotArea>
    <c:legend>
      <c:legendPos val="l"/>
      <c:layout>
        <c:manualLayout>
          <c:xMode val="edge"/>
          <c:yMode val="edge"/>
          <c:x val="0.23540762180414856"/>
          <c:y val="9.5473400195115576E-2"/>
          <c:w val="0.29323660008141761"/>
          <c:h val="0.10127333821073171"/>
        </c:manualLayout>
      </c:layout>
      <c:overlay val="1"/>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52A852-0654-4AA9-B3E9-F549D04FA671}" type="doc">
      <dgm:prSet loTypeId="urn:microsoft.com/office/officeart/2005/8/layout/hierarchy4" loCatId="list" qsTypeId="urn:microsoft.com/office/officeart/2005/8/quickstyle/simple3" qsCatId="simple" csTypeId="urn:microsoft.com/office/officeart/2005/8/colors/accent1_2" csCatId="accent1" phldr="1"/>
      <dgm:spPr/>
      <dgm:t>
        <a:bodyPr/>
        <a:lstStyle/>
        <a:p>
          <a:endParaRPr lang="en-NZ"/>
        </a:p>
      </dgm:t>
    </dgm:pt>
    <dgm:pt modelId="{EE92D09C-57DA-4F04-A248-F5E4853E1E12}">
      <dgm:prSet phldrT="[Text]"/>
      <dgm:spPr>
        <a:noFill/>
        <a:ln>
          <a:solidFill>
            <a:schemeClr val="tx1"/>
          </a:solidFill>
        </a:ln>
        <a:effectLst/>
      </dgm:spPr>
      <dgm:t>
        <a:bodyPr/>
        <a:lstStyle/>
        <a:p>
          <a:r>
            <a:rPr lang="en-NZ">
              <a:effectLst/>
            </a:rPr>
            <a:t>Insecure housing / homeless</a:t>
          </a:r>
        </a:p>
      </dgm:t>
    </dgm:pt>
    <dgm:pt modelId="{98F021B4-1CF1-4A05-9F15-259CDF32A6E9}" type="parTrans" cxnId="{B21A0BFA-841A-4C0A-820D-513DB1DC3D24}">
      <dgm:prSet/>
      <dgm:spPr/>
      <dgm:t>
        <a:bodyPr/>
        <a:lstStyle/>
        <a:p>
          <a:endParaRPr lang="en-NZ">
            <a:effectLst/>
          </a:endParaRPr>
        </a:p>
      </dgm:t>
    </dgm:pt>
    <dgm:pt modelId="{EA4A95AC-2B25-4B97-9A65-ACF3B0F41527}" type="sibTrans" cxnId="{B21A0BFA-841A-4C0A-820D-513DB1DC3D24}">
      <dgm:prSet/>
      <dgm:spPr/>
      <dgm:t>
        <a:bodyPr/>
        <a:lstStyle/>
        <a:p>
          <a:endParaRPr lang="en-NZ">
            <a:effectLst/>
          </a:endParaRPr>
        </a:p>
      </dgm:t>
    </dgm:pt>
    <dgm:pt modelId="{F7EDC553-712E-4DCA-8F50-3F96AE6560CD}">
      <dgm:prSet phldrT="[Text]"/>
      <dgm:spPr>
        <a:solidFill>
          <a:schemeClr val="accent1"/>
        </a:solidFill>
        <a:effectLst/>
      </dgm:spPr>
      <dgm:t>
        <a:bodyPr/>
        <a:lstStyle/>
        <a:p>
          <a:r>
            <a:rPr lang="en-NZ">
              <a:solidFill>
                <a:schemeClr val="bg1"/>
              </a:solidFill>
              <a:effectLst/>
            </a:rPr>
            <a:t>Local authority housing</a:t>
          </a:r>
        </a:p>
      </dgm:t>
    </dgm:pt>
    <dgm:pt modelId="{09F854D0-2C58-40EC-ABA7-BC7C63439FB3}" type="parTrans" cxnId="{C7734962-2BDC-4944-9AEA-578856064653}">
      <dgm:prSet/>
      <dgm:spPr/>
      <dgm:t>
        <a:bodyPr/>
        <a:lstStyle/>
        <a:p>
          <a:endParaRPr lang="en-NZ">
            <a:effectLst/>
          </a:endParaRPr>
        </a:p>
      </dgm:t>
    </dgm:pt>
    <dgm:pt modelId="{17B77F2F-8015-496F-8361-96BD14766ED1}" type="sibTrans" cxnId="{C7734962-2BDC-4944-9AEA-578856064653}">
      <dgm:prSet/>
      <dgm:spPr/>
      <dgm:t>
        <a:bodyPr/>
        <a:lstStyle/>
        <a:p>
          <a:endParaRPr lang="en-NZ">
            <a:effectLst/>
          </a:endParaRPr>
        </a:p>
      </dgm:t>
    </dgm:pt>
    <dgm:pt modelId="{C6FFABC6-6FDE-4CD8-9966-6EA8C10B08DF}">
      <dgm:prSet phldrT="[Text]"/>
      <dgm:spPr>
        <a:noFill/>
        <a:ln>
          <a:solidFill>
            <a:schemeClr val="tx1"/>
          </a:solidFill>
        </a:ln>
        <a:effectLst/>
      </dgm:spPr>
      <dgm:t>
        <a:bodyPr/>
        <a:lstStyle/>
        <a:p>
          <a:r>
            <a:rPr lang="en-NZ">
              <a:solidFill>
                <a:sysClr val="windowText" lastClr="000000"/>
              </a:solidFill>
              <a:effectLst/>
            </a:rPr>
            <a:t>Subsidised private rental</a:t>
          </a:r>
        </a:p>
      </dgm:t>
    </dgm:pt>
    <dgm:pt modelId="{078AE5EB-750A-4B42-95CF-1AC036ECA754}" type="parTrans" cxnId="{EB9A0728-F312-417D-9987-9DC97C0E6A29}">
      <dgm:prSet/>
      <dgm:spPr/>
      <dgm:t>
        <a:bodyPr/>
        <a:lstStyle/>
        <a:p>
          <a:endParaRPr lang="en-NZ">
            <a:effectLst/>
          </a:endParaRPr>
        </a:p>
      </dgm:t>
    </dgm:pt>
    <dgm:pt modelId="{0D1B78B0-7239-4F3F-AFF1-FE2C7B51C6FC}" type="sibTrans" cxnId="{EB9A0728-F312-417D-9987-9DC97C0E6A29}">
      <dgm:prSet/>
      <dgm:spPr/>
      <dgm:t>
        <a:bodyPr/>
        <a:lstStyle/>
        <a:p>
          <a:endParaRPr lang="en-NZ">
            <a:effectLst/>
          </a:endParaRPr>
        </a:p>
      </dgm:t>
    </dgm:pt>
    <dgm:pt modelId="{E0896314-81E9-4825-8413-5496C589AA02}">
      <dgm:prSet phldrT="[Text]"/>
      <dgm:spPr>
        <a:noFill/>
        <a:ln>
          <a:solidFill>
            <a:schemeClr val="tx1"/>
          </a:solidFill>
        </a:ln>
        <a:effectLst/>
      </dgm:spPr>
      <dgm:t>
        <a:bodyPr/>
        <a:lstStyle/>
        <a:p>
          <a:r>
            <a:rPr lang="en-NZ">
              <a:solidFill>
                <a:sysClr val="windowText" lastClr="000000"/>
              </a:solidFill>
              <a:effectLst/>
            </a:rPr>
            <a:t>Transitional housing  &amp; emergency accomodation</a:t>
          </a:r>
        </a:p>
      </dgm:t>
    </dgm:pt>
    <dgm:pt modelId="{8E77C6DF-AA41-432C-B20F-DBDB4DC3802C}" type="parTrans" cxnId="{ADC5C7E8-F56C-4652-9E6C-06B62E9FEFA8}">
      <dgm:prSet/>
      <dgm:spPr/>
      <dgm:t>
        <a:bodyPr/>
        <a:lstStyle/>
        <a:p>
          <a:endParaRPr lang="en-NZ">
            <a:effectLst/>
          </a:endParaRPr>
        </a:p>
      </dgm:t>
    </dgm:pt>
    <dgm:pt modelId="{2E13E9D2-A122-4003-9830-38DD88BFE36C}" type="sibTrans" cxnId="{ADC5C7E8-F56C-4652-9E6C-06B62E9FEFA8}">
      <dgm:prSet/>
      <dgm:spPr/>
      <dgm:t>
        <a:bodyPr/>
        <a:lstStyle/>
        <a:p>
          <a:endParaRPr lang="en-NZ">
            <a:effectLst/>
          </a:endParaRPr>
        </a:p>
      </dgm:t>
    </dgm:pt>
    <dgm:pt modelId="{E13BA66F-ECA5-4144-9050-D923249AB2ED}">
      <dgm:prSet phldrT="[Text]"/>
      <dgm:spPr>
        <a:noFill/>
        <a:ln>
          <a:solidFill>
            <a:schemeClr val="tx1"/>
          </a:solidFill>
        </a:ln>
        <a:effectLst/>
      </dgm:spPr>
      <dgm:t>
        <a:bodyPr/>
        <a:lstStyle/>
        <a:p>
          <a:r>
            <a:rPr lang="en-NZ">
              <a:solidFill>
                <a:sysClr val="windowText" lastClr="000000"/>
              </a:solidFill>
              <a:effectLst/>
            </a:rPr>
            <a:t>Public</a:t>
          </a:r>
          <a:r>
            <a:rPr lang="en-NZ">
              <a:effectLst/>
            </a:rPr>
            <a:t> housing</a:t>
          </a:r>
        </a:p>
      </dgm:t>
    </dgm:pt>
    <dgm:pt modelId="{667FA20C-3704-4C08-810A-E45889310BBA}" type="parTrans" cxnId="{4440DA60-760E-48AF-A70A-0849A90F95CD}">
      <dgm:prSet/>
      <dgm:spPr/>
      <dgm:t>
        <a:bodyPr/>
        <a:lstStyle/>
        <a:p>
          <a:endParaRPr lang="en-NZ">
            <a:effectLst/>
          </a:endParaRPr>
        </a:p>
      </dgm:t>
    </dgm:pt>
    <dgm:pt modelId="{82A887D5-D13E-4191-B11D-88AC7CB473F9}" type="sibTrans" cxnId="{4440DA60-760E-48AF-A70A-0849A90F95CD}">
      <dgm:prSet/>
      <dgm:spPr/>
      <dgm:t>
        <a:bodyPr/>
        <a:lstStyle/>
        <a:p>
          <a:endParaRPr lang="en-NZ">
            <a:effectLst/>
          </a:endParaRPr>
        </a:p>
      </dgm:t>
    </dgm:pt>
    <dgm:pt modelId="{96A9B3C4-8A6D-4F5D-8E6B-B311D863410A}">
      <dgm:prSet phldrT="[Text]"/>
      <dgm:spPr>
        <a:solidFill>
          <a:schemeClr val="accent1"/>
        </a:solidFill>
        <a:effectLst/>
      </dgm:spPr>
      <dgm:t>
        <a:bodyPr/>
        <a:lstStyle/>
        <a:p>
          <a:r>
            <a:rPr lang="en-NZ">
              <a:solidFill>
                <a:schemeClr val="bg1"/>
              </a:solidFill>
              <a:effectLst/>
            </a:rPr>
            <a:t>Non-subsidised private rental</a:t>
          </a:r>
        </a:p>
      </dgm:t>
    </dgm:pt>
    <dgm:pt modelId="{F57C40C9-9D6B-4453-B9EA-426CA0DE889F}" type="parTrans" cxnId="{A7E8B82B-CF2C-4158-8ECD-A2681AF1FFD7}">
      <dgm:prSet/>
      <dgm:spPr/>
      <dgm:t>
        <a:bodyPr/>
        <a:lstStyle/>
        <a:p>
          <a:endParaRPr lang="en-NZ">
            <a:effectLst/>
          </a:endParaRPr>
        </a:p>
      </dgm:t>
    </dgm:pt>
    <dgm:pt modelId="{8B9C3098-C766-493C-AC67-1DCEC12C2DEF}" type="sibTrans" cxnId="{A7E8B82B-CF2C-4158-8ECD-A2681AF1FFD7}">
      <dgm:prSet/>
      <dgm:spPr/>
      <dgm:t>
        <a:bodyPr/>
        <a:lstStyle/>
        <a:p>
          <a:endParaRPr lang="en-NZ">
            <a:effectLst/>
          </a:endParaRPr>
        </a:p>
      </dgm:t>
    </dgm:pt>
    <dgm:pt modelId="{FAF77B3D-E896-42F9-AB58-BBBF5594FD41}">
      <dgm:prSet phldrT="[Text]"/>
      <dgm:spPr>
        <a:solidFill>
          <a:schemeClr val="accent1"/>
        </a:solidFill>
        <a:effectLst/>
      </dgm:spPr>
      <dgm:t>
        <a:bodyPr/>
        <a:lstStyle/>
        <a:p>
          <a:r>
            <a:rPr lang="en-NZ">
              <a:solidFill>
                <a:schemeClr val="bg1"/>
              </a:solidFill>
              <a:effectLst/>
            </a:rPr>
            <a:t>Home ownership</a:t>
          </a:r>
        </a:p>
      </dgm:t>
    </dgm:pt>
    <dgm:pt modelId="{3CF0BBF4-ED5A-4455-ABB5-EA7E02B23D67}" type="parTrans" cxnId="{1604DA70-5416-4172-96C0-E351BA6356A5}">
      <dgm:prSet/>
      <dgm:spPr/>
      <dgm:t>
        <a:bodyPr/>
        <a:lstStyle/>
        <a:p>
          <a:endParaRPr lang="en-NZ">
            <a:effectLst/>
          </a:endParaRPr>
        </a:p>
      </dgm:t>
    </dgm:pt>
    <dgm:pt modelId="{5DEA507F-5671-43F0-8D40-962CB100A2C5}" type="sibTrans" cxnId="{1604DA70-5416-4172-96C0-E351BA6356A5}">
      <dgm:prSet/>
      <dgm:spPr/>
      <dgm:t>
        <a:bodyPr/>
        <a:lstStyle/>
        <a:p>
          <a:endParaRPr lang="en-NZ">
            <a:effectLst/>
          </a:endParaRPr>
        </a:p>
      </dgm:t>
    </dgm:pt>
    <dgm:pt modelId="{CC742C90-7689-4F6B-A5B4-F4BD0B4B9DC7}" type="pres">
      <dgm:prSet presAssocID="{2752A852-0654-4AA9-B3E9-F549D04FA671}" presName="Name0" presStyleCnt="0">
        <dgm:presLayoutVars>
          <dgm:chPref val="1"/>
          <dgm:dir/>
          <dgm:animOne val="branch"/>
          <dgm:animLvl val="lvl"/>
          <dgm:resizeHandles/>
        </dgm:presLayoutVars>
      </dgm:prSet>
      <dgm:spPr/>
      <dgm:t>
        <a:bodyPr/>
        <a:lstStyle/>
        <a:p>
          <a:endParaRPr lang="en-NZ"/>
        </a:p>
      </dgm:t>
    </dgm:pt>
    <dgm:pt modelId="{9D5ACA8E-113A-49A2-9E1F-3A9C6EAEAB3A}" type="pres">
      <dgm:prSet presAssocID="{EE92D09C-57DA-4F04-A248-F5E4853E1E12}" presName="vertOne" presStyleCnt="0"/>
      <dgm:spPr/>
    </dgm:pt>
    <dgm:pt modelId="{3EBC31D8-FAF2-42F1-B9BB-F7066A8B63FC}" type="pres">
      <dgm:prSet presAssocID="{EE92D09C-57DA-4F04-A248-F5E4853E1E12}" presName="txOne" presStyleLbl="node0" presStyleIdx="0" presStyleCnt="5">
        <dgm:presLayoutVars>
          <dgm:chPref val="3"/>
        </dgm:presLayoutVars>
      </dgm:prSet>
      <dgm:spPr/>
      <dgm:t>
        <a:bodyPr/>
        <a:lstStyle/>
        <a:p>
          <a:endParaRPr lang="en-NZ"/>
        </a:p>
      </dgm:t>
    </dgm:pt>
    <dgm:pt modelId="{AB7AACAC-23B6-4DE3-A169-DA2D0B6C15E6}" type="pres">
      <dgm:prSet presAssocID="{EE92D09C-57DA-4F04-A248-F5E4853E1E12}" presName="horzOne" presStyleCnt="0"/>
      <dgm:spPr/>
    </dgm:pt>
    <dgm:pt modelId="{64F47BC9-8939-4982-A788-57F7CD494D36}" type="pres">
      <dgm:prSet presAssocID="{EA4A95AC-2B25-4B97-9A65-ACF3B0F41527}" presName="sibSpaceOne" presStyleCnt="0"/>
      <dgm:spPr/>
    </dgm:pt>
    <dgm:pt modelId="{BA097A73-4D03-4BF3-96AF-2876629C2059}" type="pres">
      <dgm:prSet presAssocID="{E0896314-81E9-4825-8413-5496C589AA02}" presName="vertOne" presStyleCnt="0"/>
      <dgm:spPr/>
    </dgm:pt>
    <dgm:pt modelId="{3CC7B710-9E2E-44D9-AEDB-CDE78D63389C}" type="pres">
      <dgm:prSet presAssocID="{E0896314-81E9-4825-8413-5496C589AA02}" presName="txOne" presStyleLbl="node0" presStyleIdx="1" presStyleCnt="5">
        <dgm:presLayoutVars>
          <dgm:chPref val="3"/>
        </dgm:presLayoutVars>
      </dgm:prSet>
      <dgm:spPr/>
      <dgm:t>
        <a:bodyPr/>
        <a:lstStyle/>
        <a:p>
          <a:endParaRPr lang="en-NZ"/>
        </a:p>
      </dgm:t>
    </dgm:pt>
    <dgm:pt modelId="{4D0B4F8C-BF27-4C8A-868B-701CE4838F09}" type="pres">
      <dgm:prSet presAssocID="{E0896314-81E9-4825-8413-5496C589AA02}" presName="horzOne" presStyleCnt="0"/>
      <dgm:spPr/>
    </dgm:pt>
    <dgm:pt modelId="{CBBBDA73-C856-48D5-A41A-9FABB1E25AD1}" type="pres">
      <dgm:prSet presAssocID="{2E13E9D2-A122-4003-9830-38DD88BFE36C}" presName="sibSpaceOne" presStyleCnt="0"/>
      <dgm:spPr/>
    </dgm:pt>
    <dgm:pt modelId="{9F0EA490-38CF-46FB-B289-70D6A712A1CB}" type="pres">
      <dgm:prSet presAssocID="{E13BA66F-ECA5-4144-9050-D923249AB2ED}" presName="vertOne" presStyleCnt="0"/>
      <dgm:spPr/>
    </dgm:pt>
    <dgm:pt modelId="{05B10B1B-D7E9-4AA0-9770-9CFE938EDD6D}" type="pres">
      <dgm:prSet presAssocID="{E13BA66F-ECA5-4144-9050-D923249AB2ED}" presName="txOne" presStyleLbl="node0" presStyleIdx="2" presStyleCnt="5">
        <dgm:presLayoutVars>
          <dgm:chPref val="3"/>
        </dgm:presLayoutVars>
      </dgm:prSet>
      <dgm:spPr/>
      <dgm:t>
        <a:bodyPr/>
        <a:lstStyle/>
        <a:p>
          <a:endParaRPr lang="en-NZ"/>
        </a:p>
      </dgm:t>
    </dgm:pt>
    <dgm:pt modelId="{E1A6B0CB-D87D-4CE3-84E1-81D7869F3A80}" type="pres">
      <dgm:prSet presAssocID="{E13BA66F-ECA5-4144-9050-D923249AB2ED}" presName="parTransOne" presStyleCnt="0"/>
      <dgm:spPr/>
    </dgm:pt>
    <dgm:pt modelId="{80178F7C-71F7-4F3E-AA54-E684AB3A3CF0}" type="pres">
      <dgm:prSet presAssocID="{E13BA66F-ECA5-4144-9050-D923249AB2ED}" presName="horzOne" presStyleCnt="0"/>
      <dgm:spPr/>
    </dgm:pt>
    <dgm:pt modelId="{49D94F9A-F6CB-4C53-80A5-E41E06E81F27}" type="pres">
      <dgm:prSet presAssocID="{F7EDC553-712E-4DCA-8F50-3F96AE6560CD}" presName="vertTwo" presStyleCnt="0"/>
      <dgm:spPr/>
    </dgm:pt>
    <dgm:pt modelId="{CEE55E8D-93DC-442F-B371-FD1A179AF071}" type="pres">
      <dgm:prSet presAssocID="{F7EDC553-712E-4DCA-8F50-3F96AE6560CD}" presName="txTwo" presStyleLbl="node2" presStyleIdx="0" presStyleCnt="2">
        <dgm:presLayoutVars>
          <dgm:chPref val="3"/>
        </dgm:presLayoutVars>
      </dgm:prSet>
      <dgm:spPr/>
      <dgm:t>
        <a:bodyPr/>
        <a:lstStyle/>
        <a:p>
          <a:endParaRPr lang="en-NZ"/>
        </a:p>
      </dgm:t>
    </dgm:pt>
    <dgm:pt modelId="{933E32F3-9AA7-4814-920D-D2F5A0E44EEF}" type="pres">
      <dgm:prSet presAssocID="{F7EDC553-712E-4DCA-8F50-3F96AE6560CD}" presName="horzTwo" presStyleCnt="0"/>
      <dgm:spPr/>
    </dgm:pt>
    <dgm:pt modelId="{4EBEF83C-8544-4312-8A36-DB2772048985}" type="pres">
      <dgm:prSet presAssocID="{82A887D5-D13E-4191-B11D-88AC7CB473F9}" presName="sibSpaceOne" presStyleCnt="0"/>
      <dgm:spPr/>
    </dgm:pt>
    <dgm:pt modelId="{C0FBE72C-E77A-4316-9EFC-0906E1B9B07C}" type="pres">
      <dgm:prSet presAssocID="{C6FFABC6-6FDE-4CD8-9966-6EA8C10B08DF}" presName="vertOne" presStyleCnt="0"/>
      <dgm:spPr/>
    </dgm:pt>
    <dgm:pt modelId="{62DD8531-169B-48BF-AF8C-88D4BCD9FF22}" type="pres">
      <dgm:prSet presAssocID="{C6FFABC6-6FDE-4CD8-9966-6EA8C10B08DF}" presName="txOne" presStyleLbl="node0" presStyleIdx="3" presStyleCnt="5">
        <dgm:presLayoutVars>
          <dgm:chPref val="3"/>
        </dgm:presLayoutVars>
      </dgm:prSet>
      <dgm:spPr/>
      <dgm:t>
        <a:bodyPr/>
        <a:lstStyle/>
        <a:p>
          <a:endParaRPr lang="en-NZ"/>
        </a:p>
      </dgm:t>
    </dgm:pt>
    <dgm:pt modelId="{CCC9FD38-3D7C-4AC9-85BF-BF7CA0C16811}" type="pres">
      <dgm:prSet presAssocID="{C6FFABC6-6FDE-4CD8-9966-6EA8C10B08DF}" presName="horzOne" presStyleCnt="0"/>
      <dgm:spPr/>
    </dgm:pt>
    <dgm:pt modelId="{B2E3A8EC-8919-48F2-B5E0-2A8D00193FF6}" type="pres">
      <dgm:prSet presAssocID="{0D1B78B0-7239-4F3F-AFF1-FE2C7B51C6FC}" presName="sibSpaceOne" presStyleCnt="0"/>
      <dgm:spPr/>
    </dgm:pt>
    <dgm:pt modelId="{8163BCF6-5060-4311-98FB-569226E0D25C}" type="pres">
      <dgm:prSet presAssocID="{96A9B3C4-8A6D-4F5D-8E6B-B311D863410A}" presName="vertOne" presStyleCnt="0"/>
      <dgm:spPr/>
    </dgm:pt>
    <dgm:pt modelId="{078F7CDE-4BE6-42B5-B8A0-3A1E2A4F1DC6}" type="pres">
      <dgm:prSet presAssocID="{96A9B3C4-8A6D-4F5D-8E6B-B311D863410A}" presName="txOne" presStyleLbl="node0" presStyleIdx="4" presStyleCnt="5">
        <dgm:presLayoutVars>
          <dgm:chPref val="3"/>
        </dgm:presLayoutVars>
      </dgm:prSet>
      <dgm:spPr/>
      <dgm:t>
        <a:bodyPr/>
        <a:lstStyle/>
        <a:p>
          <a:endParaRPr lang="en-NZ"/>
        </a:p>
      </dgm:t>
    </dgm:pt>
    <dgm:pt modelId="{E69432F0-1C35-4C21-903A-073DE0F5D2FD}" type="pres">
      <dgm:prSet presAssocID="{96A9B3C4-8A6D-4F5D-8E6B-B311D863410A}" presName="parTransOne" presStyleCnt="0"/>
      <dgm:spPr/>
    </dgm:pt>
    <dgm:pt modelId="{8D99FB56-B0ED-41F4-B352-C61DF1507D3F}" type="pres">
      <dgm:prSet presAssocID="{96A9B3C4-8A6D-4F5D-8E6B-B311D863410A}" presName="horzOne" presStyleCnt="0"/>
      <dgm:spPr/>
    </dgm:pt>
    <dgm:pt modelId="{EBE5A03C-A487-45D0-AAE7-93D6A017FF39}" type="pres">
      <dgm:prSet presAssocID="{FAF77B3D-E896-42F9-AB58-BBBF5594FD41}" presName="vertTwo" presStyleCnt="0"/>
      <dgm:spPr/>
    </dgm:pt>
    <dgm:pt modelId="{1032E470-DA50-4749-BF32-DE7EE6FF5D66}" type="pres">
      <dgm:prSet presAssocID="{FAF77B3D-E896-42F9-AB58-BBBF5594FD41}" presName="txTwo" presStyleLbl="node2" presStyleIdx="1" presStyleCnt="2">
        <dgm:presLayoutVars>
          <dgm:chPref val="3"/>
        </dgm:presLayoutVars>
      </dgm:prSet>
      <dgm:spPr/>
      <dgm:t>
        <a:bodyPr/>
        <a:lstStyle/>
        <a:p>
          <a:endParaRPr lang="en-NZ"/>
        </a:p>
      </dgm:t>
    </dgm:pt>
    <dgm:pt modelId="{5B9DDE76-7019-4B89-97B8-3E79E1F3F816}" type="pres">
      <dgm:prSet presAssocID="{FAF77B3D-E896-42F9-AB58-BBBF5594FD41}" presName="horzTwo" presStyleCnt="0"/>
      <dgm:spPr/>
    </dgm:pt>
  </dgm:ptLst>
  <dgm:cxnLst>
    <dgm:cxn modelId="{EB9A0728-F312-417D-9987-9DC97C0E6A29}" srcId="{2752A852-0654-4AA9-B3E9-F549D04FA671}" destId="{C6FFABC6-6FDE-4CD8-9966-6EA8C10B08DF}" srcOrd="3" destOrd="0" parTransId="{078AE5EB-750A-4B42-95CF-1AC036ECA754}" sibTransId="{0D1B78B0-7239-4F3F-AFF1-FE2C7B51C6FC}"/>
    <dgm:cxn modelId="{E6D5D2D5-8052-4A9D-B6EC-83E62A2D5739}" type="presOf" srcId="{96A9B3C4-8A6D-4F5D-8E6B-B311D863410A}" destId="{078F7CDE-4BE6-42B5-B8A0-3A1E2A4F1DC6}" srcOrd="0" destOrd="0" presId="urn:microsoft.com/office/officeart/2005/8/layout/hierarchy4"/>
    <dgm:cxn modelId="{ADC5C7E8-F56C-4652-9E6C-06B62E9FEFA8}" srcId="{2752A852-0654-4AA9-B3E9-F549D04FA671}" destId="{E0896314-81E9-4825-8413-5496C589AA02}" srcOrd="1" destOrd="0" parTransId="{8E77C6DF-AA41-432C-B20F-DBDB4DC3802C}" sibTransId="{2E13E9D2-A122-4003-9830-38DD88BFE36C}"/>
    <dgm:cxn modelId="{D69509CA-2889-44F7-87CF-E399505C2C4D}" type="presOf" srcId="{E0896314-81E9-4825-8413-5496C589AA02}" destId="{3CC7B710-9E2E-44D9-AEDB-CDE78D63389C}" srcOrd="0" destOrd="0" presId="urn:microsoft.com/office/officeart/2005/8/layout/hierarchy4"/>
    <dgm:cxn modelId="{8D550CB7-784F-4A24-8C5E-F110EE20CC62}" type="presOf" srcId="{C6FFABC6-6FDE-4CD8-9966-6EA8C10B08DF}" destId="{62DD8531-169B-48BF-AF8C-88D4BCD9FF22}" srcOrd="0" destOrd="0" presId="urn:microsoft.com/office/officeart/2005/8/layout/hierarchy4"/>
    <dgm:cxn modelId="{4440DA60-760E-48AF-A70A-0849A90F95CD}" srcId="{2752A852-0654-4AA9-B3E9-F549D04FA671}" destId="{E13BA66F-ECA5-4144-9050-D923249AB2ED}" srcOrd="2" destOrd="0" parTransId="{667FA20C-3704-4C08-810A-E45889310BBA}" sibTransId="{82A887D5-D13E-4191-B11D-88AC7CB473F9}"/>
    <dgm:cxn modelId="{84462F20-8A42-4852-BA94-770D90BF58A3}" type="presOf" srcId="{EE92D09C-57DA-4F04-A248-F5E4853E1E12}" destId="{3EBC31D8-FAF2-42F1-B9BB-F7066A8B63FC}" srcOrd="0" destOrd="0" presId="urn:microsoft.com/office/officeart/2005/8/layout/hierarchy4"/>
    <dgm:cxn modelId="{3F853EA2-068F-4204-8F31-3B42F4FDCB22}" type="presOf" srcId="{F7EDC553-712E-4DCA-8F50-3F96AE6560CD}" destId="{CEE55E8D-93DC-442F-B371-FD1A179AF071}" srcOrd="0" destOrd="0" presId="urn:microsoft.com/office/officeart/2005/8/layout/hierarchy4"/>
    <dgm:cxn modelId="{C7734962-2BDC-4944-9AEA-578856064653}" srcId="{E13BA66F-ECA5-4144-9050-D923249AB2ED}" destId="{F7EDC553-712E-4DCA-8F50-3F96AE6560CD}" srcOrd="0" destOrd="0" parTransId="{09F854D0-2C58-40EC-ABA7-BC7C63439FB3}" sibTransId="{17B77F2F-8015-496F-8361-96BD14766ED1}"/>
    <dgm:cxn modelId="{7D40C7DC-AFEE-4C73-969C-833E46D3C03D}" type="presOf" srcId="{E13BA66F-ECA5-4144-9050-D923249AB2ED}" destId="{05B10B1B-D7E9-4AA0-9770-9CFE938EDD6D}" srcOrd="0" destOrd="0" presId="urn:microsoft.com/office/officeart/2005/8/layout/hierarchy4"/>
    <dgm:cxn modelId="{B21A0BFA-841A-4C0A-820D-513DB1DC3D24}" srcId="{2752A852-0654-4AA9-B3E9-F549D04FA671}" destId="{EE92D09C-57DA-4F04-A248-F5E4853E1E12}" srcOrd="0" destOrd="0" parTransId="{98F021B4-1CF1-4A05-9F15-259CDF32A6E9}" sibTransId="{EA4A95AC-2B25-4B97-9A65-ACF3B0F41527}"/>
    <dgm:cxn modelId="{1604DA70-5416-4172-96C0-E351BA6356A5}" srcId="{96A9B3C4-8A6D-4F5D-8E6B-B311D863410A}" destId="{FAF77B3D-E896-42F9-AB58-BBBF5594FD41}" srcOrd="0" destOrd="0" parTransId="{3CF0BBF4-ED5A-4455-ABB5-EA7E02B23D67}" sibTransId="{5DEA507F-5671-43F0-8D40-962CB100A2C5}"/>
    <dgm:cxn modelId="{BE7B12C4-8002-4EB4-906A-E6E4761EA80E}" type="presOf" srcId="{2752A852-0654-4AA9-B3E9-F549D04FA671}" destId="{CC742C90-7689-4F6B-A5B4-F4BD0B4B9DC7}" srcOrd="0" destOrd="0" presId="urn:microsoft.com/office/officeart/2005/8/layout/hierarchy4"/>
    <dgm:cxn modelId="{727D58F0-DFD5-4732-B1C2-305EE83B00B6}" type="presOf" srcId="{FAF77B3D-E896-42F9-AB58-BBBF5594FD41}" destId="{1032E470-DA50-4749-BF32-DE7EE6FF5D66}" srcOrd="0" destOrd="0" presId="urn:microsoft.com/office/officeart/2005/8/layout/hierarchy4"/>
    <dgm:cxn modelId="{A7E8B82B-CF2C-4158-8ECD-A2681AF1FFD7}" srcId="{2752A852-0654-4AA9-B3E9-F549D04FA671}" destId="{96A9B3C4-8A6D-4F5D-8E6B-B311D863410A}" srcOrd="4" destOrd="0" parTransId="{F57C40C9-9D6B-4453-B9EA-426CA0DE889F}" sibTransId="{8B9C3098-C766-493C-AC67-1DCEC12C2DEF}"/>
    <dgm:cxn modelId="{09EF3174-2049-478C-8EBA-E2F962E98D15}" type="presParOf" srcId="{CC742C90-7689-4F6B-A5B4-F4BD0B4B9DC7}" destId="{9D5ACA8E-113A-49A2-9E1F-3A9C6EAEAB3A}" srcOrd="0" destOrd="0" presId="urn:microsoft.com/office/officeart/2005/8/layout/hierarchy4"/>
    <dgm:cxn modelId="{EE07C142-2F02-493D-B179-9202D89A6EC4}" type="presParOf" srcId="{9D5ACA8E-113A-49A2-9E1F-3A9C6EAEAB3A}" destId="{3EBC31D8-FAF2-42F1-B9BB-F7066A8B63FC}" srcOrd="0" destOrd="0" presId="urn:microsoft.com/office/officeart/2005/8/layout/hierarchy4"/>
    <dgm:cxn modelId="{B1957770-2BE3-43ED-A6B7-8A94EDF7F3AE}" type="presParOf" srcId="{9D5ACA8E-113A-49A2-9E1F-3A9C6EAEAB3A}" destId="{AB7AACAC-23B6-4DE3-A169-DA2D0B6C15E6}" srcOrd="1" destOrd="0" presId="urn:microsoft.com/office/officeart/2005/8/layout/hierarchy4"/>
    <dgm:cxn modelId="{0FA096F3-3ED9-409B-B4BB-883E25EBAD05}" type="presParOf" srcId="{CC742C90-7689-4F6B-A5B4-F4BD0B4B9DC7}" destId="{64F47BC9-8939-4982-A788-57F7CD494D36}" srcOrd="1" destOrd="0" presId="urn:microsoft.com/office/officeart/2005/8/layout/hierarchy4"/>
    <dgm:cxn modelId="{4EB6AEEC-0ECD-41B4-B68D-04259A80D95F}" type="presParOf" srcId="{CC742C90-7689-4F6B-A5B4-F4BD0B4B9DC7}" destId="{BA097A73-4D03-4BF3-96AF-2876629C2059}" srcOrd="2" destOrd="0" presId="urn:microsoft.com/office/officeart/2005/8/layout/hierarchy4"/>
    <dgm:cxn modelId="{F515856E-20D4-4619-8ABB-02AA5299FFEB}" type="presParOf" srcId="{BA097A73-4D03-4BF3-96AF-2876629C2059}" destId="{3CC7B710-9E2E-44D9-AEDB-CDE78D63389C}" srcOrd="0" destOrd="0" presId="urn:microsoft.com/office/officeart/2005/8/layout/hierarchy4"/>
    <dgm:cxn modelId="{83822141-AE7D-4701-ACB7-6C2FC3A295B0}" type="presParOf" srcId="{BA097A73-4D03-4BF3-96AF-2876629C2059}" destId="{4D0B4F8C-BF27-4C8A-868B-701CE4838F09}" srcOrd="1" destOrd="0" presId="urn:microsoft.com/office/officeart/2005/8/layout/hierarchy4"/>
    <dgm:cxn modelId="{B8C09E12-77A0-4867-92C4-88E61F17B0F4}" type="presParOf" srcId="{CC742C90-7689-4F6B-A5B4-F4BD0B4B9DC7}" destId="{CBBBDA73-C856-48D5-A41A-9FABB1E25AD1}" srcOrd="3" destOrd="0" presId="urn:microsoft.com/office/officeart/2005/8/layout/hierarchy4"/>
    <dgm:cxn modelId="{7B63291B-85D1-4DA1-B367-041363771CBA}" type="presParOf" srcId="{CC742C90-7689-4F6B-A5B4-F4BD0B4B9DC7}" destId="{9F0EA490-38CF-46FB-B289-70D6A712A1CB}" srcOrd="4" destOrd="0" presId="urn:microsoft.com/office/officeart/2005/8/layout/hierarchy4"/>
    <dgm:cxn modelId="{5889EB29-90A4-448C-8DA1-B2D416025BE1}" type="presParOf" srcId="{9F0EA490-38CF-46FB-B289-70D6A712A1CB}" destId="{05B10B1B-D7E9-4AA0-9770-9CFE938EDD6D}" srcOrd="0" destOrd="0" presId="urn:microsoft.com/office/officeart/2005/8/layout/hierarchy4"/>
    <dgm:cxn modelId="{C5A9FF9F-DD80-4215-91A8-CCDC077DF2C8}" type="presParOf" srcId="{9F0EA490-38CF-46FB-B289-70D6A712A1CB}" destId="{E1A6B0CB-D87D-4CE3-84E1-81D7869F3A80}" srcOrd="1" destOrd="0" presId="urn:microsoft.com/office/officeart/2005/8/layout/hierarchy4"/>
    <dgm:cxn modelId="{66AC7050-52D7-42ED-A500-FFC026E48EC5}" type="presParOf" srcId="{9F0EA490-38CF-46FB-B289-70D6A712A1CB}" destId="{80178F7C-71F7-4F3E-AA54-E684AB3A3CF0}" srcOrd="2" destOrd="0" presId="urn:microsoft.com/office/officeart/2005/8/layout/hierarchy4"/>
    <dgm:cxn modelId="{5BD29971-737F-4B37-9887-774DE1EBF2BA}" type="presParOf" srcId="{80178F7C-71F7-4F3E-AA54-E684AB3A3CF0}" destId="{49D94F9A-F6CB-4C53-80A5-E41E06E81F27}" srcOrd="0" destOrd="0" presId="urn:microsoft.com/office/officeart/2005/8/layout/hierarchy4"/>
    <dgm:cxn modelId="{DE77280E-3F82-4627-8F1C-807D4D3B5F0A}" type="presParOf" srcId="{49D94F9A-F6CB-4C53-80A5-E41E06E81F27}" destId="{CEE55E8D-93DC-442F-B371-FD1A179AF071}" srcOrd="0" destOrd="0" presId="urn:microsoft.com/office/officeart/2005/8/layout/hierarchy4"/>
    <dgm:cxn modelId="{E794CFC4-3554-4C42-A4C6-DFF3751E794C}" type="presParOf" srcId="{49D94F9A-F6CB-4C53-80A5-E41E06E81F27}" destId="{933E32F3-9AA7-4814-920D-D2F5A0E44EEF}" srcOrd="1" destOrd="0" presId="urn:microsoft.com/office/officeart/2005/8/layout/hierarchy4"/>
    <dgm:cxn modelId="{B05CF98A-4C05-4C46-A031-82986B24B63C}" type="presParOf" srcId="{CC742C90-7689-4F6B-A5B4-F4BD0B4B9DC7}" destId="{4EBEF83C-8544-4312-8A36-DB2772048985}" srcOrd="5" destOrd="0" presId="urn:microsoft.com/office/officeart/2005/8/layout/hierarchy4"/>
    <dgm:cxn modelId="{91A392E0-C0E2-4739-A1D4-40BE206D7D5E}" type="presParOf" srcId="{CC742C90-7689-4F6B-A5B4-F4BD0B4B9DC7}" destId="{C0FBE72C-E77A-4316-9EFC-0906E1B9B07C}" srcOrd="6" destOrd="0" presId="urn:microsoft.com/office/officeart/2005/8/layout/hierarchy4"/>
    <dgm:cxn modelId="{F5E97525-9692-46CA-836A-BF61E4FF2406}" type="presParOf" srcId="{C0FBE72C-E77A-4316-9EFC-0906E1B9B07C}" destId="{62DD8531-169B-48BF-AF8C-88D4BCD9FF22}" srcOrd="0" destOrd="0" presId="urn:microsoft.com/office/officeart/2005/8/layout/hierarchy4"/>
    <dgm:cxn modelId="{80114198-61F4-468E-966A-3F9DBDB97838}" type="presParOf" srcId="{C0FBE72C-E77A-4316-9EFC-0906E1B9B07C}" destId="{CCC9FD38-3D7C-4AC9-85BF-BF7CA0C16811}" srcOrd="1" destOrd="0" presId="urn:microsoft.com/office/officeart/2005/8/layout/hierarchy4"/>
    <dgm:cxn modelId="{6BDF8CF2-ED2B-4741-AEB6-17D2CFE98437}" type="presParOf" srcId="{CC742C90-7689-4F6B-A5B4-F4BD0B4B9DC7}" destId="{B2E3A8EC-8919-48F2-B5E0-2A8D00193FF6}" srcOrd="7" destOrd="0" presId="urn:microsoft.com/office/officeart/2005/8/layout/hierarchy4"/>
    <dgm:cxn modelId="{5B77A3F3-1E0C-47CF-BFA1-3EEA43F62237}" type="presParOf" srcId="{CC742C90-7689-4F6B-A5B4-F4BD0B4B9DC7}" destId="{8163BCF6-5060-4311-98FB-569226E0D25C}" srcOrd="8" destOrd="0" presId="urn:microsoft.com/office/officeart/2005/8/layout/hierarchy4"/>
    <dgm:cxn modelId="{B012AFA1-6293-439F-89E9-C904B3B44D30}" type="presParOf" srcId="{8163BCF6-5060-4311-98FB-569226E0D25C}" destId="{078F7CDE-4BE6-42B5-B8A0-3A1E2A4F1DC6}" srcOrd="0" destOrd="0" presId="urn:microsoft.com/office/officeart/2005/8/layout/hierarchy4"/>
    <dgm:cxn modelId="{52047C16-D5DB-43F4-B641-BFE2F584FD8F}" type="presParOf" srcId="{8163BCF6-5060-4311-98FB-569226E0D25C}" destId="{E69432F0-1C35-4C21-903A-073DE0F5D2FD}" srcOrd="1" destOrd="0" presId="urn:microsoft.com/office/officeart/2005/8/layout/hierarchy4"/>
    <dgm:cxn modelId="{B6175D53-B10E-465F-8EE5-03A8C354A493}" type="presParOf" srcId="{8163BCF6-5060-4311-98FB-569226E0D25C}" destId="{8D99FB56-B0ED-41F4-B352-C61DF1507D3F}" srcOrd="2" destOrd="0" presId="urn:microsoft.com/office/officeart/2005/8/layout/hierarchy4"/>
    <dgm:cxn modelId="{42B1A413-2EF9-4FDB-A4DE-1EB021934C1D}" type="presParOf" srcId="{8D99FB56-B0ED-41F4-B352-C61DF1507D3F}" destId="{EBE5A03C-A487-45D0-AAE7-93D6A017FF39}" srcOrd="0" destOrd="0" presId="urn:microsoft.com/office/officeart/2005/8/layout/hierarchy4"/>
    <dgm:cxn modelId="{F9EDF934-135E-4FDF-BDF0-C5FB382B834D}" type="presParOf" srcId="{EBE5A03C-A487-45D0-AAE7-93D6A017FF39}" destId="{1032E470-DA50-4749-BF32-DE7EE6FF5D66}" srcOrd="0" destOrd="0" presId="urn:microsoft.com/office/officeart/2005/8/layout/hierarchy4"/>
    <dgm:cxn modelId="{EC17781E-D1AF-4137-A936-78DD997FFD37}" type="presParOf" srcId="{EBE5A03C-A487-45D0-AAE7-93D6A017FF39}" destId="{5B9DDE76-7019-4B89-97B8-3E79E1F3F816}" srcOrd="1" destOrd="0" presId="urn:microsoft.com/office/officeart/2005/8/layout/hierarchy4"/>
  </dgm:cxnLst>
  <dgm:bg>
    <a:effect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BC31D8-FAF2-42F1-B9BB-F7066A8B63FC}">
      <dsp:nvSpPr>
        <dsp:cNvPr id="0" name=""/>
        <dsp:cNvSpPr/>
      </dsp:nvSpPr>
      <dsp:spPr>
        <a:xfrm>
          <a:off x="548" y="338"/>
          <a:ext cx="970778" cy="763499"/>
        </a:xfrm>
        <a:prstGeom prst="roundRect">
          <a:avLst>
            <a:gd name="adj" fmla="val 10000"/>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kern="1200">
              <a:effectLst/>
            </a:rPr>
            <a:t>Insecure housing / homeless</a:t>
          </a:r>
        </a:p>
      </dsp:txBody>
      <dsp:txXfrm>
        <a:off x="22910" y="22700"/>
        <a:ext cx="926054" cy="718775"/>
      </dsp:txXfrm>
    </dsp:sp>
    <dsp:sp modelId="{3CC7B710-9E2E-44D9-AEDB-CDE78D63389C}">
      <dsp:nvSpPr>
        <dsp:cNvPr id="0" name=""/>
        <dsp:cNvSpPr/>
      </dsp:nvSpPr>
      <dsp:spPr>
        <a:xfrm>
          <a:off x="1134418" y="338"/>
          <a:ext cx="970778" cy="763499"/>
        </a:xfrm>
        <a:prstGeom prst="roundRect">
          <a:avLst>
            <a:gd name="adj" fmla="val 10000"/>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kern="1200">
              <a:solidFill>
                <a:sysClr val="windowText" lastClr="000000"/>
              </a:solidFill>
              <a:effectLst/>
            </a:rPr>
            <a:t>Transitional housing  &amp; emergency accomodation</a:t>
          </a:r>
        </a:p>
      </dsp:txBody>
      <dsp:txXfrm>
        <a:off x="1156780" y="22700"/>
        <a:ext cx="926054" cy="718775"/>
      </dsp:txXfrm>
    </dsp:sp>
    <dsp:sp modelId="{05B10B1B-D7E9-4AA0-9770-9CFE938EDD6D}">
      <dsp:nvSpPr>
        <dsp:cNvPr id="0" name=""/>
        <dsp:cNvSpPr/>
      </dsp:nvSpPr>
      <dsp:spPr>
        <a:xfrm>
          <a:off x="2268288" y="338"/>
          <a:ext cx="970778" cy="763499"/>
        </a:xfrm>
        <a:prstGeom prst="roundRect">
          <a:avLst>
            <a:gd name="adj" fmla="val 10000"/>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kern="1200">
              <a:solidFill>
                <a:sysClr val="windowText" lastClr="000000"/>
              </a:solidFill>
              <a:effectLst/>
            </a:rPr>
            <a:t>Public</a:t>
          </a:r>
          <a:r>
            <a:rPr lang="en-NZ" sz="1100" kern="1200">
              <a:effectLst/>
            </a:rPr>
            <a:t> housing</a:t>
          </a:r>
        </a:p>
      </dsp:txBody>
      <dsp:txXfrm>
        <a:off x="2290650" y="22700"/>
        <a:ext cx="926054" cy="718775"/>
      </dsp:txXfrm>
    </dsp:sp>
    <dsp:sp modelId="{CEE55E8D-93DC-442F-B371-FD1A179AF071}">
      <dsp:nvSpPr>
        <dsp:cNvPr id="0" name=""/>
        <dsp:cNvSpPr/>
      </dsp:nvSpPr>
      <dsp:spPr>
        <a:xfrm>
          <a:off x="2268288" y="904942"/>
          <a:ext cx="970778" cy="763499"/>
        </a:xfrm>
        <a:prstGeom prst="roundRect">
          <a:avLst>
            <a:gd name="adj" fmla="val 10000"/>
          </a:avLst>
        </a:prstGeom>
        <a:solidFill>
          <a:schemeClr val="accent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kern="1200">
              <a:solidFill>
                <a:schemeClr val="bg1"/>
              </a:solidFill>
              <a:effectLst/>
            </a:rPr>
            <a:t>Local authority housing</a:t>
          </a:r>
        </a:p>
      </dsp:txBody>
      <dsp:txXfrm>
        <a:off x="2290650" y="927304"/>
        <a:ext cx="926054" cy="718775"/>
      </dsp:txXfrm>
    </dsp:sp>
    <dsp:sp modelId="{62DD8531-169B-48BF-AF8C-88D4BCD9FF22}">
      <dsp:nvSpPr>
        <dsp:cNvPr id="0" name=""/>
        <dsp:cNvSpPr/>
      </dsp:nvSpPr>
      <dsp:spPr>
        <a:xfrm>
          <a:off x="3402157" y="338"/>
          <a:ext cx="970778" cy="763499"/>
        </a:xfrm>
        <a:prstGeom prst="roundRect">
          <a:avLst>
            <a:gd name="adj" fmla="val 10000"/>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kern="1200">
              <a:solidFill>
                <a:sysClr val="windowText" lastClr="000000"/>
              </a:solidFill>
              <a:effectLst/>
            </a:rPr>
            <a:t>Subsidised private rental</a:t>
          </a:r>
        </a:p>
      </dsp:txBody>
      <dsp:txXfrm>
        <a:off x="3424519" y="22700"/>
        <a:ext cx="926054" cy="718775"/>
      </dsp:txXfrm>
    </dsp:sp>
    <dsp:sp modelId="{078F7CDE-4BE6-42B5-B8A0-3A1E2A4F1DC6}">
      <dsp:nvSpPr>
        <dsp:cNvPr id="0" name=""/>
        <dsp:cNvSpPr/>
      </dsp:nvSpPr>
      <dsp:spPr>
        <a:xfrm>
          <a:off x="4536027" y="338"/>
          <a:ext cx="970778" cy="763499"/>
        </a:xfrm>
        <a:prstGeom prst="roundRect">
          <a:avLst>
            <a:gd name="adj" fmla="val 10000"/>
          </a:avLst>
        </a:prstGeom>
        <a:solidFill>
          <a:schemeClr val="accent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kern="1200">
              <a:solidFill>
                <a:schemeClr val="bg1"/>
              </a:solidFill>
              <a:effectLst/>
            </a:rPr>
            <a:t>Non-subsidised private rental</a:t>
          </a:r>
        </a:p>
      </dsp:txBody>
      <dsp:txXfrm>
        <a:off x="4558389" y="22700"/>
        <a:ext cx="926054" cy="718775"/>
      </dsp:txXfrm>
    </dsp:sp>
    <dsp:sp modelId="{1032E470-DA50-4749-BF32-DE7EE6FF5D66}">
      <dsp:nvSpPr>
        <dsp:cNvPr id="0" name=""/>
        <dsp:cNvSpPr/>
      </dsp:nvSpPr>
      <dsp:spPr>
        <a:xfrm>
          <a:off x="4536027" y="904942"/>
          <a:ext cx="970778" cy="763499"/>
        </a:xfrm>
        <a:prstGeom prst="roundRect">
          <a:avLst>
            <a:gd name="adj" fmla="val 10000"/>
          </a:avLst>
        </a:prstGeom>
        <a:solidFill>
          <a:schemeClr val="accent1"/>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kern="1200">
              <a:solidFill>
                <a:schemeClr val="bg1"/>
              </a:solidFill>
              <a:effectLst/>
            </a:rPr>
            <a:t>Home ownership</a:t>
          </a:r>
        </a:p>
      </dsp:txBody>
      <dsp:txXfrm>
        <a:off x="4558389" y="927304"/>
        <a:ext cx="926054" cy="7187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0.50093</cdr:x>
      <cdr:y>0</cdr:y>
    </cdr:from>
    <cdr:to>
      <cdr:x>0.50464</cdr:x>
      <cdr:y>0.8729</cdr:y>
    </cdr:to>
    <cdr:cxnSp macro="">
      <cdr:nvCxnSpPr>
        <cdr:cNvPr id="3" name="Straight Connector 2"/>
        <cdr:cNvCxnSpPr/>
      </cdr:nvCxnSpPr>
      <cdr:spPr>
        <a:xfrm xmlns:a="http://schemas.openxmlformats.org/drawingml/2006/main">
          <a:off x="2870791" y="0"/>
          <a:ext cx="21238" cy="2598519"/>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47B9-E75B-4419-B364-1EE0336E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6664</Words>
  <Characters>37987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Burmester</dc:creator>
  <cp:lastModifiedBy>Tracy Dillimore</cp:lastModifiedBy>
  <cp:revision>4</cp:revision>
  <cp:lastPrinted>2018-02-13T22:37:00Z</cp:lastPrinted>
  <dcterms:created xsi:type="dcterms:W3CDTF">2018-06-10T23:21:00Z</dcterms:created>
  <dcterms:modified xsi:type="dcterms:W3CDTF">2018-06-29T00:49:00Z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A10539629</vt:lpwstr>
  </property>
  <property fmtid="{D5CDD505-2E9C-101B-9397-08002B2CF9AE}" pid="4" name="Objective-Title">
    <vt:lpwstr>Review of Housing Support Products - 12 June 2018 BB response to comments</vt:lpwstr>
  </property>
  <property fmtid="{D5CDD505-2E9C-101B-9397-08002B2CF9AE}" pid="5" name="Objective-Comment">
    <vt:lpwstr/>
  </property>
  <property fmtid="{D5CDD505-2E9C-101B-9397-08002B2CF9AE}" pid="6" name="Objective-CreationStamp">
    <vt:filetime>2018-06-07T20:33:44Z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2018-06-07T20:33:59Z</vt:filetime>
  </property>
  <property fmtid="{D5CDD505-2E9C-101B-9397-08002B2CF9AE}" pid="11" name="Objective-Owner">
    <vt:lpwstr>Bridget Burmester</vt:lpwstr>
  </property>
  <property fmtid="{D5CDD505-2E9C-101B-9397-08002B2CF9AE}" pid="12" name="Objective-Path">
    <vt:lpwstr>Global Folder:MSD INFORMATION REPOSITORY:Social Research &amp; Evaluation:Housing:Housing Support Products Review:Research Report:</vt:lpwstr>
  </property>
  <property fmtid="{D5CDD505-2E9C-101B-9397-08002B2CF9AE}" pid="13" name="Objective-Parent">
    <vt:lpwstr>Research Report</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